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pStyle w:val="3"/>
        <w:jc w:val="center"/>
        <w:rPr>
          <w:rFonts w:hint="eastAsia" w:ascii="宋体" w:hAnsi="宋体"/>
          <w:b/>
          <w:bCs/>
          <w:sz w:val="44"/>
          <w:szCs w:val="48"/>
        </w:rPr>
      </w:pPr>
      <w:r>
        <w:rPr>
          <w:rFonts w:hint="eastAsia" w:ascii="宋体" w:hAnsi="宋体"/>
          <w:b/>
          <w:bCs/>
          <w:sz w:val="44"/>
          <w:szCs w:val="48"/>
        </w:rPr>
        <w:t>中国重汽</w:t>
      </w:r>
      <w:r>
        <w:rPr>
          <w:rFonts w:hint="eastAsia" w:ascii="宋体" w:hAnsi="宋体"/>
          <w:b/>
          <w:bCs/>
          <w:sz w:val="44"/>
          <w:szCs w:val="48"/>
          <w:lang w:val="en-US" w:eastAsia="zh-CN"/>
        </w:rPr>
        <w:t>集团</w:t>
      </w:r>
      <w:r>
        <w:rPr>
          <w:rFonts w:hint="eastAsia" w:ascii="宋体" w:hAnsi="宋体"/>
          <w:b/>
          <w:bCs/>
          <w:sz w:val="44"/>
          <w:szCs w:val="48"/>
        </w:rPr>
        <w:t>VOC废气处理设备</w:t>
      </w:r>
    </w:p>
    <w:p>
      <w:pPr>
        <w:pStyle w:val="3"/>
        <w:jc w:val="center"/>
        <w:rPr>
          <w:rFonts w:hint="eastAsia" w:ascii="宋体" w:hAnsi="宋体" w:eastAsia="宋体" w:cs="Times New Roman"/>
          <w:color w:val="FF0000"/>
          <w:kern w:val="2"/>
          <w:sz w:val="44"/>
          <w:szCs w:val="48"/>
        </w:rPr>
      </w:pPr>
      <w:r>
        <w:rPr>
          <w:rFonts w:hint="eastAsia" w:ascii="宋体" w:hAnsi="宋体"/>
          <w:b/>
          <w:bCs/>
          <w:sz w:val="44"/>
          <w:szCs w:val="48"/>
        </w:rPr>
        <w:t>外委运维项目</w:t>
      </w:r>
    </w:p>
    <w:p>
      <w:pPr>
        <w:ind w:right="280"/>
        <w:jc w:val="right"/>
        <w:rPr>
          <w:sz w:val="28"/>
          <w:szCs w:val="28"/>
        </w:rPr>
      </w:pPr>
    </w:p>
    <w:p>
      <w:pPr>
        <w:jc w:val="right"/>
        <w:rPr>
          <w:sz w:val="28"/>
          <w:szCs w:val="28"/>
        </w:rPr>
      </w:pPr>
    </w:p>
    <w:p>
      <w:pPr>
        <w:pStyle w:val="2"/>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jc w:val="center"/>
        <w:rPr>
          <w:rFonts w:hint="default" w:eastAsia="华文仿宋"/>
          <w:highlight w:val="none"/>
          <w:lang w:val="en-US" w:eastAsia="zh-CN"/>
        </w:rPr>
      </w:pPr>
      <w:r>
        <w:rPr>
          <w:rFonts w:hint="eastAsia" w:ascii="华文仿宋" w:hAnsi="华文仿宋" w:eastAsia="华文仿宋"/>
          <w:sz w:val="32"/>
          <w:szCs w:val="28"/>
          <w:highlight w:val="none"/>
          <w:lang w:val="en-US" w:eastAsia="zh-CN"/>
        </w:rPr>
        <w:t>中国重型汽车集团有限公司</w:t>
      </w:r>
    </w:p>
    <w:p>
      <w:pPr>
        <w:jc w:val="center"/>
        <w:rPr>
          <w:rFonts w:hint="eastAsia" w:ascii="华文仿宋" w:hAnsi="华文仿宋" w:eastAsia="华文仿宋" w:cstheme="minorBidi"/>
          <w:kern w:val="2"/>
          <w:sz w:val="32"/>
          <w:szCs w:val="28"/>
          <w:lang w:val="en-US" w:eastAsia="zh-CN" w:bidi="ar-SA"/>
        </w:rPr>
      </w:pPr>
      <w:r>
        <w:rPr>
          <w:rFonts w:hint="eastAsia" w:ascii="华文仿宋" w:hAnsi="华文仿宋" w:eastAsia="华文仿宋" w:cstheme="minorBidi"/>
          <w:kern w:val="2"/>
          <w:sz w:val="32"/>
          <w:szCs w:val="28"/>
          <w:lang w:val="en-US" w:eastAsia="zh-CN" w:bidi="ar-SA"/>
        </w:rPr>
        <w:t>2023年12月</w:t>
      </w:r>
    </w:p>
    <w:p>
      <w:pPr>
        <w:spacing w:line="480" w:lineRule="auto"/>
        <w:jc w:val="center"/>
        <w:rPr>
          <w:rFonts w:ascii="宋体" w:hAnsi="宋体"/>
          <w:b/>
          <w:bCs/>
          <w:sz w:val="48"/>
          <w:szCs w:val="48"/>
        </w:rPr>
      </w:pPr>
    </w:p>
    <w:p>
      <w:pPr>
        <w:spacing w:line="480" w:lineRule="auto"/>
        <w:jc w:val="center"/>
        <w:rPr>
          <w:rFonts w:ascii="黑体" w:eastAsia="黑体"/>
          <w:b/>
          <w:bCs/>
          <w:sz w:val="36"/>
          <w:szCs w:val="36"/>
        </w:rPr>
      </w:pPr>
      <w:r>
        <w:rPr>
          <w:rFonts w:hint="eastAsia" w:ascii="黑体" w:eastAsia="黑体"/>
          <w:b/>
          <w:bCs/>
          <w:sz w:val="36"/>
          <w:szCs w:val="36"/>
        </w:rPr>
        <w:t>第一章  招标公告</w:t>
      </w:r>
    </w:p>
    <w:p>
      <w:pPr>
        <w:pStyle w:val="7"/>
        <w:spacing w:line="360" w:lineRule="auto"/>
        <w:rPr>
          <w:rFonts w:ascii="黑体" w:eastAsia="黑体"/>
          <w:b/>
          <w:bCs/>
          <w:sz w:val="28"/>
        </w:rPr>
      </w:pPr>
      <w:r>
        <w:rPr>
          <w:rFonts w:hint="eastAsia" w:ascii="黑体" w:eastAsia="黑体"/>
          <w:b/>
          <w:bCs/>
          <w:sz w:val="28"/>
        </w:rPr>
        <w:t>一、项目名称</w:t>
      </w:r>
    </w:p>
    <w:p>
      <w:pPr>
        <w:pStyle w:val="7"/>
        <w:spacing w:line="360" w:lineRule="auto"/>
        <w:ind w:left="420"/>
        <w:rPr>
          <w:color w:val="auto"/>
          <w:highlight w:val="none"/>
        </w:rPr>
      </w:pPr>
      <w:r>
        <w:rPr>
          <w:rFonts w:hint="eastAsia"/>
          <w:highlight w:val="none"/>
        </w:rPr>
        <w:t>项目名称：</w:t>
      </w:r>
      <w:bookmarkStart w:id="0" w:name="OLE_LINK1"/>
      <w:r>
        <w:rPr>
          <w:rFonts w:hint="eastAsia"/>
          <w:highlight w:val="none"/>
          <w:lang w:eastAsia="zh-CN"/>
        </w:rPr>
        <w:t>中国重汽集团VOC废气处理设备外委运维项目</w:t>
      </w:r>
      <w:r>
        <w:rPr>
          <w:rFonts w:hint="eastAsia"/>
          <w:color w:val="auto"/>
          <w:highlight w:val="none"/>
        </w:rPr>
        <w:t>。</w:t>
      </w:r>
    </w:p>
    <w:bookmarkEnd w:id="0"/>
    <w:p>
      <w:pPr>
        <w:pStyle w:val="7"/>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3"/>
        <w:tblpPr w:leftFromText="180" w:rightFromText="180" w:vertAnchor="text" w:horzAnchor="page" w:tblpXSpec="center" w:tblpY="123"/>
        <w:tblOverlap w:val="never"/>
        <w:tblW w:w="9813" w:type="dxa"/>
        <w:jc w:val="center"/>
        <w:tblLayout w:type="fixed"/>
        <w:tblCellMar>
          <w:top w:w="0" w:type="dxa"/>
          <w:left w:w="108" w:type="dxa"/>
          <w:bottom w:w="0" w:type="dxa"/>
          <w:right w:w="108" w:type="dxa"/>
        </w:tblCellMar>
      </w:tblPr>
      <w:tblGrid>
        <w:gridCol w:w="655"/>
        <w:gridCol w:w="1590"/>
        <w:gridCol w:w="1620"/>
        <w:gridCol w:w="2055"/>
        <w:gridCol w:w="885"/>
        <w:gridCol w:w="750"/>
        <w:gridCol w:w="2258"/>
      </w:tblGrid>
      <w:tr>
        <w:tblPrEx>
          <w:tblCellMar>
            <w:top w:w="0" w:type="dxa"/>
            <w:left w:w="108" w:type="dxa"/>
            <w:bottom w:w="0" w:type="dxa"/>
            <w:right w:w="108" w:type="dxa"/>
          </w:tblCellMar>
        </w:tblPrEx>
        <w:trPr>
          <w:trHeight w:val="542" w:hRule="atLeast"/>
          <w:jc w:val="center"/>
        </w:trPr>
        <w:tc>
          <w:tcPr>
            <w:tcW w:w="65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包次</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地点</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工艺方式</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单位</w:t>
            </w:r>
          </w:p>
        </w:tc>
        <w:tc>
          <w:tcPr>
            <w:tcW w:w="22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设备品牌</w:t>
            </w:r>
          </w:p>
        </w:tc>
      </w:tr>
      <w:tr>
        <w:tblPrEx>
          <w:tblCellMar>
            <w:top w:w="0" w:type="dxa"/>
            <w:left w:w="108" w:type="dxa"/>
            <w:bottom w:w="0" w:type="dxa"/>
            <w:right w:w="108" w:type="dxa"/>
          </w:tblCellMar>
        </w:tblPrEx>
        <w:trPr>
          <w:trHeight w:val="579" w:hRule="atLeast"/>
          <w:jc w:val="center"/>
        </w:trPr>
        <w:tc>
          <w:tcPr>
            <w:tcW w:w="655"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包1</w:t>
            </w:r>
          </w:p>
        </w:tc>
        <w:tc>
          <w:tcPr>
            <w:tcW w:w="1590" w:type="dxa"/>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default"/>
                <w:sz w:val="21"/>
                <w:szCs w:val="21"/>
                <w:lang w:val="en-US" w:eastAsia="zh-CN"/>
              </w:rPr>
            </w:pPr>
            <w:r>
              <w:rPr>
                <w:rFonts w:hint="eastAsia"/>
                <w:sz w:val="21"/>
                <w:szCs w:val="21"/>
                <w:lang w:val="en-US" w:eastAsia="zh-CN"/>
              </w:rPr>
              <w:t xml:space="preserve">  卡车公司（党家庄）</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车身部涂一</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lang w:eastAsia="zh-CN"/>
              </w:rPr>
              <w:t>预处理</w:t>
            </w:r>
            <w:r>
              <w:rPr>
                <w:rFonts w:hint="eastAsia"/>
              </w:rPr>
              <w:t>+沸石转轮+RTO</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中船重工</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sz w:val="21"/>
                <w:szCs w:val="21"/>
                <w:lang w:val="en-US"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车身部外饰件</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eastAsia="zh-CN"/>
              </w:rPr>
            </w:pPr>
            <w:r>
              <w:rPr>
                <w:rFonts w:hint="eastAsia" w:ascii="宋体" w:hAnsi="宋体" w:eastAsia="宋体" w:cs="宋体"/>
                <w:i w:val="0"/>
                <w:color w:val="000000"/>
                <w:kern w:val="0"/>
                <w:sz w:val="22"/>
                <w:szCs w:val="22"/>
                <w:u w:val="none"/>
                <w:lang w:val="en-US" w:eastAsia="zh-CN" w:bidi="ar"/>
              </w:rPr>
              <w:t>微泡+</w:t>
            </w:r>
            <w:r>
              <w:rPr>
                <w:rFonts w:hint="eastAsia"/>
                <w:lang w:eastAsia="zh-CN"/>
              </w:rPr>
              <w:t>预处理</w:t>
            </w:r>
            <w:r>
              <w:rPr>
                <w:rFonts w:hint="eastAsia"/>
              </w:rPr>
              <w:t>+沸石转轮+RTO</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宇星</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总装部合用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kern w:val="2"/>
                <w:sz w:val="21"/>
                <w:lang w:val="en-US" w:eastAsia="zh-CN" w:bidi="ar-SA"/>
              </w:rPr>
            </w:pPr>
            <w:r>
              <w:rPr>
                <w:rFonts w:hint="eastAsia" w:ascii="宋体" w:hAnsi="宋体"/>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１</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江苏森派</w:t>
            </w:r>
          </w:p>
        </w:tc>
      </w:tr>
      <w:tr>
        <w:tblPrEx>
          <w:tblCellMar>
            <w:top w:w="0" w:type="dxa"/>
            <w:left w:w="108" w:type="dxa"/>
            <w:bottom w:w="0" w:type="dxa"/>
            <w:right w:w="108" w:type="dxa"/>
          </w:tblCellMar>
        </w:tblPrEx>
        <w:trPr>
          <w:trHeight w:val="571"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rPr>
            </w:pPr>
            <w:r>
              <w:rPr>
                <w:rFonts w:hint="eastAsia"/>
                <w:sz w:val="21"/>
                <w:szCs w:val="21"/>
                <w:lang w:val="en-US" w:eastAsia="zh-CN"/>
              </w:rPr>
              <w:t xml:space="preserve">  卡车公司（莱芜）</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车身二部（杜尔）</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杜尔</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总装五部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活性炭吸附脱附+催化燃烧</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中冠</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车架二部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大连信威</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车架二部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RTO</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扬州琼花</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18"/>
                <w:szCs w:val="18"/>
                <w:u w:val="none"/>
                <w:lang w:val="en-US" w:eastAsia="zh-CN" w:bidi="ar"/>
              </w:rPr>
              <w:t>车身二部（外饰件）</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东风院</w:t>
            </w:r>
          </w:p>
        </w:tc>
      </w:tr>
      <w:tr>
        <w:tblPrEx>
          <w:tblCellMar>
            <w:top w:w="0" w:type="dxa"/>
            <w:left w:w="108" w:type="dxa"/>
            <w:bottom w:w="0" w:type="dxa"/>
            <w:right w:w="108" w:type="dxa"/>
          </w:tblCellMar>
        </w:tblPrEx>
        <w:trPr>
          <w:trHeight w:val="579" w:hRule="atLeast"/>
          <w:jc w:val="center"/>
        </w:trPr>
        <w:tc>
          <w:tcPr>
            <w:tcW w:w="655"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包2</w:t>
            </w:r>
          </w:p>
        </w:tc>
        <w:tc>
          <w:tcPr>
            <w:tcW w:w="159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车桥公司</w:t>
            </w:r>
          </w:p>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等线" w:hAnsi="等线" w:eastAsia="等线" w:cs="等线"/>
                <w:i w:val="0"/>
                <w:iCs w:val="0"/>
                <w:color w:val="000000"/>
                <w:kern w:val="0"/>
                <w:sz w:val="20"/>
                <w:szCs w:val="20"/>
                <w:u w:val="none"/>
                <w:lang w:val="en-US" w:eastAsia="zh-CN" w:bidi="ar"/>
              </w:rPr>
              <w:t>前桥加工部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预处理+活性炭吸附+催化燃烧</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江苏森派</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等线" w:hAnsi="等线" w:eastAsia="等线" w:cs="等线"/>
                <w:i w:val="0"/>
                <w:iCs w:val="0"/>
                <w:color w:val="000000"/>
                <w:kern w:val="0"/>
                <w:sz w:val="20"/>
                <w:szCs w:val="20"/>
                <w:u w:val="none"/>
                <w:lang w:val="en-US" w:eastAsia="zh-CN" w:bidi="ar"/>
              </w:rPr>
              <w:t>驱动桥部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预处理+活性炭吸附+催化燃烧</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江苏森派</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r>
              <w:rPr>
                <w:rFonts w:hint="eastAsia"/>
                <w:lang w:val="en-US" w:eastAsia="zh-CN"/>
              </w:rPr>
              <w:t>发动机</w:t>
            </w:r>
            <w:r>
              <w:rPr>
                <w:rFonts w:hint="eastAsia"/>
              </w:rPr>
              <w:t>厂</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宋体" w:hAnsi="宋体" w:cs="宋体"/>
                <w:i w:val="0"/>
                <w:iCs w:val="0"/>
                <w:color w:val="000000"/>
                <w:sz w:val="21"/>
                <w:szCs w:val="21"/>
                <w:u w:val="none"/>
                <w:lang w:val="en-US" w:eastAsia="zh-CN"/>
              </w:rPr>
              <w:t>装配</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预处理+活性炭吸附+催化燃烧</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扬州琼花</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kern w:val="2"/>
                <w:sz w:val="21"/>
                <w:lang w:val="en-US" w:eastAsia="zh-CN" w:bidi="ar-SA"/>
              </w:rPr>
            </w:pPr>
            <w:r>
              <w:rPr>
                <w:rFonts w:hint="eastAsia"/>
              </w:rPr>
              <w:t>变速箱厂</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宋体" w:hAnsi="宋体" w:cs="宋体"/>
                <w:i w:val="0"/>
                <w:iCs w:val="0"/>
                <w:color w:val="000000"/>
                <w:sz w:val="21"/>
                <w:szCs w:val="21"/>
                <w:u w:val="none"/>
                <w:lang w:val="en-US" w:eastAsia="zh-CN"/>
              </w:rPr>
              <w:t>装配</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kern w:val="2"/>
                <w:sz w:val="21"/>
                <w:lang w:val="en-US" w:eastAsia="zh-CN" w:bidi="ar-SA"/>
              </w:rPr>
            </w:pPr>
            <w:r>
              <w:rPr>
                <w:rFonts w:hint="eastAsia" w:ascii="宋体" w:hAnsi="宋体"/>
              </w:rPr>
              <w:t>预处理+活性炭吸附+催化燃烧</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扬州琼花</w:t>
            </w:r>
          </w:p>
        </w:tc>
      </w:tr>
      <w:tr>
        <w:tblPrEx>
          <w:tblCellMar>
            <w:top w:w="0" w:type="dxa"/>
            <w:left w:w="108" w:type="dxa"/>
            <w:bottom w:w="0" w:type="dxa"/>
            <w:right w:w="108" w:type="dxa"/>
          </w:tblCellMar>
        </w:tblPrEx>
        <w:trPr>
          <w:trHeight w:val="579" w:hRule="atLeast"/>
          <w:jc w:val="center"/>
        </w:trPr>
        <w:tc>
          <w:tcPr>
            <w:tcW w:w="655"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包3</w:t>
            </w:r>
          </w:p>
        </w:tc>
        <w:tc>
          <w:tcPr>
            <w:tcW w:w="15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r>
              <w:rPr>
                <w:rFonts w:hint="eastAsia"/>
              </w:rPr>
              <w:t>轻卡</w:t>
            </w:r>
            <w:r>
              <w:rPr>
                <w:rFonts w:hint="eastAsia"/>
                <w:lang w:val="en-US" w:eastAsia="zh-CN"/>
              </w:rPr>
              <w:t>公司</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车身部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大连兆和</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传动轴</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部件线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eastAsia="宋体" w:cs="宋体"/>
                <w:i w:val="0"/>
                <w:iCs w:val="0"/>
                <w:color w:val="000000"/>
                <w:kern w:val="0"/>
                <w:sz w:val="20"/>
                <w:szCs w:val="20"/>
                <w:u w:val="none"/>
                <w:lang w:val="en-US" w:eastAsia="zh-CN" w:bidi="ar"/>
              </w:rPr>
              <w:t>预处理+活性炭吸附+RCO系统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江苏森派</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部件线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eastAsia="宋体" w:cs="宋体"/>
                <w:i w:val="0"/>
                <w:iCs w:val="0"/>
                <w:color w:val="000000"/>
                <w:kern w:val="0"/>
                <w:sz w:val="20"/>
                <w:szCs w:val="20"/>
                <w:u w:val="none"/>
                <w:lang w:val="en-US" w:eastAsia="zh-CN" w:bidi="ar"/>
              </w:rPr>
              <w:t>预处理+活性炭吸附+RCO系统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济南中天</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等线" w:hAnsi="等线" w:eastAsia="等线" w:cs="等线"/>
                <w:i w:val="0"/>
                <w:iCs w:val="0"/>
                <w:color w:val="000000"/>
                <w:kern w:val="0"/>
                <w:sz w:val="20"/>
                <w:szCs w:val="20"/>
                <w:u w:val="none"/>
                <w:lang w:val="en-US" w:eastAsia="zh-CN" w:bidi="ar"/>
              </w:rPr>
              <w:t>底盘零件线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eastAsia="宋体" w:cs="宋体"/>
                <w:i w:val="0"/>
                <w:iCs w:val="0"/>
                <w:color w:val="000000"/>
                <w:kern w:val="0"/>
                <w:sz w:val="20"/>
                <w:szCs w:val="20"/>
                <w:u w:val="none"/>
                <w:lang w:val="en-US" w:eastAsia="zh-CN" w:bidi="ar"/>
              </w:rPr>
              <w:t>预处理+活性炭吸附+RCO系统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江苏森派</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传动轴线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rPr>
            </w:pPr>
            <w:r>
              <w:rPr>
                <w:rFonts w:hint="eastAsia" w:ascii="宋体" w:hAnsi="宋体" w:eastAsia="宋体" w:cs="宋体"/>
                <w:i w:val="0"/>
                <w:iCs w:val="0"/>
                <w:color w:val="000000"/>
                <w:kern w:val="0"/>
                <w:sz w:val="20"/>
                <w:szCs w:val="20"/>
                <w:u w:val="none"/>
                <w:lang w:val="en-US" w:eastAsia="zh-CN" w:bidi="ar"/>
              </w:rPr>
              <w:t>预处理+沸石转轮+RCO系统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江西茂盛</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车轮线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预处理+活性炭吸附+CO系统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江苏森派</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restart"/>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济南商用车</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涂装一分线</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大连兆和</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涂装二分线（客车）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扬州琼花</w:t>
            </w:r>
          </w:p>
        </w:tc>
      </w:tr>
      <w:tr>
        <w:tblPrEx>
          <w:tblCellMar>
            <w:top w:w="0" w:type="dxa"/>
            <w:left w:w="108" w:type="dxa"/>
            <w:bottom w:w="0" w:type="dxa"/>
            <w:right w:w="108" w:type="dxa"/>
          </w:tblCellMar>
        </w:tblPrEx>
        <w:trPr>
          <w:trHeight w:val="579" w:hRule="atLeast"/>
          <w:jc w:val="center"/>
        </w:trPr>
        <w:tc>
          <w:tcPr>
            <w:tcW w:w="655"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1590"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聚脲喷漆车间（客车）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预处理+沸石转轮+RTO系统</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恒隆机电</w:t>
            </w:r>
          </w:p>
        </w:tc>
      </w:tr>
    </w:tbl>
    <w:p>
      <w:pPr>
        <w:pStyle w:val="7"/>
        <w:spacing w:line="360" w:lineRule="auto"/>
        <w:rPr>
          <w:rFonts w:ascii="黑体" w:eastAsia="黑体"/>
          <w:b/>
          <w:bCs/>
          <w:sz w:val="28"/>
          <w:highlight w:val="none"/>
        </w:rPr>
      </w:pPr>
      <w:r>
        <w:rPr>
          <w:rFonts w:hint="eastAsia" w:ascii="黑体" w:eastAsia="黑体"/>
          <w:b/>
          <w:bCs/>
          <w:sz w:val="28"/>
          <w:highlight w:val="none"/>
        </w:rPr>
        <w:t>三、招标形式</w:t>
      </w:r>
    </w:p>
    <w:p>
      <w:pPr>
        <w:pStyle w:val="7"/>
        <w:spacing w:line="360" w:lineRule="auto"/>
        <w:ind w:firstLine="420" w:firstLineChars="200"/>
        <w:rPr>
          <w:highlight w:val="none"/>
        </w:rPr>
      </w:pPr>
      <w:r>
        <w:rPr>
          <w:rFonts w:hint="eastAsia"/>
          <w:highlight w:val="none"/>
        </w:rPr>
        <w:t>招标形式：公开招标。</w:t>
      </w:r>
    </w:p>
    <w:p>
      <w:pPr>
        <w:pStyle w:val="7"/>
        <w:spacing w:line="360" w:lineRule="auto"/>
        <w:rPr>
          <w:rFonts w:ascii="黑体" w:eastAsia="黑体"/>
          <w:b/>
          <w:bCs/>
          <w:color w:val="000000" w:themeColor="text1"/>
          <w:sz w:val="28"/>
          <w:highlight w:val="none"/>
          <w14:textFill>
            <w14:solidFill>
              <w14:schemeClr w14:val="tx1"/>
            </w14:solidFill>
          </w14:textFill>
        </w:rPr>
      </w:pPr>
      <w:r>
        <w:rPr>
          <w:rFonts w:hint="eastAsia" w:ascii="黑体" w:eastAsia="黑体"/>
          <w:b/>
          <w:bCs/>
          <w:color w:val="000000" w:themeColor="text1"/>
          <w:sz w:val="28"/>
          <w:highlight w:val="none"/>
          <w14:textFill>
            <w14:solidFill>
              <w14:schemeClr w14:val="tx1"/>
            </w14:solidFill>
          </w14:textFill>
        </w:rPr>
        <w:t>四、议程安排</w:t>
      </w:r>
    </w:p>
    <w:p>
      <w:pPr>
        <w:pStyle w:val="7"/>
        <w:spacing w:line="360" w:lineRule="auto"/>
        <w:ind w:left="840" w:leftChars="200" w:hanging="420" w:hangingChars="200"/>
      </w:pPr>
      <w:r>
        <w:rPr>
          <w:rFonts w:hint="eastAsia"/>
        </w:rPr>
        <w:t>1.公告时间：</w:t>
      </w:r>
      <w:r>
        <w:rPr>
          <w:rFonts w:hint="eastAsia"/>
          <w:highlight w:val="yellow"/>
        </w:rPr>
        <w:t>2023年</w:t>
      </w:r>
      <w:r>
        <w:rPr>
          <w:rFonts w:hint="eastAsia"/>
          <w:highlight w:val="yellow"/>
          <w:lang w:val="en-US" w:eastAsia="zh-CN"/>
        </w:rPr>
        <w:t>12</w:t>
      </w:r>
      <w:r>
        <w:rPr>
          <w:rFonts w:hint="eastAsia"/>
          <w:highlight w:val="yellow"/>
        </w:rPr>
        <w:t>月</w:t>
      </w:r>
      <w:r>
        <w:rPr>
          <w:rFonts w:hint="eastAsia"/>
          <w:highlight w:val="yellow"/>
          <w:lang w:val="en-US" w:eastAsia="zh-CN"/>
        </w:rPr>
        <w:t>4</w:t>
      </w:r>
      <w:r>
        <w:rPr>
          <w:rFonts w:hint="eastAsia"/>
          <w:highlight w:val="yellow"/>
        </w:rPr>
        <w:t>日</w:t>
      </w:r>
      <w:r>
        <w:rPr>
          <w:rFonts w:hint="eastAsia"/>
        </w:rPr>
        <w:t>。</w:t>
      </w:r>
    </w:p>
    <w:p>
      <w:pPr>
        <w:pStyle w:val="7"/>
        <w:spacing w:line="360" w:lineRule="auto"/>
        <w:ind w:left="840" w:leftChars="200" w:hanging="420" w:hangingChars="200"/>
      </w:pPr>
      <w:r>
        <w:rPr>
          <w:rFonts w:hint="eastAsia"/>
        </w:rPr>
        <w:t>2.</w:t>
      </w:r>
      <w:r>
        <w:rPr>
          <w:rFonts w:hint="eastAsia"/>
          <w:lang w:val="en-US" w:eastAsia="zh-CN"/>
        </w:rPr>
        <w:t>商务</w:t>
      </w:r>
      <w:r>
        <w:rPr>
          <w:rFonts w:hint="eastAsia"/>
        </w:rPr>
        <w:t>答疑联系人：</w:t>
      </w:r>
      <w:r>
        <w:rPr>
          <w:rFonts w:hint="eastAsia"/>
          <w:lang w:eastAsia="zh-CN"/>
        </w:rPr>
        <w:t>张顺利</w:t>
      </w:r>
      <w:r>
        <w:rPr>
          <w:rFonts w:hint="eastAsia"/>
        </w:rPr>
        <w:t>；答疑方式：书面（或电话）答疑；联系电话：</w:t>
      </w:r>
      <w:r>
        <w:rPr>
          <w:rFonts w:hint="eastAsia"/>
          <w:lang w:val="en-US" w:eastAsia="zh-CN"/>
        </w:rPr>
        <w:t>18053196114</w:t>
      </w:r>
      <w:r>
        <w:rPr>
          <w:rFonts w:hint="eastAsia"/>
        </w:rPr>
        <w:t>。</w:t>
      </w:r>
    </w:p>
    <w:p>
      <w:pPr>
        <w:pStyle w:val="7"/>
        <w:spacing w:line="360" w:lineRule="auto"/>
        <w:ind w:left="840" w:leftChars="200" w:hanging="420" w:hangingChars="200"/>
      </w:pPr>
      <w:r>
        <w:rPr>
          <w:rFonts w:hint="eastAsia"/>
        </w:rPr>
        <w:t>3.开标时间：</w:t>
      </w:r>
      <w:r>
        <w:rPr>
          <w:rFonts w:hint="eastAsia"/>
          <w:highlight w:val="yellow"/>
        </w:rPr>
        <w:t>2023年</w:t>
      </w:r>
      <w:r>
        <w:rPr>
          <w:rFonts w:hint="eastAsia"/>
          <w:highlight w:val="yellow"/>
          <w:lang w:val="en-US" w:eastAsia="zh-CN"/>
        </w:rPr>
        <w:t>12</w:t>
      </w:r>
      <w:r>
        <w:rPr>
          <w:rFonts w:hint="eastAsia"/>
          <w:highlight w:val="yellow"/>
        </w:rPr>
        <w:t>月</w:t>
      </w:r>
      <w:r>
        <w:rPr>
          <w:rFonts w:hint="eastAsia"/>
          <w:highlight w:val="yellow"/>
          <w:lang w:val="en-US" w:eastAsia="zh-CN"/>
        </w:rPr>
        <w:t>14</w:t>
      </w:r>
      <w:r>
        <w:rPr>
          <w:rFonts w:hint="eastAsia"/>
          <w:highlight w:val="yellow"/>
        </w:rPr>
        <w:t>日上午9:</w:t>
      </w:r>
      <w:r>
        <w:rPr>
          <w:highlight w:val="yellow"/>
        </w:rPr>
        <w:t>0</w:t>
      </w:r>
      <w:r>
        <w:rPr>
          <w:rFonts w:hint="eastAsia"/>
          <w:highlight w:val="yellow"/>
        </w:rPr>
        <w:t>0 时</w:t>
      </w:r>
      <w:r>
        <w:rPr>
          <w:rFonts w:hint="eastAsia"/>
        </w:rPr>
        <w:t>（若有变动另行通知）。</w:t>
      </w:r>
    </w:p>
    <w:p>
      <w:pPr>
        <w:pStyle w:val="7"/>
        <w:spacing w:line="360" w:lineRule="auto"/>
        <w:ind w:left="840" w:leftChars="200" w:hanging="420" w:hangingChars="200"/>
      </w:pPr>
      <w:r>
        <w:rPr>
          <w:rFonts w:hint="eastAsia"/>
        </w:rPr>
        <w:t>4.开标地点：</w:t>
      </w:r>
      <w:r>
        <w:rPr>
          <w:rFonts w:hint="eastAsia"/>
          <w:highlight w:val="yellow"/>
        </w:rPr>
        <w:t>济南变速箱厂</w:t>
      </w:r>
      <w:r>
        <w:rPr>
          <w:rFonts w:hint="eastAsia"/>
        </w:rPr>
        <w:t>2</w:t>
      </w:r>
      <w:r>
        <w:t>31</w:t>
      </w:r>
      <w:r>
        <w:rPr>
          <w:rFonts w:hint="eastAsia"/>
        </w:rPr>
        <w:t>室（暂定）。</w:t>
      </w:r>
    </w:p>
    <w:p>
      <w:pPr>
        <w:pStyle w:val="7"/>
        <w:spacing w:line="360" w:lineRule="auto"/>
        <w:ind w:left="840" w:leftChars="200" w:hanging="420" w:hangingChars="200"/>
        <w:rPr>
          <w:rFonts w:hint="eastAsia"/>
          <w:lang w:val="en-US" w:eastAsia="zh-CN"/>
        </w:rPr>
      </w:pPr>
      <w:r>
        <w:rPr>
          <w:rFonts w:hint="eastAsia"/>
        </w:rPr>
        <w:t>5.</w:t>
      </w:r>
      <w:r>
        <w:rPr>
          <w:rFonts w:hint="eastAsia"/>
          <w:lang w:val="en-US" w:eastAsia="zh-CN"/>
        </w:rPr>
        <w:t>技术联系人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616"/>
        <w:gridCol w:w="2268"/>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pStyle w:val="7"/>
              <w:spacing w:line="360" w:lineRule="auto"/>
              <w:jc w:val="center"/>
              <w:rPr>
                <w:rFonts w:hint="eastAsia" w:hAnsi="宋体"/>
                <w:szCs w:val="21"/>
              </w:rPr>
            </w:pPr>
            <w:r>
              <w:rPr>
                <w:rFonts w:hint="eastAsia" w:hAnsi="宋体"/>
                <w:szCs w:val="21"/>
              </w:rPr>
              <w:t>单位</w:t>
            </w:r>
          </w:p>
        </w:tc>
        <w:tc>
          <w:tcPr>
            <w:tcW w:w="1160" w:type="dxa"/>
            <w:noWrap w:val="0"/>
            <w:vAlign w:val="top"/>
          </w:tcPr>
          <w:p>
            <w:pPr>
              <w:pStyle w:val="7"/>
              <w:spacing w:line="360" w:lineRule="auto"/>
              <w:jc w:val="center"/>
              <w:rPr>
                <w:rFonts w:hint="eastAsia" w:hAnsi="宋体"/>
                <w:szCs w:val="21"/>
              </w:rPr>
            </w:pPr>
            <w:r>
              <w:rPr>
                <w:rFonts w:hint="eastAsia" w:hAnsi="宋体"/>
                <w:szCs w:val="21"/>
              </w:rPr>
              <w:t>姓名</w:t>
            </w:r>
          </w:p>
        </w:tc>
        <w:tc>
          <w:tcPr>
            <w:tcW w:w="1616" w:type="dxa"/>
            <w:noWrap w:val="0"/>
            <w:vAlign w:val="top"/>
          </w:tcPr>
          <w:p>
            <w:pPr>
              <w:pStyle w:val="7"/>
              <w:spacing w:line="360" w:lineRule="auto"/>
              <w:jc w:val="center"/>
              <w:rPr>
                <w:rFonts w:hint="eastAsia" w:hAnsi="宋体"/>
                <w:szCs w:val="21"/>
              </w:rPr>
            </w:pPr>
            <w:r>
              <w:rPr>
                <w:rFonts w:hint="eastAsia" w:hAnsi="宋体"/>
                <w:szCs w:val="21"/>
              </w:rPr>
              <w:t>电话</w:t>
            </w:r>
          </w:p>
        </w:tc>
        <w:tc>
          <w:tcPr>
            <w:tcW w:w="2268" w:type="dxa"/>
            <w:noWrap w:val="0"/>
            <w:vAlign w:val="top"/>
          </w:tcPr>
          <w:p>
            <w:pPr>
              <w:pStyle w:val="7"/>
              <w:spacing w:line="360" w:lineRule="auto"/>
              <w:jc w:val="center"/>
              <w:rPr>
                <w:rFonts w:hint="eastAsia" w:hAnsi="宋体"/>
                <w:szCs w:val="21"/>
              </w:rPr>
            </w:pPr>
            <w:r>
              <w:rPr>
                <w:rFonts w:hint="eastAsia" w:hAnsi="宋体"/>
                <w:szCs w:val="21"/>
              </w:rPr>
              <w:t>单位</w:t>
            </w:r>
          </w:p>
        </w:tc>
        <w:tc>
          <w:tcPr>
            <w:tcW w:w="1134" w:type="dxa"/>
            <w:noWrap w:val="0"/>
            <w:vAlign w:val="top"/>
          </w:tcPr>
          <w:p>
            <w:pPr>
              <w:pStyle w:val="7"/>
              <w:spacing w:line="360" w:lineRule="auto"/>
              <w:jc w:val="center"/>
              <w:rPr>
                <w:rFonts w:hint="eastAsia" w:hAnsi="宋体"/>
                <w:szCs w:val="21"/>
              </w:rPr>
            </w:pPr>
            <w:r>
              <w:rPr>
                <w:rFonts w:hint="eastAsia" w:hAnsi="宋体"/>
                <w:szCs w:val="21"/>
              </w:rPr>
              <w:t>姓名</w:t>
            </w:r>
          </w:p>
        </w:tc>
        <w:tc>
          <w:tcPr>
            <w:tcW w:w="1842" w:type="dxa"/>
            <w:noWrap w:val="0"/>
            <w:vAlign w:val="top"/>
          </w:tcPr>
          <w:p>
            <w:pPr>
              <w:pStyle w:val="7"/>
              <w:spacing w:line="360" w:lineRule="auto"/>
              <w:jc w:val="center"/>
              <w:rPr>
                <w:rFonts w:hint="eastAsia" w:hAnsi="宋体"/>
                <w:szCs w:val="21"/>
              </w:rPr>
            </w:pPr>
            <w:r>
              <w:rPr>
                <w:rFonts w:hint="eastAsia"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pStyle w:val="7"/>
              <w:spacing w:line="360" w:lineRule="auto"/>
              <w:jc w:val="center"/>
              <w:rPr>
                <w:rFonts w:hint="eastAsia" w:hAnsi="宋体"/>
                <w:szCs w:val="21"/>
              </w:rPr>
            </w:pPr>
            <w:r>
              <w:rPr>
                <w:rFonts w:hint="eastAsia" w:hAnsi="宋体"/>
                <w:szCs w:val="21"/>
              </w:rPr>
              <w:t>卡车公司</w:t>
            </w:r>
          </w:p>
        </w:tc>
        <w:tc>
          <w:tcPr>
            <w:tcW w:w="1160"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朱兆祥</w:t>
            </w:r>
          </w:p>
        </w:tc>
        <w:tc>
          <w:tcPr>
            <w:tcW w:w="1616"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13808932207</w:t>
            </w:r>
          </w:p>
        </w:tc>
        <w:tc>
          <w:tcPr>
            <w:tcW w:w="2268" w:type="dxa"/>
            <w:noWrap w:val="0"/>
            <w:vAlign w:val="top"/>
          </w:tcPr>
          <w:p>
            <w:pPr>
              <w:pStyle w:val="7"/>
              <w:spacing w:line="360" w:lineRule="auto"/>
              <w:jc w:val="center"/>
              <w:rPr>
                <w:rFonts w:hint="default" w:hAnsi="宋体" w:eastAsia="宋体"/>
                <w:szCs w:val="21"/>
                <w:lang w:val="en-US" w:eastAsia="zh-CN"/>
              </w:rPr>
            </w:pPr>
            <w:r>
              <w:rPr>
                <w:rFonts w:hint="eastAsia" w:hAnsi="宋体"/>
                <w:szCs w:val="21"/>
                <w:lang w:val="en-US" w:eastAsia="zh-CN"/>
              </w:rPr>
              <w:t>卡车公司</w:t>
            </w:r>
          </w:p>
        </w:tc>
        <w:tc>
          <w:tcPr>
            <w:tcW w:w="1134" w:type="dxa"/>
            <w:noWrap w:val="0"/>
            <w:vAlign w:val="top"/>
          </w:tcPr>
          <w:p>
            <w:pPr>
              <w:pStyle w:val="7"/>
              <w:spacing w:line="360" w:lineRule="auto"/>
              <w:jc w:val="center"/>
              <w:rPr>
                <w:rFonts w:hint="default" w:hAnsi="宋体" w:eastAsia="宋体"/>
                <w:szCs w:val="21"/>
                <w:lang w:val="en-US" w:eastAsia="zh-CN"/>
              </w:rPr>
            </w:pPr>
            <w:r>
              <w:rPr>
                <w:rFonts w:hint="eastAsia" w:hAnsi="宋体"/>
                <w:szCs w:val="21"/>
                <w:lang w:val="en-US" w:eastAsia="zh-CN"/>
              </w:rPr>
              <w:t>徐启铭</w:t>
            </w:r>
          </w:p>
        </w:tc>
        <w:tc>
          <w:tcPr>
            <w:tcW w:w="1842"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13884988457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pStyle w:val="7"/>
              <w:spacing w:line="360" w:lineRule="auto"/>
              <w:jc w:val="center"/>
              <w:rPr>
                <w:rFonts w:hint="eastAsia" w:hAnsi="宋体" w:eastAsia="宋体"/>
                <w:szCs w:val="21"/>
                <w:lang w:eastAsia="zh-CN"/>
              </w:rPr>
            </w:pPr>
            <w:r>
              <w:rPr>
                <w:rFonts w:hint="eastAsia" w:hAnsi="宋体"/>
                <w:szCs w:val="21"/>
                <w:lang w:val="en-US" w:eastAsia="zh-CN"/>
              </w:rPr>
              <w:t>车桥</w:t>
            </w:r>
          </w:p>
        </w:tc>
        <w:tc>
          <w:tcPr>
            <w:tcW w:w="1160" w:type="dxa"/>
            <w:noWrap w:val="0"/>
            <w:vAlign w:val="top"/>
          </w:tcPr>
          <w:p>
            <w:pPr>
              <w:pStyle w:val="7"/>
              <w:spacing w:line="360" w:lineRule="auto"/>
              <w:jc w:val="center"/>
              <w:rPr>
                <w:rFonts w:hint="default" w:hAnsi="宋体" w:eastAsia="宋体"/>
                <w:szCs w:val="21"/>
                <w:lang w:val="en-US" w:eastAsia="zh-CN"/>
              </w:rPr>
            </w:pPr>
            <w:r>
              <w:rPr>
                <w:rFonts w:hint="eastAsia" w:hAnsi="宋体" w:eastAsia="宋体"/>
                <w:szCs w:val="21"/>
                <w:lang w:val="en-US" w:eastAsia="zh-CN"/>
              </w:rPr>
              <w:t>王正涛</w:t>
            </w:r>
          </w:p>
        </w:tc>
        <w:tc>
          <w:tcPr>
            <w:tcW w:w="1616"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18754162795</w:t>
            </w:r>
          </w:p>
        </w:tc>
        <w:tc>
          <w:tcPr>
            <w:tcW w:w="2268" w:type="dxa"/>
            <w:noWrap w:val="0"/>
            <w:vAlign w:val="top"/>
          </w:tcPr>
          <w:p>
            <w:pPr>
              <w:pStyle w:val="7"/>
              <w:spacing w:line="360" w:lineRule="auto"/>
              <w:jc w:val="center"/>
              <w:rPr>
                <w:rFonts w:hint="default" w:hAnsi="宋体" w:eastAsia="宋体"/>
                <w:szCs w:val="21"/>
                <w:lang w:val="en-US" w:eastAsia="zh-CN"/>
              </w:rPr>
            </w:pPr>
            <w:r>
              <w:rPr>
                <w:rFonts w:hint="eastAsia" w:hAnsi="宋体"/>
                <w:szCs w:val="21"/>
                <w:lang w:val="en-US" w:eastAsia="zh-CN"/>
              </w:rPr>
              <w:t>济南商用车</w:t>
            </w:r>
          </w:p>
        </w:tc>
        <w:tc>
          <w:tcPr>
            <w:tcW w:w="1134" w:type="dxa"/>
            <w:noWrap w:val="0"/>
            <w:vAlign w:val="top"/>
          </w:tcPr>
          <w:p>
            <w:pPr>
              <w:pStyle w:val="7"/>
              <w:spacing w:line="360" w:lineRule="auto"/>
              <w:jc w:val="center"/>
              <w:rPr>
                <w:rFonts w:hint="eastAsia" w:hAnsi="宋体" w:eastAsia="宋体"/>
                <w:szCs w:val="21"/>
                <w:lang w:val="en-US" w:eastAsia="zh-CN"/>
              </w:rPr>
            </w:pPr>
            <w:r>
              <w:rPr>
                <w:rFonts w:hint="eastAsia" w:hAnsi="宋体"/>
                <w:szCs w:val="21"/>
                <w:lang w:val="en-US" w:eastAsia="zh-CN"/>
              </w:rPr>
              <w:t>张飞</w:t>
            </w:r>
          </w:p>
        </w:tc>
        <w:tc>
          <w:tcPr>
            <w:tcW w:w="1842" w:type="dxa"/>
            <w:noWrap w:val="0"/>
            <w:vAlign w:val="top"/>
          </w:tcPr>
          <w:p>
            <w:pPr>
              <w:pStyle w:val="7"/>
              <w:spacing w:line="360" w:lineRule="auto"/>
              <w:jc w:val="center"/>
              <w:rPr>
                <w:rFonts w:hint="default" w:hAnsi="宋体" w:eastAsia="宋体"/>
                <w:szCs w:val="21"/>
                <w:lang w:val="en-US" w:eastAsia="zh-CN"/>
              </w:rPr>
            </w:pPr>
            <w:r>
              <w:rPr>
                <w:rFonts w:hint="eastAsia" w:hAnsi="宋体"/>
                <w:szCs w:val="21"/>
                <w:lang w:val="en-US" w:eastAsia="zh-CN"/>
              </w:rPr>
              <w:t>18253193730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轻卡公司</w:t>
            </w:r>
          </w:p>
        </w:tc>
        <w:tc>
          <w:tcPr>
            <w:tcW w:w="1160" w:type="dxa"/>
            <w:noWrap w:val="0"/>
            <w:vAlign w:val="top"/>
          </w:tcPr>
          <w:p>
            <w:pPr>
              <w:pStyle w:val="7"/>
              <w:spacing w:line="360" w:lineRule="auto"/>
              <w:jc w:val="center"/>
              <w:rPr>
                <w:rFonts w:hint="default" w:hAnsi="宋体" w:eastAsia="宋体"/>
                <w:szCs w:val="21"/>
                <w:lang w:val="en-US" w:eastAsia="zh-CN"/>
              </w:rPr>
            </w:pPr>
            <w:r>
              <w:rPr>
                <w:rFonts w:hint="eastAsia" w:hAnsi="宋体"/>
                <w:szCs w:val="21"/>
                <w:lang w:val="en-US" w:eastAsia="zh-CN"/>
              </w:rPr>
              <w:t>贺西忠</w:t>
            </w:r>
          </w:p>
        </w:tc>
        <w:tc>
          <w:tcPr>
            <w:tcW w:w="1616" w:type="dxa"/>
            <w:noWrap w:val="0"/>
            <w:vAlign w:val="top"/>
          </w:tcPr>
          <w:p>
            <w:pPr>
              <w:pStyle w:val="7"/>
              <w:spacing w:line="360" w:lineRule="auto"/>
              <w:jc w:val="center"/>
              <w:rPr>
                <w:rFonts w:hint="default" w:hAnsi="宋体" w:eastAsia="宋体"/>
                <w:szCs w:val="21"/>
                <w:lang w:val="en-US" w:eastAsia="zh-CN"/>
              </w:rPr>
            </w:pPr>
            <w:r>
              <w:rPr>
                <w:rFonts w:hint="eastAsia" w:ascii="Arial" w:hAnsi="Arial" w:eastAsia="宋体" w:cs="Arial"/>
                <w:color w:val="333333"/>
                <w:szCs w:val="21"/>
                <w:shd w:val="clear" w:color="auto" w:fill="FFFFFF"/>
                <w:lang w:val="en-US" w:eastAsia="zh-CN"/>
              </w:rPr>
              <w:t>15153153519</w:t>
            </w:r>
          </w:p>
        </w:tc>
        <w:tc>
          <w:tcPr>
            <w:tcW w:w="2268"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轻卡公司</w:t>
            </w:r>
          </w:p>
        </w:tc>
        <w:tc>
          <w:tcPr>
            <w:tcW w:w="1134"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汪明月</w:t>
            </w:r>
          </w:p>
        </w:tc>
        <w:tc>
          <w:tcPr>
            <w:tcW w:w="1842" w:type="dxa"/>
            <w:noWrap w:val="0"/>
            <w:vAlign w:val="top"/>
          </w:tcPr>
          <w:p>
            <w:pPr>
              <w:pStyle w:val="7"/>
              <w:spacing w:line="360" w:lineRule="auto"/>
              <w:jc w:val="center"/>
              <w:rPr>
                <w:rFonts w:hint="eastAsia" w:hAnsi="宋体"/>
                <w:szCs w:val="21"/>
              </w:rPr>
            </w:pPr>
            <w:r>
              <w:rPr>
                <w:rFonts w:ascii="Arial" w:hAnsi="Arial" w:cs="Arial"/>
                <w:color w:val="333333"/>
                <w:szCs w:val="21"/>
                <w:shd w:val="clear" w:color="auto" w:fill="FFFFFF"/>
              </w:rPr>
              <w:t>15098745851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传动轴</w:t>
            </w:r>
          </w:p>
        </w:tc>
        <w:tc>
          <w:tcPr>
            <w:tcW w:w="1160"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蒲春明</w:t>
            </w:r>
          </w:p>
        </w:tc>
        <w:tc>
          <w:tcPr>
            <w:tcW w:w="1616"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13583127583</w:t>
            </w:r>
          </w:p>
        </w:tc>
        <w:tc>
          <w:tcPr>
            <w:tcW w:w="2268"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传动轴公司</w:t>
            </w:r>
          </w:p>
        </w:tc>
        <w:tc>
          <w:tcPr>
            <w:tcW w:w="1134"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朱春晓</w:t>
            </w:r>
          </w:p>
        </w:tc>
        <w:tc>
          <w:tcPr>
            <w:tcW w:w="1842" w:type="dxa"/>
            <w:noWrap w:val="0"/>
            <w:vAlign w:val="top"/>
          </w:tcPr>
          <w:p>
            <w:pPr>
              <w:pStyle w:val="7"/>
              <w:spacing w:line="360" w:lineRule="auto"/>
              <w:jc w:val="center"/>
              <w:rPr>
                <w:rFonts w:hint="eastAsia" w:hAnsi="宋体"/>
                <w:szCs w:val="21"/>
              </w:rPr>
            </w:pPr>
            <w:r>
              <w:rPr>
                <w:rFonts w:ascii="Arial" w:hAnsi="Arial" w:cs="Arial"/>
                <w:color w:val="333333"/>
                <w:szCs w:val="21"/>
                <w:shd w:val="clear" w:color="auto" w:fill="FFFFFF"/>
              </w:rPr>
              <w:t>15666323792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变速箱</w:t>
            </w:r>
          </w:p>
        </w:tc>
        <w:tc>
          <w:tcPr>
            <w:tcW w:w="1160"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吴善磊</w:t>
            </w:r>
          </w:p>
        </w:tc>
        <w:tc>
          <w:tcPr>
            <w:tcW w:w="1616" w:type="dxa"/>
            <w:noWrap w:val="0"/>
            <w:vAlign w:val="top"/>
          </w:tcPr>
          <w:p>
            <w:pPr>
              <w:pStyle w:val="7"/>
              <w:spacing w:line="360" w:lineRule="auto"/>
              <w:jc w:val="center"/>
              <w:rPr>
                <w:rFonts w:hint="default" w:hAnsi="宋体" w:eastAsia="宋体"/>
                <w:szCs w:val="21"/>
                <w:lang w:val="en-US" w:eastAsia="zh-CN"/>
              </w:rPr>
            </w:pPr>
            <w:r>
              <w:rPr>
                <w:rFonts w:hint="eastAsia" w:ascii="Arial" w:hAnsi="Arial" w:cs="Arial"/>
                <w:color w:val="333333"/>
                <w:szCs w:val="21"/>
                <w:shd w:val="clear" w:color="auto" w:fill="FFFFFF"/>
                <w:lang w:val="en-US" w:eastAsia="zh-CN"/>
              </w:rPr>
              <w:t>15069103451</w:t>
            </w:r>
          </w:p>
        </w:tc>
        <w:tc>
          <w:tcPr>
            <w:tcW w:w="2268" w:type="dxa"/>
            <w:noWrap w:val="0"/>
            <w:vAlign w:val="top"/>
          </w:tcPr>
          <w:p>
            <w:pPr>
              <w:pStyle w:val="7"/>
              <w:spacing w:line="360" w:lineRule="auto"/>
              <w:jc w:val="center"/>
              <w:rPr>
                <w:rFonts w:hint="eastAsia" w:hAnsi="宋体" w:eastAsia="宋体"/>
                <w:szCs w:val="21"/>
                <w:lang w:eastAsia="zh-CN"/>
              </w:rPr>
            </w:pPr>
            <w:r>
              <w:rPr>
                <w:rFonts w:hint="eastAsia" w:ascii="Arial" w:hAnsi="Arial" w:cs="Arial"/>
                <w:color w:val="333333"/>
                <w:szCs w:val="21"/>
                <w:shd w:val="clear" w:color="auto" w:fill="FFFFFF"/>
                <w:lang w:val="en-US" w:eastAsia="zh-CN"/>
              </w:rPr>
              <w:t>变速箱</w:t>
            </w:r>
          </w:p>
        </w:tc>
        <w:tc>
          <w:tcPr>
            <w:tcW w:w="1134"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李德伟</w:t>
            </w:r>
          </w:p>
        </w:tc>
        <w:tc>
          <w:tcPr>
            <w:tcW w:w="1842" w:type="dxa"/>
            <w:noWrap w:val="0"/>
            <w:vAlign w:val="top"/>
          </w:tcPr>
          <w:p>
            <w:pPr>
              <w:pStyle w:val="7"/>
              <w:spacing w:line="360" w:lineRule="auto"/>
              <w:jc w:val="center"/>
              <w:rPr>
                <w:rFonts w:hint="eastAsia" w:hAnsi="宋体"/>
                <w:szCs w:val="21"/>
              </w:rPr>
            </w:pPr>
            <w:r>
              <w:rPr>
                <w:rFonts w:hint="eastAsia" w:ascii="Arial" w:hAnsi="Arial" w:cs="Arial"/>
                <w:color w:val="333333"/>
                <w:szCs w:val="21"/>
                <w:shd w:val="clear" w:color="auto" w:fill="FFFFFF"/>
              </w:rPr>
              <w:t>15098868735</w:t>
            </w:r>
          </w:p>
        </w:tc>
      </w:tr>
    </w:tbl>
    <w:p>
      <w:pPr>
        <w:pStyle w:val="7"/>
        <w:spacing w:line="360" w:lineRule="auto"/>
        <w:rPr>
          <w:rFonts w:hint="default" w:ascii="黑体" w:eastAsia="黑体"/>
          <w:b/>
          <w:bCs/>
          <w:sz w:val="28"/>
          <w:lang w:val="en-US" w:eastAsia="zh-CN"/>
        </w:rPr>
      </w:pPr>
      <w:r>
        <w:rPr>
          <w:rFonts w:hint="eastAsia" w:ascii="黑体" w:eastAsia="黑体"/>
          <w:b/>
          <w:bCs/>
          <w:sz w:val="28"/>
        </w:rPr>
        <w:t>五、</w:t>
      </w:r>
      <w:r>
        <w:rPr>
          <w:rFonts w:hint="eastAsia" w:ascii="黑体" w:eastAsia="黑体"/>
          <w:b/>
          <w:bCs/>
          <w:sz w:val="28"/>
          <w:lang w:val="en-US" w:eastAsia="zh-CN"/>
        </w:rPr>
        <w:t>报名方式</w:t>
      </w:r>
    </w:p>
    <w:p>
      <w:pPr>
        <w:pStyle w:val="7"/>
        <w:spacing w:line="360" w:lineRule="auto"/>
        <w:ind w:firstLine="405"/>
        <w:rPr>
          <w:rFonts w:hint="eastAsia"/>
          <w:highlight w:val="none"/>
        </w:rPr>
      </w:pPr>
      <w:r>
        <w:rPr>
          <w:rFonts w:hint="eastAsia"/>
          <w:highlight w:val="none"/>
        </w:rPr>
        <w:t>1.时间：202</w:t>
      </w:r>
      <w:r>
        <w:rPr>
          <w:rFonts w:hint="eastAsia"/>
          <w:highlight w:val="none"/>
          <w:lang w:val="en-US" w:eastAsia="zh-CN"/>
        </w:rPr>
        <w:t>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4</w:t>
      </w:r>
      <w:r>
        <w:rPr>
          <w:rFonts w:hint="eastAsia"/>
          <w:highlight w:val="none"/>
        </w:rPr>
        <w:t>日至202</w:t>
      </w:r>
      <w:r>
        <w:rPr>
          <w:rFonts w:hint="eastAsia"/>
          <w:highlight w:val="none"/>
          <w:lang w:val="en-US" w:eastAsia="zh-CN"/>
        </w:rPr>
        <w:t>3</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11</w:t>
      </w:r>
      <w:r>
        <w:rPr>
          <w:rFonts w:hint="eastAsia"/>
          <w:highlight w:val="none"/>
        </w:rPr>
        <w:t>日</w:t>
      </w:r>
      <w:r>
        <w:rPr>
          <w:rFonts w:hint="eastAsia"/>
          <w:highlight w:val="none"/>
          <w:lang w:val="en-US" w:eastAsia="zh-CN"/>
        </w:rPr>
        <w:t>17时</w:t>
      </w:r>
      <w:r>
        <w:rPr>
          <w:rFonts w:hint="eastAsia"/>
          <w:highlight w:val="none"/>
        </w:rPr>
        <w:t>前。</w:t>
      </w:r>
    </w:p>
    <w:p>
      <w:pPr>
        <w:pStyle w:val="7"/>
        <w:spacing w:line="360" w:lineRule="auto"/>
        <w:ind w:firstLine="405"/>
        <w:rPr>
          <w:rFonts w:hint="eastAsia"/>
        </w:rPr>
      </w:pPr>
      <w:r>
        <w:rPr>
          <w:rFonts w:hint="eastAsia"/>
        </w:rPr>
        <w:t>2.本项目招标工作的所有过程均须在中国重汽e采通上完成，包括报名、资质审核、招标、应标、评标、审批等环节。中国重汽E采通中链接为（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。相关操作手册请详见注册界面供应商用户手册。未在中国重汽E采通进行注册的供方，注册时，业务主管部门选择“生产制造部”，类别选择“非生产招标 / 服务 / 设备设施维保”。请于报名截止时间前完成注册审批，未注册完成的不允许参加相关投标报名。</w:t>
      </w:r>
    </w:p>
    <w:p>
      <w:pPr>
        <w:pStyle w:val="7"/>
        <w:spacing w:line="360" w:lineRule="auto"/>
        <w:ind w:firstLine="405"/>
        <w:rPr>
          <w:color w:val="auto"/>
        </w:rPr>
      </w:pPr>
      <w:r>
        <w:rPr>
          <w:rStyle w:val="17"/>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pPr>
        <w:pStyle w:val="7"/>
        <w:spacing w:line="360" w:lineRule="auto"/>
        <w:rPr>
          <w:rFonts w:ascii="黑体" w:eastAsia="黑体"/>
          <w:b/>
          <w:bCs/>
          <w:sz w:val="28"/>
        </w:rPr>
      </w:pPr>
      <w:r>
        <w:rPr>
          <w:rFonts w:hint="eastAsia" w:ascii="黑体" w:eastAsia="黑体"/>
          <w:b/>
          <w:bCs/>
          <w:sz w:val="28"/>
        </w:rPr>
        <w:t>六、投标须知</w:t>
      </w:r>
    </w:p>
    <w:p>
      <w:pPr>
        <w:pStyle w:val="7"/>
        <w:spacing w:line="360" w:lineRule="auto"/>
        <w:ind w:firstLine="422" w:firstLineChars="200"/>
        <w:rPr>
          <w:b/>
        </w:rPr>
      </w:pPr>
      <w:r>
        <w:rPr>
          <w:rFonts w:hint="eastAsia"/>
          <w:b/>
        </w:rPr>
        <w:t>1.合格投标人：</w:t>
      </w:r>
    </w:p>
    <w:p>
      <w:pPr>
        <w:pStyle w:val="7"/>
        <w:spacing w:line="360" w:lineRule="auto"/>
        <w:ind w:firstLine="420" w:firstLineChars="200"/>
        <w:rPr>
          <w:rFonts w:hint="eastAsia"/>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keepNext w:val="0"/>
        <w:keepLines w:val="0"/>
        <w:pageBreakBefore w:val="0"/>
        <w:widowControl w:val="0"/>
        <w:kinsoku/>
        <w:wordWrap/>
        <w:overflowPunct/>
        <w:topLinePunct w:val="0"/>
        <w:bidi w:val="0"/>
        <w:snapToGrid w:val="0"/>
        <w:spacing w:line="360" w:lineRule="auto"/>
        <w:ind w:left="0" w:right="0" w:firstLine="360"/>
        <w:textAlignment w:val="auto"/>
        <w:rPr>
          <w:rFonts w:hint="eastAsia"/>
          <w:b/>
          <w:bCs/>
          <w:highlight w:val="none"/>
        </w:rPr>
      </w:pPr>
      <w:r>
        <w:rPr>
          <w:rFonts w:hint="eastAsia" w:hAnsi="宋体"/>
          <w:b/>
          <w:bCs/>
          <w:color w:val="FF0000"/>
          <w:highlight w:val="none"/>
        </w:rPr>
        <w:t>*</w:t>
      </w:r>
      <w:r>
        <w:rPr>
          <w:rFonts w:hint="eastAsia" w:hAnsi="宋体"/>
          <w:b/>
          <w:bCs/>
          <w:highlight w:val="none"/>
        </w:rPr>
        <w:t>⑵</w:t>
      </w:r>
      <w:r>
        <w:rPr>
          <w:rFonts w:hint="eastAsia" w:hAnsi="宋体" w:cs="宋体"/>
        </w:rPr>
        <w:t>公司注册资金不少于</w:t>
      </w:r>
      <w:r>
        <w:rPr>
          <w:rFonts w:hint="eastAsia" w:hAnsi="宋体" w:cs="宋体"/>
          <w:highlight w:val="yellow"/>
          <w:lang w:val="en-US" w:eastAsia="zh-CN"/>
        </w:rPr>
        <w:t>1000</w:t>
      </w:r>
      <w:r>
        <w:rPr>
          <w:rFonts w:hint="eastAsia" w:hAnsi="宋体" w:cs="宋体"/>
          <w:highlight w:val="yellow"/>
        </w:rPr>
        <w:t>万</w:t>
      </w:r>
      <w:r>
        <w:rPr>
          <w:rFonts w:hint="eastAsia" w:hAnsi="宋体" w:cs="宋体"/>
        </w:rPr>
        <w:t>元人民币；经营范围满足招标项目需求，并在人员、设备、资金等方面具有承担本项目的能力；</w:t>
      </w:r>
      <w:r>
        <w:rPr>
          <w:color w:val="FF0000"/>
        </w:rPr>
        <w:t>具有</w:t>
      </w:r>
      <w:r>
        <w:rPr>
          <w:rFonts w:hint="eastAsia"/>
          <w:color w:val="FF0000"/>
          <w:lang w:val="en-US" w:eastAsia="zh-CN"/>
        </w:rPr>
        <w:t>同类</w:t>
      </w:r>
      <w:r>
        <w:rPr>
          <w:color w:val="FF0000"/>
          <w:lang w:val="en-US"/>
        </w:rPr>
        <w:t>VOCs</w:t>
      </w:r>
      <w:r>
        <w:rPr>
          <w:rFonts w:hint="eastAsia"/>
          <w:color w:val="FF0000"/>
          <w:lang w:val="en-US" w:eastAsia="zh-CN"/>
        </w:rPr>
        <w:t>处理</w:t>
      </w:r>
      <w:r>
        <w:rPr>
          <w:color w:val="FF0000"/>
        </w:rPr>
        <w:t>设备运营及维</w:t>
      </w:r>
      <w:r>
        <w:rPr>
          <w:rFonts w:hint="eastAsia"/>
          <w:color w:val="FF0000"/>
          <w:lang w:val="en-US" w:eastAsia="zh-CN"/>
        </w:rPr>
        <w:t>护</w:t>
      </w:r>
      <w:r>
        <w:rPr>
          <w:rFonts w:hint="eastAsia" w:ascii="Times New Roman" w:hAnsi="Times New Roman" w:eastAsia="宋体" w:cs="Times New Roman"/>
          <w:color w:val="FF0000"/>
        </w:rPr>
        <w:t>一年以上经验</w:t>
      </w:r>
      <w:r>
        <w:rPr>
          <w:color w:val="FF0000"/>
        </w:rPr>
        <w:t>和成功的类似工程案例</w:t>
      </w:r>
      <w:r>
        <w:rPr>
          <w:rFonts w:hint="eastAsia"/>
          <w:b/>
          <w:bCs/>
          <w:highlight w:val="none"/>
        </w:rPr>
        <w:t>；</w:t>
      </w:r>
    </w:p>
    <w:p>
      <w:pPr>
        <w:pStyle w:val="7"/>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7"/>
        <w:spacing w:line="360" w:lineRule="auto"/>
        <w:ind w:firstLine="420" w:firstLineChars="200"/>
        <w:rPr>
          <w:b/>
          <w:color w:val="auto"/>
          <w:highlight w:val="none"/>
        </w:rPr>
      </w:pPr>
      <w:r>
        <w:rPr>
          <w:rFonts w:hint="eastAsia" w:hAnsi="宋体"/>
        </w:rPr>
        <w:t>⑷</w:t>
      </w:r>
      <w:r>
        <w:rPr>
          <w:rFonts w:hint="eastAsia"/>
        </w:rPr>
        <w:t>具有良好的商业信誉，在国家企业信用信息公示系统中无</w:t>
      </w:r>
      <w:r>
        <w:rPr>
          <w:rFonts w:hint="eastAsia"/>
          <w:highlight w:val="green"/>
          <w:lang w:val="en-US" w:eastAsia="zh-CN"/>
        </w:rPr>
        <w:t>与本项目有关的</w:t>
      </w:r>
      <w:r>
        <w:rPr>
          <w:rFonts w:hint="eastAsia"/>
        </w:rPr>
        <w:t>行政处罚、列入经营异常名录和列入严重违法失信企业名单（黑名单）信息</w:t>
      </w:r>
      <w:r>
        <w:rPr>
          <w:rFonts w:hint="eastAsia"/>
          <w:color w:val="auto"/>
          <w:highlight w:val="none"/>
        </w:rPr>
        <w:t>但上述信息已被移除的可参与投标；</w:t>
      </w:r>
    </w:p>
    <w:p>
      <w:pPr>
        <w:pStyle w:val="7"/>
        <w:spacing w:line="360" w:lineRule="auto"/>
        <w:ind w:firstLine="420" w:firstLineChars="200"/>
        <w:rPr>
          <w:color w:val="auto"/>
        </w:rPr>
      </w:pPr>
      <w:r>
        <w:rPr>
          <w:rFonts w:hint="eastAsia" w:hAnsi="宋体"/>
          <w:color w:val="auto"/>
        </w:rPr>
        <w:t>⑸</w:t>
      </w:r>
      <w:r>
        <w:rPr>
          <w:rFonts w:hint="eastAsia"/>
          <w:highlight w:val="green"/>
        </w:rPr>
        <w:t>投标人近三年内在经营活动中无与本项目有关的违法及重大违规情况；</w:t>
      </w:r>
    </w:p>
    <w:p>
      <w:pPr>
        <w:pStyle w:val="7"/>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7"/>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pPr>
        <w:autoSpaceDE w:val="0"/>
        <w:autoSpaceDN w:val="0"/>
        <w:adjustRightInd w:val="0"/>
        <w:spacing w:line="360" w:lineRule="auto"/>
        <w:ind w:firstLine="422" w:firstLineChars="200"/>
        <w:jc w:val="left"/>
        <w:rPr>
          <w:rFonts w:hint="eastAsia" w:ascii="宋体" w:hAnsi="Courier New"/>
          <w:b/>
          <w:bCs/>
          <w:highlight w:val="none"/>
          <w:lang w:val="en-US" w:eastAsia="zh-CN"/>
        </w:rPr>
      </w:pPr>
      <w:r>
        <w:rPr>
          <w:rFonts w:hint="eastAsia" w:ascii="宋体" w:hAnsi="Courier New"/>
          <w:b/>
          <w:bCs/>
          <w:color w:val="FF0000"/>
          <w:highlight w:val="none"/>
        </w:rPr>
        <w:t>*</w:t>
      </w:r>
      <w:r>
        <w:rPr>
          <w:rFonts w:hint="eastAsia" w:ascii="宋体" w:hAnsi="Courier New"/>
          <w:b/>
          <w:bCs/>
          <w:highlight w:val="none"/>
        </w:rPr>
        <w:t>⑻</w:t>
      </w:r>
      <w:r>
        <w:rPr>
          <w:rFonts w:hint="eastAsia" w:ascii="宋体" w:hAnsi="Courier New"/>
          <w:b/>
          <w:bCs/>
          <w:highlight w:val="none"/>
          <w:lang w:val="en-US" w:eastAsia="zh-CN"/>
        </w:rPr>
        <w:t>①经会计师事务所审计且出具无保留意见的近三年（2020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pPr>
        <w:pStyle w:val="7"/>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7"/>
        <w:spacing w:line="360" w:lineRule="auto"/>
        <w:ind w:firstLine="420" w:firstLineChars="200"/>
      </w:pPr>
      <w:r>
        <w:rPr>
          <w:rFonts w:hint="eastAsia" w:hAnsi="宋体"/>
        </w:rPr>
        <w:t>⑾</w:t>
      </w:r>
      <w:r>
        <w:rPr>
          <w:rFonts w:hint="eastAsia"/>
        </w:rPr>
        <w:t>投标人须具有完全履行招标文件的所有要求的能力；</w:t>
      </w:r>
    </w:p>
    <w:p>
      <w:pPr>
        <w:pStyle w:val="7"/>
        <w:spacing w:line="360" w:lineRule="auto"/>
        <w:ind w:firstLine="420" w:firstLineChars="200"/>
      </w:pPr>
      <w:r>
        <w:rPr>
          <w:rFonts w:hint="eastAsia" w:hAnsi="宋体"/>
        </w:rPr>
        <w:t>⑿</w:t>
      </w:r>
      <w:r>
        <w:rPr>
          <w:rFonts w:hint="eastAsia"/>
        </w:rPr>
        <w:t>投标人须负责提供合理的便于运输的包装物，并承担相关费用；</w:t>
      </w:r>
    </w:p>
    <w:p>
      <w:pPr>
        <w:pStyle w:val="7"/>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7"/>
        <w:spacing w:line="360" w:lineRule="auto"/>
        <w:ind w:firstLine="420" w:firstLineChars="200"/>
      </w:pPr>
      <w:r>
        <w:rPr>
          <w:rFonts w:hint="eastAsia" w:hAnsi="宋体"/>
        </w:rPr>
        <w:t>⒁</w:t>
      </w:r>
      <w:r>
        <w:rPr>
          <w:rFonts w:hint="eastAsia"/>
        </w:rPr>
        <w:t>投标人须认可招标人终止合同后3个月退还履约保证金的招标要求；</w:t>
      </w:r>
    </w:p>
    <w:p>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pPr>
        <w:spacing w:line="360" w:lineRule="auto"/>
        <w:ind w:firstLine="420" w:firstLineChars="200"/>
        <w:rPr>
          <w:rFonts w:hint="eastAsia" w:hAnsi="宋体"/>
          <w:b w:val="0"/>
          <w:bCs w:val="0"/>
          <w:highlight w:val="none"/>
        </w:rPr>
      </w:pPr>
      <w:r>
        <w:rPr>
          <w:rFonts w:hint="eastAsia" w:hAnsi="宋体"/>
          <w:b w:val="0"/>
          <w:bCs w:val="0"/>
          <w:lang w:eastAsia="zh-CN"/>
        </w:rPr>
        <w:t>⒅</w:t>
      </w:r>
      <w:r>
        <w:rPr>
          <w:rFonts w:hint="eastAsia" w:hAnsi="宋体"/>
          <w:b w:val="0"/>
          <w:bCs w:val="0"/>
          <w:highlight w:val="none"/>
        </w:rPr>
        <w:t>如为代理商投标，需获得生产厂家正式授权原件并具备售后服务承诺原件。</w:t>
      </w:r>
    </w:p>
    <w:p>
      <w:pPr>
        <w:pStyle w:val="7"/>
        <w:spacing w:line="360" w:lineRule="auto"/>
        <w:ind w:firstLine="420" w:firstLineChars="200"/>
        <w:rPr>
          <w:rFonts w:hint="eastAsia" w:hAnsi="宋体"/>
        </w:rPr>
      </w:pPr>
      <w:r>
        <w:rPr>
          <w:rFonts w:hint="eastAsia" w:ascii="Times New Roman" w:hAnsi="宋体" w:eastAsia="宋体" w:cs="Times New Roman"/>
          <w:b w:val="0"/>
          <w:bCs w:val="0"/>
          <w:kern w:val="2"/>
          <w:sz w:val="21"/>
          <w:szCs w:val="20"/>
          <w:lang w:val="en-US" w:eastAsia="zh-CN" w:bidi="ar-SA"/>
        </w:rPr>
        <w:t>⒆</w:t>
      </w:r>
      <w:r>
        <w:rPr>
          <w:rFonts w:hint="eastAsia" w:hAnsi="宋体"/>
        </w:rPr>
        <w:t>供方的直接或间接股东、法定代表人、董事、监事、高管非重汽员工及其亲属。</w:t>
      </w:r>
    </w:p>
    <w:p>
      <w:pPr>
        <w:pStyle w:val="7"/>
        <w:spacing w:line="360" w:lineRule="auto"/>
        <w:ind w:firstLine="422" w:firstLineChars="200"/>
        <w:rPr>
          <w:b/>
          <w:color w:val="auto"/>
        </w:rPr>
      </w:pPr>
      <w:r>
        <w:rPr>
          <w:rFonts w:hint="eastAsia"/>
          <w:b/>
          <w:bCs/>
          <w:color w:val="auto"/>
        </w:rPr>
        <w:t>注：上述带“</w:t>
      </w:r>
      <w:r>
        <w:rPr>
          <w:rFonts w:hint="eastAsia" w:hAnsi="宋体"/>
          <w:b/>
          <w:bCs/>
          <w:color w:val="FF0000"/>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pPr>
        <w:pStyle w:val="7"/>
        <w:spacing w:line="360" w:lineRule="auto"/>
        <w:ind w:firstLine="422" w:firstLineChars="200"/>
        <w:rPr>
          <w:rFonts w:hint="eastAsia"/>
          <w:b/>
        </w:rPr>
      </w:pPr>
      <w:r>
        <w:rPr>
          <w:rFonts w:hint="eastAsia"/>
          <w:b/>
        </w:rPr>
        <w:t>2.投标文件格式</w:t>
      </w:r>
    </w:p>
    <w:p>
      <w:pPr>
        <w:pStyle w:val="7"/>
        <w:spacing w:line="360" w:lineRule="auto"/>
        <w:ind w:firstLine="422" w:firstLineChars="200"/>
        <w:rPr>
          <w:b/>
        </w:rPr>
      </w:pPr>
      <w:r>
        <w:rPr>
          <w:rFonts w:hint="eastAsia"/>
          <w:b/>
        </w:rPr>
        <w:t>2.1资质文件（独立封装在一个档案袋，一式两份，一正一副）：</w:t>
      </w:r>
    </w:p>
    <w:p>
      <w:pPr>
        <w:pStyle w:val="7"/>
        <w:spacing w:line="360" w:lineRule="auto"/>
        <w:ind w:firstLine="422" w:firstLineChars="200"/>
        <w:rPr>
          <w:rFonts w:hint="eastAsia" w:eastAsia="宋体"/>
          <w:b/>
          <w:highlight w:val="none"/>
          <w:lang w:val="en-US" w:eastAsia="zh-CN"/>
        </w:rPr>
      </w:pPr>
      <w:r>
        <w:rPr>
          <w:rFonts w:hint="eastAsia"/>
          <w:b/>
          <w:highlight w:val="none"/>
        </w:rPr>
        <w:t>2.1.1</w:t>
      </w:r>
      <w:r>
        <w:rPr>
          <w:rFonts w:hint="eastAsia"/>
          <w:b/>
          <w:highlight w:val="none"/>
        </w:rPr>
        <w:tab/>
      </w:r>
      <w:r>
        <w:rPr>
          <w:rFonts w:hint="eastAsia"/>
          <w:b/>
          <w:highlight w:val="none"/>
        </w:rPr>
        <w:t>法定代表人身份证明</w:t>
      </w:r>
      <w:r>
        <w:rPr>
          <w:rFonts w:hint="eastAsia"/>
          <w:b/>
          <w:highlight w:val="none"/>
          <w:lang w:eastAsia="zh-CN"/>
        </w:rPr>
        <w:t>；</w:t>
      </w:r>
    </w:p>
    <w:p>
      <w:pPr>
        <w:pStyle w:val="7"/>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7"/>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7"/>
        <w:spacing w:line="360" w:lineRule="auto"/>
        <w:ind w:firstLine="422" w:firstLineChars="200"/>
        <w:rPr>
          <w:rFonts w:hint="eastAsia"/>
          <w:b/>
          <w:highlight w:val="none"/>
          <w:lang w:val="en-US" w:eastAsia="zh-CN"/>
        </w:rPr>
      </w:pPr>
      <w:r>
        <w:rPr>
          <w:rFonts w:hint="eastAsia"/>
          <w:b/>
          <w:highlight w:val="none"/>
        </w:rPr>
        <w:t>2.1.4</w:t>
      </w:r>
      <w:r>
        <w:rPr>
          <w:rFonts w:hint="eastAsia"/>
          <w:b/>
          <w:highlight w:val="none"/>
        </w:rPr>
        <w:tab/>
      </w:r>
      <w:r>
        <w:rPr>
          <w:rFonts w:hint="eastAsia"/>
          <w:b/>
          <w:highlight w:val="none"/>
        </w:rPr>
        <w:t>投标人应具有相应生产证明，若为代理商需具备厂家授权</w:t>
      </w:r>
      <w:r>
        <w:rPr>
          <w:rFonts w:hint="eastAsia"/>
          <w:b/>
          <w:highlight w:val="none"/>
          <w:lang w:val="en-US" w:eastAsia="zh-CN"/>
        </w:rPr>
        <w:t>；</w:t>
      </w:r>
    </w:p>
    <w:p>
      <w:pPr>
        <w:pStyle w:val="7"/>
        <w:spacing w:line="360" w:lineRule="auto"/>
        <w:ind w:firstLine="422" w:firstLineChars="200"/>
        <w:rPr>
          <w:rFonts w:hint="eastAsia"/>
          <w:b/>
          <w:highlight w:val="none"/>
          <w:lang w:eastAsia="zh-CN"/>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r>
        <w:rPr>
          <w:rFonts w:hint="eastAsia"/>
          <w:b/>
          <w:highlight w:val="none"/>
          <w:lang w:eastAsia="zh-CN"/>
        </w:rPr>
        <w:t>；</w:t>
      </w:r>
    </w:p>
    <w:p>
      <w:pPr>
        <w:pStyle w:val="7"/>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加盖公章的近三年中文版本经审计的财务审计报告或财务报表；</w:t>
      </w:r>
    </w:p>
    <w:p>
      <w:pPr>
        <w:pStyle w:val="7"/>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7"/>
        <w:spacing w:line="360" w:lineRule="auto"/>
        <w:ind w:firstLine="422" w:firstLineChars="200"/>
        <w:rPr>
          <w:b/>
          <w:highlight w:val="none"/>
        </w:rPr>
      </w:pPr>
      <w:r>
        <w:rPr>
          <w:rFonts w:hint="eastAsia"/>
          <w:b/>
          <w:highlight w:val="none"/>
        </w:rPr>
        <w:t>2.2 技术标（独立封装在一个档案袋，一式五份，其中正本一份，副本四份）：</w:t>
      </w:r>
    </w:p>
    <w:p>
      <w:pPr>
        <w:pStyle w:val="7"/>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技术规格偏离表；</w:t>
      </w:r>
    </w:p>
    <w:p>
      <w:pPr>
        <w:pStyle w:val="7"/>
        <w:spacing w:line="360" w:lineRule="auto"/>
        <w:ind w:firstLine="422" w:firstLineChars="200"/>
        <w:rPr>
          <w:rFonts w:hint="eastAsia"/>
          <w:b/>
          <w:lang w:eastAsia="zh-CN"/>
        </w:rPr>
      </w:pPr>
      <w:r>
        <w:rPr>
          <w:rFonts w:hint="eastAsia"/>
          <w:b/>
        </w:rPr>
        <w:t>2.2.2</w:t>
      </w:r>
      <w:r>
        <w:rPr>
          <w:rFonts w:hint="eastAsia"/>
          <w:b/>
        </w:rPr>
        <w:tab/>
      </w:r>
      <w:r>
        <w:rPr>
          <w:rFonts w:hint="eastAsia"/>
          <w:b/>
        </w:rPr>
        <w:t>备品备件工具材料明细表</w:t>
      </w:r>
      <w:r>
        <w:rPr>
          <w:rFonts w:hint="eastAsia"/>
          <w:b/>
          <w:lang w:eastAsia="zh-CN"/>
        </w:rPr>
        <w:t>；</w:t>
      </w:r>
    </w:p>
    <w:p>
      <w:pPr>
        <w:pStyle w:val="7"/>
        <w:spacing w:line="360" w:lineRule="auto"/>
        <w:ind w:firstLine="422" w:firstLineChars="200"/>
        <w:rPr>
          <w:rFonts w:hint="eastAsia"/>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pPr>
        <w:pStyle w:val="7"/>
        <w:spacing w:line="360" w:lineRule="auto"/>
        <w:ind w:firstLine="422" w:firstLineChars="200"/>
        <w:rPr>
          <w:rFonts w:hint="eastAsia" w:hAnsi="宋体"/>
          <w:b/>
          <w:bCs w:val="0"/>
        </w:rPr>
      </w:pPr>
      <w:r>
        <w:rPr>
          <w:rFonts w:hint="eastAsia"/>
          <w:b/>
          <w:bCs w:val="0"/>
          <w:lang w:val="en-US" w:eastAsia="zh-CN"/>
        </w:rPr>
        <w:t>（1）</w:t>
      </w:r>
      <w:r>
        <w:rPr>
          <w:rFonts w:hint="eastAsia" w:hAnsi="宋体"/>
          <w:b/>
          <w:bCs w:val="0"/>
        </w:rPr>
        <w:t>货物主要技术指标和性能的详细说明；</w:t>
      </w:r>
    </w:p>
    <w:p>
      <w:pPr>
        <w:pStyle w:val="7"/>
        <w:spacing w:line="360" w:lineRule="auto"/>
        <w:ind w:firstLine="422" w:firstLineChars="200"/>
        <w:rPr>
          <w:b/>
        </w:rPr>
      </w:pPr>
      <w:r>
        <w:rPr>
          <w:rFonts w:hint="eastAsia"/>
          <w:b/>
          <w:lang w:eastAsia="zh-CN"/>
        </w:rPr>
        <w:t>（</w:t>
      </w:r>
      <w:r>
        <w:rPr>
          <w:rFonts w:hint="eastAsia"/>
          <w:b/>
        </w:rPr>
        <w:t>2</w:t>
      </w:r>
      <w:r>
        <w:rPr>
          <w:rFonts w:hint="eastAsia"/>
          <w:b/>
          <w:lang w:eastAsia="zh-CN"/>
        </w:rPr>
        <w:t>）</w:t>
      </w:r>
      <w:r>
        <w:rPr>
          <w:rFonts w:hint="eastAsia"/>
          <w:b/>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7"/>
        <w:spacing w:line="360" w:lineRule="auto"/>
        <w:ind w:firstLine="422" w:firstLineChars="200"/>
        <w:rPr>
          <w:b/>
        </w:rPr>
      </w:pPr>
      <w:r>
        <w:rPr>
          <w:rFonts w:hint="eastAsia"/>
          <w:b/>
          <w:lang w:eastAsia="zh-CN"/>
        </w:rPr>
        <w:t>（</w:t>
      </w:r>
      <w:r>
        <w:rPr>
          <w:rFonts w:hint="eastAsia"/>
          <w:b/>
        </w:rPr>
        <w:t>3</w:t>
      </w:r>
      <w:r>
        <w:rPr>
          <w:rFonts w:hint="eastAsia"/>
          <w:b/>
          <w:lang w:eastAsia="zh-CN"/>
        </w:rPr>
        <w:t>）</w:t>
      </w:r>
      <w:r>
        <w:rPr>
          <w:rFonts w:hint="eastAsia"/>
          <w:b/>
        </w:rPr>
        <w:t>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7"/>
        <w:spacing w:line="360" w:lineRule="auto"/>
        <w:ind w:firstLine="422" w:firstLineChars="200"/>
        <w:rPr>
          <w:b/>
        </w:rPr>
      </w:pPr>
      <w:r>
        <w:rPr>
          <w:rFonts w:hint="eastAsia"/>
          <w:b/>
        </w:rPr>
        <w:t>2.2.4  技术标书中严禁出现与投标报价有关的内容</w:t>
      </w:r>
    </w:p>
    <w:p>
      <w:pPr>
        <w:pStyle w:val="7"/>
        <w:spacing w:line="360" w:lineRule="auto"/>
        <w:ind w:firstLine="422" w:firstLineChars="200"/>
        <w:rPr>
          <w:b/>
          <w:highlight w:val="none"/>
        </w:rPr>
      </w:pPr>
      <w:r>
        <w:rPr>
          <w:rFonts w:hint="eastAsia"/>
          <w:b/>
          <w:highlight w:val="none"/>
        </w:rPr>
        <w:t>2.2.</w:t>
      </w:r>
      <w:r>
        <w:rPr>
          <w:rFonts w:hint="eastAsia"/>
          <w:b/>
          <w:highlight w:val="none"/>
          <w:lang w:val="en-US" w:eastAsia="zh-CN"/>
        </w:rPr>
        <w:t>5</w:t>
      </w:r>
      <w:r>
        <w:rPr>
          <w:rFonts w:hint="eastAsia"/>
          <w:b/>
          <w:highlight w:val="none"/>
          <w:lang w:val="en-US" w:eastAsia="zh-CN"/>
        </w:rPr>
        <w:tab/>
      </w:r>
      <w:r>
        <w:rPr>
          <w:rFonts w:hint="eastAsia"/>
          <w:b/>
          <w:highlight w:val="none"/>
        </w:rPr>
        <w:t>设备安装、验收计划、现场服务（如果有）；</w:t>
      </w:r>
    </w:p>
    <w:p>
      <w:pPr>
        <w:pStyle w:val="7"/>
        <w:spacing w:line="360" w:lineRule="auto"/>
        <w:ind w:firstLine="422" w:firstLineChars="200"/>
        <w:rPr>
          <w:b/>
          <w:highlight w:val="none"/>
        </w:rPr>
      </w:pPr>
      <w:r>
        <w:rPr>
          <w:rFonts w:hint="eastAsia"/>
          <w:b/>
          <w:highlight w:val="none"/>
        </w:rPr>
        <w:t>2.2.</w:t>
      </w:r>
      <w:r>
        <w:rPr>
          <w:rFonts w:hint="eastAsia"/>
          <w:b/>
          <w:highlight w:val="none"/>
          <w:lang w:val="en-US" w:eastAsia="zh-CN"/>
        </w:rPr>
        <w:t>6</w:t>
      </w:r>
      <w:r>
        <w:rPr>
          <w:rFonts w:hint="eastAsia"/>
          <w:b/>
          <w:highlight w:val="none"/>
          <w:lang w:val="en-US" w:eastAsia="zh-CN"/>
        </w:rPr>
        <w:tab/>
      </w:r>
      <w:r>
        <w:rPr>
          <w:rFonts w:hint="eastAsia"/>
          <w:b/>
          <w:highlight w:val="none"/>
        </w:rPr>
        <w:t>产品质量保修和售后服务内容及措施；</w:t>
      </w:r>
    </w:p>
    <w:p>
      <w:pPr>
        <w:pStyle w:val="7"/>
        <w:spacing w:line="360" w:lineRule="auto"/>
        <w:ind w:firstLine="422" w:firstLineChars="200"/>
        <w:rPr>
          <w:b/>
          <w:highlight w:val="none"/>
        </w:rPr>
      </w:pPr>
      <w:r>
        <w:rPr>
          <w:rFonts w:hint="eastAsia"/>
          <w:b/>
          <w:highlight w:val="none"/>
        </w:rPr>
        <w:t>2.2.</w:t>
      </w:r>
      <w:r>
        <w:rPr>
          <w:rFonts w:hint="eastAsia"/>
          <w:b/>
          <w:highlight w:val="none"/>
          <w:lang w:val="en-US" w:eastAsia="zh-CN"/>
        </w:rPr>
        <w:t>7</w:t>
      </w:r>
      <w:r>
        <w:rPr>
          <w:rFonts w:hint="eastAsia"/>
          <w:b/>
          <w:highlight w:val="none"/>
          <w:lang w:val="en-US" w:eastAsia="zh-CN"/>
        </w:rPr>
        <w:tab/>
      </w:r>
      <w:r>
        <w:rPr>
          <w:rFonts w:hint="eastAsia"/>
          <w:b/>
          <w:highlight w:val="none"/>
        </w:rPr>
        <w:t>技术标书中严禁出现与投标报价有关的内容；</w:t>
      </w:r>
    </w:p>
    <w:p>
      <w:pPr>
        <w:pStyle w:val="7"/>
        <w:spacing w:line="360" w:lineRule="auto"/>
        <w:ind w:firstLine="422" w:firstLineChars="200"/>
        <w:rPr>
          <w:b/>
        </w:rPr>
      </w:pPr>
      <w:r>
        <w:rPr>
          <w:rFonts w:hint="eastAsia"/>
          <w:b/>
        </w:rPr>
        <w:t>2.3 商务标（独立封装在一个档案袋，一式两份，一正一副）：</w:t>
      </w:r>
    </w:p>
    <w:p>
      <w:pPr>
        <w:pStyle w:val="7"/>
        <w:spacing w:line="360" w:lineRule="auto"/>
        <w:ind w:firstLine="422" w:firstLineChars="200"/>
        <w:rPr>
          <w:b/>
        </w:rPr>
      </w:pPr>
      <w:r>
        <w:rPr>
          <w:rFonts w:hint="eastAsia"/>
          <w:b/>
        </w:rPr>
        <w:t>2.3.1</w:t>
      </w:r>
      <w:r>
        <w:rPr>
          <w:rFonts w:hint="eastAsia"/>
          <w:b/>
        </w:rPr>
        <w:tab/>
      </w:r>
      <w:r>
        <w:rPr>
          <w:rFonts w:hint="eastAsia"/>
          <w:b/>
        </w:rPr>
        <w:t>投标函；</w:t>
      </w:r>
    </w:p>
    <w:p>
      <w:pPr>
        <w:pStyle w:val="7"/>
        <w:spacing w:line="360" w:lineRule="auto"/>
        <w:ind w:firstLine="422" w:firstLineChars="200"/>
        <w:rPr>
          <w:b/>
        </w:rPr>
      </w:pPr>
      <w:r>
        <w:rPr>
          <w:rFonts w:hint="eastAsia"/>
          <w:b/>
        </w:rPr>
        <w:t>2.3.2</w:t>
      </w:r>
      <w:r>
        <w:rPr>
          <w:rFonts w:hint="eastAsia"/>
          <w:b/>
        </w:rPr>
        <w:tab/>
      </w:r>
      <w:r>
        <w:rPr>
          <w:rFonts w:hint="eastAsia"/>
          <w:b/>
        </w:rPr>
        <w:t>开标一览表</w:t>
      </w:r>
      <w:r>
        <w:rPr>
          <w:rFonts w:hint="eastAsia"/>
          <w:b/>
          <w:lang w:eastAsia="zh-CN"/>
        </w:rPr>
        <w:t>、</w:t>
      </w:r>
      <w:r>
        <w:rPr>
          <w:rFonts w:hint="eastAsia"/>
          <w:b/>
          <w:lang w:val="en-US" w:eastAsia="zh-CN"/>
        </w:rPr>
        <w:t>分项报价表</w:t>
      </w:r>
      <w:r>
        <w:rPr>
          <w:rFonts w:hint="eastAsia"/>
          <w:b/>
        </w:rPr>
        <w:t>；</w:t>
      </w:r>
    </w:p>
    <w:p>
      <w:pPr>
        <w:pStyle w:val="7"/>
        <w:spacing w:line="360" w:lineRule="auto"/>
        <w:ind w:firstLine="422" w:firstLineChars="200"/>
        <w:rPr>
          <w:b/>
          <w:highlight w:val="none"/>
        </w:rPr>
      </w:pPr>
      <w:r>
        <w:rPr>
          <w:rFonts w:hint="eastAsia"/>
          <w:b/>
          <w:highlight w:val="none"/>
        </w:rPr>
        <w:t>2.3.3</w:t>
      </w:r>
      <w:r>
        <w:rPr>
          <w:rFonts w:hint="eastAsia"/>
          <w:b/>
          <w:highlight w:val="none"/>
        </w:rPr>
        <w:tab/>
      </w:r>
      <w:r>
        <w:rPr>
          <w:rFonts w:hint="eastAsia"/>
          <w:b/>
          <w:highlight w:val="none"/>
        </w:rPr>
        <w:t>服务承诺函、质量承诺函；</w:t>
      </w:r>
    </w:p>
    <w:p>
      <w:pPr>
        <w:pStyle w:val="7"/>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pPr>
        <w:pStyle w:val="7"/>
        <w:spacing w:line="360" w:lineRule="auto"/>
        <w:ind w:firstLine="422" w:firstLineChars="200"/>
        <w:rPr>
          <w:rFonts w:hint="eastAsia"/>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7"/>
        <w:spacing w:line="360" w:lineRule="auto"/>
        <w:ind w:firstLine="422" w:firstLineChars="200"/>
        <w:rPr>
          <w:rFonts w:hint="default" w:hAnsi="宋体" w:eastAsia="宋体" w:cs="宋体"/>
          <w:b/>
          <w:bCs/>
          <w:highlight w:val="none"/>
          <w:lang w:val="en-US" w:eastAsia="zh-CN"/>
        </w:rPr>
      </w:pPr>
      <w:r>
        <w:rPr>
          <w:rFonts w:hint="eastAsia" w:hAnsi="宋体" w:cs="宋体"/>
          <w:b/>
          <w:bCs/>
          <w:highlight w:val="none"/>
        </w:rPr>
        <w:t>2.</w:t>
      </w:r>
      <w:r>
        <w:rPr>
          <w:rFonts w:hint="eastAsia" w:hAnsi="宋体" w:cs="宋体"/>
          <w:b/>
          <w:bCs/>
          <w:highlight w:val="none"/>
          <w:lang w:val="en-US" w:eastAsia="zh-CN"/>
        </w:rPr>
        <w:t>5</w:t>
      </w:r>
      <w:r>
        <w:rPr>
          <w:rFonts w:hint="eastAsia" w:hAnsi="宋体" w:cs="宋体"/>
          <w:b/>
          <w:bCs/>
          <w:highlight w:val="none"/>
        </w:rPr>
        <w:t>报价</w:t>
      </w:r>
      <w:r>
        <w:rPr>
          <w:rFonts w:hint="eastAsia" w:hAnsi="宋体" w:cs="宋体"/>
          <w:b/>
          <w:bCs/>
          <w:highlight w:val="none"/>
          <w:lang w:val="en-US" w:eastAsia="zh-CN"/>
        </w:rPr>
        <w:t>及付款方式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kern w:val="2"/>
          <w:sz w:val="21"/>
          <w:lang w:val="en-US" w:eastAsia="zh-CN" w:bidi="ar-SA"/>
        </w:rPr>
        <w:t>2.</w:t>
      </w:r>
      <w:r>
        <w:rPr>
          <w:rFonts w:hint="eastAsia" w:ascii="宋体" w:hAnsi="Courier New" w:cs="Times New Roman"/>
          <w:kern w:val="2"/>
          <w:sz w:val="21"/>
          <w:lang w:val="en-US" w:eastAsia="zh-CN" w:bidi="ar-SA"/>
        </w:rPr>
        <w:t>5</w:t>
      </w:r>
      <w:r>
        <w:rPr>
          <w:rFonts w:hint="eastAsia" w:ascii="宋体" w:hAnsi="Courier New" w:eastAsia="宋体" w:cs="Times New Roman"/>
          <w:kern w:val="2"/>
          <w:sz w:val="21"/>
          <w:lang w:val="en-US" w:eastAsia="zh-CN" w:bidi="ar-SA"/>
        </w:rPr>
        <w:t>.1</w:t>
      </w:r>
      <w:r>
        <w:rPr>
          <w:rFonts w:hint="eastAsia" w:ascii="宋体" w:hAnsi="Courier New" w:eastAsia="宋体" w:cs="Times New Roman"/>
          <w:color w:val="FF0000"/>
          <w:kern w:val="2"/>
          <w:sz w:val="21"/>
          <w:lang w:val="en-US" w:eastAsia="zh-CN" w:bidi="ar-SA"/>
        </w:rPr>
        <w:t>包1：卡车（党家庄）车身部</w:t>
      </w:r>
      <w:r>
        <w:rPr>
          <w:rFonts w:hint="eastAsia" w:ascii="宋体" w:hAnsi="Courier New" w:cs="Times New Roman"/>
          <w:color w:val="FF0000"/>
          <w:kern w:val="2"/>
          <w:sz w:val="21"/>
          <w:lang w:val="en-US" w:eastAsia="zh-CN" w:bidi="ar-SA"/>
        </w:rPr>
        <w:t>涂一</w:t>
      </w:r>
      <w:r>
        <w:rPr>
          <w:rFonts w:hint="eastAsia" w:ascii="宋体" w:hAnsi="Courier New" w:eastAsia="宋体" w:cs="Times New Roman"/>
          <w:color w:val="FF0000"/>
          <w:kern w:val="2"/>
          <w:sz w:val="21"/>
          <w:lang w:val="en-US" w:eastAsia="zh-CN" w:bidi="ar-SA"/>
        </w:rPr>
        <w:t>：固定费2万/月</w:t>
      </w:r>
      <w:r>
        <w:rPr>
          <w:rFonts w:hint="eastAsia" w:ascii="宋体" w:hAnsi="Courier New" w:cs="Times New Roman"/>
          <w:color w:val="FF0000"/>
          <w:kern w:val="2"/>
          <w:sz w:val="21"/>
          <w:lang w:val="en-US" w:eastAsia="zh-CN" w:bidi="ar-SA"/>
        </w:rPr>
        <w:t>（车身外饰件固定费每月1万元/月）</w:t>
      </w:r>
      <w:r>
        <w:rPr>
          <w:rFonts w:hint="eastAsia" w:ascii="宋体" w:hAnsi="Courier New" w:eastAsia="宋体" w:cs="Times New Roman"/>
          <w:color w:val="FF0000"/>
          <w:kern w:val="2"/>
          <w:sz w:val="21"/>
          <w:lang w:val="en-US" w:eastAsia="zh-CN" w:bidi="ar-SA"/>
        </w:rPr>
        <w:t>，浮动费用：车身驾驶室涂装下线量*XX元/辆；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i w:val="0"/>
          <w:iCs w:val="0"/>
          <w:color w:val="FF0000"/>
          <w:sz w:val="21"/>
          <w:szCs w:val="21"/>
          <w:u w:val="none"/>
          <w:lang w:val="en-US" w:eastAsia="zh-CN"/>
        </w:rPr>
      </w:pPr>
      <w:r>
        <w:rPr>
          <w:rFonts w:hint="eastAsia" w:ascii="宋体" w:hAnsi="Courier New" w:eastAsia="宋体" w:cs="Times New Roman"/>
          <w:color w:val="FF0000"/>
          <w:kern w:val="2"/>
          <w:sz w:val="21"/>
          <w:lang w:val="en-US" w:eastAsia="zh-CN" w:bidi="ar-SA"/>
        </w:rPr>
        <w:t>卡车（党家庄）总装部：固定费用：1万/月，浮动费用：</w:t>
      </w:r>
      <w:r>
        <w:rPr>
          <w:rFonts w:hint="eastAsia" w:ascii="宋体" w:hAnsi="宋体" w:cs="宋体"/>
          <w:i w:val="0"/>
          <w:iCs w:val="0"/>
          <w:color w:val="FF0000"/>
          <w:sz w:val="21"/>
          <w:szCs w:val="21"/>
          <w:u w:val="none"/>
          <w:lang w:val="en-US" w:eastAsia="zh-CN"/>
        </w:rPr>
        <w:t>总装整车入库量*XX元/辆。</w:t>
      </w:r>
    </w:p>
    <w:p>
      <w:pPr>
        <w:pStyle w:val="2"/>
        <w:ind w:firstLine="420" w:firstLineChars="2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卡车（莱芜）车身部：固定费用2万元/月（总五固定费每月1万元/月），浮动费用：车身驾驶室涂装下线量*XX元/辆；</w:t>
      </w:r>
    </w:p>
    <w:p>
      <w:pPr>
        <w:pStyle w:val="2"/>
        <w:ind w:firstLine="420" w:firstLineChars="2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卡车（莱芜）车架部：固定费用1万元/月，浮动费用：车架涂装下线量*XX元/辆；</w:t>
      </w:r>
    </w:p>
    <w:p>
      <w:pPr>
        <w:pStyle w:val="2"/>
        <w:ind w:firstLine="420" w:firstLineChars="2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卡车（莱芜车身二部（外饰件）：固定费用1万元/月，浮动费用：外饰件喷涂下线套数*XX元/辆；</w:t>
      </w:r>
    </w:p>
    <w:p>
      <w:pPr>
        <w:pStyle w:val="3"/>
        <w:ind w:firstLine="420" w:firstLineChars="2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包2：车桥公司：固定费用2万元/月，浮动费用：前桥下线量/驱动桥下线量*XX元/台；</w:t>
      </w:r>
    </w:p>
    <w:p>
      <w:pPr>
        <w:pStyle w:val="3"/>
        <w:ind w:firstLine="840" w:firstLineChars="4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发动机厂装配涂调固定费用1万元/月，浮动费用：发动机台数*XX元/台；</w:t>
      </w:r>
    </w:p>
    <w:p>
      <w:pPr>
        <w:pStyle w:val="3"/>
        <w:ind w:firstLine="840" w:firstLineChars="4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变速箱厂装配涂调固定费用1万元/月，浮动费用：变速箱台数*XX元/台；</w:t>
      </w:r>
    </w:p>
    <w:p>
      <w:pPr>
        <w:pStyle w:val="3"/>
        <w:ind w:firstLine="420" w:firstLineChars="2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包3：轻卡公司：车身部无固定费用，车身驾驶室涂装下线量*XX元/辆；</w:t>
      </w:r>
    </w:p>
    <w:p>
      <w:pPr>
        <w:pStyle w:val="3"/>
        <w:ind w:firstLine="840" w:firstLineChars="4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传动轴公司：年度固定费用（台/月）。</w:t>
      </w:r>
    </w:p>
    <w:p>
      <w:pPr>
        <w:pStyle w:val="3"/>
        <w:ind w:firstLine="840" w:firstLineChars="400"/>
        <w:rPr>
          <w:rFonts w:hint="default"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济南商用车公司：涂装一分线：固定费用1万/月，浮动费用：（车身驾驶室涂装下线量+外饰件喷涂下线套数）*XX元/辆，外饰件下线套数以几种主要产品产量计算方式为准，具体解释方式以济南商用车为准。</w:t>
      </w:r>
    </w:p>
    <w:p>
      <w:pPr>
        <w:pStyle w:val="3"/>
        <w:ind w:firstLine="840" w:firstLineChars="400"/>
        <w:rPr>
          <w:rFonts w:hint="eastAsia" w:ascii="宋体" w:hAnsi="Courier New" w:eastAsia="宋体" w:cs="Times New Roman"/>
          <w:color w:val="FF0000"/>
          <w:kern w:val="2"/>
          <w:sz w:val="21"/>
          <w:lang w:val="en-US" w:eastAsia="zh-CN" w:bidi="ar-SA"/>
        </w:rPr>
      </w:pPr>
      <w:r>
        <w:rPr>
          <w:rFonts w:hint="eastAsia" w:ascii="宋体" w:hAnsi="Courier New" w:eastAsia="宋体" w:cs="Times New Roman"/>
          <w:color w:val="FF0000"/>
          <w:kern w:val="2"/>
          <w:sz w:val="21"/>
          <w:lang w:val="en-US" w:eastAsia="zh-CN" w:bidi="ar-SA"/>
        </w:rPr>
        <w:t>济南商用车公司：聚脲喷漆车间：固定费用2万/月（涂装二分线固定费每月1万元/月），浮动费用：聚脲喷漆车间整车入库量*XX元/辆。</w:t>
      </w:r>
    </w:p>
    <w:p>
      <w:pPr>
        <w:pStyle w:val="3"/>
        <w:rPr>
          <w:rFonts w:hint="default" w:ascii="宋体" w:hAnsi="Courier New" w:eastAsia="宋体" w:cs="Times New Roman"/>
          <w:color w:val="FF0000"/>
          <w:kern w:val="2"/>
          <w:sz w:val="21"/>
          <w:highlight w:val="yellow"/>
          <w:lang w:val="en-US" w:eastAsia="zh-CN" w:bidi="ar-SA"/>
        </w:rPr>
      </w:pPr>
      <w:r>
        <w:rPr>
          <w:rFonts w:hint="eastAsia" w:ascii="宋体" w:hAnsi="Courier New" w:eastAsia="宋体" w:cs="Times New Roman"/>
          <w:color w:val="FF0000"/>
          <w:kern w:val="2"/>
          <w:sz w:val="21"/>
          <w:highlight w:val="yellow"/>
          <w:lang w:val="en-US" w:eastAsia="zh-CN" w:bidi="ar-SA"/>
        </w:rPr>
        <w:t xml:space="preserve"> 若含固定费用的部分当月生产为0，则不支付当月固定费用。</w:t>
      </w:r>
    </w:p>
    <w:p>
      <w:pPr>
        <w:pStyle w:val="7"/>
        <w:spacing w:line="360" w:lineRule="auto"/>
        <w:rPr>
          <w:rFonts w:hint="eastAsia"/>
          <w:color w:val="000000"/>
          <w:highlight w:val="none"/>
        </w:rPr>
      </w:pPr>
      <w:r>
        <w:rPr>
          <w:rFonts w:hint="eastAsia" w:hAnsi="宋体"/>
          <w:highlight w:val="none"/>
          <w:lang w:val="en-US" w:eastAsia="zh-CN"/>
        </w:rPr>
        <w:t>2.5.2</w:t>
      </w:r>
      <w:r>
        <w:rPr>
          <w:rFonts w:hint="eastAsia" w:hAnsi="宋体"/>
          <w:color w:val="000000"/>
          <w:highlight w:val="none"/>
        </w:rPr>
        <w:t>按包分类，所投标包的标的物必须全部报价，否则投标视为无效；</w:t>
      </w:r>
      <w:r>
        <w:rPr>
          <w:rFonts w:hint="eastAsia"/>
          <w:color w:val="000000"/>
          <w:highlight w:val="none"/>
        </w:rPr>
        <w:t>所有报价货币单位为：</w:t>
      </w:r>
      <w:r>
        <w:rPr>
          <w:rFonts w:hint="eastAsia"/>
          <w:color w:val="000000"/>
          <w:highlight w:val="none"/>
          <w:u w:val="single"/>
        </w:rPr>
        <w:t xml:space="preserve">    </w:t>
      </w:r>
      <w:r>
        <w:rPr>
          <w:rFonts w:hint="eastAsia"/>
          <w:color w:val="000000"/>
          <w:highlight w:val="none"/>
        </w:rPr>
        <w:t xml:space="preserve"> 元（人民币</w:t>
      </w:r>
      <w:r>
        <w:rPr>
          <w:rFonts w:hint="eastAsia"/>
          <w:color w:val="000000"/>
          <w:highlight w:val="none"/>
          <w:lang w:eastAsia="zh-CN"/>
        </w:rPr>
        <w:t>，</w:t>
      </w:r>
      <w:r>
        <w:rPr>
          <w:rFonts w:hint="eastAsia"/>
          <w:color w:val="000000"/>
          <w:highlight w:val="none"/>
          <w:lang w:val="en-US" w:eastAsia="zh-CN"/>
        </w:rPr>
        <w:t>含税</w:t>
      </w:r>
      <w:r>
        <w:rPr>
          <w:rFonts w:hint="eastAsia"/>
          <w:color w:val="000000"/>
          <w:highlight w:val="none"/>
        </w:rPr>
        <w:t>），</w:t>
      </w:r>
      <w:r>
        <w:rPr>
          <w:rFonts w:hint="eastAsia"/>
          <w:color w:val="000000"/>
          <w:highlight w:val="none"/>
          <w:lang w:val="en-US" w:eastAsia="zh-CN"/>
        </w:rPr>
        <w:t>税率</w:t>
      </w:r>
      <w:r>
        <w:rPr>
          <w:rFonts w:hint="eastAsia"/>
          <w:color w:val="000000"/>
          <w:highlight w:val="none"/>
          <w:u w:val="none"/>
          <w:lang w:val="en-US" w:eastAsia="zh-CN"/>
        </w:rPr>
        <w:t>6%</w:t>
      </w:r>
      <w:r>
        <w:rPr>
          <w:rFonts w:hint="eastAsia"/>
          <w:color w:val="000000"/>
          <w:highlight w:val="none"/>
        </w:rPr>
        <w:t>；</w:t>
      </w:r>
    </w:p>
    <w:p>
      <w:pPr>
        <w:pStyle w:val="7"/>
        <w:spacing w:line="360" w:lineRule="auto"/>
        <w:rPr>
          <w:rFonts w:hint="default" w:eastAsia="宋体"/>
          <w:color w:val="000000"/>
          <w:highlight w:val="none"/>
          <w:lang w:val="en-US" w:eastAsia="zh-CN"/>
        </w:rPr>
      </w:pPr>
      <w:r>
        <w:rPr>
          <w:rFonts w:hint="eastAsia"/>
          <w:color w:val="000000"/>
          <w:highlight w:val="yellow"/>
          <w:lang w:val="en-US" w:eastAsia="zh-CN"/>
        </w:rPr>
        <w:t>投标限价：包1：</w:t>
      </w:r>
      <w:r>
        <w:rPr>
          <w:rFonts w:hint="eastAsia"/>
          <w:color w:val="000000"/>
          <w:highlight w:val="red"/>
          <w:lang w:val="en-US" w:eastAsia="zh-CN"/>
        </w:rPr>
        <w:t>244.95万元（含税）</w:t>
      </w:r>
      <w:r>
        <w:rPr>
          <w:rFonts w:hint="eastAsia"/>
          <w:color w:val="000000"/>
          <w:highlight w:val="yellow"/>
          <w:lang w:val="en-US" w:eastAsia="zh-CN"/>
        </w:rPr>
        <w:t>，包2：</w:t>
      </w:r>
      <w:r>
        <w:rPr>
          <w:rFonts w:hint="eastAsia"/>
          <w:color w:val="000000"/>
          <w:highlight w:val="red"/>
          <w:lang w:val="en-US" w:eastAsia="zh-CN"/>
        </w:rPr>
        <w:t>93.99万元（含税）</w:t>
      </w:r>
      <w:r>
        <w:rPr>
          <w:rFonts w:hint="eastAsia"/>
          <w:color w:val="000000"/>
          <w:highlight w:val="yellow"/>
          <w:lang w:val="en-US" w:eastAsia="zh-CN"/>
        </w:rPr>
        <w:t>，包3：</w:t>
      </w:r>
      <w:r>
        <w:rPr>
          <w:rFonts w:hint="eastAsia"/>
          <w:color w:val="000000"/>
          <w:highlight w:val="red"/>
          <w:lang w:val="en-US" w:eastAsia="zh-CN"/>
        </w:rPr>
        <w:t>147.08万元（含税）</w:t>
      </w:r>
      <w:r>
        <w:rPr>
          <w:rFonts w:hint="eastAsia"/>
          <w:color w:val="000000"/>
          <w:highlight w:val="yellow"/>
          <w:lang w:val="en-US" w:eastAsia="zh-CN"/>
        </w:rPr>
        <w:t>。</w:t>
      </w:r>
    </w:p>
    <w:p>
      <w:pPr>
        <w:pStyle w:val="7"/>
        <w:spacing w:line="360" w:lineRule="auto"/>
        <w:rPr>
          <w:rFonts w:hint="eastAsia" w:hAnsi="宋体" w:cs="宋体"/>
          <w:color w:val="000000"/>
        </w:rPr>
      </w:pPr>
      <w:r>
        <w:rPr>
          <w:rFonts w:hint="eastAsia" w:hAnsi="宋体"/>
          <w:color w:val="000000"/>
          <w:highlight w:val="none"/>
          <w:lang w:val="en-US" w:eastAsia="zh-CN"/>
        </w:rPr>
        <w:t>2.5.3</w:t>
      </w:r>
      <w:r>
        <w:rPr>
          <w:rFonts w:hint="eastAsia" w:hAnsi="宋体" w:cs="宋体"/>
        </w:rPr>
        <w:t>付款结算方式：</w:t>
      </w:r>
      <w:r>
        <w:rPr>
          <w:rFonts w:hint="eastAsia" w:hAnsi="宋体" w:cs="宋体"/>
          <w:color w:val="000000"/>
        </w:rPr>
        <w:t>采用挂账付款结算方式，</w:t>
      </w:r>
      <w:r>
        <w:rPr>
          <w:rFonts w:hint="eastAsia" w:hAnsi="宋体" w:cs="宋体"/>
          <w:color w:val="000000"/>
          <w:highlight w:val="yellow"/>
        </w:rPr>
        <w:t>付款账期为</w:t>
      </w:r>
      <w:r>
        <w:rPr>
          <w:rFonts w:hAnsi="宋体" w:cs="宋体"/>
          <w:color w:val="000000"/>
          <w:highlight w:val="yellow"/>
        </w:rPr>
        <w:t>90</w:t>
      </w:r>
      <w:r>
        <w:rPr>
          <w:rFonts w:hint="eastAsia" w:hAnsi="宋体" w:cs="宋体"/>
          <w:color w:val="000000"/>
          <w:highlight w:val="yellow"/>
        </w:rPr>
        <w:t>天，</w:t>
      </w:r>
      <w:r>
        <w:rPr>
          <w:rFonts w:hint="eastAsia" w:hAnsi="宋体" w:cs="宋体"/>
          <w:color w:val="000000"/>
        </w:rPr>
        <w:t>付款方式为半年期商业汇票（包括银行承兑汇票和商业承兑汇票）。</w:t>
      </w:r>
    </w:p>
    <w:p>
      <w:pPr>
        <w:pStyle w:val="7"/>
        <w:spacing w:line="360" w:lineRule="auto"/>
        <w:rPr>
          <w:rFonts w:hint="eastAsia" w:hAnsi="宋体" w:cs="宋体"/>
          <w:color w:val="000000"/>
          <w:lang w:val="en-US" w:eastAsia="zh-CN"/>
        </w:rPr>
      </w:pPr>
      <w:r>
        <w:rPr>
          <w:rFonts w:hint="eastAsia" w:hAnsi="宋体" w:cs="宋体"/>
          <w:color w:val="000000"/>
          <w:lang w:val="en-US" w:eastAsia="zh-CN"/>
        </w:rPr>
        <w:t>2.5.4</w:t>
      </w:r>
      <w:r>
        <w:rPr>
          <w:rFonts w:hint="eastAsia" w:hAnsi="宋体" w:cs="宋体"/>
          <w:color w:val="000000"/>
        </w:rPr>
        <w:t>按</w:t>
      </w:r>
      <w:r>
        <w:rPr>
          <w:rFonts w:hint="eastAsia" w:hAnsi="宋体" w:cs="宋体"/>
          <w:color w:val="000000"/>
          <w:lang w:eastAsia="zh-CN"/>
        </w:rPr>
        <w:t>季度</w:t>
      </w:r>
      <w:r>
        <w:rPr>
          <w:rFonts w:hint="eastAsia" w:hAnsi="宋体" w:cs="宋体"/>
          <w:color w:val="000000"/>
        </w:rPr>
        <w:t>（每</w:t>
      </w:r>
      <w:r>
        <w:rPr>
          <w:rFonts w:hint="eastAsia" w:hAnsi="宋体" w:cs="宋体"/>
          <w:color w:val="000000"/>
          <w:lang w:eastAsia="zh-CN"/>
        </w:rPr>
        <w:t>季度</w:t>
      </w:r>
      <w:r>
        <w:rPr>
          <w:rFonts w:hint="eastAsia" w:hAnsi="宋体" w:cs="宋体"/>
          <w:color w:val="000000"/>
        </w:rPr>
        <w:t>按公司结算最后一天为结点）结算上</w:t>
      </w:r>
      <w:r>
        <w:rPr>
          <w:rFonts w:hint="eastAsia" w:hAnsi="宋体" w:cs="宋体"/>
          <w:color w:val="000000"/>
          <w:lang w:eastAsia="zh-CN"/>
        </w:rPr>
        <w:t>季度</w:t>
      </w:r>
      <w:r>
        <w:rPr>
          <w:rFonts w:hint="eastAsia" w:hAnsi="宋体" w:cs="宋体"/>
          <w:color w:val="000000"/>
        </w:rPr>
        <w:t>外包费用，</w:t>
      </w:r>
      <w:r>
        <w:rPr>
          <w:rFonts w:hint="eastAsia" w:hAnsi="宋体" w:cs="宋体"/>
          <w:color w:val="000000"/>
          <w:lang w:val="en-US" w:eastAsia="zh-CN"/>
        </w:rPr>
        <w:t>双方认可后,无质量问题,承揽方提交金额为合同价款100</w:t>
      </w:r>
      <w:r>
        <w:rPr>
          <w:rFonts w:hint="eastAsia" w:hAnsi="宋体" w:cs="宋体"/>
          <w:color w:val="000000"/>
        </w:rPr>
        <w:t>%的</w:t>
      </w:r>
      <w:r>
        <w:rPr>
          <w:rFonts w:hint="eastAsia" w:hAnsi="宋体" w:cs="宋体"/>
          <w:color w:val="000000"/>
          <w:lang w:eastAsia="zh-CN"/>
        </w:rPr>
        <w:t>增值税专用发票</w:t>
      </w:r>
      <w:r>
        <w:rPr>
          <w:rFonts w:hint="eastAsia" w:hAnsi="宋体" w:cs="宋体"/>
          <w:color w:val="000000"/>
        </w:rPr>
        <w:t>。委托方</w:t>
      </w:r>
      <w:r>
        <w:rPr>
          <w:rFonts w:hint="eastAsia" w:hAnsi="宋体" w:cs="宋体"/>
          <w:color w:val="000000"/>
          <w:lang w:eastAsia="zh-CN"/>
        </w:rPr>
        <w:t>根据财务管理流程，</w:t>
      </w:r>
      <w:r>
        <w:rPr>
          <w:rFonts w:hint="eastAsia" w:hAnsi="宋体" w:cs="宋体"/>
          <w:color w:val="000000"/>
          <w:highlight w:val="yellow"/>
          <w:lang w:eastAsia="zh-CN"/>
        </w:rPr>
        <w:t>按照规定</w:t>
      </w:r>
      <w:r>
        <w:rPr>
          <w:rFonts w:hint="eastAsia" w:hAnsi="宋体" w:cs="宋体"/>
          <w:color w:val="000000"/>
          <w:highlight w:val="yellow"/>
        </w:rPr>
        <w:t>挂账后</w:t>
      </w:r>
      <w:r>
        <w:rPr>
          <w:rFonts w:hint="eastAsia" w:hAnsi="宋体" w:cs="宋体"/>
          <w:color w:val="000000"/>
          <w:highlight w:val="yellow"/>
          <w:lang w:val="en-US" w:eastAsia="zh-CN"/>
        </w:rPr>
        <w:t>9</w:t>
      </w:r>
      <w:r>
        <w:rPr>
          <w:rFonts w:hint="eastAsia" w:hAnsi="宋体" w:cs="宋体"/>
          <w:color w:val="000000"/>
          <w:highlight w:val="yellow"/>
        </w:rPr>
        <w:t>0天账期</w:t>
      </w:r>
      <w:r>
        <w:rPr>
          <w:rFonts w:hint="eastAsia" w:hAnsi="宋体" w:cs="宋体"/>
          <w:color w:val="000000"/>
          <w:lang w:eastAsia="zh-CN"/>
        </w:rPr>
        <w:t>，</w:t>
      </w:r>
      <w:r>
        <w:rPr>
          <w:rFonts w:hint="eastAsia" w:hAnsi="宋体" w:cs="宋体"/>
          <w:color w:val="000000"/>
        </w:rPr>
        <w:t>账期满后提交资金计划</w:t>
      </w:r>
      <w:r>
        <w:rPr>
          <w:rFonts w:hint="eastAsia" w:hAnsi="宋体" w:cs="宋体"/>
          <w:color w:val="000000"/>
          <w:lang w:val="en-US" w:eastAsia="zh-CN"/>
        </w:rPr>
        <w:t>.</w:t>
      </w:r>
      <w:r>
        <w:rPr>
          <w:rFonts w:hint="eastAsia" w:hAnsi="宋体" w:cs="宋体"/>
          <w:color w:val="000000"/>
        </w:rPr>
        <w:t>承揽方</w:t>
      </w:r>
      <w:r>
        <w:rPr>
          <w:rFonts w:hint="eastAsia" w:hAnsi="宋体" w:cs="宋体"/>
          <w:color w:val="000000"/>
          <w:lang w:val="en-US" w:eastAsia="zh-CN"/>
        </w:rPr>
        <w:t>提交金额为合同含税价款9</w:t>
      </w:r>
      <w:r>
        <w:rPr>
          <w:rFonts w:hint="eastAsia" w:hAnsi="宋体" w:cs="宋体"/>
          <w:color w:val="000000"/>
        </w:rPr>
        <w:t>0%</w:t>
      </w:r>
      <w:r>
        <w:rPr>
          <w:rFonts w:hint="eastAsia" w:hAnsi="宋体" w:cs="宋体"/>
          <w:color w:val="000000"/>
          <w:lang w:eastAsia="zh-CN"/>
        </w:rPr>
        <w:t>的收据</w:t>
      </w:r>
      <w:r>
        <w:rPr>
          <w:rFonts w:hint="eastAsia" w:hAnsi="宋体" w:cs="宋体"/>
          <w:color w:val="000000"/>
          <w:lang w:val="en-US" w:eastAsia="zh-CN"/>
        </w:rPr>
        <w:t>,依照财务流程制度审核无误后次月支付</w:t>
      </w:r>
      <w:r>
        <w:rPr>
          <w:rFonts w:hint="eastAsia" w:hAnsi="宋体" w:cs="宋体"/>
          <w:color w:val="000000"/>
        </w:rPr>
        <w:t>。</w:t>
      </w:r>
    </w:p>
    <w:p>
      <w:pPr>
        <w:pStyle w:val="7"/>
        <w:spacing w:line="360" w:lineRule="auto"/>
        <w:rPr>
          <w:rFonts w:hint="eastAsia" w:hAnsi="宋体" w:eastAsia="宋体" w:cs="宋体"/>
          <w:color w:val="000000"/>
          <w:lang w:eastAsia="zh-CN"/>
        </w:rPr>
      </w:pPr>
      <w:r>
        <w:rPr>
          <w:rFonts w:hint="eastAsia" w:hAnsi="宋体" w:cs="宋体"/>
          <w:color w:val="000000"/>
          <w:lang w:val="en-US" w:eastAsia="zh-CN"/>
        </w:rPr>
        <w:t>2.5.5</w:t>
      </w:r>
      <w:r>
        <w:rPr>
          <w:rFonts w:hint="eastAsia" w:hAnsi="宋体" w:cs="宋体"/>
          <w:color w:val="000000"/>
        </w:rPr>
        <w:t>剩余合同总金额的约10%作为质量保证金，待该合同标的质量保证期满，经项目招标单位出具证明和必要的手续，委托方在</w:t>
      </w:r>
      <w:r>
        <w:rPr>
          <w:rFonts w:hint="eastAsia" w:hAnsi="宋体" w:cs="宋体"/>
          <w:color w:val="000000"/>
          <w:lang w:eastAsia="zh-CN"/>
        </w:rPr>
        <w:t>按照规定账期</w:t>
      </w:r>
      <w:r>
        <w:rPr>
          <w:rFonts w:hint="eastAsia" w:hAnsi="宋体" w:cs="宋体"/>
          <w:color w:val="000000"/>
        </w:rPr>
        <w:t>内内支付给承揽方该合同价格的约10%尾款（如有问题，应扣除相应部分款项）</w:t>
      </w:r>
      <w:r>
        <w:rPr>
          <w:rFonts w:hint="eastAsia" w:hAnsi="宋体" w:cs="宋体"/>
          <w:color w:val="000000"/>
          <w:lang w:eastAsia="zh-CN"/>
        </w:rPr>
        <w:t>。</w:t>
      </w:r>
    </w:p>
    <w:p>
      <w:pPr>
        <w:pStyle w:val="7"/>
        <w:spacing w:line="360" w:lineRule="auto"/>
        <w:ind w:firstLine="422" w:firstLineChars="200"/>
        <w:rPr>
          <w:b/>
        </w:rPr>
      </w:pPr>
      <w:r>
        <w:rPr>
          <w:rFonts w:hint="eastAsia"/>
          <w:b/>
          <w:lang w:val="en-US" w:eastAsia="zh-CN"/>
        </w:rPr>
        <w:t>3</w:t>
      </w:r>
      <w:r>
        <w:rPr>
          <w:rFonts w:hint="eastAsia"/>
          <w:b/>
        </w:rPr>
        <w:t>.技术规范及服务</w:t>
      </w:r>
    </w:p>
    <w:p>
      <w:pPr>
        <w:pStyle w:val="7"/>
        <w:spacing w:line="360" w:lineRule="auto"/>
        <w:ind w:firstLine="420" w:firstLineChars="200"/>
      </w:pPr>
      <w:r>
        <w:rPr>
          <w:rFonts w:hint="eastAsia"/>
        </w:rPr>
        <w:t>⑴投标人应与招标人指派的答疑人员充分沟通，理解认可并接受相关技术规范及服务要求；</w:t>
      </w:r>
    </w:p>
    <w:p>
      <w:pPr>
        <w:pStyle w:val="7"/>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7"/>
        <w:spacing w:line="360" w:lineRule="auto"/>
        <w:ind w:firstLine="422" w:firstLineChars="200"/>
        <w:rPr>
          <w:b/>
        </w:rPr>
      </w:pPr>
      <w:r>
        <w:rPr>
          <w:rFonts w:hint="eastAsia"/>
          <w:b/>
          <w:lang w:val="en-US" w:eastAsia="zh-CN"/>
        </w:rPr>
        <w:t>4</w:t>
      </w:r>
      <w:r>
        <w:rPr>
          <w:rFonts w:hint="eastAsia"/>
          <w:b/>
        </w:rPr>
        <w:t>.其他</w:t>
      </w:r>
    </w:p>
    <w:p>
      <w:pPr>
        <w:pStyle w:val="7"/>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7"/>
        <w:spacing w:line="360" w:lineRule="auto"/>
        <w:ind w:firstLine="420" w:firstLineChars="200"/>
        <w:rPr>
          <w:rFonts w:hint="eastAsia"/>
        </w:rPr>
      </w:pPr>
      <w:r>
        <w:rPr>
          <w:rFonts w:hint="eastAsia"/>
        </w:rPr>
        <w:t>其余未尽事宜，均按合同约定。</w:t>
      </w:r>
    </w:p>
    <w:p>
      <w:pPr>
        <w:pStyle w:val="7"/>
        <w:spacing w:line="360" w:lineRule="auto"/>
        <w:ind w:firstLine="420" w:firstLineChars="200"/>
        <w:rPr>
          <w:rFonts w:hint="default" w:eastAsia="宋体"/>
          <w:lang w:val="en-US" w:eastAsia="zh-CN"/>
        </w:rPr>
      </w:pPr>
      <w:r>
        <w:rPr>
          <w:rFonts w:hint="eastAsia"/>
          <w:lang w:val="en-US" w:eastAsia="zh-CN"/>
        </w:rPr>
        <w:t>该招标书最终解释权归中国重汽集团所有。</w:t>
      </w:r>
    </w:p>
    <w:p>
      <w:pPr>
        <w:pStyle w:val="7"/>
        <w:spacing w:line="360" w:lineRule="auto"/>
        <w:ind w:firstLine="422" w:firstLineChars="200"/>
        <w:rPr>
          <w:b/>
        </w:rPr>
      </w:pPr>
      <w:r>
        <w:rPr>
          <w:rFonts w:hint="eastAsia"/>
          <w:b/>
          <w:lang w:val="en-US" w:eastAsia="zh-CN"/>
        </w:rPr>
        <w:t>5</w:t>
      </w:r>
      <w:r>
        <w:rPr>
          <w:rFonts w:hint="eastAsia"/>
          <w:b/>
        </w:rPr>
        <w:t>.要求招标人或相关合同签订单位提供的配合，在标书文件中说明。</w:t>
      </w:r>
    </w:p>
    <w:p>
      <w:pPr>
        <w:pStyle w:val="7"/>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none"/>
          <w:u w:val="single"/>
          <w:lang w:val="en-US" w:eastAsia="zh-CN"/>
        </w:rPr>
        <w:t>20000</w:t>
      </w:r>
      <w:r>
        <w:rPr>
          <w:rFonts w:hint="eastAsia" w:ascii="宋体" w:hAnsi="Courier New"/>
          <w:highlight w:val="none"/>
          <w:u w:val="single"/>
        </w:rPr>
        <w:t>元</w:t>
      </w:r>
      <w:r>
        <w:rPr>
          <w:rFonts w:hint="eastAsia" w:ascii="宋体" w:hAnsi="Courier New"/>
          <w:highlight w:val="none"/>
        </w:rPr>
        <w:t>（人民币），作为投标人本次投标的保证金。</w:t>
      </w:r>
    </w:p>
    <w:p>
      <w:pPr>
        <w:spacing w:line="360" w:lineRule="auto"/>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⑵缴纳方式：电汇或网银，投标保证金应从基本账户转入，需备注“</w:t>
      </w:r>
      <w:r>
        <w:rPr>
          <w:rFonts w:hint="eastAsia" w:cs="Times New Roman"/>
          <w:highlight w:val="none"/>
          <w:lang w:val="en-US" w:eastAsia="zh-CN"/>
        </w:rPr>
        <w:t>中国重汽集团VOC废气处理设备外委运维项目</w:t>
      </w:r>
      <w:r>
        <w:rPr>
          <w:rFonts w:hint="eastAsia" w:ascii="Times New Roman" w:hAnsi="Times New Roman" w:eastAsia="宋体" w:cs="Times New Roman"/>
          <w:highlight w:val="none"/>
          <w:lang w:eastAsia="zh-CN"/>
        </w:rPr>
        <w:t>投标保证金”。</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接收单位：中国重型汽车集团有限公司</w:t>
      </w:r>
    </w:p>
    <w:p>
      <w:pPr>
        <w:spacing w:line="360" w:lineRule="auto"/>
        <w:ind w:firstLine="420" w:firstLineChars="200"/>
        <w:rPr>
          <w:rFonts w:hint="eastAsia" w:ascii="宋体" w:hAnsi="Courier New"/>
        </w:rPr>
      </w:pPr>
      <w:r>
        <w:rPr>
          <w:rFonts w:hint="eastAsia" w:ascii="宋体" w:hAnsi="宋体"/>
        </w:rPr>
        <w:t>⑷</w:t>
      </w:r>
      <w:r>
        <w:rPr>
          <w:rFonts w:hint="eastAsia" w:ascii="宋体" w:hAnsi="Courier New"/>
        </w:rPr>
        <w:t>转账信息：</w:t>
      </w:r>
    </w:p>
    <w:tbl>
      <w:tblPr>
        <w:tblStyle w:val="13"/>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7"/>
              <w:ind w:firstLine="420" w:firstLineChars="200"/>
            </w:pPr>
            <w:r>
              <w:rPr>
                <w:rFonts w:hint="eastAsia"/>
              </w:rPr>
              <w:t>开户银行：</w:t>
            </w:r>
            <w:r>
              <w:t>中国</w:t>
            </w:r>
            <w:r>
              <w:rPr>
                <w:rFonts w:hint="eastAsia"/>
                <w:lang w:val="en-US" w:eastAsia="zh-CN"/>
              </w:rPr>
              <w:t>工商</w:t>
            </w:r>
            <w:r>
              <w:t>银行济南天桥支行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7"/>
              <w:ind w:firstLine="420" w:firstLineChars="200"/>
            </w:pPr>
            <w:r>
              <w:rPr>
                <w:rFonts w:hint="eastAsia"/>
              </w:rPr>
              <w:t>户名：中国重型汽车集团有限公司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7"/>
              <w:ind w:firstLine="420" w:firstLineChars="200"/>
              <w:rPr>
                <w:rFonts w:hint="default" w:eastAsia="宋体"/>
                <w:lang w:val="en-US" w:eastAsia="zh-CN"/>
              </w:rPr>
            </w:pPr>
            <w:r>
              <w:rPr>
                <w:rFonts w:hint="eastAsia"/>
              </w:rPr>
              <w:t>账号：</w:t>
            </w:r>
            <w:r>
              <w:rPr>
                <w:rFonts w:hint="eastAsia"/>
                <w:lang w:val="en-US" w:eastAsia="zh-CN"/>
              </w:rPr>
              <w:t>1602005019200063284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7"/>
              <w:ind w:firstLine="420" w:firstLineChars="200"/>
            </w:pPr>
            <w:r>
              <w:rPr>
                <w:rFonts w:hint="eastAsia"/>
              </w:rPr>
              <w:t>纳税人识别号：</w:t>
            </w:r>
            <w:r>
              <w:t>91370000614140905P</w:t>
            </w:r>
          </w:p>
        </w:tc>
      </w:tr>
    </w:tbl>
    <w:p>
      <w:pPr>
        <w:spacing w:line="360" w:lineRule="auto"/>
        <w:ind w:firstLine="420" w:firstLineChars="200"/>
        <w:rPr>
          <w:rFonts w:ascii="宋体" w:hAnsi="Courier New"/>
          <w:highlight w:val="none"/>
        </w:rPr>
      </w:pPr>
      <w:r>
        <w:rPr>
          <w:rFonts w:hint="eastAsia" w:ascii="宋体" w:hAnsi="Courier New"/>
          <w:highlight w:val="none"/>
        </w:rPr>
        <w:t>⑸保证金截止时间：</w:t>
      </w:r>
      <w:r>
        <w:rPr>
          <w:rFonts w:hint="eastAsia" w:ascii="宋体" w:hAnsi="Courier New"/>
          <w:highlight w:val="none"/>
          <w:lang w:val="en-US" w:eastAsia="zh-CN"/>
        </w:rPr>
        <w:t>2023</w:t>
      </w:r>
      <w:r>
        <w:rPr>
          <w:rFonts w:hint="eastAsia" w:ascii="宋体" w:hAnsi="Courier New"/>
          <w:highlight w:val="none"/>
        </w:rPr>
        <w:t>年</w:t>
      </w:r>
      <w:r>
        <w:rPr>
          <w:rFonts w:hint="eastAsia" w:ascii="宋体" w:hAnsi="Courier New"/>
          <w:highlight w:val="none"/>
          <w:lang w:val="en-US" w:eastAsia="zh-CN"/>
        </w:rPr>
        <w:t>12</w:t>
      </w:r>
      <w:r>
        <w:rPr>
          <w:rFonts w:hint="eastAsia" w:ascii="宋体" w:hAnsi="Courier New"/>
          <w:highlight w:val="none"/>
        </w:rPr>
        <w:t>月</w:t>
      </w:r>
      <w:r>
        <w:rPr>
          <w:rFonts w:hint="eastAsia" w:ascii="宋体" w:hAnsi="Courier New"/>
          <w:highlight w:val="none"/>
          <w:lang w:val="en-US" w:eastAsia="zh-CN"/>
        </w:rPr>
        <w:t>11</w:t>
      </w:r>
      <w:r>
        <w:rPr>
          <w:rFonts w:hint="eastAsia" w:ascii="宋体" w:hAnsi="Courier New"/>
          <w:highlight w:val="none"/>
        </w:rPr>
        <w:t>日</w:t>
      </w:r>
      <w:r>
        <w:rPr>
          <w:rFonts w:hint="eastAsia" w:ascii="宋体" w:hAnsi="Courier New"/>
          <w:highlight w:val="none"/>
          <w:lang w:val="en-US" w:eastAsia="zh-CN"/>
        </w:rPr>
        <w:t>24</w:t>
      </w:r>
      <w:r>
        <w:rPr>
          <w:rFonts w:hint="eastAsia" w:ascii="宋体" w:hAnsi="Courier New"/>
          <w:highlight w:val="none"/>
        </w:rPr>
        <w:t>时</w:t>
      </w:r>
      <w:r>
        <w:rPr>
          <w:rFonts w:hint="eastAsia" w:ascii="宋体" w:hAnsi="Courier New"/>
          <w:highlight w:val="none"/>
          <w:lang w:val="en-US" w:eastAsia="zh-CN"/>
        </w:rPr>
        <w:t>0</w:t>
      </w:r>
      <w:r>
        <w:rPr>
          <w:rFonts w:hint="eastAsia" w:ascii="宋体" w:hAnsi="Courier New"/>
          <w:highlight w:val="none"/>
        </w:rPr>
        <w:t>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w:t>
      </w:r>
      <w:bookmarkStart w:id="2" w:name="_GoBack"/>
      <w:bookmarkEnd w:id="2"/>
      <w:r>
        <w:rPr>
          <w:rFonts w:ascii="宋体" w:hAnsi="Courier New"/>
        </w:rPr>
        <w:t>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w:t>
      </w:r>
      <w:r>
        <w:rPr>
          <w:rFonts w:hint="eastAsia" w:ascii="宋体" w:hAnsi="宋体"/>
          <w:lang w:val="en-US" w:eastAsia="zh-CN"/>
        </w:rPr>
        <w:t>9</w:t>
      </w:r>
      <w:r>
        <w:rPr>
          <w:rFonts w:hint="eastAsia" w:ascii="宋体" w:hAnsi="宋体"/>
        </w:rPr>
        <w:t>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7"/>
        <w:spacing w:line="360" w:lineRule="auto"/>
        <w:ind w:firstLine="420" w:firstLineChars="200"/>
      </w:pPr>
      <w:r>
        <w:rPr>
          <w:rFonts w:hint="eastAsia"/>
        </w:rPr>
        <w:t>（1）本次招标的开标、评标由招标人依法组织实施，本次招标采用技术标和商务标分级开标的模式。</w:t>
      </w:r>
    </w:p>
    <w:p>
      <w:pPr>
        <w:pStyle w:val="7"/>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7"/>
        <w:spacing w:line="360" w:lineRule="auto"/>
        <w:ind w:firstLine="420" w:firstLineChars="200"/>
      </w:pPr>
      <w:r>
        <w:rPr>
          <w:rFonts w:hint="eastAsia"/>
        </w:rPr>
        <w:t>（3）开标程序</w:t>
      </w:r>
    </w:p>
    <w:p>
      <w:pPr>
        <w:pStyle w:val="7"/>
        <w:spacing w:line="360" w:lineRule="auto"/>
        <w:ind w:firstLine="420" w:firstLineChars="200"/>
      </w:pPr>
      <w:r>
        <w:rPr>
          <w:rFonts w:hint="eastAsia"/>
        </w:rPr>
        <w:t>（a）宣布开标会议开始。</w:t>
      </w:r>
    </w:p>
    <w:p>
      <w:pPr>
        <w:pStyle w:val="7"/>
        <w:spacing w:line="360" w:lineRule="auto"/>
        <w:ind w:firstLine="420" w:firstLineChars="200"/>
      </w:pPr>
      <w:r>
        <w:rPr>
          <w:rFonts w:hint="eastAsia"/>
        </w:rPr>
        <w:t>（b）介绍与会人员。</w:t>
      </w:r>
    </w:p>
    <w:p>
      <w:pPr>
        <w:pStyle w:val="7"/>
        <w:spacing w:line="360" w:lineRule="auto"/>
        <w:ind w:firstLine="420" w:firstLineChars="200"/>
      </w:pPr>
      <w:r>
        <w:rPr>
          <w:rFonts w:hint="eastAsia"/>
        </w:rPr>
        <w:t>（c）核验投标人资格证件。</w:t>
      </w:r>
    </w:p>
    <w:p>
      <w:pPr>
        <w:pStyle w:val="7"/>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7"/>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7"/>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7"/>
        <w:spacing w:line="360" w:lineRule="auto"/>
        <w:ind w:firstLine="420" w:firstLineChars="200"/>
        <w:rPr>
          <w:color w:val="FF0000"/>
          <w:highlight w:val="none"/>
        </w:rPr>
      </w:pPr>
      <w:r>
        <w:rPr>
          <w:rFonts w:hint="eastAsia"/>
          <w:color w:val="FF0000"/>
          <w:highlight w:val="none"/>
        </w:rPr>
        <w:t>（g）技术标评分不带入商务标，按照评标合理最低价选择中标厂家。</w:t>
      </w:r>
    </w:p>
    <w:p>
      <w:pPr>
        <w:pStyle w:val="7"/>
        <w:spacing w:line="360" w:lineRule="auto"/>
        <w:ind w:firstLine="420" w:firstLineChars="200"/>
        <w:rPr>
          <w:highlight w:val="none"/>
        </w:rPr>
      </w:pPr>
      <w:r>
        <w:rPr>
          <w:rFonts w:hint="eastAsia"/>
          <w:highlight w:val="none"/>
        </w:rPr>
        <w:t>（h）招标人有权根据项目情况，采取多级评标模式，最终确定投标人排序。</w:t>
      </w:r>
    </w:p>
    <w:p>
      <w:pPr>
        <w:pStyle w:val="7"/>
        <w:spacing w:line="360" w:lineRule="auto"/>
        <w:ind w:firstLine="420" w:firstLineChars="200"/>
        <w:rPr>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pPr>
        <w:pStyle w:val="7"/>
        <w:spacing w:line="360" w:lineRule="auto"/>
        <w:ind w:firstLine="420" w:firstLineChars="200"/>
        <w:rPr>
          <w:rFonts w:hint="eastAsia" w:eastAsia="宋体"/>
          <w:color w:val="C00000"/>
          <w:highlight w:val="none"/>
          <w:lang w:eastAsia="zh-CN"/>
        </w:rPr>
      </w:pPr>
      <w:r>
        <w:rPr>
          <w:rFonts w:hint="eastAsia"/>
        </w:rPr>
        <w:t>（</w:t>
      </w:r>
      <w:r>
        <w:rPr>
          <w:rFonts w:hint="eastAsia"/>
          <w:lang w:val="en-US" w:eastAsia="zh-CN"/>
        </w:rPr>
        <w:t>4</w:t>
      </w:r>
      <w:r>
        <w:rPr>
          <w:rFonts w:hint="eastAsia"/>
        </w:rPr>
        <w:t>）</w:t>
      </w:r>
      <w:r>
        <w:rPr>
          <w:rFonts w:hint="eastAsia"/>
          <w:lang w:val="en-US" w:eastAsia="zh-CN"/>
        </w:rPr>
        <w:t>报价：</w:t>
      </w:r>
      <w:r>
        <w:rPr>
          <w:rFonts w:hint="eastAsia" w:ascii="宋体" w:hAnsi="Courier New"/>
          <w:highlight w:val="yellow"/>
        </w:rPr>
        <w:t>不含税金额：元（人民币）</w:t>
      </w:r>
      <w:r>
        <w:rPr>
          <w:rFonts w:hint="eastAsia"/>
        </w:rPr>
        <w:t>，含税</w:t>
      </w:r>
      <w:r>
        <w:rPr>
          <w:rFonts w:hint="eastAsia"/>
          <w:lang w:eastAsia="zh-CN"/>
        </w:rPr>
        <w:t>（</w:t>
      </w:r>
      <w:r>
        <w:rPr>
          <w:rFonts w:hint="eastAsia" w:cs="Times New Roman"/>
          <w:lang w:val="en-US" w:eastAsia="zh-CN"/>
        </w:rPr>
        <w:t>6</w:t>
      </w:r>
      <w:r>
        <w:rPr>
          <w:rFonts w:hint="eastAsia" w:ascii="宋体" w:hAnsi="Courier New" w:eastAsia="宋体" w:cs="Times New Roman"/>
          <w:lang w:val="en-US" w:eastAsia="zh-CN"/>
        </w:rPr>
        <w:t>%</w:t>
      </w:r>
      <w:r>
        <w:rPr>
          <w:rFonts w:hint="eastAsia"/>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hint="eastAsia"/>
          <w:highlight w:val="yellow"/>
          <w:lang w:eastAsia="zh-CN"/>
        </w:rPr>
        <w:t>。</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rPr>
          <w:highlight w:val="none"/>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w:t>
      </w:r>
      <w:r>
        <w:rPr>
          <w:rFonts w:hint="eastAsia" w:ascii="宋体" w:hAnsi="Courier New"/>
          <w:szCs w:val="22"/>
          <w:highlight w:val="none"/>
        </w:rPr>
        <w:t>提下，</w:t>
      </w:r>
      <w:r>
        <w:rPr>
          <w:rFonts w:hint="eastAsia"/>
          <w:highlight w:val="none"/>
        </w:rPr>
        <w:t>按照合理最低价的原则选择中标厂家</w:t>
      </w:r>
      <w:r>
        <w:rPr>
          <w:rFonts w:hint="eastAsia" w:ascii="宋体" w:hAnsi="Courier New"/>
          <w:szCs w:val="22"/>
          <w:highlight w:val="none"/>
        </w:rPr>
        <w:t>。</w:t>
      </w:r>
    </w:p>
    <w:p>
      <w:r>
        <w:rPr>
          <w:rFonts w:hint="eastAsia" w:ascii="宋体" w:hAnsi="Courier New"/>
          <w:b/>
        </w:rPr>
        <w:br w:type="page"/>
      </w:r>
    </w:p>
    <w:p>
      <w:pPr>
        <w:pStyle w:val="7"/>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13"/>
        <w:tblW w:w="5009" w:type="pct"/>
        <w:jc w:val="center"/>
        <w:tblLayout w:type="fixed"/>
        <w:tblCellMar>
          <w:top w:w="0" w:type="dxa"/>
          <w:left w:w="0" w:type="dxa"/>
          <w:bottom w:w="0" w:type="dxa"/>
          <w:right w:w="0" w:type="dxa"/>
        </w:tblCellMar>
      </w:tblPr>
      <w:tblGrid>
        <w:gridCol w:w="610"/>
        <w:gridCol w:w="494"/>
        <w:gridCol w:w="808"/>
        <w:gridCol w:w="565"/>
        <w:gridCol w:w="6633"/>
      </w:tblGrid>
      <w:tr>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1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技术方案及组织措施</w:t>
            </w:r>
          </w:p>
        </w:tc>
        <w:tc>
          <w:tcPr>
            <w:tcW w:w="31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w:t>
            </w:r>
            <w:r>
              <w:rPr>
                <w:rFonts w:hint="eastAsia" w:ascii="宋体" w:hAnsi="宋体" w:cs="宋体"/>
                <w:lang w:eastAsia="zh-CN"/>
              </w:rPr>
              <w:t>、</w:t>
            </w:r>
            <w:r>
              <w:rPr>
                <w:rFonts w:hint="eastAsia" w:ascii="宋体" w:hAnsi="宋体" w:cs="宋体"/>
              </w:rPr>
              <w:t>技术先进，并列出较多具备相关资质与经验的施工人员及维修设备，酌情得</w:t>
            </w:r>
            <w:r>
              <w:rPr>
                <w:rFonts w:hint="eastAsia" w:ascii="宋体" w:hAnsi="宋体" w:cs="宋体"/>
                <w:lang w:val="en-US" w:eastAsia="zh-CN"/>
              </w:rPr>
              <w:t>36-60</w:t>
            </w:r>
            <w:r>
              <w:rPr>
                <w:rFonts w:hint="eastAsia" w:ascii="宋体" w:hAnsi="宋体" w:cs="宋体"/>
              </w:rPr>
              <w:t>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w:t>
            </w:r>
            <w:r>
              <w:rPr>
                <w:rFonts w:hint="eastAsia" w:ascii="宋体" w:hAnsi="宋体" w:cs="宋体"/>
                <w:lang w:eastAsia="zh-CN"/>
              </w:rPr>
              <w:t>、</w:t>
            </w:r>
            <w:r>
              <w:rPr>
                <w:rFonts w:hint="eastAsia" w:ascii="宋体" w:hAnsi="宋体" w:cs="宋体"/>
              </w:rPr>
              <w:t>技术水平一般，施工人员具备一定资质，酌情得</w:t>
            </w:r>
            <w:r>
              <w:rPr>
                <w:rFonts w:hint="eastAsia" w:ascii="宋体" w:hAnsi="宋体" w:cs="宋体"/>
                <w:lang w:val="en-US" w:eastAsia="zh-CN"/>
              </w:rPr>
              <w:t>18-36</w:t>
            </w:r>
            <w:r>
              <w:rPr>
                <w:rFonts w:hint="eastAsia" w:ascii="宋体" w:hAnsi="宋体" w:cs="宋体"/>
              </w:rPr>
              <w:t>分；</w:t>
            </w:r>
          </w:p>
          <w:p>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szCs w:val="21"/>
              </w:rPr>
              <w:t>现场答疑</w:t>
            </w:r>
          </w:p>
        </w:tc>
        <w:tc>
          <w:tcPr>
            <w:tcW w:w="31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15</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15</w:t>
            </w:r>
            <w:r>
              <w:rPr>
                <w:rFonts w:hint="eastAsia" w:ascii="宋体" w:hAnsi="宋体" w:cs="宋体"/>
                <w:kern w:val="0"/>
                <w:szCs w:val="21"/>
                <w:lang w:bidi="ar"/>
              </w:rPr>
              <w:t xml:space="preserve">分；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条款响应</w:t>
            </w:r>
          </w:p>
        </w:tc>
        <w:tc>
          <w:tcPr>
            <w:tcW w:w="31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Calibri" w:hAnsi="Calibri" w:eastAsia="宋体"/>
                <w:lang w:val="en-US" w:eastAsia="zh-CN"/>
              </w:rPr>
            </w:pPr>
            <w:r>
              <w:rPr>
                <w:rFonts w:hint="eastAsia" w:ascii="Calibri" w:hAnsi="Calibri"/>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color w:val="000000"/>
                <w:szCs w:val="21"/>
                <w:shd w:val="clear" w:color="auto" w:fill="FFFFFF"/>
              </w:rPr>
              <w:t>业绩</w:t>
            </w:r>
          </w:p>
        </w:tc>
        <w:tc>
          <w:tcPr>
            <w:tcW w:w="31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15</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w:t>
            </w:r>
            <w:r>
              <w:rPr>
                <w:rFonts w:hint="eastAsia" w:ascii="宋体" w:hAnsi="宋体" w:cs="Calibri"/>
                <w:bCs/>
                <w:szCs w:val="21"/>
                <w:lang w:val="en-US" w:eastAsia="zh-CN"/>
              </w:rPr>
              <w:t>9</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hint="eastAsia" w:ascii="宋体" w:hAnsi="宋体" w:cs="宋体"/>
                <w:lang w:val="en-US" w:eastAsia="zh-CN"/>
              </w:rPr>
              <w:t>3</w:t>
            </w:r>
            <w:r>
              <w:rPr>
                <w:rFonts w:hint="eastAsia" w:ascii="宋体" w:hAnsi="宋体" w:cs="宋体"/>
              </w:rPr>
              <w:t>分，最多得</w:t>
            </w:r>
            <w:r>
              <w:rPr>
                <w:rFonts w:hint="eastAsia" w:ascii="宋体" w:hAnsi="宋体" w:cs="宋体"/>
                <w:lang w:val="en-US" w:eastAsia="zh-CN"/>
              </w:rPr>
              <w:t>15</w:t>
            </w:r>
            <w:r>
              <w:rPr>
                <w:rFonts w:hint="eastAsia" w:ascii="宋体" w:hAnsi="宋体" w:cs="宋体"/>
              </w:rPr>
              <w:t>分(必须提供合同原件,否则不得分)。</w:t>
            </w:r>
          </w:p>
        </w:tc>
      </w:tr>
      <w:tr>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cs="宋体"/>
                <w:i w:val="0"/>
                <w:color w:val="000000"/>
                <w:kern w:val="0"/>
                <w:sz w:val="21"/>
                <w:szCs w:val="21"/>
                <w:highlight w:val="none"/>
                <w:u w:val="none"/>
                <w:lang w:val="en-US" w:eastAsia="zh-CN" w:bidi="ar"/>
              </w:rPr>
              <w:t>；</w:t>
            </w:r>
          </w:p>
          <w:p>
            <w:pPr>
              <w:jc w:val="left"/>
              <w:textAlignment w:val="center"/>
              <w:rPr>
                <w:rFonts w:hint="eastAsia" w:ascii="宋体" w:hAnsi="宋体" w:cs="宋体"/>
                <w:color w:val="000000"/>
                <w:kern w:val="0"/>
                <w:szCs w:val="21"/>
                <w:lang w:bidi="ar"/>
              </w:rPr>
            </w:pP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p>
          <w:p>
            <w:pPr>
              <w:jc w:val="left"/>
              <w:textAlignment w:val="center"/>
              <w:rPr>
                <w:rFonts w:hint="eastAsia"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w:t>
            </w:r>
            <w:r>
              <w:rPr>
                <w:rFonts w:hint="eastAsia" w:ascii="宋体" w:hAnsi="宋体" w:cs="宋体"/>
                <w:i w:val="0"/>
                <w:color w:val="000000"/>
                <w:kern w:val="0"/>
                <w:sz w:val="21"/>
                <w:szCs w:val="21"/>
                <w:highlight w:val="none"/>
                <w:u w:val="none"/>
                <w:lang w:val="en-US" w:eastAsia="zh-CN" w:bidi="ar"/>
              </w:rPr>
              <w:t>人民币</w:t>
            </w:r>
            <w:r>
              <w:rPr>
                <w:rFonts w:hint="eastAsia" w:ascii="宋体" w:hAnsi="宋体" w:eastAsia="宋体" w:cs="宋体"/>
                <w:i w:val="0"/>
                <w:color w:val="000000"/>
                <w:kern w:val="0"/>
                <w:sz w:val="21"/>
                <w:szCs w:val="21"/>
                <w:highlight w:val="none"/>
                <w:u w:val="none"/>
                <w:lang w:val="en-US" w:eastAsia="zh-CN" w:bidi="ar"/>
              </w:rPr>
              <w:t>）为单位计算，百分率、得分值小数点后保留两位，第三位四舍五入</w:t>
            </w:r>
            <w:r>
              <w:rPr>
                <w:rFonts w:hint="eastAsia" w:ascii="宋体" w:hAnsi="宋体" w:cs="宋体"/>
                <w:i w:val="0"/>
                <w:color w:val="000000"/>
                <w:kern w:val="0"/>
                <w:sz w:val="21"/>
                <w:szCs w:val="21"/>
                <w:highlight w:val="none"/>
                <w:u w:val="none"/>
                <w:lang w:val="en-US" w:eastAsia="zh-CN" w:bidi="ar"/>
              </w:rPr>
              <w:t>；</w:t>
            </w:r>
          </w:p>
          <w:p>
            <w:pPr>
              <w:jc w:val="left"/>
              <w:textAlignment w:val="center"/>
              <w:rPr>
                <w:rFonts w:ascii="宋体" w:cs="宋体"/>
                <w:szCs w:val="21"/>
              </w:rPr>
            </w:pP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rPr>
              <w:t>备注：</w:t>
            </w:r>
          </w:p>
          <w:p>
            <w:pPr>
              <w:widowControl/>
              <w:numPr>
                <w:ilvl w:val="0"/>
                <w:numId w:val="3"/>
              </w:numPr>
              <w:jc w:val="left"/>
              <w:rPr>
                <w:color w:val="auto"/>
              </w:rPr>
            </w:pPr>
            <w:r>
              <w:rPr>
                <w:rFonts w:hint="eastAsia"/>
              </w:rPr>
              <w:t>通过初审者为有效投标</w:t>
            </w:r>
            <w:r>
              <w:rPr>
                <w:rFonts w:hint="eastAsia"/>
                <w:color w:val="auto"/>
                <w:lang w:val="en-US" w:eastAsia="zh-CN"/>
              </w:rPr>
              <w:t>。</w:t>
            </w:r>
          </w:p>
          <w:p>
            <w:pPr>
              <w:widowControl/>
              <w:jc w:val="left"/>
              <w:rPr>
                <w:rFonts w:hint="eastAsia"/>
              </w:rPr>
            </w:pPr>
            <w:r>
              <w:rPr>
                <w:rFonts w:hint="eastAsia"/>
                <w:lang w:val="en-US" w:eastAsia="zh-CN"/>
              </w:rPr>
              <w:t>2、</w:t>
            </w:r>
            <w:r>
              <w:rPr>
                <w:rFonts w:hint="eastAsia"/>
              </w:rPr>
              <w:t>商务分相同的，依照技术优先次序进行排名。若上述排名皆相同的，则由全体评委成员无记名投票，得票高者排序在前。</w:t>
            </w:r>
          </w:p>
          <w:p>
            <w:pPr>
              <w:widowControl/>
              <w:jc w:val="left"/>
            </w:pPr>
            <w:r>
              <w:rPr>
                <w:rFonts w:hint="eastAsia"/>
              </w:rPr>
              <w:t>3、评委打分不得超过得分界限。</w:t>
            </w:r>
          </w:p>
          <w:p>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pPr>
              <w:pStyle w:val="2"/>
              <w:rPr>
                <w:rFonts w:hint="default"/>
                <w:lang w:val="en-US" w:eastAsia="zh-CN"/>
              </w:rPr>
            </w:pPr>
            <w:r>
              <w:rPr>
                <w:rFonts w:hint="eastAsia" w:ascii="Times New Roman" w:hAnsi="Times New Roman" w:eastAsia="宋体" w:cs="Times New Roman"/>
                <w:color w:val="FF0000"/>
                <w:kern w:val="2"/>
                <w:sz w:val="21"/>
                <w:szCs w:val="20"/>
                <w:lang w:val="en-US" w:eastAsia="zh-CN" w:bidi="ar-SA"/>
              </w:rPr>
              <w:t>5、本次招标每个包次只一个中标单位，所投项目必须包含该包次所有内容。</w:t>
            </w:r>
          </w:p>
        </w:tc>
      </w:tr>
    </w:tbl>
    <w:p>
      <w:pPr>
        <w:pStyle w:val="7"/>
        <w:spacing w:line="360" w:lineRule="auto"/>
        <w:rPr>
          <w:rFonts w:ascii="黑体" w:eastAsia="黑体"/>
          <w:b/>
          <w:bCs/>
          <w:sz w:val="28"/>
          <w:highlight w:val="none"/>
        </w:rPr>
      </w:pPr>
      <w:r>
        <w:rPr>
          <w:rFonts w:hint="eastAsia" w:ascii="黑体" w:eastAsia="黑体"/>
          <w:b/>
          <w:bCs/>
          <w:sz w:val="28"/>
          <w:highlight w:val="none"/>
        </w:rPr>
        <w:t>八、合同签订</w:t>
      </w:r>
    </w:p>
    <w:p>
      <w:pPr>
        <w:pStyle w:val="7"/>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7"/>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7"/>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7"/>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7"/>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7"/>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7"/>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7"/>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⑼被其他投标人举报、检举，并经查实属实的；</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pPr>
        <w:spacing w:line="520" w:lineRule="exact"/>
        <w:ind w:right="2" w:firstLine="420" w:firstLineChars="200"/>
        <w:rPr>
          <w:rFonts w:hint="eastAsia" w:ascii="宋体" w:hAnsi="宋体"/>
          <w:lang w:val="en-US" w:eastAsia="zh-CN"/>
        </w:rPr>
      </w:pPr>
      <w:r>
        <w:rPr>
          <w:rFonts w:hint="eastAsia" w:ascii="宋体" w:hAnsi="宋体"/>
          <w:lang w:val="en-US" w:eastAsia="zh-CN"/>
        </w:rPr>
        <w:t>⑾评标委员会经评审，认为所有投标都不符合招标文件要求的；</w:t>
      </w:r>
    </w:p>
    <w:p>
      <w:pPr>
        <w:spacing w:line="520" w:lineRule="exact"/>
        <w:ind w:right="2" w:firstLine="420" w:firstLineChars="200"/>
        <w:rPr>
          <w:rFonts w:hint="eastAsia"/>
          <w:lang w:val="en-US" w:eastAsia="zh-CN"/>
        </w:rPr>
      </w:pPr>
      <w:r>
        <w:rPr>
          <w:rFonts w:hint="eastAsia" w:ascii="宋体" w:hAnsi="宋体"/>
          <w:lang w:val="en-US" w:eastAsia="zh-CN"/>
        </w:rPr>
        <w:t>⑿投标人承诺并同意因招标人公司政策变化引起的随时终止项目的情形，并自行承担由此带来的一切损失。</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7"/>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pPr>
        <w:pStyle w:val="7"/>
        <w:spacing w:line="360" w:lineRule="auto"/>
        <w:rPr>
          <w:rFonts w:ascii="黑体" w:eastAsia="黑体"/>
          <w:b/>
          <w:bCs/>
          <w:sz w:val="28"/>
          <w:highlight w:val="none"/>
        </w:rPr>
      </w:pPr>
      <w:r>
        <w:rPr>
          <w:rFonts w:hint="eastAsia" w:ascii="黑体" w:eastAsia="黑体"/>
          <w:b/>
          <w:bCs/>
          <w:sz w:val="28"/>
          <w:highlight w:val="none"/>
        </w:rPr>
        <w:t>十一、技术要求</w:t>
      </w:r>
    </w:p>
    <w:p>
      <w:pPr>
        <w:pStyle w:val="7"/>
        <w:spacing w:line="360" w:lineRule="auto"/>
        <w:ind w:left="420" w:hanging="420" w:hangingChars="200"/>
        <w:rPr>
          <w:highlight w:val="none"/>
        </w:rPr>
      </w:pPr>
      <w:r>
        <w:rPr>
          <w:rFonts w:hint="eastAsia"/>
          <w:highlight w:val="none"/>
        </w:rPr>
        <w:t xml:space="preserve">    见本招标文件“第三章 技术协议书”，附后。</w:t>
      </w:r>
    </w:p>
    <w:p>
      <w:pPr>
        <w:pStyle w:val="7"/>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pPr>
        <w:pStyle w:val="7"/>
        <w:numPr>
          <w:ilvl w:val="0"/>
          <w:numId w:val="4"/>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7"/>
        <w:numPr>
          <w:ilvl w:val="0"/>
          <w:numId w:val="4"/>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pPr>
        <w:rPr>
          <w:rFonts w:hint="eastAsia"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- 22 -</w:t>
    </w:r>
    <w:r>
      <w:fldChar w:fldCharType="end"/>
    </w:r>
  </w:p>
  <w:p>
    <w:pPr>
      <w:pStyle w:val="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D78AE24"/>
    <w:multiLevelType w:val="singleLevel"/>
    <w:tmpl w:val="FD78AE24"/>
    <w:lvl w:ilvl="0" w:tentative="0">
      <w:start w:val="4"/>
      <w:numFmt w:val="decimal"/>
      <w:lvlText w:val="%1."/>
      <w:lvlJc w:val="left"/>
      <w:pPr>
        <w:tabs>
          <w:tab w:val="left" w:pos="312"/>
        </w:tabs>
      </w:pPr>
    </w:lvl>
  </w:abstractNum>
  <w:abstractNum w:abstractNumId="3">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DFjMDZlMzNlYTZkMTkyNDRhNTkwNTQwYjhiNDkifQ=="/>
  </w:docVars>
  <w:rsids>
    <w:rsidRoot w:val="00AE6CD8"/>
    <w:rsid w:val="000A03AF"/>
    <w:rsid w:val="00731BBD"/>
    <w:rsid w:val="00744E49"/>
    <w:rsid w:val="009D5DC8"/>
    <w:rsid w:val="00AE6CD8"/>
    <w:rsid w:val="00D07B9F"/>
    <w:rsid w:val="00D77B67"/>
    <w:rsid w:val="00FD659B"/>
    <w:rsid w:val="01343700"/>
    <w:rsid w:val="013B2357"/>
    <w:rsid w:val="029D6B7B"/>
    <w:rsid w:val="036C4D0C"/>
    <w:rsid w:val="041555D9"/>
    <w:rsid w:val="041A1188"/>
    <w:rsid w:val="042758F3"/>
    <w:rsid w:val="04505DA4"/>
    <w:rsid w:val="049824E7"/>
    <w:rsid w:val="04BC5297"/>
    <w:rsid w:val="05DD06BF"/>
    <w:rsid w:val="062B066A"/>
    <w:rsid w:val="08892439"/>
    <w:rsid w:val="09630EDC"/>
    <w:rsid w:val="098A23AE"/>
    <w:rsid w:val="0ACA278E"/>
    <w:rsid w:val="0C1C246B"/>
    <w:rsid w:val="0E1717EB"/>
    <w:rsid w:val="0E190AF5"/>
    <w:rsid w:val="0E26697C"/>
    <w:rsid w:val="0E7E0566"/>
    <w:rsid w:val="0F3455E8"/>
    <w:rsid w:val="0F46207F"/>
    <w:rsid w:val="0F7F00F1"/>
    <w:rsid w:val="1030707C"/>
    <w:rsid w:val="10593038"/>
    <w:rsid w:val="10E250B3"/>
    <w:rsid w:val="115919CD"/>
    <w:rsid w:val="124E0DA1"/>
    <w:rsid w:val="12E83BAB"/>
    <w:rsid w:val="130677BB"/>
    <w:rsid w:val="139D445C"/>
    <w:rsid w:val="13BC5DB8"/>
    <w:rsid w:val="14184FB8"/>
    <w:rsid w:val="14622E4E"/>
    <w:rsid w:val="164A498D"/>
    <w:rsid w:val="16921AF3"/>
    <w:rsid w:val="17025F34"/>
    <w:rsid w:val="18015B42"/>
    <w:rsid w:val="18354086"/>
    <w:rsid w:val="18675BED"/>
    <w:rsid w:val="19960E59"/>
    <w:rsid w:val="199E1051"/>
    <w:rsid w:val="19E44E8B"/>
    <w:rsid w:val="1AC17A63"/>
    <w:rsid w:val="1AC86132"/>
    <w:rsid w:val="1ADC0AEE"/>
    <w:rsid w:val="1AF37D10"/>
    <w:rsid w:val="1B774FAC"/>
    <w:rsid w:val="1C142509"/>
    <w:rsid w:val="1C9D3366"/>
    <w:rsid w:val="1D17405F"/>
    <w:rsid w:val="1DEA2432"/>
    <w:rsid w:val="1DF146E0"/>
    <w:rsid w:val="1E9C2349"/>
    <w:rsid w:val="1FDB75C6"/>
    <w:rsid w:val="2044620F"/>
    <w:rsid w:val="205E1FA5"/>
    <w:rsid w:val="20736297"/>
    <w:rsid w:val="20BE7B4F"/>
    <w:rsid w:val="20C77B4A"/>
    <w:rsid w:val="2123032B"/>
    <w:rsid w:val="21937A2C"/>
    <w:rsid w:val="21C978F2"/>
    <w:rsid w:val="23AC0C12"/>
    <w:rsid w:val="23F77963"/>
    <w:rsid w:val="24704055"/>
    <w:rsid w:val="24794872"/>
    <w:rsid w:val="24A255AA"/>
    <w:rsid w:val="24AD52A9"/>
    <w:rsid w:val="26AB75C6"/>
    <w:rsid w:val="26F15641"/>
    <w:rsid w:val="275622C5"/>
    <w:rsid w:val="27C22E19"/>
    <w:rsid w:val="27DB07FD"/>
    <w:rsid w:val="28DC3349"/>
    <w:rsid w:val="2A385748"/>
    <w:rsid w:val="2A564D67"/>
    <w:rsid w:val="2AF459E0"/>
    <w:rsid w:val="2BA86359"/>
    <w:rsid w:val="2BC32913"/>
    <w:rsid w:val="2BCD3BBB"/>
    <w:rsid w:val="2CBA2771"/>
    <w:rsid w:val="2DE928A8"/>
    <w:rsid w:val="2DFF51EF"/>
    <w:rsid w:val="2E50561E"/>
    <w:rsid w:val="2E7806D6"/>
    <w:rsid w:val="2ED7593C"/>
    <w:rsid w:val="30AF64B9"/>
    <w:rsid w:val="30BF439A"/>
    <w:rsid w:val="31577273"/>
    <w:rsid w:val="31E06934"/>
    <w:rsid w:val="324A1457"/>
    <w:rsid w:val="32F37FFD"/>
    <w:rsid w:val="33E81E5A"/>
    <w:rsid w:val="33F12316"/>
    <w:rsid w:val="341E1D1F"/>
    <w:rsid w:val="34F04D34"/>
    <w:rsid w:val="350257E4"/>
    <w:rsid w:val="361208B0"/>
    <w:rsid w:val="364D211A"/>
    <w:rsid w:val="373C13A7"/>
    <w:rsid w:val="39805B4C"/>
    <w:rsid w:val="39B91193"/>
    <w:rsid w:val="3A230C04"/>
    <w:rsid w:val="3B627849"/>
    <w:rsid w:val="3C51583E"/>
    <w:rsid w:val="3C553E04"/>
    <w:rsid w:val="3C593031"/>
    <w:rsid w:val="3C5E0698"/>
    <w:rsid w:val="3C7D42C9"/>
    <w:rsid w:val="3D89020A"/>
    <w:rsid w:val="3DB159B2"/>
    <w:rsid w:val="3E6D124E"/>
    <w:rsid w:val="3F11495A"/>
    <w:rsid w:val="3F72206C"/>
    <w:rsid w:val="40D46108"/>
    <w:rsid w:val="41FE72A3"/>
    <w:rsid w:val="4221593A"/>
    <w:rsid w:val="42A40A2F"/>
    <w:rsid w:val="430976F7"/>
    <w:rsid w:val="43556BF6"/>
    <w:rsid w:val="43C45BBD"/>
    <w:rsid w:val="43FF1016"/>
    <w:rsid w:val="44264D71"/>
    <w:rsid w:val="443F5703"/>
    <w:rsid w:val="44817E8C"/>
    <w:rsid w:val="44A2785B"/>
    <w:rsid w:val="45216F7A"/>
    <w:rsid w:val="455C26A8"/>
    <w:rsid w:val="467862E6"/>
    <w:rsid w:val="46793E20"/>
    <w:rsid w:val="47402BAF"/>
    <w:rsid w:val="47D06A35"/>
    <w:rsid w:val="47D85991"/>
    <w:rsid w:val="48416A6B"/>
    <w:rsid w:val="4852493A"/>
    <w:rsid w:val="493608BA"/>
    <w:rsid w:val="493A0EAE"/>
    <w:rsid w:val="49983428"/>
    <w:rsid w:val="49CF657C"/>
    <w:rsid w:val="4A062BE2"/>
    <w:rsid w:val="4ABA40F8"/>
    <w:rsid w:val="4AEF1450"/>
    <w:rsid w:val="4B4E03C7"/>
    <w:rsid w:val="4B5856BF"/>
    <w:rsid w:val="4B7778F3"/>
    <w:rsid w:val="4B8D5E3B"/>
    <w:rsid w:val="4C7E4BF4"/>
    <w:rsid w:val="4D87403A"/>
    <w:rsid w:val="4DD8303E"/>
    <w:rsid w:val="4E6F4284"/>
    <w:rsid w:val="4E8326E2"/>
    <w:rsid w:val="4F7E40D5"/>
    <w:rsid w:val="501F70B7"/>
    <w:rsid w:val="506A5C79"/>
    <w:rsid w:val="51703763"/>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F56770"/>
    <w:rsid w:val="58472D43"/>
    <w:rsid w:val="585563A7"/>
    <w:rsid w:val="58C61EBA"/>
    <w:rsid w:val="58F05189"/>
    <w:rsid w:val="596040BD"/>
    <w:rsid w:val="597C40AD"/>
    <w:rsid w:val="5A0A5DD6"/>
    <w:rsid w:val="5A410A83"/>
    <w:rsid w:val="5B091FF9"/>
    <w:rsid w:val="5B8B1199"/>
    <w:rsid w:val="5C3B671B"/>
    <w:rsid w:val="5C97238E"/>
    <w:rsid w:val="5CA144AE"/>
    <w:rsid w:val="5CD56B70"/>
    <w:rsid w:val="5CEB6393"/>
    <w:rsid w:val="5D0E5D09"/>
    <w:rsid w:val="5D0F63CE"/>
    <w:rsid w:val="5ECE3876"/>
    <w:rsid w:val="5ED40878"/>
    <w:rsid w:val="5F9C1BC7"/>
    <w:rsid w:val="5FF871D2"/>
    <w:rsid w:val="60BA413E"/>
    <w:rsid w:val="60CA5E29"/>
    <w:rsid w:val="63AB18D5"/>
    <w:rsid w:val="63C93E46"/>
    <w:rsid w:val="6409549B"/>
    <w:rsid w:val="641C6E32"/>
    <w:rsid w:val="64520E2E"/>
    <w:rsid w:val="64630F05"/>
    <w:rsid w:val="6486074F"/>
    <w:rsid w:val="649A318E"/>
    <w:rsid w:val="64C061E0"/>
    <w:rsid w:val="66E81180"/>
    <w:rsid w:val="66F830AB"/>
    <w:rsid w:val="67090333"/>
    <w:rsid w:val="679C1CD0"/>
    <w:rsid w:val="67CC52C7"/>
    <w:rsid w:val="67D54704"/>
    <w:rsid w:val="67DC6EB3"/>
    <w:rsid w:val="69012A9A"/>
    <w:rsid w:val="69672B89"/>
    <w:rsid w:val="696C260A"/>
    <w:rsid w:val="69DB32EB"/>
    <w:rsid w:val="6A1E1172"/>
    <w:rsid w:val="6A464C09"/>
    <w:rsid w:val="6B686EFE"/>
    <w:rsid w:val="6B967216"/>
    <w:rsid w:val="6BD77154"/>
    <w:rsid w:val="6CDD4ECA"/>
    <w:rsid w:val="6E0D5578"/>
    <w:rsid w:val="6E9178AA"/>
    <w:rsid w:val="6EC34E26"/>
    <w:rsid w:val="6FF36CE4"/>
    <w:rsid w:val="70C77D48"/>
    <w:rsid w:val="716B4622"/>
    <w:rsid w:val="71816E6E"/>
    <w:rsid w:val="740B6DF1"/>
    <w:rsid w:val="7419513C"/>
    <w:rsid w:val="74795AC3"/>
    <w:rsid w:val="749B0247"/>
    <w:rsid w:val="757A1C0A"/>
    <w:rsid w:val="77D4166A"/>
    <w:rsid w:val="784E1DAB"/>
    <w:rsid w:val="7866158F"/>
    <w:rsid w:val="79A11C44"/>
    <w:rsid w:val="7A2560D7"/>
    <w:rsid w:val="7A480529"/>
    <w:rsid w:val="7AE876F9"/>
    <w:rsid w:val="7BED392B"/>
    <w:rsid w:val="7C3158FB"/>
    <w:rsid w:val="7C8F4C94"/>
    <w:rsid w:val="7CF30EC8"/>
    <w:rsid w:val="7D9615AC"/>
    <w:rsid w:val="7EA06B86"/>
    <w:rsid w:val="7EAB0196"/>
    <w:rsid w:val="7F481931"/>
    <w:rsid w:val="7F7E219D"/>
    <w:rsid w:val="7F8D14DB"/>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annotation text"/>
    <w:basedOn w:val="1"/>
    <w:qFormat/>
    <w:uiPriority w:val="99"/>
    <w:pPr>
      <w:jc w:val="left"/>
    </w:pPr>
  </w:style>
  <w:style w:type="paragraph" w:styleId="7">
    <w:name w:val="Plain Text"/>
    <w:basedOn w:val="1"/>
    <w:qFormat/>
    <w:uiPriority w:val="0"/>
    <w:rPr>
      <w:rFonts w:ascii="宋体" w:hAnsi="Courier New" w:cstheme="minorBidi"/>
      <w:szCs w:val="2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1">
    <w:name w:val="List"/>
    <w:basedOn w:val="1"/>
    <w:qFormat/>
    <w:uiPriority w:val="0"/>
    <w:pPr>
      <w:ind w:left="200" w:hanging="200" w:hangingChars="200"/>
    </w:p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semiHidden/>
    <w:qFormat/>
    <w:uiPriority w:val="99"/>
    <w:rPr>
      <w:rFonts w:cs="Times New Roman"/>
      <w:color w:val="1F4F88"/>
      <w:u w:val="none"/>
    </w:rPr>
  </w:style>
  <w:style w:type="paragraph" w:customStyle="1" w:styleId="18">
    <w:name w:val="首行缩进"/>
    <w:basedOn w:val="1"/>
    <w:qFormat/>
    <w:uiPriority w:val="0"/>
    <w:pPr>
      <w:spacing w:line="360" w:lineRule="auto"/>
      <w:ind w:firstLine="480" w:firstLineChars="200"/>
    </w:pPr>
    <w:rPr>
      <w:rFonts w:ascii="宋体" w:hAnsi="宋体" w:cs="宋体"/>
      <w:kern w:val="0"/>
      <w:sz w:val="24"/>
    </w:rPr>
  </w:style>
  <w:style w:type="character" w:customStyle="1" w:styleId="19">
    <w:name w:val="font11"/>
    <w:basedOn w:val="15"/>
    <w:qFormat/>
    <w:uiPriority w:val="0"/>
    <w:rPr>
      <w:rFonts w:hint="eastAsia" w:ascii="宋体" w:hAnsi="宋体" w:eastAsia="宋体" w:cs="宋体"/>
      <w:color w:val="000000"/>
      <w:sz w:val="24"/>
      <w:szCs w:val="24"/>
      <w:u w:val="single"/>
    </w:rPr>
  </w:style>
  <w:style w:type="character" w:customStyle="1" w:styleId="20">
    <w:name w:val="font21"/>
    <w:basedOn w:val="15"/>
    <w:qFormat/>
    <w:uiPriority w:val="0"/>
    <w:rPr>
      <w:rFonts w:hint="eastAsia" w:ascii="宋体" w:hAnsi="宋体" w:eastAsia="宋体" w:cs="宋体"/>
      <w:color w:val="000000"/>
      <w:sz w:val="24"/>
      <w:szCs w:val="24"/>
      <w:u w:val="none"/>
    </w:rPr>
  </w:style>
  <w:style w:type="paragraph" w:customStyle="1" w:styleId="2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2">
    <w:name w:val="doc_title"/>
    <w:qFormat/>
    <w:uiPriority w:val="0"/>
  </w:style>
  <w:style w:type="character" w:customStyle="1" w:styleId="23">
    <w:name w:val="font41"/>
    <w:basedOn w:val="15"/>
    <w:qFormat/>
    <w:uiPriority w:val="0"/>
    <w:rPr>
      <w:rFonts w:hint="eastAsia" w:ascii="宋体" w:hAnsi="宋体" w:eastAsia="宋体" w:cs="宋体"/>
      <w:color w:val="000000"/>
      <w:sz w:val="22"/>
      <w:szCs w:val="22"/>
      <w:u w:val="none"/>
    </w:rPr>
  </w:style>
  <w:style w:type="character" w:customStyle="1" w:styleId="24">
    <w:name w:val="font61"/>
    <w:basedOn w:val="15"/>
    <w:qFormat/>
    <w:uiPriority w:val="0"/>
    <w:rPr>
      <w:rFonts w:hint="default" w:ascii="Times New Roman" w:hAnsi="Times New Roman" w:cs="Times New Roman"/>
      <w:color w:val="000000"/>
      <w:sz w:val="24"/>
      <w:szCs w:val="24"/>
      <w:u w:val="none"/>
    </w:rPr>
  </w:style>
  <w:style w:type="character" w:customStyle="1" w:styleId="2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14650</Words>
  <Characters>15144</Characters>
  <Lines>120</Lines>
  <Paragraphs>33</Paragraphs>
  <TotalTime>12</TotalTime>
  <ScaleCrop>false</ScaleCrop>
  <LinksUpToDate>false</LinksUpToDate>
  <CharactersWithSpaces>17045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张顺利</cp:lastModifiedBy>
  <dcterms:modified xsi:type="dcterms:W3CDTF">2023-12-02T05:30:43Z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0AB0A6AB759447FCAAABD45EC1BCD32D_13</vt:lpwstr>
  </property>
</Properties>
</file>