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48"/>
          <w:szCs w:val="48"/>
        </w:rPr>
      </w:pPr>
    </w:p>
    <w:p>
      <w:pPr>
        <w:spacing w:line="360" w:lineRule="auto"/>
        <w:jc w:val="center"/>
        <w:rPr>
          <w:rFonts w:ascii="宋体" w:hAnsi="宋体"/>
          <w:sz w:val="48"/>
          <w:szCs w:val="48"/>
        </w:rPr>
      </w:pPr>
      <w:r>
        <w:rPr>
          <w:rFonts w:hint="eastAsia" w:ascii="宋体" w:hAnsi="宋体"/>
          <w:sz w:val="48"/>
          <w:szCs w:val="48"/>
        </w:rPr>
        <w:t>中国重汽集团国有企业母子公司管控及</w:t>
      </w:r>
    </w:p>
    <w:p>
      <w:pPr>
        <w:spacing w:line="360" w:lineRule="auto"/>
        <w:jc w:val="center"/>
        <w:rPr>
          <w:rFonts w:ascii="宋体" w:hAnsi="宋体"/>
          <w:sz w:val="48"/>
          <w:szCs w:val="48"/>
        </w:rPr>
      </w:pPr>
      <w:r>
        <w:rPr>
          <w:rFonts w:hint="eastAsia" w:ascii="宋体" w:hAnsi="宋体"/>
          <w:sz w:val="48"/>
          <w:szCs w:val="48"/>
        </w:rPr>
        <w:t>公司治理理论与实践</w:t>
      </w:r>
    </w:p>
    <w:p>
      <w:pPr>
        <w:spacing w:line="360" w:lineRule="auto"/>
        <w:jc w:val="center"/>
        <w:rPr>
          <w:rFonts w:ascii="宋体" w:hAnsi="宋体"/>
          <w:sz w:val="48"/>
          <w:szCs w:val="4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rFonts w:ascii="黑体" w:hAnsi="宋体" w:eastAsia="黑体"/>
          <w:sz w:val="84"/>
          <w:szCs w:val="84"/>
        </w:rPr>
      </w:pPr>
      <w:r>
        <w:rPr>
          <w:rFonts w:hint="eastAsia" w:ascii="黑体" w:hAnsi="宋体" w:eastAsia="黑体"/>
          <w:sz w:val="84"/>
          <w:szCs w:val="84"/>
        </w:rPr>
        <w:t>招</w:t>
      </w:r>
    </w:p>
    <w:p>
      <w:pPr>
        <w:spacing w:line="360" w:lineRule="auto"/>
        <w:jc w:val="center"/>
        <w:rPr>
          <w:rFonts w:ascii="黑体" w:hAnsi="宋体" w:eastAsia="黑体"/>
          <w:sz w:val="84"/>
          <w:szCs w:val="84"/>
        </w:rPr>
      </w:pPr>
    </w:p>
    <w:p>
      <w:pPr>
        <w:spacing w:line="360" w:lineRule="auto"/>
        <w:jc w:val="center"/>
        <w:rPr>
          <w:rFonts w:ascii="黑体" w:hAnsi="宋体" w:eastAsia="黑体"/>
          <w:sz w:val="84"/>
          <w:szCs w:val="84"/>
        </w:rPr>
      </w:pPr>
      <w:r>
        <w:rPr>
          <w:rFonts w:hint="eastAsia" w:ascii="黑体" w:hAnsi="宋体" w:eastAsia="黑体"/>
          <w:sz w:val="84"/>
          <w:szCs w:val="84"/>
        </w:rPr>
        <w:t>标</w:t>
      </w:r>
    </w:p>
    <w:p>
      <w:pPr>
        <w:spacing w:line="360" w:lineRule="auto"/>
        <w:jc w:val="center"/>
        <w:rPr>
          <w:rFonts w:ascii="黑体" w:hAnsi="宋体" w:eastAsia="黑体"/>
          <w:sz w:val="84"/>
          <w:szCs w:val="84"/>
        </w:rPr>
      </w:pPr>
    </w:p>
    <w:p>
      <w:pPr>
        <w:spacing w:line="360" w:lineRule="auto"/>
        <w:jc w:val="center"/>
        <w:rPr>
          <w:rFonts w:ascii="宋体" w:hAnsi="宋体"/>
          <w:sz w:val="72"/>
          <w:szCs w:val="72"/>
        </w:rPr>
      </w:pPr>
      <w:r>
        <w:rPr>
          <w:rFonts w:hint="eastAsia" w:ascii="黑体" w:hAnsi="宋体" w:eastAsia="黑体"/>
          <w:sz w:val="84"/>
          <w:szCs w:val="84"/>
        </w:rPr>
        <w:t>书</w:t>
      </w:r>
    </w:p>
    <w:p>
      <w:pPr>
        <w:spacing w:line="360" w:lineRule="auto"/>
        <w:jc w:val="center"/>
        <w:rPr>
          <w:rFonts w:ascii="宋体" w:hAnsi="宋体"/>
          <w:sz w:val="48"/>
          <w:szCs w:val="4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招 标 人：中国重汽集团济南动力有限公司</w:t>
      </w:r>
    </w:p>
    <w:p>
      <w:pPr>
        <w:spacing w:line="360" w:lineRule="auto"/>
        <w:jc w:val="center"/>
      </w:pPr>
      <w:r>
        <w:rPr>
          <w:rFonts w:hint="eastAsia" w:ascii="宋体" w:hAnsi="宋体"/>
          <w:sz w:val="28"/>
          <w:szCs w:val="28"/>
        </w:rPr>
        <w:t>20</w:t>
      </w:r>
      <w:r>
        <w:rPr>
          <w:rFonts w:ascii="宋体" w:hAnsi="宋体"/>
          <w:sz w:val="28"/>
          <w:szCs w:val="28"/>
        </w:rPr>
        <w:t>2</w:t>
      </w:r>
      <w:r>
        <w:rPr>
          <w:rFonts w:hint="eastAsia" w:ascii="宋体" w:hAnsi="宋体"/>
          <w:sz w:val="28"/>
          <w:szCs w:val="28"/>
        </w:rPr>
        <w:t>3年3月</w:t>
      </w:r>
    </w:p>
    <w:p>
      <w:pPr>
        <w:spacing w:line="360" w:lineRule="auto"/>
        <w:jc w:val="center"/>
        <w:rPr>
          <w:rFonts w:eastAsia="黑体"/>
          <w:b/>
          <w:bCs/>
          <w:sz w:val="28"/>
        </w:rPr>
      </w:pPr>
      <w:r>
        <w:rPr>
          <w:rFonts w:hint="eastAsia" w:eastAsia="黑体"/>
          <w:b/>
          <w:bCs/>
          <w:sz w:val="28"/>
        </w:rPr>
        <w:t>第一章、招标文件</w:t>
      </w:r>
    </w:p>
    <w:p>
      <w:pPr>
        <w:pStyle w:val="6"/>
        <w:spacing w:line="360" w:lineRule="auto"/>
        <w:rPr>
          <w:rFonts w:ascii="黑体" w:eastAsia="黑体"/>
          <w:b/>
          <w:bCs/>
          <w:sz w:val="28"/>
        </w:rPr>
      </w:pPr>
      <w:r>
        <w:rPr>
          <w:rFonts w:hint="eastAsia" w:ascii="黑体" w:eastAsia="黑体"/>
          <w:b/>
          <w:bCs/>
          <w:sz w:val="28"/>
        </w:rPr>
        <w:t>一、项目名称</w:t>
      </w:r>
      <w:bookmarkStart w:id="0" w:name="OLE_LINK1"/>
    </w:p>
    <w:p>
      <w:pPr>
        <w:pStyle w:val="6"/>
        <w:spacing w:line="360" w:lineRule="auto"/>
        <w:rPr>
          <w:rFonts w:hint="eastAsia" w:ascii="Times New Roman" w:hAnsi="Times New Roman"/>
          <w:szCs w:val="20"/>
        </w:rPr>
      </w:pPr>
      <w:r>
        <w:rPr>
          <w:rFonts w:hint="eastAsia"/>
        </w:rPr>
        <w:t>项目名称：</w:t>
      </w:r>
      <w:bookmarkEnd w:id="0"/>
      <w:r>
        <w:rPr>
          <w:rFonts w:hint="eastAsia" w:ascii="Times New Roman" w:hAnsi="Times New Roman"/>
          <w:szCs w:val="20"/>
        </w:rPr>
        <w:t>中国重汽集团国有企业母子公司管控及公司治理理论与实践。</w:t>
      </w:r>
    </w:p>
    <w:p>
      <w:pPr>
        <w:pStyle w:val="6"/>
        <w:spacing w:line="360" w:lineRule="auto"/>
        <w:rPr>
          <w:rFonts w:ascii="黑体" w:eastAsia="黑体"/>
          <w:b/>
          <w:bCs/>
          <w:sz w:val="28"/>
        </w:rPr>
      </w:pPr>
      <w:r>
        <w:rPr>
          <w:rFonts w:hint="eastAsia" w:ascii="黑体" w:eastAsia="黑体"/>
          <w:b/>
          <w:bCs/>
          <w:sz w:val="28"/>
        </w:rPr>
        <w:t>二、招标人及内容形式</w:t>
      </w:r>
    </w:p>
    <w:p>
      <w:pPr>
        <w:pStyle w:val="6"/>
        <w:spacing w:line="360" w:lineRule="auto"/>
        <w:ind w:firstLine="420" w:firstLineChars="200"/>
      </w:pPr>
      <w:r>
        <w:rPr>
          <w:rFonts w:hint="eastAsia"/>
        </w:rPr>
        <w:t>1.招标人：中国重汽集团济南动力有限公司。</w:t>
      </w:r>
    </w:p>
    <w:p>
      <w:pPr>
        <w:spacing w:line="360" w:lineRule="auto"/>
        <w:ind w:firstLine="420" w:firstLineChars="200"/>
        <w:rPr>
          <w:rFonts w:ascii="宋体" w:hAnsi="Courier New" w:cstheme="minorBidi"/>
          <w:szCs w:val="22"/>
        </w:rPr>
      </w:pPr>
      <w:r>
        <w:t>2.</w:t>
      </w:r>
      <w:r>
        <w:rPr>
          <w:rFonts w:hint="eastAsia"/>
        </w:rPr>
        <w:t>招标</w:t>
      </w:r>
      <w:r>
        <w:rPr>
          <w:rFonts w:hint="eastAsia" w:ascii="宋体" w:hAnsi="Courier New" w:cstheme="minorBidi"/>
          <w:szCs w:val="22"/>
        </w:rPr>
        <w:t>内容：公司治理概述、公司治理与管理区别、国有企业母子公司管控与公司治理的关系与实践、上市公司治理管控相关要求、董监高的权利与义务、日常“三会”管理等公司治理相关课程培训。</w:t>
      </w:r>
    </w:p>
    <w:p>
      <w:pPr>
        <w:pStyle w:val="6"/>
        <w:spacing w:line="360" w:lineRule="auto"/>
        <w:ind w:firstLine="420" w:firstLineChars="200"/>
      </w:pPr>
      <w:r>
        <w:t>3.</w:t>
      </w:r>
      <w:r>
        <w:rPr>
          <w:rFonts w:hint="eastAsia"/>
        </w:rPr>
        <w:t>招标形式：邀请招标。</w:t>
      </w:r>
    </w:p>
    <w:p>
      <w:pPr>
        <w:spacing w:line="360" w:lineRule="auto"/>
        <w:ind w:firstLine="420" w:firstLineChars="200"/>
        <w:rPr>
          <w:rFonts w:ascii="宋体" w:hAnsi="Courier New" w:cstheme="minorBidi"/>
          <w:szCs w:val="22"/>
        </w:rPr>
      </w:pPr>
      <w:r>
        <w:rPr>
          <w:rFonts w:ascii="宋体" w:hAnsi="Courier New" w:cstheme="minorBidi"/>
          <w:szCs w:val="22"/>
        </w:rPr>
        <w:t>4</w:t>
      </w:r>
      <w:r>
        <w:rPr>
          <w:rFonts w:hint="eastAsia" w:ascii="宋体" w:hAnsi="Courier New" w:cstheme="minorBidi"/>
          <w:szCs w:val="22"/>
        </w:rPr>
        <w:t>.预期效果：使受众深刻理解公司治理的内涵、结构及主要工作；深刻理解公司治理的应用要点和实务；深刻理解董事会和监事会的运作要求；深刻理解公司治理与管理的区别，以及企业管理运营活动关键过程的风险识别和管控要求；了解公司治理的最新</w:t>
      </w:r>
      <w:bookmarkStart w:id="4" w:name="_GoBack"/>
      <w:bookmarkEnd w:id="4"/>
      <w:r>
        <w:rPr>
          <w:rFonts w:hint="eastAsia" w:ascii="宋体" w:hAnsi="Courier New" w:cstheme="minorBidi"/>
          <w:szCs w:val="22"/>
        </w:rPr>
        <w:t>发展趋势。</w:t>
      </w:r>
    </w:p>
    <w:p>
      <w:pPr>
        <w:pStyle w:val="6"/>
        <w:spacing w:line="360" w:lineRule="auto"/>
        <w:rPr>
          <w:rFonts w:ascii="黑体" w:eastAsia="黑体"/>
          <w:b/>
          <w:bCs/>
          <w:sz w:val="28"/>
        </w:rPr>
      </w:pPr>
      <w:r>
        <w:rPr>
          <w:rFonts w:hint="eastAsia" w:ascii="黑体" w:eastAsia="黑体"/>
          <w:b/>
          <w:bCs/>
          <w:sz w:val="28"/>
        </w:rPr>
        <w:t>三、服务及付款</w:t>
      </w:r>
    </w:p>
    <w:p>
      <w:pPr>
        <w:pStyle w:val="6"/>
        <w:spacing w:line="360" w:lineRule="auto"/>
        <w:ind w:firstLine="420" w:firstLineChars="200"/>
      </w:pPr>
      <w:r>
        <w:rPr>
          <w:rFonts w:hint="eastAsia"/>
        </w:rPr>
        <w:t>1.服务地点：中国重汽科技大厦园区。</w:t>
      </w:r>
    </w:p>
    <w:p>
      <w:pPr>
        <w:pStyle w:val="6"/>
        <w:spacing w:line="360" w:lineRule="auto"/>
        <w:ind w:firstLine="420" w:firstLineChars="200"/>
      </w:pPr>
      <w:r>
        <w:rPr>
          <w:rFonts w:hint="eastAsia"/>
        </w:rPr>
        <w:t>2.服务时间：2023年3月底（具体时间以中标后合同约定的时间为准）。</w:t>
      </w:r>
    </w:p>
    <w:p>
      <w:pPr>
        <w:pStyle w:val="6"/>
        <w:spacing w:line="360" w:lineRule="auto"/>
        <w:ind w:firstLine="420" w:firstLineChars="200"/>
      </w:pPr>
      <w:r>
        <w:rPr>
          <w:rFonts w:hint="eastAsia"/>
        </w:rPr>
        <w:t>3.付款条件：签署合同并成功完成活动，且活动过程中无明显纰漏，经甲方对活动完成情况进行确认后，根据费用实际发生情况结算。</w:t>
      </w:r>
    </w:p>
    <w:p>
      <w:pPr>
        <w:pStyle w:val="6"/>
        <w:spacing w:line="360" w:lineRule="auto"/>
        <w:ind w:firstLine="420" w:firstLineChars="200"/>
      </w:pPr>
      <w:r>
        <w:rPr>
          <w:rFonts w:hint="eastAsia"/>
        </w:rPr>
        <w:t>4.付款方式：半年期商业汇票。乙方按照合同约定提供培训服务并经甲方确认合格后，向甲方开具符合法律规定的增值税专用发票，甲方收到发票后30个工作日内支付发票载明的采购费用，具体付款时间，以双方签订的合同约定为准。</w:t>
      </w:r>
    </w:p>
    <w:p>
      <w:pPr>
        <w:pStyle w:val="6"/>
        <w:spacing w:line="360" w:lineRule="auto"/>
        <w:rPr>
          <w:rFonts w:ascii="黑体" w:eastAsia="黑体"/>
          <w:b/>
          <w:bCs/>
          <w:sz w:val="28"/>
        </w:rPr>
      </w:pPr>
      <w:r>
        <w:rPr>
          <w:rFonts w:hint="eastAsia" w:ascii="黑体" w:eastAsia="黑体"/>
          <w:b/>
          <w:bCs/>
          <w:sz w:val="28"/>
        </w:rPr>
        <w:t>四、投标说明</w:t>
      </w:r>
    </w:p>
    <w:p>
      <w:pPr>
        <w:pStyle w:val="6"/>
        <w:spacing w:line="360" w:lineRule="auto"/>
        <w:ind w:left="630" w:leftChars="200" w:hanging="210" w:hangingChars="100"/>
        <w:rPr>
          <w:rFonts w:hAnsi="宋体"/>
        </w:rPr>
      </w:pPr>
      <w:r>
        <w:rPr>
          <w:rFonts w:hint="eastAsia" w:hAnsi="宋体"/>
        </w:rPr>
        <w:t>1.报名方式</w:t>
      </w:r>
    </w:p>
    <w:p>
      <w:pPr>
        <w:pStyle w:val="6"/>
        <w:spacing w:line="360" w:lineRule="auto"/>
        <w:ind w:left="630" w:leftChars="200" w:hanging="210" w:hangingChars="100"/>
        <w:rPr>
          <w:rFonts w:hAnsi="宋体"/>
        </w:rPr>
      </w:pPr>
      <w:r>
        <w:rPr>
          <w:rFonts w:hint="eastAsia" w:hAnsi="宋体"/>
        </w:rPr>
        <w:t>邀请招标，自主报名。</w:t>
      </w:r>
    </w:p>
    <w:p>
      <w:pPr>
        <w:pStyle w:val="6"/>
        <w:spacing w:line="360" w:lineRule="auto"/>
        <w:ind w:left="630" w:leftChars="200" w:hanging="210" w:hangingChars="100"/>
        <w:rPr>
          <w:rFonts w:hAnsi="宋体"/>
        </w:rPr>
      </w:pPr>
      <w:r>
        <w:rPr>
          <w:rFonts w:hint="eastAsia" w:hAnsi="宋体"/>
        </w:rPr>
        <w:t>2.投标条件</w:t>
      </w:r>
    </w:p>
    <w:p>
      <w:pPr>
        <w:pStyle w:val="6"/>
        <w:spacing w:line="360" w:lineRule="auto"/>
        <w:ind w:left="630" w:leftChars="200" w:hanging="210" w:hangingChars="100"/>
        <w:rPr>
          <w:rFonts w:hAnsi="宋体"/>
        </w:rPr>
      </w:pPr>
      <w:r>
        <w:rPr>
          <w:rFonts w:hint="eastAsia" w:hAnsi="宋体"/>
        </w:rPr>
        <w:t>所有拟投标人需满足以下条件，并经招标人审核通过后方可获得该项目的投标资格：</w:t>
      </w:r>
    </w:p>
    <w:p>
      <w:pPr>
        <w:pStyle w:val="6"/>
        <w:spacing w:line="360" w:lineRule="auto"/>
        <w:ind w:firstLine="420" w:firstLineChars="200"/>
        <w:rPr>
          <w:b/>
        </w:rPr>
      </w:pPr>
      <w:r>
        <w:rPr>
          <w:rFonts w:hint="eastAsia"/>
          <w:szCs w:val="21"/>
        </w:rPr>
        <w:t>（1）拟标投人须是企业法人，必须是在中华人民共和国境内注册的独立法人机构，具有独立承担民事责任能力，</w:t>
      </w:r>
      <w:r>
        <w:rPr>
          <w:rFonts w:hAnsi="宋体"/>
          <w:szCs w:val="21"/>
        </w:rPr>
        <w:t>在人员、</w:t>
      </w:r>
      <w:r>
        <w:rPr>
          <w:rFonts w:hint="eastAsia" w:hAnsi="宋体"/>
          <w:szCs w:val="21"/>
        </w:rPr>
        <w:t>资源</w:t>
      </w:r>
      <w:r>
        <w:rPr>
          <w:rFonts w:hAnsi="宋体"/>
          <w:szCs w:val="21"/>
        </w:rPr>
        <w:t>、资金等方面具有承担本</w:t>
      </w:r>
      <w:r>
        <w:rPr>
          <w:rFonts w:hint="eastAsia" w:hAnsi="宋体"/>
          <w:szCs w:val="21"/>
        </w:rPr>
        <w:t>项目</w:t>
      </w:r>
      <w:r>
        <w:rPr>
          <w:rFonts w:hAnsi="宋体"/>
          <w:szCs w:val="21"/>
        </w:rPr>
        <w:t>的能力</w:t>
      </w:r>
      <w:r>
        <w:rPr>
          <w:rFonts w:hint="eastAsia" w:hAnsi="宋体"/>
          <w:szCs w:val="21"/>
        </w:rPr>
        <w:t>。</w:t>
      </w:r>
    </w:p>
    <w:p>
      <w:pPr>
        <w:pStyle w:val="6"/>
        <w:spacing w:line="360" w:lineRule="auto"/>
        <w:ind w:firstLine="315" w:firstLineChars="150"/>
        <w:rPr>
          <w:szCs w:val="21"/>
        </w:rPr>
      </w:pPr>
      <w:r>
        <w:rPr>
          <w:rFonts w:hint="eastAsia"/>
          <w:szCs w:val="21"/>
        </w:rPr>
        <w:t>（2）拟投标企业应提供三证合一的营业执照原件或加盖公章复印件；</w:t>
      </w:r>
    </w:p>
    <w:p>
      <w:pPr>
        <w:pStyle w:val="6"/>
        <w:spacing w:line="360" w:lineRule="auto"/>
        <w:ind w:firstLine="315" w:firstLineChars="150"/>
        <w:rPr>
          <w:szCs w:val="21"/>
        </w:rPr>
      </w:pPr>
      <w:r>
        <w:rPr>
          <w:rFonts w:hint="eastAsia"/>
          <w:szCs w:val="21"/>
        </w:rPr>
        <w:t>（3）拟投标企业应提供法定代表人资格证明，拟投标事业单位或社会团体提供登记证书或授权投标文件原件；</w:t>
      </w:r>
    </w:p>
    <w:p>
      <w:pPr>
        <w:pStyle w:val="6"/>
        <w:spacing w:line="360" w:lineRule="auto"/>
        <w:ind w:firstLine="310" w:firstLineChars="148"/>
        <w:rPr>
          <w:rFonts w:hAnsi="宋体"/>
        </w:rPr>
      </w:pPr>
      <w:r>
        <w:rPr>
          <w:rFonts w:hint="eastAsia" w:hAnsi="宋体"/>
        </w:rPr>
        <w:t>（4）拟</w:t>
      </w:r>
      <w:r>
        <w:rPr>
          <w:rFonts w:hint="eastAsia"/>
          <w:szCs w:val="21"/>
        </w:rPr>
        <w:t>投标人应有执行公司治理类培训项目的经验,具有良好的风险应对能力，能够认可招标人的工作指令，包括节、假日能正常开展工作等要求，并在开标时携带以往项目策划执行资料、企业资信材料等备查。</w:t>
      </w:r>
    </w:p>
    <w:p>
      <w:pPr>
        <w:pStyle w:val="6"/>
        <w:spacing w:line="360" w:lineRule="auto"/>
        <w:ind w:firstLine="310" w:firstLineChars="148"/>
        <w:rPr>
          <w:rFonts w:hAnsi="宋体"/>
        </w:rPr>
      </w:pPr>
      <w:r>
        <w:rPr>
          <w:rFonts w:hint="eastAsia" w:hAnsi="宋体"/>
        </w:rPr>
        <w:t>（5）拟投标人在工商行政管理局的《国家企业信用信息公示系统》中查询不存在不良记录，不存在严重违规或被列入招标人“黑名单”。</w:t>
      </w:r>
    </w:p>
    <w:p>
      <w:pPr>
        <w:pStyle w:val="6"/>
        <w:spacing w:line="360" w:lineRule="auto"/>
        <w:ind w:firstLine="310" w:firstLineChars="148"/>
        <w:rPr>
          <w:rFonts w:hAnsi="宋体"/>
        </w:rPr>
      </w:pPr>
      <w:r>
        <w:rPr>
          <w:rFonts w:hint="eastAsia" w:hAnsi="宋体"/>
        </w:rPr>
        <w:t>3.投标内容：</w:t>
      </w:r>
    </w:p>
    <w:p>
      <w:pPr>
        <w:spacing w:line="520" w:lineRule="exact"/>
        <w:ind w:right="2" w:firstLine="420" w:firstLineChars="200"/>
        <w:rPr>
          <w:rFonts w:ascii="宋体" w:hAnsi="Courier New"/>
        </w:rPr>
      </w:pPr>
      <w:r>
        <w:rPr>
          <w:rFonts w:hint="eastAsia" w:hAnsi="宋体"/>
        </w:rPr>
        <w:t>（1）</w:t>
      </w:r>
      <w:r>
        <w:rPr>
          <w:rFonts w:hint="eastAsia" w:ascii="宋体" w:hAnsi="Courier New"/>
        </w:rPr>
        <w:t>投标方需出具详实的课程方案，负责提供培训背景图、宣传条幅、培训教材（</w:t>
      </w:r>
      <w:r>
        <w:rPr>
          <w:rFonts w:hint="eastAsia"/>
          <w:bCs/>
        </w:rPr>
        <w:t>包含纸质版与电子版</w:t>
      </w:r>
      <w:r>
        <w:rPr>
          <w:rFonts w:hint="eastAsia" w:ascii="宋体" w:hAnsi="Courier New"/>
        </w:rPr>
        <w:t>）及培训考试题等培训相关用品，培训方案要有针对性，并与中国重汽集团实际情况结合，确保达到预期效果。投标人承诺对参与该项目所获得的与招标人相关的所有信息都予以保密，并承担与此相关的所有法律责任。</w:t>
      </w:r>
    </w:p>
    <w:p>
      <w:pPr>
        <w:spacing w:line="520" w:lineRule="exact"/>
        <w:ind w:right="2" w:firstLine="420" w:firstLineChars="200"/>
        <w:rPr>
          <w:rFonts w:ascii="宋体" w:hAnsi="Courier New"/>
        </w:rPr>
      </w:pPr>
      <w:r>
        <w:rPr>
          <w:rFonts w:hint="eastAsia" w:ascii="宋体" w:hAnsi="Courier New"/>
        </w:rPr>
        <w:t>（2）培训讲师应</w:t>
      </w:r>
      <w:r>
        <w:rPr>
          <w:rFonts w:hint="eastAsia"/>
          <w:bCs/>
        </w:rPr>
        <w:t>有公司治理类培训经验</w:t>
      </w:r>
      <w:r>
        <w:rPr>
          <w:rFonts w:hint="eastAsia" w:ascii="宋体" w:hAnsi="Courier New"/>
        </w:rPr>
        <w:t>，具有丰富的授课技巧与专业知识。培训方案中需明确培训讲师的姓名、学习、工作背景，附相关培训业绩介绍。</w:t>
      </w:r>
    </w:p>
    <w:p>
      <w:pPr>
        <w:spacing w:line="520" w:lineRule="exact"/>
        <w:ind w:right="2" w:firstLine="420" w:firstLineChars="200"/>
        <w:rPr>
          <w:rFonts w:ascii="宋体" w:hAnsi="Courier New"/>
        </w:rPr>
      </w:pPr>
      <w:r>
        <w:rPr>
          <w:rFonts w:hint="eastAsia" w:ascii="宋体" w:hAnsi="Courier New"/>
        </w:rPr>
        <w:t>（3）培训过程中，原则上应保证应与学员进行有效课程互动，保证学习效果。</w:t>
      </w:r>
    </w:p>
    <w:p>
      <w:pPr>
        <w:spacing w:line="520" w:lineRule="exact"/>
        <w:ind w:right="2" w:firstLine="420" w:firstLineChars="200"/>
        <w:rPr>
          <w:rFonts w:ascii="宋体" w:hAnsi="Courier New"/>
        </w:rPr>
      </w:pPr>
      <w:r>
        <w:rPr>
          <w:rFonts w:hint="eastAsia" w:ascii="宋体" w:hAnsi="Courier New"/>
        </w:rPr>
        <w:t>（4）</w:t>
      </w:r>
      <w:r>
        <w:rPr>
          <w:rFonts w:ascii="宋体" w:hAnsi="Courier New"/>
        </w:rPr>
        <w:t>培训具体时间由招标方与中标方协商确定；</w:t>
      </w:r>
    </w:p>
    <w:p>
      <w:pPr>
        <w:spacing w:line="520" w:lineRule="exact"/>
        <w:ind w:right="2" w:firstLine="420" w:firstLineChars="200"/>
        <w:rPr>
          <w:rFonts w:ascii="宋体" w:hAnsi="Courier New"/>
        </w:rPr>
      </w:pPr>
      <w:r>
        <w:rPr>
          <w:rFonts w:hint="eastAsia" w:ascii="宋体" w:hAnsi="Courier New"/>
        </w:rPr>
        <w:t>（5）</w:t>
      </w:r>
      <w:r>
        <w:rPr>
          <w:rFonts w:hint="eastAsia"/>
          <w:bCs/>
        </w:rPr>
        <w:t>培训课时原则上是0.</w:t>
      </w:r>
      <w:r>
        <w:rPr>
          <w:bCs/>
        </w:rPr>
        <w:t>5</w:t>
      </w:r>
      <w:r>
        <w:rPr>
          <w:rFonts w:hint="eastAsia"/>
          <w:bCs/>
        </w:rPr>
        <w:t>天；</w:t>
      </w:r>
    </w:p>
    <w:p>
      <w:pPr>
        <w:spacing w:line="520" w:lineRule="exact"/>
        <w:ind w:right="2" w:firstLine="420" w:firstLineChars="200"/>
        <w:rPr>
          <w:rFonts w:hAnsi="宋体"/>
        </w:rPr>
      </w:pPr>
      <w:r>
        <w:rPr>
          <w:rFonts w:hint="eastAsia" w:ascii="宋体" w:hAnsi="Courier New"/>
        </w:rPr>
        <w:t>（6）中标方应指定一名经验丰富的工作人员负责与中国重汽集团沟通和联络，培训前应根据中国重汽集团的要求，制定好培训计划及授课前的各项准备工作，培训现场除培训师之外应确保有1名工作人员布置会场、教具准备和签到等工作。</w:t>
      </w:r>
    </w:p>
    <w:p>
      <w:pPr>
        <w:pStyle w:val="6"/>
        <w:spacing w:line="360" w:lineRule="auto"/>
        <w:ind w:left="630" w:leftChars="200" w:hanging="210" w:hangingChars="100"/>
        <w:rPr>
          <w:rFonts w:hAnsi="宋体"/>
        </w:rPr>
      </w:pPr>
      <w:r>
        <w:rPr>
          <w:rFonts w:hint="eastAsia" w:hAnsi="宋体"/>
        </w:rPr>
        <w:t>4.报价</w:t>
      </w:r>
    </w:p>
    <w:p>
      <w:pPr>
        <w:pStyle w:val="6"/>
        <w:spacing w:line="360" w:lineRule="auto"/>
        <w:ind w:firstLine="420" w:firstLineChars="200"/>
        <w:rPr>
          <w:szCs w:val="21"/>
        </w:rPr>
      </w:pPr>
      <w:r>
        <w:rPr>
          <w:rFonts w:hint="eastAsia"/>
          <w:szCs w:val="21"/>
        </w:rPr>
        <w:t>（1）报价应包括合同签订到项目执行完成验收周期内所包含的一切费用，除此之外，采购方无需支付任何费用。</w:t>
      </w:r>
    </w:p>
    <w:p>
      <w:pPr>
        <w:pStyle w:val="6"/>
        <w:spacing w:line="360" w:lineRule="auto"/>
        <w:ind w:firstLine="420" w:firstLineChars="200"/>
        <w:rPr>
          <w:szCs w:val="21"/>
        </w:rPr>
      </w:pPr>
      <w:r>
        <w:rPr>
          <w:rFonts w:hint="eastAsia"/>
          <w:szCs w:val="21"/>
        </w:rPr>
        <w:t>（2）报价货币单位为：元（人民币，不含税价格</w:t>
      </w:r>
      <w:r>
        <w:rPr>
          <w:rFonts w:hint="eastAsia"/>
          <w:szCs w:val="21"/>
          <w:lang w:eastAsia="zh-CN"/>
        </w:rPr>
        <w:t>，</w:t>
      </w:r>
      <w:r>
        <w:rPr>
          <w:rFonts w:hint="eastAsia"/>
          <w:szCs w:val="21"/>
          <w:lang w:val="en-US" w:eastAsia="zh-CN"/>
        </w:rPr>
        <w:t>须明确税率信息</w:t>
      </w:r>
      <w:r>
        <w:rPr>
          <w:rFonts w:hint="eastAsia"/>
          <w:szCs w:val="21"/>
        </w:rPr>
        <w:t>）。</w:t>
      </w:r>
    </w:p>
    <w:p>
      <w:pPr>
        <w:pStyle w:val="6"/>
        <w:spacing w:line="360" w:lineRule="auto"/>
        <w:ind w:firstLine="420" w:firstLineChars="200"/>
        <w:rPr>
          <w:szCs w:val="21"/>
        </w:rPr>
      </w:pPr>
      <w:r>
        <w:rPr>
          <w:rFonts w:hint="eastAsia"/>
          <w:szCs w:val="21"/>
        </w:rPr>
        <w:t>5.评标原则：按照合理最低价中标。</w:t>
      </w:r>
    </w:p>
    <w:p>
      <w:pPr>
        <w:pStyle w:val="6"/>
        <w:spacing w:line="360" w:lineRule="auto"/>
        <w:ind w:firstLine="420" w:firstLineChars="200"/>
        <w:rPr>
          <w:szCs w:val="21"/>
        </w:rPr>
      </w:pPr>
      <w:r>
        <w:rPr>
          <w:rFonts w:hint="eastAsia"/>
          <w:szCs w:val="21"/>
        </w:rPr>
        <w:t>6.相关要求：投标人要求买方提供何种配合，需在标书中说明。招标文件为密封包，即《投标文件（商务标）》（开标一览表）。</w:t>
      </w:r>
    </w:p>
    <w:p>
      <w:pPr>
        <w:pStyle w:val="6"/>
        <w:spacing w:line="360" w:lineRule="auto"/>
        <w:ind w:firstLine="420" w:firstLineChars="200"/>
        <w:rPr>
          <w:szCs w:val="21"/>
        </w:rPr>
      </w:pPr>
      <w:r>
        <w:rPr>
          <w:rFonts w:hint="eastAsia"/>
          <w:szCs w:val="21"/>
        </w:rPr>
        <w:t>7.凡对本次招标提出的询问，均以招标方的书面答复为准。</w:t>
      </w:r>
    </w:p>
    <w:p>
      <w:pPr>
        <w:pStyle w:val="6"/>
        <w:spacing w:line="360" w:lineRule="auto"/>
        <w:rPr>
          <w:rFonts w:ascii="黑体" w:eastAsia="黑体"/>
          <w:b/>
          <w:bCs/>
          <w:sz w:val="28"/>
        </w:rPr>
      </w:pPr>
      <w:r>
        <w:rPr>
          <w:rFonts w:hint="eastAsia" w:ascii="黑体" w:eastAsia="黑体"/>
          <w:b/>
          <w:bCs/>
          <w:sz w:val="28"/>
        </w:rPr>
        <w:t>五、议程安排</w:t>
      </w:r>
    </w:p>
    <w:p>
      <w:pPr>
        <w:pStyle w:val="6"/>
        <w:spacing w:line="360" w:lineRule="auto"/>
        <w:ind w:firstLine="420" w:firstLineChars="200"/>
        <w:rPr>
          <w:rFonts w:cs="Times New Roman"/>
        </w:rPr>
      </w:pPr>
      <w:r>
        <w:rPr>
          <w:rFonts w:hint="eastAsia" w:cs="Times New Roman"/>
        </w:rPr>
        <w:t>1.发标时间：20</w:t>
      </w:r>
      <w:r>
        <w:rPr>
          <w:rFonts w:cs="Times New Roman"/>
        </w:rPr>
        <w:t>2</w:t>
      </w:r>
      <w:r>
        <w:rPr>
          <w:rFonts w:hint="eastAsia" w:cs="Times New Roman"/>
        </w:rPr>
        <w:t>3年</w:t>
      </w:r>
      <w:r>
        <w:rPr>
          <w:rFonts w:hint="eastAsia"/>
        </w:rPr>
        <w:t>3</w:t>
      </w:r>
      <w:r>
        <w:rPr>
          <w:rFonts w:hint="eastAsia" w:cs="Times New Roman"/>
        </w:rPr>
        <w:t>月</w:t>
      </w:r>
      <w:r>
        <w:rPr>
          <w:rFonts w:cs="Times New Roman"/>
        </w:rPr>
        <w:t>1</w:t>
      </w:r>
      <w:r>
        <w:rPr>
          <w:rFonts w:hint="eastAsia" w:cs="Times New Roman"/>
        </w:rPr>
        <w:t>0</w:t>
      </w:r>
      <w:r>
        <w:rPr>
          <w:rFonts w:cs="Times New Roman"/>
        </w:rPr>
        <w:t>日</w:t>
      </w:r>
      <w:r>
        <w:rPr>
          <w:rFonts w:hint="eastAsia" w:cs="Times New Roman"/>
        </w:rPr>
        <w:t>。</w:t>
      </w:r>
    </w:p>
    <w:p>
      <w:pPr>
        <w:pStyle w:val="6"/>
        <w:spacing w:line="360" w:lineRule="auto"/>
        <w:ind w:firstLine="420" w:firstLineChars="200"/>
        <w:rPr>
          <w:rFonts w:cs="Times New Roman"/>
        </w:rPr>
      </w:pPr>
      <w:r>
        <w:rPr>
          <w:rFonts w:hint="eastAsia"/>
        </w:rPr>
        <w:t>2</w:t>
      </w:r>
      <w:r>
        <w:rPr>
          <w:rFonts w:hint="eastAsia" w:cs="Times New Roman"/>
        </w:rPr>
        <w:t>.投标报名截止时间：20</w:t>
      </w:r>
      <w:r>
        <w:rPr>
          <w:rFonts w:cs="Times New Roman"/>
        </w:rPr>
        <w:t>2</w:t>
      </w:r>
      <w:r>
        <w:rPr>
          <w:rFonts w:hint="eastAsia" w:cs="Times New Roman"/>
        </w:rPr>
        <w:t>3年</w:t>
      </w:r>
      <w:r>
        <w:rPr>
          <w:rFonts w:hint="eastAsia"/>
        </w:rPr>
        <w:t>3</w:t>
      </w:r>
      <w:r>
        <w:rPr>
          <w:rFonts w:hint="eastAsia" w:cs="Times New Roman"/>
        </w:rPr>
        <w:t>月</w:t>
      </w:r>
      <w:r>
        <w:rPr>
          <w:rFonts w:hint="eastAsia"/>
        </w:rPr>
        <w:t>17日</w:t>
      </w:r>
      <w:r>
        <w:rPr>
          <w:rFonts w:hint="eastAsia" w:cs="Times New Roman"/>
        </w:rPr>
        <w:t>下午17：0</w:t>
      </w:r>
      <w:r>
        <w:rPr>
          <w:rFonts w:cs="Times New Roman"/>
        </w:rPr>
        <w:t>0前</w:t>
      </w:r>
      <w:r>
        <w:rPr>
          <w:rFonts w:hint="eastAsia" w:cs="Times New Roman"/>
        </w:rPr>
        <w:t>，逾期不受理；</w:t>
      </w:r>
    </w:p>
    <w:p>
      <w:pPr>
        <w:pStyle w:val="6"/>
        <w:spacing w:line="360" w:lineRule="auto"/>
        <w:ind w:firstLine="630" w:firstLineChars="300"/>
      </w:pPr>
      <w:r>
        <w:rPr>
          <w:rFonts w:hint="eastAsia" w:cs="Times New Roman"/>
        </w:rPr>
        <w:t>报名方式：将资质文件扫描件发送至yuyang_gh@sinotruk.com（电话不受理）。</w:t>
      </w:r>
    </w:p>
    <w:p>
      <w:pPr>
        <w:pStyle w:val="6"/>
        <w:spacing w:line="360" w:lineRule="auto"/>
        <w:ind w:firstLine="420" w:firstLineChars="200"/>
        <w:rPr>
          <w:rFonts w:cs="Times New Roman"/>
        </w:rPr>
      </w:pPr>
      <w:r>
        <w:rPr>
          <w:rFonts w:hint="eastAsia"/>
        </w:rPr>
        <w:t>3</w:t>
      </w:r>
      <w:r>
        <w:rPr>
          <w:rFonts w:hint="eastAsia" w:cs="Times New Roman"/>
        </w:rPr>
        <w:t>.答疑时间：截止至20</w:t>
      </w:r>
      <w:r>
        <w:rPr>
          <w:rFonts w:cs="Times New Roman"/>
        </w:rPr>
        <w:t>22</w:t>
      </w:r>
      <w:r>
        <w:rPr>
          <w:rFonts w:hint="eastAsia" w:cs="Times New Roman"/>
        </w:rPr>
        <w:t>年</w:t>
      </w:r>
      <w:r>
        <w:rPr>
          <w:rFonts w:hint="eastAsia"/>
        </w:rPr>
        <w:t>3</w:t>
      </w:r>
      <w:r>
        <w:rPr>
          <w:rFonts w:hint="eastAsia" w:cs="Times New Roman"/>
        </w:rPr>
        <w:t>月</w:t>
      </w:r>
      <w:r>
        <w:rPr>
          <w:rFonts w:hint="eastAsia"/>
        </w:rPr>
        <w:t>17日</w:t>
      </w:r>
      <w:r>
        <w:rPr>
          <w:rFonts w:hint="eastAsia" w:cs="Times New Roman"/>
        </w:rPr>
        <w:t>下午17：0</w:t>
      </w:r>
      <w:r>
        <w:rPr>
          <w:rFonts w:cs="Times New Roman"/>
        </w:rPr>
        <w:t>0前</w:t>
      </w:r>
      <w:r>
        <w:rPr>
          <w:rFonts w:hint="eastAsia" w:cs="Times New Roman"/>
        </w:rPr>
        <w:t>，逾期不受理；</w:t>
      </w:r>
    </w:p>
    <w:p>
      <w:pPr>
        <w:pStyle w:val="6"/>
        <w:spacing w:line="360" w:lineRule="auto"/>
        <w:ind w:firstLine="630" w:firstLineChars="300"/>
        <w:rPr>
          <w:rFonts w:cs="Times New Roman"/>
        </w:rPr>
      </w:pPr>
      <w:r>
        <w:rPr>
          <w:rFonts w:hint="eastAsia" w:cs="Times New Roman"/>
        </w:rPr>
        <w:t>答疑方式：邮件（电话不受理）。</w:t>
      </w:r>
    </w:p>
    <w:p>
      <w:pPr>
        <w:pStyle w:val="6"/>
        <w:spacing w:line="360" w:lineRule="auto"/>
        <w:ind w:firstLine="420" w:firstLineChars="200"/>
        <w:rPr>
          <w:rFonts w:cs="Times New Roman"/>
        </w:rPr>
      </w:pPr>
      <w:r>
        <w:rPr>
          <w:rFonts w:hint="eastAsia" w:cs="Times New Roman"/>
        </w:rPr>
        <w:t>4.开标时间：2023年3月20日</w:t>
      </w:r>
    </w:p>
    <w:p>
      <w:pPr>
        <w:pStyle w:val="6"/>
        <w:spacing w:line="360" w:lineRule="auto"/>
        <w:ind w:firstLine="420" w:firstLineChars="200"/>
        <w:rPr>
          <w:rFonts w:cs="Times New Roman"/>
        </w:rPr>
      </w:pPr>
      <w:r>
        <w:rPr>
          <w:rFonts w:hint="eastAsia" w:cs="Times New Roman"/>
        </w:rPr>
        <w:t>5.现场资质审验。</w:t>
      </w:r>
    </w:p>
    <w:p>
      <w:pPr>
        <w:pStyle w:val="6"/>
        <w:spacing w:line="360" w:lineRule="auto"/>
        <w:ind w:firstLine="422" w:firstLineChars="200"/>
        <w:rPr>
          <w:rFonts w:cs="Times New Roman"/>
          <w:b/>
        </w:rPr>
      </w:pPr>
      <w:r>
        <w:rPr>
          <w:rFonts w:hint="eastAsia" w:cs="Times New Roman"/>
          <w:b/>
        </w:rPr>
        <w:t>投标人应提供法定代表人资格等相关证明、授权委托书原件等。</w:t>
      </w:r>
    </w:p>
    <w:p>
      <w:pPr>
        <w:pStyle w:val="6"/>
        <w:spacing w:line="360" w:lineRule="auto"/>
        <w:ind w:firstLine="426"/>
        <w:rPr>
          <w:rFonts w:cs="Times New Roman"/>
        </w:rPr>
      </w:pPr>
      <w:bookmarkStart w:id="1" w:name="OLE_LINK3"/>
      <w:bookmarkStart w:id="2" w:name="OLE_LINK2"/>
      <w:r>
        <w:rPr>
          <w:rFonts w:hint="eastAsia" w:cs="Times New Roman"/>
        </w:rPr>
        <w:t>投标地点：中国重汽未来科技大厦</w:t>
      </w:r>
      <w:r>
        <w:rPr>
          <w:rFonts w:cs="Times New Roman"/>
        </w:rPr>
        <w:t>16</w:t>
      </w:r>
      <w:r>
        <w:rPr>
          <w:rFonts w:hint="eastAsia" w:cs="Times New Roman"/>
        </w:rPr>
        <w:t>楼</w:t>
      </w:r>
      <w:bookmarkEnd w:id="1"/>
      <w:bookmarkEnd w:id="2"/>
      <w:r>
        <w:rPr>
          <w:rFonts w:hint="eastAsia" w:cs="Times New Roman"/>
        </w:rPr>
        <w:t>董事会办公室；</w:t>
      </w:r>
    </w:p>
    <w:p>
      <w:pPr>
        <w:pStyle w:val="6"/>
        <w:spacing w:line="360" w:lineRule="auto"/>
        <w:ind w:firstLine="426"/>
        <w:rPr>
          <w:rFonts w:hAnsi="宋体" w:cs="Times New Roman"/>
        </w:rPr>
      </w:pPr>
      <w:r>
        <w:rPr>
          <w:rFonts w:hint="eastAsia" w:cs="Times New Roman"/>
        </w:rPr>
        <w:t>地址：</w:t>
      </w:r>
      <w:r>
        <w:rPr>
          <w:rFonts w:hint="eastAsia" w:hAnsi="宋体" w:cs="Times New Roman"/>
        </w:rPr>
        <w:t>济南市历城区舜华南路688号。</w:t>
      </w:r>
    </w:p>
    <w:p>
      <w:pPr>
        <w:pStyle w:val="6"/>
        <w:spacing w:line="360" w:lineRule="auto"/>
        <w:ind w:firstLine="426"/>
        <w:rPr>
          <w:rFonts w:cs="Times New Roman"/>
        </w:rPr>
      </w:pPr>
      <w:r>
        <w:rPr>
          <w:rFonts w:hint="eastAsia" w:cs="Times New Roman"/>
        </w:rPr>
        <w:t>联系人： 于洋</w:t>
      </w:r>
      <w:r>
        <w:rPr>
          <w:rFonts w:cs="Times New Roman"/>
        </w:rPr>
        <w:t xml:space="preserve">   </w:t>
      </w:r>
      <w:r>
        <w:rPr>
          <w:rFonts w:hint="eastAsia" w:cs="Times New Roman"/>
        </w:rPr>
        <w:t>电话：0</w:t>
      </w:r>
      <w:r>
        <w:rPr>
          <w:rFonts w:cs="Times New Roman"/>
        </w:rPr>
        <w:t>531</w:t>
      </w:r>
      <w:r>
        <w:rPr>
          <w:rFonts w:hint="eastAsia" w:cs="Times New Roman"/>
        </w:rPr>
        <w:t>-</w:t>
      </w:r>
      <w:r>
        <w:rPr>
          <w:rFonts w:cs="Times New Roman"/>
        </w:rPr>
        <w:t>5806</w:t>
      </w:r>
      <w:r>
        <w:rPr>
          <w:rFonts w:hint="eastAsia" w:cs="Times New Roman"/>
        </w:rPr>
        <w:t xml:space="preserve">2281 </w:t>
      </w:r>
      <w:r>
        <w:rPr>
          <w:rFonts w:cs="Times New Roman"/>
        </w:rPr>
        <w:t xml:space="preserve">   </w:t>
      </w:r>
    </w:p>
    <w:p>
      <w:pPr>
        <w:pStyle w:val="6"/>
        <w:spacing w:line="360" w:lineRule="auto"/>
        <w:rPr>
          <w:rFonts w:ascii="黑体" w:eastAsia="黑体"/>
          <w:b/>
          <w:bCs/>
          <w:sz w:val="28"/>
        </w:rPr>
      </w:pPr>
      <w:r>
        <w:rPr>
          <w:rFonts w:hint="eastAsia" w:ascii="黑体" w:eastAsia="黑体"/>
          <w:b/>
          <w:bCs/>
          <w:sz w:val="28"/>
        </w:rPr>
        <w:t>六、评标</w:t>
      </w:r>
    </w:p>
    <w:p>
      <w:pPr>
        <w:pStyle w:val="6"/>
        <w:spacing w:line="360" w:lineRule="auto"/>
        <w:ind w:firstLine="420" w:firstLineChars="200"/>
      </w:pPr>
      <w:r>
        <w:rPr>
          <w:rFonts w:hint="eastAsia"/>
        </w:rPr>
        <w:t>1</w:t>
      </w:r>
      <w:r>
        <w:t>.</w:t>
      </w:r>
      <w:r>
        <w:rPr>
          <w:rFonts w:hint="eastAsia"/>
        </w:rPr>
        <w:t>评标</w:t>
      </w:r>
    </w:p>
    <w:p>
      <w:pPr>
        <w:pStyle w:val="6"/>
        <w:spacing w:line="360" w:lineRule="auto"/>
        <w:ind w:firstLine="420" w:firstLineChars="200"/>
      </w:pPr>
      <w:r>
        <w:rPr>
          <w:rFonts w:hint="eastAsia"/>
        </w:rPr>
        <w:t>评标工作由招标人为该项目依法组织的、由三人及以上单数成员（视标的额大小按规定确定专家人数）组成的评标工作小组负责，参照以下评分标准，采用综合评定法，即由评标工作小组按照国家招投标有关规定，本着公平、公正、公开、有序的原则，在最大限度地满足招标文件实质性要求的前提下，按照招标文件中规定的各项因素进行综合评审，并根据报价情况同时结合项目需求，依据本招标书列示的相关报价规则，不保证最低报价投标人中标，需根据综合评审结果确定中标候选人及中标项目，对未中标人不做任何解释。</w:t>
      </w:r>
    </w:p>
    <w:p>
      <w:pPr>
        <w:pStyle w:val="6"/>
        <w:spacing w:line="360" w:lineRule="auto"/>
        <w:ind w:firstLine="420" w:firstLineChars="200"/>
        <w:rPr>
          <w:rFonts w:hAnsi="宋体"/>
          <w:szCs w:val="21"/>
        </w:rPr>
      </w:pPr>
      <w:r>
        <w:rPr>
          <w:rFonts w:hint="eastAsia" w:hAnsi="宋体"/>
          <w:szCs w:val="21"/>
        </w:rPr>
        <w:t>2</w:t>
      </w:r>
      <w:bookmarkStart w:id="3" w:name="OLE_LINK4"/>
      <w:r>
        <w:rPr>
          <w:rFonts w:hint="eastAsia" w:hAnsi="宋体"/>
          <w:szCs w:val="21"/>
        </w:rPr>
        <w:t>.评分标准</w:t>
      </w:r>
      <w:bookmarkEnd w:id="3"/>
    </w:p>
    <w:tbl>
      <w:tblPr>
        <w:tblStyle w:val="14"/>
        <w:tblW w:w="8260" w:type="dxa"/>
        <w:jc w:val="center"/>
        <w:tblLayout w:type="autofit"/>
        <w:tblCellMar>
          <w:top w:w="0" w:type="dxa"/>
          <w:left w:w="108" w:type="dxa"/>
          <w:bottom w:w="0" w:type="dxa"/>
          <w:right w:w="108" w:type="dxa"/>
        </w:tblCellMar>
      </w:tblPr>
      <w:tblGrid>
        <w:gridCol w:w="1276"/>
        <w:gridCol w:w="1816"/>
        <w:gridCol w:w="5168"/>
      </w:tblGrid>
      <w:tr>
        <w:tblPrEx>
          <w:tblCellMar>
            <w:top w:w="0" w:type="dxa"/>
            <w:left w:w="108" w:type="dxa"/>
            <w:bottom w:w="0" w:type="dxa"/>
            <w:right w:w="108" w:type="dxa"/>
          </w:tblCellMar>
        </w:tblPrEx>
        <w:trPr>
          <w:trHeight w:val="360" w:hRule="atLeast"/>
          <w:jc w:val="center"/>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heme="minorBidi"/>
                <w:szCs w:val="21"/>
              </w:rPr>
            </w:pPr>
            <w:r>
              <w:rPr>
                <w:rFonts w:hint="eastAsia" w:ascii="宋体" w:hAnsi="宋体" w:cstheme="minorBidi"/>
                <w:szCs w:val="21"/>
              </w:rPr>
              <w:t>得分项</w:t>
            </w:r>
          </w:p>
        </w:tc>
        <w:tc>
          <w:tcPr>
            <w:tcW w:w="6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heme="minorBidi"/>
                <w:szCs w:val="21"/>
              </w:rPr>
            </w:pPr>
            <w:r>
              <w:rPr>
                <w:rFonts w:hint="eastAsia" w:ascii="宋体" w:hAnsi="宋体" w:cstheme="minorBidi"/>
                <w:szCs w:val="21"/>
              </w:rPr>
              <w:t>评审内容（共100分）</w:t>
            </w:r>
          </w:p>
        </w:tc>
      </w:tr>
      <w:tr>
        <w:tblPrEx>
          <w:tblCellMar>
            <w:top w:w="0" w:type="dxa"/>
            <w:left w:w="108" w:type="dxa"/>
            <w:bottom w:w="0" w:type="dxa"/>
            <w:right w:w="108" w:type="dxa"/>
          </w:tblCellMar>
        </w:tblPrEx>
        <w:trPr>
          <w:trHeight w:val="1390" w:hRule="atLeast"/>
          <w:jc w:val="center"/>
        </w:trPr>
        <w:tc>
          <w:tcPr>
            <w:tcW w:w="1276"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theme="minorBidi"/>
                <w:szCs w:val="21"/>
              </w:rPr>
            </w:pPr>
            <w:r>
              <w:rPr>
                <w:rFonts w:hint="eastAsia" w:ascii="宋体" w:hAnsi="宋体" w:cstheme="minorBidi"/>
                <w:szCs w:val="21"/>
              </w:rPr>
              <w:t>商务标</w:t>
            </w:r>
            <w:r>
              <w:rPr>
                <w:rFonts w:hint="eastAsia" w:ascii="宋体" w:hAnsi="宋体" w:cstheme="minorBidi"/>
                <w:szCs w:val="21"/>
              </w:rPr>
              <w:br w:type="textWrapping"/>
            </w:r>
            <w:r>
              <w:rPr>
                <w:rFonts w:hint="eastAsia" w:ascii="宋体" w:hAnsi="宋体" w:cstheme="minorBidi"/>
                <w:szCs w:val="21"/>
              </w:rPr>
              <w:t>（100分）</w:t>
            </w: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heme="minorBidi"/>
                <w:szCs w:val="21"/>
              </w:rPr>
            </w:pPr>
            <w:r>
              <w:rPr>
                <w:rFonts w:hint="eastAsia" w:ascii="宋体" w:hAnsi="宋体" w:cstheme="minorBidi"/>
                <w:szCs w:val="21"/>
              </w:rPr>
              <w:t>资质、规模</w:t>
            </w:r>
            <w:r>
              <w:rPr>
                <w:rFonts w:hint="eastAsia" w:ascii="宋体" w:hAnsi="宋体" w:cstheme="minorBidi"/>
                <w:szCs w:val="21"/>
              </w:rPr>
              <w:br w:type="textWrapping"/>
            </w:r>
            <w:r>
              <w:rPr>
                <w:rFonts w:hint="eastAsia" w:ascii="宋体" w:hAnsi="宋体" w:cstheme="minorBidi"/>
                <w:szCs w:val="21"/>
              </w:rPr>
              <w:t>（</w:t>
            </w:r>
            <w:r>
              <w:rPr>
                <w:rFonts w:ascii="宋体" w:hAnsi="宋体" w:cstheme="minorBidi"/>
                <w:szCs w:val="21"/>
              </w:rPr>
              <w:t>5</w:t>
            </w:r>
            <w:r>
              <w:rPr>
                <w:rFonts w:hint="eastAsia" w:ascii="宋体" w:hAnsi="宋体" w:cstheme="minorBidi"/>
                <w:szCs w:val="21"/>
              </w:rPr>
              <w:t>分）</w:t>
            </w:r>
          </w:p>
        </w:tc>
        <w:tc>
          <w:tcPr>
            <w:tcW w:w="5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heme="minorBidi"/>
                <w:szCs w:val="21"/>
              </w:rPr>
            </w:pPr>
            <w:r>
              <w:rPr>
                <w:rFonts w:hint="eastAsia" w:ascii="宋体" w:hAnsi="宋体" w:cstheme="minorBidi"/>
                <w:szCs w:val="21"/>
              </w:rPr>
              <w:t>根据竞标单位在所属行业中的资质水平及企业业务规模情况，分为优秀、符合、基本满足三个等级，分别酌情赋分，其中：</w:t>
            </w:r>
            <w:r>
              <w:rPr>
                <w:rFonts w:hint="eastAsia" w:ascii="宋体" w:hAnsi="宋体" w:cstheme="minorBidi"/>
                <w:szCs w:val="21"/>
              </w:rPr>
              <w:br w:type="textWrapping"/>
            </w:r>
            <w:r>
              <w:rPr>
                <w:rFonts w:hint="eastAsia" w:ascii="宋体" w:hAnsi="宋体" w:cstheme="minorBidi"/>
                <w:szCs w:val="21"/>
              </w:rPr>
              <w:t>优秀得5分；</w:t>
            </w:r>
            <w:r>
              <w:rPr>
                <w:rFonts w:hint="eastAsia" w:ascii="宋体" w:hAnsi="宋体" w:cstheme="minorBidi"/>
                <w:szCs w:val="21"/>
              </w:rPr>
              <w:br w:type="textWrapping"/>
            </w:r>
            <w:r>
              <w:rPr>
                <w:rFonts w:hint="eastAsia" w:ascii="宋体" w:hAnsi="宋体" w:cstheme="minorBidi"/>
                <w:szCs w:val="21"/>
              </w:rPr>
              <w:t>符合得3-4分；</w:t>
            </w:r>
            <w:r>
              <w:rPr>
                <w:rFonts w:hint="eastAsia" w:ascii="宋体" w:hAnsi="宋体" w:cstheme="minorBidi"/>
                <w:szCs w:val="21"/>
              </w:rPr>
              <w:br w:type="textWrapping"/>
            </w:r>
            <w:r>
              <w:rPr>
                <w:rFonts w:hint="eastAsia" w:ascii="宋体" w:hAnsi="宋体" w:cstheme="minorBidi"/>
                <w:szCs w:val="21"/>
              </w:rPr>
              <w:t>基本满足得1-2分。</w:t>
            </w:r>
          </w:p>
        </w:tc>
      </w:tr>
      <w:tr>
        <w:tblPrEx>
          <w:tblCellMar>
            <w:top w:w="0" w:type="dxa"/>
            <w:left w:w="108" w:type="dxa"/>
            <w:bottom w:w="0" w:type="dxa"/>
            <w:right w:w="108" w:type="dxa"/>
          </w:tblCellMar>
        </w:tblPrEx>
        <w:trPr>
          <w:trHeight w:val="1560" w:hRule="atLeast"/>
          <w:jc w:val="center"/>
        </w:trPr>
        <w:tc>
          <w:tcPr>
            <w:tcW w:w="1276" w:type="dxa"/>
            <w:vMerge w:val="continue"/>
            <w:tcBorders>
              <w:left w:val="single" w:color="auto" w:sz="4" w:space="0"/>
              <w:right w:val="single" w:color="auto" w:sz="4" w:space="0"/>
            </w:tcBorders>
            <w:vAlign w:val="center"/>
          </w:tcPr>
          <w:p>
            <w:pPr>
              <w:widowControl/>
              <w:jc w:val="left"/>
              <w:rPr>
                <w:rFonts w:ascii="宋体" w:hAnsi="宋体" w:cstheme="minorBidi"/>
                <w:szCs w:val="21"/>
              </w:rPr>
            </w:pP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heme="minorBidi"/>
                <w:szCs w:val="21"/>
              </w:rPr>
            </w:pPr>
            <w:r>
              <w:rPr>
                <w:rFonts w:hint="eastAsia" w:ascii="宋体" w:hAnsi="宋体" w:cstheme="minorBidi"/>
                <w:szCs w:val="21"/>
              </w:rPr>
              <w:t>经营实力</w:t>
            </w:r>
            <w:r>
              <w:rPr>
                <w:rFonts w:hint="eastAsia" w:ascii="宋体" w:hAnsi="宋体" w:cstheme="minorBidi"/>
                <w:szCs w:val="21"/>
              </w:rPr>
              <w:br w:type="textWrapping"/>
            </w:r>
            <w:r>
              <w:rPr>
                <w:rFonts w:hint="eastAsia" w:ascii="宋体" w:hAnsi="宋体" w:cstheme="minorBidi"/>
                <w:szCs w:val="21"/>
              </w:rPr>
              <w:t>（</w:t>
            </w:r>
            <w:r>
              <w:rPr>
                <w:rFonts w:ascii="宋体" w:hAnsi="宋体" w:cstheme="minorBidi"/>
                <w:szCs w:val="21"/>
              </w:rPr>
              <w:t>10</w:t>
            </w:r>
            <w:r>
              <w:rPr>
                <w:rFonts w:hint="eastAsia" w:ascii="宋体" w:hAnsi="宋体" w:cstheme="minorBidi"/>
                <w:szCs w:val="21"/>
              </w:rPr>
              <w:t>分）</w:t>
            </w:r>
          </w:p>
        </w:tc>
        <w:tc>
          <w:tcPr>
            <w:tcW w:w="5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heme="minorBidi"/>
                <w:szCs w:val="21"/>
              </w:rPr>
            </w:pPr>
            <w:r>
              <w:rPr>
                <w:rFonts w:hint="eastAsia" w:ascii="宋体" w:hAnsi="宋体" w:cstheme="minorBidi"/>
                <w:szCs w:val="21"/>
              </w:rPr>
              <w:t>根据竞标单位实际经营实力和业务实力，分为优秀、符合、基本满足三个等级，分别酌情赋分，其中：</w:t>
            </w:r>
            <w:r>
              <w:rPr>
                <w:rFonts w:hint="eastAsia" w:ascii="宋体" w:hAnsi="宋体" w:cstheme="minorBidi"/>
                <w:szCs w:val="21"/>
              </w:rPr>
              <w:br w:type="textWrapping"/>
            </w:r>
            <w:r>
              <w:rPr>
                <w:rFonts w:hint="eastAsia" w:ascii="宋体" w:hAnsi="宋体" w:cstheme="minorBidi"/>
                <w:szCs w:val="21"/>
              </w:rPr>
              <w:t>优秀得9-</w:t>
            </w:r>
            <w:r>
              <w:rPr>
                <w:rFonts w:ascii="宋体" w:hAnsi="宋体" w:cstheme="minorBidi"/>
                <w:szCs w:val="21"/>
              </w:rPr>
              <w:t>10</w:t>
            </w:r>
            <w:r>
              <w:rPr>
                <w:rFonts w:hint="eastAsia" w:ascii="宋体" w:hAnsi="宋体" w:cstheme="minorBidi"/>
                <w:szCs w:val="21"/>
              </w:rPr>
              <w:t>分；</w:t>
            </w:r>
            <w:r>
              <w:rPr>
                <w:rFonts w:hint="eastAsia" w:ascii="宋体" w:hAnsi="宋体" w:cstheme="minorBidi"/>
                <w:szCs w:val="21"/>
              </w:rPr>
              <w:br w:type="textWrapping"/>
            </w:r>
            <w:r>
              <w:rPr>
                <w:rFonts w:hint="eastAsia" w:ascii="宋体" w:hAnsi="宋体" w:cstheme="minorBidi"/>
                <w:szCs w:val="21"/>
              </w:rPr>
              <w:t>符合得</w:t>
            </w:r>
            <w:r>
              <w:rPr>
                <w:rFonts w:ascii="宋体" w:hAnsi="宋体" w:cstheme="minorBidi"/>
                <w:szCs w:val="21"/>
              </w:rPr>
              <w:t>6</w:t>
            </w:r>
            <w:r>
              <w:rPr>
                <w:rFonts w:hint="eastAsia" w:ascii="宋体" w:hAnsi="宋体" w:cstheme="minorBidi"/>
                <w:szCs w:val="21"/>
              </w:rPr>
              <w:t>-</w:t>
            </w:r>
            <w:r>
              <w:rPr>
                <w:rFonts w:ascii="宋体" w:hAnsi="宋体" w:cstheme="minorBidi"/>
                <w:szCs w:val="21"/>
              </w:rPr>
              <w:t>9</w:t>
            </w:r>
            <w:r>
              <w:rPr>
                <w:rFonts w:hint="eastAsia" w:ascii="宋体" w:hAnsi="宋体" w:cstheme="minorBidi"/>
                <w:szCs w:val="21"/>
              </w:rPr>
              <w:t>分；</w:t>
            </w:r>
            <w:r>
              <w:rPr>
                <w:rFonts w:hint="eastAsia" w:ascii="宋体" w:hAnsi="宋体" w:cstheme="minorBidi"/>
                <w:szCs w:val="21"/>
              </w:rPr>
              <w:br w:type="textWrapping"/>
            </w:r>
            <w:r>
              <w:rPr>
                <w:rFonts w:hint="eastAsia" w:ascii="宋体" w:hAnsi="宋体" w:cstheme="minorBidi"/>
                <w:szCs w:val="21"/>
              </w:rPr>
              <w:t>基本满足得</w:t>
            </w:r>
            <w:r>
              <w:rPr>
                <w:rFonts w:ascii="宋体" w:hAnsi="宋体" w:cstheme="minorBidi"/>
                <w:szCs w:val="21"/>
              </w:rPr>
              <w:t>2</w:t>
            </w:r>
            <w:r>
              <w:rPr>
                <w:rFonts w:hint="eastAsia" w:ascii="宋体" w:hAnsi="宋体" w:cstheme="minorBidi"/>
                <w:szCs w:val="21"/>
              </w:rPr>
              <w:t>-</w:t>
            </w:r>
            <w:r>
              <w:rPr>
                <w:rFonts w:ascii="宋体" w:hAnsi="宋体" w:cstheme="minorBidi"/>
                <w:szCs w:val="21"/>
              </w:rPr>
              <w:t>5</w:t>
            </w:r>
            <w:r>
              <w:rPr>
                <w:rFonts w:hint="eastAsia" w:ascii="宋体" w:hAnsi="宋体" w:cstheme="minorBidi"/>
                <w:szCs w:val="21"/>
              </w:rPr>
              <w:t>分。</w:t>
            </w:r>
          </w:p>
        </w:tc>
      </w:tr>
      <w:tr>
        <w:tblPrEx>
          <w:tblCellMar>
            <w:top w:w="0" w:type="dxa"/>
            <w:left w:w="108" w:type="dxa"/>
            <w:bottom w:w="0" w:type="dxa"/>
            <w:right w:w="108" w:type="dxa"/>
          </w:tblCellMar>
        </w:tblPrEx>
        <w:trPr>
          <w:trHeight w:val="1390" w:hRule="atLeast"/>
          <w:jc w:val="center"/>
        </w:trPr>
        <w:tc>
          <w:tcPr>
            <w:tcW w:w="1276" w:type="dxa"/>
            <w:vMerge w:val="continue"/>
            <w:tcBorders>
              <w:left w:val="single" w:color="auto" w:sz="4" w:space="0"/>
              <w:right w:val="single" w:color="auto" w:sz="4" w:space="0"/>
            </w:tcBorders>
            <w:vAlign w:val="center"/>
          </w:tcPr>
          <w:p>
            <w:pPr>
              <w:widowControl/>
              <w:jc w:val="left"/>
              <w:rPr>
                <w:rFonts w:ascii="宋体" w:hAnsi="宋体" w:cstheme="minorBidi"/>
                <w:szCs w:val="21"/>
              </w:rPr>
            </w:pP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heme="minorBidi"/>
                <w:szCs w:val="21"/>
              </w:rPr>
            </w:pPr>
            <w:r>
              <w:rPr>
                <w:rFonts w:hint="eastAsia" w:ascii="宋体" w:hAnsi="宋体" w:cstheme="minorBidi"/>
                <w:szCs w:val="21"/>
              </w:rPr>
              <w:t>培训方案</w:t>
            </w:r>
          </w:p>
          <w:p>
            <w:pPr>
              <w:widowControl/>
              <w:jc w:val="center"/>
              <w:rPr>
                <w:rFonts w:ascii="宋体" w:hAnsi="宋体" w:cstheme="minorBidi"/>
                <w:szCs w:val="21"/>
              </w:rPr>
            </w:pPr>
            <w:r>
              <w:rPr>
                <w:rFonts w:hint="eastAsia" w:ascii="宋体" w:hAnsi="宋体" w:cstheme="minorBidi"/>
                <w:szCs w:val="21"/>
              </w:rPr>
              <w:t>（</w:t>
            </w:r>
            <w:r>
              <w:rPr>
                <w:rFonts w:ascii="宋体" w:hAnsi="宋体" w:cstheme="minorBidi"/>
                <w:szCs w:val="21"/>
              </w:rPr>
              <w:t>15</w:t>
            </w:r>
            <w:r>
              <w:rPr>
                <w:rFonts w:hint="eastAsia" w:ascii="宋体" w:hAnsi="宋体" w:cstheme="minorBidi"/>
                <w:szCs w:val="21"/>
              </w:rPr>
              <w:t>分）</w:t>
            </w:r>
          </w:p>
        </w:tc>
        <w:tc>
          <w:tcPr>
            <w:tcW w:w="5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heme="minorBidi"/>
                <w:szCs w:val="21"/>
              </w:rPr>
            </w:pPr>
            <w:r>
              <w:rPr>
                <w:rFonts w:hint="eastAsia" w:ascii="宋体" w:hAnsi="宋体" w:cstheme="minorBidi"/>
                <w:szCs w:val="21"/>
              </w:rPr>
              <w:t xml:space="preserve">根据竞标单位提供的培训方案情况，分为优秀、符合、基本满足三个等级，分别酌情赋分，其中： </w:t>
            </w:r>
            <w:r>
              <w:rPr>
                <w:rFonts w:ascii="宋体" w:hAnsi="宋体" w:cstheme="minorBidi"/>
                <w:szCs w:val="21"/>
              </w:rPr>
              <w:t xml:space="preserve">                              </w:t>
            </w:r>
            <w:r>
              <w:rPr>
                <w:rFonts w:hint="eastAsia" w:ascii="宋体" w:hAnsi="宋体" w:cstheme="minorBidi"/>
                <w:szCs w:val="21"/>
              </w:rPr>
              <w:t>优秀得</w:t>
            </w:r>
            <w:r>
              <w:rPr>
                <w:rFonts w:ascii="宋体" w:hAnsi="宋体" w:cstheme="minorBidi"/>
                <w:szCs w:val="21"/>
              </w:rPr>
              <w:t>12</w:t>
            </w:r>
            <w:r>
              <w:rPr>
                <w:rFonts w:hint="eastAsia" w:ascii="宋体" w:hAnsi="宋体" w:cstheme="minorBidi"/>
                <w:szCs w:val="21"/>
              </w:rPr>
              <w:t>-</w:t>
            </w:r>
            <w:r>
              <w:rPr>
                <w:rFonts w:ascii="宋体" w:hAnsi="宋体" w:cstheme="minorBidi"/>
                <w:szCs w:val="21"/>
              </w:rPr>
              <w:t>15</w:t>
            </w:r>
            <w:r>
              <w:rPr>
                <w:rFonts w:hint="eastAsia" w:ascii="宋体" w:hAnsi="宋体" w:cstheme="minorBidi"/>
                <w:szCs w:val="21"/>
              </w:rPr>
              <w:t>分；</w:t>
            </w:r>
            <w:r>
              <w:rPr>
                <w:rFonts w:hint="eastAsia" w:ascii="宋体" w:hAnsi="宋体" w:cstheme="minorBidi"/>
                <w:szCs w:val="21"/>
              </w:rPr>
              <w:br w:type="textWrapping"/>
            </w:r>
            <w:r>
              <w:rPr>
                <w:rFonts w:hint="eastAsia" w:ascii="宋体" w:hAnsi="宋体" w:cstheme="minorBidi"/>
                <w:szCs w:val="21"/>
              </w:rPr>
              <w:t>符合得</w:t>
            </w:r>
            <w:r>
              <w:rPr>
                <w:rFonts w:ascii="宋体" w:hAnsi="宋体" w:cstheme="minorBidi"/>
                <w:szCs w:val="21"/>
              </w:rPr>
              <w:t>8</w:t>
            </w:r>
            <w:r>
              <w:rPr>
                <w:rFonts w:hint="eastAsia" w:ascii="宋体" w:hAnsi="宋体" w:cstheme="minorBidi"/>
                <w:szCs w:val="21"/>
              </w:rPr>
              <w:t>-</w:t>
            </w:r>
            <w:r>
              <w:rPr>
                <w:rFonts w:ascii="宋体" w:hAnsi="宋体" w:cstheme="minorBidi"/>
                <w:szCs w:val="21"/>
              </w:rPr>
              <w:t>11</w:t>
            </w:r>
            <w:r>
              <w:rPr>
                <w:rFonts w:hint="eastAsia" w:ascii="宋体" w:hAnsi="宋体" w:cstheme="minorBidi"/>
                <w:szCs w:val="21"/>
              </w:rPr>
              <w:t>分；</w:t>
            </w:r>
            <w:r>
              <w:rPr>
                <w:rFonts w:hint="eastAsia" w:ascii="宋体" w:hAnsi="宋体" w:cstheme="minorBidi"/>
                <w:szCs w:val="21"/>
              </w:rPr>
              <w:br w:type="textWrapping"/>
            </w:r>
            <w:r>
              <w:rPr>
                <w:rFonts w:hint="eastAsia" w:ascii="宋体" w:hAnsi="宋体" w:cstheme="minorBidi"/>
                <w:szCs w:val="21"/>
              </w:rPr>
              <w:t>基本满足得</w:t>
            </w:r>
            <w:r>
              <w:rPr>
                <w:rFonts w:ascii="宋体" w:hAnsi="宋体" w:cstheme="minorBidi"/>
                <w:szCs w:val="21"/>
              </w:rPr>
              <w:t>3</w:t>
            </w:r>
            <w:r>
              <w:rPr>
                <w:rFonts w:hint="eastAsia" w:ascii="宋体" w:hAnsi="宋体" w:cstheme="minorBidi"/>
                <w:szCs w:val="21"/>
              </w:rPr>
              <w:t>-</w:t>
            </w:r>
            <w:r>
              <w:rPr>
                <w:rFonts w:ascii="宋体" w:hAnsi="宋体" w:cstheme="minorBidi"/>
                <w:szCs w:val="21"/>
              </w:rPr>
              <w:t>7</w:t>
            </w:r>
            <w:r>
              <w:rPr>
                <w:rFonts w:hint="eastAsia" w:ascii="宋体" w:hAnsi="宋体" w:cstheme="minorBidi"/>
                <w:szCs w:val="21"/>
              </w:rPr>
              <w:t>分。</w:t>
            </w:r>
          </w:p>
        </w:tc>
      </w:tr>
      <w:tr>
        <w:tblPrEx>
          <w:tblCellMar>
            <w:top w:w="0" w:type="dxa"/>
            <w:left w:w="108" w:type="dxa"/>
            <w:bottom w:w="0" w:type="dxa"/>
            <w:right w:w="108" w:type="dxa"/>
          </w:tblCellMar>
        </w:tblPrEx>
        <w:trPr>
          <w:trHeight w:val="1390" w:hRule="atLeast"/>
          <w:jc w:val="center"/>
        </w:trPr>
        <w:tc>
          <w:tcPr>
            <w:tcW w:w="1276" w:type="dxa"/>
            <w:vMerge w:val="continue"/>
            <w:tcBorders>
              <w:left w:val="single" w:color="auto" w:sz="4" w:space="0"/>
              <w:right w:val="single" w:color="auto" w:sz="4" w:space="0"/>
            </w:tcBorders>
            <w:vAlign w:val="center"/>
          </w:tcPr>
          <w:p>
            <w:pPr>
              <w:widowControl/>
              <w:jc w:val="left"/>
              <w:rPr>
                <w:rFonts w:ascii="宋体" w:hAnsi="宋体" w:cstheme="minorBidi"/>
                <w:szCs w:val="21"/>
              </w:rPr>
            </w:pP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heme="minorBidi"/>
                <w:szCs w:val="21"/>
              </w:rPr>
            </w:pPr>
            <w:r>
              <w:rPr>
                <w:rFonts w:hint="eastAsia" w:ascii="宋体" w:hAnsi="宋体" w:cstheme="minorBidi"/>
                <w:szCs w:val="21"/>
              </w:rPr>
              <w:t>相关工作经验</w:t>
            </w:r>
            <w:r>
              <w:rPr>
                <w:rFonts w:hint="eastAsia" w:ascii="宋体" w:hAnsi="宋体" w:cstheme="minorBidi"/>
                <w:szCs w:val="21"/>
              </w:rPr>
              <w:br w:type="textWrapping"/>
            </w:r>
            <w:r>
              <w:rPr>
                <w:rFonts w:hint="eastAsia" w:ascii="宋体" w:hAnsi="宋体" w:cstheme="minorBidi"/>
                <w:szCs w:val="21"/>
              </w:rPr>
              <w:t>（</w:t>
            </w:r>
            <w:r>
              <w:rPr>
                <w:rFonts w:ascii="宋体" w:hAnsi="宋体" w:cstheme="minorBidi"/>
                <w:szCs w:val="21"/>
              </w:rPr>
              <w:t>10</w:t>
            </w:r>
            <w:r>
              <w:rPr>
                <w:rFonts w:hint="eastAsia" w:ascii="宋体" w:hAnsi="宋体" w:cstheme="minorBidi"/>
                <w:szCs w:val="21"/>
              </w:rPr>
              <w:t>分）</w:t>
            </w:r>
          </w:p>
        </w:tc>
        <w:tc>
          <w:tcPr>
            <w:tcW w:w="5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heme="minorBidi"/>
                <w:szCs w:val="21"/>
              </w:rPr>
            </w:pPr>
            <w:r>
              <w:rPr>
                <w:rFonts w:hint="eastAsia" w:ascii="宋体" w:hAnsi="宋体" w:cstheme="minorBidi"/>
                <w:szCs w:val="21"/>
              </w:rPr>
              <w:t>根据竞标单位培训服务的相关工作经验情况，分为优秀、符合、基本满足三个等级，分别酌情赋分，其中：</w:t>
            </w:r>
            <w:r>
              <w:rPr>
                <w:rFonts w:hint="eastAsia" w:ascii="宋体" w:hAnsi="宋体" w:cstheme="minorBidi"/>
                <w:szCs w:val="21"/>
              </w:rPr>
              <w:br w:type="textWrapping"/>
            </w:r>
            <w:r>
              <w:rPr>
                <w:rFonts w:hint="eastAsia" w:ascii="宋体" w:hAnsi="宋体" w:cstheme="minorBidi"/>
                <w:szCs w:val="21"/>
              </w:rPr>
              <w:t>优秀得</w:t>
            </w:r>
            <w:r>
              <w:rPr>
                <w:rFonts w:ascii="宋体" w:hAnsi="宋体" w:cstheme="minorBidi"/>
                <w:szCs w:val="21"/>
              </w:rPr>
              <w:t>9</w:t>
            </w:r>
            <w:r>
              <w:rPr>
                <w:rFonts w:hint="eastAsia" w:ascii="宋体" w:hAnsi="宋体" w:cstheme="minorBidi"/>
                <w:szCs w:val="21"/>
              </w:rPr>
              <w:t>-</w:t>
            </w:r>
            <w:r>
              <w:rPr>
                <w:rFonts w:ascii="宋体" w:hAnsi="宋体" w:cstheme="minorBidi"/>
                <w:szCs w:val="21"/>
              </w:rPr>
              <w:t>10</w:t>
            </w:r>
            <w:r>
              <w:rPr>
                <w:rFonts w:hint="eastAsia" w:ascii="宋体" w:hAnsi="宋体" w:cstheme="minorBidi"/>
                <w:szCs w:val="21"/>
              </w:rPr>
              <w:t>分；</w:t>
            </w:r>
            <w:r>
              <w:rPr>
                <w:rFonts w:hint="eastAsia" w:ascii="宋体" w:hAnsi="宋体" w:cstheme="minorBidi"/>
                <w:szCs w:val="21"/>
              </w:rPr>
              <w:br w:type="textWrapping"/>
            </w:r>
            <w:r>
              <w:rPr>
                <w:rFonts w:hint="eastAsia" w:ascii="宋体" w:hAnsi="宋体" w:cstheme="minorBidi"/>
                <w:szCs w:val="21"/>
              </w:rPr>
              <w:t>符合得5-8分；</w:t>
            </w:r>
            <w:r>
              <w:rPr>
                <w:rFonts w:hint="eastAsia" w:ascii="宋体" w:hAnsi="宋体" w:cstheme="minorBidi"/>
                <w:szCs w:val="21"/>
              </w:rPr>
              <w:br w:type="textWrapping"/>
            </w:r>
            <w:r>
              <w:rPr>
                <w:rFonts w:hint="eastAsia" w:ascii="宋体" w:hAnsi="宋体" w:cstheme="minorBidi"/>
                <w:szCs w:val="21"/>
              </w:rPr>
              <w:t>基本满足得2-4分。</w:t>
            </w:r>
          </w:p>
        </w:tc>
      </w:tr>
      <w:tr>
        <w:tblPrEx>
          <w:tblCellMar>
            <w:top w:w="0" w:type="dxa"/>
            <w:left w:w="108" w:type="dxa"/>
            <w:bottom w:w="0" w:type="dxa"/>
            <w:right w:w="108" w:type="dxa"/>
          </w:tblCellMar>
        </w:tblPrEx>
        <w:trPr>
          <w:trHeight w:val="1390" w:hRule="atLeast"/>
          <w:jc w:val="center"/>
        </w:trPr>
        <w:tc>
          <w:tcPr>
            <w:tcW w:w="127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theme="minorBidi"/>
                <w:szCs w:val="21"/>
              </w:rPr>
            </w:pP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heme="minorBidi"/>
                <w:szCs w:val="21"/>
              </w:rPr>
            </w:pPr>
            <w:r>
              <w:rPr>
                <w:rFonts w:hint="eastAsia" w:ascii="宋体" w:hAnsi="宋体" w:cstheme="minorBidi"/>
                <w:szCs w:val="21"/>
              </w:rPr>
              <w:t>收费标准</w:t>
            </w:r>
            <w:r>
              <w:rPr>
                <w:rFonts w:hint="eastAsia" w:ascii="宋体" w:hAnsi="宋体" w:cstheme="minorBidi"/>
                <w:szCs w:val="21"/>
              </w:rPr>
              <w:br w:type="textWrapping"/>
            </w:r>
            <w:r>
              <w:rPr>
                <w:rFonts w:hint="eastAsia" w:ascii="宋体" w:hAnsi="宋体" w:cstheme="minorBidi"/>
                <w:szCs w:val="21"/>
              </w:rPr>
              <w:t>（</w:t>
            </w:r>
            <w:r>
              <w:rPr>
                <w:rFonts w:ascii="宋体" w:hAnsi="宋体" w:cstheme="minorBidi"/>
                <w:szCs w:val="21"/>
              </w:rPr>
              <w:t>6</w:t>
            </w:r>
            <w:r>
              <w:rPr>
                <w:rFonts w:hint="eastAsia" w:ascii="宋体" w:hAnsi="宋体" w:cstheme="minorBidi"/>
                <w:szCs w:val="21"/>
              </w:rPr>
              <w:t>0分）</w:t>
            </w:r>
          </w:p>
        </w:tc>
        <w:tc>
          <w:tcPr>
            <w:tcW w:w="51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heme="minorBidi"/>
                <w:szCs w:val="21"/>
              </w:rPr>
            </w:pPr>
            <w:r>
              <w:rPr>
                <w:rFonts w:hint="eastAsia" w:ascii="宋体" w:hAnsi="宋体" w:cstheme="minorBidi"/>
                <w:szCs w:val="21"/>
              </w:rPr>
              <w:t>基准价=所有有效投标价的算术平均值。有效的投标人报价与评标基准值相同者得</w:t>
            </w:r>
            <w:r>
              <w:rPr>
                <w:rFonts w:ascii="宋体" w:hAnsi="宋体" w:cstheme="minorBidi"/>
                <w:szCs w:val="21"/>
              </w:rPr>
              <w:t>4</w:t>
            </w:r>
            <w:r>
              <w:rPr>
                <w:rFonts w:hint="eastAsia" w:ascii="宋体" w:hAnsi="宋体" w:cstheme="minorBidi"/>
                <w:szCs w:val="21"/>
              </w:rPr>
              <w:t>0分。比基准价每高1%在</w:t>
            </w:r>
            <w:r>
              <w:rPr>
                <w:rFonts w:ascii="宋体" w:hAnsi="宋体" w:cstheme="minorBidi"/>
                <w:szCs w:val="21"/>
              </w:rPr>
              <w:t>4</w:t>
            </w:r>
            <w:r>
              <w:rPr>
                <w:rFonts w:hint="eastAsia" w:ascii="宋体" w:hAnsi="宋体" w:cstheme="minorBidi"/>
                <w:szCs w:val="21"/>
              </w:rPr>
              <w:t>0分基础上减</w:t>
            </w:r>
            <w:r>
              <w:rPr>
                <w:rFonts w:ascii="宋体" w:hAnsi="宋体" w:cstheme="minorBidi"/>
                <w:szCs w:val="21"/>
              </w:rPr>
              <w:t>2</w:t>
            </w:r>
            <w:r>
              <w:rPr>
                <w:rFonts w:hint="eastAsia" w:ascii="宋体" w:hAnsi="宋体" w:cstheme="minorBidi"/>
                <w:szCs w:val="21"/>
              </w:rPr>
              <w:t>分，减完为止；每低1%在</w:t>
            </w:r>
            <w:r>
              <w:rPr>
                <w:rFonts w:ascii="宋体" w:hAnsi="宋体" w:cstheme="minorBidi"/>
                <w:szCs w:val="21"/>
              </w:rPr>
              <w:t>4</w:t>
            </w:r>
            <w:r>
              <w:rPr>
                <w:rFonts w:hint="eastAsia" w:ascii="宋体" w:hAnsi="宋体" w:cstheme="minorBidi"/>
                <w:szCs w:val="21"/>
              </w:rPr>
              <w:t>0分基础上加</w:t>
            </w:r>
            <w:r>
              <w:rPr>
                <w:rFonts w:ascii="宋体" w:hAnsi="宋体" w:cstheme="minorBidi"/>
                <w:szCs w:val="21"/>
              </w:rPr>
              <w:t>2</w:t>
            </w:r>
            <w:r>
              <w:rPr>
                <w:rFonts w:hint="eastAsia" w:ascii="宋体" w:hAnsi="宋体" w:cstheme="minorBidi"/>
                <w:szCs w:val="21"/>
              </w:rPr>
              <w:t>分，加满为止。</w:t>
            </w:r>
          </w:p>
        </w:tc>
      </w:tr>
    </w:tbl>
    <w:p>
      <w:pPr>
        <w:numPr>
          <w:ilvl w:val="0"/>
          <w:numId w:val="1"/>
        </w:numPr>
        <w:spacing w:line="360" w:lineRule="auto"/>
        <w:ind w:firstLine="420" w:firstLineChars="200"/>
        <w:rPr>
          <w:rFonts w:hint="eastAsia" w:ascii="宋体" w:hAnsi="宋体" w:cstheme="minorBidi"/>
          <w:szCs w:val="21"/>
        </w:rPr>
      </w:pPr>
      <w:r>
        <w:rPr>
          <w:rFonts w:hint="eastAsia" w:ascii="宋体" w:hAnsi="宋体" w:cstheme="minorBidi"/>
          <w:szCs w:val="21"/>
        </w:rPr>
        <w:t>投标文件未密封或资料不完整、投标人对招标文件的实质性要求未做出全面响应、有迹象表明投标人串通投标、中标后无正当理由在规定的时间不签订合同的、投标人提供的投标文件弄虚作假及其它违反法律、法规规定情形的，视为无效投标。</w:t>
      </w:r>
    </w:p>
    <w:p>
      <w:pPr>
        <w:pStyle w:val="6"/>
        <w:spacing w:line="360" w:lineRule="auto"/>
        <w:rPr>
          <w:rFonts w:ascii="黑体" w:eastAsia="黑体"/>
          <w:b/>
          <w:bCs/>
          <w:sz w:val="28"/>
          <w:szCs w:val="28"/>
        </w:rPr>
      </w:pPr>
      <w:r>
        <w:rPr>
          <w:rFonts w:hint="eastAsia" w:ascii="黑体" w:hAnsi="黑体" w:eastAsia="黑体"/>
          <w:b/>
          <w:bCs/>
          <w:sz w:val="28"/>
          <w:szCs w:val="28"/>
        </w:rPr>
        <w:t>七、废标及终止招标</w:t>
      </w:r>
    </w:p>
    <w:p>
      <w:pPr>
        <w:spacing w:line="520" w:lineRule="exact"/>
        <w:ind w:right="2" w:firstLine="420" w:firstLineChars="200"/>
        <w:rPr>
          <w:rFonts w:ascii="宋体" w:hAnsi="Courier New"/>
          <w:szCs w:val="21"/>
        </w:rPr>
      </w:pPr>
      <w:r>
        <w:rPr>
          <w:rFonts w:hint="eastAsia" w:ascii="宋体" w:hAnsi="宋体"/>
        </w:rPr>
        <w:t>1.投标人有下列情形之一的，将被视为废标，招标人将按照有关法律法规行使权力。投标人给招标人造成损失的，招标人有索赔的权力，投标人应给予赔偿。</w:t>
      </w:r>
    </w:p>
    <w:p>
      <w:pPr>
        <w:spacing w:line="520" w:lineRule="exact"/>
        <w:ind w:right="2" w:firstLine="420" w:firstLineChars="200"/>
        <w:rPr>
          <w:rFonts w:ascii="宋体" w:hAnsi="Courier New"/>
        </w:rPr>
      </w:pPr>
      <w:r>
        <w:rPr>
          <w:rFonts w:hint="eastAsia" w:ascii="宋体" w:hAnsi="宋体"/>
        </w:rPr>
        <w:t>（1）投标人提供的有关资格、资质证明文件不全、不真实；</w:t>
      </w:r>
    </w:p>
    <w:p>
      <w:pPr>
        <w:spacing w:line="520" w:lineRule="exact"/>
        <w:ind w:right="2" w:firstLine="420" w:firstLineChars="200"/>
        <w:rPr>
          <w:rFonts w:ascii="宋体" w:hAnsi="Courier New"/>
        </w:rPr>
      </w:pPr>
      <w:r>
        <w:rPr>
          <w:rFonts w:hint="eastAsia" w:ascii="宋体" w:hAnsi="宋体"/>
        </w:rPr>
        <w:t>（2）投标人在报价有效期内撤回投标；</w:t>
      </w:r>
    </w:p>
    <w:p>
      <w:pPr>
        <w:spacing w:line="520" w:lineRule="exact"/>
        <w:ind w:right="2" w:firstLine="420" w:firstLineChars="200"/>
        <w:rPr>
          <w:rFonts w:ascii="宋体" w:hAnsi="Courier New"/>
        </w:rPr>
      </w:pPr>
      <w:r>
        <w:rPr>
          <w:rFonts w:hint="eastAsia" w:ascii="宋体" w:hAnsi="宋体"/>
        </w:rPr>
        <w:t>（3）在评标过程中，投标人有企图影响评标结果公正性的任何项目；</w:t>
      </w:r>
    </w:p>
    <w:p>
      <w:pPr>
        <w:spacing w:line="520" w:lineRule="exact"/>
        <w:ind w:right="2" w:firstLine="420" w:firstLineChars="200"/>
        <w:rPr>
          <w:rFonts w:ascii="宋体" w:hAnsi="Courier New"/>
        </w:rPr>
      </w:pPr>
      <w:r>
        <w:rPr>
          <w:rFonts w:hint="eastAsia" w:ascii="宋体" w:hAnsi="宋体"/>
        </w:rPr>
        <w:t>（4）投标人以任何形式诋毁他人投标；</w:t>
      </w:r>
    </w:p>
    <w:p>
      <w:pPr>
        <w:spacing w:line="520" w:lineRule="exact"/>
        <w:ind w:right="2" w:firstLine="420" w:firstLineChars="200"/>
        <w:rPr>
          <w:rFonts w:ascii="宋体" w:hAnsi="Courier New"/>
        </w:rPr>
      </w:pPr>
      <w:r>
        <w:rPr>
          <w:rFonts w:hint="eastAsia" w:ascii="宋体" w:hAnsi="宋体"/>
        </w:rPr>
        <w:t>（5）以他人名义投标或以任何方式骗取中标；</w:t>
      </w:r>
    </w:p>
    <w:p>
      <w:pPr>
        <w:spacing w:line="520" w:lineRule="exact"/>
        <w:ind w:right="2" w:firstLine="420" w:firstLineChars="200"/>
        <w:rPr>
          <w:rFonts w:ascii="宋体" w:hAnsi="Courier New"/>
        </w:rPr>
      </w:pPr>
      <w:r>
        <w:rPr>
          <w:rFonts w:hint="eastAsia" w:ascii="宋体" w:hAnsi="宋体"/>
        </w:rPr>
        <w:t>（6）投标人对招标文件做出实质性变更；</w:t>
      </w:r>
    </w:p>
    <w:p>
      <w:pPr>
        <w:spacing w:line="520" w:lineRule="exact"/>
        <w:ind w:right="2" w:firstLine="420" w:firstLineChars="200"/>
        <w:rPr>
          <w:rFonts w:ascii="宋体" w:hAnsi="Courier New"/>
        </w:rPr>
      </w:pPr>
      <w:r>
        <w:rPr>
          <w:rFonts w:hint="eastAsia" w:ascii="宋体" w:hAnsi="宋体"/>
        </w:rPr>
        <w:t>（7）法律、法规规定的其他情况。</w:t>
      </w:r>
    </w:p>
    <w:p>
      <w:pPr>
        <w:spacing w:line="520" w:lineRule="exact"/>
        <w:ind w:right="2" w:firstLine="420" w:firstLineChars="200"/>
        <w:rPr>
          <w:rFonts w:ascii="宋体" w:hAnsi="Courier New"/>
        </w:rPr>
      </w:pPr>
      <w:r>
        <w:rPr>
          <w:rFonts w:hint="eastAsia" w:ascii="宋体" w:hAnsi="宋体"/>
        </w:rPr>
        <w:t>2.出现下列情形，招标人有权否决投标人的投标，并终止招标。</w:t>
      </w:r>
    </w:p>
    <w:p>
      <w:pPr>
        <w:spacing w:line="520" w:lineRule="exact"/>
        <w:ind w:right="2" w:firstLine="420" w:firstLineChars="200"/>
        <w:rPr>
          <w:rFonts w:ascii="宋体" w:hAnsi="Courier New"/>
        </w:rPr>
      </w:pPr>
      <w:r>
        <w:rPr>
          <w:rFonts w:hint="eastAsia" w:ascii="宋体" w:hAnsi="宋体"/>
        </w:rPr>
        <w:t>（1）出现影响评审公正性的违法、违规行为；</w:t>
      </w:r>
    </w:p>
    <w:p>
      <w:pPr>
        <w:spacing w:line="520" w:lineRule="exact"/>
        <w:ind w:right="2" w:firstLine="420" w:firstLineChars="200"/>
        <w:rPr>
          <w:rFonts w:ascii="宋体" w:hAnsi="Courier New"/>
        </w:rPr>
      </w:pPr>
      <w:r>
        <w:rPr>
          <w:rFonts w:hint="eastAsia" w:ascii="宋体" w:hAnsi="宋体"/>
        </w:rPr>
        <w:t>（2）因重大变故，本项目取消；</w:t>
      </w:r>
    </w:p>
    <w:p>
      <w:pPr>
        <w:spacing w:line="520" w:lineRule="exact"/>
        <w:ind w:right="2" w:firstLine="420" w:firstLineChars="200"/>
        <w:rPr>
          <w:rFonts w:ascii="宋体" w:hAnsi="Courier New"/>
        </w:rPr>
      </w:pPr>
      <w:r>
        <w:rPr>
          <w:rFonts w:hint="eastAsia" w:ascii="宋体" w:hAnsi="宋体"/>
        </w:rPr>
        <w:t>（</w:t>
      </w:r>
      <w:r>
        <w:rPr>
          <w:rFonts w:hint="eastAsia" w:ascii="宋体" w:hAnsi="Courier New"/>
        </w:rPr>
        <w:t>3</w:t>
      </w:r>
      <w:r>
        <w:rPr>
          <w:rFonts w:hint="eastAsia" w:ascii="宋体" w:hAnsi="宋体"/>
        </w:rPr>
        <w:t>）符合投标条件的投标方或者对招标文件做实质响应的投标方不足三家的；</w:t>
      </w:r>
    </w:p>
    <w:p>
      <w:pPr>
        <w:spacing w:line="520" w:lineRule="exact"/>
        <w:ind w:right="2" w:firstLine="420" w:firstLineChars="200"/>
        <w:rPr>
          <w:rFonts w:hAnsi="宋体"/>
        </w:rPr>
      </w:pPr>
      <w:r>
        <w:rPr>
          <w:rFonts w:hint="eastAsia" w:ascii="宋体" w:hAnsi="宋体"/>
        </w:rPr>
        <w:t>（</w:t>
      </w:r>
      <w:r>
        <w:rPr>
          <w:rFonts w:hint="eastAsia" w:ascii="宋体" w:hAnsi="Courier New"/>
        </w:rPr>
        <w:t>4</w:t>
      </w:r>
      <w:r>
        <w:rPr>
          <w:rFonts w:hint="eastAsia" w:ascii="宋体" w:hAnsi="宋体"/>
        </w:rPr>
        <w:t>）招标人认为其他应终止招标的情形。</w:t>
      </w:r>
    </w:p>
    <w:p>
      <w:pPr>
        <w:pStyle w:val="6"/>
        <w:spacing w:line="360" w:lineRule="auto"/>
        <w:rPr>
          <w:rFonts w:ascii="黑体" w:eastAsia="黑体"/>
          <w:b/>
          <w:bCs/>
          <w:sz w:val="28"/>
          <w:szCs w:val="28"/>
        </w:rPr>
      </w:pPr>
      <w:r>
        <w:rPr>
          <w:rFonts w:hint="eastAsia" w:ascii="黑体" w:hAnsi="黑体" w:eastAsia="黑体"/>
          <w:b/>
          <w:bCs/>
          <w:sz w:val="28"/>
          <w:szCs w:val="28"/>
        </w:rPr>
        <w:t>八、中标人瑕疵滞后发现的处理原则</w:t>
      </w:r>
    </w:p>
    <w:p>
      <w:pPr>
        <w:pStyle w:val="6"/>
        <w:spacing w:line="360" w:lineRule="auto"/>
        <w:ind w:firstLine="420" w:firstLineChars="200"/>
        <w:rPr>
          <w:szCs w:val="21"/>
        </w:rPr>
      </w:pPr>
      <w:r>
        <w:rPr>
          <w:rFonts w:hint="eastAsia" w:hAnsi="宋体"/>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pPr>
        <w:pStyle w:val="6"/>
        <w:spacing w:line="360" w:lineRule="auto"/>
        <w:rPr>
          <w:rFonts w:ascii="黑体" w:eastAsia="黑体"/>
          <w:b/>
          <w:bCs/>
          <w:sz w:val="28"/>
        </w:rPr>
      </w:pPr>
      <w:r>
        <w:rPr>
          <w:rFonts w:hint="eastAsia" w:ascii="黑体" w:eastAsia="黑体"/>
          <w:b/>
          <w:bCs/>
          <w:sz w:val="28"/>
        </w:rPr>
        <w:t>九、本次招标最终解释权归中国重汽集团济南动力有限公司。</w:t>
      </w:r>
    </w:p>
    <w:p>
      <w:pPr>
        <w:pStyle w:val="6"/>
        <w:spacing w:line="360" w:lineRule="auto"/>
        <w:rPr>
          <w:rFonts w:ascii="黑体" w:eastAsia="黑体"/>
          <w:b/>
          <w:bCs/>
          <w:sz w:val="28"/>
        </w:rPr>
      </w:pPr>
    </w:p>
    <w:p>
      <w:pPr>
        <w:pStyle w:val="6"/>
        <w:spacing w:line="360" w:lineRule="auto"/>
        <w:rPr>
          <w:rFonts w:ascii="黑体" w:eastAsia="黑体"/>
          <w:bCs/>
          <w:sz w:val="28"/>
        </w:rPr>
      </w:pPr>
    </w:p>
    <w:p>
      <w:pPr>
        <w:pStyle w:val="6"/>
        <w:spacing w:line="360" w:lineRule="auto"/>
        <w:rPr>
          <w:rFonts w:ascii="黑体" w:eastAsia="黑体"/>
          <w:bCs/>
          <w:sz w:val="28"/>
        </w:rPr>
      </w:pPr>
      <w:r>
        <w:rPr>
          <w:rFonts w:hint="eastAsia" w:ascii="黑体" w:eastAsia="黑体"/>
          <w:bCs/>
          <w:sz w:val="28"/>
        </w:rPr>
        <w:t xml:space="preserve"> </w:t>
      </w:r>
      <w:r>
        <w:rPr>
          <w:rFonts w:ascii="黑体" w:eastAsia="黑体"/>
          <w:bCs/>
          <w:sz w:val="28"/>
        </w:rPr>
        <w:t xml:space="preserve">                               </w:t>
      </w:r>
      <w:r>
        <w:rPr>
          <w:rFonts w:hint="eastAsia" w:ascii="黑体" w:eastAsia="黑体"/>
          <w:bCs/>
          <w:sz w:val="28"/>
        </w:rPr>
        <w:t>中国重汽集团济南动力有限公司</w:t>
      </w:r>
    </w:p>
    <w:p>
      <w:pPr>
        <w:pStyle w:val="6"/>
        <w:spacing w:line="360" w:lineRule="auto"/>
        <w:rPr>
          <w:rFonts w:ascii="黑体" w:eastAsia="黑体"/>
          <w:bCs/>
          <w:sz w:val="28"/>
        </w:rPr>
      </w:pPr>
      <w:r>
        <w:rPr>
          <w:rFonts w:hint="eastAsia" w:ascii="黑体" w:eastAsia="黑体"/>
          <w:bCs/>
          <w:sz w:val="28"/>
        </w:rPr>
        <w:t xml:space="preserve"> </w:t>
      </w:r>
      <w:r>
        <w:rPr>
          <w:rFonts w:ascii="黑体" w:eastAsia="黑体"/>
          <w:bCs/>
          <w:sz w:val="28"/>
        </w:rPr>
        <w:t xml:space="preserve">                                     </w:t>
      </w:r>
      <w:r>
        <w:rPr>
          <w:rFonts w:hint="eastAsia" w:ascii="黑体" w:eastAsia="黑体"/>
          <w:bCs/>
          <w:sz w:val="28"/>
        </w:rPr>
        <w:t xml:space="preserve">  </w:t>
      </w:r>
      <w:r>
        <w:rPr>
          <w:rFonts w:ascii="黑体" w:eastAsia="黑体"/>
          <w:bCs/>
          <w:sz w:val="28"/>
        </w:rPr>
        <w:t>202</w:t>
      </w:r>
      <w:r>
        <w:rPr>
          <w:rFonts w:hint="eastAsia" w:ascii="黑体" w:eastAsia="黑体"/>
          <w:bCs/>
          <w:sz w:val="28"/>
        </w:rPr>
        <w:t>3年3月</w:t>
      </w:r>
    </w:p>
    <w:p>
      <w:pPr>
        <w:spacing w:line="360" w:lineRule="auto"/>
        <w:rPr>
          <w:rFonts w:ascii="宋体" w:hAnsi="宋体" w:cstheme="minorBidi"/>
          <w:szCs w:val="22"/>
        </w:rPr>
      </w:pPr>
    </w:p>
    <w:p>
      <w:pPr>
        <w:spacing w:line="360" w:lineRule="auto"/>
        <w:rPr>
          <w:rFonts w:ascii="宋体" w:hAnsi="宋体" w:cstheme="minorBidi"/>
          <w:szCs w:val="22"/>
        </w:rPr>
      </w:pPr>
    </w:p>
    <w:p>
      <w:pPr>
        <w:ind w:left="1125"/>
        <w:jc w:val="center"/>
        <w:rPr>
          <w:rFonts w:eastAsia="黑体"/>
          <w:b/>
          <w:bCs/>
          <w:sz w:val="28"/>
        </w:rPr>
      </w:pPr>
    </w:p>
    <w:p>
      <w:pPr>
        <w:ind w:left="1125"/>
        <w:jc w:val="center"/>
        <w:rPr>
          <w:rFonts w:eastAsia="黑体"/>
          <w:b/>
          <w:bCs/>
          <w:sz w:val="28"/>
        </w:rPr>
      </w:pPr>
    </w:p>
    <w:p>
      <w:pPr>
        <w:ind w:left="1125"/>
        <w:jc w:val="center"/>
        <w:rPr>
          <w:rFonts w:eastAsia="黑体"/>
          <w:b/>
          <w:bCs/>
          <w:sz w:val="28"/>
        </w:rPr>
      </w:pPr>
    </w:p>
    <w:p>
      <w:pPr>
        <w:ind w:left="1125"/>
        <w:jc w:val="center"/>
        <w:rPr>
          <w:rFonts w:eastAsia="黑体"/>
          <w:b/>
          <w:bCs/>
          <w:sz w:val="28"/>
        </w:rPr>
      </w:pPr>
    </w:p>
    <w:p>
      <w:pPr>
        <w:ind w:left="1125"/>
        <w:jc w:val="center"/>
        <w:rPr>
          <w:rFonts w:eastAsia="黑体"/>
          <w:b/>
          <w:bCs/>
          <w:sz w:val="28"/>
        </w:rPr>
      </w:pPr>
    </w:p>
    <w:p>
      <w:pPr>
        <w:ind w:left="1125"/>
        <w:jc w:val="center"/>
        <w:rPr>
          <w:rFonts w:eastAsia="黑体"/>
          <w:b/>
          <w:bCs/>
          <w:sz w:val="28"/>
        </w:rPr>
      </w:pPr>
    </w:p>
    <w:p>
      <w:pPr>
        <w:ind w:left="1125"/>
        <w:jc w:val="center"/>
        <w:rPr>
          <w:rFonts w:eastAsia="黑体"/>
          <w:b/>
          <w:bCs/>
          <w:sz w:val="28"/>
        </w:rPr>
      </w:pPr>
    </w:p>
    <w:p>
      <w:pPr>
        <w:ind w:left="1125"/>
        <w:jc w:val="center"/>
        <w:rPr>
          <w:rFonts w:eastAsia="黑体"/>
          <w:b/>
          <w:bCs/>
          <w:sz w:val="28"/>
        </w:rPr>
      </w:pPr>
    </w:p>
    <w:p>
      <w:pPr>
        <w:ind w:left="1125"/>
        <w:jc w:val="center"/>
        <w:rPr>
          <w:rFonts w:eastAsia="黑体"/>
          <w:b/>
          <w:bCs/>
          <w:sz w:val="28"/>
        </w:rPr>
      </w:pPr>
      <w:r>
        <w:rPr>
          <w:rFonts w:hint="eastAsia" w:eastAsia="黑体"/>
          <w:b/>
          <w:bCs/>
          <w:sz w:val="28"/>
        </w:rPr>
        <w:t>第二章附件（投标文件格式）</w:t>
      </w:r>
    </w:p>
    <w:p>
      <w:pPr>
        <w:rPr>
          <w:rFonts w:eastAsia="黑体"/>
          <w:b/>
          <w:bCs/>
          <w:sz w:val="28"/>
        </w:rPr>
      </w:pPr>
      <w:r>
        <w:rPr>
          <w:rFonts w:hint="eastAsia" w:eastAsia="黑体"/>
          <w:b/>
          <w:bCs/>
          <w:sz w:val="28"/>
        </w:rPr>
        <w:t>附件格式1</w:t>
      </w:r>
    </w:p>
    <w:p>
      <w:pPr>
        <w:jc w:val="center"/>
        <w:rPr>
          <w:rFonts w:eastAsia="黑体"/>
          <w:b/>
          <w:bCs/>
          <w:sz w:val="28"/>
        </w:rPr>
      </w:pPr>
      <w:r>
        <w:rPr>
          <w:rFonts w:hint="eastAsia" w:eastAsia="黑体"/>
          <w:b/>
          <w:bCs/>
          <w:sz w:val="28"/>
        </w:rPr>
        <w:t>投标书</w:t>
      </w:r>
    </w:p>
    <w:p>
      <w:pPr>
        <w:rPr>
          <w:rFonts w:ascii="宋体" w:hAnsi="宋体"/>
          <w:u w:val="single"/>
        </w:rPr>
      </w:pPr>
      <w:r>
        <w:rPr>
          <w:rFonts w:hint="eastAsia" w:ascii="宋体" w:hAnsi="宋体"/>
        </w:rPr>
        <w:t>致</w:t>
      </w:r>
      <w:r>
        <w:rPr>
          <w:rFonts w:hint="eastAsia" w:ascii="宋体" w:hAnsi="宋体"/>
          <w:u w:val="single"/>
        </w:rPr>
        <w:t>（招标人名称）                            ：</w:t>
      </w:r>
    </w:p>
    <w:p>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招标采购物品及服务的投标邀请，签字代表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pPr>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3</w:t>
      </w:r>
      <w:r>
        <w:rPr>
          <w:rFonts w:hint="eastAsia" w:ascii="宋体" w:hAnsi="宋体"/>
        </w:rPr>
        <w:t>份）</w:t>
      </w:r>
    </w:p>
    <w:p>
      <w:pPr>
        <w:rPr>
          <w:rFonts w:ascii="宋体" w:hAnsi="宋体"/>
        </w:rPr>
      </w:pPr>
      <w:r>
        <w:rPr>
          <w:rFonts w:hint="eastAsia" w:ascii="宋体" w:hAnsi="宋体"/>
        </w:rPr>
        <w:t>资质证明文件（1份）</w:t>
      </w:r>
    </w:p>
    <w:p>
      <w:pPr>
        <w:rPr>
          <w:rFonts w:ascii="宋体" w:hAnsi="宋体"/>
        </w:rPr>
      </w:pPr>
      <w:r>
        <w:rPr>
          <w:rFonts w:hint="eastAsia" w:ascii="宋体" w:hAnsi="宋体"/>
        </w:rPr>
        <w:t>据此，签字代表宣布同意如下：</w:t>
      </w:r>
    </w:p>
    <w:p>
      <w:pPr>
        <w:numPr>
          <w:ilvl w:val="0"/>
          <w:numId w:val="2"/>
        </w:numPr>
        <w:rPr>
          <w:rFonts w:ascii="宋体" w:hAnsi="宋体"/>
          <w:u w:val="single"/>
        </w:rPr>
      </w:pPr>
      <w:r>
        <w:rPr>
          <w:rFonts w:hint="eastAsia" w:ascii="宋体" w:hAnsi="宋体"/>
        </w:rPr>
        <w:t>所附投标报价表中规定的应提供和交付的物品投标总价为</w:t>
      </w:r>
      <w:r>
        <w:rPr>
          <w:rFonts w:hint="eastAsia" w:ascii="宋体" w:hAnsi="宋体"/>
          <w:u w:val="single"/>
        </w:rPr>
        <w:t>（注明币种和数量）    ，</w:t>
      </w:r>
    </w:p>
    <w:p>
      <w:pPr>
        <w:ind w:firstLine="840" w:firstLineChars="400"/>
        <w:rPr>
          <w:rFonts w:ascii="宋体" w:hAnsi="宋体"/>
        </w:rPr>
      </w:pPr>
      <w:r>
        <w:rPr>
          <w:rFonts w:hint="eastAsia" w:ascii="宋体" w:hAnsi="宋体"/>
          <w:u w:val="single"/>
        </w:rPr>
        <w:t xml:space="preserve">即（中文文字描述）                                      </w:t>
      </w:r>
      <w:r>
        <w:rPr>
          <w:rFonts w:hint="eastAsia" w:ascii="宋体" w:hAnsi="宋体"/>
        </w:rPr>
        <w:t>。</w:t>
      </w:r>
    </w:p>
    <w:p>
      <w:pPr>
        <w:numPr>
          <w:ilvl w:val="0"/>
          <w:numId w:val="2"/>
        </w:numPr>
        <w:rPr>
          <w:rFonts w:ascii="宋体" w:hAnsi="宋体"/>
        </w:rPr>
      </w:pPr>
      <w:r>
        <w:rPr>
          <w:rFonts w:hint="eastAsia" w:ascii="宋体" w:hAnsi="宋体"/>
        </w:rPr>
        <w:t>投标人将按招标文件的规定履行合同责任和义务。</w:t>
      </w:r>
    </w:p>
    <w:p>
      <w:pPr>
        <w:numPr>
          <w:ilvl w:val="0"/>
          <w:numId w:val="2"/>
        </w:numPr>
        <w:rPr>
          <w:rFonts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pPr>
        <w:numPr>
          <w:ilvl w:val="0"/>
          <w:numId w:val="2"/>
        </w:numPr>
        <w:rPr>
          <w:rFonts w:ascii="宋体" w:hAnsi="宋体"/>
        </w:rPr>
      </w:pPr>
      <w:r>
        <w:rPr>
          <w:rFonts w:hint="eastAsia"/>
          <w:szCs w:val="21"/>
        </w:rPr>
        <w:t>投标有效期：自投标截止之日起30个日历日内有效</w:t>
      </w:r>
      <w:r>
        <w:rPr>
          <w:rFonts w:hint="eastAsia" w:ascii="宋体" w:hAnsi="宋体"/>
          <w:szCs w:val="21"/>
        </w:rPr>
        <w:t>。</w:t>
      </w:r>
    </w:p>
    <w:p>
      <w:pPr>
        <w:numPr>
          <w:ilvl w:val="0"/>
          <w:numId w:val="2"/>
        </w:numPr>
        <w:rPr>
          <w:rFonts w:ascii="宋体" w:hAnsi="宋体"/>
        </w:rPr>
      </w:pPr>
      <w:r>
        <w:rPr>
          <w:rFonts w:hint="eastAsia" w:ascii="宋体" w:hAnsi="宋体"/>
        </w:rPr>
        <w:t>投标人同意提供贵方要求的可能与投标有关的一切数据和资料，完全理解贵方不一定要接受最低价的投标或收到的任何投标。</w:t>
      </w:r>
    </w:p>
    <w:p>
      <w:pPr>
        <w:numPr>
          <w:ilvl w:val="0"/>
          <w:numId w:val="2"/>
        </w:numPr>
        <w:rPr>
          <w:rFonts w:ascii="宋体" w:hAnsi="宋体"/>
        </w:rPr>
      </w:pPr>
      <w:r>
        <w:rPr>
          <w:rFonts w:hint="eastAsia" w:ascii="宋体" w:hAnsi="宋体"/>
        </w:rPr>
        <w:t>与本投标有关的一切正式往来通讯请寄：</w:t>
      </w:r>
    </w:p>
    <w:p>
      <w:pPr>
        <w:ind w:left="795"/>
        <w:rPr>
          <w:rFonts w:ascii="宋体" w:hAnsi="宋体"/>
        </w:rPr>
      </w:pPr>
      <w:r>
        <w:rPr>
          <w:rFonts w:hint="eastAsia" w:ascii="宋体" w:hAnsi="宋体"/>
        </w:rPr>
        <w:t>地址：                                   邮编：</w:t>
      </w:r>
    </w:p>
    <w:p>
      <w:pPr>
        <w:ind w:left="795"/>
        <w:rPr>
          <w:rFonts w:ascii="宋体" w:hAnsi="宋体"/>
        </w:rPr>
      </w:pPr>
      <w:r>
        <w:rPr>
          <w:rFonts w:hint="eastAsia" w:ascii="宋体" w:hAnsi="宋体"/>
        </w:rPr>
        <w:t>电话：                                   传真：</w:t>
      </w:r>
    </w:p>
    <w:p>
      <w:pPr>
        <w:ind w:left="795"/>
      </w:pPr>
    </w:p>
    <w:p>
      <w:pPr>
        <w:ind w:left="795"/>
      </w:pPr>
    </w:p>
    <w:p>
      <w:pPr>
        <w:ind w:left="795"/>
      </w:pPr>
      <w:r>
        <w:rPr>
          <w:rFonts w:hint="eastAsia"/>
        </w:rPr>
        <w:t xml:space="preserve">投标人代表签字： </w:t>
      </w:r>
      <w:r>
        <w:t xml:space="preserve">                   </w:t>
      </w:r>
      <w:r>
        <w:rPr>
          <w:rFonts w:hint="eastAsia"/>
        </w:rPr>
        <w:t xml:space="preserve">职务： </w:t>
      </w:r>
      <w:r>
        <w:t xml:space="preserve">            </w:t>
      </w:r>
      <w:r>
        <w:rPr>
          <w:rFonts w:hint="eastAsia"/>
        </w:rPr>
        <w:t>日期：</w:t>
      </w:r>
    </w:p>
    <w:p>
      <w:pPr>
        <w:ind w:left="795"/>
      </w:pPr>
      <w:r>
        <w:rPr>
          <w:rFonts w:hint="eastAsia"/>
        </w:rPr>
        <w:t>投标人代表姓名、职务（印刷体）：</w:t>
      </w:r>
    </w:p>
    <w:p>
      <w:pPr>
        <w:ind w:left="795"/>
      </w:pPr>
      <w:r>
        <w:rPr>
          <w:rFonts w:hint="eastAsia"/>
        </w:rPr>
        <w:t>投标人名称（及公章）：</w:t>
      </w:r>
    </w:p>
    <w:p>
      <w:pPr>
        <w:ind w:left="795"/>
      </w:pPr>
      <w:r>
        <w:rPr>
          <w:rFonts w:hint="eastAsia"/>
        </w:rPr>
        <w:t xml:space="preserve">日期： </w:t>
      </w:r>
      <w:r>
        <w:t xml:space="preserve">    </w:t>
      </w:r>
      <w:r>
        <w:rPr>
          <w:rFonts w:hint="eastAsia"/>
        </w:rPr>
        <w:t xml:space="preserve">年 </w:t>
      </w:r>
      <w:r>
        <w:t xml:space="preserve">   </w:t>
      </w:r>
      <w:r>
        <w:rPr>
          <w:rFonts w:hint="eastAsia"/>
        </w:rPr>
        <w:t xml:space="preserve">月 </w:t>
      </w:r>
      <w:r>
        <w:t xml:space="preserve">   </w:t>
      </w:r>
      <w:r>
        <w:rPr>
          <w:rFonts w:hint="eastAsia"/>
        </w:rPr>
        <w:t>日</w:t>
      </w:r>
    </w:p>
    <w:p>
      <w:pPr>
        <w:rPr>
          <w:rFonts w:ascii="黑体" w:eastAsia="黑体"/>
          <w:sz w:val="30"/>
        </w:rPr>
      </w:pPr>
    </w:p>
    <w:p>
      <w:pPr>
        <w:rPr>
          <w:rFonts w:ascii="黑体" w:eastAsia="黑体"/>
          <w:sz w:val="30"/>
        </w:rPr>
      </w:pPr>
    </w:p>
    <w:p>
      <w:pPr>
        <w:rPr>
          <w:rFonts w:ascii="黑体" w:eastAsia="黑体"/>
          <w:sz w:val="30"/>
        </w:rPr>
      </w:pPr>
    </w:p>
    <w:p>
      <w:pPr>
        <w:rPr>
          <w:rFonts w:ascii="黑体" w:eastAsia="黑体"/>
          <w:sz w:val="30"/>
        </w:rPr>
      </w:pPr>
    </w:p>
    <w:p>
      <w:pPr>
        <w:rPr>
          <w:rFonts w:ascii="黑体" w:eastAsia="黑体"/>
          <w:sz w:val="30"/>
        </w:rPr>
      </w:pPr>
    </w:p>
    <w:p>
      <w:pPr>
        <w:rPr>
          <w:rFonts w:ascii="黑体" w:eastAsia="黑体"/>
          <w:sz w:val="30"/>
        </w:rPr>
      </w:pPr>
    </w:p>
    <w:p>
      <w:pPr>
        <w:rPr>
          <w:rFonts w:ascii="黑体" w:eastAsia="黑体"/>
          <w:sz w:val="30"/>
        </w:rPr>
      </w:pPr>
    </w:p>
    <w:p>
      <w:pPr>
        <w:rPr>
          <w:rFonts w:eastAsia="黑体"/>
          <w:b/>
          <w:bCs/>
          <w:sz w:val="28"/>
        </w:rPr>
      </w:pPr>
      <w:r>
        <w:rPr>
          <w:rFonts w:hint="eastAsia" w:eastAsia="黑体"/>
          <w:b/>
          <w:bCs/>
          <w:sz w:val="28"/>
        </w:rPr>
        <w:t>附件格式2</w:t>
      </w:r>
    </w:p>
    <w:p>
      <w:pPr>
        <w:rPr>
          <w:rFonts w:eastAsia="黑体"/>
          <w:b/>
          <w:bCs/>
          <w:sz w:val="28"/>
        </w:rPr>
      </w:pPr>
      <w:r>
        <w:rPr>
          <w:rFonts w:hint="eastAsia" w:eastAsia="黑体"/>
          <w:b/>
          <w:bCs/>
          <w:sz w:val="28"/>
        </w:rPr>
        <w:t>《开标一览表》单独封存，以备唱标使用</w:t>
      </w:r>
    </w:p>
    <w:p>
      <w:pPr>
        <w:jc w:val="center"/>
        <w:rPr>
          <w:rFonts w:ascii="黑体" w:eastAsia="黑体"/>
          <w:sz w:val="30"/>
        </w:rPr>
      </w:pPr>
      <w:r>
        <w:rPr>
          <w:rFonts w:hint="eastAsia" w:ascii="黑体" w:eastAsia="黑体"/>
          <w:sz w:val="30"/>
        </w:rPr>
        <w:t>开标一览表</w:t>
      </w:r>
    </w:p>
    <w:tbl>
      <w:tblPr>
        <w:tblStyle w:val="14"/>
        <w:tblW w:w="7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74"/>
        <w:gridCol w:w="1276"/>
        <w:gridCol w:w="1276"/>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jc w:val="center"/>
              <w:rPr>
                <w:rFonts w:ascii="宋体" w:hAnsi="宋体"/>
                <w:sz w:val="24"/>
              </w:rPr>
            </w:pPr>
            <w:r>
              <w:rPr>
                <w:rFonts w:hint="eastAsia" w:ascii="黑体" w:hAnsi="黑体" w:eastAsia="黑体" w:cs="宋体"/>
                <w:kern w:val="0"/>
                <w:sz w:val="24"/>
              </w:rPr>
              <w:t>序号</w:t>
            </w:r>
          </w:p>
        </w:tc>
        <w:tc>
          <w:tcPr>
            <w:tcW w:w="2574" w:type="dxa"/>
            <w:vAlign w:val="center"/>
          </w:tcPr>
          <w:p>
            <w:pPr>
              <w:jc w:val="center"/>
              <w:rPr>
                <w:rFonts w:ascii="黑体" w:hAnsi="黑体" w:eastAsia="黑体" w:cs="宋体"/>
                <w:kern w:val="0"/>
                <w:sz w:val="24"/>
              </w:rPr>
            </w:pPr>
            <w:r>
              <w:rPr>
                <w:rFonts w:hint="eastAsia" w:ascii="黑体" w:hAnsi="黑体" w:eastAsia="黑体" w:cs="宋体"/>
                <w:kern w:val="0"/>
                <w:sz w:val="24"/>
              </w:rPr>
              <w:t>物资或服务单价</w:t>
            </w:r>
          </w:p>
        </w:tc>
        <w:tc>
          <w:tcPr>
            <w:tcW w:w="1276" w:type="dxa"/>
            <w:vAlign w:val="center"/>
          </w:tcPr>
          <w:p>
            <w:pPr>
              <w:jc w:val="center"/>
              <w:rPr>
                <w:rFonts w:ascii="黑体" w:hAnsi="黑体" w:eastAsia="黑体" w:cs="宋体"/>
                <w:kern w:val="0"/>
                <w:sz w:val="24"/>
              </w:rPr>
            </w:pPr>
            <w:r>
              <w:rPr>
                <w:rFonts w:hint="eastAsia" w:ascii="黑体" w:hAnsi="黑体" w:eastAsia="黑体" w:cs="宋体"/>
                <w:kern w:val="0"/>
                <w:sz w:val="24"/>
              </w:rPr>
              <w:t>数量</w:t>
            </w:r>
          </w:p>
        </w:tc>
        <w:tc>
          <w:tcPr>
            <w:tcW w:w="1276" w:type="dxa"/>
            <w:vAlign w:val="center"/>
          </w:tcPr>
          <w:p>
            <w:pPr>
              <w:jc w:val="center"/>
              <w:rPr>
                <w:rFonts w:ascii="黑体" w:hAnsi="黑体" w:eastAsia="黑体" w:cs="宋体"/>
                <w:kern w:val="0"/>
                <w:sz w:val="24"/>
              </w:rPr>
            </w:pPr>
            <w:r>
              <w:rPr>
                <w:rFonts w:hint="eastAsia" w:ascii="黑体" w:hAnsi="黑体" w:eastAsia="黑体" w:cs="宋体"/>
                <w:kern w:val="0"/>
                <w:sz w:val="24"/>
              </w:rPr>
              <w:t>总价</w:t>
            </w:r>
          </w:p>
        </w:tc>
        <w:tc>
          <w:tcPr>
            <w:tcW w:w="1857" w:type="dxa"/>
            <w:vAlign w:val="center"/>
          </w:tcPr>
          <w:p>
            <w:pPr>
              <w:jc w:val="center"/>
              <w:rPr>
                <w:rFonts w:ascii="黑体" w:hAnsi="黑体" w:eastAsia="黑体" w:cs="宋体"/>
                <w:kern w:val="0"/>
                <w:sz w:val="24"/>
              </w:rPr>
            </w:pPr>
            <w:r>
              <w:rPr>
                <w:rFonts w:hint="eastAsia" w:ascii="黑体" w:hAnsi="黑体" w:eastAsia="黑体" w:cs="宋体"/>
                <w:kern w:val="0"/>
                <w:sz w:val="24"/>
              </w:rPr>
              <w:t>增值税发票类型及税率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jc w:val="center"/>
              <w:rPr>
                <w:rFonts w:ascii="黑体" w:hAnsi="黑体" w:eastAsia="黑体" w:cs="宋体"/>
                <w:kern w:val="0"/>
                <w:sz w:val="24"/>
              </w:rPr>
            </w:pPr>
          </w:p>
        </w:tc>
        <w:tc>
          <w:tcPr>
            <w:tcW w:w="2574"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85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jc w:val="center"/>
              <w:rPr>
                <w:rFonts w:ascii="黑体" w:hAnsi="黑体" w:eastAsia="黑体" w:cs="宋体"/>
                <w:kern w:val="0"/>
                <w:sz w:val="24"/>
              </w:rPr>
            </w:pPr>
          </w:p>
        </w:tc>
        <w:tc>
          <w:tcPr>
            <w:tcW w:w="2574"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85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jc w:val="center"/>
              <w:rPr>
                <w:rFonts w:ascii="宋体" w:hAnsi="宋体"/>
                <w:sz w:val="24"/>
              </w:rPr>
            </w:pPr>
          </w:p>
        </w:tc>
        <w:tc>
          <w:tcPr>
            <w:tcW w:w="2574"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85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jc w:val="center"/>
              <w:rPr>
                <w:rFonts w:ascii="宋体" w:hAnsi="宋体"/>
                <w:sz w:val="24"/>
              </w:rPr>
            </w:pPr>
          </w:p>
        </w:tc>
        <w:tc>
          <w:tcPr>
            <w:tcW w:w="2574"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85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jc w:val="center"/>
              <w:rPr>
                <w:rFonts w:ascii="宋体" w:hAnsi="宋体"/>
                <w:sz w:val="24"/>
              </w:rPr>
            </w:pPr>
          </w:p>
        </w:tc>
        <w:tc>
          <w:tcPr>
            <w:tcW w:w="2574"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85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jc w:val="center"/>
              <w:rPr>
                <w:rFonts w:ascii="宋体" w:hAnsi="宋体"/>
                <w:sz w:val="24"/>
              </w:rPr>
            </w:pPr>
          </w:p>
        </w:tc>
        <w:tc>
          <w:tcPr>
            <w:tcW w:w="2574"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85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jc w:val="center"/>
              <w:rPr>
                <w:rFonts w:ascii="宋体" w:hAnsi="宋体"/>
                <w:sz w:val="24"/>
              </w:rPr>
            </w:pPr>
          </w:p>
        </w:tc>
        <w:tc>
          <w:tcPr>
            <w:tcW w:w="2574"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85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jc w:val="center"/>
              <w:rPr>
                <w:rFonts w:ascii="宋体" w:hAnsi="宋体"/>
                <w:sz w:val="24"/>
              </w:rPr>
            </w:pPr>
          </w:p>
        </w:tc>
        <w:tc>
          <w:tcPr>
            <w:tcW w:w="2574"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85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jc w:val="center"/>
              <w:rPr>
                <w:rFonts w:ascii="宋体" w:hAnsi="宋体"/>
                <w:sz w:val="24"/>
              </w:rPr>
            </w:pPr>
          </w:p>
        </w:tc>
        <w:tc>
          <w:tcPr>
            <w:tcW w:w="2574"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85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jc w:val="center"/>
              <w:rPr>
                <w:rFonts w:ascii="宋体" w:hAnsi="宋体"/>
                <w:sz w:val="24"/>
              </w:rPr>
            </w:pPr>
          </w:p>
        </w:tc>
        <w:tc>
          <w:tcPr>
            <w:tcW w:w="2574"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85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jc w:val="center"/>
              <w:rPr>
                <w:rFonts w:ascii="宋体" w:hAnsi="宋体"/>
                <w:sz w:val="24"/>
              </w:rPr>
            </w:pPr>
          </w:p>
        </w:tc>
        <w:tc>
          <w:tcPr>
            <w:tcW w:w="2574"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85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jc w:val="center"/>
              <w:rPr>
                <w:rFonts w:ascii="宋体" w:hAnsi="宋体"/>
                <w:sz w:val="24"/>
              </w:rPr>
            </w:pPr>
          </w:p>
        </w:tc>
        <w:tc>
          <w:tcPr>
            <w:tcW w:w="2574"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276" w:type="dxa"/>
            <w:vAlign w:val="center"/>
          </w:tcPr>
          <w:p>
            <w:pPr>
              <w:jc w:val="center"/>
              <w:rPr>
                <w:rFonts w:ascii="宋体" w:hAnsi="宋体"/>
                <w:sz w:val="24"/>
              </w:rPr>
            </w:pPr>
          </w:p>
        </w:tc>
        <w:tc>
          <w:tcPr>
            <w:tcW w:w="185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62" w:type="dxa"/>
            <w:gridSpan w:val="2"/>
            <w:vAlign w:val="center"/>
          </w:tcPr>
          <w:p>
            <w:pPr>
              <w:jc w:val="center"/>
              <w:rPr>
                <w:rFonts w:ascii="宋体" w:hAnsi="宋体"/>
                <w:sz w:val="24"/>
              </w:rPr>
            </w:pPr>
            <w:r>
              <w:rPr>
                <w:rFonts w:hint="eastAsia" w:ascii="宋体" w:hAnsi="宋体"/>
                <w:sz w:val="24"/>
              </w:rPr>
              <w:t>总报价（含税）</w:t>
            </w:r>
          </w:p>
        </w:tc>
        <w:tc>
          <w:tcPr>
            <w:tcW w:w="4409" w:type="dxa"/>
            <w:gridSpan w:val="3"/>
            <w:vAlign w:val="center"/>
          </w:tcPr>
          <w:p>
            <w:pPr>
              <w:jc w:val="center"/>
              <w:rPr>
                <w:rFonts w:ascii="宋体" w:hAnsi="宋体"/>
                <w:sz w:val="24"/>
              </w:rPr>
            </w:pPr>
          </w:p>
        </w:tc>
      </w:tr>
    </w:tbl>
    <w:p>
      <w:pPr>
        <w:rPr>
          <w:rFonts w:ascii="宋体" w:hAnsi="宋体"/>
          <w:b/>
          <w:sz w:val="24"/>
        </w:rPr>
      </w:pPr>
    </w:p>
    <w:p>
      <w:pPr>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投标人名称：               授权代表签字：    </w:t>
      </w:r>
      <w:r>
        <w:rPr>
          <w:rFonts w:ascii="宋体" w:hAnsi="宋体"/>
          <w:sz w:val="24"/>
        </w:rPr>
        <w:t xml:space="preserve">  </w:t>
      </w:r>
      <w:r>
        <w:rPr>
          <w:rFonts w:hint="eastAsia" w:ascii="宋体" w:hAnsi="宋体"/>
          <w:sz w:val="24"/>
        </w:rPr>
        <w:t xml:space="preserve">     日期：</w:t>
      </w:r>
    </w:p>
    <w:p>
      <w:pPr>
        <w:rPr>
          <w:rFonts w:ascii="宋体" w:hAnsi="宋体"/>
          <w:b/>
          <w:sz w:val="24"/>
        </w:rPr>
      </w:pPr>
    </w:p>
    <w:p>
      <w:pPr>
        <w:rPr>
          <w:rFonts w:ascii="宋体" w:hAnsi="宋体"/>
          <w:sz w:val="24"/>
        </w:rPr>
      </w:pPr>
      <w:r>
        <w:rPr>
          <w:rFonts w:hint="eastAsia" w:ascii="宋体" w:hAnsi="宋体"/>
          <w:b/>
          <w:sz w:val="24"/>
        </w:rPr>
        <w:t>注：</w:t>
      </w:r>
      <w:r>
        <w:rPr>
          <w:rFonts w:hint="eastAsia" w:ascii="宋体" w:hAnsi="宋体"/>
          <w:sz w:val="24"/>
        </w:rPr>
        <w:t xml:space="preserve"> 1</w:t>
      </w:r>
      <w:r>
        <w:rPr>
          <w:rFonts w:ascii="宋体" w:hAnsi="宋体"/>
          <w:sz w:val="24"/>
        </w:rPr>
        <w:t>.</w:t>
      </w:r>
      <w:r>
        <w:rPr>
          <w:rFonts w:hint="eastAsia" w:ascii="宋体" w:hAnsi="宋体"/>
          <w:sz w:val="24"/>
        </w:rPr>
        <w:t>请按照《技术协议书》中技术参数内容填写报价，可增项、不可缺项。</w:t>
      </w:r>
    </w:p>
    <w:p>
      <w:pPr>
        <w:ind w:firstLine="600" w:firstLineChars="250"/>
        <w:rPr>
          <w:rFonts w:ascii="宋体" w:hAnsi="宋体"/>
          <w:sz w:val="24"/>
        </w:rPr>
      </w:pPr>
      <w:r>
        <w:rPr>
          <w:rFonts w:hint="eastAsia" w:ascii="宋体" w:hAnsi="宋体"/>
          <w:sz w:val="24"/>
        </w:rPr>
        <w:t>2.投标总价为各投标物品的合计单项价之和。</w:t>
      </w:r>
    </w:p>
    <w:p>
      <w:pPr>
        <w:ind w:firstLine="600" w:firstLineChars="250"/>
        <w:rPr>
          <w:rFonts w:ascii="宋体" w:hAnsi="宋体"/>
          <w:sz w:val="24"/>
        </w:rPr>
      </w:pPr>
      <w:r>
        <w:rPr>
          <w:rFonts w:hint="eastAsia" w:ascii="宋体" w:hAnsi="宋体"/>
          <w:sz w:val="24"/>
        </w:rPr>
        <w:t>3.本表用于开标宣读用，请单独封存。</w:t>
      </w:r>
    </w:p>
    <w:p>
      <w:pPr>
        <w:ind w:firstLine="480"/>
        <w:rPr>
          <w:rFonts w:ascii="宋体" w:hAnsi="宋体"/>
          <w:b/>
          <w:sz w:val="24"/>
        </w:rPr>
      </w:pPr>
    </w:p>
    <w:p>
      <w:pPr>
        <w:ind w:firstLine="480"/>
        <w:rPr>
          <w:rFonts w:ascii="宋体" w:hAnsi="宋体"/>
          <w:b/>
          <w:sz w:val="24"/>
        </w:rPr>
      </w:pPr>
    </w:p>
    <w:p>
      <w:pPr>
        <w:ind w:firstLine="480"/>
        <w:rPr>
          <w:rFonts w:ascii="宋体" w:hAnsi="宋体"/>
          <w:b/>
          <w:sz w:val="24"/>
        </w:rPr>
      </w:pPr>
    </w:p>
    <w:p>
      <w:pPr>
        <w:ind w:firstLine="480"/>
        <w:rPr>
          <w:rFonts w:ascii="宋体" w:hAnsi="宋体"/>
          <w:b/>
          <w:sz w:val="24"/>
        </w:rPr>
      </w:pPr>
    </w:p>
    <w:p>
      <w:pPr>
        <w:rPr>
          <w:rFonts w:eastAsia="黑体"/>
          <w:b/>
          <w:bCs/>
          <w:sz w:val="28"/>
        </w:rPr>
      </w:pPr>
      <w:r>
        <w:rPr>
          <w:rFonts w:hint="eastAsia" w:eastAsia="黑体"/>
          <w:b/>
          <w:bCs/>
          <w:sz w:val="28"/>
        </w:rPr>
        <w:t>附件格式3</w:t>
      </w:r>
    </w:p>
    <w:p>
      <w:pPr>
        <w:jc w:val="center"/>
        <w:rPr>
          <w:rFonts w:eastAsia="黑体"/>
          <w:b/>
          <w:bCs/>
          <w:sz w:val="28"/>
        </w:rPr>
      </w:pPr>
      <w:r>
        <w:rPr>
          <w:rFonts w:hint="eastAsia" w:eastAsia="黑体"/>
          <w:b/>
          <w:bCs/>
          <w:sz w:val="28"/>
        </w:rPr>
        <w:t>偏离表</w:t>
      </w:r>
    </w:p>
    <w:tbl>
      <w:tblPr>
        <w:tblStyle w:val="1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51"/>
        <w:gridCol w:w="2552"/>
        <w:gridCol w:w="2725"/>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宋体" w:hAnsi="宋体"/>
                <w:sz w:val="24"/>
              </w:rPr>
            </w:pPr>
            <w:r>
              <w:rPr>
                <w:rFonts w:hint="eastAsia" w:ascii="宋体" w:hAnsi="宋体"/>
                <w:sz w:val="24"/>
              </w:rPr>
              <w:t>序号</w:t>
            </w:r>
          </w:p>
        </w:tc>
        <w:tc>
          <w:tcPr>
            <w:tcW w:w="2551" w:type="dxa"/>
            <w:vAlign w:val="center"/>
          </w:tcPr>
          <w:p>
            <w:pPr>
              <w:jc w:val="center"/>
              <w:rPr>
                <w:rFonts w:ascii="宋体" w:hAnsi="宋体"/>
                <w:sz w:val="24"/>
              </w:rPr>
            </w:pPr>
            <w:r>
              <w:rPr>
                <w:rFonts w:hint="eastAsia" w:ascii="宋体" w:hAnsi="宋体"/>
                <w:sz w:val="24"/>
              </w:rPr>
              <w:t>招标文件条款</w:t>
            </w:r>
          </w:p>
        </w:tc>
        <w:tc>
          <w:tcPr>
            <w:tcW w:w="2552" w:type="dxa"/>
            <w:vAlign w:val="center"/>
          </w:tcPr>
          <w:p>
            <w:pPr>
              <w:jc w:val="center"/>
              <w:rPr>
                <w:rFonts w:ascii="宋体" w:hAnsi="宋体"/>
                <w:sz w:val="24"/>
              </w:rPr>
            </w:pPr>
            <w:r>
              <w:rPr>
                <w:rFonts w:hint="eastAsia" w:ascii="宋体" w:hAnsi="宋体"/>
                <w:sz w:val="24"/>
              </w:rPr>
              <w:t>投标书条款</w:t>
            </w:r>
          </w:p>
        </w:tc>
        <w:tc>
          <w:tcPr>
            <w:tcW w:w="2725" w:type="dxa"/>
            <w:vAlign w:val="center"/>
          </w:tcPr>
          <w:p>
            <w:pPr>
              <w:jc w:val="center"/>
              <w:rPr>
                <w:rFonts w:ascii="宋体" w:hAnsi="宋体"/>
                <w:sz w:val="24"/>
              </w:rPr>
            </w:pPr>
            <w:r>
              <w:rPr>
                <w:rFonts w:hint="eastAsia" w:ascii="宋体" w:hAnsi="宋体"/>
                <w:sz w:val="24"/>
              </w:rPr>
              <w:t>偏离及影响</w:t>
            </w:r>
          </w:p>
        </w:tc>
        <w:tc>
          <w:tcPr>
            <w:tcW w:w="819"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宋体" w:hAnsi="宋体"/>
                <w:sz w:val="24"/>
              </w:rPr>
            </w:pPr>
            <w:r>
              <w:rPr>
                <w:rFonts w:hint="eastAsia" w:ascii="宋体" w:hAnsi="宋体"/>
                <w:sz w:val="24"/>
              </w:rPr>
              <w:t>1</w:t>
            </w:r>
          </w:p>
        </w:tc>
        <w:tc>
          <w:tcPr>
            <w:tcW w:w="2551" w:type="dxa"/>
            <w:vAlign w:val="center"/>
          </w:tcPr>
          <w:p>
            <w:pPr>
              <w:jc w:val="center"/>
              <w:rPr>
                <w:rFonts w:ascii="宋体" w:hAnsi="宋体"/>
                <w:sz w:val="24"/>
              </w:rPr>
            </w:pPr>
            <w:r>
              <w:rPr>
                <w:rFonts w:hint="eastAsia" w:ascii="宋体" w:hAnsi="宋体"/>
                <w:sz w:val="24"/>
              </w:rPr>
              <w:t>所有条款</w:t>
            </w:r>
          </w:p>
        </w:tc>
        <w:tc>
          <w:tcPr>
            <w:tcW w:w="2552" w:type="dxa"/>
            <w:vAlign w:val="center"/>
          </w:tcPr>
          <w:p>
            <w:pPr>
              <w:jc w:val="center"/>
              <w:rPr>
                <w:rFonts w:ascii="宋体" w:hAnsi="宋体"/>
                <w:sz w:val="24"/>
              </w:rPr>
            </w:pPr>
            <w:r>
              <w:rPr>
                <w:rFonts w:hint="eastAsia" w:ascii="宋体" w:hAnsi="宋体"/>
                <w:sz w:val="24"/>
              </w:rPr>
              <w:t>全部相应</w:t>
            </w:r>
          </w:p>
        </w:tc>
        <w:tc>
          <w:tcPr>
            <w:tcW w:w="2725" w:type="dxa"/>
            <w:vAlign w:val="center"/>
          </w:tcPr>
          <w:p>
            <w:pPr>
              <w:jc w:val="center"/>
              <w:rPr>
                <w:rFonts w:ascii="宋体" w:hAnsi="宋体"/>
                <w:sz w:val="24"/>
              </w:rPr>
            </w:pPr>
            <w:r>
              <w:rPr>
                <w:rFonts w:hint="eastAsia" w:ascii="宋体" w:hAnsi="宋体"/>
                <w:sz w:val="24"/>
              </w:rPr>
              <w:t>无偏离</w:t>
            </w:r>
          </w:p>
        </w:tc>
        <w:tc>
          <w:tcPr>
            <w:tcW w:w="819" w:type="dxa"/>
            <w:vAlign w:val="center"/>
          </w:tcPr>
          <w:p>
            <w:pPr>
              <w:jc w:val="center"/>
              <w:rPr>
                <w:rFonts w:ascii="宋体" w:hAnsi="宋体"/>
                <w:sz w:val="24"/>
              </w:rPr>
            </w:pPr>
            <w:r>
              <w:rPr>
                <w:rFonts w:hint="eastAsia" w:ascii="宋体" w:hAnsi="宋体"/>
                <w:sz w:val="24"/>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宋体" w:hAnsi="宋体"/>
                <w:sz w:val="24"/>
              </w:rPr>
            </w:pPr>
            <w:r>
              <w:rPr>
                <w:rFonts w:hint="eastAsia" w:ascii="宋体" w:hAnsi="宋体"/>
                <w:sz w:val="24"/>
              </w:rPr>
              <w:t>2</w:t>
            </w:r>
          </w:p>
        </w:tc>
        <w:tc>
          <w:tcPr>
            <w:tcW w:w="2551"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725" w:type="dxa"/>
            <w:vAlign w:val="center"/>
          </w:tcPr>
          <w:p>
            <w:pPr>
              <w:jc w:val="center"/>
              <w:rPr>
                <w:rFonts w:ascii="宋体" w:hAnsi="宋体"/>
                <w:sz w:val="24"/>
              </w:rPr>
            </w:pPr>
          </w:p>
        </w:tc>
        <w:tc>
          <w:tcPr>
            <w:tcW w:w="81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宋体" w:hAnsi="宋体"/>
                <w:sz w:val="24"/>
              </w:rPr>
            </w:pPr>
            <w:r>
              <w:rPr>
                <w:rFonts w:hint="eastAsia" w:ascii="宋体" w:hAnsi="宋体"/>
                <w:sz w:val="24"/>
              </w:rPr>
              <w:t>3</w:t>
            </w:r>
          </w:p>
        </w:tc>
        <w:tc>
          <w:tcPr>
            <w:tcW w:w="2551"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725" w:type="dxa"/>
            <w:vAlign w:val="center"/>
          </w:tcPr>
          <w:p>
            <w:pPr>
              <w:jc w:val="center"/>
              <w:rPr>
                <w:rFonts w:ascii="宋体" w:hAnsi="宋体"/>
                <w:sz w:val="24"/>
              </w:rPr>
            </w:pPr>
          </w:p>
        </w:tc>
        <w:tc>
          <w:tcPr>
            <w:tcW w:w="81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宋体" w:hAnsi="宋体"/>
                <w:sz w:val="24"/>
              </w:rPr>
            </w:pPr>
            <w:r>
              <w:rPr>
                <w:rFonts w:hint="eastAsia" w:ascii="宋体" w:hAnsi="宋体"/>
                <w:sz w:val="24"/>
              </w:rPr>
              <w:t>4</w:t>
            </w:r>
          </w:p>
        </w:tc>
        <w:tc>
          <w:tcPr>
            <w:tcW w:w="2551"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725" w:type="dxa"/>
            <w:vAlign w:val="center"/>
          </w:tcPr>
          <w:p>
            <w:pPr>
              <w:jc w:val="center"/>
              <w:rPr>
                <w:rFonts w:ascii="宋体" w:hAnsi="宋体"/>
                <w:sz w:val="24"/>
              </w:rPr>
            </w:pPr>
          </w:p>
        </w:tc>
        <w:tc>
          <w:tcPr>
            <w:tcW w:w="81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宋体" w:hAnsi="宋体"/>
                <w:sz w:val="24"/>
              </w:rPr>
            </w:pPr>
            <w:r>
              <w:rPr>
                <w:rFonts w:hint="eastAsia" w:ascii="宋体" w:hAnsi="宋体"/>
                <w:sz w:val="24"/>
              </w:rPr>
              <w:t>5</w:t>
            </w:r>
          </w:p>
        </w:tc>
        <w:tc>
          <w:tcPr>
            <w:tcW w:w="2551"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725" w:type="dxa"/>
            <w:vAlign w:val="center"/>
          </w:tcPr>
          <w:p>
            <w:pPr>
              <w:jc w:val="center"/>
              <w:rPr>
                <w:rFonts w:ascii="宋体" w:hAnsi="宋体"/>
                <w:sz w:val="24"/>
              </w:rPr>
            </w:pPr>
          </w:p>
        </w:tc>
        <w:tc>
          <w:tcPr>
            <w:tcW w:w="81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宋体" w:hAnsi="宋体"/>
                <w:sz w:val="24"/>
              </w:rPr>
            </w:pPr>
            <w:r>
              <w:rPr>
                <w:rFonts w:hint="eastAsia" w:ascii="宋体" w:hAnsi="宋体"/>
                <w:sz w:val="24"/>
              </w:rPr>
              <w:t>6</w:t>
            </w:r>
          </w:p>
        </w:tc>
        <w:tc>
          <w:tcPr>
            <w:tcW w:w="2551"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725" w:type="dxa"/>
            <w:vAlign w:val="center"/>
          </w:tcPr>
          <w:p>
            <w:pPr>
              <w:jc w:val="center"/>
              <w:rPr>
                <w:rFonts w:ascii="宋体" w:hAnsi="宋体"/>
                <w:sz w:val="24"/>
              </w:rPr>
            </w:pPr>
          </w:p>
        </w:tc>
        <w:tc>
          <w:tcPr>
            <w:tcW w:w="81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宋体" w:hAnsi="宋体"/>
                <w:sz w:val="24"/>
              </w:rPr>
            </w:pPr>
            <w:r>
              <w:rPr>
                <w:rFonts w:hint="eastAsia" w:ascii="宋体" w:hAnsi="宋体"/>
                <w:sz w:val="24"/>
              </w:rPr>
              <w:t>7</w:t>
            </w:r>
          </w:p>
        </w:tc>
        <w:tc>
          <w:tcPr>
            <w:tcW w:w="2551"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725" w:type="dxa"/>
            <w:vAlign w:val="center"/>
          </w:tcPr>
          <w:p>
            <w:pPr>
              <w:jc w:val="center"/>
              <w:rPr>
                <w:rFonts w:ascii="宋体" w:hAnsi="宋体"/>
                <w:sz w:val="24"/>
              </w:rPr>
            </w:pPr>
          </w:p>
        </w:tc>
        <w:tc>
          <w:tcPr>
            <w:tcW w:w="81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宋体" w:hAnsi="宋体"/>
                <w:sz w:val="24"/>
              </w:rPr>
            </w:pPr>
            <w:r>
              <w:rPr>
                <w:rFonts w:hint="eastAsia" w:ascii="宋体" w:hAnsi="宋体"/>
                <w:sz w:val="24"/>
              </w:rPr>
              <w:t>8</w:t>
            </w:r>
          </w:p>
        </w:tc>
        <w:tc>
          <w:tcPr>
            <w:tcW w:w="2551"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725" w:type="dxa"/>
            <w:vAlign w:val="center"/>
          </w:tcPr>
          <w:p>
            <w:pPr>
              <w:jc w:val="center"/>
              <w:rPr>
                <w:rFonts w:ascii="宋体" w:hAnsi="宋体"/>
                <w:sz w:val="24"/>
              </w:rPr>
            </w:pPr>
          </w:p>
        </w:tc>
        <w:tc>
          <w:tcPr>
            <w:tcW w:w="81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宋体" w:hAnsi="宋体"/>
                <w:sz w:val="24"/>
              </w:rPr>
            </w:pPr>
            <w:r>
              <w:rPr>
                <w:rFonts w:hint="eastAsia" w:ascii="宋体" w:hAnsi="宋体"/>
                <w:sz w:val="24"/>
              </w:rPr>
              <w:t>9</w:t>
            </w:r>
          </w:p>
        </w:tc>
        <w:tc>
          <w:tcPr>
            <w:tcW w:w="2551"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725" w:type="dxa"/>
            <w:vAlign w:val="center"/>
          </w:tcPr>
          <w:p>
            <w:pPr>
              <w:jc w:val="center"/>
              <w:rPr>
                <w:rFonts w:ascii="宋体" w:hAnsi="宋体"/>
                <w:sz w:val="24"/>
              </w:rPr>
            </w:pPr>
          </w:p>
        </w:tc>
        <w:tc>
          <w:tcPr>
            <w:tcW w:w="81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宋体" w:hAnsi="宋体"/>
                <w:sz w:val="24"/>
              </w:rPr>
            </w:pPr>
            <w:r>
              <w:rPr>
                <w:rFonts w:hint="eastAsia" w:ascii="宋体" w:hAnsi="宋体"/>
                <w:sz w:val="24"/>
              </w:rPr>
              <w:t>10</w:t>
            </w:r>
          </w:p>
        </w:tc>
        <w:tc>
          <w:tcPr>
            <w:tcW w:w="2551"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725" w:type="dxa"/>
            <w:vAlign w:val="center"/>
          </w:tcPr>
          <w:p>
            <w:pPr>
              <w:jc w:val="center"/>
              <w:rPr>
                <w:rFonts w:ascii="宋体" w:hAnsi="宋体"/>
                <w:sz w:val="24"/>
              </w:rPr>
            </w:pPr>
          </w:p>
        </w:tc>
        <w:tc>
          <w:tcPr>
            <w:tcW w:w="81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宋体" w:hAnsi="宋体"/>
                <w:sz w:val="24"/>
              </w:rPr>
            </w:pPr>
            <w:r>
              <w:rPr>
                <w:rFonts w:hint="eastAsia" w:ascii="宋体" w:hAnsi="宋体"/>
                <w:sz w:val="24"/>
              </w:rPr>
              <w:t>11</w:t>
            </w:r>
          </w:p>
        </w:tc>
        <w:tc>
          <w:tcPr>
            <w:tcW w:w="2551"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725" w:type="dxa"/>
            <w:vAlign w:val="center"/>
          </w:tcPr>
          <w:p>
            <w:pPr>
              <w:jc w:val="center"/>
              <w:rPr>
                <w:rFonts w:ascii="宋体" w:hAnsi="宋体"/>
                <w:sz w:val="24"/>
              </w:rPr>
            </w:pPr>
          </w:p>
        </w:tc>
        <w:tc>
          <w:tcPr>
            <w:tcW w:w="81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宋体" w:hAnsi="宋体"/>
                <w:sz w:val="24"/>
              </w:rPr>
            </w:pPr>
            <w:r>
              <w:rPr>
                <w:rFonts w:hint="eastAsia" w:ascii="宋体" w:hAnsi="宋体"/>
                <w:sz w:val="24"/>
              </w:rPr>
              <w:t>12</w:t>
            </w:r>
          </w:p>
        </w:tc>
        <w:tc>
          <w:tcPr>
            <w:tcW w:w="2551"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725" w:type="dxa"/>
            <w:vAlign w:val="center"/>
          </w:tcPr>
          <w:p>
            <w:pPr>
              <w:jc w:val="center"/>
              <w:rPr>
                <w:rFonts w:ascii="宋体" w:hAnsi="宋体"/>
                <w:sz w:val="24"/>
              </w:rPr>
            </w:pPr>
          </w:p>
        </w:tc>
        <w:tc>
          <w:tcPr>
            <w:tcW w:w="81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宋体" w:hAnsi="宋体"/>
                <w:sz w:val="24"/>
              </w:rPr>
            </w:pPr>
            <w:r>
              <w:rPr>
                <w:rFonts w:hint="eastAsia" w:ascii="宋体" w:hAnsi="宋体"/>
                <w:sz w:val="24"/>
              </w:rPr>
              <w:t>13</w:t>
            </w:r>
          </w:p>
        </w:tc>
        <w:tc>
          <w:tcPr>
            <w:tcW w:w="2551"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725" w:type="dxa"/>
            <w:vAlign w:val="center"/>
          </w:tcPr>
          <w:p>
            <w:pPr>
              <w:jc w:val="center"/>
              <w:rPr>
                <w:rFonts w:ascii="宋体" w:hAnsi="宋体"/>
                <w:sz w:val="24"/>
              </w:rPr>
            </w:pPr>
          </w:p>
        </w:tc>
        <w:tc>
          <w:tcPr>
            <w:tcW w:w="819" w:type="dxa"/>
            <w:vAlign w:val="center"/>
          </w:tcPr>
          <w:p>
            <w:pPr>
              <w:jc w:val="center"/>
              <w:rPr>
                <w:rFonts w:ascii="宋体" w:hAnsi="宋体"/>
                <w:sz w:val="24"/>
              </w:rPr>
            </w:pPr>
          </w:p>
        </w:tc>
      </w:tr>
    </w:tbl>
    <w:p>
      <w:pPr>
        <w:rPr>
          <w:rFonts w:ascii="宋体" w:hAnsi="宋体"/>
          <w:b/>
          <w:sz w:val="24"/>
        </w:rPr>
      </w:pPr>
    </w:p>
    <w:p>
      <w:pPr>
        <w:rPr>
          <w:rFonts w:ascii="宋体" w:hAnsi="宋体"/>
          <w:sz w:val="24"/>
        </w:rPr>
      </w:pPr>
      <w:r>
        <w:rPr>
          <w:rFonts w:hint="eastAsia" w:ascii="宋体" w:hAnsi="宋体"/>
          <w:b/>
          <w:sz w:val="24"/>
        </w:rPr>
        <w:t>注：</w:t>
      </w:r>
      <w:r>
        <w:rPr>
          <w:rFonts w:hint="eastAsia" w:ascii="宋体" w:hAnsi="宋体"/>
          <w:sz w:val="24"/>
        </w:rPr>
        <w:t>即使投标人进行了描述，也要提报该表，</w:t>
      </w:r>
      <w:r>
        <w:rPr>
          <w:rFonts w:hint="eastAsia" w:ascii="宋体" w:hAnsi="宋体"/>
          <w:b/>
          <w:sz w:val="24"/>
        </w:rPr>
        <w:t>无该表则被视为“无偏离”。该表请删除“示例”行后提报。</w:t>
      </w:r>
    </w:p>
    <w:p>
      <w:pPr>
        <w:pStyle w:val="6"/>
        <w:spacing w:line="360" w:lineRule="auto"/>
        <w:rPr>
          <w:rFonts w:hAnsi="宋体"/>
          <w:b/>
          <w:bCs/>
          <w:sz w:val="28"/>
          <w:szCs w:val="28"/>
        </w:rPr>
      </w:pPr>
    </w:p>
    <w:p>
      <w:pPr>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投标人名称：                   授权代表签字：            日期：</w:t>
      </w:r>
    </w:p>
    <w:p>
      <w:pPr>
        <w:pStyle w:val="6"/>
        <w:spacing w:line="360" w:lineRule="auto"/>
        <w:rPr>
          <w:rFonts w:hAnsi="宋体"/>
          <w:b/>
          <w:bCs/>
          <w:sz w:val="28"/>
          <w:szCs w:val="28"/>
        </w:rPr>
      </w:pPr>
    </w:p>
    <w:p>
      <w:pPr>
        <w:pStyle w:val="6"/>
        <w:spacing w:line="360" w:lineRule="auto"/>
        <w:rPr>
          <w:rFonts w:eastAsia="黑体"/>
          <w:b/>
          <w:bCs/>
          <w:sz w:val="28"/>
        </w:rPr>
      </w:pPr>
      <w:r>
        <w:rPr>
          <w:rFonts w:hint="eastAsia" w:eastAsia="黑体"/>
          <w:b/>
          <w:bCs/>
          <w:sz w:val="28"/>
        </w:rPr>
        <w:t>附件格式4</w:t>
      </w:r>
    </w:p>
    <w:p>
      <w:pPr>
        <w:jc w:val="center"/>
        <w:rPr>
          <w:rFonts w:eastAsia="黑体"/>
          <w:b/>
          <w:bCs/>
          <w:sz w:val="28"/>
        </w:rPr>
      </w:pPr>
      <w:r>
        <w:rPr>
          <w:rFonts w:hint="eastAsia" w:eastAsia="黑体"/>
          <w:b/>
          <w:bCs/>
          <w:sz w:val="28"/>
        </w:rPr>
        <w:t>投标报名表</w:t>
      </w:r>
    </w:p>
    <w:p>
      <w:pPr>
        <w:ind w:firstLine="120" w:firstLineChars="50"/>
        <w:rPr>
          <w:sz w:val="24"/>
        </w:rPr>
      </w:pPr>
      <w:r>
        <w:rPr>
          <w:rFonts w:hint="eastAsia"/>
          <w:sz w:val="24"/>
        </w:rPr>
        <w:t>公章：</w:t>
      </w:r>
    </w:p>
    <w:tbl>
      <w:tblPr>
        <w:tblStyle w:val="14"/>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526"/>
        <w:gridCol w:w="2272"/>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01" w:type="dxa"/>
            <w:vAlign w:val="center"/>
          </w:tcPr>
          <w:p>
            <w:pPr>
              <w:jc w:val="center"/>
              <w:rPr>
                <w:sz w:val="24"/>
                <w:szCs w:val="24"/>
              </w:rPr>
            </w:pPr>
            <w:r>
              <w:rPr>
                <w:rFonts w:hint="eastAsia"/>
                <w:sz w:val="24"/>
                <w:szCs w:val="24"/>
              </w:rPr>
              <w:t>项目名称</w:t>
            </w:r>
          </w:p>
        </w:tc>
        <w:tc>
          <w:tcPr>
            <w:tcW w:w="7123" w:type="dxa"/>
            <w:gridSpan w:val="3"/>
            <w:vAlign w:val="center"/>
          </w:tcPr>
          <w:p>
            <w:pPr>
              <w:spacing w:line="360" w:lineRule="auto"/>
            </w:pPr>
          </w:p>
          <w:p>
            <w:pPr>
              <w:spacing w:line="360" w:lineRule="auto"/>
              <w:jc w:val="both"/>
              <w:rPr>
                <w:rFonts w:ascii="宋体" w:hAnsi="Courier New"/>
              </w:rPr>
            </w:pPr>
            <w:r>
              <w:rPr>
                <w:rFonts w:hint="eastAsia"/>
              </w:rPr>
              <w:t>中国重汽集团国有企业母子公司管控及公司治理理论与实践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801" w:type="dxa"/>
            <w:vAlign w:val="center"/>
          </w:tcPr>
          <w:p>
            <w:pPr>
              <w:jc w:val="center"/>
              <w:rPr>
                <w:sz w:val="24"/>
                <w:szCs w:val="24"/>
              </w:rPr>
            </w:pPr>
            <w:r>
              <w:rPr>
                <w:rFonts w:hint="eastAsia"/>
                <w:sz w:val="24"/>
                <w:szCs w:val="24"/>
              </w:rPr>
              <w:t>投标单位</w:t>
            </w:r>
          </w:p>
          <w:p>
            <w:pPr>
              <w:jc w:val="center"/>
              <w:rPr>
                <w:sz w:val="24"/>
                <w:szCs w:val="24"/>
              </w:rPr>
            </w:pPr>
            <w:r>
              <w:rPr>
                <w:rFonts w:hint="eastAsia"/>
                <w:sz w:val="24"/>
                <w:szCs w:val="24"/>
              </w:rPr>
              <w:t>（全称）</w:t>
            </w:r>
          </w:p>
        </w:tc>
        <w:tc>
          <w:tcPr>
            <w:tcW w:w="7123" w:type="dxa"/>
            <w:gridSpan w:val="3"/>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801" w:type="dxa"/>
            <w:vAlign w:val="center"/>
          </w:tcPr>
          <w:p>
            <w:pPr>
              <w:jc w:val="center"/>
              <w:rPr>
                <w:sz w:val="24"/>
                <w:szCs w:val="24"/>
              </w:rPr>
            </w:pPr>
            <w:r>
              <w:rPr>
                <w:rFonts w:hint="eastAsia"/>
                <w:sz w:val="24"/>
                <w:szCs w:val="24"/>
              </w:rPr>
              <w:t>投标单位</w:t>
            </w:r>
          </w:p>
          <w:p>
            <w:pPr>
              <w:jc w:val="center"/>
              <w:rPr>
                <w:sz w:val="24"/>
                <w:szCs w:val="24"/>
              </w:rPr>
            </w:pPr>
            <w:r>
              <w:rPr>
                <w:rFonts w:hint="eastAsia"/>
                <w:sz w:val="24"/>
                <w:szCs w:val="24"/>
              </w:rPr>
              <w:t>简介</w:t>
            </w:r>
          </w:p>
        </w:tc>
        <w:tc>
          <w:tcPr>
            <w:tcW w:w="7123" w:type="dxa"/>
            <w:gridSpan w:val="3"/>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801" w:type="dxa"/>
            <w:vAlign w:val="center"/>
          </w:tcPr>
          <w:p>
            <w:pPr>
              <w:jc w:val="center"/>
              <w:rPr>
                <w:sz w:val="24"/>
                <w:szCs w:val="24"/>
              </w:rPr>
            </w:pPr>
            <w:r>
              <w:rPr>
                <w:rFonts w:hint="eastAsia"/>
                <w:sz w:val="24"/>
                <w:szCs w:val="24"/>
              </w:rPr>
              <w:t>项目负责人</w:t>
            </w:r>
          </w:p>
        </w:tc>
        <w:tc>
          <w:tcPr>
            <w:tcW w:w="2526" w:type="dxa"/>
            <w:vAlign w:val="center"/>
          </w:tcPr>
          <w:p>
            <w:pPr>
              <w:jc w:val="center"/>
              <w:rPr>
                <w:sz w:val="24"/>
                <w:szCs w:val="24"/>
              </w:rPr>
            </w:pPr>
          </w:p>
        </w:tc>
        <w:tc>
          <w:tcPr>
            <w:tcW w:w="2272" w:type="dxa"/>
            <w:vAlign w:val="center"/>
          </w:tcPr>
          <w:p>
            <w:pPr>
              <w:jc w:val="center"/>
              <w:rPr>
                <w:sz w:val="24"/>
                <w:szCs w:val="24"/>
              </w:rPr>
            </w:pPr>
            <w:r>
              <w:rPr>
                <w:rFonts w:hint="eastAsia"/>
                <w:sz w:val="24"/>
                <w:szCs w:val="24"/>
              </w:rPr>
              <w:t>联系电话</w:t>
            </w:r>
          </w:p>
        </w:tc>
        <w:tc>
          <w:tcPr>
            <w:tcW w:w="232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801" w:type="dxa"/>
            <w:vAlign w:val="center"/>
          </w:tcPr>
          <w:p>
            <w:pPr>
              <w:jc w:val="center"/>
              <w:rPr>
                <w:sz w:val="24"/>
                <w:szCs w:val="24"/>
              </w:rPr>
            </w:pPr>
            <w:r>
              <w:rPr>
                <w:rFonts w:hint="eastAsia"/>
                <w:sz w:val="24"/>
                <w:szCs w:val="24"/>
              </w:rPr>
              <w:t>公司电话</w:t>
            </w:r>
          </w:p>
        </w:tc>
        <w:tc>
          <w:tcPr>
            <w:tcW w:w="2526" w:type="dxa"/>
            <w:vAlign w:val="center"/>
          </w:tcPr>
          <w:p>
            <w:pPr>
              <w:jc w:val="center"/>
              <w:rPr>
                <w:sz w:val="24"/>
                <w:szCs w:val="24"/>
              </w:rPr>
            </w:pPr>
          </w:p>
        </w:tc>
        <w:tc>
          <w:tcPr>
            <w:tcW w:w="2272" w:type="dxa"/>
            <w:vAlign w:val="center"/>
          </w:tcPr>
          <w:p>
            <w:pPr>
              <w:jc w:val="center"/>
              <w:rPr>
                <w:sz w:val="24"/>
                <w:szCs w:val="24"/>
              </w:rPr>
            </w:pPr>
            <w:r>
              <w:rPr>
                <w:rFonts w:hint="eastAsia"/>
                <w:sz w:val="24"/>
                <w:szCs w:val="24"/>
              </w:rPr>
              <w:t>传真</w:t>
            </w:r>
          </w:p>
        </w:tc>
        <w:tc>
          <w:tcPr>
            <w:tcW w:w="232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801" w:type="dxa"/>
            <w:vAlign w:val="center"/>
          </w:tcPr>
          <w:p>
            <w:pPr>
              <w:jc w:val="center"/>
              <w:rPr>
                <w:sz w:val="24"/>
                <w:szCs w:val="24"/>
              </w:rPr>
            </w:pPr>
            <w:r>
              <w:rPr>
                <w:rFonts w:hint="eastAsia"/>
                <w:sz w:val="24"/>
                <w:szCs w:val="24"/>
              </w:rPr>
              <w:t>E-mail</w:t>
            </w:r>
          </w:p>
        </w:tc>
        <w:tc>
          <w:tcPr>
            <w:tcW w:w="7123" w:type="dxa"/>
            <w:gridSpan w:val="3"/>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801" w:type="dxa"/>
            <w:vAlign w:val="center"/>
          </w:tcPr>
          <w:p>
            <w:pPr>
              <w:jc w:val="center"/>
              <w:rPr>
                <w:sz w:val="24"/>
                <w:szCs w:val="24"/>
              </w:rPr>
            </w:pPr>
            <w:r>
              <w:rPr>
                <w:rFonts w:hint="eastAsia"/>
                <w:sz w:val="24"/>
                <w:szCs w:val="24"/>
              </w:rPr>
              <w:t>报名时间</w:t>
            </w:r>
          </w:p>
        </w:tc>
        <w:tc>
          <w:tcPr>
            <w:tcW w:w="7123" w:type="dxa"/>
            <w:gridSpan w:val="3"/>
            <w:vAlign w:val="center"/>
          </w:tcPr>
          <w:p>
            <w:pPr>
              <w:jc w:val="center"/>
              <w:rPr>
                <w:sz w:val="24"/>
                <w:szCs w:val="24"/>
              </w:rPr>
            </w:pP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p>
        </w:tc>
      </w:tr>
    </w:tbl>
    <w:p>
      <w:pPr>
        <w:ind w:left="472" w:right="69" w:rightChars="33" w:hanging="472" w:hangingChars="196"/>
        <w:rPr>
          <w:rFonts w:ascii="宋体" w:hAnsi="宋体"/>
          <w:sz w:val="24"/>
        </w:rPr>
      </w:pPr>
      <w:r>
        <w:rPr>
          <w:rFonts w:hint="eastAsia" w:ascii="宋体" w:hAnsi="宋体"/>
          <w:b/>
          <w:sz w:val="24"/>
        </w:rPr>
        <w:t>注：</w:t>
      </w:r>
      <w:r>
        <w:rPr>
          <w:rFonts w:hint="eastAsia" w:ascii="宋体" w:hAnsi="宋体"/>
          <w:sz w:val="24"/>
        </w:rPr>
        <w:t>请投标单位认真填写并加盖公章，并于规定时间前回传。缺项及不按要求时间回复均视为自动放弃本次投标资格。</w:t>
      </w:r>
    </w:p>
    <w:p>
      <w:pPr>
        <w:rPr>
          <w:rFonts w:ascii="宋体" w:hAnsi="宋体"/>
          <w:sz w:val="24"/>
          <w:szCs w:val="24"/>
        </w:rPr>
      </w:pPr>
    </w:p>
    <w:p>
      <w:pP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联系人：于洋 </w:t>
      </w:r>
      <w:r>
        <w:rPr>
          <w:rFonts w:ascii="宋体" w:hAnsi="宋体"/>
          <w:sz w:val="24"/>
          <w:szCs w:val="24"/>
        </w:rPr>
        <w:t xml:space="preserve">   </w:t>
      </w:r>
      <w:r>
        <w:rPr>
          <w:rFonts w:hint="eastAsia" w:ascii="宋体" w:hAnsi="宋体"/>
          <w:sz w:val="24"/>
          <w:szCs w:val="24"/>
        </w:rPr>
        <w:t>联系电话：</w:t>
      </w:r>
      <w:r>
        <w:rPr>
          <w:rFonts w:ascii="宋体" w:hAnsi="宋体"/>
          <w:sz w:val="24"/>
          <w:szCs w:val="24"/>
        </w:rPr>
        <w:t>1</w:t>
      </w:r>
      <w:r>
        <w:rPr>
          <w:rFonts w:hint="eastAsia" w:ascii="宋体" w:hAnsi="宋体"/>
          <w:sz w:val="24"/>
          <w:szCs w:val="24"/>
        </w:rPr>
        <w:t>5589912536</w:t>
      </w:r>
      <w:r>
        <w:rPr>
          <w:rFonts w:ascii="宋体" w:hAnsi="宋体"/>
          <w:sz w:val="24"/>
          <w:szCs w:val="24"/>
        </w:rPr>
        <w:t xml:space="preserve">   </w:t>
      </w:r>
      <w:r>
        <w:rPr>
          <w:rFonts w:hint="eastAsia" w:ascii="宋体" w:hAnsi="宋体"/>
          <w:sz w:val="24"/>
          <w:szCs w:val="24"/>
        </w:rPr>
        <w:t>邮箱：yuyang_gh</w:t>
      </w:r>
      <w:r>
        <w:rPr>
          <w:rFonts w:ascii="宋体" w:hAnsi="宋体"/>
          <w:sz w:val="24"/>
          <w:szCs w:val="24"/>
        </w:rPr>
        <w:t>@sinotruk.com</w:t>
      </w:r>
    </w:p>
    <w:p>
      <w:pPr>
        <w:rPr>
          <w:rFonts w:ascii="宋体" w:hAnsi="宋体"/>
          <w:sz w:val="24"/>
        </w:rPr>
      </w:pPr>
    </w:p>
    <w:p>
      <w:pPr>
        <w:rPr>
          <w:rFonts w:ascii="宋体" w:hAnsi="宋体"/>
          <w:sz w:val="24"/>
        </w:rPr>
      </w:pPr>
    </w:p>
    <w:p>
      <w:pPr>
        <w:spacing w:line="240" w:lineRule="auto"/>
        <w:rPr>
          <w:rFonts w:ascii="宋体" w:hAnsi="宋体" w:cstheme="minorBidi"/>
          <w:szCs w:val="22"/>
        </w:rPr>
      </w:pPr>
      <w:r>
        <w:rPr>
          <w:rFonts w:ascii="宋体" w:hAnsi="宋体"/>
          <w:sz w:val="24"/>
        </w:rPr>
        <w:t xml:space="preserve">    </w:t>
      </w:r>
      <w:r>
        <w:rPr>
          <w:rFonts w:hint="eastAsia" w:ascii="宋体" w:hAnsi="宋体"/>
          <w:sz w:val="24"/>
        </w:rPr>
        <w:t xml:space="preserve">投标人名称：                  授权代表签字：      </w:t>
      </w:r>
      <w:r>
        <w:rPr>
          <w:rFonts w:ascii="宋体" w:hAnsi="宋体"/>
          <w:sz w:val="24"/>
        </w:rPr>
        <w:t xml:space="preserve"> </w:t>
      </w:r>
      <w:r>
        <w:rPr>
          <w:rFonts w:hint="eastAsia" w:ascii="宋体" w:hAnsi="宋体"/>
          <w:sz w:val="24"/>
        </w:rPr>
        <w:t xml:space="preserve">      日期：</w:t>
      </w:r>
    </w:p>
    <w:sectPr>
      <w:headerReference r:id="rId4" w:type="first"/>
      <w:footerReference r:id="rId6" w:type="first"/>
      <w:headerReference r:id="rId3" w:type="default"/>
      <w:footerReference r:id="rId5" w:type="default"/>
      <w:pgSz w:w="11906" w:h="16838"/>
      <w:pgMar w:top="1588" w:right="1418" w:bottom="1134"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7463749"/>
    </w:sdtPr>
    <w:sdtContent>
      <w:p>
        <w:pPr>
          <w:pStyle w:val="8"/>
          <w:jc w:val="center"/>
        </w:pPr>
        <w:r>
          <w:fldChar w:fldCharType="begin"/>
        </w:r>
        <w:r>
          <w:instrText xml:space="preserve">PAGE   \* MERGEFORMAT</w:instrText>
        </w:r>
        <w:r>
          <w:fldChar w:fldCharType="separate"/>
        </w:r>
        <w:r>
          <w:rPr>
            <w:lang w:val="zh-CN"/>
          </w:rPr>
          <w:t>4</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5F501"/>
    <w:multiLevelType w:val="singleLevel"/>
    <w:tmpl w:val="9D75F501"/>
    <w:lvl w:ilvl="0" w:tentative="0">
      <w:start w:val="3"/>
      <w:numFmt w:val="decimal"/>
      <w:lvlText w:val="%1."/>
      <w:lvlJc w:val="left"/>
      <w:pPr>
        <w:tabs>
          <w:tab w:val="left" w:pos="312"/>
        </w:tabs>
      </w:pPr>
    </w:lvl>
  </w:abstractNum>
  <w:abstractNum w:abstractNumId="1">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NzI5MjZhZDc4MDY5MDg0NmY3MjhkZTBmZjJiYjQifQ=="/>
  </w:docVars>
  <w:rsids>
    <w:rsidRoot w:val="00074ECD"/>
    <w:rsid w:val="00000BA8"/>
    <w:rsid w:val="000110F5"/>
    <w:rsid w:val="0001210B"/>
    <w:rsid w:val="000236A0"/>
    <w:rsid w:val="00040288"/>
    <w:rsid w:val="00040A58"/>
    <w:rsid w:val="00047179"/>
    <w:rsid w:val="00050ED0"/>
    <w:rsid w:val="00051099"/>
    <w:rsid w:val="00051152"/>
    <w:rsid w:val="00065F09"/>
    <w:rsid w:val="0006758F"/>
    <w:rsid w:val="00067641"/>
    <w:rsid w:val="000676E6"/>
    <w:rsid w:val="00072497"/>
    <w:rsid w:val="00072A07"/>
    <w:rsid w:val="00074ECD"/>
    <w:rsid w:val="00092143"/>
    <w:rsid w:val="000A0F85"/>
    <w:rsid w:val="000A20ED"/>
    <w:rsid w:val="000A4D85"/>
    <w:rsid w:val="000A5225"/>
    <w:rsid w:val="000C20EF"/>
    <w:rsid w:val="000C3069"/>
    <w:rsid w:val="000C5066"/>
    <w:rsid w:val="000C6F69"/>
    <w:rsid w:val="000C7A81"/>
    <w:rsid w:val="000D2054"/>
    <w:rsid w:val="000D7048"/>
    <w:rsid w:val="000E3A82"/>
    <w:rsid w:val="000F071F"/>
    <w:rsid w:val="000F31EF"/>
    <w:rsid w:val="000F41C1"/>
    <w:rsid w:val="00101889"/>
    <w:rsid w:val="001033AC"/>
    <w:rsid w:val="00103731"/>
    <w:rsid w:val="00106B1C"/>
    <w:rsid w:val="00107229"/>
    <w:rsid w:val="001217AE"/>
    <w:rsid w:val="00124BD7"/>
    <w:rsid w:val="0013059E"/>
    <w:rsid w:val="00131E56"/>
    <w:rsid w:val="001335E6"/>
    <w:rsid w:val="00137D11"/>
    <w:rsid w:val="00140B2B"/>
    <w:rsid w:val="00144D40"/>
    <w:rsid w:val="00145CD6"/>
    <w:rsid w:val="001517CF"/>
    <w:rsid w:val="00151E01"/>
    <w:rsid w:val="0015227B"/>
    <w:rsid w:val="00155731"/>
    <w:rsid w:val="001640BD"/>
    <w:rsid w:val="0017160C"/>
    <w:rsid w:val="0017282F"/>
    <w:rsid w:val="00184206"/>
    <w:rsid w:val="00185135"/>
    <w:rsid w:val="0018660F"/>
    <w:rsid w:val="001911B0"/>
    <w:rsid w:val="001969C1"/>
    <w:rsid w:val="00196E3E"/>
    <w:rsid w:val="001A4E67"/>
    <w:rsid w:val="001A6F9D"/>
    <w:rsid w:val="001B34EC"/>
    <w:rsid w:val="001B4F39"/>
    <w:rsid w:val="001B7D66"/>
    <w:rsid w:val="001C0565"/>
    <w:rsid w:val="001C5224"/>
    <w:rsid w:val="001D47CC"/>
    <w:rsid w:val="001E731F"/>
    <w:rsid w:val="001F62E3"/>
    <w:rsid w:val="001F744A"/>
    <w:rsid w:val="002036D6"/>
    <w:rsid w:val="0021266B"/>
    <w:rsid w:val="00216993"/>
    <w:rsid w:val="00217BE7"/>
    <w:rsid w:val="00220BFD"/>
    <w:rsid w:val="00221474"/>
    <w:rsid w:val="00224AB1"/>
    <w:rsid w:val="00231720"/>
    <w:rsid w:val="002343CE"/>
    <w:rsid w:val="0023594D"/>
    <w:rsid w:val="00236094"/>
    <w:rsid w:val="00241274"/>
    <w:rsid w:val="00241275"/>
    <w:rsid w:val="002430E0"/>
    <w:rsid w:val="00243159"/>
    <w:rsid w:val="0024340F"/>
    <w:rsid w:val="00243B88"/>
    <w:rsid w:val="00247F4F"/>
    <w:rsid w:val="00250D11"/>
    <w:rsid w:val="00251947"/>
    <w:rsid w:val="00251BD4"/>
    <w:rsid w:val="00254CBF"/>
    <w:rsid w:val="0026026A"/>
    <w:rsid w:val="00264D1B"/>
    <w:rsid w:val="002650EC"/>
    <w:rsid w:val="00266286"/>
    <w:rsid w:val="00266C2D"/>
    <w:rsid w:val="00271666"/>
    <w:rsid w:val="00273816"/>
    <w:rsid w:val="002761EC"/>
    <w:rsid w:val="002857A2"/>
    <w:rsid w:val="00297B75"/>
    <w:rsid w:val="002A6135"/>
    <w:rsid w:val="002B24E6"/>
    <w:rsid w:val="002B6D67"/>
    <w:rsid w:val="002C4CA4"/>
    <w:rsid w:val="002C4E52"/>
    <w:rsid w:val="002C70B4"/>
    <w:rsid w:val="002C7802"/>
    <w:rsid w:val="002D1C00"/>
    <w:rsid w:val="002D2B2D"/>
    <w:rsid w:val="002D4095"/>
    <w:rsid w:val="002D7BBA"/>
    <w:rsid w:val="002E5E4F"/>
    <w:rsid w:val="002E6FA9"/>
    <w:rsid w:val="002F05AF"/>
    <w:rsid w:val="002F2827"/>
    <w:rsid w:val="002F2A3F"/>
    <w:rsid w:val="0030008C"/>
    <w:rsid w:val="00305DB7"/>
    <w:rsid w:val="003127C5"/>
    <w:rsid w:val="00314D6F"/>
    <w:rsid w:val="00325D21"/>
    <w:rsid w:val="00327ABA"/>
    <w:rsid w:val="003339B5"/>
    <w:rsid w:val="00343C75"/>
    <w:rsid w:val="003457B6"/>
    <w:rsid w:val="0034608A"/>
    <w:rsid w:val="003464EC"/>
    <w:rsid w:val="00352B8D"/>
    <w:rsid w:val="00353F5D"/>
    <w:rsid w:val="003565C5"/>
    <w:rsid w:val="0036115F"/>
    <w:rsid w:val="00363FFB"/>
    <w:rsid w:val="00372827"/>
    <w:rsid w:val="00372996"/>
    <w:rsid w:val="003777E6"/>
    <w:rsid w:val="003822B5"/>
    <w:rsid w:val="00384094"/>
    <w:rsid w:val="0038468E"/>
    <w:rsid w:val="00384E29"/>
    <w:rsid w:val="00392539"/>
    <w:rsid w:val="00394554"/>
    <w:rsid w:val="00395CC0"/>
    <w:rsid w:val="003A009C"/>
    <w:rsid w:val="003A28B2"/>
    <w:rsid w:val="003A2D01"/>
    <w:rsid w:val="003A58E0"/>
    <w:rsid w:val="003A5AA1"/>
    <w:rsid w:val="003C388B"/>
    <w:rsid w:val="003C40CF"/>
    <w:rsid w:val="003C5278"/>
    <w:rsid w:val="003D2450"/>
    <w:rsid w:val="003D44D1"/>
    <w:rsid w:val="003E1FA5"/>
    <w:rsid w:val="003E4809"/>
    <w:rsid w:val="003E49A9"/>
    <w:rsid w:val="00401262"/>
    <w:rsid w:val="00402370"/>
    <w:rsid w:val="004146C5"/>
    <w:rsid w:val="004204EA"/>
    <w:rsid w:val="00421613"/>
    <w:rsid w:val="00433EDE"/>
    <w:rsid w:val="00433F13"/>
    <w:rsid w:val="00435E29"/>
    <w:rsid w:val="004433DE"/>
    <w:rsid w:val="00450EED"/>
    <w:rsid w:val="0045323B"/>
    <w:rsid w:val="00457E67"/>
    <w:rsid w:val="00463F46"/>
    <w:rsid w:val="004646A6"/>
    <w:rsid w:val="004657C6"/>
    <w:rsid w:val="0047348C"/>
    <w:rsid w:val="004758A5"/>
    <w:rsid w:val="004810B5"/>
    <w:rsid w:val="00481DD7"/>
    <w:rsid w:val="004908A2"/>
    <w:rsid w:val="00490D67"/>
    <w:rsid w:val="004A0528"/>
    <w:rsid w:val="004A75D2"/>
    <w:rsid w:val="004A7C9D"/>
    <w:rsid w:val="004B20D6"/>
    <w:rsid w:val="004C0931"/>
    <w:rsid w:val="004E12C9"/>
    <w:rsid w:val="004E1705"/>
    <w:rsid w:val="004E5F34"/>
    <w:rsid w:val="00504FBF"/>
    <w:rsid w:val="00514B61"/>
    <w:rsid w:val="005152E5"/>
    <w:rsid w:val="00516C30"/>
    <w:rsid w:val="005263E6"/>
    <w:rsid w:val="00530C84"/>
    <w:rsid w:val="00532C26"/>
    <w:rsid w:val="0054550E"/>
    <w:rsid w:val="0054685C"/>
    <w:rsid w:val="0055429B"/>
    <w:rsid w:val="00554628"/>
    <w:rsid w:val="005562CE"/>
    <w:rsid w:val="00557BA5"/>
    <w:rsid w:val="00572397"/>
    <w:rsid w:val="005762C1"/>
    <w:rsid w:val="005773F2"/>
    <w:rsid w:val="00583887"/>
    <w:rsid w:val="00584BEC"/>
    <w:rsid w:val="00584FCD"/>
    <w:rsid w:val="00592488"/>
    <w:rsid w:val="005A0E2D"/>
    <w:rsid w:val="005A1F0B"/>
    <w:rsid w:val="005A57E5"/>
    <w:rsid w:val="005A630B"/>
    <w:rsid w:val="005B6CCF"/>
    <w:rsid w:val="005C1160"/>
    <w:rsid w:val="005C1A03"/>
    <w:rsid w:val="005D1815"/>
    <w:rsid w:val="005D43A8"/>
    <w:rsid w:val="005D6159"/>
    <w:rsid w:val="005D71FF"/>
    <w:rsid w:val="005E3D4D"/>
    <w:rsid w:val="005E6F12"/>
    <w:rsid w:val="005F1E94"/>
    <w:rsid w:val="005F1F46"/>
    <w:rsid w:val="005F4DB1"/>
    <w:rsid w:val="005F66F1"/>
    <w:rsid w:val="00604F50"/>
    <w:rsid w:val="00612CDF"/>
    <w:rsid w:val="00621934"/>
    <w:rsid w:val="006229AA"/>
    <w:rsid w:val="00627958"/>
    <w:rsid w:val="006510FC"/>
    <w:rsid w:val="00652662"/>
    <w:rsid w:val="00654B11"/>
    <w:rsid w:val="0065795D"/>
    <w:rsid w:val="0066506A"/>
    <w:rsid w:val="0066691D"/>
    <w:rsid w:val="00671AF5"/>
    <w:rsid w:val="006728E7"/>
    <w:rsid w:val="00673888"/>
    <w:rsid w:val="00676579"/>
    <w:rsid w:val="0068068A"/>
    <w:rsid w:val="00681480"/>
    <w:rsid w:val="00682FF9"/>
    <w:rsid w:val="00690376"/>
    <w:rsid w:val="006A3A3A"/>
    <w:rsid w:val="006A41C2"/>
    <w:rsid w:val="006B111D"/>
    <w:rsid w:val="006B2236"/>
    <w:rsid w:val="006B3E03"/>
    <w:rsid w:val="006B5CEB"/>
    <w:rsid w:val="006B6DE7"/>
    <w:rsid w:val="006B6E6D"/>
    <w:rsid w:val="006C01E5"/>
    <w:rsid w:val="006C188F"/>
    <w:rsid w:val="006D12CE"/>
    <w:rsid w:val="006D52A1"/>
    <w:rsid w:val="006E03B0"/>
    <w:rsid w:val="006E1534"/>
    <w:rsid w:val="006E4BD1"/>
    <w:rsid w:val="006F3BEA"/>
    <w:rsid w:val="006F58E1"/>
    <w:rsid w:val="007033FE"/>
    <w:rsid w:val="007044D7"/>
    <w:rsid w:val="007148DB"/>
    <w:rsid w:val="00715AC0"/>
    <w:rsid w:val="00720250"/>
    <w:rsid w:val="0072386F"/>
    <w:rsid w:val="0072659B"/>
    <w:rsid w:val="00745C69"/>
    <w:rsid w:val="00746E3D"/>
    <w:rsid w:val="0075137D"/>
    <w:rsid w:val="007526D6"/>
    <w:rsid w:val="00752E60"/>
    <w:rsid w:val="00770914"/>
    <w:rsid w:val="007905B4"/>
    <w:rsid w:val="007A4CB1"/>
    <w:rsid w:val="007A7BBC"/>
    <w:rsid w:val="007B284A"/>
    <w:rsid w:val="007B2B28"/>
    <w:rsid w:val="007B2B8F"/>
    <w:rsid w:val="007B6C8E"/>
    <w:rsid w:val="007B7CD0"/>
    <w:rsid w:val="007C2646"/>
    <w:rsid w:val="007C5FCE"/>
    <w:rsid w:val="007D085E"/>
    <w:rsid w:val="007D2159"/>
    <w:rsid w:val="007D2EB7"/>
    <w:rsid w:val="007D58E9"/>
    <w:rsid w:val="007D59BF"/>
    <w:rsid w:val="007D5BD4"/>
    <w:rsid w:val="007E2225"/>
    <w:rsid w:val="007E4CB5"/>
    <w:rsid w:val="007E5462"/>
    <w:rsid w:val="007E56D3"/>
    <w:rsid w:val="007E6DED"/>
    <w:rsid w:val="007F0804"/>
    <w:rsid w:val="007F0A35"/>
    <w:rsid w:val="007F56D6"/>
    <w:rsid w:val="0080769E"/>
    <w:rsid w:val="00826ED5"/>
    <w:rsid w:val="00830D4E"/>
    <w:rsid w:val="00837210"/>
    <w:rsid w:val="008373B9"/>
    <w:rsid w:val="00841B59"/>
    <w:rsid w:val="008456DB"/>
    <w:rsid w:val="008513F0"/>
    <w:rsid w:val="008537E0"/>
    <w:rsid w:val="00864EAF"/>
    <w:rsid w:val="00872961"/>
    <w:rsid w:val="008778DB"/>
    <w:rsid w:val="00880270"/>
    <w:rsid w:val="008820D4"/>
    <w:rsid w:val="00883BFC"/>
    <w:rsid w:val="008915C3"/>
    <w:rsid w:val="00892583"/>
    <w:rsid w:val="00895CB2"/>
    <w:rsid w:val="0089613B"/>
    <w:rsid w:val="008963CB"/>
    <w:rsid w:val="008A2165"/>
    <w:rsid w:val="008A3E08"/>
    <w:rsid w:val="008A6EE4"/>
    <w:rsid w:val="008A7925"/>
    <w:rsid w:val="008B3AF6"/>
    <w:rsid w:val="008B4689"/>
    <w:rsid w:val="008B5C6D"/>
    <w:rsid w:val="008C4504"/>
    <w:rsid w:val="008D1618"/>
    <w:rsid w:val="008F140F"/>
    <w:rsid w:val="00902742"/>
    <w:rsid w:val="009046D7"/>
    <w:rsid w:val="0090556D"/>
    <w:rsid w:val="00907033"/>
    <w:rsid w:val="0091297A"/>
    <w:rsid w:val="00912EBF"/>
    <w:rsid w:val="00913420"/>
    <w:rsid w:val="009234DA"/>
    <w:rsid w:val="009246F1"/>
    <w:rsid w:val="009249DF"/>
    <w:rsid w:val="009253FF"/>
    <w:rsid w:val="00932C29"/>
    <w:rsid w:val="00934301"/>
    <w:rsid w:val="009369B5"/>
    <w:rsid w:val="00950432"/>
    <w:rsid w:val="00950AA7"/>
    <w:rsid w:val="00953DFF"/>
    <w:rsid w:val="00955919"/>
    <w:rsid w:val="009561FE"/>
    <w:rsid w:val="009572F9"/>
    <w:rsid w:val="009923E7"/>
    <w:rsid w:val="00993742"/>
    <w:rsid w:val="00996868"/>
    <w:rsid w:val="009A0642"/>
    <w:rsid w:val="009A5613"/>
    <w:rsid w:val="009A66B6"/>
    <w:rsid w:val="009B0CA3"/>
    <w:rsid w:val="009B19D1"/>
    <w:rsid w:val="009B50B4"/>
    <w:rsid w:val="009B5F19"/>
    <w:rsid w:val="009B69C2"/>
    <w:rsid w:val="009B76F6"/>
    <w:rsid w:val="009C3553"/>
    <w:rsid w:val="009C3BF7"/>
    <w:rsid w:val="009D0873"/>
    <w:rsid w:val="009D3F7D"/>
    <w:rsid w:val="009D7054"/>
    <w:rsid w:val="009E1515"/>
    <w:rsid w:val="009E4932"/>
    <w:rsid w:val="009F08F4"/>
    <w:rsid w:val="009F659D"/>
    <w:rsid w:val="009F7334"/>
    <w:rsid w:val="00A00C1F"/>
    <w:rsid w:val="00A04045"/>
    <w:rsid w:val="00A0736D"/>
    <w:rsid w:val="00A113B7"/>
    <w:rsid w:val="00A30934"/>
    <w:rsid w:val="00A33A8B"/>
    <w:rsid w:val="00A3468C"/>
    <w:rsid w:val="00A35882"/>
    <w:rsid w:val="00A47E7D"/>
    <w:rsid w:val="00A54BCF"/>
    <w:rsid w:val="00A55BBC"/>
    <w:rsid w:val="00A61F8F"/>
    <w:rsid w:val="00A70987"/>
    <w:rsid w:val="00A7164A"/>
    <w:rsid w:val="00A71B04"/>
    <w:rsid w:val="00A723BE"/>
    <w:rsid w:val="00A77F5B"/>
    <w:rsid w:val="00A83CB9"/>
    <w:rsid w:val="00A84FA3"/>
    <w:rsid w:val="00A851D3"/>
    <w:rsid w:val="00A85B34"/>
    <w:rsid w:val="00A90E39"/>
    <w:rsid w:val="00A91615"/>
    <w:rsid w:val="00A95573"/>
    <w:rsid w:val="00A973A5"/>
    <w:rsid w:val="00A97768"/>
    <w:rsid w:val="00AA2056"/>
    <w:rsid w:val="00AA2FAD"/>
    <w:rsid w:val="00AA7883"/>
    <w:rsid w:val="00AB0DFD"/>
    <w:rsid w:val="00AB2374"/>
    <w:rsid w:val="00AC653B"/>
    <w:rsid w:val="00AC6A93"/>
    <w:rsid w:val="00AC6D88"/>
    <w:rsid w:val="00AD16AF"/>
    <w:rsid w:val="00AE2069"/>
    <w:rsid w:val="00AE2194"/>
    <w:rsid w:val="00AE3ADF"/>
    <w:rsid w:val="00AE646D"/>
    <w:rsid w:val="00AF1D05"/>
    <w:rsid w:val="00B0394B"/>
    <w:rsid w:val="00B068D8"/>
    <w:rsid w:val="00B16661"/>
    <w:rsid w:val="00B177B7"/>
    <w:rsid w:val="00B347BE"/>
    <w:rsid w:val="00B34B85"/>
    <w:rsid w:val="00B361B8"/>
    <w:rsid w:val="00B41460"/>
    <w:rsid w:val="00B440EE"/>
    <w:rsid w:val="00B47B77"/>
    <w:rsid w:val="00B5271C"/>
    <w:rsid w:val="00B606A4"/>
    <w:rsid w:val="00B70A6C"/>
    <w:rsid w:val="00B81F67"/>
    <w:rsid w:val="00B9117D"/>
    <w:rsid w:val="00BA09E6"/>
    <w:rsid w:val="00BA3F97"/>
    <w:rsid w:val="00BC66A3"/>
    <w:rsid w:val="00BC783B"/>
    <w:rsid w:val="00BC7D07"/>
    <w:rsid w:val="00BD1616"/>
    <w:rsid w:val="00BE4439"/>
    <w:rsid w:val="00BE4E03"/>
    <w:rsid w:val="00BF6BB0"/>
    <w:rsid w:val="00C0269E"/>
    <w:rsid w:val="00C07951"/>
    <w:rsid w:val="00C13A3A"/>
    <w:rsid w:val="00C20CDC"/>
    <w:rsid w:val="00C20F52"/>
    <w:rsid w:val="00C241C2"/>
    <w:rsid w:val="00C24909"/>
    <w:rsid w:val="00C31988"/>
    <w:rsid w:val="00C342CF"/>
    <w:rsid w:val="00C42C63"/>
    <w:rsid w:val="00C54B3B"/>
    <w:rsid w:val="00C54EC3"/>
    <w:rsid w:val="00C60B43"/>
    <w:rsid w:val="00C6449D"/>
    <w:rsid w:val="00C723FC"/>
    <w:rsid w:val="00C72CFB"/>
    <w:rsid w:val="00C75C55"/>
    <w:rsid w:val="00C8152B"/>
    <w:rsid w:val="00C85104"/>
    <w:rsid w:val="00C86A12"/>
    <w:rsid w:val="00CA5A7C"/>
    <w:rsid w:val="00CB1B20"/>
    <w:rsid w:val="00CB1F92"/>
    <w:rsid w:val="00CB758E"/>
    <w:rsid w:val="00CC2A9B"/>
    <w:rsid w:val="00CE32CA"/>
    <w:rsid w:val="00CE7667"/>
    <w:rsid w:val="00D02730"/>
    <w:rsid w:val="00D03367"/>
    <w:rsid w:val="00D04B17"/>
    <w:rsid w:val="00D074D7"/>
    <w:rsid w:val="00D13A90"/>
    <w:rsid w:val="00D206C9"/>
    <w:rsid w:val="00D2745A"/>
    <w:rsid w:val="00D31572"/>
    <w:rsid w:val="00D35EC2"/>
    <w:rsid w:val="00D4266F"/>
    <w:rsid w:val="00D47A1F"/>
    <w:rsid w:val="00D54933"/>
    <w:rsid w:val="00D73C8D"/>
    <w:rsid w:val="00D76CF5"/>
    <w:rsid w:val="00D77B2C"/>
    <w:rsid w:val="00D8151C"/>
    <w:rsid w:val="00D83713"/>
    <w:rsid w:val="00D872A7"/>
    <w:rsid w:val="00D921A1"/>
    <w:rsid w:val="00D969DD"/>
    <w:rsid w:val="00D97F02"/>
    <w:rsid w:val="00DA0034"/>
    <w:rsid w:val="00DA3737"/>
    <w:rsid w:val="00DA4EBC"/>
    <w:rsid w:val="00DA783A"/>
    <w:rsid w:val="00DA7A3A"/>
    <w:rsid w:val="00DC045C"/>
    <w:rsid w:val="00DD26BB"/>
    <w:rsid w:val="00DD3978"/>
    <w:rsid w:val="00DD4640"/>
    <w:rsid w:val="00DE1F46"/>
    <w:rsid w:val="00DE3725"/>
    <w:rsid w:val="00DE64C1"/>
    <w:rsid w:val="00DE69C9"/>
    <w:rsid w:val="00DF7924"/>
    <w:rsid w:val="00E042A8"/>
    <w:rsid w:val="00E121DD"/>
    <w:rsid w:val="00E22EF8"/>
    <w:rsid w:val="00E269E2"/>
    <w:rsid w:val="00E327B4"/>
    <w:rsid w:val="00E331BE"/>
    <w:rsid w:val="00E341E3"/>
    <w:rsid w:val="00E34236"/>
    <w:rsid w:val="00E41C1C"/>
    <w:rsid w:val="00E47EAA"/>
    <w:rsid w:val="00E52235"/>
    <w:rsid w:val="00E573AD"/>
    <w:rsid w:val="00E6122B"/>
    <w:rsid w:val="00E62BE5"/>
    <w:rsid w:val="00E71E02"/>
    <w:rsid w:val="00E76C28"/>
    <w:rsid w:val="00E7720A"/>
    <w:rsid w:val="00E82398"/>
    <w:rsid w:val="00E83906"/>
    <w:rsid w:val="00E87322"/>
    <w:rsid w:val="00E91196"/>
    <w:rsid w:val="00E95C0E"/>
    <w:rsid w:val="00E95EF5"/>
    <w:rsid w:val="00E96526"/>
    <w:rsid w:val="00EA7D00"/>
    <w:rsid w:val="00EB4681"/>
    <w:rsid w:val="00EB5BBB"/>
    <w:rsid w:val="00EC16A1"/>
    <w:rsid w:val="00EC57EC"/>
    <w:rsid w:val="00ED623A"/>
    <w:rsid w:val="00EE07E3"/>
    <w:rsid w:val="00EE23B7"/>
    <w:rsid w:val="00EE2F9E"/>
    <w:rsid w:val="00EF559D"/>
    <w:rsid w:val="00F106DF"/>
    <w:rsid w:val="00F14809"/>
    <w:rsid w:val="00F2310E"/>
    <w:rsid w:val="00F247C6"/>
    <w:rsid w:val="00F26352"/>
    <w:rsid w:val="00F3101E"/>
    <w:rsid w:val="00F3712A"/>
    <w:rsid w:val="00F443D3"/>
    <w:rsid w:val="00F53611"/>
    <w:rsid w:val="00F56908"/>
    <w:rsid w:val="00F63A6E"/>
    <w:rsid w:val="00F650A8"/>
    <w:rsid w:val="00F7066F"/>
    <w:rsid w:val="00F711CD"/>
    <w:rsid w:val="00F73DBA"/>
    <w:rsid w:val="00F80DB6"/>
    <w:rsid w:val="00F825FB"/>
    <w:rsid w:val="00F83C81"/>
    <w:rsid w:val="00F86F6B"/>
    <w:rsid w:val="00F9002F"/>
    <w:rsid w:val="00F90248"/>
    <w:rsid w:val="00F91344"/>
    <w:rsid w:val="00F95DC6"/>
    <w:rsid w:val="00F96C15"/>
    <w:rsid w:val="00FA25F3"/>
    <w:rsid w:val="00FA3E01"/>
    <w:rsid w:val="00FB663E"/>
    <w:rsid w:val="00FC2EB2"/>
    <w:rsid w:val="00FC5B4E"/>
    <w:rsid w:val="00FD27AC"/>
    <w:rsid w:val="00FD3A22"/>
    <w:rsid w:val="00FD58D4"/>
    <w:rsid w:val="00FD7062"/>
    <w:rsid w:val="00FE5CBD"/>
    <w:rsid w:val="00FE7A9E"/>
    <w:rsid w:val="00FF1E7D"/>
    <w:rsid w:val="00FF21AE"/>
    <w:rsid w:val="00FF3BBB"/>
    <w:rsid w:val="00FF4941"/>
    <w:rsid w:val="08606F9C"/>
    <w:rsid w:val="08FA1588"/>
    <w:rsid w:val="0B3D750A"/>
    <w:rsid w:val="0B966D72"/>
    <w:rsid w:val="0C590374"/>
    <w:rsid w:val="0E3B6A06"/>
    <w:rsid w:val="133A4E27"/>
    <w:rsid w:val="139A1D2C"/>
    <w:rsid w:val="14200447"/>
    <w:rsid w:val="143831EE"/>
    <w:rsid w:val="16101043"/>
    <w:rsid w:val="172B1220"/>
    <w:rsid w:val="18C737BE"/>
    <w:rsid w:val="191D32AB"/>
    <w:rsid w:val="1EA146F0"/>
    <w:rsid w:val="20934080"/>
    <w:rsid w:val="20CA26BD"/>
    <w:rsid w:val="21AA177F"/>
    <w:rsid w:val="28025079"/>
    <w:rsid w:val="2B6C3A13"/>
    <w:rsid w:val="2EB7317B"/>
    <w:rsid w:val="2F2E4DB7"/>
    <w:rsid w:val="2FE51D9B"/>
    <w:rsid w:val="33EA1A14"/>
    <w:rsid w:val="378B2A26"/>
    <w:rsid w:val="39DD0A76"/>
    <w:rsid w:val="3C3F302E"/>
    <w:rsid w:val="45321187"/>
    <w:rsid w:val="49EF6D33"/>
    <w:rsid w:val="4B426455"/>
    <w:rsid w:val="4E071EBC"/>
    <w:rsid w:val="51F97127"/>
    <w:rsid w:val="564D01C1"/>
    <w:rsid w:val="58132904"/>
    <w:rsid w:val="5A3830DC"/>
    <w:rsid w:val="5BD83691"/>
    <w:rsid w:val="5D852400"/>
    <w:rsid w:val="5E0A0F5A"/>
    <w:rsid w:val="60973C1C"/>
    <w:rsid w:val="74602F12"/>
    <w:rsid w:val="747E6469"/>
    <w:rsid w:val="768F6D83"/>
    <w:rsid w:val="7EFE4CA4"/>
    <w:rsid w:val="F5D6B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48"/>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9"/>
    <w:qFormat/>
    <w:uiPriority w:val="0"/>
    <w:pPr>
      <w:jc w:val="left"/>
    </w:pPr>
    <w:rPr>
      <w:rFonts w:asciiTheme="minorHAnsi" w:hAnsiTheme="minorHAnsi" w:eastAsiaTheme="minorEastAsia" w:cstheme="minorBidi"/>
      <w:szCs w:val="22"/>
    </w:rPr>
  </w:style>
  <w:style w:type="paragraph" w:styleId="4">
    <w:name w:val="Body Text"/>
    <w:basedOn w:val="1"/>
    <w:link w:val="38"/>
    <w:qFormat/>
    <w:uiPriority w:val="0"/>
    <w:rPr>
      <w:rFonts w:ascii="仿宋_GB2312" w:eastAsia="仿宋_GB2312"/>
      <w:sz w:val="32"/>
    </w:rPr>
  </w:style>
  <w:style w:type="paragraph" w:styleId="5">
    <w:name w:val="Body Text Indent"/>
    <w:basedOn w:val="1"/>
    <w:link w:val="35"/>
    <w:qFormat/>
    <w:uiPriority w:val="0"/>
    <w:pPr>
      <w:spacing w:after="120"/>
      <w:ind w:left="420" w:leftChars="200"/>
    </w:pPr>
  </w:style>
  <w:style w:type="paragraph" w:styleId="6">
    <w:name w:val="Plain Text"/>
    <w:basedOn w:val="1"/>
    <w:link w:val="31"/>
    <w:qFormat/>
    <w:uiPriority w:val="99"/>
    <w:rPr>
      <w:rFonts w:ascii="宋体" w:hAnsi="Courier New" w:cstheme="minorBidi"/>
      <w:szCs w:val="22"/>
    </w:rPr>
  </w:style>
  <w:style w:type="paragraph" w:styleId="7">
    <w:name w:val="Balloon Text"/>
    <w:basedOn w:val="1"/>
    <w:link w:val="25"/>
    <w:qFormat/>
    <w:uiPriority w:val="0"/>
    <w:rPr>
      <w:rFonts w:asciiTheme="minorHAnsi" w:hAnsiTheme="minorHAnsi" w:eastAsiaTheme="minorEastAsia" w:cstheme="minorBidi"/>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spacing w:line="360" w:lineRule="auto"/>
      <w:jc w:val="left"/>
    </w:pPr>
    <w:rPr>
      <w:rFonts w:ascii="宋体" w:hAnsi="宋体"/>
      <w:b/>
      <w:caps/>
      <w:color w:val="FF0000"/>
      <w:szCs w:val="21"/>
    </w:rPr>
  </w:style>
  <w:style w:type="paragraph" w:styleId="11">
    <w:name w:val="toc 2"/>
    <w:basedOn w:val="1"/>
    <w:next w:val="1"/>
    <w:unhideWhenUsed/>
    <w:qFormat/>
    <w:uiPriority w:val="0"/>
    <w:pPr>
      <w:ind w:left="420" w:leftChars="200"/>
    </w:pPr>
  </w:style>
  <w:style w:type="paragraph" w:styleId="12">
    <w:name w:val="Normal (Web)"/>
    <w:basedOn w:val="1"/>
    <w:qFormat/>
    <w:uiPriority w:val="99"/>
    <w:pPr>
      <w:jc w:val="left"/>
    </w:pPr>
    <w:rPr>
      <w:rFonts w:ascii="Calibri" w:hAnsi="Calibri"/>
      <w:kern w:val="0"/>
      <w:sz w:val="24"/>
      <w:szCs w:val="24"/>
    </w:rPr>
  </w:style>
  <w:style w:type="paragraph" w:styleId="13">
    <w:name w:val="annotation subject"/>
    <w:basedOn w:val="3"/>
    <w:next w:val="3"/>
    <w:link w:val="28"/>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rPr>
  </w:style>
  <w:style w:type="character" w:styleId="18">
    <w:name w:val="page number"/>
    <w:basedOn w:val="16"/>
    <w:qFormat/>
    <w:uiPriority w:val="0"/>
  </w:style>
  <w:style w:type="character" w:styleId="19">
    <w:name w:val="FollowedHyperlink"/>
    <w:basedOn w:val="16"/>
    <w:qFormat/>
    <w:uiPriority w:val="0"/>
    <w:rPr>
      <w:color w:val="800080"/>
      <w:u w:val="single"/>
    </w:rPr>
  </w:style>
  <w:style w:type="character" w:styleId="20">
    <w:name w:val="Hyperlink"/>
    <w:semiHidden/>
    <w:qFormat/>
    <w:uiPriority w:val="0"/>
    <w:rPr>
      <w:rFonts w:cs="Times New Roman"/>
      <w:color w:val="1F4F88"/>
      <w:u w:val="none"/>
    </w:rPr>
  </w:style>
  <w:style w:type="character" w:styleId="21">
    <w:name w:val="annotation reference"/>
    <w:basedOn w:val="16"/>
    <w:qFormat/>
    <w:uiPriority w:val="0"/>
    <w:rPr>
      <w:sz w:val="21"/>
      <w:szCs w:val="21"/>
    </w:rPr>
  </w:style>
  <w:style w:type="character" w:customStyle="1" w:styleId="22">
    <w:name w:val="页眉 字符"/>
    <w:basedOn w:val="16"/>
    <w:link w:val="9"/>
    <w:qFormat/>
    <w:uiPriority w:val="0"/>
    <w:rPr>
      <w:sz w:val="18"/>
      <w:szCs w:val="18"/>
    </w:rPr>
  </w:style>
  <w:style w:type="character" w:customStyle="1" w:styleId="23">
    <w:name w:val="页脚 字符"/>
    <w:basedOn w:val="16"/>
    <w:link w:val="8"/>
    <w:qFormat/>
    <w:uiPriority w:val="99"/>
    <w:rPr>
      <w:sz w:val="18"/>
      <w:szCs w:val="18"/>
    </w:rPr>
  </w:style>
  <w:style w:type="character" w:customStyle="1" w:styleId="24">
    <w:name w:val="Char Char5"/>
    <w:qFormat/>
    <w:uiPriority w:val="0"/>
    <w:rPr>
      <w:rFonts w:ascii="宋体" w:hAnsi="Courier New" w:eastAsia="宋体"/>
      <w:kern w:val="2"/>
      <w:sz w:val="21"/>
      <w:lang w:val="en-US" w:eastAsia="zh-CN" w:bidi="ar-SA"/>
    </w:rPr>
  </w:style>
  <w:style w:type="character" w:customStyle="1" w:styleId="25">
    <w:name w:val="批注框文本 字符"/>
    <w:link w:val="7"/>
    <w:qFormat/>
    <w:uiPriority w:val="0"/>
    <w:rPr>
      <w:sz w:val="18"/>
      <w:szCs w:val="18"/>
    </w:rPr>
  </w:style>
  <w:style w:type="character" w:customStyle="1" w:styleId="26">
    <w:name w:val="纯文本 Char"/>
    <w:qFormat/>
    <w:uiPriority w:val="0"/>
    <w:rPr>
      <w:rFonts w:ascii="宋体" w:hAnsi="Courier New" w:eastAsia="宋体"/>
      <w:kern w:val="2"/>
      <w:sz w:val="21"/>
      <w:lang w:val="en-US" w:eastAsia="zh-CN" w:bidi="ar-SA"/>
    </w:rPr>
  </w:style>
  <w:style w:type="character" w:customStyle="1" w:styleId="27">
    <w:name w:val="Char Char3"/>
    <w:qFormat/>
    <w:uiPriority w:val="0"/>
    <w:rPr>
      <w:rFonts w:ascii="宋体" w:hAnsi="Courier New" w:eastAsia="宋体"/>
      <w:kern w:val="2"/>
      <w:sz w:val="21"/>
      <w:lang w:val="en-US" w:eastAsia="zh-CN" w:bidi="ar-SA"/>
    </w:rPr>
  </w:style>
  <w:style w:type="character" w:customStyle="1" w:styleId="28">
    <w:name w:val="批注主题 字符"/>
    <w:basedOn w:val="29"/>
    <w:link w:val="13"/>
    <w:qFormat/>
    <w:uiPriority w:val="0"/>
    <w:rPr>
      <w:b/>
      <w:bCs/>
    </w:rPr>
  </w:style>
  <w:style w:type="character" w:customStyle="1" w:styleId="29">
    <w:name w:val="批注文字 字符"/>
    <w:basedOn w:val="16"/>
    <w:link w:val="3"/>
    <w:qFormat/>
    <w:uiPriority w:val="0"/>
  </w:style>
  <w:style w:type="character" w:customStyle="1" w:styleId="30">
    <w:name w:val="HTML Markup"/>
    <w:qFormat/>
    <w:uiPriority w:val="0"/>
    <w:rPr>
      <w:vanish/>
      <w:color w:val="FF0000"/>
    </w:rPr>
  </w:style>
  <w:style w:type="character" w:customStyle="1" w:styleId="31">
    <w:name w:val="纯文本 字符"/>
    <w:link w:val="6"/>
    <w:qFormat/>
    <w:uiPriority w:val="99"/>
    <w:rPr>
      <w:rFonts w:ascii="宋体" w:hAnsi="Courier New" w:eastAsia="宋体"/>
    </w:rPr>
  </w:style>
  <w:style w:type="character" w:customStyle="1" w:styleId="32">
    <w:name w:val="Char Char2"/>
    <w:qFormat/>
    <w:uiPriority w:val="0"/>
    <w:rPr>
      <w:rFonts w:ascii="宋体" w:hAnsi="Courier New" w:cs="宋体"/>
      <w:kern w:val="2"/>
      <w:sz w:val="21"/>
      <w:szCs w:val="21"/>
    </w:rPr>
  </w:style>
  <w:style w:type="character" w:customStyle="1" w:styleId="33">
    <w:name w:val="apple-converted-space"/>
    <w:basedOn w:val="16"/>
    <w:qFormat/>
    <w:uiPriority w:val="0"/>
  </w:style>
  <w:style w:type="character" w:customStyle="1" w:styleId="34">
    <w:name w:val="批注文字 Char1"/>
    <w:basedOn w:val="16"/>
    <w:semiHidden/>
    <w:qFormat/>
    <w:uiPriority w:val="99"/>
    <w:rPr>
      <w:rFonts w:ascii="Times New Roman" w:hAnsi="Times New Roman" w:eastAsia="宋体" w:cs="Times New Roman"/>
      <w:szCs w:val="20"/>
    </w:rPr>
  </w:style>
  <w:style w:type="character" w:customStyle="1" w:styleId="35">
    <w:name w:val="正文文本缩进 字符"/>
    <w:basedOn w:val="16"/>
    <w:link w:val="5"/>
    <w:qFormat/>
    <w:uiPriority w:val="0"/>
    <w:rPr>
      <w:rFonts w:ascii="Times New Roman" w:hAnsi="Times New Roman" w:eastAsia="宋体" w:cs="Times New Roman"/>
      <w:szCs w:val="20"/>
    </w:rPr>
  </w:style>
  <w:style w:type="character" w:customStyle="1" w:styleId="36">
    <w:name w:val="纯文本 Char2"/>
    <w:basedOn w:val="16"/>
    <w:semiHidden/>
    <w:qFormat/>
    <w:uiPriority w:val="99"/>
    <w:rPr>
      <w:rFonts w:ascii="宋体" w:hAnsi="Courier New" w:eastAsia="宋体" w:cs="Courier New"/>
      <w:szCs w:val="21"/>
    </w:rPr>
  </w:style>
  <w:style w:type="character" w:customStyle="1" w:styleId="37">
    <w:name w:val="批注主题 Char1"/>
    <w:basedOn w:val="34"/>
    <w:semiHidden/>
    <w:qFormat/>
    <w:uiPriority w:val="99"/>
    <w:rPr>
      <w:rFonts w:ascii="Times New Roman" w:hAnsi="Times New Roman" w:eastAsia="宋体" w:cs="Times New Roman"/>
      <w:b/>
      <w:bCs/>
      <w:szCs w:val="20"/>
    </w:rPr>
  </w:style>
  <w:style w:type="character" w:customStyle="1" w:styleId="38">
    <w:name w:val="正文文本 字符"/>
    <w:basedOn w:val="16"/>
    <w:link w:val="4"/>
    <w:qFormat/>
    <w:uiPriority w:val="0"/>
    <w:rPr>
      <w:rFonts w:ascii="仿宋_GB2312" w:hAnsi="Times New Roman" w:eastAsia="仿宋_GB2312" w:cs="Times New Roman"/>
      <w:sz w:val="32"/>
      <w:szCs w:val="20"/>
    </w:rPr>
  </w:style>
  <w:style w:type="character" w:customStyle="1" w:styleId="39">
    <w:name w:val="批注框文本 Char1"/>
    <w:basedOn w:val="16"/>
    <w:semiHidden/>
    <w:qFormat/>
    <w:uiPriority w:val="99"/>
    <w:rPr>
      <w:rFonts w:ascii="Times New Roman" w:hAnsi="Times New Roman" w:eastAsia="宋体" w:cs="Times New Roman"/>
      <w:sz w:val="18"/>
      <w:szCs w:val="18"/>
    </w:rPr>
  </w:style>
  <w:style w:type="paragraph" w:customStyle="1" w:styleId="40">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4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2">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4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44">
    <w:name w:val="二级列表 Char"/>
    <w:basedOn w:val="1"/>
    <w:qFormat/>
    <w:uiPriority w:val="0"/>
    <w:rPr>
      <w:rFonts w:ascii="Calibri" w:hAnsi="Calibri"/>
    </w:rPr>
  </w:style>
  <w:style w:type="paragraph" w:customStyle="1" w:styleId="45">
    <w:name w:val="列出段落1"/>
    <w:basedOn w:val="1"/>
    <w:qFormat/>
    <w:uiPriority w:val="0"/>
    <w:pPr>
      <w:ind w:firstLine="420" w:firstLineChars="200"/>
    </w:pPr>
    <w:rPr>
      <w:rFonts w:ascii="Calibri" w:hAnsi="Calibri"/>
      <w:szCs w:val="22"/>
    </w:rPr>
  </w:style>
  <w:style w:type="paragraph" w:customStyle="1" w:styleId="46">
    <w:name w:val="hd2"/>
    <w:basedOn w:val="1"/>
    <w:qFormat/>
    <w:uiPriority w:val="0"/>
    <w:pPr>
      <w:autoSpaceDE w:val="0"/>
      <w:autoSpaceDN w:val="0"/>
      <w:spacing w:line="360" w:lineRule="atLeast"/>
      <w:ind w:left="1418" w:right="550" w:hanging="709"/>
      <w:jc w:val="left"/>
    </w:pPr>
    <w:rPr>
      <w:kern w:val="0"/>
      <w:sz w:val="26"/>
      <w:szCs w:val="26"/>
    </w:rPr>
  </w:style>
  <w:style w:type="paragraph" w:customStyle="1" w:styleId="47">
    <w:name w:val="列表段落1"/>
    <w:basedOn w:val="1"/>
    <w:qFormat/>
    <w:uiPriority w:val="34"/>
    <w:pPr>
      <w:ind w:firstLine="420" w:firstLineChars="200"/>
    </w:pPr>
  </w:style>
  <w:style w:type="character" w:customStyle="1" w:styleId="48">
    <w:name w:val="标题 3 字符"/>
    <w:basedOn w:val="16"/>
    <w:link w:val="2"/>
    <w:qFormat/>
    <w:uiPriority w:val="9"/>
    <w:rPr>
      <w:rFonts w:ascii="宋体" w:hAnsi="宋体" w:cs="宋体"/>
      <w:b/>
      <w:bCs/>
      <w:sz w:val="27"/>
      <w:szCs w:val="27"/>
    </w:rPr>
  </w:style>
  <w:style w:type="character" w:customStyle="1" w:styleId="49">
    <w:name w:val="纯文本 字符1"/>
    <w:qFormat/>
    <w:uiPriority w:val="0"/>
    <w:rPr>
      <w:rFonts w:ascii="宋体" w:hAnsi="Courier New"/>
      <w:kern w:val="2"/>
      <w:sz w:val="21"/>
    </w:rPr>
  </w:style>
  <w:style w:type="paragraph" w:customStyle="1" w:styleId="50">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styleId="51">
    <w:name w:val="List Paragraph"/>
    <w:basedOn w:val="1"/>
    <w:qFormat/>
    <w:uiPriority w:val="99"/>
    <w:pPr>
      <w:ind w:firstLine="420" w:firstLineChars="200"/>
    </w:pPr>
  </w:style>
  <w:style w:type="paragraph" w:customStyle="1" w:styleId="52">
    <w:name w:val="Char Char Char Char Char Char"/>
    <w:basedOn w:val="1"/>
    <w:qFormat/>
    <w:uiPriority w:val="0"/>
    <w:pPr>
      <w:widowControl/>
      <w:spacing w:after="160" w:line="240" w:lineRule="exact"/>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10</Pages>
  <Words>3891</Words>
  <Characters>4067</Characters>
  <Lines>36</Lines>
  <Paragraphs>10</Paragraphs>
  <TotalTime>155</TotalTime>
  <ScaleCrop>false</ScaleCrop>
  <LinksUpToDate>false</LinksUpToDate>
  <CharactersWithSpaces>4535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2019-06-05T05:42:00Z</dcterms:created>
  <dc:creator>子辰培训</dc:creator>
  <cp:lastModifiedBy>于洋</cp:lastModifiedBy>
  <cp:lastPrinted>2022-06-01T16:44:00Z</cp:lastPrinted>
  <dcterms:modified xsi:type="dcterms:W3CDTF">2023-03-09T02:43:48Z</dcterms:modified>
  <cp:revision>754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0D8901E65D2645D58DC791E825A14255</vt:lpwstr>
  </property>
</Properties>
</file>