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8"/>
        </w:rPr>
      </w:pPr>
      <w:r>
        <w:rPr>
          <w:rFonts w:hint="eastAsia" w:ascii="宋体" w:hAnsi="宋体"/>
          <w:sz w:val="44"/>
          <w:szCs w:val="48"/>
        </w:rPr>
        <w:t>中国重汽集团济南动力有限公司</w:t>
      </w:r>
    </w:p>
    <w:p>
      <w:pPr>
        <w:jc w:val="center"/>
        <w:rPr>
          <w:rFonts w:ascii="宋体" w:hAnsi="宋体"/>
          <w:sz w:val="44"/>
          <w:szCs w:val="48"/>
        </w:rPr>
      </w:pPr>
      <w:r>
        <w:rPr>
          <w:rFonts w:hint="eastAsia" w:ascii="宋体" w:hAnsi="宋体"/>
          <w:sz w:val="44"/>
          <w:szCs w:val="48"/>
        </w:rPr>
        <w:t>成型中心生产区域冬季供暖提升项目</w:t>
      </w:r>
    </w:p>
    <w:p>
      <w:pPr>
        <w:pStyle w:val="22"/>
        <w:ind w:firstLine="2200" w:firstLineChars="500"/>
        <w:rPr>
          <w:rFonts w:ascii="宋体" w:hAnsi="宋体" w:eastAsia="宋体" w:cs="Times New Roman"/>
          <w:color w:val="FF0000"/>
          <w:kern w:val="2"/>
          <w:sz w:val="44"/>
          <w:szCs w:val="48"/>
        </w:rPr>
      </w:pPr>
    </w:p>
    <w:p>
      <w:pPr>
        <w:ind w:right="280"/>
        <w:jc w:val="right"/>
        <w:rPr>
          <w:sz w:val="28"/>
          <w:szCs w:val="28"/>
        </w:rPr>
      </w:pPr>
    </w:p>
    <w:p>
      <w:pPr>
        <w:jc w:val="right"/>
        <w:rPr>
          <w:sz w:val="28"/>
          <w:szCs w:val="28"/>
        </w:rPr>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宋体" w:hAnsi="宋体"/>
          <w:sz w:val="52"/>
          <w:szCs w:val="72"/>
        </w:rPr>
      </w:pPr>
      <w:r>
        <w:rPr>
          <w:rFonts w:hint="eastAsia" w:ascii="黑体" w:hAnsi="宋体" w:eastAsia="黑体"/>
          <w:sz w:val="56"/>
          <w:szCs w:val="84"/>
        </w:rPr>
        <w:t>书</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招 标 人：中国重汽集团济南动力有限公司成型中心</w:t>
      </w:r>
    </w:p>
    <w:p>
      <w:pPr>
        <w:spacing w:line="480" w:lineRule="auto"/>
        <w:jc w:val="center"/>
        <w:rPr>
          <w:rFonts w:ascii="宋体" w:hAnsi="宋体"/>
          <w:b/>
          <w:bCs/>
          <w:sz w:val="48"/>
          <w:szCs w:val="48"/>
        </w:rPr>
      </w:pPr>
      <w:r>
        <w:rPr>
          <w:rFonts w:ascii="宋体" w:hAnsi="宋体"/>
          <w:sz w:val="28"/>
          <w:szCs w:val="28"/>
        </w:rPr>
        <w:t>202</w:t>
      </w:r>
      <w:r>
        <w:rPr>
          <w:rFonts w:hint="eastAsia" w:ascii="宋体" w:hAnsi="宋体"/>
          <w:sz w:val="28"/>
          <w:szCs w:val="28"/>
        </w:rPr>
        <w:t>1年 4月</w:t>
      </w:r>
      <w:r>
        <w:rPr>
          <w:rFonts w:ascii="黑体" w:eastAsia="黑体"/>
          <w:b/>
          <w:bCs/>
          <w:sz w:val="36"/>
          <w:szCs w:val="36"/>
        </w:rPr>
        <w:br w:type="page"/>
      </w: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8"/>
          <w:rFonts w:hint="eastAsia"/>
          <w:color w:val="auto"/>
        </w:rPr>
        <w:t>第一章</w:t>
      </w:r>
      <w:r>
        <w:rPr>
          <w:rStyle w:val="18"/>
          <w:color w:val="auto"/>
        </w:rPr>
        <w:t xml:space="preserve">  </w:t>
      </w:r>
      <w:r>
        <w:rPr>
          <w:rStyle w:val="18"/>
          <w:rFonts w:hint="eastAsia"/>
          <w:color w:val="auto"/>
        </w:rPr>
        <w:t>招标公告</w:t>
      </w:r>
      <w:r>
        <w:tab/>
      </w:r>
      <w:r>
        <w:fldChar w:fldCharType="end"/>
      </w:r>
      <w:r>
        <w:rPr>
          <w:rFonts w:hint="eastAsia"/>
        </w:rPr>
        <w:t>1-8（页码）</w:t>
      </w:r>
    </w:p>
    <w:p>
      <w:pPr>
        <w:pStyle w:val="9"/>
      </w:pPr>
    </w:p>
    <w:p>
      <w:pPr>
        <w:pStyle w:val="9"/>
      </w:pPr>
      <w:r>
        <w:fldChar w:fldCharType="begin"/>
      </w:r>
      <w:r>
        <w:instrText xml:space="preserve"> HYPERLINK \l "_Toc357155295" </w:instrText>
      </w:r>
      <w:r>
        <w:fldChar w:fldCharType="separate"/>
      </w:r>
      <w:r>
        <w:rPr>
          <w:rStyle w:val="18"/>
          <w:rFonts w:hint="eastAsia"/>
          <w:color w:val="auto"/>
        </w:rPr>
        <w:t>第二章</w:t>
      </w:r>
      <w:r>
        <w:rPr>
          <w:rStyle w:val="18"/>
          <w:color w:val="auto"/>
        </w:rPr>
        <w:t xml:space="preserve">  </w:t>
      </w:r>
      <w:r>
        <w:rPr>
          <w:rStyle w:val="18"/>
          <w:rFonts w:hint="eastAsia"/>
          <w:color w:val="auto"/>
        </w:rPr>
        <w:t>投标文件编制</w:t>
      </w:r>
      <w:r>
        <w:tab/>
      </w:r>
      <w:r>
        <w:fldChar w:fldCharType="end"/>
      </w:r>
      <w:r>
        <w:rPr>
          <w:rFonts w:hint="eastAsia"/>
        </w:rPr>
        <w:t>9-19（页码）</w:t>
      </w:r>
    </w:p>
    <w:p>
      <w:pPr>
        <w:pStyle w:val="9"/>
      </w:pPr>
    </w:p>
    <w:p>
      <w:pPr>
        <w:pStyle w:val="9"/>
      </w:pPr>
      <w:r>
        <w:fldChar w:fldCharType="begin"/>
      </w:r>
      <w:r>
        <w:instrText xml:space="preserve"> HYPERLINK \l "_Toc357155295" </w:instrText>
      </w:r>
      <w:r>
        <w:fldChar w:fldCharType="separate"/>
      </w:r>
      <w:r>
        <w:rPr>
          <w:rStyle w:val="18"/>
          <w:rFonts w:hint="eastAsia"/>
          <w:color w:val="auto"/>
        </w:rPr>
        <w:t>第三章</w:t>
      </w:r>
      <w:r>
        <w:rPr>
          <w:rStyle w:val="18"/>
          <w:color w:val="auto"/>
        </w:rPr>
        <w:t xml:space="preserve">  技术</w:t>
      </w:r>
      <w:r>
        <w:rPr>
          <w:rStyle w:val="18"/>
          <w:rFonts w:hint="eastAsia"/>
          <w:color w:val="auto"/>
        </w:rPr>
        <w:t>要求</w:t>
      </w:r>
      <w:r>
        <w:tab/>
      </w:r>
      <w:r>
        <w:fldChar w:fldCharType="end"/>
      </w:r>
      <w:r>
        <w:rPr>
          <w:rFonts w:hint="eastAsia"/>
        </w:rPr>
        <w:t>20（页码）</w:t>
      </w:r>
    </w:p>
    <w:p>
      <w:pPr>
        <w:pStyle w:val="9"/>
      </w:pPr>
    </w:p>
    <w:p>
      <w:pPr>
        <w:pStyle w:val="6"/>
        <w:spacing w:line="360" w:lineRule="auto"/>
        <w:jc w:val="center"/>
        <w:rPr>
          <w:rFonts w:ascii="黑体" w:eastAsia="黑体"/>
          <w:b/>
          <w:bCs/>
          <w:sz w:val="36"/>
          <w:szCs w:val="36"/>
        </w:rPr>
      </w:pPr>
      <w:r>
        <w:fldChar w:fldCharType="end"/>
      </w:r>
      <w:r>
        <w:rPr>
          <w:rFonts w:ascii="黑体" w:eastAsia="黑体"/>
          <w:b/>
          <w:bCs/>
          <w:sz w:val="36"/>
          <w:szCs w:val="36"/>
        </w:rPr>
        <w:br w:type="page"/>
      </w:r>
      <w:r>
        <w:rPr>
          <w:rFonts w:hint="eastAsia" w:ascii="黑体" w:eastAsia="黑体"/>
          <w:b/>
          <w:bCs/>
          <w:sz w:val="36"/>
          <w:szCs w:val="36"/>
        </w:rPr>
        <w:t>第一章  招标公告</w:t>
      </w:r>
    </w:p>
    <w:p>
      <w:pPr>
        <w:pStyle w:val="6"/>
        <w:spacing w:line="360" w:lineRule="auto"/>
        <w:rPr>
          <w:rFonts w:ascii="黑体" w:eastAsia="黑体"/>
          <w:b/>
          <w:bCs/>
          <w:sz w:val="28"/>
        </w:rPr>
      </w:pPr>
      <w:r>
        <w:rPr>
          <w:rFonts w:hint="eastAsia" w:ascii="黑体" w:eastAsia="黑体"/>
          <w:b/>
          <w:bCs/>
          <w:sz w:val="28"/>
        </w:rPr>
        <w:t>一、项目名称</w:t>
      </w:r>
    </w:p>
    <w:p>
      <w:pPr>
        <w:jc w:val="left"/>
        <w:rPr>
          <w:rFonts w:ascii="宋体" w:hAnsi="宋体"/>
          <w:color w:val="000000" w:themeColor="text1"/>
          <w14:textFill>
            <w14:solidFill>
              <w14:schemeClr w14:val="tx1"/>
            </w14:solidFill>
          </w14:textFill>
        </w:rPr>
      </w:pPr>
      <w:r>
        <w:rPr>
          <w:rFonts w:hint="eastAsia" w:ascii="宋体" w:hAnsi="宋体"/>
        </w:rPr>
        <w:t>项目名称：</w:t>
      </w:r>
      <w:r>
        <w:rPr>
          <w:rFonts w:hint="eastAsia" w:ascii="宋体" w:hAnsi="宋体"/>
          <w:color w:val="000000" w:themeColor="text1"/>
          <w14:textFill>
            <w14:solidFill>
              <w14:schemeClr w14:val="tx1"/>
            </w14:solidFill>
          </w14:textFill>
        </w:rPr>
        <w:t>中国重汽集团济南动力有限公司成型中心生产区域冬季供暖提升项目</w:t>
      </w:r>
    </w:p>
    <w:p>
      <w:pPr>
        <w:jc w:val="left"/>
        <w:rPr>
          <w:rFonts w:ascii="宋体" w:hAnsi="宋体"/>
          <w:szCs w:val="22"/>
        </w:rPr>
      </w:pPr>
    </w:p>
    <w:p>
      <w:pPr>
        <w:pStyle w:val="22"/>
        <w:ind w:firstLine="840" w:firstLineChars="350"/>
        <w:rPr>
          <w:rFonts w:ascii="宋体" w:hAnsi="宋体" w:eastAsia="宋体"/>
          <w:color w:val="auto"/>
        </w:rPr>
      </w:pPr>
    </w:p>
    <w:p>
      <w:pPr>
        <w:pStyle w:val="6"/>
        <w:spacing w:line="360" w:lineRule="auto"/>
        <w:rPr>
          <w:rFonts w:ascii="黑体" w:eastAsia="黑体"/>
          <w:b/>
          <w:bCs/>
          <w:sz w:val="28"/>
        </w:rPr>
      </w:pPr>
      <w:r>
        <w:rPr>
          <w:rFonts w:hint="eastAsia" w:ascii="黑体" w:eastAsia="黑体"/>
          <w:b/>
          <w:bCs/>
          <w:sz w:val="28"/>
        </w:rPr>
        <w:t>二、招标内容</w:t>
      </w:r>
    </w:p>
    <w:p>
      <w:pPr>
        <w:spacing w:line="360" w:lineRule="auto"/>
        <w:ind w:firstLine="420" w:firstLineChars="200"/>
        <w:rPr>
          <w:rFonts w:ascii="宋体" w:hAnsi="宋体"/>
        </w:rPr>
      </w:pPr>
      <w:r>
        <w:rPr>
          <w:rFonts w:hint="eastAsia"/>
        </w:rPr>
        <w:t>招标内容：</w:t>
      </w:r>
    </w:p>
    <w:tbl>
      <w:tblPr>
        <w:tblStyle w:val="12"/>
        <w:tblpPr w:leftFromText="180" w:rightFromText="180" w:vertAnchor="text" w:horzAnchor="page" w:tblpX="1627" w:tblpY="103"/>
        <w:tblOverlap w:val="never"/>
        <w:tblW w:w="0" w:type="auto"/>
        <w:tblInd w:w="0" w:type="dxa"/>
        <w:tblLayout w:type="fixed"/>
        <w:tblCellMar>
          <w:top w:w="0" w:type="dxa"/>
          <w:left w:w="0" w:type="dxa"/>
          <w:bottom w:w="0" w:type="dxa"/>
          <w:right w:w="0" w:type="dxa"/>
        </w:tblCellMar>
      </w:tblPr>
      <w:tblGrid>
        <w:gridCol w:w="933"/>
        <w:gridCol w:w="3282"/>
        <w:gridCol w:w="1035"/>
        <w:gridCol w:w="915"/>
        <w:gridCol w:w="3285"/>
      </w:tblGrid>
      <w:tr>
        <w:tblPrEx>
          <w:tblCellMar>
            <w:top w:w="0" w:type="dxa"/>
            <w:left w:w="0" w:type="dxa"/>
            <w:bottom w:w="0" w:type="dxa"/>
            <w:right w:w="0" w:type="dxa"/>
          </w:tblCellMar>
        </w:tblPrEx>
        <w:trPr>
          <w:trHeight w:val="255" w:hRule="atLeast"/>
        </w:trPr>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标的</w:t>
            </w:r>
          </w:p>
        </w:tc>
        <w:tc>
          <w:tcPr>
            <w:tcW w:w="3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名称</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单位</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数量</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备注</w:t>
            </w:r>
          </w:p>
        </w:tc>
      </w:tr>
      <w:tr>
        <w:tblPrEx>
          <w:tblCellMar>
            <w:top w:w="0" w:type="dxa"/>
            <w:left w:w="0" w:type="dxa"/>
            <w:bottom w:w="0" w:type="dxa"/>
            <w:right w:w="0" w:type="dxa"/>
          </w:tblCellMar>
        </w:tblPrEx>
        <w:trPr>
          <w:trHeight w:val="255" w:hRule="atLeast"/>
        </w:trPr>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1</w:t>
            </w:r>
          </w:p>
        </w:tc>
        <w:tc>
          <w:tcPr>
            <w:tcW w:w="3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left"/>
              <w:rPr>
                <w:rFonts w:ascii="宋体" w:hAnsi="宋体"/>
              </w:rPr>
            </w:pPr>
            <w:r>
              <w:rPr>
                <w:rFonts w:hint="eastAsia" w:ascii="宋体" w:hAnsi="宋体"/>
              </w:rPr>
              <w:t>中国重汽集团济南动力有限公司成型中心生产区域冬季供暖提升项目</w:t>
            </w:r>
          </w:p>
          <w:p>
            <w:pPr>
              <w:spacing w:line="360" w:lineRule="auto"/>
              <w:jc w:val="center"/>
              <w:rPr>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宗</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1</w:t>
            </w:r>
          </w:p>
        </w:tc>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60" w:lineRule="auto"/>
              <w:jc w:val="center"/>
              <w:rPr>
                <w:szCs w:val="22"/>
              </w:rPr>
            </w:pPr>
            <w:r>
              <w:rPr>
                <w:rFonts w:hint="eastAsia"/>
                <w:szCs w:val="22"/>
              </w:rPr>
              <w:t>无</w:t>
            </w:r>
          </w:p>
        </w:tc>
      </w:tr>
    </w:tbl>
    <w:p>
      <w:pPr>
        <w:pStyle w:val="6"/>
        <w:spacing w:line="360" w:lineRule="auto"/>
        <w:ind w:firstLine="211" w:firstLineChars="100"/>
        <w:rPr>
          <w:rFonts w:hAnsi="宋体"/>
          <w:b/>
          <w:bCs/>
          <w:szCs w:val="22"/>
        </w:rPr>
      </w:pPr>
    </w:p>
    <w:p>
      <w:pPr>
        <w:pStyle w:val="6"/>
        <w:spacing w:line="360" w:lineRule="auto"/>
        <w:rPr>
          <w:rFonts w:ascii="黑体" w:eastAsia="黑体"/>
          <w:b/>
          <w:bCs/>
          <w:sz w:val="28"/>
        </w:rPr>
      </w:pPr>
      <w:r>
        <w:rPr>
          <w:rFonts w:hint="eastAsia" w:ascii="黑体" w:eastAsia="黑体"/>
          <w:b/>
          <w:bCs/>
          <w:sz w:val="28"/>
        </w:rPr>
        <w:t>三、招标形式</w:t>
      </w:r>
    </w:p>
    <w:p>
      <w:pPr>
        <w:pStyle w:val="6"/>
        <w:spacing w:line="360" w:lineRule="auto"/>
        <w:ind w:firstLine="420" w:firstLineChars="200"/>
      </w:pPr>
      <w:r>
        <w:rPr>
          <w:rFonts w:hint="eastAsia"/>
        </w:rPr>
        <w:t>招标形式：公开招标。</w:t>
      </w:r>
    </w:p>
    <w:p>
      <w:pPr>
        <w:pStyle w:val="6"/>
        <w:spacing w:line="360" w:lineRule="auto"/>
        <w:rPr>
          <w:rFonts w:ascii="黑体" w:eastAsia="黑体"/>
          <w:b/>
          <w:bCs/>
          <w:sz w:val="28"/>
        </w:rPr>
      </w:pPr>
      <w:r>
        <w:rPr>
          <w:rFonts w:hint="eastAsia" w:ascii="黑体" w:eastAsia="黑体"/>
          <w:b/>
          <w:bCs/>
          <w:sz w:val="28"/>
        </w:rPr>
        <w:t>四、议程安排</w:t>
      </w:r>
    </w:p>
    <w:p>
      <w:pPr>
        <w:pStyle w:val="6"/>
        <w:spacing w:line="360" w:lineRule="auto"/>
        <w:ind w:firstLine="420" w:firstLineChars="200"/>
        <w:rPr>
          <w:color w:val="FF0000"/>
        </w:rPr>
      </w:pPr>
      <w:r>
        <w:rPr>
          <w:rFonts w:hint="eastAsia"/>
        </w:rPr>
        <w:t>1.公告时间：2021年9月</w:t>
      </w:r>
      <w:r>
        <w:rPr>
          <w:rFonts w:hint="eastAsia"/>
          <w:lang w:val="en-US" w:eastAsia="zh-CN"/>
        </w:rPr>
        <w:t>1</w:t>
      </w:r>
      <w:r>
        <w:rPr>
          <w:rFonts w:hint="eastAsia"/>
        </w:rPr>
        <w:t>日。</w:t>
      </w:r>
    </w:p>
    <w:p>
      <w:pPr>
        <w:pStyle w:val="6"/>
        <w:spacing w:line="360" w:lineRule="auto"/>
        <w:ind w:firstLine="420" w:firstLineChars="200"/>
      </w:pPr>
      <w:r>
        <w:rPr>
          <w:rFonts w:hint="eastAsia"/>
        </w:rPr>
        <w:t>2.报名截止时间：2021年</w:t>
      </w:r>
      <w:r>
        <w:rPr>
          <w:rFonts w:hint="eastAsia"/>
          <w:lang w:val="en-US" w:eastAsia="zh-CN"/>
        </w:rPr>
        <w:t>9</w:t>
      </w:r>
      <w:r>
        <w:rPr>
          <w:rFonts w:hint="eastAsia"/>
        </w:rPr>
        <w:t>月</w:t>
      </w:r>
      <w:r>
        <w:rPr>
          <w:rFonts w:hint="eastAsia"/>
          <w:lang w:val="en-US" w:eastAsia="zh-CN"/>
        </w:rPr>
        <w:t>12</w:t>
      </w:r>
      <w:r>
        <w:rPr>
          <w:rFonts w:hint="eastAsia"/>
        </w:rPr>
        <w:t>日。</w:t>
      </w:r>
    </w:p>
    <w:p>
      <w:pPr>
        <w:spacing w:line="360" w:lineRule="auto"/>
        <w:ind w:firstLine="630" w:firstLineChars="300"/>
      </w:pPr>
      <w:r>
        <w:rPr>
          <w:rFonts w:hint="eastAsia" w:ascii="宋体" w:hAnsi="Courier New"/>
        </w:rPr>
        <w:t>报</w:t>
      </w:r>
      <w:r>
        <w:rPr>
          <w:rFonts w:hint="eastAsia"/>
        </w:rPr>
        <w:t>名及商务事宜联系人： 孙金刚 13606410354</w:t>
      </w:r>
    </w:p>
    <w:p>
      <w:pPr>
        <w:pStyle w:val="6"/>
        <w:spacing w:line="360" w:lineRule="auto"/>
        <w:ind w:firstLine="420" w:firstLineChars="200"/>
      </w:pPr>
      <w:r>
        <w:rPr>
          <w:rFonts w:hint="eastAsia"/>
        </w:rPr>
        <w:t>3.报名形式：电话或邮件（电话：13606410354邮箱：837463142@qq.com）。</w:t>
      </w:r>
    </w:p>
    <w:p>
      <w:pPr>
        <w:pStyle w:val="6"/>
        <w:spacing w:line="360" w:lineRule="auto"/>
        <w:ind w:firstLine="420" w:firstLineChars="200"/>
      </w:pPr>
      <w:r>
        <w:rPr>
          <w:rFonts w:hint="eastAsia"/>
        </w:rPr>
        <w:t>4.答疑时间：截止至2021年9月</w:t>
      </w:r>
      <w:r>
        <w:rPr>
          <w:rFonts w:hint="eastAsia"/>
          <w:lang w:val="en-US" w:eastAsia="zh-CN"/>
        </w:rPr>
        <w:t>12</w:t>
      </w:r>
      <w:r>
        <w:rPr>
          <w:rFonts w:hint="eastAsia"/>
        </w:rPr>
        <w:t>日下午17点前（若有变动另行通知）。</w:t>
      </w:r>
    </w:p>
    <w:p>
      <w:pPr>
        <w:spacing w:line="360" w:lineRule="auto"/>
        <w:ind w:firstLine="630" w:firstLineChars="300"/>
      </w:pPr>
      <w:r>
        <w:rPr>
          <w:rFonts w:hint="eastAsia"/>
        </w:rPr>
        <w:t xml:space="preserve">答疑联系人及联系电话：孙金刚 13606410354  </w:t>
      </w:r>
    </w:p>
    <w:p>
      <w:pPr>
        <w:pStyle w:val="6"/>
        <w:spacing w:line="360" w:lineRule="auto"/>
        <w:ind w:firstLine="420" w:firstLineChars="200"/>
      </w:pPr>
      <w:r>
        <w:rPr>
          <w:rFonts w:hint="eastAsia"/>
        </w:rPr>
        <w:t>5.开标时间：</w:t>
      </w:r>
      <w:r>
        <w:rPr>
          <w:rFonts w:hint="eastAsia"/>
          <w:color w:val="000000" w:themeColor="text1"/>
          <w14:textFill>
            <w14:solidFill>
              <w14:schemeClr w14:val="tx1"/>
            </w14:solidFill>
          </w14:textFill>
        </w:rPr>
        <w:t>2021年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日上午9时（若有变动另行通知）。</w:t>
      </w:r>
    </w:p>
    <w:p>
      <w:pPr>
        <w:spacing w:line="360" w:lineRule="auto"/>
        <w:ind w:firstLine="420" w:firstLineChars="200"/>
        <w:rPr>
          <w:rFonts w:ascii="宋体" w:hAnsi="Courier New"/>
        </w:rPr>
      </w:pPr>
      <w:r>
        <w:rPr>
          <w:rFonts w:hint="eastAsia"/>
        </w:rPr>
        <w:t>6.投标地点</w:t>
      </w:r>
      <w:r>
        <w:rPr>
          <w:rFonts w:hint="eastAsia" w:ascii="宋体" w:hAnsi="Courier New"/>
        </w:rPr>
        <w:t>：世纪大道6677号重汽成型中心生产支持部201会议室。</w:t>
      </w:r>
    </w:p>
    <w:p>
      <w:pPr>
        <w:spacing w:line="360" w:lineRule="auto"/>
        <w:ind w:firstLine="420" w:firstLineChars="200"/>
        <w:rPr>
          <w:rFonts w:ascii="宋体" w:hAnsi="Courier New"/>
        </w:rPr>
      </w:pPr>
      <w:r>
        <w:rPr>
          <w:rFonts w:hint="eastAsia" w:ascii="宋体" w:hAnsi="Courier New"/>
        </w:rPr>
        <w:t>7.投标文件递交：开标当日在投标地点现场递交。</w:t>
      </w:r>
    </w:p>
    <w:p>
      <w:pPr>
        <w:pStyle w:val="6"/>
        <w:spacing w:line="360" w:lineRule="auto"/>
        <w:rPr>
          <w:rFonts w:ascii="黑体" w:eastAsia="黑体"/>
          <w:b/>
          <w:bCs/>
          <w:sz w:val="28"/>
        </w:rPr>
      </w:pPr>
      <w:r>
        <w:rPr>
          <w:rFonts w:hint="eastAsia" w:ascii="黑体" w:eastAsia="黑体"/>
          <w:b/>
          <w:bCs/>
          <w:sz w:val="28"/>
        </w:rPr>
        <w:t>五、获取招标文件</w:t>
      </w:r>
    </w:p>
    <w:p>
      <w:pPr>
        <w:pStyle w:val="25"/>
        <w:ind w:firstLine="480"/>
      </w:pPr>
      <w:r>
        <w:rPr>
          <w:rFonts w:hint="eastAsia"/>
        </w:rPr>
        <w:t>拟投标人根据招标人在</w:t>
      </w:r>
      <w:r>
        <w:rPr>
          <w:rFonts w:hint="eastAsia" w:cs="宋体"/>
          <w:kern w:val="0"/>
        </w:rPr>
        <w:t>中国重汽官方网站</w:t>
      </w:r>
      <w:r>
        <w:rPr>
          <w:rFonts w:hint="eastAsia"/>
        </w:rPr>
        <w:t>发布的招标信息，邮件报名。报名邮箱：837463142@qq.com公示期间请尽快报名。</w:t>
      </w:r>
    </w:p>
    <w:p>
      <w:pPr>
        <w:pStyle w:val="6"/>
        <w:spacing w:line="360" w:lineRule="auto"/>
        <w:ind w:firstLine="405"/>
      </w:pPr>
    </w:p>
    <w:p>
      <w:pPr>
        <w:pStyle w:val="6"/>
        <w:spacing w:line="360" w:lineRule="auto"/>
        <w:rPr>
          <w:rFonts w:ascii="黑体" w:eastAsia="黑体"/>
          <w:b/>
          <w:bCs/>
          <w:sz w:val="28"/>
        </w:rPr>
      </w:pPr>
      <w:r>
        <w:rPr>
          <w:rFonts w:hint="eastAsia" w:ascii="黑体" w:eastAsia="黑体"/>
          <w:b/>
          <w:bCs/>
          <w:sz w:val="28"/>
        </w:rPr>
        <w:t>六、投标须知</w:t>
      </w:r>
    </w:p>
    <w:p>
      <w:pPr>
        <w:pStyle w:val="6"/>
        <w:spacing w:line="360" w:lineRule="auto"/>
        <w:ind w:firstLine="422" w:firstLineChars="200"/>
        <w:rPr>
          <w:b/>
        </w:rPr>
      </w:pPr>
      <w:r>
        <w:rPr>
          <w:rFonts w:hint="eastAsia"/>
          <w:b/>
        </w:rPr>
        <w:t>1.合格投标人：</w:t>
      </w:r>
    </w:p>
    <w:p>
      <w:pPr>
        <w:pStyle w:val="6"/>
        <w:spacing w:line="360" w:lineRule="auto"/>
        <w:ind w:firstLine="420" w:firstLineChars="200"/>
        <w:rPr>
          <w:b/>
        </w:rPr>
      </w:pPr>
      <w:r>
        <w:rPr>
          <w:rFonts w:hint="eastAsia" w:hAnsi="宋体"/>
        </w:rPr>
        <w:t>⑴</w:t>
      </w:r>
      <w:r>
        <w:rPr>
          <w:rFonts w:hint="eastAsia"/>
        </w:rPr>
        <w:t>投标人须遵守《中华人民共和国招标投标法》、《中华人民共和国合同法》及其它有关的法律和法规；为中华人民共和国境内注册的独立法人机构，具有独立承担民事责任能力；</w:t>
      </w:r>
    </w:p>
    <w:p>
      <w:pPr>
        <w:pStyle w:val="6"/>
        <w:spacing w:line="360" w:lineRule="auto"/>
        <w:ind w:firstLine="420" w:firstLineChars="200"/>
      </w:pPr>
      <w:r>
        <w:rPr>
          <w:rFonts w:hint="eastAsia" w:hAnsi="宋体"/>
        </w:rPr>
        <w:t>*⑵</w:t>
      </w:r>
      <w:r>
        <w:rPr>
          <w:rFonts w:hint="eastAsia"/>
        </w:rPr>
        <w:t>公司成立三年以上（以营业执照成立日期到开标当日满三年为准）</w:t>
      </w:r>
      <w:r>
        <w:rPr>
          <w:rFonts w:hint="eastAsia"/>
          <w:szCs w:val="22"/>
        </w:rPr>
        <w:t>，目前为中国重汽提供服务的公司不受该条件限制；经营</w:t>
      </w:r>
      <w:r>
        <w:rPr>
          <w:rFonts w:hint="eastAsia"/>
        </w:rPr>
        <w:t>范围满足招标项目需求；</w:t>
      </w:r>
    </w:p>
    <w:p>
      <w:pPr>
        <w:pStyle w:val="6"/>
        <w:spacing w:line="360" w:lineRule="auto"/>
        <w:ind w:firstLine="420" w:firstLineChars="200"/>
      </w:pPr>
      <w:r>
        <w:rPr>
          <w:rFonts w:hint="eastAsia" w:hAnsi="宋体"/>
        </w:rPr>
        <w:t>*</w:t>
      </w:r>
      <w:r>
        <w:rPr>
          <w:rFonts w:hint="eastAsia"/>
        </w:rPr>
        <w:t>⑶投标人须提供具有统一社会信用代码的新版营业执照副本</w:t>
      </w:r>
      <w:r>
        <w:rPr>
          <w:rFonts w:hint="eastAsia"/>
          <w:b/>
        </w:rPr>
        <w:t>原件</w:t>
      </w:r>
      <w:r>
        <w:rPr>
          <w:rFonts w:hint="eastAsia"/>
          <w:b/>
          <w:bCs/>
        </w:rPr>
        <w:t>及复印件（加盖公章）</w:t>
      </w:r>
      <w:r>
        <w:rPr>
          <w:rFonts w:hint="eastAsia"/>
        </w:rPr>
        <w:t>；</w:t>
      </w:r>
    </w:p>
    <w:p>
      <w:pPr>
        <w:pStyle w:val="6"/>
        <w:spacing w:line="360" w:lineRule="auto"/>
        <w:ind w:firstLine="420" w:firstLineChars="200"/>
        <w:rPr>
          <w:b/>
        </w:rPr>
      </w:pPr>
      <w:r>
        <w:rPr>
          <w:rFonts w:hint="eastAsia" w:hAnsi="宋体"/>
        </w:rPr>
        <w:t>⑷</w:t>
      </w:r>
      <w:r>
        <w:rPr>
          <w:rFonts w:hint="eastAsia"/>
        </w:rPr>
        <w:t>投标人须无条件接受招标人关于施工要求的相关管理规定。</w:t>
      </w:r>
    </w:p>
    <w:p>
      <w:pPr>
        <w:pStyle w:val="6"/>
        <w:spacing w:line="360" w:lineRule="auto"/>
        <w:ind w:firstLine="420" w:firstLineChars="200"/>
      </w:pPr>
      <w:r>
        <w:rPr>
          <w:rFonts w:hint="eastAsia" w:hAnsi="宋体"/>
        </w:rPr>
        <w:t>⑸</w:t>
      </w:r>
      <w:r>
        <w:rPr>
          <w:rFonts w:hint="eastAsia"/>
        </w:rPr>
        <w:t>投标人在近三年内在经营活动中无违法记录。</w:t>
      </w:r>
    </w:p>
    <w:p>
      <w:pPr>
        <w:pStyle w:val="6"/>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6"/>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6"/>
        <w:spacing w:line="360" w:lineRule="auto"/>
        <w:ind w:firstLine="420" w:firstLineChars="200"/>
      </w:pPr>
      <w:r>
        <w:rPr>
          <w:rFonts w:hint="eastAsia" w:hAnsi="宋体"/>
        </w:rPr>
        <w:t>⑻</w:t>
      </w:r>
      <w:r>
        <w:rPr>
          <w:rFonts w:hint="eastAsia"/>
        </w:rPr>
        <w:t>投标人须提供近三年的公司财务报表（资产负债表、损益表、现金流量表）。</w:t>
      </w:r>
    </w:p>
    <w:p>
      <w:pPr>
        <w:pStyle w:val="6"/>
        <w:spacing w:line="360" w:lineRule="auto"/>
        <w:ind w:firstLine="420" w:firstLineChars="200"/>
      </w:pPr>
      <w:r>
        <w:rPr>
          <w:rFonts w:hint="eastAsia" w:hAnsi="宋体"/>
        </w:rPr>
        <w:t>*⑼</w:t>
      </w: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w:t>
      </w:r>
    </w:p>
    <w:p>
      <w:pPr>
        <w:pStyle w:val="6"/>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6"/>
        <w:spacing w:line="360" w:lineRule="auto"/>
        <w:ind w:firstLine="420" w:firstLineChars="200"/>
      </w:pPr>
      <w:r>
        <w:rPr>
          <w:rFonts w:hint="eastAsia" w:hAnsi="宋体"/>
        </w:rPr>
        <w:t>⑾</w:t>
      </w:r>
      <w:r>
        <w:rPr>
          <w:rFonts w:hint="eastAsia"/>
        </w:rPr>
        <w:t>投标人须具有完全履行招标文件的所有要求的能力；</w:t>
      </w:r>
    </w:p>
    <w:p>
      <w:pPr>
        <w:pStyle w:val="6"/>
        <w:spacing w:line="360" w:lineRule="auto"/>
        <w:ind w:firstLine="420" w:firstLineChars="200"/>
      </w:pPr>
      <w:r>
        <w:rPr>
          <w:rFonts w:hint="eastAsia" w:hAnsi="宋体"/>
        </w:rPr>
        <w:t>⑿</w:t>
      </w:r>
      <w:r>
        <w:rPr>
          <w:rFonts w:hint="eastAsia"/>
        </w:rPr>
        <w:t>投标人须认可招标人的工作指令，包括节假日、夜间能正常开展工作的要求；</w:t>
      </w:r>
    </w:p>
    <w:p>
      <w:pPr>
        <w:pStyle w:val="6"/>
        <w:spacing w:line="360" w:lineRule="auto"/>
        <w:ind w:firstLine="420" w:firstLineChars="200"/>
      </w:pPr>
      <w:r>
        <w:rPr>
          <w:rFonts w:hint="eastAsia" w:hAnsi="宋体"/>
        </w:rPr>
        <w:t>⒀</w:t>
      </w:r>
      <w:r>
        <w:rPr>
          <w:rFonts w:hint="eastAsia"/>
        </w:rPr>
        <w:t>投标人必须是最终投标、签订合同的单位，不得以任何理由将已中标项目以任何形式转包给其他单位；</w:t>
      </w:r>
    </w:p>
    <w:p>
      <w:pPr>
        <w:pStyle w:val="6"/>
        <w:spacing w:line="360" w:lineRule="auto"/>
        <w:ind w:firstLine="420" w:firstLineChars="200"/>
      </w:pPr>
      <w:r>
        <w:rPr>
          <w:rFonts w:hint="eastAsia" w:hAnsi="宋体"/>
        </w:rPr>
        <w:t>⒁</w:t>
      </w:r>
      <w:r>
        <w:rPr>
          <w:rFonts w:hint="eastAsia"/>
        </w:rPr>
        <w:t>本次招标项目不接受联合体投标；</w:t>
      </w:r>
    </w:p>
    <w:p>
      <w:pPr>
        <w:pStyle w:val="6"/>
        <w:spacing w:line="360" w:lineRule="auto"/>
        <w:ind w:firstLine="420" w:firstLineChars="200"/>
      </w:pPr>
      <w:r>
        <w:rPr>
          <w:rFonts w:hint="eastAsia" w:hAnsi="宋体"/>
        </w:rPr>
        <w:t>*⒂</w:t>
      </w:r>
      <w:r>
        <w:rPr>
          <w:rFonts w:hint="eastAsia"/>
        </w:rPr>
        <w:t>投标人在向招标人出示《投标保证金缴纳凭证》后方可进行投标；</w:t>
      </w:r>
    </w:p>
    <w:p>
      <w:pPr>
        <w:pStyle w:val="6"/>
        <w:spacing w:line="360" w:lineRule="auto"/>
        <w:ind w:firstLine="420" w:firstLineChars="200"/>
        <w:rPr>
          <w:b/>
          <w:bCs/>
          <w:szCs w:val="22"/>
          <w:u w:val="single"/>
        </w:rPr>
      </w:pPr>
      <w:r>
        <w:rPr>
          <w:rFonts w:hint="eastAsia" w:hAnsi="宋体"/>
        </w:rPr>
        <w:t>⒃</w:t>
      </w:r>
      <w:r>
        <w:rPr>
          <w:rFonts w:hint="eastAsia"/>
        </w:rPr>
        <w:t>投标文件1正4副共计5份并附U盘电子版（详见本招标文件“第二章 投标文件编制”）。</w:t>
      </w:r>
    </w:p>
    <w:p>
      <w:pPr>
        <w:pStyle w:val="6"/>
        <w:spacing w:line="360" w:lineRule="auto"/>
        <w:ind w:firstLine="422" w:firstLineChars="200"/>
      </w:pPr>
      <w:r>
        <w:rPr>
          <w:rFonts w:hint="eastAsia"/>
          <w:b/>
          <w:bCs/>
        </w:rPr>
        <w:t>注：上述带“</w:t>
      </w:r>
      <w:r>
        <w:rPr>
          <w:rFonts w:hint="eastAsia" w:hAnsi="宋体"/>
          <w:b/>
          <w:bCs/>
        </w:rPr>
        <w:t>*</w:t>
      </w:r>
      <w:r>
        <w:rPr>
          <w:rFonts w:hint="eastAsia"/>
          <w:b/>
          <w:bCs/>
        </w:rPr>
        <w:t>”项为必备的资格文件，缺项</w:t>
      </w:r>
      <w:r>
        <w:rPr>
          <w:rFonts w:hint="eastAsia"/>
          <w:b/>
          <w:bCs/>
          <w:szCs w:val="22"/>
        </w:rPr>
        <w:t>会按不响应招标文件或无效投标处理</w:t>
      </w:r>
      <w:r>
        <w:rPr>
          <w:rFonts w:hint="eastAsia"/>
          <w:b/>
          <w:bCs/>
        </w:rPr>
        <w:t>，由专家组评定扣分或废标处理；第2、3、9、15项在开标前核验（由投标人单独提供），其余文件开标后核验。</w:t>
      </w:r>
    </w:p>
    <w:p>
      <w:pPr>
        <w:pStyle w:val="6"/>
        <w:spacing w:line="360" w:lineRule="auto"/>
        <w:ind w:firstLine="420" w:firstLineChars="200"/>
      </w:pPr>
      <w:r>
        <w:rPr>
          <w:rFonts w:hint="eastAsia"/>
        </w:rPr>
        <w:t>逾期的投标文件招标人不予受理。</w:t>
      </w:r>
    </w:p>
    <w:p>
      <w:pPr>
        <w:pStyle w:val="6"/>
        <w:spacing w:line="360" w:lineRule="auto"/>
        <w:ind w:firstLine="422" w:firstLineChars="200"/>
        <w:rPr>
          <w:b/>
        </w:rPr>
      </w:pPr>
      <w:r>
        <w:rPr>
          <w:rFonts w:hint="eastAsia"/>
          <w:b/>
        </w:rPr>
        <w:t>2.投标文件格式</w:t>
      </w:r>
    </w:p>
    <w:p>
      <w:pPr>
        <w:pStyle w:val="6"/>
        <w:spacing w:line="360" w:lineRule="auto"/>
        <w:ind w:firstLine="420" w:firstLineChars="200"/>
      </w:pPr>
      <w:r>
        <w:rPr>
          <w:rFonts w:hint="eastAsia"/>
        </w:rPr>
        <w:t>详见本招标文件“第二章 投标文件编制”，请投标人按格式要求进行填写。</w:t>
      </w:r>
    </w:p>
    <w:p>
      <w:pPr>
        <w:pStyle w:val="6"/>
        <w:spacing w:line="360" w:lineRule="auto"/>
        <w:ind w:firstLine="422" w:firstLineChars="200"/>
        <w:rPr>
          <w:b/>
        </w:rPr>
      </w:pPr>
      <w:r>
        <w:rPr>
          <w:rFonts w:hint="eastAsia"/>
          <w:b/>
        </w:rPr>
        <w:t>3.报价：</w:t>
      </w:r>
    </w:p>
    <w:p>
      <w:pPr>
        <w:pStyle w:val="6"/>
        <w:spacing w:line="360" w:lineRule="auto"/>
        <w:ind w:left="630" w:leftChars="200" w:hanging="210" w:hangingChars="100"/>
      </w:pPr>
      <w:r>
        <w:rPr>
          <w:rFonts w:hint="eastAsia" w:hAnsi="宋体"/>
        </w:rPr>
        <w:t>⑴</w:t>
      </w:r>
      <w:r>
        <w:rPr>
          <w:rFonts w:hint="eastAsia"/>
        </w:rPr>
        <w:t>本次招标为公开招标，报价应为：</w:t>
      </w:r>
    </w:p>
    <w:p>
      <w:pPr>
        <w:pStyle w:val="6"/>
        <w:spacing w:line="360" w:lineRule="auto"/>
        <w:ind w:firstLine="420" w:firstLineChars="200"/>
      </w:pPr>
      <w:r>
        <w:rPr>
          <w:rFonts w:hint="eastAsia"/>
        </w:rPr>
        <w:t>经与招标人或其指派的答疑人员充分沟通确认基础上，由投标人在满足招标人所提出的、与本项目所有相关环节有关的所有费用；</w:t>
      </w:r>
    </w:p>
    <w:p>
      <w:pPr>
        <w:pStyle w:val="6"/>
        <w:spacing w:line="360" w:lineRule="auto"/>
        <w:ind w:firstLine="420" w:firstLineChars="200"/>
      </w:pPr>
      <w:r>
        <w:rPr>
          <w:rFonts w:hint="eastAsia"/>
        </w:rPr>
        <w:t>详见本招标书之“第二章 投标文件编制”之“三、投标文件格式要求”之“格式3”。</w:t>
      </w:r>
    </w:p>
    <w:p>
      <w:pPr>
        <w:pStyle w:val="6"/>
        <w:spacing w:line="360" w:lineRule="auto"/>
        <w:ind w:firstLine="420" w:firstLineChars="200"/>
      </w:pPr>
      <w:r>
        <w:rPr>
          <w:rFonts w:hint="eastAsia" w:hAnsi="宋体"/>
        </w:rPr>
        <w:t>⑵按包分类，所投标包的标的物必须全部报价，否则投标视为无效；</w:t>
      </w:r>
      <w:r>
        <w:rPr>
          <w:rFonts w:hint="eastAsia"/>
        </w:rPr>
        <w:t>所有报价货币单位为：</w:t>
      </w:r>
      <w:r>
        <w:rPr>
          <w:rFonts w:hint="eastAsia"/>
          <w:u w:val="single"/>
        </w:rPr>
        <w:t xml:space="preserve">    </w:t>
      </w:r>
      <w:r>
        <w:rPr>
          <w:rFonts w:hint="eastAsia"/>
        </w:rPr>
        <w:t xml:space="preserve"> 元（人民币），</w:t>
      </w:r>
      <w:r>
        <w:rPr>
          <w:rFonts w:hint="eastAsia"/>
          <w:b/>
        </w:rPr>
        <w:t>不</w:t>
      </w:r>
      <w:r>
        <w:rPr>
          <w:rFonts w:hint="eastAsia"/>
          <w:b/>
          <w:bCs/>
        </w:rPr>
        <w:t>含税，报价明确税率</w:t>
      </w:r>
      <w:r>
        <w:rPr>
          <w:rFonts w:hint="eastAsia"/>
        </w:rPr>
        <w:t>；</w:t>
      </w:r>
    </w:p>
    <w:p>
      <w:pPr>
        <w:pStyle w:val="6"/>
        <w:spacing w:line="360" w:lineRule="auto"/>
        <w:ind w:firstLine="420" w:firstLineChars="200"/>
      </w:pPr>
      <w:r>
        <w:rPr>
          <w:rFonts w:hint="eastAsia" w:hAnsi="宋体"/>
        </w:rPr>
        <w:t>⑶付款</w:t>
      </w:r>
      <w:r>
        <w:rPr>
          <w:rFonts w:hint="eastAsia"/>
        </w:rPr>
        <w:t>结算方式：银行承兑。</w:t>
      </w:r>
    </w:p>
    <w:p>
      <w:pPr>
        <w:pStyle w:val="6"/>
        <w:spacing w:line="360" w:lineRule="auto"/>
        <w:ind w:firstLine="420"/>
      </w:pPr>
      <w:r>
        <w:rPr>
          <w:rFonts w:hint="eastAsia" w:hAnsi="宋体"/>
        </w:rPr>
        <w:t>⑷</w:t>
      </w:r>
      <w:r>
        <w:rPr>
          <w:rFonts w:hint="eastAsia"/>
        </w:rPr>
        <w:t>高于项目预算的报价无效，按投标人主动弃标处理。</w:t>
      </w:r>
    </w:p>
    <w:p>
      <w:pPr>
        <w:pStyle w:val="6"/>
        <w:spacing w:line="360" w:lineRule="auto"/>
        <w:ind w:firstLine="422" w:firstLineChars="200"/>
        <w:rPr>
          <w:b/>
        </w:rPr>
      </w:pPr>
      <w:r>
        <w:rPr>
          <w:rFonts w:hint="eastAsia"/>
          <w:b/>
        </w:rPr>
        <w:t>4.技术规范及服务</w:t>
      </w:r>
    </w:p>
    <w:p>
      <w:pPr>
        <w:pStyle w:val="6"/>
        <w:spacing w:line="360" w:lineRule="auto"/>
        <w:ind w:firstLine="420" w:firstLineChars="200"/>
      </w:pPr>
      <w:r>
        <w:rPr>
          <w:rFonts w:hint="eastAsia"/>
        </w:rPr>
        <w:t>⑴投标人应与招标人指派的答疑人员充分沟通，理解认可并接受相关技术规范及服务要求。</w:t>
      </w:r>
    </w:p>
    <w:p>
      <w:pPr>
        <w:pStyle w:val="6"/>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6"/>
        <w:spacing w:line="360" w:lineRule="auto"/>
        <w:ind w:firstLine="422" w:firstLineChars="200"/>
        <w:rPr>
          <w:b/>
        </w:rPr>
      </w:pPr>
      <w:r>
        <w:rPr>
          <w:rFonts w:hint="eastAsia"/>
          <w:b/>
        </w:rPr>
        <w:t>5.其他</w:t>
      </w:r>
    </w:p>
    <w:p>
      <w:pPr>
        <w:pStyle w:val="6"/>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6"/>
        <w:spacing w:line="360" w:lineRule="auto"/>
        <w:ind w:firstLine="420" w:firstLineChars="200"/>
      </w:pPr>
      <w:r>
        <w:rPr>
          <w:rFonts w:hint="eastAsia"/>
        </w:rPr>
        <w:t>其余未尽事宜，均按合同约定。</w:t>
      </w:r>
    </w:p>
    <w:p>
      <w:pPr>
        <w:pStyle w:val="6"/>
        <w:spacing w:line="360" w:lineRule="auto"/>
        <w:ind w:firstLine="422" w:firstLineChars="200"/>
        <w:rPr>
          <w:b/>
        </w:rPr>
      </w:pPr>
      <w:r>
        <w:rPr>
          <w:rFonts w:hint="eastAsia"/>
          <w:b/>
        </w:rPr>
        <w:t>6.要求招标人或相关合同签订单位提供的配合，在标书文件中说明。</w:t>
      </w:r>
    </w:p>
    <w:p>
      <w:pPr>
        <w:pStyle w:val="6"/>
        <w:spacing w:line="360" w:lineRule="auto"/>
        <w:rPr>
          <w:rFonts w:ascii="黑体" w:eastAsia="黑体"/>
          <w:b/>
          <w:bCs/>
          <w:sz w:val="28"/>
        </w:rPr>
      </w:pPr>
      <w:r>
        <w:rPr>
          <w:rFonts w:hint="eastAsia" w:ascii="黑体" w:eastAsia="黑体"/>
          <w:b/>
          <w:bCs/>
          <w:sz w:val="28"/>
        </w:rPr>
        <w:t>七、投标、开标、评标</w:t>
      </w:r>
    </w:p>
    <w:p>
      <w:pPr>
        <w:pStyle w:val="6"/>
        <w:spacing w:line="360" w:lineRule="auto"/>
        <w:ind w:firstLine="420" w:firstLineChars="200"/>
      </w:pPr>
      <w:r>
        <w:rPr>
          <w:rFonts w:hint="eastAsia"/>
        </w:rPr>
        <w:t>1.投标保证金：</w:t>
      </w:r>
    </w:p>
    <w:p>
      <w:pPr>
        <w:pStyle w:val="6"/>
        <w:spacing w:line="360" w:lineRule="auto"/>
        <w:ind w:firstLine="420" w:firstLineChars="200"/>
      </w:pPr>
      <w:r>
        <w:rPr>
          <w:rFonts w:hint="eastAsia" w:hAnsi="宋体"/>
        </w:rPr>
        <w:t>⑴</w:t>
      </w:r>
      <w:r>
        <w:rPr>
          <w:rFonts w:hint="eastAsia"/>
        </w:rPr>
        <w:t>投标人向招标人财务部门缴纳5000元（人民币），作为投标人本次投标的保证金。</w:t>
      </w:r>
    </w:p>
    <w:p>
      <w:pPr>
        <w:pStyle w:val="6"/>
        <w:spacing w:line="360" w:lineRule="auto"/>
        <w:ind w:firstLine="420" w:firstLineChars="200"/>
      </w:pPr>
      <w:r>
        <w:rPr>
          <w:rFonts w:hint="eastAsia" w:hAnsi="宋体"/>
        </w:rPr>
        <w:t>⑵</w:t>
      </w:r>
      <w:r>
        <w:rPr>
          <w:rFonts w:hint="eastAsia"/>
        </w:rPr>
        <w:t>缴纳方式：基本账户转账；</w:t>
      </w:r>
    </w:p>
    <w:p>
      <w:pPr>
        <w:pStyle w:val="6"/>
        <w:spacing w:line="360" w:lineRule="auto"/>
        <w:ind w:firstLine="420" w:firstLineChars="200"/>
      </w:pPr>
      <w:r>
        <w:rPr>
          <w:rFonts w:hint="eastAsia" w:hAnsi="宋体"/>
        </w:rPr>
        <w:t>⑶</w:t>
      </w:r>
      <w:r>
        <w:rPr>
          <w:rFonts w:hint="eastAsia"/>
        </w:rPr>
        <w:t>接收单位：中国重汽集团济南动力有限公司成型中心；</w:t>
      </w:r>
    </w:p>
    <w:p>
      <w:pPr>
        <w:pStyle w:val="6"/>
        <w:spacing w:line="360" w:lineRule="auto"/>
        <w:ind w:firstLine="420" w:firstLineChars="200"/>
      </w:pPr>
      <w:r>
        <w:rPr>
          <w:rFonts w:hint="eastAsia" w:hAnsi="宋体"/>
        </w:rPr>
        <w:t>⑷</w:t>
      </w:r>
      <w:r>
        <w:rPr>
          <w:rFonts w:hint="eastAsia"/>
        </w:rPr>
        <w:t>转账信息：</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6"/>
              <w:spacing w:line="360" w:lineRule="auto"/>
              <w:ind w:firstLine="420" w:firstLineChars="200"/>
            </w:pPr>
            <w:r>
              <w:rPr>
                <w:rFonts w:hint="eastAsia"/>
              </w:rPr>
              <w:t>开户银行：中信银行济南舜耕支行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6"/>
              <w:spacing w:line="360" w:lineRule="auto"/>
              <w:ind w:firstLine="420" w:firstLineChars="200"/>
            </w:pPr>
            <w:r>
              <w:rPr>
                <w:rFonts w:hint="eastAsia"/>
              </w:rPr>
              <w:t>户名：中国重汽集团济南动力有限公司成型中心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pPr>
              <w:pStyle w:val="6"/>
              <w:spacing w:line="360" w:lineRule="auto"/>
              <w:ind w:firstLine="420" w:firstLineChars="200"/>
            </w:pPr>
            <w:r>
              <w:rPr>
                <w:rFonts w:hint="eastAsia"/>
              </w:rPr>
              <w:t>账号：7372 6101 8260  0134 761</w:t>
            </w:r>
          </w:p>
        </w:tc>
      </w:tr>
    </w:tbl>
    <w:p>
      <w:pPr>
        <w:pStyle w:val="6"/>
        <w:spacing w:line="360" w:lineRule="auto"/>
        <w:ind w:firstLine="420" w:firstLineChars="200"/>
      </w:pPr>
      <w:r>
        <w:rPr>
          <w:rFonts w:hint="eastAsia"/>
        </w:rPr>
        <w:t>⑸说明：</w:t>
      </w:r>
    </w:p>
    <w:p>
      <w:pPr>
        <w:pStyle w:val="6"/>
        <w:spacing w:line="360" w:lineRule="auto"/>
        <w:ind w:firstLine="420" w:firstLineChars="200"/>
      </w:pPr>
      <w:r>
        <w:rPr>
          <w:rFonts w:hint="eastAsia"/>
        </w:rPr>
        <w:t xml:space="preserve">(a) </w:t>
      </w:r>
      <w:r>
        <w:rPr>
          <w:rFonts w:hint="eastAsia"/>
          <w:b/>
        </w:rPr>
        <w:t>中国重汽集团济南动力有限公司成型中心的账户为招标人明确授权收取或按照本文件要求扣除投标人保证金的账户，视同招标人的收取或扣除行为。</w:t>
      </w:r>
      <w:r>
        <w:rPr>
          <w:rFonts w:hint="eastAsia"/>
        </w:rPr>
        <w:t>投标人无正当理由随意放弃投标、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w:t>
      </w:r>
      <w:r>
        <w:t>在</w:t>
      </w:r>
      <w:r>
        <w:rPr>
          <w:rFonts w:hint="eastAsia"/>
        </w:rPr>
        <w:t>确定中标人</w:t>
      </w:r>
      <w:r>
        <w:t>后</w:t>
      </w:r>
      <w:r>
        <w:rPr>
          <w:rFonts w:hint="eastAsia"/>
          <w:u w:val="single"/>
        </w:rPr>
        <w:t>30</w:t>
      </w:r>
      <w:r>
        <w:rPr>
          <w:rFonts w:hint="eastAsia"/>
        </w:rPr>
        <w:t>个工作</w:t>
      </w:r>
      <w:r>
        <w:t>日内</w:t>
      </w:r>
      <w:r>
        <w:rPr>
          <w:rFonts w:hint="eastAsia"/>
        </w:rPr>
        <w:t>按投标人（除中标人外）所提供的</w:t>
      </w:r>
      <w:r>
        <w:rPr>
          <w:rFonts w:hint="eastAsia" w:hAnsi="宋体"/>
        </w:rPr>
        <w:t>投标保证金退付表（详见本招标书“第二章 投标文件编制”之“三、 投标文件格式要求”之格式10相关要求）</w:t>
      </w:r>
      <w:r>
        <w:rPr>
          <w:rFonts w:hint="eastAsia"/>
        </w:rPr>
        <w:t>退还</w:t>
      </w:r>
      <w:r>
        <w:t>投标保证金</w:t>
      </w:r>
      <w:r>
        <w:rPr>
          <w:rFonts w:hint="eastAsia"/>
        </w:rPr>
        <w:t>（本金，不计息）。</w:t>
      </w:r>
    </w:p>
    <w:p>
      <w:pPr>
        <w:pStyle w:val="6"/>
        <w:spacing w:line="360" w:lineRule="auto"/>
        <w:ind w:firstLine="420" w:firstLineChars="200"/>
      </w:pPr>
      <w:r>
        <w:rPr>
          <w:rFonts w:hint="eastAsia"/>
        </w:rPr>
        <w:t>(b)投标人在向招标人出示《投标保证金缴纳凭证》后方可进行投标。</w:t>
      </w:r>
    </w:p>
    <w:p>
      <w:pPr>
        <w:pStyle w:val="6"/>
        <w:spacing w:line="360" w:lineRule="auto"/>
        <w:ind w:firstLine="420" w:firstLineChars="200"/>
        <w:rPr>
          <w:szCs w:val="22"/>
        </w:rPr>
      </w:pPr>
      <w:r>
        <w:rPr>
          <w:rFonts w:hint="eastAsia"/>
        </w:rPr>
        <w:t>(c)</w:t>
      </w:r>
      <w:r>
        <w:rPr>
          <w:rFonts w:hint="eastAsia"/>
          <w:szCs w:val="22"/>
        </w:rPr>
        <w:t>发生以下情况时，招标人有权没收保证金：</w:t>
      </w:r>
    </w:p>
    <w:p>
      <w:pPr>
        <w:pStyle w:val="6"/>
        <w:spacing w:line="360" w:lineRule="auto"/>
        <w:ind w:firstLine="420" w:firstLineChars="200"/>
        <w:rPr>
          <w:szCs w:val="22"/>
        </w:rPr>
      </w:pPr>
      <w:r>
        <w:rPr>
          <w:rFonts w:hint="eastAsia"/>
          <w:szCs w:val="22"/>
        </w:rPr>
        <w:t>a）截至开标前3天，投标人无正当理由、未以书面形式递交说明而在投标截止日不来的；</w:t>
      </w:r>
    </w:p>
    <w:p>
      <w:pPr>
        <w:pStyle w:val="6"/>
        <w:spacing w:line="360" w:lineRule="auto"/>
        <w:ind w:firstLine="420" w:firstLineChars="200"/>
        <w:rPr>
          <w:szCs w:val="22"/>
        </w:rPr>
      </w:pPr>
      <w:r>
        <w:rPr>
          <w:rFonts w:hint="eastAsia"/>
          <w:szCs w:val="22"/>
        </w:rPr>
        <w:t>b）投标人递送投标文件后，无正当理由放弃投标的；</w:t>
      </w:r>
    </w:p>
    <w:p>
      <w:pPr>
        <w:pStyle w:val="6"/>
        <w:spacing w:line="360" w:lineRule="auto"/>
        <w:ind w:firstLine="420" w:firstLineChars="200"/>
        <w:rPr>
          <w:szCs w:val="22"/>
        </w:rPr>
      </w:pPr>
      <w:r>
        <w:rPr>
          <w:rFonts w:hint="eastAsia"/>
          <w:szCs w:val="22"/>
        </w:rPr>
        <w:t>c）自中标通知书发出之日起30日内，中标人无正当理由不签订合同的；</w:t>
      </w:r>
    </w:p>
    <w:p>
      <w:pPr>
        <w:pStyle w:val="6"/>
        <w:spacing w:line="360" w:lineRule="auto"/>
        <w:ind w:firstLine="420" w:firstLineChars="200"/>
        <w:rPr>
          <w:szCs w:val="22"/>
        </w:rPr>
      </w:pPr>
      <w:r>
        <w:rPr>
          <w:rFonts w:hint="eastAsia"/>
          <w:szCs w:val="22"/>
        </w:rPr>
        <w:t>d）投标人在投标过程中被查实有串标、围标、陪标等违规违纪行为的；</w:t>
      </w:r>
    </w:p>
    <w:p>
      <w:pPr>
        <w:pStyle w:val="6"/>
        <w:spacing w:line="360" w:lineRule="auto"/>
        <w:ind w:firstLine="420" w:firstLineChars="200"/>
      </w:pPr>
      <w:r>
        <w:rPr>
          <w:rFonts w:hint="eastAsia"/>
          <w:szCs w:val="22"/>
        </w:rPr>
        <w:t>e）投标人有违约违规行为或被投诉、举报的，在调查处理期间，保证金暂不退还，待调查处理结束后按有关规定处理。</w:t>
      </w:r>
    </w:p>
    <w:p>
      <w:pPr>
        <w:pStyle w:val="6"/>
        <w:spacing w:line="360" w:lineRule="auto"/>
        <w:ind w:firstLine="420" w:firstLineChars="200"/>
      </w:pPr>
      <w:r>
        <w:rPr>
          <w:rFonts w:hint="eastAsia"/>
        </w:rPr>
        <w:t>2.开标</w:t>
      </w:r>
    </w:p>
    <w:p>
      <w:pPr>
        <w:pStyle w:val="6"/>
        <w:spacing w:line="360" w:lineRule="auto"/>
        <w:ind w:firstLine="420" w:firstLineChars="200"/>
        <w:rPr>
          <w:b/>
          <w:bCs/>
        </w:rPr>
      </w:pPr>
      <w:r>
        <w:rPr>
          <w:rFonts w:hint="eastAsia"/>
        </w:rPr>
        <w:t>所有报价货币单位均为：</w:t>
      </w:r>
      <w:r>
        <w:rPr>
          <w:rFonts w:hint="eastAsia"/>
          <w:b/>
          <w:bCs/>
        </w:rPr>
        <w:t>元（人民币，不含税）。</w:t>
      </w:r>
    </w:p>
    <w:p>
      <w:pPr>
        <w:pStyle w:val="6"/>
        <w:spacing w:line="360" w:lineRule="auto"/>
        <w:ind w:firstLine="420" w:firstLineChars="200"/>
        <w:rPr>
          <w:szCs w:val="22"/>
        </w:rPr>
      </w:pPr>
      <w:r>
        <w:rPr>
          <w:rFonts w:hint="eastAsia"/>
          <w:szCs w:val="22"/>
        </w:rPr>
        <w:t>投标文件的澄清</w:t>
      </w:r>
    </w:p>
    <w:p>
      <w:pPr>
        <w:pStyle w:val="6"/>
        <w:spacing w:line="360" w:lineRule="auto"/>
        <w:ind w:firstLine="420" w:firstLineChars="200"/>
        <w:rPr>
          <w:szCs w:val="22"/>
        </w:rPr>
      </w:pPr>
      <w:r>
        <w:rPr>
          <w:rFonts w:hint="eastAsia"/>
          <w:szCs w:val="22"/>
        </w:rPr>
        <w:t>1)为有助于对投标文件的审查、评价和比较，招标人可分别要求投标人对其投标文件进行澄清。投标人应按照招标人通知的时间、地点派技术和商务人员进行答疑和澄清。</w:t>
      </w:r>
    </w:p>
    <w:p>
      <w:pPr>
        <w:pStyle w:val="6"/>
        <w:spacing w:line="360" w:lineRule="auto"/>
        <w:ind w:firstLine="420" w:firstLineChars="200"/>
        <w:rPr>
          <w:szCs w:val="22"/>
        </w:rPr>
      </w:pPr>
      <w:r>
        <w:rPr>
          <w:rFonts w:hint="eastAsia"/>
          <w:szCs w:val="22"/>
        </w:rPr>
        <w:t>2)必要时招标人可要求投标人就澄清的问题作书面回答，该书面回答应有投标授权代表的签章，并将作为投标内容的一部分。</w:t>
      </w:r>
    </w:p>
    <w:p>
      <w:pPr>
        <w:pStyle w:val="6"/>
        <w:spacing w:line="360" w:lineRule="auto"/>
        <w:ind w:firstLine="420" w:firstLineChars="200"/>
      </w:pPr>
      <w:r>
        <w:rPr>
          <w:rFonts w:hint="eastAsia"/>
        </w:rPr>
        <w:t>3.评标</w:t>
      </w:r>
    </w:p>
    <w:p>
      <w:pPr>
        <w:pStyle w:val="6"/>
        <w:spacing w:line="360" w:lineRule="auto"/>
        <w:ind w:firstLine="420" w:firstLineChars="200"/>
      </w:pPr>
      <w:r>
        <w:rPr>
          <w:rFonts w:hint="eastAsia" w:hAnsi="宋体"/>
          <w:szCs w:val="21"/>
        </w:rPr>
        <w:t>评标工作由招标人为该项目依法组织的、由三人及以上单数成员（视标的额大小按规定确定专家人数）组成的评标专家小组负责，参照以下评分标准，</w:t>
      </w:r>
      <w:r>
        <w:rPr>
          <w:rFonts w:hint="eastAsia"/>
        </w:rPr>
        <w:t>采用综合评定法，即由评标工作小组按照国家招投标有关规定，本着公平、公正、公开、有序的原则，在最大限度地满足招标文件实质性要求的前提下，按照招标文件中规定的各项因素进行综合评审。</w:t>
      </w:r>
    </w:p>
    <w:p>
      <w:pPr>
        <w:pStyle w:val="6"/>
        <w:spacing w:line="360" w:lineRule="auto"/>
        <w:ind w:firstLine="422" w:firstLineChars="200"/>
      </w:pPr>
      <w:r>
        <w:rPr>
          <w:rFonts w:hint="eastAsia"/>
          <w:b/>
          <w:szCs w:val="22"/>
        </w:rPr>
        <w:t>投标前请各投标方按照标书技术要求对项目方案进行充分准备，有意投标的单位应默认认同上述开标、评标过程，无异议。</w:t>
      </w:r>
      <w:r>
        <w:rPr>
          <w:rFonts w:hint="eastAsia" w:hAnsi="宋体"/>
          <w:b/>
          <w:szCs w:val="21"/>
        </w:rPr>
        <w:t>对未入围投标方及未中标人不做任何解释</w:t>
      </w:r>
      <w:r>
        <w:rPr>
          <w:rFonts w:hint="eastAsia"/>
        </w:rPr>
        <w:t>。</w:t>
      </w:r>
    </w:p>
    <w:p>
      <w:pPr>
        <w:pStyle w:val="6"/>
        <w:spacing w:line="360" w:lineRule="auto"/>
        <w:ind w:firstLine="420" w:firstLineChars="200"/>
        <w:rPr>
          <w:rFonts w:hAnsi="宋体"/>
          <w:szCs w:val="21"/>
        </w:rPr>
      </w:pPr>
      <w:r>
        <w:rPr>
          <w:rFonts w:hint="eastAsia" w:hAnsi="宋体"/>
          <w:szCs w:val="21"/>
        </w:rPr>
        <w:t>4.评分标准</w:t>
      </w:r>
    </w:p>
    <w:p>
      <w:pPr>
        <w:pStyle w:val="6"/>
        <w:spacing w:line="360" w:lineRule="auto"/>
        <w:ind w:firstLine="422" w:firstLineChars="200"/>
        <w:rPr>
          <w:b/>
        </w:rPr>
      </w:pPr>
      <w:bookmarkStart w:id="0" w:name="OLE_LINK4"/>
      <w:r>
        <w:rPr>
          <w:rFonts w:hint="eastAsia"/>
          <w:b/>
        </w:rPr>
        <w:t>本次招标评价分为三个方面，总赋分为100分。</w:t>
      </w:r>
    </w:p>
    <w:bookmarkEnd w:id="0"/>
    <w:tbl>
      <w:tblPr>
        <w:tblStyle w:val="12"/>
        <w:tblW w:w="0" w:type="auto"/>
        <w:tblInd w:w="0" w:type="dxa"/>
        <w:tblLayout w:type="fixed"/>
        <w:tblCellMar>
          <w:top w:w="0" w:type="dxa"/>
          <w:left w:w="108" w:type="dxa"/>
          <w:bottom w:w="0" w:type="dxa"/>
          <w:right w:w="108" w:type="dxa"/>
        </w:tblCellMar>
      </w:tblPr>
      <w:tblGrid>
        <w:gridCol w:w="936"/>
        <w:gridCol w:w="936"/>
        <w:gridCol w:w="840"/>
        <w:gridCol w:w="1032"/>
        <w:gridCol w:w="5542"/>
      </w:tblGrid>
      <w:tr>
        <w:tblPrEx>
          <w:tblCellMar>
            <w:top w:w="0" w:type="dxa"/>
            <w:left w:w="108" w:type="dxa"/>
            <w:bottom w:w="0" w:type="dxa"/>
            <w:right w:w="108" w:type="dxa"/>
          </w:tblCellMar>
        </w:tblPrEx>
        <w:trPr>
          <w:trHeight w:val="312" w:hRule="atLeast"/>
        </w:trPr>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评标因素</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总分</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评审内容</w:t>
            </w:r>
          </w:p>
        </w:tc>
        <w:tc>
          <w:tcPr>
            <w:tcW w:w="103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最高</w:t>
            </w:r>
            <w:r>
              <w:rPr>
                <w:rFonts w:hint="eastAsia" w:ascii="宋体" w:hAnsi="宋体" w:cs="宋体"/>
                <w:b/>
                <w:bCs/>
                <w:color w:val="000000"/>
                <w:kern w:val="0"/>
                <w:szCs w:val="21"/>
              </w:rPr>
              <w:br w:type="textWrapping"/>
            </w:r>
            <w:r>
              <w:rPr>
                <w:rFonts w:hint="eastAsia" w:ascii="宋体" w:hAnsi="宋体" w:cs="宋体"/>
                <w:b/>
                <w:bCs/>
                <w:color w:val="000000"/>
                <w:kern w:val="0"/>
                <w:szCs w:val="21"/>
              </w:rPr>
              <w:t>得分</w:t>
            </w:r>
          </w:p>
        </w:tc>
        <w:tc>
          <w:tcPr>
            <w:tcW w:w="55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CellMar>
            <w:top w:w="0" w:type="dxa"/>
            <w:left w:w="108" w:type="dxa"/>
            <w:bottom w:w="0" w:type="dxa"/>
            <w:right w:w="108" w:type="dxa"/>
          </w:tblCellMar>
        </w:tblPrEx>
        <w:trPr>
          <w:trHeight w:val="312" w:hRule="atLeast"/>
        </w:trPr>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5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90" w:hRule="atLeast"/>
        </w:trPr>
        <w:tc>
          <w:tcPr>
            <w:tcW w:w="9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价格因素</w:t>
            </w:r>
          </w:p>
        </w:tc>
        <w:tc>
          <w:tcPr>
            <w:tcW w:w="936"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60</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1032"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60</w:t>
            </w:r>
          </w:p>
        </w:tc>
        <w:tc>
          <w:tcPr>
            <w:tcW w:w="5542" w:type="dxa"/>
            <w:tcBorders>
              <w:top w:val="nil"/>
              <w:left w:val="nil"/>
              <w:bottom w:val="single" w:color="auto" w:sz="4" w:space="0"/>
              <w:right w:val="single" w:color="auto" w:sz="4" w:space="0"/>
            </w:tcBorders>
            <w:vAlign w:val="center"/>
          </w:tcPr>
          <w:p>
            <w:pPr>
              <w:widowControl/>
              <w:numPr>
                <w:ilvl w:val="0"/>
                <w:numId w:val="2"/>
              </w:numPr>
              <w:rPr>
                <w:kern w:val="0"/>
                <w:szCs w:val="21"/>
              </w:rPr>
            </w:pPr>
            <w:r>
              <w:rPr>
                <w:rFonts w:hint="eastAsia" w:ascii="宋体" w:hAnsi="宋体"/>
                <w:kern w:val="0"/>
                <w:szCs w:val="21"/>
              </w:rPr>
              <w:t>经初审合格的投标文件其投标报价为有效报价。满足招标文件要求且报价最低</w:t>
            </w:r>
            <w:r>
              <w:rPr>
                <w:rFonts w:ascii="宋体" w:hAnsi="Courier New"/>
              </w:rPr>
              <w:t>得</w:t>
            </w:r>
            <w:r>
              <w:rPr>
                <w:rFonts w:hint="eastAsia" w:ascii="宋体" w:hAnsi="Courier New"/>
              </w:rPr>
              <w:t>60分。</w:t>
            </w:r>
            <w:r>
              <w:rPr>
                <w:rFonts w:hint="eastAsia" w:ascii="宋体" w:hAnsi="Courier New"/>
              </w:rPr>
              <w:br w:type="textWrapping"/>
            </w:r>
            <w:r>
              <w:rPr>
                <w:rFonts w:hint="eastAsia" w:ascii="宋体" w:hAnsi="Courier New"/>
              </w:rPr>
              <w:t>报价得分计算公式为：得分=（最低报价/报价）*60</w:t>
            </w:r>
          </w:p>
        </w:tc>
      </w:tr>
      <w:tr>
        <w:tblPrEx>
          <w:tblCellMar>
            <w:top w:w="0" w:type="dxa"/>
            <w:left w:w="108" w:type="dxa"/>
            <w:bottom w:w="0" w:type="dxa"/>
            <w:right w:w="108" w:type="dxa"/>
          </w:tblCellMar>
        </w:tblPrEx>
        <w:trPr>
          <w:trHeight w:val="690" w:hRule="atLeast"/>
        </w:trPr>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32"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542" w:type="dxa"/>
            <w:tcBorders>
              <w:top w:val="nil"/>
              <w:left w:val="nil"/>
              <w:bottom w:val="single" w:color="auto" w:sz="4" w:space="0"/>
              <w:right w:val="single" w:color="auto" w:sz="4" w:space="0"/>
            </w:tcBorders>
            <w:vAlign w:val="center"/>
          </w:tcPr>
          <w:p>
            <w:pPr>
              <w:widowControl/>
              <w:rPr>
                <w:kern w:val="0"/>
                <w:szCs w:val="21"/>
              </w:rPr>
            </w:pPr>
            <w:r>
              <w:rPr>
                <w:kern w:val="0"/>
                <w:szCs w:val="21"/>
              </w:rPr>
              <w:t xml:space="preserve">2. </w:t>
            </w:r>
            <w:r>
              <w:rPr>
                <w:rFonts w:hint="eastAsia" w:ascii="宋体" w:hAnsi="宋体"/>
                <w:kern w:val="0"/>
                <w:szCs w:val="21"/>
              </w:rPr>
              <w:t>评标价格均以元（</w:t>
            </w:r>
            <w:r>
              <w:rPr>
                <w:kern w:val="0"/>
                <w:szCs w:val="21"/>
              </w:rPr>
              <w:t>RMB</w:t>
            </w:r>
            <w:r>
              <w:rPr>
                <w:rFonts w:hint="eastAsia" w:ascii="宋体" w:hAnsi="宋体"/>
                <w:kern w:val="0"/>
                <w:szCs w:val="21"/>
              </w:rPr>
              <w:t>）为单位计算，得分值小数点后保留二位，第三位四舍五入。</w:t>
            </w:r>
          </w:p>
        </w:tc>
      </w:tr>
      <w:tr>
        <w:tblPrEx>
          <w:tblCellMar>
            <w:top w:w="0" w:type="dxa"/>
            <w:left w:w="108" w:type="dxa"/>
            <w:bottom w:w="0" w:type="dxa"/>
            <w:right w:w="108" w:type="dxa"/>
          </w:tblCellMar>
        </w:tblPrEx>
        <w:trPr>
          <w:trHeight w:val="660" w:hRule="atLeast"/>
        </w:trPr>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32"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542" w:type="dxa"/>
            <w:tcBorders>
              <w:top w:val="nil"/>
              <w:left w:val="nil"/>
              <w:bottom w:val="single" w:color="auto" w:sz="4" w:space="0"/>
              <w:right w:val="single" w:color="auto" w:sz="4" w:space="0"/>
            </w:tcBorders>
            <w:vAlign w:val="center"/>
          </w:tcPr>
          <w:p>
            <w:pPr>
              <w:widowControl/>
              <w:rPr>
                <w:kern w:val="0"/>
                <w:szCs w:val="21"/>
              </w:rPr>
            </w:pPr>
            <w:r>
              <w:rPr>
                <w:kern w:val="0"/>
                <w:szCs w:val="21"/>
              </w:rPr>
              <w:t>3.</w:t>
            </w:r>
            <w:r>
              <w:rPr>
                <w:rFonts w:hint="eastAsia" w:ascii="宋体" w:hAnsi="宋体"/>
                <w:kern w:val="0"/>
                <w:szCs w:val="21"/>
              </w:rPr>
              <w:t>评标专家组二分之一以上人员认为有恶意投标嫌疑的，视为无效投标，不进入下一步评审。</w:t>
            </w:r>
          </w:p>
        </w:tc>
      </w:tr>
      <w:tr>
        <w:tblPrEx>
          <w:tblCellMar>
            <w:top w:w="0" w:type="dxa"/>
            <w:left w:w="108" w:type="dxa"/>
            <w:bottom w:w="0" w:type="dxa"/>
            <w:right w:w="108" w:type="dxa"/>
          </w:tblCellMar>
        </w:tblPrEx>
        <w:trPr>
          <w:trHeight w:val="1200" w:hRule="atLeast"/>
        </w:trPr>
        <w:tc>
          <w:tcPr>
            <w:tcW w:w="936"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技术方案</w:t>
            </w:r>
          </w:p>
        </w:tc>
        <w:tc>
          <w:tcPr>
            <w:tcW w:w="936" w:type="dxa"/>
            <w:vMerge w:val="restart"/>
            <w:tcBorders>
              <w:top w:val="nil"/>
              <w:left w:val="single" w:color="auto" w:sz="4" w:space="0"/>
              <w:right w:val="single" w:color="auto" w:sz="4" w:space="0"/>
            </w:tcBorders>
            <w:vAlign w:val="center"/>
          </w:tcPr>
          <w:p>
            <w:pPr>
              <w:widowControl/>
              <w:jc w:val="center"/>
              <w:rPr>
                <w:color w:val="000000"/>
                <w:kern w:val="0"/>
                <w:szCs w:val="21"/>
              </w:rPr>
            </w:pPr>
            <w:r>
              <w:rPr>
                <w:color w:val="000000"/>
                <w:kern w:val="0"/>
                <w:szCs w:val="21"/>
              </w:rPr>
              <w:t>40</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人员</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5</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项目人员满足基本施工要求得3分。根据施工内容人员配置合理，评标专家可自主赋分1-2分。</w:t>
            </w:r>
          </w:p>
        </w:tc>
      </w:tr>
      <w:tr>
        <w:tblPrEx>
          <w:tblCellMar>
            <w:top w:w="0" w:type="dxa"/>
            <w:left w:w="108" w:type="dxa"/>
            <w:bottom w:w="0" w:type="dxa"/>
            <w:right w:w="108" w:type="dxa"/>
          </w:tblCellMar>
        </w:tblPrEx>
        <w:trPr>
          <w:trHeight w:val="900" w:hRule="atLeast"/>
        </w:trPr>
        <w:tc>
          <w:tcPr>
            <w:tcW w:w="9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left w:val="single" w:color="auto" w:sz="4" w:space="0"/>
              <w:right w:val="single" w:color="auto" w:sz="4" w:space="0"/>
            </w:tcBorders>
            <w:vAlign w:val="center"/>
          </w:tcPr>
          <w:p>
            <w:pPr>
              <w:widowControl/>
              <w:jc w:val="left"/>
              <w:rPr>
                <w:color w:val="000000"/>
                <w:kern w:val="0"/>
                <w:szCs w:val="21"/>
              </w:rPr>
            </w:pP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工期</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5</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工期满足要求的得5分，专家可根据施工可能对生产造成的影响程度自主赋分。</w:t>
            </w:r>
          </w:p>
        </w:tc>
      </w:tr>
      <w:tr>
        <w:tblPrEx>
          <w:tblCellMar>
            <w:top w:w="0" w:type="dxa"/>
            <w:left w:w="108" w:type="dxa"/>
            <w:bottom w:w="0" w:type="dxa"/>
            <w:right w:w="108" w:type="dxa"/>
          </w:tblCellMar>
        </w:tblPrEx>
        <w:trPr>
          <w:trHeight w:val="763" w:hRule="atLeast"/>
        </w:trPr>
        <w:tc>
          <w:tcPr>
            <w:tcW w:w="9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left w:val="single" w:color="auto" w:sz="4" w:space="0"/>
              <w:right w:val="single" w:color="auto" w:sz="4" w:space="0"/>
            </w:tcBorders>
            <w:vAlign w:val="center"/>
          </w:tcPr>
          <w:p>
            <w:pPr>
              <w:widowControl/>
              <w:jc w:val="left"/>
              <w:rPr>
                <w:color w:val="000000"/>
                <w:kern w:val="0"/>
                <w:szCs w:val="21"/>
              </w:rPr>
            </w:pP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5</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提供的维修及后期质保等服务满足满足生产经营需求，根据投标人提供的资料综合评审自主赋分。</w:t>
            </w:r>
          </w:p>
        </w:tc>
      </w:tr>
      <w:tr>
        <w:tblPrEx>
          <w:tblCellMar>
            <w:top w:w="0" w:type="dxa"/>
            <w:left w:w="108" w:type="dxa"/>
            <w:bottom w:w="0" w:type="dxa"/>
            <w:right w:w="108" w:type="dxa"/>
          </w:tblCellMar>
        </w:tblPrEx>
        <w:trPr>
          <w:trHeight w:val="844" w:hRule="atLeast"/>
        </w:trPr>
        <w:tc>
          <w:tcPr>
            <w:tcW w:w="9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left w:val="single" w:color="auto" w:sz="4" w:space="0"/>
              <w:right w:val="single" w:color="auto" w:sz="4" w:space="0"/>
            </w:tcBorders>
            <w:vAlign w:val="center"/>
          </w:tcPr>
          <w:p>
            <w:pPr>
              <w:widowControl/>
              <w:jc w:val="left"/>
              <w:rPr>
                <w:color w:val="000000"/>
                <w:kern w:val="0"/>
                <w:szCs w:val="21"/>
              </w:rPr>
            </w:pP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现场管理</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5</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具有良好的现场管理经验，保证现场按5S管理模式实施，根据投标人提供的资料综合评审自主赋分。</w:t>
            </w:r>
          </w:p>
        </w:tc>
      </w:tr>
      <w:tr>
        <w:tblPrEx>
          <w:tblCellMar>
            <w:top w:w="0" w:type="dxa"/>
            <w:left w:w="108" w:type="dxa"/>
            <w:bottom w:w="0" w:type="dxa"/>
            <w:right w:w="108" w:type="dxa"/>
          </w:tblCellMar>
        </w:tblPrEx>
        <w:trPr>
          <w:trHeight w:val="1080" w:hRule="atLeast"/>
        </w:trPr>
        <w:tc>
          <w:tcPr>
            <w:tcW w:w="936"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936"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企业规模</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10</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投标人提供近三年项目案例中，已实施最大的施工项目规模，包含运行模式、人员规模、专业设备，备品备件数量、业绩情况等，根据投标人提供的资料综合评审、排序，依次赋分。</w:t>
            </w:r>
          </w:p>
        </w:tc>
      </w:tr>
      <w:tr>
        <w:tblPrEx>
          <w:tblCellMar>
            <w:top w:w="0" w:type="dxa"/>
            <w:left w:w="108" w:type="dxa"/>
            <w:bottom w:w="0" w:type="dxa"/>
            <w:right w:w="108" w:type="dxa"/>
          </w:tblCellMar>
        </w:tblPrEx>
        <w:trPr>
          <w:trHeight w:val="510" w:hRule="atLeast"/>
        </w:trPr>
        <w:tc>
          <w:tcPr>
            <w:tcW w:w="9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36" w:type="dxa"/>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项目经验</w:t>
            </w:r>
          </w:p>
        </w:tc>
        <w:tc>
          <w:tcPr>
            <w:tcW w:w="1032"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10</w:t>
            </w:r>
          </w:p>
        </w:tc>
        <w:tc>
          <w:tcPr>
            <w:tcW w:w="55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有相近项目服务经验的得1-5分，有重汽集团项目经验的得1-5分，根据投标人提供的资料综合评审、排序，依次赋分。</w:t>
            </w:r>
          </w:p>
        </w:tc>
      </w:tr>
      <w:tr>
        <w:tblPrEx>
          <w:tblCellMar>
            <w:top w:w="0" w:type="dxa"/>
            <w:left w:w="108" w:type="dxa"/>
            <w:bottom w:w="0" w:type="dxa"/>
            <w:right w:w="108" w:type="dxa"/>
          </w:tblCellMar>
        </w:tblPrEx>
        <w:trPr>
          <w:trHeight w:val="2922"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备注：</w:t>
            </w:r>
            <w:r>
              <w:rPr>
                <w:rFonts w:hint="eastAsia" w:ascii="宋体" w:hAnsi="宋体"/>
                <w:color w:val="000000"/>
                <w:kern w:val="0"/>
                <w:szCs w:val="21"/>
              </w:rPr>
              <w:br w:type="textWrapping"/>
            </w:r>
            <w:r>
              <w:rPr>
                <w:color w:val="000000"/>
                <w:kern w:val="0"/>
                <w:szCs w:val="21"/>
              </w:rPr>
              <w:t>1</w:t>
            </w:r>
            <w:r>
              <w:rPr>
                <w:rFonts w:hint="eastAsia" w:ascii="宋体" w:hAnsi="宋体"/>
                <w:color w:val="000000"/>
                <w:kern w:val="0"/>
                <w:szCs w:val="21"/>
              </w:rPr>
              <w:t>、通过初审者为有效投标。</w:t>
            </w:r>
            <w:r>
              <w:rPr>
                <w:rFonts w:hint="eastAsia" w:ascii="宋体" w:hAnsi="宋体"/>
                <w:color w:val="000000"/>
                <w:kern w:val="0"/>
                <w:szCs w:val="21"/>
              </w:rPr>
              <w:br w:type="textWrapping"/>
            </w:r>
            <w:r>
              <w:rPr>
                <w:color w:val="000000"/>
                <w:kern w:val="0"/>
                <w:szCs w:val="21"/>
              </w:rPr>
              <w:t>2</w:t>
            </w:r>
            <w:r>
              <w:rPr>
                <w:rFonts w:hint="eastAsia" w:ascii="宋体" w:hAnsi="宋体"/>
                <w:color w:val="000000"/>
                <w:kern w:val="0"/>
                <w:szCs w:val="21"/>
              </w:rPr>
              <w:t>、综合评价值相同的，依照价格、技术、商务、服务及其他评价内容的优先次序，根据分项评价值进行排名。若上述排名皆相同的，则由全体评委成员无记名投票，得票高者排序在前。</w:t>
            </w:r>
            <w:r>
              <w:rPr>
                <w:rFonts w:hint="eastAsia" w:ascii="宋体" w:hAnsi="宋体"/>
                <w:color w:val="000000"/>
                <w:kern w:val="0"/>
                <w:szCs w:val="21"/>
              </w:rPr>
              <w:br w:type="textWrapping"/>
            </w:r>
            <w:r>
              <w:rPr>
                <w:color w:val="000000"/>
                <w:kern w:val="0"/>
                <w:szCs w:val="21"/>
              </w:rPr>
              <w:t>3</w:t>
            </w:r>
            <w:r>
              <w:rPr>
                <w:rFonts w:hint="eastAsia" w:ascii="宋体" w:hAnsi="宋体"/>
                <w:color w:val="000000"/>
                <w:kern w:val="0"/>
                <w:szCs w:val="21"/>
              </w:rPr>
              <w:t>、评委打分不得超过得分界限。</w:t>
            </w:r>
            <w:r>
              <w:rPr>
                <w:rFonts w:hint="eastAsia" w:ascii="宋体" w:hAnsi="宋体"/>
                <w:color w:val="000000"/>
                <w:kern w:val="0"/>
                <w:szCs w:val="21"/>
              </w:rPr>
              <w:br w:type="textWrapping"/>
            </w:r>
            <w:r>
              <w:rPr>
                <w:color w:val="000000"/>
                <w:kern w:val="0"/>
                <w:szCs w:val="21"/>
              </w:rPr>
              <w:t>4</w:t>
            </w:r>
            <w:r>
              <w:rPr>
                <w:rFonts w:hint="eastAsia" w:ascii="宋体" w:hAnsi="宋体"/>
                <w:color w:val="000000"/>
                <w:kern w:val="0"/>
                <w:szCs w:val="21"/>
              </w:rPr>
              <w:t>、投标人提交的投标文件和资料必须真实有效。合同签订前，招标人有权组织联合小组（财务、技术、设备、质量等）到中标候选人实地审核，如发现投标文件和资料有弄虚作假，招标人有权取消其中标候选人资格，同时招标人有权扣留其投标保证金。</w:t>
            </w:r>
          </w:p>
          <w:p>
            <w:pPr>
              <w:widowControl/>
              <w:jc w:val="left"/>
              <w:rPr>
                <w:rFonts w:ascii="宋体" w:hAnsi="宋体"/>
                <w:color w:val="000000"/>
                <w:kern w:val="0"/>
                <w:szCs w:val="21"/>
              </w:rPr>
            </w:pPr>
          </w:p>
        </w:tc>
      </w:tr>
    </w:tbl>
    <w:p>
      <w:pPr>
        <w:pStyle w:val="6"/>
        <w:spacing w:line="360" w:lineRule="auto"/>
        <w:rPr>
          <w:rFonts w:ascii="黑体" w:eastAsia="黑体"/>
          <w:b/>
          <w:bCs/>
          <w:sz w:val="28"/>
        </w:rPr>
      </w:pPr>
      <w:r>
        <w:rPr>
          <w:rFonts w:hint="eastAsia" w:ascii="黑体" w:eastAsia="黑体"/>
          <w:b/>
          <w:bCs/>
          <w:sz w:val="28"/>
        </w:rPr>
        <w:t>八、合同签订</w:t>
      </w:r>
    </w:p>
    <w:p>
      <w:pPr>
        <w:pStyle w:val="6"/>
        <w:spacing w:line="360" w:lineRule="auto"/>
        <w:ind w:firstLine="420" w:firstLineChars="200"/>
      </w:pPr>
      <w:r>
        <w:rPr>
          <w:rFonts w:hint="eastAsia"/>
        </w:rPr>
        <w:t>1.</w:t>
      </w:r>
      <w:r>
        <w:rPr>
          <w:rFonts w:hint="eastAsia" w:hAnsi="宋体"/>
          <w:szCs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6"/>
        <w:spacing w:line="360" w:lineRule="auto"/>
        <w:ind w:firstLine="420" w:firstLineChars="200"/>
        <w:rPr>
          <w:rFonts w:hAnsi="宋体"/>
          <w:szCs w:val="21"/>
        </w:rPr>
      </w:pPr>
      <w:r>
        <w:rPr>
          <w:rFonts w:hint="eastAsia" w:hAnsi="宋体"/>
          <w:szCs w:val="21"/>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6"/>
        <w:spacing w:line="360" w:lineRule="auto"/>
        <w:ind w:firstLine="420" w:firstLineChars="200"/>
        <w:rPr>
          <w:rFonts w:hAnsi="宋体"/>
          <w:szCs w:val="21"/>
        </w:rPr>
      </w:pPr>
      <w:r>
        <w:rPr>
          <w:rFonts w:hint="eastAsia" w:hAnsi="宋体"/>
          <w:szCs w:val="21"/>
        </w:rPr>
        <w:t>3.中标人应当按照合同约定的履约责任，</w:t>
      </w:r>
      <w:r>
        <w:rPr>
          <w:rFonts w:hint="eastAsia" w:hAnsi="宋体"/>
        </w:rPr>
        <w:t>向招标人指定的合同签订单位缴纳履约保证金</w:t>
      </w:r>
      <w:r>
        <w:rPr>
          <w:rFonts w:hint="eastAsia" w:hAnsi="宋体"/>
          <w:u w:val="single"/>
        </w:rPr>
        <w:t>/</w:t>
      </w:r>
      <w:r>
        <w:rPr>
          <w:rFonts w:hint="eastAsia" w:hAnsi="宋体"/>
        </w:rPr>
        <w:t>万元（具体数额以合同约定为准），如中标人未按合同及其附件约定履行应承担的责任，招标人或招标人指定的合同签订单位有权扣除其履约保证金。</w:t>
      </w:r>
    </w:p>
    <w:p>
      <w:pPr>
        <w:pStyle w:val="6"/>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6"/>
        <w:spacing w:line="360" w:lineRule="auto"/>
        <w:ind w:firstLine="420" w:firstLineChars="200"/>
        <w:rPr>
          <w:rFonts w:hAnsi="宋体"/>
          <w:szCs w:val="21"/>
        </w:rPr>
      </w:pPr>
      <w:r>
        <w:rPr>
          <w:rFonts w:hint="eastAsia" w:hAnsi="宋体"/>
          <w:szCs w:val="21"/>
        </w:rPr>
        <w:t>5.中标人</w:t>
      </w:r>
      <w:r>
        <w:rPr>
          <w:rFonts w:hint="eastAsia"/>
          <w:szCs w:val="21"/>
        </w:rPr>
        <w:t>由于履行义务的能力或信用有严重缺陷，</w:t>
      </w:r>
      <w:r>
        <w:rPr>
          <w:rFonts w:hint="eastAsia" w:hAnsi="宋体"/>
          <w:szCs w:val="21"/>
        </w:rPr>
        <w:t>招标人有权取消其中标资格，招标人将从剩余投标人中依序重新确定中标人，或重新组织招标。</w:t>
      </w:r>
    </w:p>
    <w:p>
      <w:pPr>
        <w:pStyle w:val="6"/>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6"/>
        <w:spacing w:line="360" w:lineRule="auto"/>
        <w:ind w:firstLine="420" w:firstLineChars="200"/>
      </w:pPr>
      <w:r>
        <w:rPr>
          <w:rFonts w:hint="eastAsia"/>
        </w:rPr>
        <w:t>7.中标人须认可由于招标人上级集团公司政策变化引起的合同签订前终止项目的要求。</w:t>
      </w:r>
    </w:p>
    <w:p>
      <w:pPr>
        <w:pStyle w:val="6"/>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2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⑵评标委员会经评审，认为所有投标都不符合招标文件要求的</w:t>
      </w:r>
    </w:p>
    <w:p>
      <w:pPr>
        <w:spacing w:line="520" w:lineRule="exact"/>
        <w:ind w:right="2"/>
        <w:rPr>
          <w:rFonts w:ascii="宋体" w:hAnsi="Courier New"/>
        </w:rPr>
      </w:pPr>
      <w:r>
        <w:rPr>
          <w:rFonts w:hint="eastAsia" w:ascii="宋体" w:hAnsi="Courier New"/>
        </w:rPr>
        <w:t xml:space="preserve">    </w:t>
      </w:r>
      <w:r>
        <w:rPr>
          <w:rFonts w:hint="eastAsia" w:ascii="宋体" w:hAnsi="宋体"/>
        </w:rPr>
        <w:t>⑶</w:t>
      </w:r>
      <w:r>
        <w:rPr>
          <w:rFonts w:hint="eastAsia" w:ascii="宋体" w:hAnsi="Courier New"/>
        </w:rPr>
        <w:t>因重大变故，采购任务取消的。</w:t>
      </w:r>
    </w:p>
    <w:p>
      <w:pPr>
        <w:spacing w:line="520" w:lineRule="exact"/>
        <w:ind w:right="2" w:firstLine="420" w:firstLineChars="200"/>
        <w:rPr>
          <w:rFonts w:ascii="宋体" w:hAnsi="宋体"/>
        </w:rPr>
      </w:pPr>
      <w:r>
        <w:rPr>
          <w:rFonts w:hint="eastAsia" w:ascii="宋体" w:hAnsi="宋体"/>
        </w:rPr>
        <w:t>⑷有效参与投标的单位不足三家以上的。</w:t>
      </w:r>
    </w:p>
    <w:p>
      <w:pPr>
        <w:spacing w:line="520" w:lineRule="exact"/>
        <w:ind w:right="2" w:firstLine="420" w:firstLineChars="200"/>
        <w:rPr>
          <w:rFonts w:ascii="宋体" w:hAnsi="宋体"/>
        </w:rPr>
      </w:pPr>
      <w:r>
        <w:rPr>
          <w:rFonts w:hint="eastAsia" w:ascii="宋体" w:hAnsi="宋体"/>
        </w:rPr>
        <w:t>⑸招标人认为其他应终止招标的情形。</w:t>
      </w:r>
    </w:p>
    <w:p>
      <w:pPr>
        <w:pStyle w:val="6"/>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6"/>
        <w:spacing w:line="360" w:lineRule="auto"/>
        <w:rPr>
          <w:rFonts w:ascii="黑体" w:eastAsia="黑体"/>
          <w:b/>
          <w:bCs/>
          <w:sz w:val="28"/>
        </w:rPr>
      </w:pPr>
      <w:r>
        <w:rPr>
          <w:rFonts w:hint="eastAsia" w:ascii="黑体" w:eastAsia="黑体"/>
          <w:b/>
          <w:bCs/>
          <w:sz w:val="28"/>
        </w:rPr>
        <w:t>十一、技术要求</w:t>
      </w:r>
    </w:p>
    <w:p>
      <w:pPr>
        <w:pStyle w:val="6"/>
        <w:spacing w:line="360" w:lineRule="auto"/>
        <w:ind w:left="420" w:hanging="420" w:hangingChars="200"/>
      </w:pPr>
      <w:r>
        <w:rPr>
          <w:rFonts w:hint="eastAsia"/>
        </w:rPr>
        <w:t xml:space="preserve">    见本招标文件“第三章 技术要求”，附后。</w:t>
      </w:r>
    </w:p>
    <w:p>
      <w:pPr>
        <w:jc w:val="center"/>
        <w:rPr>
          <w:rFonts w:eastAsia="黑体"/>
          <w:b/>
          <w:bCs/>
          <w:sz w:val="36"/>
          <w:szCs w:val="36"/>
        </w:rPr>
      </w:pPr>
    </w:p>
    <w:p>
      <w:pPr>
        <w:jc w:val="center"/>
        <w:rPr>
          <w:rFonts w:eastAsia="黑体"/>
          <w:b/>
          <w:bCs/>
          <w:sz w:val="36"/>
          <w:szCs w:val="36"/>
        </w:rPr>
      </w:pPr>
    </w:p>
    <w:p>
      <w:pPr>
        <w:jc w:val="center"/>
        <w:rPr>
          <w:rFonts w:eastAsia="黑体"/>
          <w:b/>
          <w:bCs/>
          <w:sz w:val="36"/>
          <w:szCs w:val="36"/>
        </w:rPr>
      </w:pPr>
    </w:p>
    <w:p>
      <w:pPr>
        <w:jc w:val="center"/>
        <w:rPr>
          <w:rFonts w:eastAsia="黑体"/>
          <w:b/>
          <w:bCs/>
          <w:sz w:val="36"/>
          <w:szCs w:val="36"/>
        </w:rPr>
      </w:pPr>
    </w:p>
    <w:p>
      <w:pPr>
        <w:rPr>
          <w:rFonts w:eastAsia="黑体"/>
          <w:b/>
          <w:bCs/>
          <w:sz w:val="36"/>
          <w:szCs w:val="36"/>
        </w:rPr>
      </w:pPr>
    </w:p>
    <w:p>
      <w:pPr>
        <w:jc w:val="center"/>
        <w:rPr>
          <w:rFonts w:eastAsia="黑体"/>
          <w:b/>
          <w:bCs/>
          <w:sz w:val="36"/>
          <w:szCs w:val="36"/>
        </w:rPr>
      </w:pPr>
    </w:p>
    <w:p>
      <w:pPr>
        <w:jc w:val="center"/>
        <w:rPr>
          <w:rFonts w:eastAsia="黑体"/>
          <w:b/>
          <w:bCs/>
          <w:sz w:val="36"/>
          <w:szCs w:val="36"/>
        </w:rPr>
      </w:pPr>
      <w:r>
        <w:rPr>
          <w:rFonts w:hint="eastAsia" w:eastAsia="黑体"/>
          <w:b/>
          <w:bCs/>
          <w:sz w:val="36"/>
          <w:szCs w:val="36"/>
        </w:rPr>
        <w:t>第二章  投标文件编制</w:t>
      </w:r>
    </w:p>
    <w:p>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6"/>
        <w:spacing w:line="360" w:lineRule="auto"/>
        <w:ind w:firstLine="420" w:firstLineChars="200"/>
        <w:rPr>
          <w:rFonts w:hAnsi="宋体"/>
        </w:rPr>
      </w:pPr>
      <w:r>
        <w:rPr>
          <w:rFonts w:hint="eastAsia" w:hAnsi="宋体"/>
        </w:rPr>
        <w:t>1.法定代表人或投标人授权代表必须按招标文件的规定在投标文件（正本、副本及各附件）、开标一览表上签字并加盖</w:t>
      </w:r>
      <w:r>
        <w:rPr>
          <w:rFonts w:hint="eastAsia" w:hAnsi="宋体"/>
          <w:b/>
          <w:bCs/>
        </w:rPr>
        <w:t>投标人单位公章</w:t>
      </w:r>
      <w:r>
        <w:rPr>
          <w:rFonts w:hint="eastAsia" w:hAnsi="宋体"/>
        </w:rPr>
        <w:t>，不得使用其它形式如带有“专用章”等字样的印章，否则投标将被视为无效。如投标人对投标文件进行了修改，则须由投标人的法定代表人或授权代表在修改的每一页上签字或加盖公章。</w:t>
      </w:r>
    </w:p>
    <w:p>
      <w:pPr>
        <w:pStyle w:val="6"/>
        <w:spacing w:line="360" w:lineRule="auto"/>
        <w:ind w:firstLine="420" w:firstLineChars="200"/>
        <w:rPr>
          <w:rFonts w:hAnsi="宋体"/>
        </w:rPr>
      </w:pPr>
      <w:r>
        <w:rPr>
          <w:rFonts w:hint="eastAsia" w:hAnsi="宋体"/>
        </w:rPr>
        <w:t>2.任何行间插字、涂改和增删，必须由投标人的法定代表人或授权代表签字或加盖公章后才有效。</w:t>
      </w:r>
    </w:p>
    <w:p>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6"/>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6"/>
        <w:spacing w:line="360" w:lineRule="auto"/>
        <w:ind w:firstLine="420" w:firstLineChars="200"/>
        <w:rPr>
          <w:rFonts w:hAnsi="宋体"/>
        </w:rPr>
      </w:pPr>
      <w:r>
        <w:rPr>
          <w:rFonts w:hint="eastAsia" w:hAnsi="宋体"/>
        </w:rPr>
        <w:t>⑴项目名称</w:t>
      </w:r>
    </w:p>
    <w:p>
      <w:pPr>
        <w:pStyle w:val="6"/>
        <w:spacing w:line="360" w:lineRule="auto"/>
        <w:ind w:firstLine="420" w:firstLineChars="200"/>
        <w:rPr>
          <w:rFonts w:hAnsi="宋体"/>
        </w:rPr>
      </w:pPr>
      <w:r>
        <w:rPr>
          <w:rFonts w:hint="eastAsia" w:hAnsi="宋体"/>
        </w:rPr>
        <w:t>⑵投标人名称（加盖公章）、地址、邮编、电话、传真</w:t>
      </w:r>
    </w:p>
    <w:p>
      <w:pPr>
        <w:pStyle w:val="6"/>
        <w:spacing w:line="360" w:lineRule="auto"/>
        <w:ind w:firstLine="420" w:firstLineChars="200"/>
        <w:rPr>
          <w:rFonts w:hAnsi="宋体"/>
        </w:rPr>
      </w:pPr>
      <w:r>
        <w:rPr>
          <w:rFonts w:hint="eastAsia" w:hAnsi="宋体"/>
        </w:rPr>
        <w:t>2.请投标人将 “技术标书”、“商务标书”、“开标一览表”单独密封，并注明项目名称、投标人名称（加盖公章），投标文件同时提交。</w:t>
      </w:r>
    </w:p>
    <w:p>
      <w:pPr>
        <w:pStyle w:val="6"/>
        <w:spacing w:line="360" w:lineRule="auto"/>
        <w:ind w:firstLine="420" w:firstLineChars="200"/>
        <w:rPr>
          <w:rFonts w:hAnsi="宋体"/>
        </w:rPr>
      </w:pPr>
      <w:r>
        <w:rPr>
          <w:rFonts w:hint="eastAsia" w:hAnsi="宋体"/>
        </w:rPr>
        <w:t>3.每一密封文件在封口处加盖投标人公章并注明“于</w:t>
      </w:r>
      <w:r>
        <w:rPr>
          <w:rFonts w:hint="eastAsia"/>
        </w:rPr>
        <w:t>2021年3 月31日上午9</w:t>
      </w:r>
      <w:r>
        <w:rPr>
          <w:rFonts w:hint="eastAsia" w:hAnsi="宋体"/>
        </w:rPr>
        <w:t>时之前不准启封”字样。</w:t>
      </w:r>
    </w:p>
    <w:p>
      <w:pPr>
        <w:pStyle w:val="6"/>
        <w:spacing w:line="360" w:lineRule="auto"/>
        <w:ind w:firstLine="420" w:firstLineChars="200"/>
        <w:rPr>
          <w:rFonts w:hAnsi="宋体"/>
        </w:rPr>
      </w:pPr>
      <w:r>
        <w:rPr>
          <w:rFonts w:hint="eastAsia" w:hAnsi="宋体"/>
        </w:rPr>
        <w:t>4.如果投标人未按上述要求对投标文件密封及加写标记，招标人对投标人提前启封概不负责。对由此造成提前开封的投标文件，招标人有权予以拒绝，并退回投标人。</w:t>
      </w:r>
    </w:p>
    <w:p>
      <w:pPr>
        <w:pStyle w:val="6"/>
        <w:spacing w:line="360" w:lineRule="auto"/>
        <w:rPr>
          <w:rFonts w:ascii="黑体" w:hAnsi="黑体" w:eastAsia="黑体"/>
          <w:b/>
          <w:bCs/>
          <w:sz w:val="28"/>
          <w:szCs w:val="28"/>
        </w:rPr>
      </w:pPr>
    </w:p>
    <w:p>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spacing w:line="360" w:lineRule="auto"/>
        <w:jc w:val="center"/>
        <w:rPr>
          <w:rFonts w:eastAsia="黑体"/>
          <w:b/>
          <w:bCs/>
          <w:sz w:val="28"/>
        </w:rPr>
      </w:pPr>
      <w:r>
        <w:rPr>
          <w:rFonts w:hint="eastAsia" w:eastAsia="黑体"/>
          <w:b/>
          <w:bCs/>
          <w:sz w:val="28"/>
        </w:rPr>
        <w:t>投标书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spacing w:line="360" w:lineRule="auto"/>
        <w:rPr>
          <w:rFonts w:ascii="宋体" w:hAnsi="宋体"/>
        </w:rPr>
      </w:pPr>
      <w:r>
        <w:rPr>
          <w:rFonts w:hint="eastAsia" w:ascii="宋体" w:hAnsi="宋体"/>
        </w:rPr>
        <w:t>据此，签字代表宣布同意如下：</w:t>
      </w:r>
    </w:p>
    <w:p>
      <w:pPr>
        <w:spacing w:line="360" w:lineRule="auto"/>
        <w:ind w:firstLine="840" w:firstLineChars="400"/>
        <w:rPr>
          <w:rFonts w:ascii="宋体" w:hAnsi="宋体"/>
        </w:rPr>
      </w:pPr>
      <w:r>
        <w:rPr>
          <w:rFonts w:hint="eastAsia" w:ascii="宋体" w:hAnsi="宋体"/>
        </w:rPr>
        <w:t>所附投标报价表中规定的应提供的投标报价。</w:t>
      </w:r>
    </w:p>
    <w:p>
      <w:pPr>
        <w:numPr>
          <w:ilvl w:val="0"/>
          <w:numId w:val="3"/>
        </w:numPr>
        <w:spacing w:line="360" w:lineRule="auto"/>
        <w:rPr>
          <w:rFonts w:ascii="宋体" w:hAnsi="宋体"/>
        </w:rPr>
      </w:pPr>
      <w:r>
        <w:rPr>
          <w:rFonts w:hint="eastAsia" w:ascii="宋体" w:hAnsi="宋体"/>
        </w:rPr>
        <w:t>投标人将按招标文件的规定履行合同责任和义务。</w:t>
      </w:r>
    </w:p>
    <w:p>
      <w:pPr>
        <w:numPr>
          <w:ilvl w:val="0"/>
          <w:numId w:val="3"/>
        </w:numPr>
        <w:spacing w:line="360" w:lineRule="auto"/>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spacing w:line="360" w:lineRule="auto"/>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spacing w:line="360" w:lineRule="auto"/>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spacing w:line="360" w:lineRule="auto"/>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spacing w:line="360" w:lineRule="auto"/>
        <w:rPr>
          <w:rFonts w:ascii="宋体" w:hAnsi="宋体"/>
        </w:rPr>
      </w:pPr>
      <w:r>
        <w:rPr>
          <w:rFonts w:hint="eastAsia" w:ascii="宋体" w:hAnsi="宋体"/>
        </w:rPr>
        <w:t>与本投标有关的一切正式往来通讯请寄：</w:t>
      </w:r>
    </w:p>
    <w:p>
      <w:pPr>
        <w:spacing w:line="360" w:lineRule="auto"/>
        <w:ind w:left="795"/>
        <w:rPr>
          <w:rFonts w:ascii="宋体" w:hAnsi="宋体"/>
        </w:rPr>
      </w:pPr>
      <w:r>
        <w:rPr>
          <w:rFonts w:hint="eastAsia" w:ascii="宋体" w:hAnsi="宋体"/>
        </w:rPr>
        <w:t>地址：                                   邮编：</w:t>
      </w:r>
    </w:p>
    <w:p>
      <w:pPr>
        <w:spacing w:line="360" w:lineRule="auto"/>
        <w:ind w:left="795"/>
        <w:rPr>
          <w:rFonts w:ascii="宋体" w:hAnsi="宋体"/>
        </w:rPr>
      </w:pPr>
    </w:p>
    <w:p>
      <w:pPr>
        <w:spacing w:line="360" w:lineRule="auto"/>
        <w:ind w:left="795"/>
        <w:rPr>
          <w:rFonts w:ascii="宋体" w:hAnsi="宋体"/>
        </w:rPr>
      </w:pPr>
      <w:r>
        <w:rPr>
          <w:rFonts w:hint="eastAsia" w:ascii="宋体" w:hAnsi="宋体"/>
        </w:rPr>
        <w:t>电话：                                   传真：</w:t>
      </w:r>
    </w:p>
    <w:p>
      <w:pPr>
        <w:spacing w:line="360" w:lineRule="auto"/>
        <w:ind w:left="795"/>
      </w:pPr>
    </w:p>
    <w:p>
      <w:pPr>
        <w:spacing w:line="360" w:lineRule="auto"/>
        <w:ind w:left="795"/>
      </w:pPr>
      <w:r>
        <w:rPr>
          <w:rFonts w:hint="eastAsia"/>
        </w:rPr>
        <w:t>投标人授权代表签字：                 职务：                 日期：</w:t>
      </w:r>
    </w:p>
    <w:p>
      <w:pPr>
        <w:spacing w:line="360" w:lineRule="auto"/>
        <w:ind w:left="795"/>
      </w:pPr>
    </w:p>
    <w:p>
      <w:pPr>
        <w:spacing w:line="360" w:lineRule="auto"/>
        <w:ind w:left="795"/>
      </w:pPr>
      <w:r>
        <w:rPr>
          <w:rFonts w:hint="eastAsia"/>
        </w:rPr>
        <w:t>投标人名称（及公章）：</w:t>
      </w:r>
    </w:p>
    <w:p>
      <w:pPr>
        <w:spacing w:line="360" w:lineRule="auto"/>
        <w:ind w:left="795"/>
      </w:pPr>
    </w:p>
    <w:p>
      <w:pPr>
        <w:spacing w:line="360" w:lineRule="auto"/>
        <w:ind w:left="795"/>
        <w:rPr>
          <w:rFonts w:ascii="黑体" w:eastAsia="黑体"/>
          <w:sz w:val="30"/>
        </w:rPr>
      </w:pPr>
      <w:r>
        <w:rPr>
          <w:rFonts w:hint="eastAsia"/>
        </w:rPr>
        <w:t>日期：        年       月       日</w:t>
      </w:r>
    </w:p>
    <w:p>
      <w:pPr>
        <w:spacing w:line="360" w:lineRule="auto"/>
        <w:rPr>
          <w:rFonts w:eastAsia="黑体"/>
          <w:b/>
          <w:bCs/>
          <w:sz w:val="28"/>
        </w:rPr>
      </w:pPr>
      <w:r>
        <w:rPr>
          <w:rFonts w:ascii="黑体" w:eastAsia="黑体"/>
          <w:sz w:val="30"/>
        </w:rPr>
        <w:br w:type="page"/>
      </w:r>
      <w:r>
        <w:rPr>
          <w:rFonts w:hint="eastAsia" w:eastAsia="黑体"/>
          <w:b/>
          <w:bCs/>
          <w:sz w:val="28"/>
        </w:rPr>
        <w:t>格式2</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cs="宋体"/>
        </w:rPr>
        <w:sectPr>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r>
        <w:rPr>
          <w:rFonts w:hint="eastAsia" w:ascii="宋体" w:hAnsi="宋体"/>
          <w:sz w:val="24"/>
        </w:rPr>
        <w:t>2．“索引”一栏填写该主要内容对应于投标文件的“条款号/页号”</w:t>
      </w: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r>
        <w:rPr>
          <w:rFonts w:hint="eastAsia" w:ascii="宋体" w:hAnsi="宋体"/>
          <w:u w:val="single"/>
        </w:rPr>
        <w:t xml:space="preserve">             </w:t>
      </w:r>
    </w:p>
    <w:p>
      <w:pPr>
        <w:rPr>
          <w:rFonts w:ascii="宋体" w:hAnsi="宋体"/>
          <w:szCs w:val="21"/>
        </w:rPr>
      </w:pPr>
      <w:r>
        <w:rPr>
          <w:rFonts w:hint="eastAsia" w:ascii="宋体" w:hAnsi="宋体"/>
          <w:szCs w:val="21"/>
        </w:rPr>
        <w:t>日期：      年     月      日</w:t>
      </w:r>
    </w:p>
    <w:p>
      <w:pPr>
        <w:pStyle w:val="4"/>
        <w:spacing w:line="460" w:lineRule="exact"/>
        <w:jc w:val="center"/>
        <w:rPr>
          <w:rFonts w:ascii="宋体" w:hAnsi="宋体" w:cs="宋体"/>
        </w:rPr>
      </w:pPr>
      <w:r>
        <w:rPr>
          <w:rFonts w:hint="eastAsia" w:ascii="宋体" w:hAnsi="宋体" w:cs="宋体"/>
          <w:b/>
          <w:bCs/>
          <w:szCs w:val="32"/>
        </w:rPr>
        <w:t>开标一览表</w:t>
      </w:r>
    </w:p>
    <w:tbl>
      <w:tblPr>
        <w:tblStyle w:val="12"/>
        <w:tblW w:w="0" w:type="auto"/>
        <w:tblInd w:w="-705" w:type="dxa"/>
        <w:tblLayout w:type="fixed"/>
        <w:tblCellMar>
          <w:top w:w="0" w:type="dxa"/>
          <w:left w:w="0" w:type="dxa"/>
          <w:bottom w:w="0" w:type="dxa"/>
          <w:right w:w="0" w:type="dxa"/>
        </w:tblCellMar>
      </w:tblPr>
      <w:tblGrid>
        <w:gridCol w:w="665"/>
        <w:gridCol w:w="1604"/>
        <w:gridCol w:w="4286"/>
        <w:gridCol w:w="7320"/>
        <w:gridCol w:w="1320"/>
        <w:gridCol w:w="555"/>
      </w:tblGrid>
      <w:tr>
        <w:tblPrEx>
          <w:tblCellMar>
            <w:top w:w="0" w:type="dxa"/>
            <w:left w:w="0" w:type="dxa"/>
            <w:bottom w:w="0" w:type="dxa"/>
            <w:right w:w="0"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包次</w:t>
            </w:r>
          </w:p>
        </w:tc>
        <w:tc>
          <w:tcPr>
            <w:tcW w:w="1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项目名称</w:t>
            </w:r>
          </w:p>
        </w:tc>
        <w:tc>
          <w:tcPr>
            <w:tcW w:w="4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工作内容</w:t>
            </w:r>
          </w:p>
        </w:tc>
        <w:tc>
          <w:tcPr>
            <w:tcW w:w="7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投标说明</w:t>
            </w:r>
          </w:p>
        </w:tc>
        <w:tc>
          <w:tcPr>
            <w:tcW w:w="1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报价</w:t>
            </w:r>
            <w:r>
              <w:rPr>
                <w:rFonts w:hint="eastAsia" w:ascii="宋体" w:hAnsi="宋体" w:cs="宋体"/>
                <w:color w:val="000000"/>
                <w:szCs w:val="21"/>
              </w:rPr>
              <w:br w:type="textWrapping"/>
            </w:r>
            <w:r>
              <w:rPr>
                <w:rFonts w:hint="eastAsia" w:ascii="宋体" w:hAnsi="宋体" w:cs="宋体"/>
                <w:color w:val="000000"/>
                <w:szCs w:val="21"/>
              </w:rPr>
              <w:t>（元/年，不含税）</w:t>
            </w:r>
          </w:p>
        </w:tc>
        <w:tc>
          <w:tcPr>
            <w:tcW w:w="5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Cs w:val="21"/>
              </w:rPr>
            </w:pPr>
            <w:r>
              <w:rPr>
                <w:rFonts w:hint="eastAsia" w:ascii="宋体" w:hAnsi="宋体" w:cs="宋体"/>
                <w:color w:val="000000"/>
                <w:szCs w:val="21"/>
              </w:rPr>
              <w:t>税率</w:t>
            </w:r>
          </w:p>
        </w:tc>
      </w:tr>
      <w:tr>
        <w:tblPrEx>
          <w:tblCellMar>
            <w:top w:w="0" w:type="dxa"/>
            <w:left w:w="0" w:type="dxa"/>
            <w:bottom w:w="0" w:type="dxa"/>
            <w:right w:w="0" w:type="dxa"/>
          </w:tblCellMar>
        </w:tblPrEx>
        <w:trPr>
          <w:trHeight w:val="1160" w:hRule="atLeast"/>
        </w:trPr>
        <w:tc>
          <w:tcPr>
            <w:tcW w:w="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szCs w:val="21"/>
              </w:rPr>
            </w:pPr>
            <w:r>
              <w:rPr>
                <w:rFonts w:hint="eastAsia"/>
                <w:szCs w:val="21"/>
              </w:rPr>
              <w:t>标的一</w:t>
            </w:r>
          </w:p>
        </w:tc>
        <w:tc>
          <w:tcPr>
            <w:tcW w:w="1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szCs w:val="22"/>
              </w:rPr>
            </w:pPr>
            <w:r>
              <w:rPr>
                <w:rFonts w:hint="eastAsia" w:ascii="宋体" w:hAnsi="宋体"/>
                <w:szCs w:val="22"/>
              </w:rPr>
              <w:t xml:space="preserve"> </w:t>
            </w:r>
            <w:r>
              <w:rPr>
                <w:rFonts w:hint="eastAsia" w:ascii="宋体" w:hAnsi="宋体"/>
                <w:sz w:val="24"/>
                <w:szCs w:val="24"/>
              </w:rPr>
              <w:t>中国重汽集团济南动力有限公司成型中心</w:t>
            </w:r>
            <w:r>
              <w:rPr>
                <w:rFonts w:hint="eastAsia" w:ascii="宋体" w:hAnsi="宋体" w:cs="宋体"/>
                <w:color w:val="000000" w:themeColor="text1"/>
                <w:sz w:val="24"/>
                <w:szCs w:val="24"/>
                <w:shd w:val="clear" w:color="auto" w:fill="FFFFFF"/>
                <w14:textFill>
                  <w14:solidFill>
                    <w14:schemeClr w14:val="tx1"/>
                  </w14:solidFill>
                </w14:textFill>
              </w:rPr>
              <w:t>生产区域冬季供暖提升项目</w:t>
            </w:r>
          </w:p>
        </w:tc>
        <w:tc>
          <w:tcPr>
            <w:tcW w:w="42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szCs w:val="21"/>
              </w:rPr>
            </w:pPr>
            <w:r>
              <w:rPr>
                <w:rFonts w:hint="eastAsia"/>
                <w:sz w:val="24"/>
                <w:szCs w:val="24"/>
              </w:rPr>
              <w:t>甲方委托乙方承接壹项</w:t>
            </w:r>
            <w:r>
              <w:rPr>
                <w:rFonts w:hint="eastAsia" w:ascii="宋体" w:hAnsi="宋体"/>
                <w:sz w:val="24"/>
                <w:szCs w:val="24"/>
              </w:rPr>
              <w:t>中国重汽集团济南动力有限公司</w:t>
            </w:r>
            <w:r>
              <w:rPr>
                <w:rFonts w:hint="eastAsia" w:ascii="宋体" w:hAnsi="宋体" w:cs="宋体"/>
                <w:sz w:val="24"/>
                <w:szCs w:val="24"/>
              </w:rPr>
              <w:t>成型中心</w:t>
            </w:r>
            <w:r>
              <w:rPr>
                <w:rFonts w:hint="eastAsia" w:ascii="宋体" w:hAnsi="宋体" w:cs="宋体"/>
                <w:color w:val="000000" w:themeColor="text1"/>
                <w:sz w:val="24"/>
                <w:szCs w:val="24"/>
                <w:shd w:val="clear" w:color="auto" w:fill="FFFFFF"/>
                <w14:textFill>
                  <w14:solidFill>
                    <w14:schemeClr w14:val="tx1"/>
                  </w14:solidFill>
                </w14:textFill>
              </w:rPr>
              <w:t>生产区域冬季供暖提升项目</w:t>
            </w:r>
          </w:p>
        </w:tc>
        <w:tc>
          <w:tcPr>
            <w:tcW w:w="7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jc w:val="lef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jc w:val="left"/>
              <w:rPr>
                <w:rFonts w:ascii="宋体" w:hAnsi="宋体" w:cs="宋体"/>
                <w:color w:val="000000"/>
                <w:szCs w:val="21"/>
              </w:rPr>
            </w:pPr>
          </w:p>
        </w:tc>
      </w:tr>
    </w:tbl>
    <w:p>
      <w:pPr>
        <w:spacing w:line="400" w:lineRule="exact"/>
        <w:rPr>
          <w:rFonts w:ascii="宋体" w:hAnsi="宋体"/>
          <w:b/>
          <w:bCs/>
        </w:rPr>
      </w:pPr>
      <w:r>
        <w:rPr>
          <w:rFonts w:hint="eastAsia" w:ascii="宋体" w:hAnsi="宋体"/>
          <w:b/>
          <w:bCs/>
        </w:rPr>
        <w:t>注：1、此表中的报价必须与相应的报价明细表中的报价一致。2、本表除附在投标文件中外，还应一式贰份单独密封，以便唱标。</w:t>
      </w:r>
    </w:p>
    <w:p>
      <w:pPr>
        <w:spacing w:line="300" w:lineRule="auto"/>
        <w:rPr>
          <w:rFonts w:ascii="宋体" w:hAnsi="宋体"/>
          <w:szCs w:val="21"/>
        </w:rPr>
      </w:pPr>
      <w:r>
        <w:rPr>
          <w:rFonts w:hint="eastAsia" w:ascii="宋体" w:hAnsi="宋体"/>
          <w:szCs w:val="21"/>
        </w:rPr>
        <w:t>投标人：（盖章）</w:t>
      </w:r>
    </w:p>
    <w:p>
      <w:pPr>
        <w:spacing w:line="660" w:lineRule="exact"/>
        <w:rPr>
          <w:rFonts w:ascii="宋体" w:hAnsi="宋体"/>
          <w:szCs w:val="21"/>
        </w:rPr>
      </w:pPr>
      <w:r>
        <w:rPr>
          <w:rFonts w:hint="eastAsia" w:ascii="宋体" w:hAnsi="宋体"/>
          <w:szCs w:val="21"/>
        </w:rPr>
        <w:t>法定代表人（授权代表）：（签字）</w:t>
      </w:r>
    </w:p>
    <w:p>
      <w:pPr>
        <w:spacing w:line="660" w:lineRule="exact"/>
        <w:rPr>
          <w:rFonts w:eastAsia="黑体"/>
          <w:b/>
          <w:bCs/>
          <w:szCs w:val="21"/>
        </w:rPr>
        <w:sectPr>
          <w:pgSz w:w="16838" w:h="11906" w:orient="landscape"/>
          <w:pgMar w:top="1418" w:right="1701" w:bottom="1418" w:left="1134" w:header="851" w:footer="992" w:gutter="0"/>
          <w:pgNumType w:fmt="numberInDash" w:start="0"/>
          <w:cols w:space="720" w:num="1"/>
          <w:titlePg/>
          <w:docGrid w:type="lines" w:linePitch="312" w:charSpace="0"/>
        </w:sect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660" w:lineRule="exact"/>
        <w:rPr>
          <w:rFonts w:eastAsia="黑体"/>
          <w:b/>
          <w:bCs/>
          <w:sz w:val="28"/>
        </w:rPr>
      </w:pPr>
      <w:r>
        <w:rPr>
          <w:rFonts w:hint="eastAsia" w:eastAsia="黑体"/>
          <w:b/>
          <w:bCs/>
          <w:sz w:val="28"/>
        </w:rPr>
        <w:t>格式4  分项报价清单</w:t>
      </w:r>
    </w:p>
    <w:tbl>
      <w:tblPr>
        <w:tblStyle w:val="12"/>
        <w:tblW w:w="8606" w:type="dxa"/>
        <w:tblInd w:w="0" w:type="dxa"/>
        <w:tblLayout w:type="fixed"/>
        <w:tblCellMar>
          <w:top w:w="0" w:type="dxa"/>
          <w:left w:w="0" w:type="dxa"/>
          <w:bottom w:w="0" w:type="dxa"/>
          <w:right w:w="0" w:type="dxa"/>
        </w:tblCellMar>
      </w:tblPr>
      <w:tblGrid>
        <w:gridCol w:w="968"/>
        <w:gridCol w:w="1988"/>
        <w:gridCol w:w="1088"/>
        <w:gridCol w:w="1328"/>
        <w:gridCol w:w="3234"/>
      </w:tblGrid>
      <w:tr>
        <w:tblPrEx>
          <w:tblCellMar>
            <w:top w:w="0" w:type="dxa"/>
            <w:left w:w="0" w:type="dxa"/>
            <w:bottom w:w="0" w:type="dxa"/>
            <w:right w:w="0" w:type="dxa"/>
          </w:tblCellMar>
        </w:tblPrEx>
        <w:trPr>
          <w:trHeight w:val="315" w:hRule="atLeast"/>
        </w:trPr>
        <w:tc>
          <w:tcPr>
            <w:tcW w:w="8606" w:type="dxa"/>
            <w:gridSpan w:val="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表1：**报价清单</w:t>
            </w:r>
          </w:p>
        </w:tc>
      </w:tr>
      <w:tr>
        <w:tblPrEx>
          <w:tblCellMar>
            <w:top w:w="0" w:type="dxa"/>
            <w:left w:w="0" w:type="dxa"/>
            <w:bottom w:w="0" w:type="dxa"/>
            <w:right w:w="0" w:type="dxa"/>
          </w:tblCellMar>
        </w:tblPrEx>
        <w:trPr>
          <w:trHeight w:val="300" w:hRule="atLeast"/>
        </w:trPr>
        <w:tc>
          <w:tcPr>
            <w:tcW w:w="96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项目</w:t>
            </w:r>
          </w:p>
        </w:tc>
        <w:tc>
          <w:tcPr>
            <w:tcW w:w="1988"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类别</w:t>
            </w:r>
          </w:p>
        </w:tc>
        <w:tc>
          <w:tcPr>
            <w:tcW w:w="10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132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单价</w:t>
            </w:r>
          </w:p>
        </w:tc>
        <w:tc>
          <w:tcPr>
            <w:tcW w:w="323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总价</w:t>
            </w:r>
          </w:p>
        </w:tc>
      </w:tr>
      <w:tr>
        <w:tblPrEx>
          <w:tblCellMar>
            <w:top w:w="0" w:type="dxa"/>
            <w:left w:w="0" w:type="dxa"/>
            <w:bottom w:w="0" w:type="dxa"/>
            <w:right w:w="0" w:type="dxa"/>
          </w:tblCellMar>
        </w:tblPrEx>
        <w:trPr>
          <w:trHeight w:val="315" w:hRule="atLeast"/>
        </w:trPr>
        <w:tc>
          <w:tcPr>
            <w:tcW w:w="968" w:type="dxa"/>
            <w:vMerge w:val="restart"/>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成本构成</w:t>
            </w: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材料1</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材料2</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车辆</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人工</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管理</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利润</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968" w:type="dxa"/>
            <w:vMerge w:val="continue"/>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9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合计（不含税）</w:t>
            </w:r>
          </w:p>
        </w:tc>
        <w:tc>
          <w:tcPr>
            <w:tcW w:w="108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3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3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606"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注：该表计价应与附件《开标一览表》中报价相符。</w:t>
            </w:r>
          </w:p>
        </w:tc>
      </w:tr>
    </w:tbl>
    <w:p>
      <w:pPr>
        <w:spacing w:line="660" w:lineRule="exact"/>
        <w:rPr>
          <w:rFonts w:eastAsia="黑体"/>
          <w:b/>
          <w:bCs/>
          <w:sz w:val="28"/>
        </w:rPr>
      </w:pPr>
    </w:p>
    <w:p>
      <w:pPr>
        <w:spacing w:line="660" w:lineRule="exact"/>
        <w:rPr>
          <w:rFonts w:ascii="宋体" w:hAnsi="宋体"/>
          <w:sz w:val="24"/>
        </w:rPr>
      </w:pPr>
    </w:p>
    <w:p>
      <w:pPr>
        <w:spacing w:line="660" w:lineRule="exact"/>
        <w:rPr>
          <w:rFonts w:ascii="宋体" w:hAnsi="宋体"/>
          <w:sz w:val="24"/>
        </w:rPr>
      </w:pPr>
      <w:r>
        <w:rPr>
          <w:rFonts w:eastAsia="黑体"/>
          <w:b/>
          <w:bCs/>
          <w:sz w:val="28"/>
        </w:rPr>
        <w:br w:type="page"/>
      </w:r>
      <w:r>
        <w:rPr>
          <w:rFonts w:hint="eastAsia" w:eastAsia="黑体"/>
          <w:b/>
          <w:bCs/>
          <w:sz w:val="28"/>
        </w:rPr>
        <w:t>格式5</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w:t>
            </w:r>
            <w:r>
              <w:rPr>
                <w:rFonts w:hint="eastAsia" w:ascii="仿宋_GB2312" w:hAnsi="宋体" w:eastAsia="仿宋_GB2312"/>
                <w:sz w:val="24"/>
                <w:szCs w:val="22"/>
              </w:rPr>
              <w:t>守贵公司由于招标人上级集团公司政策变化引起的合同签订前终止项目的要求，并承担由此带来的一切损失。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eastAsia="黑体"/>
          <w:b/>
          <w:bCs/>
          <w:sz w:val="28"/>
        </w:rPr>
      </w:pPr>
    </w:p>
    <w:p>
      <w:pPr>
        <w:rPr>
          <w:rFonts w:eastAsia="黑体"/>
          <w:b/>
          <w:bCs/>
          <w:sz w:val="28"/>
        </w:rPr>
      </w:pPr>
    </w:p>
    <w:p>
      <w:pPr>
        <w:ind w:firstLine="1"/>
        <w:rPr>
          <w:rFonts w:eastAsia="黑体"/>
          <w:b/>
          <w:bCs/>
          <w:sz w:val="28"/>
        </w:rPr>
      </w:pPr>
    </w:p>
    <w:p>
      <w:pPr>
        <w:ind w:firstLine="1"/>
        <w:rPr>
          <w:rFonts w:eastAsia="黑体"/>
          <w:b/>
          <w:bCs/>
          <w:sz w:val="28"/>
        </w:rPr>
      </w:pPr>
    </w:p>
    <w:p>
      <w:pPr>
        <w:ind w:firstLine="1"/>
        <w:rPr>
          <w:rFonts w:eastAsia="黑体"/>
          <w:b/>
          <w:bCs/>
          <w:sz w:val="28"/>
        </w:rPr>
      </w:pPr>
      <w:r>
        <w:rPr>
          <w:rFonts w:eastAsia="黑体"/>
          <w:b/>
          <w:bCs/>
          <w:sz w:val="28"/>
        </w:rPr>
        <w:br w:type="page"/>
      </w:r>
      <w:r>
        <w:rPr>
          <w:rFonts w:hint="eastAsia" w:eastAsia="黑体"/>
          <w:b/>
          <w:bCs/>
          <w:sz w:val="28"/>
        </w:rPr>
        <w:t>格式6</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ascii="宋体" w:hAnsi="宋体"/>
          <w:sz w:val="24"/>
        </w:rPr>
      </w:pPr>
    </w:p>
    <w:p>
      <w:pPr>
        <w:jc w:val="left"/>
        <w:rPr>
          <w:rFonts w:eastAsia="黑体"/>
          <w:b/>
          <w:bCs/>
          <w:sz w:val="28"/>
        </w:rPr>
      </w:pPr>
      <w:r>
        <w:rPr>
          <w:rFonts w:eastAsia="黑体"/>
          <w:b/>
          <w:bCs/>
          <w:sz w:val="28"/>
        </w:rPr>
        <w:br w:type="page"/>
      </w:r>
      <w:r>
        <w:rPr>
          <w:rFonts w:hint="eastAsia" w:eastAsia="黑体"/>
          <w:b/>
          <w:bCs/>
          <w:sz w:val="28"/>
        </w:rPr>
        <w:t>格式7</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sz w:val="30"/>
        </w:rPr>
      </w:pPr>
      <w:r>
        <w:rPr>
          <w:rFonts w:hint="eastAsia" w:ascii="黑体" w:eastAsia="黑体"/>
          <w:sz w:val="30"/>
        </w:rPr>
        <w:t>（模板，信息仅供参考，项目需求单位根据项目实际情况自拟格式和内容）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6"/>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pStyle w:val="6"/>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1.投标人为满足本招标项目之需，需实际配置的、包含但不限于上述设备、人员及其他条目；</w:t>
      </w:r>
    </w:p>
    <w:p>
      <w:pPr>
        <w:pStyle w:val="6"/>
        <w:spacing w:line="360" w:lineRule="auto"/>
        <w:ind w:left="661" w:leftChars="315"/>
        <w:rPr>
          <w:rFonts w:hAnsi="宋体"/>
          <w:sz w:val="24"/>
        </w:rPr>
      </w:pPr>
      <w:r>
        <w:rPr>
          <w:rFonts w:hint="eastAsia" w:hAnsi="宋体"/>
          <w:sz w:val="24"/>
        </w:rPr>
        <w:t>2.投标人可在上表内容基础上，酌情自行增加相关条目，以便更好的满足项目开展之需要。</w:t>
      </w:r>
    </w:p>
    <w:p>
      <w:pPr>
        <w:rPr>
          <w:rFonts w:eastAsia="黑体"/>
          <w:b/>
          <w:bCs/>
          <w:sz w:val="28"/>
        </w:rPr>
      </w:pPr>
      <w:r>
        <w:rPr>
          <w:rFonts w:eastAsia="黑体"/>
          <w:b/>
          <w:bCs/>
          <w:sz w:val="28"/>
        </w:rPr>
        <w:br w:type="page"/>
      </w:r>
      <w:r>
        <w:rPr>
          <w:rFonts w:hint="eastAsia" w:eastAsia="黑体"/>
          <w:b/>
          <w:bCs/>
          <w:sz w:val="28"/>
        </w:rPr>
        <w:t>格式8</w:t>
      </w:r>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pStyle w:val="6"/>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pStyle w:val="6"/>
        <w:spacing w:line="360" w:lineRule="auto"/>
        <w:rPr>
          <w:rFonts w:hAnsi="宋体"/>
          <w:b/>
          <w:sz w:val="24"/>
          <w:szCs w:val="24"/>
        </w:rPr>
      </w:pPr>
    </w:p>
    <w:p>
      <w:pPr>
        <w:rPr>
          <w:rFonts w:eastAsia="黑体"/>
          <w:b/>
          <w:bCs/>
          <w:sz w:val="28"/>
        </w:rPr>
      </w:pPr>
      <w:r>
        <w:rPr>
          <w:rFonts w:eastAsia="黑体"/>
          <w:b/>
          <w:bCs/>
          <w:sz w:val="28"/>
        </w:rPr>
        <w:br w:type="page"/>
      </w:r>
      <w:r>
        <w:rPr>
          <w:rFonts w:hint="eastAsia" w:eastAsia="黑体"/>
          <w:b/>
          <w:bCs/>
          <w:sz w:val="28"/>
        </w:rPr>
        <w:t>格式9</w:t>
      </w:r>
    </w:p>
    <w:p>
      <w:pPr>
        <w:rPr>
          <w:rFonts w:ascii="宋体" w:hAnsi="宋体"/>
        </w:rPr>
      </w:pPr>
      <w:r>
        <w:rPr>
          <w:rFonts w:hint="eastAsia" w:ascii="宋体" w:hAnsi="宋体"/>
        </w:rPr>
        <w:t>项目名称：</w:t>
      </w:r>
      <w:r>
        <w:rPr>
          <w:rFonts w:hint="eastAsia" w:ascii="宋体" w:hAnsi="宋体"/>
          <w:u w:val="single"/>
        </w:rPr>
        <w:t xml:space="preserve">                   </w:t>
      </w:r>
    </w:p>
    <w:p>
      <w:pPr>
        <w:pStyle w:val="6"/>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6"/>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6"/>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6"/>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6"/>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6"/>
              <w:spacing w:line="360" w:lineRule="auto"/>
            </w:pPr>
            <w:r>
              <w:rPr>
                <w:rFonts w:hint="eastAsia"/>
              </w:rPr>
              <w:t>纳税人识别号：</w:t>
            </w:r>
          </w:p>
        </w:tc>
      </w:tr>
    </w:tbl>
    <w:p>
      <w:pPr>
        <w:pStyle w:val="6"/>
        <w:spacing w:line="360" w:lineRule="auto"/>
        <w:ind w:firstLine="240" w:firstLineChars="100"/>
        <w:rPr>
          <w:rFonts w:ascii="仿宋_GB2312" w:hAnsi="宋体" w:eastAsia="仿宋_GB2312"/>
          <w:color w:val="000000"/>
          <w:sz w:val="24"/>
        </w:rPr>
      </w:pPr>
    </w:p>
    <w:p>
      <w:pPr>
        <w:pStyle w:val="6"/>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6"/>
        <w:spacing w:line="360" w:lineRule="auto"/>
        <w:rPr>
          <w:rFonts w:hAnsi="宋体"/>
          <w:b/>
          <w:sz w:val="24"/>
          <w:szCs w:val="24"/>
        </w:rPr>
      </w:pPr>
    </w:p>
    <w:p>
      <w:pPr>
        <w:pStyle w:val="6"/>
        <w:spacing w:line="360" w:lineRule="auto"/>
        <w:jc w:val="center"/>
        <w:rPr>
          <w:rFonts w:ascii="黑体" w:eastAsia="黑体"/>
          <w:b/>
          <w:bCs/>
          <w:sz w:val="36"/>
          <w:szCs w:val="36"/>
        </w:rPr>
      </w:pPr>
    </w:p>
    <w:p>
      <w:pPr>
        <w:pStyle w:val="23"/>
      </w:pPr>
    </w:p>
    <w:p>
      <w:pPr>
        <w:pStyle w:val="23"/>
      </w:pPr>
    </w:p>
    <w:p>
      <w:pPr>
        <w:pStyle w:val="23"/>
        <w:ind w:firstLine="0" w:firstLineChars="0"/>
      </w:pPr>
    </w:p>
    <w:p>
      <w:pPr>
        <w:pStyle w:val="23"/>
        <w:ind w:firstLine="0" w:firstLineChars="0"/>
        <w:rPr>
          <w:rFonts w:eastAsia="黑体"/>
          <w:sz w:val="28"/>
        </w:rPr>
      </w:pPr>
      <w:r>
        <w:rPr>
          <w:rFonts w:hint="eastAsia" w:eastAsia="黑体"/>
          <w:sz w:val="28"/>
        </w:rPr>
        <w:t xml:space="preserve">格式10          </w:t>
      </w:r>
    </w:p>
    <w:p>
      <w:pPr>
        <w:pStyle w:val="23"/>
        <w:ind w:firstLine="0" w:firstLineChars="0"/>
        <w:jc w:val="center"/>
        <w:rPr>
          <w:rFonts w:eastAsia="黑体"/>
          <w:sz w:val="28"/>
        </w:rPr>
      </w:pPr>
    </w:p>
    <w:p>
      <w:pPr>
        <w:pStyle w:val="23"/>
        <w:ind w:firstLine="0" w:firstLineChars="0"/>
        <w:jc w:val="center"/>
      </w:pPr>
      <w:r>
        <w:rPr>
          <w:rFonts w:hint="eastAsia"/>
        </w:rPr>
        <w:t>近三年国内同类项目业绩一览表</w:t>
      </w:r>
    </w:p>
    <w:p>
      <w:pPr>
        <w:pStyle w:val="6"/>
        <w:spacing w:line="360" w:lineRule="auto"/>
        <w:jc w:val="center"/>
        <w:rPr>
          <w:rFonts w:ascii="黑体" w:eastAsia="黑体"/>
          <w:b/>
          <w:bCs/>
          <w:sz w:val="36"/>
          <w:szCs w:val="36"/>
        </w:rPr>
      </w:pPr>
      <w:r>
        <w:rPr>
          <w:rFonts w:hint="eastAsia"/>
        </w:rPr>
        <w:t xml:space="preserve">项目名称：                                               招标编号：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pStyle w:val="10"/>
              <w:jc w:val="center"/>
              <w:rPr>
                <w:rFonts w:ascii="宋体" w:hAnsi="宋体"/>
                <w:b/>
                <w:szCs w:val="21"/>
              </w:rPr>
            </w:pPr>
            <w:r>
              <w:rPr>
                <w:rFonts w:hint="eastAsia" w:ascii="宋体" w:hAnsi="宋体"/>
                <w:b/>
                <w:szCs w:val="21"/>
              </w:rPr>
              <w:t>序号</w:t>
            </w:r>
          </w:p>
        </w:tc>
        <w:tc>
          <w:tcPr>
            <w:tcW w:w="2061" w:type="dxa"/>
            <w:vAlign w:val="center"/>
          </w:tcPr>
          <w:p>
            <w:pPr>
              <w:pStyle w:val="10"/>
              <w:jc w:val="center"/>
              <w:rPr>
                <w:rFonts w:ascii="宋体" w:hAnsi="宋体"/>
                <w:b/>
                <w:szCs w:val="21"/>
              </w:rPr>
            </w:pPr>
            <w:r>
              <w:rPr>
                <w:rFonts w:hint="eastAsia" w:ascii="宋体" w:hAnsi="宋体"/>
                <w:b/>
                <w:szCs w:val="21"/>
              </w:rPr>
              <w:t>采购单位</w:t>
            </w:r>
          </w:p>
        </w:tc>
        <w:tc>
          <w:tcPr>
            <w:tcW w:w="1317" w:type="dxa"/>
            <w:vAlign w:val="center"/>
          </w:tcPr>
          <w:p>
            <w:pPr>
              <w:pStyle w:val="10"/>
              <w:jc w:val="center"/>
              <w:rPr>
                <w:rFonts w:ascii="宋体" w:hAnsi="宋体"/>
                <w:b/>
                <w:szCs w:val="21"/>
              </w:rPr>
            </w:pPr>
            <w:r>
              <w:rPr>
                <w:rFonts w:hint="eastAsia" w:ascii="宋体" w:hAnsi="宋体"/>
                <w:b/>
                <w:szCs w:val="21"/>
              </w:rPr>
              <w:t>项目名称</w:t>
            </w:r>
          </w:p>
          <w:p>
            <w:pPr>
              <w:pStyle w:val="10"/>
              <w:jc w:val="center"/>
              <w:rPr>
                <w:rFonts w:ascii="宋体" w:hAnsi="宋体"/>
                <w:b/>
                <w:szCs w:val="21"/>
              </w:rPr>
            </w:pPr>
            <w:r>
              <w:rPr>
                <w:rFonts w:hint="eastAsia" w:ascii="宋体" w:hAnsi="宋体"/>
                <w:b/>
                <w:szCs w:val="21"/>
              </w:rPr>
              <w:t>（万元）</w:t>
            </w:r>
          </w:p>
        </w:tc>
        <w:tc>
          <w:tcPr>
            <w:tcW w:w="775" w:type="dxa"/>
            <w:vAlign w:val="center"/>
          </w:tcPr>
          <w:p>
            <w:pPr>
              <w:pStyle w:val="10"/>
              <w:ind w:left="0" w:firstLine="0"/>
              <w:jc w:val="center"/>
              <w:rPr>
                <w:rFonts w:ascii="宋体" w:hAnsi="宋体"/>
                <w:b/>
                <w:szCs w:val="21"/>
              </w:rPr>
            </w:pPr>
            <w:r>
              <w:rPr>
                <w:rFonts w:hint="eastAsia" w:ascii="宋体" w:hAnsi="宋体"/>
                <w:b/>
                <w:szCs w:val="21"/>
              </w:rPr>
              <w:t>数量</w:t>
            </w:r>
          </w:p>
        </w:tc>
        <w:tc>
          <w:tcPr>
            <w:tcW w:w="1281" w:type="dxa"/>
            <w:vAlign w:val="center"/>
          </w:tcPr>
          <w:p>
            <w:pPr>
              <w:pStyle w:val="10"/>
              <w:ind w:left="0" w:firstLine="0"/>
              <w:jc w:val="center"/>
              <w:rPr>
                <w:rFonts w:ascii="宋体" w:hAnsi="宋体"/>
                <w:b/>
                <w:szCs w:val="21"/>
              </w:rPr>
            </w:pPr>
            <w:r>
              <w:rPr>
                <w:rFonts w:hint="eastAsia" w:ascii="宋体" w:hAnsi="宋体"/>
                <w:b/>
                <w:szCs w:val="21"/>
              </w:rPr>
              <w:t>合同金额</w:t>
            </w:r>
          </w:p>
        </w:tc>
        <w:tc>
          <w:tcPr>
            <w:tcW w:w="1481" w:type="dxa"/>
            <w:vAlign w:val="center"/>
          </w:tcPr>
          <w:p>
            <w:pPr>
              <w:pStyle w:val="10"/>
              <w:ind w:left="0" w:firstLine="0"/>
              <w:jc w:val="center"/>
              <w:rPr>
                <w:rFonts w:ascii="宋体" w:hAnsi="宋体"/>
                <w:b/>
                <w:szCs w:val="21"/>
              </w:rPr>
            </w:pPr>
            <w:r>
              <w:rPr>
                <w:rFonts w:hint="eastAsia" w:ascii="宋体" w:hAnsi="宋体"/>
                <w:b/>
                <w:szCs w:val="21"/>
              </w:rPr>
              <w:t>合同签订时间</w:t>
            </w:r>
          </w:p>
        </w:tc>
        <w:tc>
          <w:tcPr>
            <w:tcW w:w="1559" w:type="dxa"/>
            <w:vAlign w:val="center"/>
          </w:tcPr>
          <w:p>
            <w:pPr>
              <w:pStyle w:val="10"/>
              <w:jc w:val="center"/>
              <w:rPr>
                <w:rFonts w:ascii="宋体" w:hAnsi="宋体"/>
                <w:b/>
                <w:szCs w:val="21"/>
              </w:rPr>
            </w:pPr>
            <w:r>
              <w:rPr>
                <w:rFonts w:hint="eastAsia" w:ascii="宋体" w:hAnsi="宋体"/>
                <w:b/>
                <w:szCs w:val="21"/>
              </w:rPr>
              <w:t>联系人及</w:t>
            </w:r>
          </w:p>
          <w:p>
            <w:pPr>
              <w:pStyle w:val="10"/>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pStyle w:val="10"/>
              <w:rPr>
                <w:rFonts w:ascii="宋体" w:hAnsi="宋体"/>
                <w:b/>
              </w:rPr>
            </w:pPr>
          </w:p>
        </w:tc>
        <w:tc>
          <w:tcPr>
            <w:tcW w:w="2061" w:type="dxa"/>
          </w:tcPr>
          <w:p>
            <w:pPr>
              <w:pStyle w:val="10"/>
              <w:rPr>
                <w:rFonts w:ascii="宋体" w:hAnsi="宋体"/>
                <w:b/>
              </w:rPr>
            </w:pPr>
          </w:p>
        </w:tc>
        <w:tc>
          <w:tcPr>
            <w:tcW w:w="1317" w:type="dxa"/>
          </w:tcPr>
          <w:p>
            <w:pPr>
              <w:pStyle w:val="10"/>
              <w:rPr>
                <w:rFonts w:ascii="宋体" w:hAnsi="宋体"/>
                <w:b/>
              </w:rPr>
            </w:pPr>
          </w:p>
        </w:tc>
        <w:tc>
          <w:tcPr>
            <w:tcW w:w="775" w:type="dxa"/>
          </w:tcPr>
          <w:p>
            <w:pPr>
              <w:pStyle w:val="10"/>
              <w:rPr>
                <w:rFonts w:ascii="宋体" w:hAnsi="宋体"/>
                <w:b/>
              </w:rPr>
            </w:pPr>
          </w:p>
        </w:tc>
        <w:tc>
          <w:tcPr>
            <w:tcW w:w="1281" w:type="dxa"/>
          </w:tcPr>
          <w:p>
            <w:pPr>
              <w:pStyle w:val="10"/>
              <w:rPr>
                <w:rFonts w:ascii="宋体" w:hAnsi="宋体"/>
                <w:b/>
              </w:rPr>
            </w:pPr>
          </w:p>
        </w:tc>
        <w:tc>
          <w:tcPr>
            <w:tcW w:w="1481" w:type="dxa"/>
          </w:tcPr>
          <w:p>
            <w:pPr>
              <w:pStyle w:val="10"/>
              <w:rPr>
                <w:rFonts w:ascii="宋体" w:hAnsi="宋体"/>
                <w:b/>
              </w:rPr>
            </w:pPr>
          </w:p>
        </w:tc>
        <w:tc>
          <w:tcPr>
            <w:tcW w:w="1559" w:type="dxa"/>
          </w:tcPr>
          <w:p>
            <w:pPr>
              <w:pStyle w:val="1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pStyle w:val="10"/>
              <w:rPr>
                <w:rFonts w:ascii="宋体" w:hAnsi="宋体"/>
                <w:b/>
              </w:rPr>
            </w:pPr>
          </w:p>
        </w:tc>
        <w:tc>
          <w:tcPr>
            <w:tcW w:w="2061" w:type="dxa"/>
          </w:tcPr>
          <w:p>
            <w:pPr>
              <w:pStyle w:val="10"/>
              <w:rPr>
                <w:rFonts w:ascii="宋体" w:hAnsi="宋体"/>
                <w:b/>
              </w:rPr>
            </w:pPr>
          </w:p>
        </w:tc>
        <w:tc>
          <w:tcPr>
            <w:tcW w:w="1317" w:type="dxa"/>
          </w:tcPr>
          <w:p>
            <w:pPr>
              <w:pStyle w:val="10"/>
              <w:rPr>
                <w:rFonts w:ascii="宋体" w:hAnsi="宋体"/>
                <w:b/>
              </w:rPr>
            </w:pPr>
          </w:p>
        </w:tc>
        <w:tc>
          <w:tcPr>
            <w:tcW w:w="775" w:type="dxa"/>
          </w:tcPr>
          <w:p>
            <w:pPr>
              <w:pStyle w:val="10"/>
              <w:rPr>
                <w:rFonts w:ascii="宋体" w:hAnsi="宋体"/>
                <w:b/>
              </w:rPr>
            </w:pPr>
          </w:p>
        </w:tc>
        <w:tc>
          <w:tcPr>
            <w:tcW w:w="1281" w:type="dxa"/>
          </w:tcPr>
          <w:p>
            <w:pPr>
              <w:pStyle w:val="10"/>
              <w:rPr>
                <w:rFonts w:ascii="宋体" w:hAnsi="宋体"/>
                <w:b/>
              </w:rPr>
            </w:pPr>
          </w:p>
        </w:tc>
        <w:tc>
          <w:tcPr>
            <w:tcW w:w="1481" w:type="dxa"/>
          </w:tcPr>
          <w:p>
            <w:pPr>
              <w:pStyle w:val="10"/>
              <w:rPr>
                <w:rFonts w:ascii="宋体" w:hAnsi="宋体"/>
                <w:b/>
              </w:rPr>
            </w:pPr>
          </w:p>
        </w:tc>
        <w:tc>
          <w:tcPr>
            <w:tcW w:w="1559" w:type="dxa"/>
          </w:tcPr>
          <w:p>
            <w:pPr>
              <w:pStyle w:val="1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pStyle w:val="10"/>
              <w:rPr>
                <w:rFonts w:ascii="宋体" w:hAnsi="宋体"/>
                <w:b/>
              </w:rPr>
            </w:pPr>
          </w:p>
        </w:tc>
        <w:tc>
          <w:tcPr>
            <w:tcW w:w="2061" w:type="dxa"/>
          </w:tcPr>
          <w:p>
            <w:pPr>
              <w:pStyle w:val="10"/>
              <w:rPr>
                <w:rFonts w:ascii="宋体" w:hAnsi="宋体"/>
                <w:b/>
              </w:rPr>
            </w:pPr>
          </w:p>
        </w:tc>
        <w:tc>
          <w:tcPr>
            <w:tcW w:w="1317" w:type="dxa"/>
          </w:tcPr>
          <w:p>
            <w:pPr>
              <w:pStyle w:val="10"/>
              <w:rPr>
                <w:rFonts w:ascii="宋体" w:hAnsi="宋体"/>
                <w:b/>
              </w:rPr>
            </w:pPr>
          </w:p>
        </w:tc>
        <w:tc>
          <w:tcPr>
            <w:tcW w:w="775" w:type="dxa"/>
          </w:tcPr>
          <w:p>
            <w:pPr>
              <w:pStyle w:val="10"/>
              <w:rPr>
                <w:rFonts w:ascii="宋体" w:hAnsi="宋体"/>
                <w:b/>
              </w:rPr>
            </w:pPr>
          </w:p>
        </w:tc>
        <w:tc>
          <w:tcPr>
            <w:tcW w:w="1281" w:type="dxa"/>
          </w:tcPr>
          <w:p>
            <w:pPr>
              <w:pStyle w:val="10"/>
              <w:rPr>
                <w:rFonts w:ascii="宋体" w:hAnsi="宋体"/>
                <w:b/>
              </w:rPr>
            </w:pPr>
          </w:p>
        </w:tc>
        <w:tc>
          <w:tcPr>
            <w:tcW w:w="1481" w:type="dxa"/>
          </w:tcPr>
          <w:p>
            <w:pPr>
              <w:pStyle w:val="10"/>
              <w:rPr>
                <w:rFonts w:ascii="宋体" w:hAnsi="宋体"/>
                <w:b/>
              </w:rPr>
            </w:pPr>
          </w:p>
        </w:tc>
        <w:tc>
          <w:tcPr>
            <w:tcW w:w="1559" w:type="dxa"/>
          </w:tcPr>
          <w:p>
            <w:pPr>
              <w:pStyle w:val="1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pStyle w:val="10"/>
              <w:rPr>
                <w:rFonts w:ascii="宋体" w:hAnsi="宋体"/>
                <w:b/>
              </w:rPr>
            </w:pPr>
          </w:p>
        </w:tc>
        <w:tc>
          <w:tcPr>
            <w:tcW w:w="2061" w:type="dxa"/>
          </w:tcPr>
          <w:p>
            <w:pPr>
              <w:pStyle w:val="10"/>
              <w:rPr>
                <w:rFonts w:ascii="宋体" w:hAnsi="宋体"/>
                <w:b/>
              </w:rPr>
            </w:pPr>
          </w:p>
        </w:tc>
        <w:tc>
          <w:tcPr>
            <w:tcW w:w="1317" w:type="dxa"/>
          </w:tcPr>
          <w:p>
            <w:pPr>
              <w:pStyle w:val="10"/>
              <w:rPr>
                <w:rFonts w:ascii="宋体" w:hAnsi="宋体"/>
                <w:b/>
              </w:rPr>
            </w:pPr>
          </w:p>
        </w:tc>
        <w:tc>
          <w:tcPr>
            <w:tcW w:w="775" w:type="dxa"/>
          </w:tcPr>
          <w:p>
            <w:pPr>
              <w:pStyle w:val="10"/>
              <w:rPr>
                <w:rFonts w:ascii="宋体" w:hAnsi="宋体"/>
                <w:b/>
              </w:rPr>
            </w:pPr>
          </w:p>
        </w:tc>
        <w:tc>
          <w:tcPr>
            <w:tcW w:w="1281" w:type="dxa"/>
          </w:tcPr>
          <w:p>
            <w:pPr>
              <w:pStyle w:val="10"/>
              <w:rPr>
                <w:rFonts w:ascii="宋体" w:hAnsi="宋体"/>
                <w:b/>
              </w:rPr>
            </w:pPr>
          </w:p>
        </w:tc>
        <w:tc>
          <w:tcPr>
            <w:tcW w:w="1481" w:type="dxa"/>
          </w:tcPr>
          <w:p>
            <w:pPr>
              <w:pStyle w:val="10"/>
              <w:rPr>
                <w:rFonts w:ascii="宋体" w:hAnsi="宋体"/>
                <w:b/>
              </w:rPr>
            </w:pPr>
          </w:p>
        </w:tc>
        <w:tc>
          <w:tcPr>
            <w:tcW w:w="1559" w:type="dxa"/>
          </w:tcPr>
          <w:p>
            <w:pPr>
              <w:pStyle w:val="1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pStyle w:val="10"/>
              <w:rPr>
                <w:rFonts w:ascii="宋体" w:hAnsi="宋体"/>
                <w:b/>
              </w:rPr>
            </w:pPr>
          </w:p>
        </w:tc>
        <w:tc>
          <w:tcPr>
            <w:tcW w:w="2061" w:type="dxa"/>
          </w:tcPr>
          <w:p>
            <w:pPr>
              <w:pStyle w:val="10"/>
              <w:rPr>
                <w:rFonts w:ascii="宋体" w:hAnsi="宋体"/>
                <w:b/>
              </w:rPr>
            </w:pPr>
          </w:p>
        </w:tc>
        <w:tc>
          <w:tcPr>
            <w:tcW w:w="1317" w:type="dxa"/>
          </w:tcPr>
          <w:p>
            <w:pPr>
              <w:pStyle w:val="10"/>
              <w:rPr>
                <w:rFonts w:ascii="宋体" w:hAnsi="宋体"/>
                <w:b/>
              </w:rPr>
            </w:pPr>
          </w:p>
        </w:tc>
        <w:tc>
          <w:tcPr>
            <w:tcW w:w="775" w:type="dxa"/>
          </w:tcPr>
          <w:p>
            <w:pPr>
              <w:pStyle w:val="10"/>
              <w:rPr>
                <w:rFonts w:ascii="宋体" w:hAnsi="宋体"/>
                <w:b/>
              </w:rPr>
            </w:pPr>
          </w:p>
        </w:tc>
        <w:tc>
          <w:tcPr>
            <w:tcW w:w="1281" w:type="dxa"/>
          </w:tcPr>
          <w:p>
            <w:pPr>
              <w:pStyle w:val="10"/>
              <w:rPr>
                <w:rFonts w:ascii="宋体" w:hAnsi="宋体"/>
                <w:b/>
              </w:rPr>
            </w:pPr>
          </w:p>
        </w:tc>
        <w:tc>
          <w:tcPr>
            <w:tcW w:w="1481" w:type="dxa"/>
          </w:tcPr>
          <w:p>
            <w:pPr>
              <w:pStyle w:val="10"/>
              <w:rPr>
                <w:rFonts w:ascii="宋体" w:hAnsi="宋体"/>
                <w:b/>
              </w:rPr>
            </w:pPr>
          </w:p>
        </w:tc>
        <w:tc>
          <w:tcPr>
            <w:tcW w:w="1559" w:type="dxa"/>
          </w:tcPr>
          <w:p>
            <w:pPr>
              <w:pStyle w:val="10"/>
              <w:rPr>
                <w:rFonts w:ascii="宋体" w:hAnsi="宋体"/>
                <w:b/>
              </w:rPr>
            </w:pPr>
          </w:p>
        </w:tc>
      </w:tr>
    </w:tbl>
    <w:p>
      <w:pPr>
        <w:pStyle w:val="6"/>
        <w:spacing w:line="360" w:lineRule="auto"/>
        <w:jc w:val="center"/>
        <w:rPr>
          <w:rFonts w:ascii="黑体" w:eastAsia="黑体"/>
          <w:b/>
          <w:bCs/>
          <w:sz w:val="36"/>
          <w:szCs w:val="36"/>
        </w:rPr>
      </w:pPr>
      <w:r>
        <w:rPr>
          <w:rFonts w:ascii="黑体" w:eastAsia="黑体"/>
          <w:b/>
          <w:bCs/>
          <w:sz w:val="36"/>
          <w:szCs w:val="36"/>
        </w:rPr>
        <w:br w:type="page"/>
      </w: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要求</w:t>
      </w:r>
    </w:p>
    <w:p>
      <w:pPr>
        <w:pStyle w:val="6"/>
        <w:spacing w:line="360" w:lineRule="auto"/>
        <w:rPr>
          <w:rFonts w:hAnsi="宋体" w:cs="宋体"/>
          <w:bCs/>
          <w:sz w:val="30"/>
          <w:szCs w:val="30"/>
        </w:rPr>
      </w:pPr>
      <w:r>
        <w:rPr>
          <w:rFonts w:hint="eastAsia" w:hAnsi="宋体" w:cs="宋体"/>
          <w:bCs/>
          <w:sz w:val="30"/>
          <w:szCs w:val="30"/>
        </w:rPr>
        <w:t>一、 项目名称</w:t>
      </w:r>
    </w:p>
    <w:p>
      <w:pPr>
        <w:rPr>
          <w:rFonts w:ascii="宋体" w:hAnsi="宋体"/>
        </w:rPr>
      </w:pPr>
      <w:r>
        <w:rPr>
          <w:rFonts w:hint="eastAsia" w:ascii="宋体" w:hAnsi="宋体"/>
        </w:rPr>
        <w:t>中国重汽集团济南动力有限公司成型中心生产区域冬季供暖提升项目</w:t>
      </w:r>
    </w:p>
    <w:p>
      <w:pPr>
        <w:rPr>
          <w:rFonts w:hint="eastAsia" w:ascii="宋体" w:hAnsi="宋体" w:cs="宋体"/>
          <w:bCs/>
          <w:sz w:val="30"/>
          <w:szCs w:val="30"/>
        </w:rPr>
      </w:pPr>
      <w:r>
        <w:rPr>
          <w:rFonts w:hint="eastAsia" w:ascii="宋体" w:hAnsi="宋体" w:cs="宋体"/>
          <w:bCs/>
          <w:sz w:val="30"/>
          <w:szCs w:val="30"/>
        </w:rPr>
        <w:t>二 、项目范围</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lang w:val="en-US" w:eastAsia="zh-CN"/>
        </w:rPr>
      </w:pPr>
      <w:r>
        <w:rPr>
          <w:rFonts w:hint="eastAsia" w:ascii="宋体" w:hAnsi="宋体"/>
          <w:lang w:val="en-US" w:eastAsia="zh-CN"/>
        </w:rPr>
        <w:t>此次改造属于交钥匙工程，有关方案设计和所有材料的采购、运输费、包装费、安装调试费、税费、指导培训、保险等全部由投标方负责。项目改造施工满足相关国家现行标准、技术规范的各项要求。</w:t>
      </w: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color w:val="auto"/>
          <w:highlight w:val="none"/>
          <w:lang w:val="en-US" w:eastAsia="zh-CN"/>
        </w:rPr>
      </w:pPr>
      <w:r>
        <w:rPr>
          <w:rFonts w:hint="eastAsia" w:ascii="宋体" w:hAnsi="宋体"/>
          <w:lang w:val="en-US" w:eastAsia="zh-CN"/>
        </w:rPr>
        <w:t>1、</w:t>
      </w:r>
      <w:r>
        <w:rPr>
          <w:rFonts w:hint="eastAsia" w:ascii="宋体" w:hAnsi="宋体"/>
          <w:color w:val="auto"/>
          <w:highlight w:val="none"/>
          <w:lang w:val="en-US" w:eastAsia="zh-CN"/>
        </w:rPr>
        <w:t>生产区域供暖提升部分：根据安装位置分布明细，在甲方指定区域安装铸铁暖气片110组（不低于20片/组）及管道对接；扩能车间供热管道改造，散热器拆装及管道对接</w:t>
      </w:r>
      <w:r>
        <w:rPr>
          <w:rFonts w:hint="eastAsia" w:ascii="宋体" w:hAnsi="宋体"/>
          <w:color w:val="auto"/>
          <w:highlight w:val="none"/>
          <w:lang w:val="en-US" w:eastAsia="zh-CN"/>
        </w:rPr>
        <w:t>，达到热网平衡，暖气片整体</w:t>
      </w:r>
      <w:r>
        <w:rPr>
          <w:rFonts w:hint="eastAsia" w:ascii="宋体" w:hAnsi="宋体"/>
          <w:color w:val="auto"/>
          <w:highlight w:val="none"/>
          <w:lang w:val="en-US" w:eastAsia="zh-CN"/>
        </w:rPr>
        <w:t>最低温温度不低于40℃。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2、换热站房换热能力提升：</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2.1热交换器更换为2台换热40㎡换热器及管道对接，换热管材质304无缝不锈钢管，系统承压不低于1.6MPA，管壁厚度不低于2mm。</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2.2拆除原有两台22kw循环泵，更换为两台55kw高效供暖热水管道循环泵并负责管道对接。循环泵采用连成、东方或凯泉品牌，扬程不低于45m，流量不低于240m³/h，采用变频控制，变频器品牌选用三菱或ABB、西门子。</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新增换热站集中控制系统实现换热站自动运行、无人值守和远程监控改造，包括但不仅限于以下功能（PLC采用西门子品牌，其余元件采用国内外一线品牌）。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3.1、气候补偿：根据室外温度的变化及用户设定的不同时间对供暖温度要求，按照预设定的函数曲线通过调节阀开度、调节变频泵的频率，改变出水温度与流量，实现供热系统供水温度。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3.2循环泵变频控制系统，可实现恒压，恒压差，恒温差等控制，自动补水，水箱液位监测控制。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highlight w:val="none"/>
          <w:lang w:val="en-US" w:eastAsia="zh-CN"/>
        </w:rPr>
      </w:pPr>
      <w:r>
        <w:rPr>
          <w:rFonts w:hint="eastAsia" w:ascii="宋体" w:hAnsi="宋体"/>
          <w:color w:val="auto"/>
          <w:highlight w:val="none"/>
          <w:lang w:val="en-US" w:eastAsia="zh-CN"/>
        </w:rPr>
        <w:t>3.3换热站“一键启动”、自动运行、故障预警等功能。按指定位置，增加 10处无线管道式压</w:t>
      </w:r>
      <w:r>
        <w:rPr>
          <w:rFonts w:hint="eastAsia" w:ascii="宋体" w:hAnsi="宋体"/>
          <w:highlight w:val="none"/>
          <w:lang w:val="en-US" w:eastAsia="zh-CN"/>
        </w:rPr>
        <w:t>力压力传感器、压力采集测点，用于换热站精准调控。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宋体" w:hAnsi="宋体"/>
          <w:highlight w:val="none"/>
          <w:lang w:val="en-US" w:eastAsia="zh-CN"/>
        </w:rPr>
      </w:pPr>
      <w:r>
        <w:rPr>
          <w:rFonts w:hint="eastAsia" w:ascii="宋体" w:hAnsi="宋体"/>
          <w:highlight w:val="none"/>
          <w:lang w:val="en-US" w:eastAsia="zh-CN"/>
        </w:rPr>
        <w:t>3.4计量监测系统：对换热器消耗蒸汽、循环水流量、循环泵电量进行采集监控显示。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宋体" w:hAnsi="宋体"/>
          <w:lang w:val="en-US" w:eastAsia="zh-CN"/>
        </w:rPr>
      </w:pPr>
      <w:r>
        <w:rPr>
          <w:rFonts w:hint="eastAsia" w:ascii="宋体" w:hAnsi="宋体"/>
          <w:highlight w:val="none"/>
          <w:lang w:val="en-US" w:eastAsia="zh-CN"/>
        </w:rPr>
        <w:t>3.5视频监控及远程管理系统：利用现有网络系统，实现值班室对换热站实时状态进行视频监控（工控机）和远程管理（手机）</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b/>
          <w:bCs/>
          <w:lang w:val="en-US" w:eastAsia="zh-CN"/>
        </w:rPr>
      </w:pPr>
      <w:r>
        <w:rPr>
          <w:rFonts w:hint="eastAsia" w:ascii="宋体" w:hAnsi="宋体"/>
          <w:b/>
          <w:bCs/>
          <w:lang w:val="en-US" w:eastAsia="zh-CN"/>
        </w:rPr>
        <w:t>投标方需到招标方现场实际勘察测量，所有施工工作量、工作内容以现场勘测为准，如未进行勘察测量造成投标方投标方案遗漏，投标方自行补齐，不可因此增加报价。工期30个自然日，工程自验收之日起质保一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lang w:val="en-US" w:eastAsia="zh-CN"/>
        </w:rPr>
      </w:pPr>
    </w:p>
    <w:p/>
    <w:sectPr>
      <w:footerReference r:id="rId6" w:type="default"/>
      <w:pgSz w:w="11906" w:h="16838"/>
      <w:pgMar w:top="1701" w:right="1418"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4"/>
                            </w:rPr>
                          </w:pPr>
                          <w:r>
                            <w:fldChar w:fldCharType="begin"/>
                          </w:r>
                          <w:r>
                            <w:rPr>
                              <w:rStyle w:val="14"/>
                            </w:rPr>
                            <w:instrText xml:space="preserve">PAGE  </w:instrText>
                          </w:r>
                          <w:r>
                            <w:fldChar w:fldCharType="separate"/>
                          </w:r>
                          <w:r>
                            <w:rPr>
                              <w:rStyle w:val="14"/>
                            </w:rPr>
                            <w:t>- 11 -</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- 11 -</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9A437"/>
    <w:multiLevelType w:val="singleLevel"/>
    <w:tmpl w:val="87D9A437"/>
    <w:lvl w:ilvl="0" w:tentative="0">
      <w:start w:val="3"/>
      <w:numFmt w:val="decimal"/>
      <w:suff w:val="nothing"/>
      <w:lvlText w:val="%1、"/>
      <w:lvlJc w:val="left"/>
    </w:lvl>
  </w:abstractNum>
  <w:abstractNum w:abstractNumId="1">
    <w:nsid w:val="0053208E"/>
    <w:multiLevelType w:val="multilevel"/>
    <w:tmpl w:val="0053208E"/>
    <w:lvl w:ilvl="0" w:tentative="0">
      <w:start w:val="1"/>
      <w:numFmt w:val="japaneseCounting"/>
      <w:pStyle w:val="11"/>
      <w:lvlText w:val="%1、"/>
      <w:lvlJc w:val="left"/>
      <w:pPr>
        <w:tabs>
          <w:tab w:val="left" w:pos="480"/>
        </w:tabs>
        <w:ind w:left="480" w:hanging="48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9664BB8"/>
    <w:multiLevelType w:val="singleLevel"/>
    <w:tmpl w:val="19664BB8"/>
    <w:lvl w:ilvl="0" w:tentative="0">
      <w:start w:val="1"/>
      <w:numFmt w:val="decimal"/>
      <w:lvlText w:val="%1."/>
      <w:lvlJc w:val="left"/>
      <w:pPr>
        <w:tabs>
          <w:tab w:val="left" w:pos="312"/>
        </w:tabs>
      </w:p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AC"/>
    <w:rsid w:val="000071FA"/>
    <w:rsid w:val="00070932"/>
    <w:rsid w:val="000779AC"/>
    <w:rsid w:val="0024166E"/>
    <w:rsid w:val="00356E39"/>
    <w:rsid w:val="003C6348"/>
    <w:rsid w:val="005E1ABF"/>
    <w:rsid w:val="006B273F"/>
    <w:rsid w:val="006C499D"/>
    <w:rsid w:val="006D2419"/>
    <w:rsid w:val="00746358"/>
    <w:rsid w:val="007A5BA5"/>
    <w:rsid w:val="008E5BF0"/>
    <w:rsid w:val="00960067"/>
    <w:rsid w:val="00A15BB2"/>
    <w:rsid w:val="00B77B49"/>
    <w:rsid w:val="00D50678"/>
    <w:rsid w:val="00E13F7D"/>
    <w:rsid w:val="00EA0A91"/>
    <w:rsid w:val="012827CD"/>
    <w:rsid w:val="023E4E65"/>
    <w:rsid w:val="03103A5D"/>
    <w:rsid w:val="036D461D"/>
    <w:rsid w:val="03821E60"/>
    <w:rsid w:val="04021CAC"/>
    <w:rsid w:val="04F62617"/>
    <w:rsid w:val="050839B6"/>
    <w:rsid w:val="06190817"/>
    <w:rsid w:val="062B48C2"/>
    <w:rsid w:val="062E7F0F"/>
    <w:rsid w:val="07747A12"/>
    <w:rsid w:val="082F5C55"/>
    <w:rsid w:val="08EA581E"/>
    <w:rsid w:val="09C037E0"/>
    <w:rsid w:val="0D257D8E"/>
    <w:rsid w:val="0DBE024B"/>
    <w:rsid w:val="0F2973DD"/>
    <w:rsid w:val="0FD20357"/>
    <w:rsid w:val="1089417D"/>
    <w:rsid w:val="12590DFB"/>
    <w:rsid w:val="12DF7A4C"/>
    <w:rsid w:val="134A1BF7"/>
    <w:rsid w:val="13E64E96"/>
    <w:rsid w:val="1426651A"/>
    <w:rsid w:val="14457CCA"/>
    <w:rsid w:val="157A14CE"/>
    <w:rsid w:val="158776AD"/>
    <w:rsid w:val="1611014C"/>
    <w:rsid w:val="16530355"/>
    <w:rsid w:val="16B95099"/>
    <w:rsid w:val="18B847BC"/>
    <w:rsid w:val="19BC5D82"/>
    <w:rsid w:val="1A575AF9"/>
    <w:rsid w:val="1AA52BFB"/>
    <w:rsid w:val="1AB86ED0"/>
    <w:rsid w:val="1B793887"/>
    <w:rsid w:val="1C5037B0"/>
    <w:rsid w:val="1CC4067F"/>
    <w:rsid w:val="1D7911EC"/>
    <w:rsid w:val="1F0E3A12"/>
    <w:rsid w:val="1FC16D37"/>
    <w:rsid w:val="20A350BA"/>
    <w:rsid w:val="22FF2ECC"/>
    <w:rsid w:val="23E536C9"/>
    <w:rsid w:val="24DA5BB0"/>
    <w:rsid w:val="25703A63"/>
    <w:rsid w:val="25B515A9"/>
    <w:rsid w:val="25D63C2B"/>
    <w:rsid w:val="270C56C4"/>
    <w:rsid w:val="27511A05"/>
    <w:rsid w:val="27BD6771"/>
    <w:rsid w:val="28324C6B"/>
    <w:rsid w:val="287F51ED"/>
    <w:rsid w:val="2A8404E9"/>
    <w:rsid w:val="2B39144E"/>
    <w:rsid w:val="2C025E21"/>
    <w:rsid w:val="2DD85019"/>
    <w:rsid w:val="2E937CE0"/>
    <w:rsid w:val="2EAE1D80"/>
    <w:rsid w:val="2F4D7D7D"/>
    <w:rsid w:val="2FC75591"/>
    <w:rsid w:val="309B7483"/>
    <w:rsid w:val="30A651D0"/>
    <w:rsid w:val="356F650B"/>
    <w:rsid w:val="360F2B3E"/>
    <w:rsid w:val="364E256F"/>
    <w:rsid w:val="36F42213"/>
    <w:rsid w:val="386D3E1E"/>
    <w:rsid w:val="39BC1822"/>
    <w:rsid w:val="3C177D5E"/>
    <w:rsid w:val="3CFD2AA5"/>
    <w:rsid w:val="3D5E6A4D"/>
    <w:rsid w:val="3EDC5FC9"/>
    <w:rsid w:val="3F9D087D"/>
    <w:rsid w:val="40CB5487"/>
    <w:rsid w:val="410905BB"/>
    <w:rsid w:val="41D34C52"/>
    <w:rsid w:val="41E51054"/>
    <w:rsid w:val="42E23731"/>
    <w:rsid w:val="42FC3743"/>
    <w:rsid w:val="43BB6865"/>
    <w:rsid w:val="43FE1C80"/>
    <w:rsid w:val="45A5250A"/>
    <w:rsid w:val="45E934C4"/>
    <w:rsid w:val="45F97C13"/>
    <w:rsid w:val="46B5051B"/>
    <w:rsid w:val="478D1B98"/>
    <w:rsid w:val="485F4577"/>
    <w:rsid w:val="494D0538"/>
    <w:rsid w:val="49CD7753"/>
    <w:rsid w:val="4A290DF1"/>
    <w:rsid w:val="4BDB0ACA"/>
    <w:rsid w:val="4C553081"/>
    <w:rsid w:val="4CD652F8"/>
    <w:rsid w:val="4FC058CA"/>
    <w:rsid w:val="50B0370D"/>
    <w:rsid w:val="51384243"/>
    <w:rsid w:val="536B3AC2"/>
    <w:rsid w:val="53A56378"/>
    <w:rsid w:val="55E33117"/>
    <w:rsid w:val="55FD66A4"/>
    <w:rsid w:val="589C66EE"/>
    <w:rsid w:val="58B95410"/>
    <w:rsid w:val="58E91A5B"/>
    <w:rsid w:val="594E0342"/>
    <w:rsid w:val="59D76803"/>
    <w:rsid w:val="5A0B157A"/>
    <w:rsid w:val="5C507001"/>
    <w:rsid w:val="5CF07664"/>
    <w:rsid w:val="5D554FC2"/>
    <w:rsid w:val="5EE06F1C"/>
    <w:rsid w:val="5FE93E7E"/>
    <w:rsid w:val="605E0FED"/>
    <w:rsid w:val="61EA70A9"/>
    <w:rsid w:val="621B1560"/>
    <w:rsid w:val="63627593"/>
    <w:rsid w:val="64EF7A44"/>
    <w:rsid w:val="665D410F"/>
    <w:rsid w:val="66F945F2"/>
    <w:rsid w:val="6708469A"/>
    <w:rsid w:val="672C5625"/>
    <w:rsid w:val="67D154BA"/>
    <w:rsid w:val="6A084C3D"/>
    <w:rsid w:val="6AEF4EEB"/>
    <w:rsid w:val="6BCD2E8B"/>
    <w:rsid w:val="6DFA0C25"/>
    <w:rsid w:val="6F11031F"/>
    <w:rsid w:val="70FD2C66"/>
    <w:rsid w:val="72343738"/>
    <w:rsid w:val="74097469"/>
    <w:rsid w:val="749359B3"/>
    <w:rsid w:val="75FF7D07"/>
    <w:rsid w:val="764100E1"/>
    <w:rsid w:val="766C4361"/>
    <w:rsid w:val="76B44A98"/>
    <w:rsid w:val="76FD6C07"/>
    <w:rsid w:val="771F4DE5"/>
    <w:rsid w:val="776046FD"/>
    <w:rsid w:val="7F903343"/>
    <w:rsid w:val="7FD1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rPr>
      <w:rFonts w:ascii="仿宋_GB2312" w:eastAsia="仿宋_GB2312"/>
      <w:sz w:val="32"/>
    </w:rPr>
  </w:style>
  <w:style w:type="paragraph" w:styleId="5">
    <w:name w:val="Body Text Indent"/>
    <w:basedOn w:val="1"/>
    <w:qFormat/>
    <w:uiPriority w:val="0"/>
    <w:pPr>
      <w:spacing w:line="500" w:lineRule="exact"/>
      <w:ind w:firstLine="560" w:firstLineChars="200"/>
    </w:pPr>
    <w:rPr>
      <w:rFonts w:ascii="仿宋_GB2312" w:eastAsia="仿宋_GB2312"/>
      <w:sz w:val="28"/>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Title"/>
    <w:basedOn w:val="1"/>
    <w:qFormat/>
    <w:uiPriority w:val="0"/>
    <w:pPr>
      <w:numPr>
        <w:ilvl w:val="0"/>
        <w:numId w:val="1"/>
      </w:numPr>
      <w:adjustRightInd w:val="0"/>
      <w:jc w:val="center"/>
      <w:outlineLvl w:val="0"/>
    </w:pPr>
    <w:rPr>
      <w:rFonts w:ascii="Arial" w:hAnsi="Arial" w:cs="Arial"/>
      <w:b/>
      <w:bCs/>
      <w:sz w:val="32"/>
      <w:szCs w:val="32"/>
    </w:rPr>
  </w:style>
  <w:style w:type="character" w:styleId="14">
    <w:name w:val="page number"/>
    <w:basedOn w:val="13"/>
    <w:qFormat/>
    <w:uiPriority w:val="0"/>
  </w:style>
  <w:style w:type="character" w:styleId="15">
    <w:name w:val="FollowedHyperlink"/>
    <w:basedOn w:val="13"/>
    <w:qFormat/>
    <w:uiPriority w:val="0"/>
    <w:rPr>
      <w:color w:val="296FBE"/>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semiHidden/>
    <w:qFormat/>
    <w:uiPriority w:val="99"/>
    <w:rPr>
      <w:rFonts w:cs="Times New Roman"/>
      <w:color w:val="1F4F88"/>
      <w:u w:val="none"/>
    </w:rPr>
  </w:style>
  <w:style w:type="character" w:styleId="19">
    <w:name w:val="HTML Code"/>
    <w:basedOn w:val="13"/>
    <w:qFormat/>
    <w:uiPriority w:val="0"/>
    <w:rPr>
      <w:rFonts w:ascii="微软雅黑" w:hAnsi="微软雅黑" w:eastAsia="微软雅黑" w:cs="微软雅黑"/>
      <w:sz w:val="20"/>
    </w:rPr>
  </w:style>
  <w:style w:type="character" w:styleId="20">
    <w:name w:val="annotation reference"/>
    <w:qFormat/>
    <w:uiPriority w:val="99"/>
    <w:rPr>
      <w:sz w:val="21"/>
      <w:szCs w:val="21"/>
    </w:rPr>
  </w:style>
  <w:style w:type="character" w:styleId="21">
    <w:name w:val="HTML Cite"/>
    <w:basedOn w:val="13"/>
    <w:qFormat/>
    <w:uiPriority w:val="0"/>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标书三级标题"/>
    <w:basedOn w:val="2"/>
    <w:qFormat/>
    <w:uiPriority w:val="0"/>
    <w:pPr>
      <w:spacing w:before="0" w:after="0" w:line="240" w:lineRule="auto"/>
      <w:ind w:firstLine="482" w:firstLineChars="200"/>
    </w:pPr>
    <w:rPr>
      <w:color w:val="000000"/>
      <w:sz w:val="24"/>
      <w:szCs w:val="24"/>
    </w:rPr>
  </w:style>
  <w:style w:type="paragraph" w:customStyle="1" w:styleId="24">
    <w:name w:val="标书表格"/>
    <w:basedOn w:val="1"/>
    <w:qFormat/>
    <w:uiPriority w:val="0"/>
    <w:pPr>
      <w:jc w:val="center"/>
    </w:pPr>
    <w:rPr>
      <w:b/>
    </w:rPr>
  </w:style>
  <w:style w:type="paragraph" w:customStyle="1" w:styleId="25">
    <w:name w:val="标书正文格式"/>
    <w:basedOn w:val="6"/>
    <w:qFormat/>
    <w:uiPriority w:val="0"/>
    <w:pPr>
      <w:spacing w:line="360" w:lineRule="auto"/>
      <w:ind w:firstLine="200" w:firstLineChars="200"/>
    </w:pPr>
    <w:rPr>
      <w:rFonts w:hAnsi="宋体"/>
      <w:color w:val="000000"/>
      <w:sz w:val="24"/>
      <w:szCs w:val="24"/>
    </w:rPr>
  </w:style>
  <w:style w:type="character" w:customStyle="1" w:styleId="26">
    <w:name w:val="ico1654"/>
    <w:basedOn w:val="13"/>
    <w:qFormat/>
    <w:uiPriority w:val="0"/>
  </w:style>
  <w:style w:type="character" w:customStyle="1" w:styleId="27">
    <w:name w:val="biggerthanmax"/>
    <w:basedOn w:val="13"/>
    <w:qFormat/>
    <w:uiPriority w:val="0"/>
    <w:rPr>
      <w:shd w:val="clear" w:color="auto" w:fill="FFFF00"/>
    </w:rPr>
  </w:style>
  <w:style w:type="character" w:customStyle="1" w:styleId="28">
    <w:name w:val="ico1655"/>
    <w:basedOn w:val="13"/>
    <w:qFormat/>
    <w:uiPriority w:val="0"/>
  </w:style>
  <w:style w:type="character" w:customStyle="1" w:styleId="29">
    <w:name w:val="pagechatarealistclose_box"/>
    <w:basedOn w:val="13"/>
    <w:qFormat/>
    <w:uiPriority w:val="0"/>
  </w:style>
  <w:style w:type="character" w:customStyle="1" w:styleId="30">
    <w:name w:val="tmpztreemove_arrow"/>
    <w:basedOn w:val="13"/>
    <w:qFormat/>
    <w:uiPriority w:val="0"/>
  </w:style>
  <w:style w:type="character" w:customStyle="1" w:styleId="31">
    <w:name w:val="cdropright"/>
    <w:basedOn w:val="13"/>
    <w:qFormat/>
    <w:uiPriority w:val="0"/>
  </w:style>
  <w:style w:type="character" w:customStyle="1" w:styleId="32">
    <w:name w:val="font21"/>
    <w:basedOn w:val="13"/>
    <w:qFormat/>
    <w:uiPriority w:val="0"/>
    <w:rPr>
      <w:rFonts w:hint="eastAsia" w:ascii="仿宋" w:hAnsi="仿宋" w:eastAsia="仿宋" w:cs="仿宋"/>
      <w:color w:val="000000"/>
      <w:sz w:val="24"/>
      <w:szCs w:val="24"/>
      <w:u w:val="none"/>
    </w:rPr>
  </w:style>
  <w:style w:type="character" w:customStyle="1" w:styleId="33">
    <w:name w:val="pagechatarealistclose_box1"/>
    <w:basedOn w:val="13"/>
    <w:qFormat/>
    <w:uiPriority w:val="0"/>
  </w:style>
  <w:style w:type="character" w:customStyle="1" w:styleId="34">
    <w:name w:val="edit_class"/>
    <w:basedOn w:val="13"/>
    <w:qFormat/>
    <w:uiPriority w:val="0"/>
  </w:style>
  <w:style w:type="character" w:customStyle="1" w:styleId="35">
    <w:name w:val="button"/>
    <w:basedOn w:val="13"/>
    <w:qFormat/>
    <w:uiPriority w:val="0"/>
  </w:style>
  <w:style w:type="character" w:customStyle="1" w:styleId="36">
    <w:name w:val="design_class"/>
    <w:basedOn w:val="13"/>
    <w:qFormat/>
    <w:uiPriority w:val="0"/>
  </w:style>
  <w:style w:type="character" w:customStyle="1" w:styleId="37">
    <w:name w:val="active12"/>
    <w:basedOn w:val="13"/>
    <w:qFormat/>
    <w:uiPriority w:val="0"/>
    <w:rPr>
      <w:color w:val="00FF00"/>
      <w:shd w:val="clear" w:color="auto" w:fill="111111"/>
    </w:rPr>
  </w:style>
  <w:style w:type="character" w:customStyle="1" w:styleId="38">
    <w:name w:val="w32"/>
    <w:basedOn w:val="13"/>
    <w:qFormat/>
    <w:uiPriority w:val="0"/>
  </w:style>
  <w:style w:type="character" w:customStyle="1" w:styleId="39">
    <w:name w:val="active6"/>
    <w:basedOn w:val="13"/>
    <w:qFormat/>
    <w:uiPriority w:val="0"/>
    <w:rPr>
      <w:color w:val="00FF00"/>
      <w:shd w:val="clear" w:color="auto" w:fill="111111"/>
    </w:rPr>
  </w:style>
  <w:style w:type="character" w:customStyle="1" w:styleId="40">
    <w:name w:val="drapbtn"/>
    <w:basedOn w:val="13"/>
    <w:qFormat/>
    <w:uiPriority w:val="0"/>
  </w:style>
  <w:style w:type="character" w:customStyle="1" w:styleId="41">
    <w:name w:val="hilite"/>
    <w:basedOn w:val="13"/>
    <w:qFormat/>
    <w:uiPriority w:val="0"/>
    <w:rPr>
      <w:color w:val="FFFFFF"/>
      <w:shd w:val="clear" w:color="auto" w:fill="666677"/>
    </w:rPr>
  </w:style>
  <w:style w:type="character" w:customStyle="1" w:styleId="42">
    <w:name w:val="font11"/>
    <w:basedOn w:val="13"/>
    <w:qFormat/>
    <w:uiPriority w:val="0"/>
    <w:rPr>
      <w:rFonts w:hint="eastAsia" w:ascii="宋体" w:hAnsi="宋体" w:eastAsia="宋体" w:cs="宋体"/>
      <w:color w:val="000000"/>
      <w:sz w:val="24"/>
      <w:szCs w:val="24"/>
      <w:u w:val="none"/>
    </w:rPr>
  </w:style>
  <w:style w:type="character" w:customStyle="1" w:styleId="43">
    <w:name w:val="xdrichtextbox2"/>
    <w:basedOn w:val="13"/>
    <w:qFormat/>
    <w:uiPriority w:val="0"/>
  </w:style>
  <w:style w:type="character" w:customStyle="1" w:styleId="44">
    <w:name w:val="token-input-delete-token"/>
    <w:basedOn w:val="13"/>
    <w:qFormat/>
    <w:uiPriority w:val="0"/>
    <w:rPr>
      <w:color w:val="FFFFFF"/>
    </w:rPr>
  </w:style>
  <w:style w:type="character" w:customStyle="1" w:styleId="45">
    <w:name w:val="cdropleft"/>
    <w:basedOn w:val="13"/>
    <w:qFormat/>
    <w:uiPriority w:val="0"/>
  </w:style>
  <w:style w:type="character" w:customStyle="1" w:styleId="46">
    <w:name w:val="font01"/>
    <w:basedOn w:val="13"/>
    <w:qFormat/>
    <w:uiPriority w:val="0"/>
    <w:rPr>
      <w:rFonts w:hint="eastAsia" w:ascii="宋体" w:hAnsi="宋体" w:eastAsia="宋体" w:cs="宋体"/>
      <w:color w:val="000000"/>
      <w:sz w:val="22"/>
      <w:szCs w:val="22"/>
      <w:u w:val="none"/>
    </w:rPr>
  </w:style>
  <w:style w:type="character" w:customStyle="1" w:styleId="47">
    <w:name w:val="cy"/>
    <w:basedOn w:val="13"/>
    <w:qFormat/>
    <w:uiPriority w:val="0"/>
  </w:style>
  <w:style w:type="character" w:customStyle="1" w:styleId="48">
    <w:name w:val="font31"/>
    <w:basedOn w:val="13"/>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21</Pages>
  <Words>7973</Words>
  <Characters>8221</Characters>
  <Lines>67</Lines>
  <Paragraphs>18</Paragraphs>
  <TotalTime>19</TotalTime>
  <ScaleCrop>false</ScaleCrop>
  <LinksUpToDate>false</LinksUpToDate>
  <CharactersWithSpaces>8982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2020-08-07T11:39:00Z</dcterms:created>
  <dc:creator>admin</dc:creator>
  <cp:lastModifiedBy>MR.zhao</cp:lastModifiedBy>
  <cp:lastPrinted>2021-08-28T08:03:00Z</cp:lastPrinted>
  <dcterms:modified xsi:type="dcterms:W3CDTF">2021-08-31T07:22:38Z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25D122C05AB045B29A72DE0F7AFBE226</vt:lpwstr>
  </property>
</Properties>
</file>