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4197A">
      <w:pPr>
        <w:pStyle w:val="33"/>
        <w:ind w:firstLine="723" w:firstLineChars="200"/>
      </w:pPr>
      <w:bookmarkStart w:id="0" w:name="_Toc5479"/>
      <w:bookmarkStart w:id="1" w:name="_Toc47976587"/>
      <w:r>
        <w:rPr>
          <w:rFonts w:hint="eastAsia"/>
        </w:rPr>
        <w:t>招标公告</w:t>
      </w:r>
      <w:bookmarkEnd w:id="0"/>
      <w:bookmarkEnd w:id="1"/>
    </w:p>
    <w:p w14:paraId="20395910">
      <w:pPr>
        <w:ind w:firstLine="562" w:firstLineChars="200"/>
        <w:jc w:val="center"/>
        <w:rPr>
          <w:rFonts w:ascii="黑体" w:hAnsi="黑体" w:eastAsia="黑体" w:cs="黑体"/>
          <w:b/>
          <w:bCs/>
          <w:sz w:val="28"/>
          <w:szCs w:val="28"/>
        </w:rPr>
      </w:pPr>
      <w:bookmarkStart w:id="2" w:name="_Toc32474"/>
      <w:r>
        <w:rPr>
          <w:rFonts w:hint="eastAsia" w:ascii="黑体" w:hAnsi="黑体" w:eastAsia="黑体" w:cs="黑体"/>
          <w:b/>
          <w:bCs/>
          <w:sz w:val="28"/>
          <w:szCs w:val="28"/>
        </w:rPr>
        <w:t>中国重汽新能源智能制造中心安全一体化智慧园区项目招标公告</w:t>
      </w:r>
      <w:bookmarkEnd w:id="2"/>
    </w:p>
    <w:p w14:paraId="2F8C01DB">
      <w:pPr>
        <w:pStyle w:val="29"/>
        <w:ind w:firstLine="562" w:firstLineChars="200"/>
      </w:pPr>
      <w:bookmarkStart w:id="3" w:name="_Toc47976588"/>
      <w:r>
        <w:rPr>
          <w:rFonts w:hint="eastAsia"/>
        </w:rPr>
        <w:t>项目名称及项目编号</w:t>
      </w:r>
      <w:bookmarkEnd w:id="3"/>
    </w:p>
    <w:p w14:paraId="540E38F3">
      <w:pPr>
        <w:pStyle w:val="36"/>
        <w:numPr>
          <w:ilvl w:val="0"/>
          <w:numId w:val="3"/>
        </w:numPr>
        <w:ind w:left="840" w:firstLineChars="200"/>
        <w:rPr>
          <w:b w:val="0"/>
          <w:bCs/>
        </w:rPr>
      </w:pPr>
      <w:r>
        <w:rPr>
          <w:rFonts w:hint="eastAsia"/>
          <w:b w:val="0"/>
          <w:bCs/>
        </w:rPr>
        <w:t>项目名称：中国重汽新能源智能制造中心安全一体化智慧园区项目</w:t>
      </w:r>
    </w:p>
    <w:p w14:paraId="762222D0">
      <w:pPr>
        <w:pStyle w:val="36"/>
        <w:numPr>
          <w:ilvl w:val="0"/>
          <w:numId w:val="3"/>
        </w:numPr>
        <w:ind w:left="840" w:firstLineChars="200"/>
        <w:rPr>
          <w:b w:val="0"/>
          <w:bCs/>
          <w:highlight w:val="none"/>
        </w:rPr>
      </w:pPr>
      <w:r>
        <w:rPr>
          <w:rFonts w:hint="eastAsia"/>
          <w:b w:val="0"/>
          <w:bCs/>
          <w:highlight w:val="none"/>
        </w:rPr>
        <w:t>项目编号：</w:t>
      </w:r>
      <w:r>
        <w:rPr>
          <w:b w:val="0"/>
          <w:bCs/>
        </w:rPr>
        <w:t xml:space="preserve"> ZBGL2026100248</w:t>
      </w:r>
    </w:p>
    <w:p w14:paraId="2E891789">
      <w:pPr>
        <w:pStyle w:val="29"/>
        <w:ind w:firstLine="562" w:firstLineChars="200"/>
      </w:pPr>
      <w:bookmarkStart w:id="4" w:name="_Toc47976589"/>
      <w:r>
        <w:rPr>
          <w:rFonts w:hint="eastAsia"/>
        </w:rPr>
        <w:t>项目概况及招标形式</w:t>
      </w:r>
      <w:bookmarkEnd w:id="4"/>
    </w:p>
    <w:p w14:paraId="47078A44">
      <w:pPr>
        <w:pStyle w:val="36"/>
        <w:numPr>
          <w:ilvl w:val="0"/>
          <w:numId w:val="4"/>
        </w:numPr>
        <w:ind w:left="840" w:firstLineChars="200"/>
        <w:rPr>
          <w:b w:val="0"/>
          <w:bCs/>
        </w:rPr>
      </w:pPr>
      <w:r>
        <w:rPr>
          <w:rFonts w:hint="eastAsia"/>
          <w:b w:val="0"/>
          <w:bCs/>
        </w:rPr>
        <w:t>招标内容：根据招标方要求实施中国重汽新能源智能制造中心安全一体化智慧园区项目，具体项目内容及技术参数详见标书。</w:t>
      </w:r>
    </w:p>
    <w:p w14:paraId="42DB1A52">
      <w:pPr>
        <w:pStyle w:val="36"/>
        <w:numPr>
          <w:ilvl w:val="0"/>
          <w:numId w:val="4"/>
        </w:numPr>
        <w:ind w:left="840" w:firstLineChars="200"/>
        <w:rPr>
          <w:b w:val="0"/>
          <w:bCs/>
        </w:rPr>
      </w:pPr>
      <w:r>
        <w:rPr>
          <w:rFonts w:hint="eastAsia"/>
          <w:b w:val="0"/>
          <w:bCs/>
        </w:rPr>
        <w:t>招标形式：公开招标。</w:t>
      </w:r>
    </w:p>
    <w:p w14:paraId="3F04A9D3">
      <w:pPr>
        <w:pStyle w:val="29"/>
        <w:ind w:firstLine="562" w:firstLineChars="200"/>
      </w:pPr>
      <w:bookmarkStart w:id="5" w:name="_Toc47976590"/>
      <w:r>
        <w:rPr>
          <w:rFonts w:hint="eastAsia"/>
        </w:rPr>
        <w:t>投标人资格要求</w:t>
      </w:r>
      <w:bookmarkEnd w:id="5"/>
    </w:p>
    <w:p w14:paraId="1CD7F426">
      <w:pPr>
        <w:pStyle w:val="6"/>
        <w:ind w:firstLine="422" w:firstLineChars="200"/>
        <w:rPr>
          <w:rFonts w:eastAsia="仿宋"/>
          <w:sz w:val="21"/>
          <w:szCs w:val="21"/>
        </w:rPr>
      </w:pPr>
      <w:r>
        <w:rPr>
          <w:rFonts w:hint="eastAsia" w:ascii="仿宋" w:eastAsia="仿宋"/>
          <w:b/>
          <w:color w:val="000000"/>
          <w:sz w:val="21"/>
          <w:szCs w:val="21"/>
        </w:rPr>
        <w:t>必备条件：</w:t>
      </w:r>
    </w:p>
    <w:p w14:paraId="540F06A5">
      <w:pPr>
        <w:pStyle w:val="9"/>
        <w:numPr>
          <w:ilvl w:val="0"/>
          <w:numId w:val="5"/>
        </w:numPr>
        <w:spacing w:line="360" w:lineRule="auto"/>
        <w:ind w:firstLineChars="200"/>
        <w:rPr>
          <w:bCs/>
        </w:rPr>
      </w:pPr>
      <w:r>
        <w:rPr>
          <w:rFonts w:hint="eastAsia"/>
          <w:bCs/>
        </w:rPr>
        <w:t>投标人须遵守《中华人民共和国招标投标法》及其它有关的法律和法规；为中华人民共和国境内注册的独立法人或分支机构，具有独立承担民事责任能力；</w:t>
      </w:r>
    </w:p>
    <w:p w14:paraId="74AA2806">
      <w:pPr>
        <w:pStyle w:val="9"/>
        <w:numPr>
          <w:ilvl w:val="0"/>
          <w:numId w:val="5"/>
        </w:numPr>
        <w:spacing w:line="360" w:lineRule="auto"/>
        <w:ind w:firstLineChars="200"/>
        <w:rPr>
          <w:rFonts w:hAnsi="宋体" w:cs="宋体"/>
          <w:color w:val="000000"/>
          <w:szCs w:val="21"/>
        </w:rPr>
      </w:pPr>
      <w:r>
        <w:rPr>
          <w:rFonts w:hint="eastAsia"/>
          <w:bCs/>
        </w:rPr>
        <w:t>拟投标人必须是在中华人民共和国境内注册的独立法人或分支机构，具有独立承担民事责任能力；通信等特殊行业分支机构具备独立法人的上级公司授权后可参与；每家系统设备对应原厂最多授权</w:t>
      </w:r>
      <w:r>
        <w:rPr>
          <w:bCs/>
        </w:rPr>
        <w:t>2</w:t>
      </w:r>
      <w:r>
        <w:rPr>
          <w:rFonts w:hint="eastAsia"/>
          <w:bCs/>
        </w:rPr>
        <w:t>家拟投标人，每家代理公司或特殊行业分支机构只能具备一个品牌代理权，并提供原厂授权函和质保函；拟投标人使用的系统平台对应的原厂品牌具备全栈自研设备体系、工业级智慧园区整体解决方案能力；注册资金不少于</w:t>
      </w:r>
      <w:r>
        <w:rPr>
          <w:bCs/>
        </w:rPr>
        <w:t>1500</w:t>
      </w:r>
      <w:r>
        <w:rPr>
          <w:rFonts w:hint="eastAsia"/>
          <w:bCs/>
        </w:rPr>
        <w:t>万人民币（或等值其他货币）；公司成立</w:t>
      </w:r>
      <w:r>
        <w:rPr>
          <w:bCs/>
        </w:rPr>
        <w:t>3</w:t>
      </w:r>
      <w:r>
        <w:rPr>
          <w:rFonts w:hint="eastAsia"/>
          <w:bCs/>
        </w:rPr>
        <w:t>年以上（以营业执照成立日期到开标当日满</w:t>
      </w:r>
      <w:r>
        <w:rPr>
          <w:bCs/>
        </w:rPr>
        <w:t>3</w:t>
      </w:r>
      <w:r>
        <w:rPr>
          <w:rFonts w:hint="eastAsia"/>
          <w:bCs/>
        </w:rPr>
        <w:t>年为准），且经营范围满足招标人需求；并在人员、设备、资金等方面具有承担本项目的能力；</w:t>
      </w:r>
      <w:r>
        <w:rPr>
          <w:rFonts w:hint="eastAsia" w:hAnsi="宋体" w:cs="宋体"/>
          <w:color w:val="000000"/>
          <w:szCs w:val="21"/>
        </w:rPr>
        <w:t>近三年至少</w:t>
      </w:r>
      <w:r>
        <w:rPr>
          <w:rFonts w:hAnsi="宋体" w:cs="宋体"/>
          <w:color w:val="000000"/>
          <w:szCs w:val="21"/>
        </w:rPr>
        <w:t>1个及以上单个合同额 200万元以上智慧园区或安防智能化项目案例；</w:t>
      </w:r>
      <w:r>
        <w:rPr>
          <w:rFonts w:hint="eastAsia" w:hAnsi="宋体" w:cs="宋体"/>
          <w:color w:val="000000"/>
          <w:szCs w:val="21"/>
        </w:rPr>
        <w:t>投标人需完成</w:t>
      </w:r>
      <w:r>
        <w:rPr>
          <w:rFonts w:hAnsi="宋体" w:cs="宋体"/>
          <w:color w:val="000000"/>
          <w:szCs w:val="21"/>
        </w:rPr>
        <w:t>POC</w:t>
      </w:r>
      <w:r>
        <w:rPr>
          <w:rFonts w:hint="eastAsia" w:hAnsi="宋体" w:cs="宋体"/>
          <w:color w:val="000000"/>
          <w:szCs w:val="21"/>
        </w:rPr>
        <w:t>测试，测试所用系统和应标文件和实施系统品牌一致。原厂及代理在重汽以往项目中无历史遗留问题，原厂和代理同责。</w:t>
      </w:r>
    </w:p>
    <w:p w14:paraId="6F267DAA">
      <w:pPr>
        <w:pStyle w:val="9"/>
        <w:numPr>
          <w:ilvl w:val="0"/>
          <w:numId w:val="5"/>
        </w:numPr>
        <w:spacing w:line="360" w:lineRule="auto"/>
        <w:ind w:firstLineChars="200"/>
        <w:rPr>
          <w:bCs/>
        </w:rPr>
      </w:pPr>
      <w:r>
        <w:rPr>
          <w:rFonts w:hint="eastAsia"/>
          <w:bCs/>
        </w:rPr>
        <w:t>投标人须具有良好的商业信誉和健全的财务会计制度，财务状况和市场行为良好。没有处于被有权机关吊销营业执照、吊销资质、停业整顿、取消投标资格以及财产被接管、冻结或进入破产程序等；</w:t>
      </w:r>
    </w:p>
    <w:p w14:paraId="1D2E47C9">
      <w:pPr>
        <w:pStyle w:val="9"/>
        <w:numPr>
          <w:ilvl w:val="0"/>
          <w:numId w:val="5"/>
        </w:numPr>
        <w:spacing w:line="360" w:lineRule="auto"/>
        <w:ind w:firstLineChars="200"/>
        <w:rPr>
          <w:bCs/>
        </w:rPr>
      </w:pPr>
      <w:r>
        <w:rPr>
          <w:rFonts w:hint="eastAsia"/>
        </w:rPr>
        <w:t>投标人在</w:t>
      </w:r>
      <w:r>
        <w:t>“</w:t>
      </w:r>
      <w:r>
        <w:rPr>
          <w:rFonts w:hint="eastAsia"/>
        </w:rPr>
        <w:t>国家企业信用信息公示系统</w:t>
      </w:r>
      <w:r>
        <w:t>”</w:t>
      </w:r>
      <w:r>
        <w:rPr>
          <w:rFonts w:hint="eastAsia"/>
        </w:rPr>
        <w:t>、</w:t>
      </w:r>
      <w:r>
        <w:t>“</w:t>
      </w:r>
      <w:r>
        <w:rPr>
          <w:rFonts w:hint="eastAsia"/>
        </w:rPr>
        <w:t>中国执行信息公开网</w:t>
      </w:r>
      <w:r>
        <w:t>”</w:t>
      </w:r>
      <w:r>
        <w:rPr>
          <w:rFonts w:hint="eastAsia"/>
        </w:rPr>
        <w:t>、</w:t>
      </w:r>
      <w:r>
        <w:t>“</w:t>
      </w:r>
      <w:r>
        <w:rPr>
          <w:rFonts w:hint="eastAsia"/>
        </w:rPr>
        <w:t>信用中国</w:t>
      </w:r>
      <w:r>
        <w:t>”</w:t>
      </w:r>
      <w:r>
        <w:rPr>
          <w:rFonts w:hint="eastAsia"/>
        </w:rPr>
        <w:t>、</w:t>
      </w:r>
      <w:r>
        <w:t>“</w:t>
      </w:r>
      <w:r>
        <w:rPr>
          <w:rFonts w:hint="eastAsia"/>
        </w:rPr>
        <w:t>天眼查</w:t>
      </w:r>
      <w:r>
        <w:t>”</w:t>
      </w:r>
      <w:r>
        <w:rPr>
          <w:rFonts w:hint="eastAsia"/>
        </w:rPr>
        <w:t>、</w:t>
      </w:r>
      <w:r>
        <w:t>“</w:t>
      </w:r>
      <w:r>
        <w:rPr>
          <w:rFonts w:hint="eastAsia"/>
        </w:rPr>
        <w:t>裁判文书网</w:t>
      </w:r>
      <w:r>
        <w:t>”</w:t>
      </w:r>
      <w:r>
        <w:rPr>
          <w:rFonts w:hint="eastAsia"/>
        </w:rPr>
        <w:t>等系统中无经营异常名录、严重违法失信名单、列入经营异常、吊销注销等不良信用记录</w:t>
      </w:r>
      <w:r>
        <w:rPr>
          <w:rFonts w:hint="eastAsia"/>
          <w:bCs/>
        </w:rPr>
        <w:t>；</w:t>
      </w:r>
    </w:p>
    <w:p w14:paraId="27BA62A4">
      <w:pPr>
        <w:pStyle w:val="9"/>
        <w:numPr>
          <w:ilvl w:val="0"/>
          <w:numId w:val="5"/>
        </w:numPr>
        <w:spacing w:line="360" w:lineRule="auto"/>
        <w:ind w:firstLineChars="200"/>
        <w:rPr>
          <w:bCs/>
        </w:rPr>
      </w:pPr>
      <w:r>
        <w:rPr>
          <w:rFonts w:hint="eastAsia"/>
          <w:bCs/>
        </w:rPr>
        <w:t>无招标违规、谎报年度报告信息、提供虚假资质资料等行为或其他行政处罚记录；</w:t>
      </w:r>
    </w:p>
    <w:p w14:paraId="75DE583F">
      <w:pPr>
        <w:pStyle w:val="9"/>
        <w:numPr>
          <w:ilvl w:val="0"/>
          <w:numId w:val="5"/>
        </w:numPr>
        <w:spacing w:line="360" w:lineRule="auto"/>
        <w:ind w:firstLineChars="200"/>
        <w:rPr>
          <w:bCs/>
        </w:rPr>
      </w:pPr>
      <w:r>
        <w:rPr>
          <w:rFonts w:hint="eastAsia"/>
          <w:bCs/>
        </w:rPr>
        <w:t>近三年内在经营活动中无与本项目有关的违法及重大违规情况；</w:t>
      </w:r>
    </w:p>
    <w:p w14:paraId="657A2844">
      <w:pPr>
        <w:pStyle w:val="9"/>
        <w:numPr>
          <w:ilvl w:val="0"/>
          <w:numId w:val="5"/>
        </w:numPr>
        <w:spacing w:line="360" w:lineRule="auto"/>
        <w:ind w:firstLineChars="200"/>
        <w:rPr>
          <w:bCs/>
        </w:rPr>
      </w:pPr>
      <w:r>
        <w:rPr>
          <w:rFonts w:hint="eastAsia"/>
          <w:bCs/>
        </w:rPr>
        <w:t>投标人没有被列入招标人处《黑名单》（《黑名单》指投标人与招标人在以往或正在进行的合作中，存在招标人认为的违反合同约定或违反法律法规等的失信行为）的；</w:t>
      </w:r>
    </w:p>
    <w:p w14:paraId="40722D85">
      <w:pPr>
        <w:pStyle w:val="9"/>
        <w:numPr>
          <w:ilvl w:val="0"/>
          <w:numId w:val="5"/>
        </w:numPr>
        <w:spacing w:line="360" w:lineRule="auto"/>
        <w:ind w:firstLineChars="200"/>
        <w:rPr>
          <w:bCs/>
        </w:rPr>
      </w:pPr>
      <w:r>
        <w:rPr>
          <w:rFonts w:hint="eastAsia"/>
          <w:bCs/>
        </w:rPr>
        <w:t>公司经营范围满足招标项目需求；</w:t>
      </w:r>
    </w:p>
    <w:p w14:paraId="639E6597">
      <w:pPr>
        <w:pStyle w:val="9"/>
        <w:numPr>
          <w:ilvl w:val="0"/>
          <w:numId w:val="5"/>
        </w:numPr>
        <w:spacing w:line="360" w:lineRule="auto"/>
        <w:ind w:firstLineChars="200"/>
        <w:rPr>
          <w:bCs/>
        </w:rPr>
      </w:pPr>
      <w:r>
        <w:rPr>
          <w:rFonts w:hint="eastAsia"/>
          <w:bCs/>
        </w:rPr>
        <w:t>投标人须具有履行招标文件所有设备、专业技术等要求的能力；</w:t>
      </w:r>
    </w:p>
    <w:p w14:paraId="4C99A42A">
      <w:pPr>
        <w:pStyle w:val="9"/>
        <w:numPr>
          <w:ilvl w:val="0"/>
          <w:numId w:val="5"/>
        </w:numPr>
        <w:spacing w:line="360" w:lineRule="auto"/>
        <w:ind w:firstLineChars="200"/>
        <w:rPr>
          <w:bCs/>
        </w:rPr>
      </w:pPr>
      <w:r>
        <w:rPr>
          <w:rFonts w:hint="eastAsia"/>
          <w:bCs/>
        </w:rPr>
        <w:t>投标人须有依法缴纳税收和社会保障资金的良好记录；</w:t>
      </w:r>
    </w:p>
    <w:p w14:paraId="7172B847">
      <w:pPr>
        <w:pStyle w:val="9"/>
        <w:numPr>
          <w:ilvl w:val="0"/>
          <w:numId w:val="5"/>
        </w:numPr>
        <w:spacing w:line="360" w:lineRule="auto"/>
        <w:ind w:firstLineChars="200"/>
        <w:rPr>
          <w:bCs/>
        </w:rPr>
      </w:pPr>
      <w:r>
        <w:rPr>
          <w:rFonts w:hint="eastAsia"/>
          <w:bCs/>
        </w:rPr>
        <w:t>具有本次招标货物的供货、安装、售后服务等的相应资质；</w:t>
      </w:r>
    </w:p>
    <w:p w14:paraId="5ABC512C">
      <w:pPr>
        <w:pStyle w:val="9"/>
        <w:numPr>
          <w:ilvl w:val="0"/>
          <w:numId w:val="5"/>
        </w:numPr>
        <w:spacing w:line="360" w:lineRule="auto"/>
        <w:ind w:firstLineChars="200"/>
        <w:rPr>
          <w:bCs/>
        </w:rPr>
      </w:pPr>
      <w:r>
        <w:rPr>
          <w:rFonts w:hint="eastAsia"/>
          <w:bCs/>
        </w:rPr>
        <w:t>投标人须负责提供合理的便于运输的包装物，并承担相关费用；</w:t>
      </w:r>
    </w:p>
    <w:p w14:paraId="1CD639B6">
      <w:pPr>
        <w:pStyle w:val="9"/>
        <w:numPr>
          <w:ilvl w:val="0"/>
          <w:numId w:val="5"/>
        </w:numPr>
        <w:spacing w:line="360" w:lineRule="auto"/>
        <w:ind w:firstLineChars="200"/>
        <w:rPr>
          <w:bCs/>
        </w:rPr>
      </w:pPr>
      <w:r>
        <w:rPr>
          <w:rFonts w:hint="eastAsia"/>
          <w:bCs/>
        </w:rPr>
        <w:t>投标人须认可招标人的工作指令，包括节、假日能正常开展工作的要求。</w:t>
      </w:r>
    </w:p>
    <w:p w14:paraId="639E5C08">
      <w:pPr>
        <w:pStyle w:val="9"/>
        <w:numPr>
          <w:ilvl w:val="0"/>
          <w:numId w:val="5"/>
        </w:numPr>
        <w:spacing w:line="360" w:lineRule="auto"/>
        <w:ind w:firstLineChars="200"/>
        <w:rPr>
          <w:bCs/>
        </w:rPr>
      </w:pPr>
      <w:r>
        <w:rPr>
          <w:rFonts w:hint="eastAsia"/>
        </w:rPr>
        <w:t>投标人的直接</w:t>
      </w:r>
      <w:r>
        <w:t>/</w:t>
      </w:r>
      <w:r>
        <w:rPr>
          <w:rFonts w:hint="eastAsia"/>
        </w:rPr>
        <w:t>间接控股股东、实际控制人、法定代表人、董事、监事、高级管理人员，不得为中国重汽在职员工及上述人员直系亲属、近亲属，不存在关联关系、利益关联及潜在利益输送情形。</w:t>
      </w:r>
      <w:r>
        <w:rPr>
          <w:rFonts w:hint="eastAsia"/>
          <w:bCs/>
        </w:rPr>
        <w:t>；</w:t>
      </w:r>
    </w:p>
    <w:p w14:paraId="4F0245EF">
      <w:pPr>
        <w:pStyle w:val="9"/>
        <w:numPr>
          <w:ilvl w:val="0"/>
          <w:numId w:val="5"/>
        </w:numPr>
        <w:spacing w:line="360" w:lineRule="auto"/>
        <w:ind w:firstLineChars="200"/>
        <w:rPr>
          <w:bCs/>
        </w:rPr>
      </w:pPr>
      <w:r>
        <w:rPr>
          <w:rFonts w:hint="eastAsia"/>
          <w:bCs/>
        </w:rPr>
        <w:t>投标人必须是最终投标、签订合同的单位，不得以任何理由将已中标项目以任何形式转包或者分包给其他单位；</w:t>
      </w:r>
    </w:p>
    <w:p w14:paraId="49B87423">
      <w:pPr>
        <w:pStyle w:val="9"/>
        <w:numPr>
          <w:ilvl w:val="0"/>
          <w:numId w:val="5"/>
        </w:numPr>
        <w:spacing w:line="360" w:lineRule="auto"/>
        <w:ind w:firstLineChars="200"/>
        <w:rPr>
          <w:bCs/>
        </w:rPr>
      </w:pPr>
      <w:r>
        <w:rPr>
          <w:rFonts w:hint="eastAsia"/>
          <w:bCs/>
        </w:rPr>
        <w:t>本次招标项目不接受联合体投标；</w:t>
      </w:r>
    </w:p>
    <w:p w14:paraId="67BDAB68">
      <w:pPr>
        <w:pStyle w:val="9"/>
        <w:numPr>
          <w:ilvl w:val="0"/>
          <w:numId w:val="5"/>
        </w:numPr>
        <w:spacing w:line="360" w:lineRule="auto"/>
        <w:ind w:firstLineChars="200"/>
        <w:rPr>
          <w:bCs/>
        </w:rPr>
      </w:pPr>
      <w:r>
        <w:rPr>
          <w:rFonts w:hint="eastAsia"/>
          <w:bCs/>
        </w:rPr>
        <w:t>法律、行政法规规定的其他条件。</w:t>
      </w:r>
    </w:p>
    <w:p w14:paraId="6B695B80">
      <w:pPr>
        <w:pStyle w:val="9"/>
        <w:spacing w:line="360" w:lineRule="auto"/>
        <w:ind w:firstLine="420" w:firstLineChars="200"/>
        <w:rPr>
          <w:bCs/>
        </w:rPr>
      </w:pPr>
      <w:r>
        <w:rPr>
          <w:rFonts w:hint="eastAsia"/>
          <w:bCs/>
        </w:rPr>
        <w:t>注：经查实，如拟投标人不具备上述投标资格或提供虚假材料的，将直接取消报名资格，投标保证金不予退还。</w:t>
      </w:r>
    </w:p>
    <w:p w14:paraId="7F8E2156">
      <w:pPr>
        <w:pStyle w:val="29"/>
        <w:ind w:firstLine="562" w:firstLineChars="200"/>
        <w:rPr>
          <w:highlight w:val="none"/>
        </w:rPr>
      </w:pPr>
      <w:bookmarkStart w:id="6" w:name="_Toc47976591"/>
      <w:r>
        <w:rPr>
          <w:rFonts w:hint="eastAsia"/>
          <w:highlight w:val="none"/>
        </w:rPr>
        <w:t>报名及招标文件的获取</w:t>
      </w:r>
      <w:bookmarkEnd w:id="6"/>
    </w:p>
    <w:p w14:paraId="3278ABBE">
      <w:pPr>
        <w:spacing w:line="360" w:lineRule="auto"/>
        <w:ind w:firstLine="420" w:firstLineChars="200"/>
        <w:rPr>
          <w:rFonts w:ascii="宋体" w:hAnsi="Courier New"/>
          <w:bCs/>
        </w:rPr>
      </w:pPr>
      <w:r>
        <w:rPr>
          <w:rFonts w:hint="eastAsia" w:ascii="宋体" w:hAnsi="Courier New"/>
          <w:bCs/>
        </w:rPr>
        <w:t>凡有意参加投标者，请于2026年</w:t>
      </w:r>
      <w:r>
        <w:rPr>
          <w:rFonts w:ascii="宋体" w:hAnsi="Courier New"/>
          <w:bCs/>
        </w:rPr>
        <w:t>1</w:t>
      </w:r>
      <w:r>
        <w:rPr>
          <w:rFonts w:hint="eastAsia" w:ascii="宋体" w:hAnsi="Courier New"/>
          <w:bCs/>
          <w:lang w:val="en-US" w:eastAsia="zh-CN"/>
        </w:rPr>
        <w:t>1</w:t>
      </w:r>
      <w:r>
        <w:rPr>
          <w:rFonts w:hint="eastAsia" w:ascii="宋体" w:hAnsi="Courier New"/>
          <w:bCs/>
        </w:rPr>
        <w:t>月</w:t>
      </w:r>
      <w:r>
        <w:rPr>
          <w:rFonts w:hint="eastAsia" w:ascii="宋体" w:hAnsi="Courier New"/>
          <w:bCs/>
          <w:lang w:val="en-US" w:eastAsia="zh-CN"/>
        </w:rPr>
        <w:t>11</w:t>
      </w:r>
      <w:r>
        <w:rPr>
          <w:rFonts w:hint="eastAsia" w:ascii="宋体" w:hAnsi="Courier New"/>
          <w:bCs/>
        </w:rPr>
        <w:t>日下午17:00前完成以下工作：</w:t>
      </w:r>
    </w:p>
    <w:p w14:paraId="0AEA5E1E">
      <w:pPr>
        <w:numPr>
          <w:ilvl w:val="0"/>
          <w:numId w:val="6"/>
        </w:numPr>
        <w:spacing w:line="360" w:lineRule="auto"/>
        <w:ind w:firstLineChars="200"/>
        <w:rPr>
          <w:rFonts w:ascii="宋体" w:hAnsi="Courier New"/>
          <w:bCs/>
        </w:rPr>
      </w:pPr>
      <w:r>
        <w:rPr>
          <w:rFonts w:hint="eastAsia" w:ascii="宋体" w:hAnsi="Courier New"/>
          <w:bCs/>
        </w:rPr>
        <w:t>前往指定网址</w:t>
      </w:r>
      <w:r>
        <w:rPr>
          <w:rFonts w:hint="eastAsia"/>
        </w:rPr>
        <w:fldChar w:fldCharType="begin"/>
      </w:r>
      <w:r>
        <w:instrText xml:space="preserve"> HYPERLINK "http://ecaitong.sinotruk.com:8012/#/login" </w:instrText>
      </w:r>
      <w:r>
        <w:rPr>
          <w:rFonts w:hint="eastAsia" w:ascii="Times New Roman" w:hAnsi="Times New Roman"/>
          <w:bCs w:val="0"/>
        </w:rPr>
        <w:fldChar w:fldCharType="separate"/>
      </w:r>
      <w:r>
        <w:rPr>
          <w:rFonts w:ascii="宋体" w:hAnsi="Courier New"/>
          <w:bCs/>
        </w:rPr>
        <w:t>https://ecaitong.sinotruk.com:8012/#/login</w:t>
      </w:r>
      <w:r>
        <w:rPr>
          <w:rFonts w:hint="eastAsia" w:ascii="宋体" w:hAnsi="Courier New"/>
          <w:bCs/>
        </w:rPr>
        <w:fldChar w:fldCharType="end"/>
      </w:r>
      <w:r>
        <w:rPr>
          <w:rFonts w:hint="eastAsia" w:ascii="宋体" w:hAnsi="Courier New"/>
          <w:bCs/>
        </w:rPr>
        <w:t>进行供应商信息注册（建议尽早开展注册工作，操作手册见附件</w:t>
      </w:r>
      <w:r>
        <w:rPr>
          <w:rFonts w:ascii="宋体" w:hAnsi="Courier New"/>
          <w:bCs/>
        </w:rPr>
        <w:t>3</w:t>
      </w:r>
      <w:r>
        <w:rPr>
          <w:rFonts w:hint="eastAsia" w:ascii="宋体" w:hAnsi="Courier New"/>
          <w:bCs/>
        </w:rPr>
        <w:t>）；</w:t>
      </w:r>
    </w:p>
    <w:p w14:paraId="33929E85">
      <w:pPr>
        <w:spacing w:line="360" w:lineRule="auto"/>
        <w:ind w:firstLine="420" w:firstLineChars="200"/>
        <w:rPr>
          <w:rFonts w:ascii="宋体" w:hAnsi="Courier New"/>
          <w:bCs/>
        </w:rPr>
      </w:pPr>
      <w:r>
        <w:rPr>
          <w:rFonts w:hint="eastAsia" w:ascii="宋体" w:hAnsi="Courier New"/>
          <w:bCs/>
        </w:rPr>
        <w:t>注册成功后，须完成项目应标并上传相关文档（操作手册见附件</w:t>
      </w:r>
      <w:r>
        <w:rPr>
          <w:rFonts w:ascii="宋体" w:hAnsi="Courier New"/>
          <w:bCs/>
        </w:rPr>
        <w:t>4</w:t>
      </w:r>
      <w:r>
        <w:rPr>
          <w:rFonts w:hint="eastAsia" w:ascii="宋体" w:hAnsi="Courier New"/>
          <w:bCs/>
        </w:rPr>
        <w:t>，按照</w:t>
      </w:r>
      <w:r>
        <w:rPr>
          <w:rFonts w:ascii="宋体" w:hAnsi="Courier New"/>
          <w:bCs/>
        </w:rPr>
        <w:t>3.</w:t>
      </w:r>
      <w:r>
        <w:rPr>
          <w:rFonts w:hint="eastAsia" w:ascii="宋体" w:hAnsi="Courier New"/>
          <w:bCs/>
        </w:rPr>
        <w:t>投标人资格要求内容和</w:t>
      </w:r>
      <w:r>
        <w:rPr>
          <w:rFonts w:ascii="宋体" w:hAnsi="Courier New"/>
          <w:bCs/>
        </w:rPr>
        <w:t>4.1-4.8</w:t>
      </w:r>
      <w:r>
        <w:rPr>
          <w:rFonts w:hint="eastAsia" w:ascii="宋体" w:hAnsi="Courier New"/>
          <w:bCs/>
        </w:rPr>
        <w:t>顺序及所列项相关资料的原件扫描件，要求每一页原文件扫描在一页上，禁止两页或多页合并扫描在一页，扫描文件必须清晰可辨否则影响报名的审核，扫描文件格式为</w:t>
      </w:r>
      <w:r>
        <w:rPr>
          <w:rFonts w:ascii="宋体" w:hAnsi="Courier New"/>
          <w:bCs/>
        </w:rPr>
        <w:t>pdf</w:t>
      </w:r>
      <w:r>
        <w:rPr>
          <w:rFonts w:hint="eastAsia" w:ascii="宋体" w:hAnsi="Courier New"/>
          <w:bCs/>
        </w:rPr>
        <w:t>格式，禁止采用压缩文件格式或图片格式，所有扫描文件都集成到</w:t>
      </w:r>
      <w:r>
        <w:rPr>
          <w:rFonts w:ascii="宋体" w:hAnsi="Courier New"/>
          <w:bCs/>
        </w:rPr>
        <w:t>1</w:t>
      </w:r>
      <w:r>
        <w:rPr>
          <w:rFonts w:hint="eastAsia" w:ascii="宋体" w:hAnsi="Courier New"/>
          <w:bCs/>
        </w:rPr>
        <w:t>个</w:t>
      </w:r>
      <w:r>
        <w:rPr>
          <w:rFonts w:ascii="宋体" w:hAnsi="Courier New"/>
          <w:bCs/>
        </w:rPr>
        <w:t>pdf</w:t>
      </w:r>
      <w:r>
        <w:rPr>
          <w:rFonts w:hint="eastAsia" w:ascii="宋体" w:hAnsi="Courier New"/>
          <w:bCs/>
        </w:rPr>
        <w:t>文档并设置目录）。</w:t>
      </w:r>
    </w:p>
    <w:p w14:paraId="1DB1D1B0">
      <w:pPr>
        <w:spacing w:line="360" w:lineRule="auto"/>
        <w:ind w:firstLine="420" w:firstLineChars="200"/>
        <w:rPr>
          <w:rFonts w:ascii="宋体" w:hAnsi="Courier New"/>
          <w:bCs/>
        </w:rPr>
      </w:pPr>
      <w:r>
        <w:rPr>
          <w:rFonts w:ascii="宋体" w:hAnsi="Courier New"/>
          <w:bCs/>
        </w:rPr>
        <w:t xml:space="preserve">4.1 </w:t>
      </w:r>
      <w:r>
        <w:rPr>
          <w:rFonts w:hint="eastAsia" w:ascii="宋体" w:hAnsi="Courier New"/>
          <w:bCs/>
        </w:rPr>
        <w:t>有效的企业法人营业执照副本复印件，并加盖投标人公章，按规定需要年检的，年检章要清楚；</w:t>
      </w:r>
    </w:p>
    <w:p w14:paraId="78FF76ED">
      <w:pPr>
        <w:spacing w:line="360" w:lineRule="auto"/>
        <w:ind w:firstLine="420" w:firstLineChars="200"/>
        <w:rPr>
          <w:rFonts w:ascii="宋体" w:hAnsi="Courier New"/>
          <w:bCs/>
        </w:rPr>
      </w:pPr>
      <w:r>
        <w:rPr>
          <w:rFonts w:ascii="宋体" w:hAnsi="Courier New"/>
          <w:bCs/>
        </w:rPr>
        <w:t xml:space="preserve">4.2 </w:t>
      </w:r>
      <w:r>
        <w:rPr>
          <w:rFonts w:ascii="宋体" w:hAnsi="Courier New" w:cs="Times New Roman"/>
          <w:bCs/>
          <w:sz w:val="21"/>
          <w:szCs w:val="21"/>
          <w:lang w:bidi="ar-SA"/>
        </w:rPr>
        <w:t>投标人在“国家企业信用信息公示系统”、“中国执行信息公开网”、“信用中国”、“天眼查”、“裁判文书网”等系统中无经营异常名录、严重违法失信名单、列入经营异常、吊销注销等不良信用记录</w:t>
      </w:r>
      <w:r>
        <w:rPr>
          <w:rFonts w:hint="eastAsia" w:ascii="宋体" w:hAnsi="Courier New"/>
          <w:bCs/>
        </w:rPr>
        <w:t>；</w:t>
      </w:r>
    </w:p>
    <w:p w14:paraId="1B94E057">
      <w:pPr>
        <w:spacing w:line="360" w:lineRule="auto"/>
        <w:ind w:firstLine="420" w:firstLineChars="200"/>
        <w:rPr>
          <w:rFonts w:ascii="宋体" w:hAnsi="Courier New"/>
          <w:bCs/>
        </w:rPr>
      </w:pPr>
      <w:r>
        <w:rPr>
          <w:rFonts w:ascii="宋体" w:hAnsi="Courier New"/>
          <w:bCs/>
        </w:rPr>
        <w:t xml:space="preserve">4.3 </w:t>
      </w:r>
      <w:r>
        <w:rPr>
          <w:rFonts w:hint="eastAsia" w:ascii="宋体" w:hAnsi="Courier New"/>
          <w:bCs/>
        </w:rPr>
        <w:t>法定代表人授权委托书；</w:t>
      </w:r>
    </w:p>
    <w:p w14:paraId="24601357">
      <w:pPr>
        <w:spacing w:line="360" w:lineRule="auto"/>
        <w:ind w:firstLine="420" w:firstLineChars="200"/>
        <w:rPr>
          <w:rFonts w:ascii="宋体" w:hAnsi="Courier New"/>
          <w:bCs/>
        </w:rPr>
      </w:pPr>
      <w:r>
        <w:rPr>
          <w:rFonts w:ascii="宋体" w:hAnsi="Courier New"/>
          <w:bCs/>
        </w:rPr>
        <w:t xml:space="preserve">4.4 </w:t>
      </w:r>
      <w:r>
        <w:rPr>
          <w:rFonts w:hint="eastAsia" w:ascii="宋体" w:hAnsi="Courier New"/>
          <w:bCs/>
        </w:rPr>
        <w:t>法定代表人身份证明；</w:t>
      </w:r>
    </w:p>
    <w:p w14:paraId="5251312D">
      <w:pPr>
        <w:spacing w:line="360" w:lineRule="auto"/>
        <w:ind w:firstLine="420" w:firstLineChars="200"/>
        <w:rPr>
          <w:rFonts w:ascii="宋体" w:hAnsi="Courier New"/>
          <w:bCs/>
        </w:rPr>
      </w:pPr>
      <w:r>
        <w:rPr>
          <w:rFonts w:ascii="宋体" w:hAnsi="Courier New"/>
          <w:bCs/>
        </w:rPr>
        <w:t xml:space="preserve">4.5 </w:t>
      </w:r>
      <w:r>
        <w:rPr>
          <w:rFonts w:hint="eastAsia" w:ascii="宋体" w:hAnsi="Courier New"/>
          <w:bCs/>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49BEBCFE">
      <w:pPr>
        <w:spacing w:line="360" w:lineRule="auto"/>
        <w:ind w:firstLine="420" w:firstLineChars="200"/>
        <w:rPr>
          <w:rFonts w:ascii="宋体" w:hAnsi="Courier New"/>
          <w:bCs/>
        </w:rPr>
      </w:pPr>
      <w:r>
        <w:rPr>
          <w:rFonts w:ascii="宋体" w:hAnsi="Courier New"/>
          <w:bCs/>
        </w:rPr>
        <w:t xml:space="preserve">4.6 </w:t>
      </w:r>
      <w:r>
        <w:rPr>
          <w:rFonts w:hint="eastAsia" w:ascii="宋体" w:hAnsi="Courier New"/>
          <w:bCs/>
        </w:rPr>
        <w:t>企业最近半年完税证明、信用证明材料（征信报告）；</w:t>
      </w:r>
    </w:p>
    <w:p w14:paraId="564AC6ED">
      <w:pPr>
        <w:spacing w:line="360" w:lineRule="auto"/>
        <w:ind w:firstLine="420" w:firstLineChars="200"/>
        <w:rPr>
          <w:rFonts w:ascii="宋体" w:hAnsi="Courier New"/>
          <w:bCs/>
        </w:rPr>
      </w:pPr>
      <w:r>
        <w:rPr>
          <w:rFonts w:ascii="宋体" w:hAnsi="Courier New"/>
          <w:bCs/>
        </w:rPr>
        <w:t xml:space="preserve">4.7 </w:t>
      </w:r>
      <w:r>
        <w:rPr>
          <w:rFonts w:hint="eastAsia" w:ascii="宋体" w:hAnsi="Courier New"/>
          <w:bCs/>
        </w:rPr>
        <w:t>年度纳税信用评价信息（可从电子税务局查询截图，需加盖公章）；</w:t>
      </w:r>
    </w:p>
    <w:p w14:paraId="2D6342D6">
      <w:pPr>
        <w:spacing w:line="360" w:lineRule="auto"/>
        <w:ind w:firstLine="420" w:firstLineChars="200"/>
        <w:rPr>
          <w:rFonts w:ascii="宋体" w:hAnsi="Courier New"/>
          <w:bCs/>
        </w:rPr>
      </w:pPr>
      <w:r>
        <w:rPr>
          <w:rFonts w:ascii="宋体" w:hAnsi="Courier New"/>
          <w:bCs/>
        </w:rPr>
        <w:t xml:space="preserve">4.8 </w:t>
      </w:r>
      <w:r>
        <w:rPr>
          <w:rFonts w:hint="eastAsia" w:ascii="宋体" w:hAnsi="Courier New"/>
          <w:bCs/>
        </w:rPr>
        <w:t>企业对外担保说明（写明贵单位对外有无对外担保和质押业务，需加盖公章）。</w:t>
      </w:r>
    </w:p>
    <w:p w14:paraId="6A8E298B">
      <w:pPr>
        <w:spacing w:line="360" w:lineRule="auto"/>
        <w:ind w:firstLine="420" w:firstLineChars="200"/>
        <w:rPr>
          <w:rFonts w:ascii="宋体" w:hAnsi="Courier New"/>
          <w:bCs/>
        </w:rPr>
      </w:pPr>
      <w:r>
        <w:rPr>
          <w:rFonts w:ascii="宋体" w:hAnsi="Courier New"/>
          <w:bCs/>
        </w:rPr>
        <w:t xml:space="preserve">4.9 </w:t>
      </w:r>
      <w:r>
        <w:rPr>
          <w:rFonts w:hint="eastAsia" w:ascii="宋体" w:hAnsi="Courier New"/>
          <w:bCs/>
        </w:rPr>
        <w:t>开标过程请投标人携带笔记本电脑前往指定开标地点，开标工作全程线上开展。</w:t>
      </w:r>
    </w:p>
    <w:p w14:paraId="5B225DEA">
      <w:pPr>
        <w:spacing w:line="360" w:lineRule="auto"/>
        <w:ind w:firstLine="422" w:firstLineChars="200"/>
        <w:rPr>
          <w:rFonts w:ascii="宋体" w:hAnsi="Courier New"/>
          <w:b/>
        </w:rPr>
      </w:pPr>
      <w:r>
        <w:rPr>
          <w:rFonts w:hint="eastAsia" w:ascii="宋体" w:hAnsi="Courier New"/>
          <w:b/>
        </w:rPr>
        <w:t>本项目实行资格后审，报名成功不代表资格审查通过，以最终通过招标工作小组的审查为准。</w:t>
      </w:r>
    </w:p>
    <w:p w14:paraId="47442778">
      <w:pPr>
        <w:pStyle w:val="9"/>
        <w:numPr>
          <w:ilvl w:val="0"/>
          <w:numId w:val="5"/>
        </w:numPr>
        <w:spacing w:line="360" w:lineRule="auto"/>
        <w:ind w:firstLineChars="200"/>
        <w:rPr>
          <w:rFonts w:hAnsi="宋体" w:cs="宋体"/>
          <w:color w:val="000000"/>
          <w:szCs w:val="21"/>
        </w:rPr>
      </w:pPr>
      <w:r>
        <w:rPr>
          <w:rFonts w:hint="eastAsia"/>
          <w:bCs/>
        </w:rPr>
        <w:t>待资格审核通过后，投标方可在系统中自行下载获取招标文件。审核通过的投标方根据济南商用车公司要求，提供平台、服务器和不同品牌监控、访客机、闸机等，组织</w:t>
      </w:r>
      <w:r>
        <w:rPr>
          <w:bCs/>
        </w:rPr>
        <w:t>POC</w:t>
      </w:r>
      <w:r>
        <w:rPr>
          <w:rFonts w:hint="eastAsia"/>
          <w:bCs/>
        </w:rPr>
        <w:t>测试，测试所用系统和应标文件及实施系统品牌一致。</w:t>
      </w:r>
      <w:r>
        <w:rPr>
          <w:rFonts w:hint="eastAsia" w:hAnsi="宋体" w:cs="宋体"/>
          <w:color w:val="000000"/>
          <w:szCs w:val="21"/>
        </w:rPr>
        <w:t>原厂及代理在重汽以往项目中无历史遗留问题，原厂和代理同责。</w:t>
      </w:r>
    </w:p>
    <w:p w14:paraId="13BBB793">
      <w:pPr>
        <w:widowControl/>
        <w:spacing w:line="360" w:lineRule="auto"/>
        <w:ind w:firstLine="420" w:firstLineChars="200"/>
        <w:jc w:val="left"/>
        <w:rPr>
          <w:rFonts w:ascii="宋体" w:hAnsi="Courier New"/>
          <w:bCs/>
        </w:rPr>
      </w:pPr>
      <w:r>
        <w:rPr>
          <w:rFonts w:hint="eastAsia" w:ascii="宋体" w:hAnsi="Courier New"/>
          <w:bCs/>
        </w:rPr>
        <w:t>由重汽团队对各单位的</w:t>
      </w:r>
      <w:r>
        <w:rPr>
          <w:rFonts w:ascii="宋体" w:hAnsi="Courier New"/>
          <w:bCs/>
        </w:rPr>
        <w:t>POC</w:t>
      </w:r>
      <w:r>
        <w:rPr>
          <w:rFonts w:hint="eastAsia" w:ascii="宋体" w:hAnsi="Courier New"/>
          <w:bCs/>
        </w:rPr>
        <w:t>情况进行综合评定。</w:t>
      </w:r>
    </w:p>
    <w:p w14:paraId="1967AED1">
      <w:pPr>
        <w:widowControl/>
        <w:spacing w:line="360" w:lineRule="auto"/>
        <w:ind w:firstLine="420" w:firstLineChars="200"/>
        <w:jc w:val="left"/>
        <w:rPr>
          <w:szCs w:val="21"/>
        </w:rPr>
      </w:pPr>
      <w:r>
        <w:rPr>
          <w:rFonts w:hint="eastAsia" w:ascii="宋体" w:hAnsi="Courier New"/>
          <w:bCs/>
        </w:rPr>
        <w:t>投标方务必在招标文件中规定的日期前将保证金汇入中国重汽指定账户。本次报名投标单位需向中国重汽集团济南商用车有限公司（开户银行：</w:t>
      </w:r>
      <w:r>
        <w:rPr>
          <w:rFonts w:hint="eastAsia"/>
        </w:rPr>
        <w:t>中国重汽集团济南商用车有限公司</w:t>
      </w:r>
      <w:r>
        <w:rPr>
          <w:rFonts w:hint="eastAsia" w:ascii="宋体" w:hAnsi="Courier New"/>
          <w:bCs/>
        </w:rPr>
        <w:t>，银行账号：</w:t>
      </w:r>
      <w:r>
        <w:t>226005574527</w:t>
      </w:r>
      <w:r>
        <w:rPr>
          <w:rFonts w:hint="eastAsia" w:ascii="宋体" w:hAnsi="Courier New"/>
          <w:bCs/>
        </w:rPr>
        <w:t>）缴纳投标保证金</w:t>
      </w:r>
      <w:r>
        <w:rPr>
          <w:rFonts w:ascii="宋体" w:hAnsi="Courier New"/>
          <w:bCs/>
        </w:rPr>
        <w:t>2</w:t>
      </w:r>
      <w:r>
        <w:rPr>
          <w:rFonts w:hint="eastAsia" w:ascii="宋体" w:hAnsi="Courier New"/>
          <w:bCs/>
        </w:rPr>
        <w:t>万元，未中标单位招标后一个付款周期内退还，中标单位合同签订生效后退还。</w:t>
      </w:r>
    </w:p>
    <w:p w14:paraId="3CC12633">
      <w:pPr>
        <w:pStyle w:val="29"/>
        <w:ind w:firstLine="562" w:firstLineChars="200"/>
      </w:pPr>
      <w:bookmarkStart w:id="7" w:name="_Toc47976592"/>
      <w:r>
        <w:rPr>
          <w:rFonts w:hint="eastAsia"/>
        </w:rPr>
        <w:t>投标文件的递交</w:t>
      </w:r>
      <w:bookmarkEnd w:id="7"/>
    </w:p>
    <w:p w14:paraId="3F9830CE">
      <w:pPr>
        <w:spacing w:line="360" w:lineRule="auto"/>
        <w:ind w:firstLine="420" w:firstLineChars="200"/>
        <w:rPr>
          <w:rFonts w:ascii="宋体" w:hAnsi="Courier New"/>
          <w:bCs/>
        </w:rPr>
      </w:pPr>
      <w:r>
        <w:rPr>
          <w:rFonts w:ascii="宋体" w:hAnsi="Courier New"/>
          <w:bCs/>
        </w:rPr>
        <w:t xml:space="preserve">5.1 </w:t>
      </w:r>
      <w:r>
        <w:rPr>
          <w:rFonts w:hint="eastAsia" w:ascii="宋体" w:hAnsi="Courier New"/>
          <w:bCs/>
        </w:rPr>
        <w:t>投标文件递交的截止时间详见招标文件。</w:t>
      </w:r>
    </w:p>
    <w:p w14:paraId="7DA904C1">
      <w:pPr>
        <w:spacing w:line="360" w:lineRule="auto"/>
        <w:ind w:firstLine="420" w:firstLineChars="200"/>
        <w:rPr>
          <w:rFonts w:ascii="宋体" w:hAnsi="Courier New"/>
          <w:bCs/>
        </w:rPr>
      </w:pPr>
      <w:r>
        <w:rPr>
          <w:rFonts w:ascii="宋体" w:hAnsi="Courier New"/>
          <w:bCs/>
        </w:rPr>
        <w:t xml:space="preserve">5.2 </w:t>
      </w:r>
      <w:r>
        <w:rPr>
          <w:rFonts w:hint="eastAsia" w:ascii="宋体" w:hAnsi="Courier New"/>
          <w:bCs/>
        </w:rPr>
        <w:t>逾期送达的或者未送达指定地点的投标文件，招标人不予受理。</w:t>
      </w:r>
    </w:p>
    <w:p w14:paraId="287328F7">
      <w:pPr>
        <w:pStyle w:val="29"/>
        <w:ind w:firstLine="562" w:firstLineChars="200"/>
        <w:rPr>
          <w:highlight w:val="none"/>
        </w:rPr>
      </w:pPr>
      <w:r>
        <w:rPr>
          <w:rFonts w:hint="eastAsia"/>
          <w:highlight w:val="none"/>
        </w:rPr>
        <w:t>开标时间和地点</w:t>
      </w:r>
    </w:p>
    <w:p w14:paraId="35CE145D">
      <w:pPr>
        <w:spacing w:line="360" w:lineRule="auto"/>
        <w:ind w:firstLine="420" w:firstLineChars="200"/>
        <w:rPr>
          <w:rFonts w:ascii="宋体" w:hAnsi="Courier New"/>
          <w:bCs/>
        </w:rPr>
      </w:pPr>
      <w:r>
        <w:rPr>
          <w:rFonts w:hint="eastAsia" w:ascii="宋体" w:hAnsi="Courier New"/>
          <w:bCs/>
        </w:rPr>
        <w:t>（一）开标时间：2026年</w:t>
      </w:r>
      <w:r>
        <w:rPr>
          <w:rFonts w:ascii="宋体" w:hAnsi="Courier New"/>
          <w:bCs/>
        </w:rPr>
        <w:t>1</w:t>
      </w:r>
      <w:r>
        <w:rPr>
          <w:rFonts w:hint="eastAsia" w:ascii="宋体" w:hAnsi="Courier New"/>
          <w:bCs/>
          <w:lang w:val="en-US" w:eastAsia="zh-CN"/>
        </w:rPr>
        <w:t>2</w:t>
      </w:r>
      <w:r>
        <w:rPr>
          <w:rFonts w:hint="eastAsia" w:ascii="宋体" w:hAnsi="Courier New"/>
          <w:bCs/>
        </w:rPr>
        <w:t>月</w:t>
      </w:r>
      <w:r>
        <w:rPr>
          <w:rFonts w:hint="eastAsia" w:ascii="宋体" w:hAnsi="Courier New"/>
          <w:bCs/>
          <w:lang w:val="en-US" w:eastAsia="zh-CN"/>
        </w:rPr>
        <w:t>2</w:t>
      </w:r>
      <w:r>
        <w:rPr>
          <w:rFonts w:hint="eastAsia" w:ascii="宋体" w:hAnsi="Courier New"/>
          <w:bCs/>
        </w:rPr>
        <w:t>日9:00:00（北京时间），若有变动另行通知。</w:t>
      </w:r>
    </w:p>
    <w:p w14:paraId="5FC186FB">
      <w:pPr>
        <w:spacing w:line="360" w:lineRule="auto"/>
        <w:ind w:firstLine="420" w:firstLineChars="200"/>
        <w:rPr>
          <w:rFonts w:ascii="宋体" w:hAnsi="Courier New"/>
          <w:bCs/>
        </w:rPr>
      </w:pPr>
      <w:r>
        <w:rPr>
          <w:rFonts w:hint="eastAsia" w:ascii="宋体" w:hAnsi="Courier New"/>
          <w:bCs/>
        </w:rPr>
        <w:t>（二）开标地点：济南市高新区华奥路</w:t>
      </w:r>
      <w:r>
        <w:rPr>
          <w:rFonts w:ascii="宋体" w:hAnsi="Courier New"/>
          <w:bCs/>
        </w:rPr>
        <w:t>777</w:t>
      </w:r>
      <w:r>
        <w:rPr>
          <w:rFonts w:hint="eastAsia" w:ascii="宋体" w:hAnsi="Courier New"/>
          <w:bCs/>
        </w:rPr>
        <w:t>号。</w:t>
      </w:r>
    </w:p>
    <w:p w14:paraId="639404C0">
      <w:pPr>
        <w:pStyle w:val="29"/>
        <w:ind w:firstLine="562" w:firstLineChars="200"/>
      </w:pPr>
      <w:bookmarkStart w:id="8" w:name="_Toc47976593"/>
      <w:r>
        <w:rPr>
          <w:rFonts w:hint="eastAsia"/>
        </w:rPr>
        <w:t>招标公告发布媒介</w:t>
      </w:r>
      <w:bookmarkEnd w:id="8"/>
    </w:p>
    <w:p w14:paraId="5BE82C22">
      <w:pPr>
        <w:pStyle w:val="36"/>
        <w:numPr>
          <w:ilvl w:val="0"/>
          <w:numId w:val="0"/>
        </w:numPr>
        <w:ind w:left="1130" w:firstLine="420" w:firstLineChars="200"/>
        <w:rPr>
          <w:b w:val="0"/>
          <w:bCs/>
        </w:rPr>
      </w:pPr>
      <w:r>
        <w:rPr>
          <w:rFonts w:hint="eastAsia"/>
          <w:b w:val="0"/>
          <w:bCs/>
        </w:rPr>
        <w:t>本次招标公告在中国重汽官方网站、山东省阳光采购服务平台、中国招标投标公共服务平台等公开媒体发布。</w:t>
      </w:r>
    </w:p>
    <w:p w14:paraId="1834A89A">
      <w:pPr>
        <w:pStyle w:val="29"/>
        <w:ind w:firstLine="562" w:firstLineChars="200"/>
      </w:pPr>
      <w:bookmarkStart w:id="9" w:name="_Toc47976594"/>
      <w:r>
        <w:rPr>
          <w:rFonts w:hint="eastAsia"/>
        </w:rPr>
        <w:t>联系方式</w:t>
      </w:r>
      <w:bookmarkEnd w:id="9"/>
    </w:p>
    <w:p w14:paraId="765DFE71">
      <w:pPr>
        <w:spacing w:after="0" w:line="360" w:lineRule="auto"/>
        <w:ind w:left="420" w:firstLine="420" w:firstLineChars="200"/>
        <w:jc w:val="both"/>
        <w:rPr>
          <w:rFonts w:ascii="宋体" w:hAnsi="Courier New"/>
          <w:bCs/>
          <w:sz w:val="21"/>
        </w:rPr>
      </w:pPr>
      <w:r>
        <w:rPr>
          <w:rFonts w:hint="eastAsia" w:ascii="宋体" w:hAnsi="Courier New"/>
          <w:bCs/>
          <w:sz w:val="21"/>
        </w:rPr>
        <w:t>商务联系人：</w:t>
      </w:r>
      <w:r>
        <w:rPr>
          <w:rFonts w:hint="eastAsia" w:ascii="宋体" w:hAnsi="Courier New"/>
          <w:bCs/>
          <w:sz w:val="21"/>
          <w:lang w:val="en-US" w:eastAsia="zh-CN"/>
        </w:rPr>
        <w:t>郭老师</w:t>
      </w:r>
    </w:p>
    <w:p w14:paraId="386337B7">
      <w:pPr>
        <w:spacing w:after="0" w:line="360" w:lineRule="auto"/>
        <w:ind w:left="420" w:firstLine="420" w:firstLineChars="200"/>
        <w:jc w:val="both"/>
        <w:rPr>
          <w:rFonts w:ascii="宋体" w:hAnsi="Courier New"/>
          <w:bCs/>
          <w:sz w:val="21"/>
        </w:rPr>
      </w:pPr>
      <w:r>
        <w:rPr>
          <w:rFonts w:hint="eastAsia" w:ascii="宋体" w:hAnsi="Courier New"/>
          <w:bCs/>
          <w:sz w:val="21"/>
        </w:rPr>
        <w:t>电话：</w:t>
      </w:r>
      <w:r>
        <w:rPr>
          <w:rFonts w:hint="eastAsia" w:ascii="宋体" w:hAnsi="Courier New"/>
          <w:bCs/>
          <w:sz w:val="21"/>
          <w:lang w:val="en-US" w:eastAsia="zh-CN"/>
        </w:rPr>
        <w:t>17860606311</w:t>
      </w:r>
    </w:p>
    <w:p w14:paraId="40B5BC45">
      <w:pPr>
        <w:spacing w:after="0" w:line="360" w:lineRule="auto"/>
        <w:ind w:left="420" w:firstLine="420" w:firstLineChars="200"/>
        <w:jc w:val="both"/>
        <w:rPr>
          <w:rFonts w:hint="eastAsia" w:ascii="宋体" w:hAnsi="Courier New"/>
          <w:bCs/>
          <w:sz w:val="21"/>
        </w:rPr>
      </w:pPr>
      <w:r>
        <w:rPr>
          <w:rFonts w:hint="eastAsia" w:ascii="宋体" w:hAnsi="Courier New"/>
          <w:bCs/>
          <w:sz w:val="21"/>
        </w:rPr>
        <w:t>邮箱：guochaochen@sinotruk.com</w:t>
      </w:r>
    </w:p>
    <w:p w14:paraId="529E53F8">
      <w:pPr>
        <w:spacing w:after="0" w:line="360" w:lineRule="auto"/>
        <w:ind w:left="420" w:firstLine="420" w:firstLineChars="200"/>
        <w:jc w:val="both"/>
        <w:rPr>
          <w:rFonts w:ascii="宋体" w:hAnsi="Courier New"/>
          <w:bCs/>
          <w:sz w:val="21"/>
        </w:rPr>
      </w:pPr>
      <w:r>
        <w:rPr>
          <w:rFonts w:hint="eastAsia" w:ascii="宋体" w:hAnsi="Courier New"/>
          <w:bCs/>
          <w:sz w:val="21"/>
        </w:rPr>
        <w:t>技术联系人：鞠老师</w:t>
      </w:r>
    </w:p>
    <w:p w14:paraId="78B2CABB">
      <w:pPr>
        <w:spacing w:after="0" w:line="360" w:lineRule="auto"/>
        <w:ind w:left="420" w:firstLine="420" w:firstLineChars="200"/>
        <w:jc w:val="both"/>
        <w:rPr>
          <w:rFonts w:ascii="宋体" w:hAnsi="Courier New"/>
          <w:bCs/>
          <w:sz w:val="21"/>
        </w:rPr>
      </w:pPr>
      <w:r>
        <w:rPr>
          <w:rFonts w:hint="eastAsia" w:ascii="宋体" w:hAnsi="Courier New"/>
          <w:bCs/>
          <w:sz w:val="21"/>
        </w:rPr>
        <w:t>电话：</w:t>
      </w:r>
      <w:r>
        <w:rPr>
          <w:rFonts w:ascii="宋体" w:hAnsi="Courier New"/>
          <w:bCs/>
          <w:sz w:val="21"/>
        </w:rPr>
        <w:t>13964115552</w:t>
      </w:r>
    </w:p>
    <w:p w14:paraId="47B1BAFC">
      <w:pPr>
        <w:spacing w:after="0" w:line="360" w:lineRule="auto"/>
        <w:ind w:left="420" w:firstLine="420" w:firstLineChars="200"/>
        <w:jc w:val="both"/>
        <w:rPr>
          <w:rFonts w:ascii="宋体" w:hAnsi="Courier New"/>
          <w:bCs/>
          <w:sz w:val="21"/>
        </w:rPr>
      </w:pPr>
      <w:r>
        <w:rPr>
          <w:rFonts w:hint="eastAsia" w:ascii="宋体" w:hAnsi="Courier New"/>
          <w:bCs/>
          <w:sz w:val="21"/>
        </w:rPr>
        <w:t>邮箱：</w:t>
      </w:r>
      <w:r>
        <w:rPr>
          <w:rFonts w:ascii="宋体" w:hAnsi="Courier New"/>
          <w:bCs/>
          <w:sz w:val="21"/>
        </w:rPr>
        <w:t>juwl@sinotruk.com</w:t>
      </w:r>
    </w:p>
    <w:p w14:paraId="397AE47C">
      <w:pPr>
        <w:spacing w:line="360" w:lineRule="auto"/>
        <w:ind w:left="420" w:firstLine="420" w:firstLineChars="200"/>
        <w:rPr>
          <w:rFonts w:ascii="宋体" w:hAnsi="Courier New"/>
          <w:bCs/>
        </w:rPr>
      </w:pPr>
    </w:p>
    <w:p w14:paraId="16F7FBB5">
      <w:pPr>
        <w:spacing w:line="360" w:lineRule="auto"/>
        <w:ind w:left="420" w:firstLine="420" w:firstLineChars="200"/>
        <w:rPr>
          <w:rFonts w:ascii="宋体" w:hAnsi="Courier New"/>
          <w:bCs/>
        </w:rPr>
      </w:pPr>
    </w:p>
    <w:p w14:paraId="2BC1BC60">
      <w:pPr>
        <w:pStyle w:val="28"/>
      </w:pPr>
    </w:p>
    <w:p w14:paraId="39263ACC">
      <w:pPr>
        <w:pStyle w:val="28"/>
      </w:pPr>
    </w:p>
    <w:p w14:paraId="4DE5FABC">
      <w:pPr>
        <w:pStyle w:val="28"/>
        <w:jc w:val="both"/>
        <w:rPr>
          <w:highlight w:val="none"/>
          <w:u w:val="single"/>
        </w:rPr>
      </w:pPr>
    </w:p>
    <w:p w14:paraId="0C072268">
      <w:pPr>
        <w:pStyle w:val="28"/>
        <w:jc w:val="right"/>
        <w:rPr>
          <w:highlight w:val="none"/>
          <w:u w:val="single"/>
        </w:rPr>
      </w:pPr>
    </w:p>
    <w:p w14:paraId="1C98669D">
      <w:pPr>
        <w:pStyle w:val="28"/>
        <w:jc w:val="right"/>
        <w:rPr>
          <w:highlight w:val="none"/>
          <w:u w:val="single"/>
        </w:rPr>
      </w:pPr>
    </w:p>
    <w:p w14:paraId="61B62735">
      <w:pPr>
        <w:spacing w:before="156" w:line="360" w:lineRule="auto"/>
        <w:jc w:val="right"/>
        <w:rPr>
          <w:sz w:val="30"/>
          <w:szCs w:val="30"/>
        </w:rPr>
      </w:pPr>
      <w:r>
        <w:rPr>
          <w:rFonts w:hint="eastAsia"/>
          <w:bCs/>
        </w:rPr>
        <w:t>2026年</w:t>
      </w:r>
      <w:r>
        <w:rPr>
          <w:bCs/>
        </w:rPr>
        <w:t>1</w:t>
      </w:r>
      <w:r>
        <w:rPr>
          <w:rFonts w:hint="eastAsia"/>
          <w:bCs/>
          <w:lang w:val="en-US" w:eastAsia="zh-CN"/>
        </w:rPr>
        <w:t>1</w:t>
      </w:r>
      <w:r>
        <w:rPr>
          <w:rFonts w:hint="eastAsia"/>
          <w:bCs/>
        </w:rPr>
        <w:t>月</w:t>
      </w:r>
      <w:r>
        <w:rPr>
          <w:rFonts w:hint="eastAsia"/>
          <w:bCs/>
          <w:lang w:val="en-US" w:eastAsia="zh-CN"/>
        </w:rPr>
        <w:t>4</w:t>
      </w:r>
      <w:r>
        <w:rPr>
          <w:rFonts w:hint="eastAsia"/>
          <w:bCs/>
        </w:rPr>
        <w:t>日</w:t>
      </w:r>
      <w:r>
        <w:rPr>
          <w:sz w:val="30"/>
          <w:szCs w:val="30"/>
        </w:rPr>
        <w:br w:type="page"/>
      </w:r>
    </w:p>
    <w:p w14:paraId="4B82D104">
      <w:pPr>
        <w:jc w:val="both"/>
        <w:rPr>
          <w:b/>
          <w:bCs/>
          <w:sz w:val="28"/>
          <w:szCs w:val="36"/>
        </w:rPr>
      </w:pPr>
      <w:bookmarkStart w:id="10" w:name="_GoBack"/>
      <w:bookmarkEnd w:id="10"/>
      <w:r>
        <w:rPr>
          <w:rFonts w:hint="eastAsia"/>
          <w:b/>
          <w:bCs/>
          <w:sz w:val="28"/>
          <w:szCs w:val="36"/>
          <w:lang w:val="en-US" w:eastAsia="zh-CN"/>
        </w:rPr>
        <w:t>附件3：</w:t>
      </w:r>
      <w:r>
        <w:rPr>
          <w:b/>
          <w:bCs/>
          <w:sz w:val="28"/>
          <w:szCs w:val="36"/>
        </w:rPr>
        <w:t>非生产供应商注册操作手册</w:t>
      </w:r>
    </w:p>
    <w:p w14:paraId="05EBD9FE">
      <w:pPr>
        <w:pStyle w:val="9"/>
        <w:keepNext w:val="0"/>
        <w:keepLines w:val="0"/>
        <w:pageBreakBefore w:val="0"/>
        <w:widowControl w:val="0"/>
        <w:kinsoku/>
        <w:wordWrap/>
        <w:overflowPunct/>
        <w:topLinePunct w:val="0"/>
        <w:autoSpaceDE/>
        <w:autoSpaceDN/>
        <w:bidi w:val="0"/>
        <w:spacing w:line="360" w:lineRule="auto"/>
        <w:textAlignment w:val="auto"/>
        <w:outlineLvl w:val="2"/>
        <w:rPr>
          <w:rFonts w:hint="eastAsia" w:hAnsi="宋体" w:eastAsia="宋体" w:cs="宋体"/>
          <w:b/>
          <w:bCs/>
          <w:color w:val="000000"/>
          <w:sz w:val="24"/>
          <w:szCs w:val="24"/>
        </w:rPr>
      </w:pPr>
      <w:r>
        <w:rPr>
          <w:rFonts w:hint="eastAsia" w:hAnsi="宋体" w:eastAsia="宋体" w:cs="宋体"/>
          <w:b/>
          <w:bCs/>
          <w:color w:val="000000"/>
          <w:sz w:val="24"/>
          <w:szCs w:val="24"/>
          <w:lang w:val="en-US" w:eastAsia="zh-CN"/>
        </w:rPr>
        <w:t>：</w:t>
      </w:r>
      <w:r>
        <w:rPr>
          <w:rFonts w:hint="eastAsia" w:hAnsi="宋体" w:eastAsia="宋体" w:cs="宋体"/>
          <w:b/>
          <w:bCs/>
          <w:color w:val="000000"/>
          <w:sz w:val="24"/>
          <w:szCs w:val="24"/>
        </w:rPr>
        <w:t>SRM非生产供应商注册操作手册</w:t>
      </w:r>
    </w:p>
    <w:p w14:paraId="41D63BA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4"/>
          <w:szCs w:val="24"/>
        </w:rPr>
      </w:pPr>
      <w:r>
        <w:rPr>
          <w:rFonts w:ascii="宋体" w:hAnsi="宋体" w:eastAsia="宋体" w:cs="宋体"/>
          <w:sz w:val="24"/>
          <w:szCs w:val="24"/>
        </w:rPr>
        <w:t>浏览器中输入地址;</w:t>
      </w:r>
    </w:p>
    <w:p w14:paraId="2983A41F">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9B464FC">
      <w:pPr>
        <w:adjustRightInd w:val="0"/>
        <w:snapToGrid w:val="0"/>
        <w:spacing w:line="360" w:lineRule="auto"/>
        <w:jc w:val="left"/>
        <w:rPr>
          <w:rFonts w:hint="eastAsia" w:ascii="宋体" w:hAnsi="宋体" w:cs="宋体"/>
          <w:b/>
          <w:bCs/>
          <w:sz w:val="24"/>
          <w:szCs w:val="24"/>
          <w:lang w:val="en-US" w:eastAsia="zh-CN"/>
        </w:rPr>
      </w:pPr>
      <w:r>
        <w:rPr>
          <w:rFonts w:hint="eastAsia" w:ascii="宋体" w:hAnsi="宋体" w:eastAsia="宋体" w:cs="宋体"/>
          <w:sz w:val="24"/>
          <w:szCs w:val="24"/>
          <w:lang w:val="en-US" w:eastAsia="zh-CN"/>
        </w:rPr>
        <w:t>1.下载《供应商用户手册》</w:t>
      </w:r>
    </w:p>
    <w:p w14:paraId="3B8278CB">
      <w:pPr>
        <w:adjustRightInd w:val="0"/>
        <w:snapToGrid w:val="0"/>
        <w:spacing w:line="360" w:lineRule="auto"/>
        <w:jc w:val="left"/>
        <w:rPr>
          <w:rFonts w:hint="eastAsia" w:ascii="宋体" w:hAnsi="宋体" w:eastAsia="宋体" w:cs="宋体"/>
          <w:sz w:val="24"/>
          <w:szCs w:val="24"/>
        </w:rPr>
      </w:pPr>
      <w:r>
        <w:drawing>
          <wp:inline distT="0" distB="0" distL="114300" distR="114300">
            <wp:extent cx="5758815" cy="2764790"/>
            <wp:effectExtent l="0" t="0" r="6985" b="381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6"/>
                    <a:stretch>
                      <a:fillRect/>
                    </a:stretch>
                  </pic:blipFill>
                  <pic:spPr>
                    <a:xfrm>
                      <a:off x="0" y="0"/>
                      <a:ext cx="5758815" cy="2764790"/>
                    </a:xfrm>
                    <a:prstGeom prst="rect">
                      <a:avLst/>
                    </a:prstGeom>
                    <a:noFill/>
                    <a:ln>
                      <a:noFill/>
                    </a:ln>
                  </pic:spPr>
                </pic:pic>
              </a:graphicData>
            </a:graphic>
          </wp:inline>
        </w:drawing>
      </w:r>
    </w:p>
    <w:p w14:paraId="137E6192">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477425D7">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322354B5">
      <w:pPr>
        <w:snapToGrid w:val="0"/>
        <w:spacing w:line="312" w:lineRule="auto"/>
        <w:rPr>
          <w:rFonts w:hint="eastAsia"/>
        </w:rPr>
      </w:pPr>
      <w:r>
        <w:drawing>
          <wp:inline distT="0" distB="0" distL="0" distR="0">
            <wp:extent cx="5760085" cy="2933065"/>
            <wp:effectExtent l="0" t="0" r="5715" b="635"/>
            <wp:docPr id="47" name="picture" descr="descript"/>
            <wp:cNvGraphicFramePr/>
            <a:graphic xmlns:a="http://schemas.openxmlformats.org/drawingml/2006/main">
              <a:graphicData uri="http://schemas.openxmlformats.org/drawingml/2006/picture">
                <pic:pic xmlns:pic="http://schemas.openxmlformats.org/drawingml/2006/picture">
                  <pic:nvPicPr>
                    <pic:cNvPr id="47" name="picture" descr="descript"/>
                    <pic:cNvPicPr/>
                  </pic:nvPicPr>
                  <pic:blipFill>
                    <a:blip r:embed="rId7"/>
                    <a:stretch>
                      <a:fillRect/>
                    </a:stretch>
                  </pic:blipFill>
                  <pic:spPr>
                    <a:xfrm>
                      <a:off x="0" y="0"/>
                      <a:ext cx="5760085" cy="2933377"/>
                    </a:xfrm>
                    <a:prstGeom prst="rect">
                      <a:avLst/>
                    </a:prstGeom>
                  </pic:spPr>
                </pic:pic>
              </a:graphicData>
            </a:graphic>
          </wp:inline>
        </w:drawing>
      </w:r>
    </w:p>
    <w:p w14:paraId="04FD31DC">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3A159DBF">
      <w:pPr>
        <w:snapToGrid w:val="0"/>
        <w:spacing w:line="312" w:lineRule="auto"/>
        <w:rPr>
          <w:rFonts w:hint="eastAsia"/>
        </w:rPr>
      </w:pPr>
      <w:r>
        <w:drawing>
          <wp:inline distT="0" distB="0" distL="0" distR="0">
            <wp:extent cx="5760085" cy="2766695"/>
            <wp:effectExtent l="0" t="0" r="5715" b="19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8"/>
                    <a:stretch>
                      <a:fillRect/>
                    </a:stretch>
                  </pic:blipFill>
                  <pic:spPr>
                    <a:xfrm>
                      <a:off x="0" y="0"/>
                      <a:ext cx="5760085" cy="2766707"/>
                    </a:xfrm>
                    <a:prstGeom prst="rect">
                      <a:avLst/>
                    </a:prstGeom>
                  </pic:spPr>
                </pic:pic>
              </a:graphicData>
            </a:graphic>
          </wp:inline>
        </w:drawing>
      </w:r>
    </w:p>
    <w:p w14:paraId="28623270">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522C622D">
      <w:pPr>
        <w:snapToGrid w:val="0"/>
        <w:spacing w:line="312" w:lineRule="auto"/>
        <w:rPr>
          <w:rFonts w:hint="eastAsia"/>
        </w:rPr>
      </w:pPr>
      <w:r>
        <w:drawing>
          <wp:inline distT="0" distB="0" distL="0" distR="0">
            <wp:extent cx="5760085" cy="2869565"/>
            <wp:effectExtent l="0" t="0" r="5715" b="635"/>
            <wp:docPr id="50" name="picture" descr="descript"/>
            <wp:cNvGraphicFramePr/>
            <a:graphic xmlns:a="http://schemas.openxmlformats.org/drawingml/2006/main">
              <a:graphicData uri="http://schemas.openxmlformats.org/drawingml/2006/picture">
                <pic:pic xmlns:pic="http://schemas.openxmlformats.org/drawingml/2006/picture">
                  <pic:nvPicPr>
                    <pic:cNvPr id="50" name="picture" descr="descript"/>
                    <pic:cNvPicPr/>
                  </pic:nvPicPr>
                  <pic:blipFill>
                    <a:blip r:embed="rId9"/>
                    <a:stretch>
                      <a:fillRect/>
                    </a:stretch>
                  </pic:blipFill>
                  <pic:spPr>
                    <a:xfrm>
                      <a:off x="0" y="0"/>
                      <a:ext cx="5760085" cy="2870054"/>
                    </a:xfrm>
                    <a:prstGeom prst="rect">
                      <a:avLst/>
                    </a:prstGeom>
                  </pic:spPr>
                </pic:pic>
              </a:graphicData>
            </a:graphic>
          </wp:inline>
        </w:drawing>
      </w:r>
    </w:p>
    <w:p w14:paraId="75AC9D5A">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418DE996">
      <w:pPr>
        <w:snapToGrid w:val="0"/>
        <w:spacing w:line="312" w:lineRule="auto"/>
        <w:rPr>
          <w:rFonts w:hint="eastAsia"/>
        </w:rPr>
      </w:pPr>
      <w:r>
        <w:drawing>
          <wp:inline distT="0" distB="0" distL="0" distR="0">
            <wp:extent cx="5760085" cy="2853055"/>
            <wp:effectExtent l="0" t="0" r="5715" b="4445"/>
            <wp:docPr id="51" name="picture" descr="descript"/>
            <wp:cNvGraphicFramePr/>
            <a:graphic xmlns:a="http://schemas.openxmlformats.org/drawingml/2006/main">
              <a:graphicData uri="http://schemas.openxmlformats.org/drawingml/2006/picture">
                <pic:pic xmlns:pic="http://schemas.openxmlformats.org/drawingml/2006/picture">
                  <pic:nvPicPr>
                    <pic:cNvPr id="51" name="picture" descr="descript"/>
                    <pic:cNvPicPr/>
                  </pic:nvPicPr>
                  <pic:blipFill>
                    <a:blip r:embed="rId10"/>
                    <a:stretch>
                      <a:fillRect/>
                    </a:stretch>
                  </pic:blipFill>
                  <pic:spPr>
                    <a:xfrm>
                      <a:off x="0" y="0"/>
                      <a:ext cx="5760085" cy="2853375"/>
                    </a:xfrm>
                    <a:prstGeom prst="rect">
                      <a:avLst/>
                    </a:prstGeom>
                  </pic:spPr>
                </pic:pic>
              </a:graphicData>
            </a:graphic>
          </wp:inline>
        </w:drawing>
      </w:r>
    </w:p>
    <w:p w14:paraId="0C66805F">
      <w:pPr>
        <w:numPr>
          <w:ilvl w:val="0"/>
          <w:numId w:val="7"/>
        </w:numPr>
        <w:spacing w:line="360" w:lineRule="auto"/>
        <w:rPr>
          <w:rFonts w:ascii="宋体" w:hAnsi="宋体" w:eastAsia="宋体" w:cs="宋体"/>
          <w:color w:val="000000"/>
          <w:sz w:val="24"/>
          <w:szCs w:val="28"/>
        </w:rPr>
      </w:pPr>
      <w:r>
        <w:rPr>
          <w:rFonts w:ascii="宋体" w:hAnsi="宋体" w:eastAsia="宋体" w:cs="宋体"/>
          <w:color w:val="000000"/>
          <w:sz w:val="24"/>
          <w:szCs w:val="28"/>
        </w:rPr>
        <w:t>按要求填写所有信息，注意非生产类要填写合作单位，最后提交审批</w:t>
      </w:r>
    </w:p>
    <w:p w14:paraId="6001B45E">
      <w:pPr>
        <w:numPr>
          <w:ilvl w:val="0"/>
          <w:numId w:val="0"/>
        </w:numPr>
        <w:spacing w:line="360" w:lineRule="auto"/>
      </w:pPr>
      <w:r>
        <w:drawing>
          <wp:inline distT="0" distB="0" distL="114300" distR="114300">
            <wp:extent cx="5758180" cy="3058795"/>
            <wp:effectExtent l="0" t="0" r="7620" b="19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a:stretch>
                      <a:fillRect/>
                    </a:stretch>
                  </pic:blipFill>
                  <pic:spPr>
                    <a:xfrm>
                      <a:off x="0" y="0"/>
                      <a:ext cx="5758180" cy="3058795"/>
                    </a:xfrm>
                    <a:prstGeom prst="rect">
                      <a:avLst/>
                    </a:prstGeom>
                    <a:noFill/>
                    <a:ln>
                      <a:noFill/>
                    </a:ln>
                  </pic:spPr>
                </pic:pic>
              </a:graphicData>
            </a:graphic>
          </wp:inline>
        </w:drawing>
      </w:r>
    </w:p>
    <w:p w14:paraId="7D1017DA">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18A2985B">
      <w:pPr>
        <w:pStyle w:val="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注：</w:t>
      </w:r>
    </w:p>
    <w:p w14:paraId="28B8FA3C">
      <w:pPr>
        <w:pStyle w:val="9"/>
        <w:numPr>
          <w:ilvl w:val="0"/>
          <w:numId w:val="8"/>
        </w:numPr>
        <w:rPr>
          <w:rFonts w:hint="eastAsia" w:hAnsi="宋体" w:eastAsia="宋体" w:cs="宋体"/>
          <w:b/>
          <w:bCs/>
          <w:color w:val="000000"/>
          <w:sz w:val="24"/>
          <w:szCs w:val="28"/>
          <w:highlight w:val="none"/>
          <w:lang w:val="en-US" w:eastAsia="zh-CN"/>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hAnsi="宋体" w:cs="宋体"/>
          <w:b/>
          <w:bCs/>
          <w:color w:val="000000"/>
          <w:sz w:val="24"/>
          <w:szCs w:val="28"/>
          <w:highlight w:val="none"/>
          <w:lang w:val="en-US" w:eastAsia="zh-CN"/>
        </w:rPr>
        <w:t>应填必填，</w:t>
      </w:r>
      <w:r>
        <w:rPr>
          <w:rFonts w:hint="eastAsia" w:ascii="宋体" w:hAnsi="宋体" w:eastAsia="宋体" w:cs="宋体"/>
          <w:b/>
          <w:bCs/>
          <w:color w:val="000000"/>
          <w:sz w:val="24"/>
          <w:szCs w:val="28"/>
          <w:highlight w:val="none"/>
          <w:lang w:val="en-US" w:eastAsia="zh-CN"/>
        </w:rPr>
        <w:t>尽可能完整</w:t>
      </w:r>
      <w:r>
        <w:rPr>
          <w:rFonts w:hint="eastAsia" w:hAnsi="宋体" w:eastAsia="宋体" w:cs="宋体"/>
          <w:b/>
          <w:bCs/>
          <w:color w:val="000000"/>
          <w:sz w:val="24"/>
          <w:szCs w:val="28"/>
          <w:highlight w:val="none"/>
          <w:lang w:val="en-US" w:eastAsia="zh-CN"/>
        </w:rPr>
        <w:t>；“</w:t>
      </w:r>
      <w:r>
        <w:rPr>
          <w:rFonts w:hint="eastAsia" w:ascii="宋体" w:hAnsi="宋体" w:eastAsia="宋体" w:cs="宋体"/>
          <w:b/>
          <w:bCs/>
          <w:color w:val="000000"/>
          <w:sz w:val="24"/>
          <w:szCs w:val="28"/>
          <w:highlight w:val="none"/>
          <w:lang w:val="en-US" w:eastAsia="zh-CN"/>
        </w:rPr>
        <w:t>采购形式编号</w:t>
      </w:r>
      <w:r>
        <w:rPr>
          <w:rFonts w:hint="eastAsia" w:hAnsi="宋体" w:eastAsia="宋体" w:cs="宋体"/>
          <w:b/>
          <w:bCs/>
          <w:color w:val="000000"/>
          <w:sz w:val="24"/>
          <w:szCs w:val="28"/>
          <w:highlight w:val="none"/>
          <w:lang w:val="en-US" w:eastAsia="zh-CN"/>
        </w:rPr>
        <w:t>”</w:t>
      </w:r>
      <w:r>
        <w:rPr>
          <w:rFonts w:hint="eastAsia" w:ascii="宋体" w:hAnsi="宋体" w:eastAsia="宋体" w:cs="宋体"/>
          <w:b/>
          <w:bCs/>
          <w:color w:val="000000"/>
          <w:sz w:val="24"/>
          <w:szCs w:val="28"/>
          <w:highlight w:val="none"/>
          <w:lang w:val="en-US" w:eastAsia="zh-CN"/>
        </w:rPr>
        <w:t>、</w:t>
      </w:r>
      <w:r>
        <w:rPr>
          <w:rFonts w:hint="eastAsia" w:hAnsi="宋体" w:eastAsia="宋体" w:cs="宋体"/>
          <w:b/>
          <w:bCs/>
          <w:color w:val="000000"/>
          <w:sz w:val="24"/>
          <w:szCs w:val="28"/>
          <w:highlight w:val="none"/>
          <w:lang w:val="en-US" w:eastAsia="zh-CN"/>
        </w:rPr>
        <w:t>“</w:t>
      </w:r>
      <w:r>
        <w:rPr>
          <w:rFonts w:hint="eastAsia" w:ascii="宋体" w:hAnsi="宋体" w:eastAsia="宋体" w:cs="宋体"/>
          <w:b/>
          <w:bCs/>
          <w:color w:val="000000"/>
          <w:sz w:val="24"/>
          <w:szCs w:val="28"/>
          <w:highlight w:val="none"/>
          <w:lang w:val="en-US" w:eastAsia="zh-CN"/>
        </w:rPr>
        <w:t>投标项目名称</w:t>
      </w:r>
      <w:r>
        <w:rPr>
          <w:rFonts w:hint="eastAsia" w:hAnsi="宋体" w:eastAsia="宋体" w:cs="宋体"/>
          <w:b/>
          <w:bCs/>
          <w:color w:val="000000"/>
          <w:sz w:val="24"/>
          <w:szCs w:val="28"/>
          <w:highlight w:val="none"/>
          <w:lang w:val="en-US" w:eastAsia="zh-CN"/>
        </w:rPr>
        <w:t>”见上文公告。</w:t>
      </w:r>
    </w:p>
    <w:p w14:paraId="1B2DE0D8">
      <w:pPr>
        <w:pStyle w:val="9"/>
        <w:numPr>
          <w:ilvl w:val="0"/>
          <w:numId w:val="8"/>
        </w:numPr>
        <w:rPr>
          <w:rFonts w:hint="default" w:hAnsi="宋体" w:eastAsia="宋体" w:cs="宋体"/>
          <w:b/>
          <w:bCs/>
          <w:color w:val="000000"/>
          <w:sz w:val="24"/>
          <w:szCs w:val="28"/>
          <w:highlight w:val="none"/>
          <w:lang w:val="en-US" w:eastAsia="zh-CN"/>
        </w:rPr>
      </w:pPr>
      <w:r>
        <w:rPr>
          <w:rFonts w:hint="eastAsia" w:hAnsi="宋体" w:eastAsia="宋体" w:cs="宋体"/>
          <w:b/>
          <w:bCs/>
          <w:color w:val="000000"/>
          <w:sz w:val="24"/>
          <w:szCs w:val="28"/>
          <w:highlight w:val="none"/>
          <w:lang w:val="en-US" w:eastAsia="zh-CN"/>
        </w:rPr>
        <w:t>配套能力：</w:t>
      </w: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工艺设备 / 工艺设备</w:t>
      </w:r>
      <w:r>
        <w:rPr>
          <w:rFonts w:hint="eastAsia" w:ascii="宋体" w:hAnsi="宋体" w:eastAsia="宋体" w:cs="宋体"/>
          <w:b/>
          <w:bCs/>
          <w:color w:val="000000"/>
          <w:sz w:val="24"/>
          <w:szCs w:val="28"/>
          <w:highlight w:val="none"/>
        </w:rPr>
        <w:t>”，</w:t>
      </w:r>
      <w:r>
        <w:rPr>
          <w:rFonts w:hint="eastAsia" w:ascii="宋体" w:hAnsi="宋体" w:cs="宋体"/>
          <w:b/>
          <w:bCs/>
          <w:color w:val="000000"/>
          <w:sz w:val="24"/>
          <w:szCs w:val="28"/>
          <w:highlight w:val="none"/>
          <w:lang w:val="en-US" w:eastAsia="zh-CN"/>
        </w:rPr>
        <w:t>供应商类别据实填写</w:t>
      </w:r>
      <w:r>
        <w:rPr>
          <w:rFonts w:hint="eastAsia" w:hAnsi="宋体" w:cs="宋体"/>
          <w:b/>
          <w:bCs/>
          <w:color w:val="000000"/>
          <w:sz w:val="24"/>
          <w:szCs w:val="28"/>
          <w:highlight w:val="none"/>
          <w:lang w:val="en-US" w:eastAsia="zh-CN"/>
        </w:rPr>
        <w:t>，代理商需要上传文件。</w:t>
      </w:r>
    </w:p>
    <w:p w14:paraId="58657DA3">
      <w:pPr>
        <w:pStyle w:val="9"/>
        <w:numPr>
          <w:ilvl w:val="0"/>
          <w:numId w:val="8"/>
        </w:numPr>
        <w:rPr>
          <w:rFonts w:hint="default" w:hAnsi="宋体" w:eastAsia="宋体" w:cs="宋体"/>
          <w:b/>
          <w:bCs/>
          <w:color w:val="000000"/>
          <w:sz w:val="24"/>
          <w:szCs w:val="28"/>
          <w:highlight w:val="none"/>
          <w:lang w:val="en-US" w:eastAsia="zh-CN"/>
        </w:rPr>
      </w:pPr>
      <w:r>
        <w:rPr>
          <w:rFonts w:hint="eastAsia" w:hAnsi="宋体" w:cs="宋体"/>
          <w:b/>
          <w:bCs/>
          <w:color w:val="000000"/>
          <w:sz w:val="24"/>
          <w:szCs w:val="28"/>
          <w:highlight w:val="none"/>
          <w:lang w:val="en-US" w:eastAsia="zh-CN"/>
        </w:rPr>
        <w:t>联系人：据实填写，需上传授权书。</w:t>
      </w:r>
    </w:p>
    <w:p w14:paraId="3BF3756D">
      <w:pPr>
        <w:pStyle w:val="9"/>
        <w:numPr>
          <w:ilvl w:val="0"/>
          <w:numId w:val="8"/>
        </w:numPr>
        <w:rPr>
          <w:rFonts w:hint="default" w:hAnsi="宋体" w:eastAsia="宋体" w:cs="宋体"/>
          <w:b/>
          <w:bCs/>
          <w:color w:val="000000"/>
          <w:sz w:val="24"/>
          <w:szCs w:val="28"/>
          <w:highlight w:val="none"/>
          <w:lang w:val="en-US" w:eastAsia="zh-CN"/>
        </w:rPr>
      </w:pPr>
      <w:r>
        <w:rPr>
          <w:rFonts w:hint="eastAsia" w:hAnsi="宋体" w:eastAsia="宋体" w:cs="宋体"/>
          <w:b/>
          <w:bCs/>
          <w:color w:val="000000"/>
          <w:sz w:val="24"/>
          <w:szCs w:val="28"/>
          <w:highlight w:val="none"/>
          <w:lang w:val="en-US" w:eastAsia="zh-CN"/>
        </w:rPr>
        <w:t>证件信息：营业执照：据实填写，注意有效期开始和结束时间，需上传附件。生产许可如上（制造商必填）。</w:t>
      </w:r>
    </w:p>
    <w:p w14:paraId="35C0DE6C">
      <w:pPr>
        <w:pStyle w:val="9"/>
        <w:numPr>
          <w:ilvl w:val="0"/>
          <w:numId w:val="8"/>
        </w:numPr>
        <w:rPr>
          <w:rFonts w:hint="default" w:hAnsi="宋体" w:eastAsia="宋体" w:cs="宋体"/>
          <w:b/>
          <w:bCs/>
          <w:color w:val="000000"/>
          <w:sz w:val="24"/>
          <w:szCs w:val="28"/>
          <w:highlight w:val="none"/>
          <w:lang w:val="en-US" w:eastAsia="zh-CN"/>
        </w:rPr>
      </w:pPr>
      <w:r>
        <w:rPr>
          <w:rFonts w:hint="eastAsia" w:hAnsi="宋体" w:eastAsia="宋体" w:cs="宋体"/>
          <w:b/>
          <w:bCs/>
          <w:color w:val="000000"/>
          <w:sz w:val="24"/>
          <w:szCs w:val="28"/>
          <w:highlight w:val="none"/>
          <w:lang w:val="en-US" w:eastAsia="zh-CN"/>
        </w:rPr>
        <w:t>资质信息选填。</w:t>
      </w:r>
    </w:p>
    <w:p w14:paraId="00ADED02">
      <w:pPr>
        <w:pStyle w:val="9"/>
        <w:numPr>
          <w:ilvl w:val="0"/>
          <w:numId w:val="8"/>
        </w:numPr>
        <w:rPr>
          <w:rFonts w:hint="default" w:hAnsi="宋体" w:eastAsia="宋体" w:cs="宋体"/>
          <w:b/>
          <w:bCs/>
          <w:color w:val="000000"/>
          <w:sz w:val="24"/>
          <w:szCs w:val="28"/>
          <w:highlight w:val="none"/>
          <w:lang w:val="en-US" w:eastAsia="zh-CN"/>
        </w:rPr>
      </w:pPr>
      <w:r>
        <w:rPr>
          <w:rFonts w:hint="eastAsia" w:hAnsi="宋体" w:eastAsia="宋体" w:cs="宋体"/>
          <w:b/>
          <w:bCs/>
          <w:color w:val="000000"/>
          <w:sz w:val="24"/>
          <w:szCs w:val="28"/>
          <w:highlight w:val="none"/>
          <w:lang w:val="en-US" w:eastAsia="zh-CN"/>
        </w:rPr>
        <w:t>经营概况：据实填写，</w:t>
      </w:r>
      <w:r>
        <w:rPr>
          <w:rFonts w:hint="eastAsia" w:hAnsi="宋体" w:eastAsia="宋体" w:cs="宋体"/>
          <w:b/>
          <w:bCs/>
          <w:color w:val="FF0000"/>
          <w:sz w:val="24"/>
          <w:szCs w:val="28"/>
          <w:highlight w:val="none"/>
          <w:lang w:val="en-US" w:eastAsia="zh-CN"/>
        </w:rPr>
        <w:t>能提供</w:t>
      </w:r>
      <w:r>
        <w:rPr>
          <w:rFonts w:hint="eastAsia" w:hAnsi="宋体" w:eastAsia="宋体" w:cs="宋体"/>
          <w:b/>
          <w:bCs/>
          <w:color w:val="auto"/>
          <w:sz w:val="24"/>
          <w:szCs w:val="28"/>
          <w:highlight w:val="none"/>
          <w:lang w:val="en-US" w:eastAsia="zh-CN"/>
        </w:rPr>
        <w:t>，</w:t>
      </w:r>
      <w:r>
        <w:rPr>
          <w:rFonts w:hint="eastAsia" w:ascii="宋体" w:hAnsi="宋体" w:eastAsia="宋体" w:cs="宋体"/>
          <w:b/>
          <w:bCs/>
          <w:color w:val="000000"/>
          <w:sz w:val="24"/>
          <w:szCs w:val="28"/>
          <w:highlight w:val="none"/>
          <w:lang w:val="en-US" w:eastAsia="zh-CN"/>
        </w:rPr>
        <w:t>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hAnsi="宋体" w:eastAsia="宋体" w:cs="宋体"/>
          <w:b/>
          <w:bCs/>
          <w:color w:val="000000"/>
          <w:sz w:val="24"/>
          <w:szCs w:val="28"/>
          <w:highlight w:val="yellow"/>
          <w:lang w:val="en-US" w:eastAsia="zh-CN"/>
        </w:rPr>
        <w:t>。</w:t>
      </w:r>
    </w:p>
    <w:p w14:paraId="4ADD2614">
      <w:pPr>
        <w:pStyle w:val="9"/>
        <w:numPr>
          <w:ilvl w:val="0"/>
          <w:numId w:val="8"/>
        </w:numPr>
        <w:rPr>
          <w:rFonts w:hint="default" w:hAnsi="宋体" w:eastAsia="宋体" w:cs="宋体"/>
          <w:b/>
          <w:bCs/>
          <w:color w:val="000000"/>
          <w:sz w:val="24"/>
          <w:szCs w:val="28"/>
          <w:highlight w:val="none"/>
          <w:lang w:val="en-US" w:eastAsia="zh-CN"/>
        </w:rPr>
      </w:pPr>
      <w:r>
        <w:rPr>
          <w:rFonts w:hint="eastAsia" w:hAnsi="宋体" w:eastAsia="宋体" w:cs="宋体"/>
          <w:b/>
          <w:bCs/>
          <w:color w:val="000000"/>
          <w:sz w:val="24"/>
          <w:szCs w:val="28"/>
          <w:highlight w:val="none"/>
          <w:lang w:val="en-US" w:eastAsia="zh-CN"/>
        </w:rPr>
        <w:t>信息化系统选填。</w:t>
      </w:r>
    </w:p>
    <w:p w14:paraId="4F4515CD">
      <w:pPr>
        <w:pStyle w:val="9"/>
        <w:numPr>
          <w:ilvl w:val="0"/>
          <w:numId w:val="8"/>
        </w:numPr>
        <w:rPr>
          <w:rFonts w:hint="default" w:hAnsi="宋体" w:eastAsia="宋体" w:cs="宋体"/>
          <w:b/>
          <w:bCs/>
          <w:color w:val="000000"/>
          <w:sz w:val="24"/>
          <w:szCs w:val="28"/>
          <w:highlight w:val="none"/>
          <w:lang w:val="en-US" w:eastAsia="zh-CN"/>
        </w:rPr>
      </w:pPr>
      <w:r>
        <w:rPr>
          <w:rFonts w:hint="eastAsia" w:hAnsi="宋体" w:eastAsia="宋体" w:cs="宋体"/>
          <w:b/>
          <w:bCs/>
          <w:color w:val="000000"/>
          <w:sz w:val="24"/>
          <w:szCs w:val="28"/>
          <w:highlight w:val="none"/>
          <w:lang w:val="en-US" w:eastAsia="zh-CN"/>
        </w:rPr>
        <w:t>银行账户：据实填写，开户许可证扫描文件需提交。</w:t>
      </w:r>
    </w:p>
    <w:p w14:paraId="2F6663A8">
      <w:pPr>
        <w:pStyle w:val="9"/>
        <w:numPr>
          <w:ilvl w:val="0"/>
          <w:numId w:val="8"/>
        </w:numPr>
        <w:rPr>
          <w:rFonts w:hint="default" w:hAnsi="宋体" w:eastAsia="宋体" w:cs="宋体"/>
          <w:b/>
          <w:bCs/>
          <w:color w:val="000000"/>
          <w:sz w:val="24"/>
          <w:szCs w:val="28"/>
          <w:highlight w:val="none"/>
          <w:lang w:val="en-US" w:eastAsia="zh-CN"/>
        </w:rPr>
      </w:pPr>
      <w:r>
        <w:rPr>
          <w:rFonts w:hint="eastAsia" w:hAnsi="宋体" w:eastAsia="宋体" w:cs="宋体"/>
          <w:b/>
          <w:bCs/>
          <w:color w:val="000000"/>
          <w:sz w:val="24"/>
          <w:szCs w:val="28"/>
          <w:highlight w:val="none"/>
          <w:lang w:val="en-US" w:eastAsia="zh-CN"/>
        </w:rPr>
        <w:t>材料有问题会驳回，在</w:t>
      </w:r>
      <w:r>
        <w:rPr>
          <w:rFonts w:hint="eastAsia" w:hAnsi="宋体" w:eastAsia="宋体" w:cs="宋体"/>
          <w:b/>
          <w:bCs/>
          <w:color w:val="000000"/>
          <w:sz w:val="24"/>
          <w:szCs w:val="28"/>
          <w:highlight w:val="yellow"/>
          <w:lang w:val="en-US" w:eastAsia="zh-CN"/>
        </w:rPr>
        <w:t>审批信息</w:t>
      </w:r>
      <w:r>
        <w:rPr>
          <w:rFonts w:hint="eastAsia" w:hAnsi="宋体" w:eastAsia="宋体" w:cs="宋体"/>
          <w:b/>
          <w:bCs/>
          <w:color w:val="000000"/>
          <w:sz w:val="24"/>
          <w:szCs w:val="28"/>
          <w:highlight w:val="none"/>
          <w:lang w:val="en-US" w:eastAsia="zh-CN"/>
        </w:rPr>
        <w:t>中查看原因；提交完成后，多登录系统查看流程，即使修改，确保顺利注册。</w:t>
      </w:r>
    </w:p>
    <w:p w14:paraId="406F4BD5">
      <w:pPr>
        <w:keepNext w:val="0"/>
        <w:keepLines w:val="0"/>
        <w:pageBreakBefore w:val="0"/>
        <w:widowControl w:val="0"/>
        <w:numPr>
          <w:ilvl w:val="0"/>
          <w:numId w:val="9"/>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sz w:val="24"/>
          <w:szCs w:val="24"/>
          <w:lang w:val="en-US" w:eastAsia="zh-CN"/>
        </w:rPr>
      </w:pPr>
      <w:r>
        <w:rPr>
          <w:rFonts w:hint="eastAsia"/>
          <w:b/>
          <w:bCs/>
          <w:sz w:val="24"/>
          <w:szCs w:val="24"/>
          <w:lang w:val="en-US" w:eastAsia="zh-CN"/>
        </w:rPr>
        <w:t>维护近三年财务指标</w:t>
      </w:r>
    </w:p>
    <w:p w14:paraId="522176E5">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66B68415">
      <w:pPr>
        <w:outlineLvl w:val="9"/>
      </w:pPr>
      <w:r>
        <w:rPr>
          <w:rFonts w:hint="default"/>
          <w:lang w:val="en-US" w:eastAsia="zh-CN"/>
        </w:rPr>
        <w:br w:type="textWrapping"/>
      </w:r>
      <w:r>
        <w:drawing>
          <wp:inline distT="0" distB="0" distL="114300" distR="114300">
            <wp:extent cx="5486400" cy="2661285"/>
            <wp:effectExtent l="0" t="0" r="0" b="5715"/>
            <wp:docPr id="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pic:cNvPicPr>
                      <a:picLocks noChangeAspect="1"/>
                    </pic:cNvPicPr>
                  </pic:nvPicPr>
                  <pic:blipFill>
                    <a:blip r:embed="rId12"/>
                    <a:stretch>
                      <a:fillRect/>
                    </a:stretch>
                  </pic:blipFill>
                  <pic:spPr>
                    <a:xfrm>
                      <a:off x="0" y="0"/>
                      <a:ext cx="5486400" cy="2661285"/>
                    </a:xfrm>
                    <a:prstGeom prst="rect">
                      <a:avLst/>
                    </a:prstGeom>
                    <a:noFill/>
                    <a:ln>
                      <a:noFill/>
                    </a:ln>
                  </pic:spPr>
                </pic:pic>
              </a:graphicData>
            </a:graphic>
          </wp:inline>
        </w:drawing>
      </w:r>
    </w:p>
    <w:p w14:paraId="6508A084">
      <w:r>
        <w:br w:type="page"/>
      </w:r>
    </w:p>
    <w:p w14:paraId="64A37EC5">
      <w:pPr>
        <w:jc w:val="center"/>
        <w:outlineLvl w:val="9"/>
        <w:rPr>
          <w:rFonts w:hint="eastAsia" w:hAnsi="宋体" w:eastAsia="宋体" w:cs="Times New Roman"/>
          <w:b/>
          <w:color w:val="000000"/>
          <w:sz w:val="24"/>
          <w:szCs w:val="24"/>
        </w:rPr>
      </w:pPr>
      <w:r>
        <w:rPr>
          <w:rFonts w:hint="eastAsia" w:hAnsi="宋体" w:eastAsia="宋体" w:cs="Times New Roman"/>
          <w:b/>
          <w:color w:val="000000"/>
          <w:sz w:val="24"/>
          <w:szCs w:val="24"/>
        </w:rPr>
        <w:t>SRM系统供应商用户手册</w:t>
      </w:r>
    </w:p>
    <w:p w14:paraId="11691F0A">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22"/>
          <w:rFonts w:hint="eastAsia" w:ascii="宋体" w:hAnsi="宋体" w:eastAsia="宋体" w:cs="宋体"/>
          <w:sz w:val="24"/>
          <w:szCs w:val="24"/>
        </w:rPr>
        <w:t>https://ecaitong.sinotruk.com:8012/</w:t>
      </w:r>
      <w:r>
        <w:rPr>
          <w:rStyle w:val="22"/>
          <w:rFonts w:hint="eastAsia" w:ascii="宋体" w:hAnsi="宋体" w:eastAsia="宋体" w:cs="宋体"/>
          <w:sz w:val="24"/>
          <w:szCs w:val="24"/>
        </w:rPr>
        <w:fldChar w:fldCharType="end"/>
      </w:r>
    </w:p>
    <w:p w14:paraId="5B0B32D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w:t>
      </w:r>
      <w:r>
        <w:rPr>
          <w:rFonts w:hint="eastAsia" w:ascii="宋体" w:hAnsi="宋体" w:eastAsia="宋体" w:cs="宋体"/>
          <w:color w:val="FF0000"/>
          <w:sz w:val="24"/>
          <w:szCs w:val="24"/>
          <w:lang w:val="en-US" w:eastAsia="zh-CN"/>
        </w:rPr>
        <w:t>会收到成功的短信，</w:t>
      </w:r>
      <w:r>
        <w:rPr>
          <w:rFonts w:hint="eastAsia" w:ascii="宋体" w:hAnsi="宋体" w:eastAsia="宋体" w:cs="宋体"/>
          <w:color w:val="FF0000"/>
          <w:sz w:val="24"/>
          <w:szCs w:val="24"/>
        </w:rPr>
        <w:t>用户名不要用手机号登录</w:t>
      </w:r>
      <w:r>
        <w:rPr>
          <w:rFonts w:hint="eastAsia" w:ascii="宋体" w:hAnsi="宋体" w:eastAsia="宋体" w:cs="宋体"/>
          <w:color w:val="000000"/>
          <w:sz w:val="24"/>
          <w:szCs w:val="24"/>
        </w:rPr>
        <w:t>）</w:t>
      </w:r>
    </w:p>
    <w:p w14:paraId="149494E8">
      <w:pPr>
        <w:spacing w:line="360" w:lineRule="auto"/>
        <w:rPr>
          <w:rFonts w:hint="default" w:ascii="宋体" w:hAnsi="宋体" w:eastAsia="宋体" w:cs="宋体"/>
          <w:sz w:val="24"/>
          <w:szCs w:val="24"/>
          <w:lang w:val="en-US" w:eastAsia="zh-CN"/>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lang w:val="en-US" w:eastAsia="zh-CN"/>
        </w:rPr>
        <w:t>自己设置的密码</w:t>
      </w:r>
    </w:p>
    <w:p w14:paraId="4F94AF5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71EFD4A">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0620B59">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6DD2317A">
      <w:pPr>
        <w:rPr>
          <w:rFonts w:hint="default" w:cs="Times New Roman"/>
          <w:b/>
          <w:bCs/>
          <w:highlight w:val="none"/>
          <w:lang w:val="en-US" w:eastAsia="zh-CN"/>
        </w:rPr>
      </w:pPr>
      <w:r>
        <w:drawing>
          <wp:inline distT="0" distB="0" distL="0" distR="0">
            <wp:extent cx="5760085" cy="2269490"/>
            <wp:effectExtent l="0" t="0" r="5715" b="3810"/>
            <wp:docPr id="55" name="picture" descr="descript"/>
            <wp:cNvGraphicFramePr/>
            <a:graphic xmlns:a="http://schemas.openxmlformats.org/drawingml/2006/main">
              <a:graphicData uri="http://schemas.openxmlformats.org/drawingml/2006/picture">
                <pic:pic xmlns:pic="http://schemas.openxmlformats.org/drawingml/2006/picture">
                  <pic:nvPicPr>
                    <pic:cNvPr id="55" name="picture" descr="descript"/>
                    <pic:cNvPicPr/>
                  </pic:nvPicPr>
                  <pic:blipFill>
                    <a:blip r:embed="rId13"/>
                    <a:stretch>
                      <a:fillRect/>
                    </a:stretch>
                  </pic:blipFill>
                  <pic:spPr>
                    <a:xfrm>
                      <a:off x="0" y="0"/>
                      <a:ext cx="5760085" cy="2269864"/>
                    </a:xfrm>
                    <a:prstGeom prst="rect">
                      <a:avLst/>
                    </a:prstGeom>
                  </pic:spPr>
                </pic:pic>
              </a:graphicData>
            </a:graphic>
          </wp:inline>
        </w:drawing>
      </w:r>
      <w:r>
        <w:rPr>
          <w:rFonts w:hint="eastAsia" w:cs="Times New Roman"/>
          <w:b/>
          <w:bCs/>
          <w:highlight w:val="none"/>
          <w:lang w:val="en-US" w:eastAsia="zh-CN"/>
        </w:rPr>
        <w:t>应标页面否为代理商请如实选择，若为代理商应标，请在应标后联系商务联系人。</w:t>
      </w:r>
    </w:p>
    <w:p w14:paraId="1C27307C">
      <w:pPr>
        <w:pStyle w:val="9"/>
        <w:numPr>
          <w:ilvl w:val="0"/>
          <w:numId w:val="0"/>
        </w:numPr>
        <w:rPr>
          <w:rFonts w:hint="eastAsia"/>
        </w:rPr>
      </w:pPr>
    </w:p>
    <w:p w14:paraId="0A23093F">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995633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3DA8A812">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56" name="picture" descr="descript"/>
            <wp:cNvGraphicFramePr/>
            <a:graphic xmlns:a="http://schemas.openxmlformats.org/drawingml/2006/main">
              <a:graphicData uri="http://schemas.openxmlformats.org/drawingml/2006/picture">
                <pic:pic xmlns:pic="http://schemas.openxmlformats.org/drawingml/2006/picture">
                  <pic:nvPicPr>
                    <pic:cNvPr id="56" name="picture" descr="descript"/>
                    <pic:cNvPicPr/>
                  </pic:nvPicPr>
                  <pic:blipFill>
                    <a:blip r:embed="rId14"/>
                    <a:stretch>
                      <a:fillRect/>
                    </a:stretch>
                  </pic:blipFill>
                  <pic:spPr>
                    <a:xfrm>
                      <a:off x="0" y="0"/>
                      <a:ext cx="5760085" cy="2125673"/>
                    </a:xfrm>
                    <a:prstGeom prst="rect">
                      <a:avLst/>
                    </a:prstGeom>
                  </pic:spPr>
                </pic:pic>
              </a:graphicData>
            </a:graphic>
          </wp:inline>
        </w:drawing>
      </w:r>
    </w:p>
    <w:p w14:paraId="2DAA37E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6C63FC56">
      <w:pPr>
        <w:pStyle w:val="9"/>
        <w:rPr>
          <w:b/>
          <w:bCs/>
        </w:rPr>
      </w:pPr>
      <w:r>
        <w:rPr>
          <w:rFonts w:hint="eastAsia" w:hAnsi="宋体" w:eastAsia="宋体" w:cs="宋体"/>
          <w:b/>
          <w:bCs/>
          <w:color w:val="000000"/>
          <w:sz w:val="24"/>
          <w:szCs w:val="28"/>
          <w:highlight w:val="yellow"/>
        </w:rPr>
        <w:t>注意：系统内的投标报价单位为“万元”，如开标现场发现填错报价，</w:t>
      </w:r>
      <w:r>
        <w:rPr>
          <w:rFonts w:hint="eastAsia" w:hAnsi="宋体" w:eastAsia="宋体" w:cs="宋体"/>
          <w:b/>
          <w:bCs/>
          <w:color w:val="000000"/>
          <w:sz w:val="24"/>
          <w:szCs w:val="28"/>
          <w:highlight w:val="yellow"/>
          <w:lang w:val="en-US" w:eastAsia="zh-CN"/>
        </w:rPr>
        <w:t>可能导致</w:t>
      </w:r>
      <w:r>
        <w:rPr>
          <w:rFonts w:hint="eastAsia" w:hAnsi="宋体" w:eastAsia="宋体" w:cs="宋体"/>
          <w:b/>
          <w:bCs/>
          <w:color w:val="000000"/>
          <w:sz w:val="24"/>
          <w:szCs w:val="28"/>
          <w:highlight w:val="yellow"/>
        </w:rPr>
        <w:t>直接淘汰。</w:t>
      </w:r>
    </w:p>
    <w:p w14:paraId="0C9FE632">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58" name="picture" descr="descript"/>
            <wp:cNvGraphicFramePr/>
            <a:graphic xmlns:a="http://schemas.openxmlformats.org/drawingml/2006/main">
              <a:graphicData uri="http://schemas.openxmlformats.org/drawingml/2006/picture">
                <pic:pic xmlns:pic="http://schemas.openxmlformats.org/drawingml/2006/picture">
                  <pic:nvPicPr>
                    <pic:cNvPr id="58" name="picture" descr="descript"/>
                    <pic:cNvPicPr/>
                  </pic:nvPicPr>
                  <pic:blipFill>
                    <a:blip r:embed="rId15"/>
                    <a:stretch>
                      <a:fillRect/>
                    </a:stretch>
                  </pic:blipFill>
                  <pic:spPr>
                    <a:xfrm>
                      <a:off x="0" y="0"/>
                      <a:ext cx="5490210" cy="2669498"/>
                    </a:xfrm>
                    <a:prstGeom prst="rect">
                      <a:avLst/>
                    </a:prstGeom>
                  </pic:spPr>
                </pic:pic>
              </a:graphicData>
            </a:graphic>
          </wp:inline>
        </w:drawing>
      </w:r>
    </w:p>
    <w:p w14:paraId="168C49B9">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0E6F7E5">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0CA86E2">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3112D66">
      <w:pPr>
        <w:spacing w:line="360" w:lineRule="auto"/>
        <w:rPr>
          <w:rFonts w:ascii="宋体" w:hAnsi="宋体" w:eastAsia="宋体" w:cs="宋体"/>
          <w:color w:val="000000"/>
          <w:sz w:val="24"/>
          <w:szCs w:val="24"/>
        </w:rPr>
      </w:pPr>
      <w:r>
        <w:rPr>
          <w:rFonts w:ascii="宋体" w:hAnsi="宋体" w:eastAsia="宋体" w:cs="宋体"/>
          <w:color w:val="000000"/>
          <w:sz w:val="24"/>
          <w:szCs w:val="24"/>
        </w:rPr>
        <w:t>开标之后所有投标的供应商都可编辑提交，技术标入围之后都不可编辑</w:t>
      </w:r>
    </w:p>
    <w:p w14:paraId="1AA0F8EE">
      <w:pPr>
        <w:spacing w:line="360" w:lineRule="auto"/>
        <w:rPr>
          <w:rFonts w:ascii="Arial" w:hAnsi="Arial" w:eastAsia="Arial" w:cs="Arial"/>
          <w:color w:val="000000"/>
          <w:sz w:val="28"/>
        </w:rPr>
      </w:pPr>
      <w:r>
        <w:rPr>
          <w:rFonts w:ascii="Arial" w:hAnsi="Arial" w:eastAsia="Arial" w:cs="Arial"/>
          <w:color w:val="000000"/>
          <w:sz w:val="28"/>
        </w:rPr>
        <w:drawing>
          <wp:inline distT="0" distB="0" distL="0" distR="0">
            <wp:extent cx="5490210" cy="1992630"/>
            <wp:effectExtent l="0" t="0" r="8890" b="1270"/>
            <wp:docPr id="59" name="picture" descr="descript"/>
            <wp:cNvGraphicFramePr/>
            <a:graphic xmlns:a="http://schemas.openxmlformats.org/drawingml/2006/main">
              <a:graphicData uri="http://schemas.openxmlformats.org/drawingml/2006/picture">
                <pic:pic xmlns:pic="http://schemas.openxmlformats.org/drawingml/2006/picture">
                  <pic:nvPicPr>
                    <pic:cNvPr id="59" name="picture" descr="descript"/>
                    <pic:cNvPicPr/>
                  </pic:nvPicPr>
                  <pic:blipFill>
                    <a:blip r:embed="rId16"/>
                    <a:stretch>
                      <a:fillRect/>
                    </a:stretch>
                  </pic:blipFill>
                  <pic:spPr>
                    <a:xfrm>
                      <a:off x="0" y="0"/>
                      <a:ext cx="5490210" cy="1992743"/>
                    </a:xfrm>
                    <a:prstGeom prst="rect">
                      <a:avLst/>
                    </a:prstGeom>
                  </pic:spPr>
                </pic:pic>
              </a:graphicData>
            </a:graphic>
          </wp:inline>
        </w:drawing>
      </w:r>
    </w:p>
    <w:p w14:paraId="635D6F0B">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6E97B2D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A30693">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A7124B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9837FF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77C09EB">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32B048">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60" name="picture" descr="descript"/>
            <wp:cNvGraphicFramePr/>
            <a:graphic xmlns:a="http://schemas.openxmlformats.org/drawingml/2006/main">
              <a:graphicData uri="http://schemas.openxmlformats.org/drawingml/2006/picture">
                <pic:pic xmlns:pic="http://schemas.openxmlformats.org/drawingml/2006/picture">
                  <pic:nvPicPr>
                    <pic:cNvPr id="60" name="picture" descr="descript"/>
                    <pic:cNvPicPr/>
                  </pic:nvPicPr>
                  <pic:blipFill>
                    <a:blip r:embed="rId17"/>
                    <a:stretch>
                      <a:fillRect/>
                    </a:stretch>
                  </pic:blipFill>
                  <pic:spPr>
                    <a:xfrm>
                      <a:off x="0" y="0"/>
                      <a:ext cx="5490210" cy="2544669"/>
                    </a:xfrm>
                    <a:prstGeom prst="rect">
                      <a:avLst/>
                    </a:prstGeom>
                  </pic:spPr>
                </pic:pic>
              </a:graphicData>
            </a:graphic>
          </wp:inline>
        </w:drawing>
      </w:r>
    </w:p>
    <w:p w14:paraId="5893B3E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987901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A28B5B">
      <w:pPr>
        <w:spacing w:line="360" w:lineRule="auto"/>
        <w:rPr>
          <w:rFonts w:hint="default" w:ascii="宋体" w:hAnsi="宋体" w:eastAsia="宋体" w:cs="宋体"/>
          <w:sz w:val="24"/>
          <w:szCs w:val="24"/>
          <w:lang w:val="en-US" w:eastAsia="zh-CN"/>
        </w:rPr>
      </w:pPr>
      <w:r>
        <w:rPr>
          <w:rFonts w:ascii="宋体" w:hAnsi="宋体" w:eastAsia="宋体" w:cs="宋体"/>
          <w:color w:val="000000"/>
          <w:sz w:val="24"/>
          <w:szCs w:val="24"/>
        </w:rPr>
        <w:t>点击查看进入查看中标项目详情</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开标会议结束后流程大约需要一周左右）</w:t>
      </w:r>
    </w:p>
    <w:p w14:paraId="0FAE2982">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drawing>
          <wp:inline distT="0" distB="0" distL="0" distR="0">
            <wp:extent cx="5760085" cy="1956435"/>
            <wp:effectExtent l="0" t="0" r="5715" b="12065"/>
            <wp:docPr id="61" name="picture" descr="descript"/>
            <wp:cNvGraphicFramePr/>
            <a:graphic xmlns:a="http://schemas.openxmlformats.org/drawingml/2006/main">
              <a:graphicData uri="http://schemas.openxmlformats.org/drawingml/2006/picture">
                <pic:pic xmlns:pic="http://schemas.openxmlformats.org/drawingml/2006/picture">
                  <pic:nvPicPr>
                    <pic:cNvPr id="61" name="picture" descr="descript"/>
                    <pic:cNvPicPr/>
                  </pic:nvPicPr>
                  <pic:blipFill>
                    <a:blip r:embed="rId18"/>
                    <a:stretch>
                      <a:fillRect/>
                    </a:stretch>
                  </pic:blipFill>
                  <pic:spPr>
                    <a:xfrm>
                      <a:off x="0" y="0"/>
                      <a:ext cx="5760085" cy="1956600"/>
                    </a:xfrm>
                    <a:prstGeom prst="rect">
                      <a:avLst/>
                    </a:prstGeom>
                  </pic:spPr>
                </pic:pic>
              </a:graphicData>
            </a:graphic>
          </wp:inline>
        </w:drawing>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10"/>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11"/>
    </w:pPr>
  </w:p>
  <w:p w14:paraId="75DC59E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CE88A8"/>
    <w:multiLevelType w:val="singleLevel"/>
    <w:tmpl w:val="E8CE88A8"/>
    <w:lvl w:ilvl="0" w:tentative="0">
      <w:start w:val="1"/>
      <w:numFmt w:val="chineseCounting"/>
      <w:suff w:val="nothing"/>
      <w:lvlText w:val="（%1）"/>
      <w:lvlJc w:val="left"/>
      <w:pPr>
        <w:ind w:left="0" w:firstLine="420"/>
      </w:pPr>
      <w:rPr>
        <w:rFonts w:hint="eastAsia"/>
      </w:rPr>
    </w:lvl>
  </w:abstractNum>
  <w:abstractNum w:abstractNumId="1">
    <w:nsid w:val="226A001F"/>
    <w:multiLevelType w:val="singleLevel"/>
    <w:tmpl w:val="226A001F"/>
    <w:lvl w:ilvl="0" w:tentative="0">
      <w:start w:val="5"/>
      <w:numFmt w:val="decimal"/>
      <w:lvlText w:val="%1."/>
      <w:lvlJc w:val="left"/>
      <w:pPr>
        <w:tabs>
          <w:tab w:val="left" w:pos="312"/>
        </w:tabs>
      </w:pPr>
    </w:lvl>
  </w:abstractNum>
  <w:abstractNum w:abstractNumId="2">
    <w:nsid w:val="36B76547"/>
    <w:multiLevelType w:val="singleLevel"/>
    <w:tmpl w:val="36B76547"/>
    <w:lvl w:ilvl="0" w:tentative="0">
      <w:start w:val="1"/>
      <w:numFmt w:val="chineseCounting"/>
      <w:suff w:val="nothing"/>
      <w:lvlText w:val="（%1）"/>
      <w:lvlJc w:val="left"/>
      <w:pPr>
        <w:ind w:left="0" w:firstLine="420"/>
      </w:pPr>
      <w:rPr>
        <w:rFonts w:hint="eastAsia"/>
      </w:rPr>
    </w:lvl>
  </w:abstractNum>
  <w:abstractNum w:abstractNumId="3">
    <w:nsid w:val="4AF0723E"/>
    <w:multiLevelType w:val="singleLevel"/>
    <w:tmpl w:val="4AF0723E"/>
    <w:lvl w:ilvl="0" w:tentative="0">
      <w:start w:val="2"/>
      <w:numFmt w:val="chineseCounting"/>
      <w:suff w:val="nothing"/>
      <w:lvlText w:val="%1、"/>
      <w:lvlJc w:val="left"/>
      <w:rPr>
        <w:rFonts w:hint="eastAsia"/>
      </w:rPr>
    </w:lvl>
  </w:abstractNum>
  <w:abstractNum w:abstractNumId="4">
    <w:nsid w:val="56D20133"/>
    <w:multiLevelType w:val="multilevel"/>
    <w:tmpl w:val="56D20133"/>
    <w:lvl w:ilvl="0" w:tentative="0">
      <w:start w:val="1"/>
      <w:numFmt w:val="chineseCountingThousand"/>
      <w:pStyle w:val="36"/>
      <w:lvlText w:val="(%1)"/>
      <w:lvlJc w:val="left"/>
      <w:pPr>
        <w:ind w:left="840" w:hanging="420"/>
      </w:pPr>
      <w:rPr>
        <w:rFonts w:hint="eastAsia"/>
        <w:b/>
      </w:rPr>
    </w:lvl>
    <w:lvl w:ilvl="1" w:tentative="0">
      <w:start w:val="1"/>
      <w:numFmt w:val="decimal"/>
      <w:lvlText w:val="%2."/>
      <w:lvlJc w:val="left"/>
      <w:pPr>
        <w:ind w:left="910" w:hanging="360"/>
      </w:pPr>
      <w:rPr>
        <w:rFonts w:hint="default"/>
        <w:b w:val="0"/>
      </w:rPr>
    </w:lvl>
    <w:lvl w:ilvl="2" w:tentative="0">
      <w:start w:val="1"/>
      <w:numFmt w:val="lowerRoman"/>
      <w:lvlText w:val="%3."/>
      <w:lvlJc w:val="right"/>
      <w:pPr>
        <w:ind w:left="1390" w:hanging="420"/>
      </w:pPr>
      <w:rPr>
        <w:rFonts w:hint="eastAsia"/>
      </w:rPr>
    </w:lvl>
    <w:lvl w:ilvl="3" w:tentative="0">
      <w:start w:val="1"/>
      <w:numFmt w:val="decimal"/>
      <w:lvlText w:val="（%4）"/>
      <w:lvlJc w:val="left"/>
      <w:pPr>
        <w:ind w:left="2110" w:hanging="720"/>
      </w:pPr>
      <w:rPr>
        <w:rFonts w:hint="default"/>
      </w:rPr>
    </w:lvl>
    <w:lvl w:ilvl="4" w:tentative="0">
      <w:start w:val="1"/>
      <w:numFmt w:val="lowerLetter"/>
      <w:lvlText w:val="%5)"/>
      <w:lvlJc w:val="left"/>
      <w:pPr>
        <w:ind w:left="2230" w:hanging="420"/>
      </w:pPr>
      <w:rPr>
        <w:rFonts w:hint="eastAsia"/>
      </w:rPr>
    </w:lvl>
    <w:lvl w:ilvl="5" w:tentative="0">
      <w:start w:val="1"/>
      <w:numFmt w:val="lowerRoman"/>
      <w:lvlText w:val="%6."/>
      <w:lvlJc w:val="right"/>
      <w:pPr>
        <w:ind w:left="2650" w:hanging="420"/>
      </w:pPr>
      <w:rPr>
        <w:rFonts w:hint="eastAsia"/>
      </w:rPr>
    </w:lvl>
    <w:lvl w:ilvl="6" w:tentative="0">
      <w:start w:val="1"/>
      <w:numFmt w:val="decimal"/>
      <w:lvlText w:val="%7."/>
      <w:lvlJc w:val="left"/>
      <w:pPr>
        <w:ind w:left="3070" w:hanging="420"/>
      </w:pPr>
      <w:rPr>
        <w:rFonts w:hint="eastAsia"/>
      </w:rPr>
    </w:lvl>
    <w:lvl w:ilvl="7" w:tentative="0">
      <w:start w:val="1"/>
      <w:numFmt w:val="lowerLetter"/>
      <w:lvlText w:val="%8)"/>
      <w:lvlJc w:val="left"/>
      <w:pPr>
        <w:ind w:left="3490" w:hanging="420"/>
      </w:pPr>
      <w:rPr>
        <w:rFonts w:hint="eastAsia"/>
      </w:rPr>
    </w:lvl>
    <w:lvl w:ilvl="8" w:tentative="0">
      <w:start w:val="1"/>
      <w:numFmt w:val="lowerRoman"/>
      <w:lvlText w:val="%9."/>
      <w:lvlJc w:val="right"/>
      <w:pPr>
        <w:ind w:left="3910" w:hanging="420"/>
      </w:pPr>
      <w:rPr>
        <w:rFonts w:hint="eastAsia"/>
      </w:rPr>
    </w:lvl>
  </w:abstractNum>
  <w:abstractNum w:abstractNumId="5">
    <w:nsid w:val="656A6EAE"/>
    <w:multiLevelType w:val="multilevel"/>
    <w:tmpl w:val="656A6EAE"/>
    <w:lvl w:ilvl="0" w:tentative="0">
      <w:start w:val="1"/>
      <w:numFmt w:val="chineseCountingThousand"/>
      <w:pStyle w:val="29"/>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66617615"/>
    <w:multiLevelType w:val="singleLevel"/>
    <w:tmpl w:val="66617615"/>
    <w:lvl w:ilvl="0" w:tentative="0">
      <w:start w:val="1"/>
      <w:numFmt w:val="chineseCounting"/>
      <w:suff w:val="nothing"/>
      <w:lvlText w:val="（%1）"/>
      <w:lvlJc w:val="left"/>
      <w:pPr>
        <w:ind w:left="0" w:firstLine="420"/>
      </w:pPr>
      <w:rPr>
        <w:rFonts w:hint="eastAsia"/>
      </w:rPr>
    </w:lvl>
  </w:abstractNum>
  <w:abstractNum w:abstractNumId="7">
    <w:nsid w:val="67CA585D"/>
    <w:multiLevelType w:val="singleLevel"/>
    <w:tmpl w:val="67CA585D"/>
    <w:lvl w:ilvl="0" w:tentative="0">
      <w:start w:val="1"/>
      <w:numFmt w:val="decimal"/>
      <w:suff w:val="nothing"/>
      <w:lvlText w:val="%1、"/>
      <w:lvlJc w:val="left"/>
    </w:lvl>
  </w:abstractNum>
  <w:abstractNum w:abstractNumId="8">
    <w:nsid w:val="7A5F13F4"/>
    <w:multiLevelType w:val="singleLevel"/>
    <w:tmpl w:val="7A5F13F4"/>
    <w:lvl w:ilvl="0" w:tentative="0">
      <w:start w:val="1"/>
      <w:numFmt w:val="chineseCounting"/>
      <w:suff w:val="nothing"/>
      <w:lvlText w:val="（%1）"/>
      <w:lvlJc w:val="left"/>
      <w:pPr>
        <w:ind w:left="572" w:firstLine="420"/>
      </w:pPr>
      <w:rPr>
        <w:rFonts w:hint="eastAsia"/>
      </w:rPr>
    </w:lvl>
  </w:abstractNum>
  <w:num w:numId="1">
    <w:abstractNumId w:val="5"/>
  </w:num>
  <w:num w:numId="2">
    <w:abstractNumId w:val="4"/>
  </w:num>
  <w:num w:numId="3">
    <w:abstractNumId w:val="8"/>
  </w:num>
  <w:num w:numId="4">
    <w:abstractNumId w:val="6"/>
  </w:num>
  <w:num w:numId="5">
    <w:abstractNumId w:val="2"/>
  </w:num>
  <w:num w:numId="6">
    <w:abstractNumId w:val="0"/>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6E52"/>
    <w:rsid w:val="058535AB"/>
    <w:rsid w:val="06963DDF"/>
    <w:rsid w:val="076D7821"/>
    <w:rsid w:val="08533F2B"/>
    <w:rsid w:val="0BEB340A"/>
    <w:rsid w:val="0EAE0E4B"/>
    <w:rsid w:val="0F13393B"/>
    <w:rsid w:val="0FCB7868"/>
    <w:rsid w:val="0FD31B95"/>
    <w:rsid w:val="0FF000DD"/>
    <w:rsid w:val="10E56518"/>
    <w:rsid w:val="110E3E23"/>
    <w:rsid w:val="12882A49"/>
    <w:rsid w:val="13436A77"/>
    <w:rsid w:val="154F5A12"/>
    <w:rsid w:val="15730C53"/>
    <w:rsid w:val="18A02606"/>
    <w:rsid w:val="190938C6"/>
    <w:rsid w:val="1AEB654F"/>
    <w:rsid w:val="1DC97EE6"/>
    <w:rsid w:val="1E2F362A"/>
    <w:rsid w:val="1EBE512D"/>
    <w:rsid w:val="2128012D"/>
    <w:rsid w:val="21F7445F"/>
    <w:rsid w:val="282C2948"/>
    <w:rsid w:val="28414686"/>
    <w:rsid w:val="2C5214AD"/>
    <w:rsid w:val="30D23F95"/>
    <w:rsid w:val="333C6176"/>
    <w:rsid w:val="34332B9B"/>
    <w:rsid w:val="39745A19"/>
    <w:rsid w:val="432C29A6"/>
    <w:rsid w:val="44907102"/>
    <w:rsid w:val="45786A34"/>
    <w:rsid w:val="48EF075C"/>
    <w:rsid w:val="4A385EDF"/>
    <w:rsid w:val="4AC1423B"/>
    <w:rsid w:val="4CE03BBE"/>
    <w:rsid w:val="4CE879C1"/>
    <w:rsid w:val="4D4B1038"/>
    <w:rsid w:val="4DA70238"/>
    <w:rsid w:val="526130AB"/>
    <w:rsid w:val="532F31A9"/>
    <w:rsid w:val="56353ACA"/>
    <w:rsid w:val="56355F17"/>
    <w:rsid w:val="56A143BE"/>
    <w:rsid w:val="5866459F"/>
    <w:rsid w:val="58F051F6"/>
    <w:rsid w:val="5CB97A2B"/>
    <w:rsid w:val="5FB76A00"/>
    <w:rsid w:val="5FE14F9B"/>
    <w:rsid w:val="60587188"/>
    <w:rsid w:val="60BF1449"/>
    <w:rsid w:val="63BE5883"/>
    <w:rsid w:val="64B96D77"/>
    <w:rsid w:val="64BC418A"/>
    <w:rsid w:val="65CF5CBA"/>
    <w:rsid w:val="6A721EA2"/>
    <w:rsid w:val="6AB1009A"/>
    <w:rsid w:val="734A776C"/>
    <w:rsid w:val="74E336B9"/>
    <w:rsid w:val="78BE6528"/>
    <w:rsid w:val="791170F6"/>
    <w:rsid w:val="7D494CE4"/>
    <w:rsid w:val="7DA44D30"/>
    <w:rsid w:val="7E3F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adjustRightInd w:val="0"/>
      <w:snapToGrid w:val="0"/>
      <w:spacing w:line="360" w:lineRule="auto"/>
      <w:jc w:val="center"/>
      <w:outlineLvl w:val="0"/>
    </w:pPr>
    <w:rPr>
      <w:b/>
      <w:bCs/>
      <w:kern w:val="44"/>
      <w:sz w:val="36"/>
      <w:szCs w:val="36"/>
    </w:rPr>
  </w:style>
  <w:style w:type="paragraph" w:styleId="3">
    <w:name w:val="heading 2"/>
    <w:basedOn w:val="1"/>
    <w:next w:val="1"/>
    <w:qFormat/>
    <w:uiPriority w:val="9"/>
    <w:pPr>
      <w:keepNext/>
      <w:spacing w:before="240" w:after="60"/>
      <w:outlineLvl w:val="1"/>
    </w:pPr>
    <w:rPr>
      <w:rFonts w:ascii="Cambria" w:hAnsi="Cambria"/>
      <w:b/>
      <w:bCs/>
      <w:i/>
      <w:iCs/>
      <w:sz w:val="28"/>
      <w:szCs w:val="28"/>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5">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w:basedOn w:val="1"/>
    <w:next w:val="7"/>
    <w:qFormat/>
    <w:uiPriority w:val="99"/>
    <w:rPr>
      <w:sz w:val="24"/>
    </w:rPr>
  </w:style>
  <w:style w:type="paragraph" w:styleId="7">
    <w:name w:val="Body Text First Indent"/>
    <w:basedOn w:val="6"/>
    <w:qFormat/>
    <w:uiPriority w:val="0"/>
    <w:pPr>
      <w:ind w:firstLine="100" w:firstLineChars="100"/>
    </w:pPr>
  </w:style>
  <w:style w:type="paragraph" w:styleId="8">
    <w:name w:val="Body Text Indent"/>
    <w:basedOn w:val="1"/>
    <w:unhideWhenUsed/>
    <w:qFormat/>
    <w:uiPriority w:val="0"/>
    <w:pPr>
      <w:spacing w:after="120"/>
      <w:ind w:left="420" w:leftChars="200"/>
    </w:pPr>
  </w:style>
  <w:style w:type="paragraph" w:styleId="9">
    <w:name w:val="Plain Text"/>
    <w:basedOn w:val="1"/>
    <w:qFormat/>
    <w:uiPriority w:val="0"/>
    <w:rPr>
      <w:rFonts w:ascii="宋体"/>
      <w:szCs w:val="20"/>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adjustRightInd w:val="0"/>
      <w:snapToGrid w:val="0"/>
      <w:spacing w:line="312" w:lineRule="auto"/>
    </w:pPr>
    <w:rPr>
      <w:b/>
      <w:sz w:val="24"/>
    </w:rPr>
  </w:style>
  <w:style w:type="paragraph" w:styleId="13">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6">
    <w:name w:val="Strong"/>
    <w:basedOn w:val="15"/>
    <w:qFormat/>
    <w:uiPriority w:val="0"/>
    <w:rPr>
      <w:b/>
    </w:rPr>
  </w:style>
  <w:style w:type="character" w:styleId="17">
    <w:name w:val="FollowedHyperlink"/>
    <w:basedOn w:val="15"/>
    <w:qFormat/>
    <w:uiPriority w:val="0"/>
    <w:rPr>
      <w:color w:val="800080"/>
      <w:u w:val="none"/>
    </w:rPr>
  </w:style>
  <w:style w:type="character" w:styleId="18">
    <w:name w:val="HTML Definition"/>
    <w:basedOn w:val="15"/>
    <w:qFormat/>
    <w:uiPriority w:val="0"/>
  </w:style>
  <w:style w:type="character" w:styleId="19">
    <w:name w:val="HTML Typewriter"/>
    <w:basedOn w:val="15"/>
    <w:qFormat/>
    <w:uiPriority w:val="0"/>
    <w:rPr>
      <w:rFonts w:hint="default" w:ascii="monospace" w:hAnsi="monospace" w:eastAsia="monospace" w:cs="monospace"/>
      <w:sz w:val="20"/>
    </w:rPr>
  </w:style>
  <w:style w:type="character" w:styleId="20">
    <w:name w:val="HTML Acronym"/>
    <w:basedOn w:val="15"/>
    <w:qFormat/>
    <w:uiPriority w:val="0"/>
  </w:style>
  <w:style w:type="character" w:styleId="21">
    <w:name w:val="HTML Variable"/>
    <w:basedOn w:val="15"/>
    <w:qFormat/>
    <w:uiPriority w:val="0"/>
  </w:style>
  <w:style w:type="character" w:styleId="22">
    <w:name w:val="Hyperlink"/>
    <w:basedOn w:val="15"/>
    <w:qFormat/>
    <w:uiPriority w:val="0"/>
    <w:rPr>
      <w:color w:val="0000FF"/>
      <w:u w:val="none"/>
    </w:rPr>
  </w:style>
  <w:style w:type="character" w:styleId="23">
    <w:name w:val="HTML Code"/>
    <w:basedOn w:val="15"/>
    <w:qFormat/>
    <w:uiPriority w:val="0"/>
    <w:rPr>
      <w:rFonts w:hint="default" w:ascii="monospace" w:hAnsi="monospace" w:eastAsia="monospace" w:cs="monospace"/>
      <w:sz w:val="20"/>
    </w:rPr>
  </w:style>
  <w:style w:type="character" w:styleId="24">
    <w:name w:val="HTML Cite"/>
    <w:basedOn w:val="15"/>
    <w:qFormat/>
    <w:uiPriority w:val="0"/>
  </w:style>
  <w:style w:type="character" w:styleId="25">
    <w:name w:val="HTML Keyboard"/>
    <w:basedOn w:val="15"/>
    <w:qFormat/>
    <w:uiPriority w:val="0"/>
    <w:rPr>
      <w:rFonts w:ascii="monospace" w:hAnsi="monospace" w:eastAsia="monospace" w:cs="monospace"/>
      <w:sz w:val="20"/>
    </w:rPr>
  </w:style>
  <w:style w:type="character" w:styleId="26">
    <w:name w:val="HTML Sample"/>
    <w:basedOn w:val="15"/>
    <w:qFormat/>
    <w:uiPriority w:val="0"/>
    <w:rPr>
      <w:rFonts w:hint="default" w:ascii="monospace" w:hAnsi="monospace" w:eastAsia="monospace" w:cs="monospace"/>
    </w:rPr>
  </w:style>
  <w:style w:type="paragraph" w:customStyle="1" w:styleId="27">
    <w:name w:val="Fließtext"/>
    <w:basedOn w:val="1"/>
    <w:qFormat/>
    <w:uiPriority w:val="99"/>
    <w:pPr>
      <w:widowControl/>
      <w:jc w:val="center"/>
    </w:pPr>
    <w:rPr>
      <w:rFonts w:ascii="Arial" w:hAnsi="Arial"/>
      <w:kern w:val="0"/>
      <w:szCs w:val="20"/>
      <w:lang w:val="de-DE" w:eastAsia="de-DE"/>
    </w:rPr>
  </w:style>
  <w:style w:type="paragraph" w:customStyle="1" w:styleId="28">
    <w:name w:val="标书正文"/>
    <w:basedOn w:val="9"/>
    <w:qFormat/>
    <w:uiPriority w:val="9"/>
    <w:pPr>
      <w:spacing w:line="360" w:lineRule="auto"/>
      <w:jc w:val="left"/>
    </w:pPr>
  </w:style>
  <w:style w:type="paragraph" w:customStyle="1" w:styleId="29">
    <w:name w:val="一级标题"/>
    <w:basedOn w:val="9"/>
    <w:qFormat/>
    <w:uiPriority w:val="1"/>
    <w:pPr>
      <w:numPr>
        <w:ilvl w:val="0"/>
        <w:numId w:val="1"/>
      </w:numPr>
      <w:spacing w:line="360" w:lineRule="auto"/>
      <w:ind w:left="420"/>
      <w:outlineLvl w:val="1"/>
    </w:pPr>
    <w:rPr>
      <w:rFonts w:ascii="黑体" w:eastAsia="黑体"/>
      <w:b/>
      <w:bCs/>
      <w:sz w:val="28"/>
    </w:rPr>
  </w:style>
  <w:style w:type="paragraph" w:customStyle="1" w:styleId="30">
    <w:name w:val="标书正文格式"/>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31">
    <w:name w:val="Table Paragraph"/>
    <w:basedOn w:val="1"/>
    <w:autoRedefine/>
    <w:qFormat/>
    <w:uiPriority w:val="1"/>
    <w:rPr>
      <w:rFonts w:ascii="宋体" w:hAnsi="宋体" w:eastAsia="宋体" w:cs="宋体"/>
    </w:rPr>
  </w:style>
  <w:style w:type="table" w:customStyle="1" w:styleId="32">
    <w:name w:val="Table Normal"/>
    <w:autoRedefine/>
    <w:qFormat/>
    <w:uiPriority w:val="0"/>
    <w:tblPr>
      <w:tblCellMar>
        <w:top w:w="0" w:type="dxa"/>
        <w:left w:w="0" w:type="dxa"/>
        <w:bottom w:w="0" w:type="dxa"/>
        <w:right w:w="0" w:type="dxa"/>
      </w:tblCellMar>
    </w:tblPr>
  </w:style>
  <w:style w:type="paragraph" w:customStyle="1" w:styleId="33">
    <w:name w:val="章节"/>
    <w:basedOn w:val="9"/>
    <w:qFormat/>
    <w:uiPriority w:val="0"/>
    <w:pPr>
      <w:spacing w:line="360" w:lineRule="auto"/>
      <w:jc w:val="center"/>
      <w:outlineLvl w:val="0"/>
    </w:pPr>
    <w:rPr>
      <w:rFonts w:ascii="黑体" w:eastAsia="黑体"/>
      <w:b/>
      <w:bCs/>
      <w:sz w:val="36"/>
      <w:szCs w:val="36"/>
    </w:rPr>
  </w:style>
  <w:style w:type="paragraph" w:styleId="34">
    <w:name w:val="List Paragraph"/>
    <w:basedOn w:val="1"/>
    <w:qFormat/>
    <w:uiPriority w:val="34"/>
    <w:pPr>
      <w:ind w:firstLine="420" w:firstLineChars="200"/>
    </w:pPr>
  </w:style>
  <w:style w:type="character" w:customStyle="1" w:styleId="35">
    <w:name w:val="NormalCharacter"/>
    <w:autoRedefine/>
    <w:qFormat/>
    <w:uiPriority w:val="0"/>
  </w:style>
  <w:style w:type="paragraph" w:customStyle="1" w:styleId="36">
    <w:name w:val="（二）级标题"/>
    <w:basedOn w:val="9"/>
    <w:qFormat/>
    <w:uiPriority w:val="2"/>
    <w:pPr>
      <w:numPr>
        <w:ilvl w:val="0"/>
        <w:numId w:val="2"/>
      </w:numPr>
      <w:spacing w:line="360" w:lineRule="auto"/>
      <w:outlineLvl w:val="2"/>
    </w:pPr>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645</Words>
  <Characters>673</Characters>
  <Lines>0</Lines>
  <Paragraphs>0</Paragraphs>
  <TotalTime>1</TotalTime>
  <ScaleCrop>false</ScaleCrop>
  <LinksUpToDate>false</LinksUpToDate>
  <CharactersWithSpaces>679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晓寒轻</cp:lastModifiedBy>
  <dcterms:modified xsi:type="dcterms:W3CDTF">2026-11-04T08:48:10Z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eyJoZGlkIjoiNGVmYjYwMTVkYTcwNzlmYzkyYzZmMzIwZTI3ZGZlNjgiLCJ1c2VySWQiOiIxMDYzNzE1ODkzIn0=</vt:lpwstr>
  </property>
  <property fmtid="{D5CDD505-2E9C-101B-9397-08002B2CF9AE}" pid="4" name="ICV">
    <vt:lpwstr>D08DF54D935944ECA1098270ACE49BAB_13</vt:lpwstr>
  </property>
</Properties>
</file>