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A89A5">
      <w:pPr>
        <w:spacing w:line="312" w:lineRule="auto"/>
        <w:jc w:val="center"/>
        <w:rPr>
          <w:rFonts w:hint="eastAsia" w:asciiTheme="minorEastAsia" w:hAnsiTheme="minorEastAsia" w:eastAsiaTheme="minorEastAsia" w:cstheme="minorEastAsia"/>
          <w:b/>
          <w:sz w:val="44"/>
          <w:szCs w:val="44"/>
        </w:rPr>
      </w:pPr>
    </w:p>
    <w:p w14:paraId="47415A09">
      <w:pPr>
        <w:spacing w:line="312" w:lineRule="auto"/>
        <w:jc w:val="both"/>
        <w:rPr>
          <w:rFonts w:hint="eastAsia" w:asciiTheme="minorEastAsia" w:hAnsiTheme="minorEastAsia" w:eastAsiaTheme="minorEastAsia" w:cstheme="minorEastAsia"/>
          <w:b/>
          <w:sz w:val="44"/>
          <w:szCs w:val="44"/>
          <w:lang w:val="en-US" w:eastAsia="zh-CN"/>
        </w:rPr>
      </w:pPr>
    </w:p>
    <w:p w14:paraId="16E69B95">
      <w:pPr>
        <w:spacing w:line="312" w:lineRule="auto"/>
        <w:jc w:val="center"/>
        <w:rPr>
          <w:rFonts w:hint="eastAsia" w:asciiTheme="minorEastAsia" w:hAnsiTheme="minorEastAsia" w:eastAsiaTheme="minorEastAsia" w:cstheme="minorEastAsia"/>
          <w:b/>
          <w:sz w:val="44"/>
          <w:szCs w:val="44"/>
          <w:lang w:val="en-US" w:eastAsia="zh-CN"/>
        </w:rPr>
      </w:pPr>
      <w:r>
        <w:rPr>
          <w:rFonts w:hint="eastAsia" w:asciiTheme="minorEastAsia" w:hAnsiTheme="minorEastAsia" w:eastAsiaTheme="minorEastAsia" w:cstheme="minorEastAsia"/>
          <w:b/>
          <w:sz w:val="44"/>
          <w:szCs w:val="44"/>
          <w:lang w:val="en-US" w:eastAsia="zh-CN"/>
        </w:rPr>
        <w:t>中国重汽2026-2027年</w:t>
      </w:r>
      <w:r>
        <w:rPr>
          <w:rFonts w:hint="eastAsia" w:asciiTheme="minorEastAsia" w:hAnsiTheme="minorEastAsia" w:cstheme="minorEastAsia"/>
          <w:b/>
          <w:sz w:val="44"/>
          <w:szCs w:val="44"/>
          <w:lang w:val="en-US" w:eastAsia="zh-CN"/>
        </w:rPr>
        <w:t>舆情实时监测软件采购</w:t>
      </w:r>
      <w:r>
        <w:rPr>
          <w:rFonts w:hint="eastAsia" w:asciiTheme="minorEastAsia" w:hAnsiTheme="minorEastAsia" w:eastAsiaTheme="minorEastAsia" w:cstheme="minorEastAsia"/>
          <w:b/>
          <w:sz w:val="44"/>
          <w:szCs w:val="44"/>
          <w:lang w:val="en-US" w:eastAsia="zh-CN"/>
        </w:rPr>
        <w:t>项目</w:t>
      </w:r>
    </w:p>
    <w:p w14:paraId="0C4ADB53">
      <w:pPr>
        <w:spacing w:line="312" w:lineRule="auto"/>
        <w:jc w:val="center"/>
        <w:rPr>
          <w:rFonts w:hint="eastAsia" w:asciiTheme="minorEastAsia" w:hAnsiTheme="minorEastAsia" w:eastAsiaTheme="minorEastAsia" w:cstheme="minorEastAsia"/>
          <w:b/>
          <w:sz w:val="32"/>
          <w:szCs w:val="32"/>
        </w:rPr>
      </w:pPr>
    </w:p>
    <w:p w14:paraId="392FECC7">
      <w:pPr>
        <w:spacing w:line="312" w:lineRule="auto"/>
        <w:jc w:val="center"/>
        <w:rPr>
          <w:rFonts w:hint="eastAsia" w:asciiTheme="minorEastAsia" w:hAnsiTheme="minorEastAsia" w:eastAsiaTheme="minorEastAsia" w:cstheme="minorEastAsia"/>
          <w:b/>
          <w:sz w:val="32"/>
          <w:szCs w:val="32"/>
        </w:rPr>
      </w:pPr>
    </w:p>
    <w:p w14:paraId="28E3A1D3">
      <w:pPr>
        <w:spacing w:line="312" w:lineRule="auto"/>
        <w:jc w:val="center"/>
        <w:rPr>
          <w:rFonts w:hint="eastAsia" w:asciiTheme="minorEastAsia" w:hAnsiTheme="minorEastAsia" w:eastAsiaTheme="minorEastAsia" w:cstheme="minorEastAsia"/>
          <w:b/>
          <w:sz w:val="32"/>
          <w:szCs w:val="32"/>
        </w:rPr>
      </w:pPr>
    </w:p>
    <w:p w14:paraId="09843AE6">
      <w:pPr>
        <w:spacing w:line="312" w:lineRule="auto"/>
        <w:jc w:val="center"/>
        <w:rPr>
          <w:rFonts w:hint="eastAsia" w:asciiTheme="minorEastAsia" w:hAnsiTheme="minorEastAsia" w:eastAsiaTheme="minorEastAsia" w:cstheme="minorEastAsia"/>
          <w:b/>
          <w:sz w:val="32"/>
          <w:szCs w:val="32"/>
        </w:rPr>
      </w:pPr>
    </w:p>
    <w:p w14:paraId="6BBDB14B">
      <w:pPr>
        <w:spacing w:line="312" w:lineRule="auto"/>
        <w:jc w:val="center"/>
        <w:rPr>
          <w:rFonts w:hint="eastAsia" w:asciiTheme="minorEastAsia" w:hAnsiTheme="minorEastAsia" w:eastAsiaTheme="minorEastAsia" w:cstheme="minorEastAsia"/>
          <w:b/>
          <w:sz w:val="32"/>
          <w:szCs w:val="32"/>
        </w:rPr>
      </w:pPr>
    </w:p>
    <w:p w14:paraId="57FF66E6">
      <w:pPr>
        <w:spacing w:line="312" w:lineRule="auto"/>
        <w:jc w:val="center"/>
        <w:rPr>
          <w:rFonts w:hint="eastAsia" w:asciiTheme="minorEastAsia" w:hAnsiTheme="minorEastAsia" w:eastAsiaTheme="minorEastAsia" w:cstheme="minorEastAsia"/>
          <w:b/>
          <w:sz w:val="72"/>
          <w:szCs w:val="72"/>
        </w:rPr>
      </w:pPr>
      <w:r>
        <w:rPr>
          <w:rFonts w:hint="eastAsia" w:asciiTheme="minorEastAsia" w:hAnsiTheme="minorEastAsia" w:cstheme="minorEastAsia"/>
          <w:b/>
          <w:sz w:val="72"/>
          <w:szCs w:val="72"/>
          <w:lang w:val="en-US" w:eastAsia="zh-CN"/>
        </w:rPr>
        <w:t>公开招标文件</w:t>
      </w:r>
    </w:p>
    <w:p w14:paraId="379837A4">
      <w:pPr>
        <w:spacing w:line="312" w:lineRule="auto"/>
        <w:jc w:val="center"/>
        <w:rPr>
          <w:rFonts w:hint="eastAsia" w:asciiTheme="minorEastAsia" w:hAnsiTheme="minorEastAsia" w:eastAsiaTheme="minorEastAsia" w:cstheme="minorEastAsia"/>
          <w:b/>
          <w:sz w:val="32"/>
          <w:szCs w:val="32"/>
        </w:rPr>
      </w:pPr>
    </w:p>
    <w:p w14:paraId="0A354806">
      <w:pPr>
        <w:spacing w:line="312" w:lineRule="auto"/>
        <w:jc w:val="center"/>
        <w:rPr>
          <w:rFonts w:hint="eastAsia" w:asciiTheme="minorEastAsia" w:hAnsiTheme="minorEastAsia" w:eastAsiaTheme="minorEastAsia" w:cstheme="minorEastAsia"/>
          <w:b/>
          <w:sz w:val="32"/>
          <w:szCs w:val="32"/>
        </w:rPr>
      </w:pPr>
    </w:p>
    <w:p w14:paraId="1C2F1548">
      <w:pPr>
        <w:spacing w:line="312" w:lineRule="auto"/>
        <w:jc w:val="center"/>
        <w:rPr>
          <w:rFonts w:hint="eastAsia" w:asciiTheme="minorEastAsia" w:hAnsiTheme="minorEastAsia" w:eastAsiaTheme="minorEastAsia" w:cstheme="minorEastAsia"/>
          <w:b/>
          <w:sz w:val="32"/>
          <w:szCs w:val="32"/>
        </w:rPr>
      </w:pPr>
    </w:p>
    <w:p w14:paraId="7F3F59A4">
      <w:pPr>
        <w:spacing w:line="312" w:lineRule="auto"/>
        <w:jc w:val="center"/>
        <w:rPr>
          <w:rFonts w:hint="eastAsia" w:asciiTheme="minorEastAsia" w:hAnsiTheme="minorEastAsia" w:eastAsiaTheme="minorEastAsia" w:cstheme="minorEastAsia"/>
          <w:b/>
          <w:sz w:val="32"/>
          <w:szCs w:val="32"/>
        </w:rPr>
      </w:pPr>
    </w:p>
    <w:p w14:paraId="47D15005">
      <w:pPr>
        <w:spacing w:line="312" w:lineRule="auto"/>
        <w:jc w:val="center"/>
        <w:rPr>
          <w:rFonts w:hint="eastAsia" w:asciiTheme="minorEastAsia" w:hAnsiTheme="minorEastAsia" w:eastAsiaTheme="minorEastAsia" w:cstheme="minorEastAsia"/>
          <w:b/>
          <w:sz w:val="32"/>
          <w:szCs w:val="32"/>
        </w:rPr>
      </w:pPr>
    </w:p>
    <w:p w14:paraId="249B5B48">
      <w:pPr>
        <w:spacing w:line="312" w:lineRule="auto"/>
        <w:jc w:val="center"/>
        <w:rPr>
          <w:rFonts w:hint="eastAsia" w:asciiTheme="minorEastAsia" w:hAnsiTheme="minorEastAsia" w:eastAsiaTheme="minorEastAsia" w:cstheme="minorEastAsia"/>
          <w:b/>
          <w:sz w:val="32"/>
          <w:szCs w:val="32"/>
        </w:rPr>
      </w:pPr>
    </w:p>
    <w:p w14:paraId="12509CFF">
      <w:pPr>
        <w:spacing w:line="312" w:lineRule="auto"/>
        <w:jc w:val="both"/>
        <w:rPr>
          <w:rFonts w:hint="eastAsia" w:asciiTheme="minorEastAsia" w:hAnsiTheme="minorEastAsia" w:eastAsiaTheme="minorEastAsia" w:cstheme="minorEastAsia"/>
          <w:b/>
          <w:sz w:val="32"/>
          <w:szCs w:val="32"/>
        </w:rPr>
      </w:pPr>
    </w:p>
    <w:p w14:paraId="11326FCE">
      <w:pPr>
        <w:spacing w:line="312" w:lineRule="auto"/>
        <w:ind w:firstLine="1285" w:firstLineChars="400"/>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招标人</w:t>
      </w:r>
      <w:r>
        <w:rPr>
          <w:rFonts w:hint="eastAsia" w:asciiTheme="minorEastAsia" w:hAnsiTheme="minorEastAsia" w:cstheme="minorEastAsia"/>
          <w:b/>
          <w:sz w:val="32"/>
          <w:szCs w:val="32"/>
          <w:lang w:eastAsia="zh-CN"/>
        </w:rPr>
        <w:t>：</w:t>
      </w:r>
      <w:r>
        <w:rPr>
          <w:rFonts w:hint="eastAsia" w:asciiTheme="minorEastAsia" w:hAnsiTheme="minorEastAsia" w:eastAsiaTheme="minorEastAsia" w:cstheme="minorEastAsia"/>
          <w:b/>
          <w:sz w:val="32"/>
          <w:szCs w:val="32"/>
        </w:rPr>
        <w:t>中国重汽集团济南动力有限公司</w:t>
      </w:r>
    </w:p>
    <w:p w14:paraId="5ED0351A">
      <w:pPr>
        <w:spacing w:line="312" w:lineRule="auto"/>
        <w:ind w:firstLine="2570" w:firstLineChars="800"/>
        <w:jc w:val="both"/>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日  期：二〇二</w:t>
      </w:r>
      <w:r>
        <w:rPr>
          <w:rFonts w:hint="eastAsia" w:asciiTheme="minorEastAsia" w:hAnsiTheme="minorEastAsia" w:cstheme="minorEastAsia"/>
          <w:b/>
          <w:sz w:val="32"/>
          <w:szCs w:val="32"/>
          <w:lang w:val="en-US" w:eastAsia="zh-CN"/>
        </w:rPr>
        <w:t>六</w:t>
      </w:r>
      <w:r>
        <w:rPr>
          <w:rFonts w:hint="eastAsia" w:asciiTheme="minorEastAsia" w:hAnsiTheme="minorEastAsia" w:eastAsiaTheme="minorEastAsia" w:cstheme="minorEastAsia"/>
          <w:b/>
          <w:sz w:val="32"/>
          <w:szCs w:val="32"/>
        </w:rPr>
        <w:t>年</w:t>
      </w:r>
      <w:r>
        <w:rPr>
          <w:rFonts w:hint="eastAsia" w:asciiTheme="minorEastAsia" w:hAnsiTheme="minorEastAsia" w:cstheme="minorEastAsia"/>
          <w:b/>
          <w:sz w:val="32"/>
          <w:szCs w:val="32"/>
          <w:lang w:val="en-US" w:eastAsia="zh-CN"/>
        </w:rPr>
        <w:t>十</w:t>
      </w:r>
      <w:r>
        <w:rPr>
          <w:rFonts w:hint="eastAsia" w:asciiTheme="minorEastAsia" w:hAnsiTheme="minorEastAsia" w:eastAsiaTheme="minorEastAsia" w:cstheme="minorEastAsia"/>
          <w:b/>
          <w:sz w:val="32"/>
          <w:szCs w:val="32"/>
        </w:rPr>
        <w:t>月</w:t>
      </w:r>
    </w:p>
    <w:p w14:paraId="4C40BAFF">
      <w:pPr>
        <w:rPr>
          <w:rFonts w:hint="eastAsia" w:asciiTheme="minorEastAsia" w:hAnsiTheme="minorEastAsia" w:eastAsiaTheme="minorEastAsia" w:cstheme="minorEastAsia"/>
          <w:lang w:val="en-US" w:eastAsia="zh-CN"/>
        </w:rPr>
      </w:pPr>
    </w:p>
    <w:p w14:paraId="41982BDC">
      <w:pPr>
        <w:rPr>
          <w:rFonts w:hint="eastAsia" w:asciiTheme="minorEastAsia" w:hAnsiTheme="minorEastAsia" w:eastAsiaTheme="minorEastAsia" w:cstheme="minorEastAsia"/>
          <w:lang w:val="en-US" w:eastAsia="zh-CN"/>
        </w:rPr>
      </w:pPr>
    </w:p>
    <w:p w14:paraId="49E3F755">
      <w:pPr>
        <w:rPr>
          <w:rFonts w:hint="eastAsia" w:asciiTheme="minorEastAsia" w:hAnsiTheme="minorEastAsia" w:eastAsiaTheme="minorEastAsia" w:cstheme="minorEastAsia"/>
          <w:lang w:val="en-US" w:eastAsia="zh-CN"/>
        </w:rPr>
      </w:pPr>
    </w:p>
    <w:p w14:paraId="6F40A41B">
      <w:pPr>
        <w:rPr>
          <w:rFonts w:hint="eastAsia" w:asciiTheme="minorEastAsia" w:hAnsiTheme="minorEastAsia" w:eastAsiaTheme="minorEastAsia" w:cstheme="minorEastAsia"/>
          <w:lang w:val="en-US" w:eastAsia="zh-CN"/>
        </w:rPr>
      </w:pPr>
    </w:p>
    <w:p w14:paraId="39FE2C96">
      <w:pPr>
        <w:rPr>
          <w:rFonts w:hint="eastAsia" w:asciiTheme="minorEastAsia" w:hAnsiTheme="minorEastAsia" w:eastAsiaTheme="minorEastAsia" w:cstheme="minorEastAsia"/>
          <w:lang w:val="en-US" w:eastAsia="zh-CN"/>
        </w:rPr>
      </w:pPr>
    </w:p>
    <w:p w14:paraId="03E3C0A2">
      <w:pPr>
        <w:rPr>
          <w:rFonts w:hint="eastAsia" w:asciiTheme="minorEastAsia" w:hAnsiTheme="minorEastAsia" w:eastAsiaTheme="minorEastAsia" w:cstheme="minorEastAsia"/>
          <w:lang w:val="en-US" w:eastAsia="zh-CN"/>
        </w:rPr>
      </w:pPr>
    </w:p>
    <w:p w14:paraId="5D156AF4">
      <w:pPr>
        <w:rPr>
          <w:rFonts w:hint="eastAsia" w:asciiTheme="minorEastAsia" w:hAnsiTheme="minorEastAsia" w:eastAsiaTheme="minorEastAsia" w:cstheme="minorEastAsia"/>
          <w:lang w:val="en-US" w:eastAsia="zh-CN"/>
        </w:rPr>
      </w:pPr>
    </w:p>
    <w:p w14:paraId="4DF97213">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rPr>
      </w:pPr>
      <w:r>
        <w:rPr>
          <w:rFonts w:hint="eastAsia" w:ascii="黑体" w:hAnsi="黑体" w:eastAsia="黑体" w:cs="黑体"/>
          <w:b/>
          <w:sz w:val="28"/>
          <w:szCs w:val="28"/>
          <w:lang w:val="en-US" w:eastAsia="zh-CN"/>
        </w:rPr>
        <w:t>一、</w:t>
      </w:r>
      <w:r>
        <w:rPr>
          <w:rFonts w:hint="eastAsia" w:ascii="黑体" w:hAnsi="黑体" w:eastAsia="黑体" w:cs="黑体"/>
          <w:b/>
          <w:sz w:val="28"/>
          <w:szCs w:val="28"/>
        </w:rPr>
        <w:t>投标须知</w:t>
      </w:r>
    </w:p>
    <w:p w14:paraId="47DC9AF5">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color w:val="auto"/>
          <w:sz w:val="24"/>
          <w:szCs w:val="24"/>
          <w:highlight w:val="none"/>
        </w:rPr>
        <w:t>招标人：</w:t>
      </w:r>
      <w:r>
        <w:rPr>
          <w:rFonts w:hint="eastAsia" w:asciiTheme="minorEastAsia" w:hAnsiTheme="minorEastAsia" w:eastAsiaTheme="minorEastAsia" w:cstheme="minorEastAsia"/>
          <w:sz w:val="24"/>
          <w:szCs w:val="24"/>
          <w:highlight w:val="none"/>
          <w:lang w:val="en-US" w:eastAsia="zh-CN"/>
        </w:rPr>
        <w:t>中国重汽集团济南动力有限公司</w:t>
      </w:r>
    </w:p>
    <w:p w14:paraId="236A3713">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sz w:val="24"/>
          <w:szCs w:val="24"/>
          <w:highlight w:val="none"/>
        </w:rPr>
        <w:t>项目</w:t>
      </w:r>
      <w:r>
        <w:rPr>
          <w:rFonts w:hint="eastAsia" w:asciiTheme="minorEastAsia" w:hAnsiTheme="minorEastAsia" w:eastAsiaTheme="minorEastAsia" w:cstheme="minorEastAsia"/>
          <w:b/>
          <w:bCs/>
          <w:sz w:val="24"/>
          <w:szCs w:val="24"/>
          <w:highlight w:val="none"/>
          <w:lang w:val="en-US" w:eastAsia="zh-CN"/>
        </w:rPr>
        <w:t>名称</w:t>
      </w:r>
      <w:r>
        <w:rPr>
          <w:rFonts w:hint="eastAsia" w:asciiTheme="minorEastAsia" w:hAnsiTheme="minorEastAsia" w:eastAsiaTheme="minorEastAsia" w:cstheme="minorEastAsia"/>
          <w:sz w:val="24"/>
          <w:szCs w:val="24"/>
          <w:highlight w:val="none"/>
          <w:lang w:val="en-US" w:eastAsia="zh-CN"/>
        </w:rPr>
        <w:t>：中国重汽2026-2027年舆情</w:t>
      </w:r>
      <w:r>
        <w:rPr>
          <w:rFonts w:hint="eastAsia" w:asciiTheme="minorEastAsia" w:hAnsiTheme="minorEastAsia" w:cstheme="minorEastAsia"/>
          <w:sz w:val="24"/>
          <w:szCs w:val="24"/>
          <w:highlight w:val="none"/>
          <w:lang w:val="en-US" w:eastAsia="zh-CN"/>
        </w:rPr>
        <w:t>实时</w:t>
      </w:r>
      <w:r>
        <w:rPr>
          <w:rFonts w:hint="eastAsia" w:asciiTheme="minorEastAsia" w:hAnsiTheme="minorEastAsia" w:eastAsiaTheme="minorEastAsia" w:cstheme="minorEastAsia"/>
          <w:sz w:val="24"/>
          <w:szCs w:val="24"/>
          <w:highlight w:val="none"/>
          <w:lang w:val="en-US" w:eastAsia="zh-CN"/>
        </w:rPr>
        <w:t>监测软件采购项目</w:t>
      </w:r>
    </w:p>
    <w:p w14:paraId="0699D829">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b/>
          <w:bCs/>
          <w:sz w:val="24"/>
          <w:szCs w:val="24"/>
          <w:highlight w:val="none"/>
          <w:lang w:val="en-US" w:eastAsia="zh-CN"/>
        </w:rPr>
        <w:t>项目编号：ZBGL2026090253</w:t>
      </w:r>
    </w:p>
    <w:p w14:paraId="5F9D0AE6">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投标内容</w:t>
      </w:r>
      <w:r>
        <w:rPr>
          <w:rFonts w:hint="eastAsia" w:asciiTheme="minorEastAsia" w:hAnsiTheme="minorEastAsia" w:eastAsiaTheme="minorEastAsia" w:cstheme="minorEastAsia"/>
          <w:b/>
          <w:bCs/>
          <w:sz w:val="24"/>
          <w:szCs w:val="24"/>
          <w:highlight w:val="none"/>
          <w:lang w:val="en-US" w:eastAsia="zh-CN"/>
        </w:rPr>
        <w:t>：</w:t>
      </w:r>
      <w:r>
        <w:rPr>
          <w:rFonts w:hint="eastAsia" w:asciiTheme="minorEastAsia" w:hAnsiTheme="minorEastAsia" w:eastAsiaTheme="minorEastAsia" w:cstheme="minorEastAsia"/>
          <w:sz w:val="24"/>
          <w:szCs w:val="24"/>
          <w:lang w:val="en-US" w:eastAsia="zh-CN"/>
        </w:rPr>
        <w:t>为主动适配日趋复杂的全媒体网络舆论环境，筑牢品牌声誉防线，需进行舆情监测软件的采购，用以覆盖新闻网站、微信公众号、网络论坛、资讯客户端、短视频、直播等主流网络信源，实现7×24小时不间断实时监测等，全面保障风险早发现、早预警、早处置。</w:t>
      </w:r>
    </w:p>
    <w:p w14:paraId="2C6936D2">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项目周期：</w:t>
      </w:r>
      <w:r>
        <w:rPr>
          <w:rFonts w:hint="eastAsia" w:asciiTheme="minorEastAsia" w:hAnsiTheme="minorEastAsia" w:eastAsiaTheme="minorEastAsia" w:cstheme="minorEastAsia"/>
          <w:sz w:val="24"/>
          <w:szCs w:val="24"/>
          <w:lang w:val="en-US" w:eastAsia="zh-CN"/>
        </w:rPr>
        <w:t>202</w:t>
      </w:r>
      <w:r>
        <w:rPr>
          <w:rFonts w:hint="eastAsia" w:asciiTheme="minorEastAsia" w:hAnsiTheme="minorEastAsia" w:cstheme="minorEastAsia"/>
          <w:sz w:val="24"/>
          <w:szCs w:val="24"/>
          <w:lang w:val="en-US" w:eastAsia="zh-CN"/>
        </w:rPr>
        <w:t>6</w:t>
      </w:r>
      <w:r>
        <w:rPr>
          <w:rFonts w:hint="eastAsia" w:asciiTheme="minorEastAsia" w:hAnsiTheme="minorEastAsia" w:eastAsiaTheme="minorEastAsia" w:cstheme="minorEastAsia"/>
          <w:sz w:val="24"/>
          <w:szCs w:val="24"/>
          <w:lang w:val="en-US" w:eastAsia="zh-CN"/>
        </w:rPr>
        <w:t>年</w:t>
      </w:r>
      <w:r>
        <w:rPr>
          <w:rFonts w:hint="eastAsia" w:asciiTheme="minorEastAsia" w:hAnsiTheme="minorEastAsia" w:cstheme="minorEastAsia"/>
          <w:sz w:val="24"/>
          <w:szCs w:val="24"/>
          <w:lang w:val="en-US" w:eastAsia="zh-CN"/>
        </w:rPr>
        <w:t>11月</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2027年11</w:t>
      </w:r>
      <w:r>
        <w:rPr>
          <w:rFonts w:hint="eastAsia" w:asciiTheme="minorEastAsia" w:hAnsiTheme="minorEastAsia" w:eastAsiaTheme="minorEastAsia" w:cstheme="minorEastAsia"/>
          <w:sz w:val="24"/>
          <w:szCs w:val="24"/>
          <w:lang w:val="en-US" w:eastAsia="zh-CN"/>
        </w:rPr>
        <w:t>月（具体时间以合同为准）</w:t>
      </w:r>
    </w:p>
    <w:p w14:paraId="39C1C5AA">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报价方式：</w:t>
      </w:r>
      <w:r>
        <w:rPr>
          <w:rFonts w:hint="eastAsia" w:asciiTheme="minorEastAsia" w:hAnsiTheme="minorEastAsia" w:eastAsiaTheme="minorEastAsia" w:cstheme="minorEastAsia"/>
          <w:sz w:val="24"/>
          <w:szCs w:val="24"/>
          <w:lang w:val="en-US" w:eastAsia="zh-CN"/>
        </w:rPr>
        <w:t>（人民币元）报价应包括合同签订到项目服务完成周期内所包含的一切费用（包含但不限于：</w:t>
      </w:r>
      <w:r>
        <w:rPr>
          <w:rFonts w:hint="eastAsia" w:asciiTheme="minorEastAsia" w:hAnsiTheme="minorEastAsia" w:cstheme="minorEastAsia"/>
          <w:sz w:val="24"/>
          <w:szCs w:val="24"/>
          <w:lang w:val="en-US" w:eastAsia="zh-CN"/>
        </w:rPr>
        <w:t>多</w:t>
      </w:r>
      <w:r>
        <w:rPr>
          <w:rFonts w:hint="eastAsia" w:asciiTheme="minorEastAsia" w:hAnsiTheme="minorEastAsia" w:eastAsiaTheme="minorEastAsia" w:cstheme="minorEastAsia"/>
          <w:sz w:val="24"/>
          <w:szCs w:val="24"/>
          <w:lang w:val="en-US" w:eastAsia="zh-CN"/>
        </w:rPr>
        <w:t>账号开通、功能完善、服务兑现、数据支持</w:t>
      </w:r>
      <w:r>
        <w:rPr>
          <w:rFonts w:hint="eastAsia" w:asciiTheme="minorEastAsia" w:hAnsiTheme="minorEastAsia" w:cstheme="minorEastAsia"/>
          <w:sz w:val="24"/>
          <w:szCs w:val="24"/>
          <w:lang w:val="en-US" w:eastAsia="zh-CN"/>
        </w:rPr>
        <w:t>、使用培训</w:t>
      </w:r>
      <w:r>
        <w:rPr>
          <w:rFonts w:hint="eastAsia" w:asciiTheme="minorEastAsia" w:hAnsiTheme="minorEastAsia" w:eastAsiaTheme="minorEastAsia" w:cstheme="minorEastAsia"/>
          <w:sz w:val="24"/>
          <w:szCs w:val="24"/>
          <w:lang w:val="en-US" w:eastAsia="zh-CN"/>
        </w:rPr>
        <w:t>，以及工商、税务、利润及人工等全部费用）。</w:t>
      </w:r>
    </w:p>
    <w:p w14:paraId="486F3645">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开标地点</w:t>
      </w:r>
      <w:r>
        <w:rPr>
          <w:rFonts w:hint="eastAsia" w:asciiTheme="minorEastAsia" w:hAnsiTheme="minorEastAsia" w:cstheme="minorEastAsia"/>
          <w:b/>
          <w:bCs/>
          <w:sz w:val="24"/>
          <w:szCs w:val="24"/>
          <w:highlight w:val="none"/>
          <w:lang w:val="en-US" w:eastAsia="zh-CN"/>
        </w:rPr>
        <w:t>及时间</w:t>
      </w:r>
      <w:r>
        <w:rPr>
          <w:rFonts w:hint="eastAsia" w:asciiTheme="minorEastAsia" w:hAnsiTheme="minorEastAsia" w:eastAsiaTheme="minorEastAsia" w:cstheme="minorEastAsia"/>
          <w:b/>
          <w:bCs/>
          <w:sz w:val="24"/>
          <w:szCs w:val="24"/>
          <w:highlight w:val="none"/>
          <w:lang w:val="en-US" w:eastAsia="zh-CN"/>
        </w:rPr>
        <w:t>：</w:t>
      </w:r>
    </w:p>
    <w:p w14:paraId="2C33A15A">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400" w:firstLine="0" w:firstLineChars="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时间</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highlight w:val="none"/>
          <w:lang w:val="en-US" w:eastAsia="zh-CN"/>
        </w:rPr>
        <w:t>具体</w:t>
      </w:r>
      <w:r>
        <w:rPr>
          <w:rFonts w:hint="eastAsia" w:asciiTheme="minorEastAsia" w:hAnsiTheme="minorEastAsia" w:cstheme="minorEastAsia"/>
          <w:sz w:val="24"/>
          <w:szCs w:val="24"/>
          <w:lang w:val="en-US" w:eastAsia="zh-CN"/>
        </w:rPr>
        <w:t>时间另行通知</w:t>
      </w:r>
    </w:p>
    <w:p w14:paraId="1B9650D7">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400" w:firstLine="0" w:firstLineChars="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地点</w:t>
      </w:r>
      <w:r>
        <w:rPr>
          <w:rFonts w:hint="eastAsia" w:asciiTheme="minorEastAsia" w:hAnsiTheme="minorEastAsia" w:eastAsiaTheme="minorEastAsia" w:cstheme="minorEastAsia"/>
          <w:sz w:val="24"/>
          <w:szCs w:val="24"/>
          <w:lang w:val="en-US" w:eastAsia="zh-CN"/>
        </w:rPr>
        <w:t>：线上</w:t>
      </w:r>
      <w:r>
        <w:rPr>
          <w:rFonts w:hint="eastAsia" w:asciiTheme="minorEastAsia" w:hAnsiTheme="minorEastAsia" w:cstheme="minorEastAsia"/>
          <w:sz w:val="24"/>
          <w:szCs w:val="24"/>
          <w:lang w:val="en-US" w:eastAsia="zh-CN"/>
        </w:rPr>
        <w:t>会议</w:t>
      </w:r>
    </w:p>
    <w:p w14:paraId="52F7C5F8">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color w:val="auto"/>
          <w:sz w:val="24"/>
          <w:szCs w:val="24"/>
          <w:lang w:val="en-US" w:eastAsia="zh-CN"/>
        </w:rPr>
        <w:t>联系人</w:t>
      </w:r>
      <w:r>
        <w:rPr>
          <w:rFonts w:hint="eastAsia" w:asciiTheme="minorEastAsia" w:hAnsiTheme="minorEastAsia" w:cstheme="minorEastAsia"/>
          <w:b/>
          <w:bCs/>
          <w:color w:val="auto"/>
          <w:sz w:val="24"/>
          <w:szCs w:val="24"/>
          <w:lang w:val="en-US" w:eastAsia="zh-CN"/>
        </w:rPr>
        <w:t>及联系方式</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cstheme="minorEastAsia"/>
          <w:b w:val="0"/>
          <w:bCs w:val="0"/>
          <w:sz w:val="24"/>
          <w:szCs w:val="24"/>
          <w:lang w:val="en-US" w:eastAsia="zh-CN"/>
        </w:rPr>
        <w:t>鲍老师(17860601680）</w:t>
      </w:r>
    </w:p>
    <w:p w14:paraId="427FC1EE">
      <w:pPr>
        <w:pStyle w:val="19"/>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b/>
          <w:bCs/>
          <w:sz w:val="24"/>
          <w:szCs w:val="24"/>
          <w:highlight w:val="none"/>
          <w:lang w:val="en-US" w:eastAsia="zh-CN"/>
        </w:rPr>
        <w:t>联系人邮箱：</w:t>
      </w:r>
      <w:r>
        <w:rPr>
          <w:rFonts w:hint="eastAsia" w:asciiTheme="minorEastAsia" w:hAnsiTheme="minorEastAsia" w:cstheme="minorEastAsia"/>
          <w:b w:val="0"/>
          <w:bCs w:val="0"/>
          <w:sz w:val="24"/>
          <w:szCs w:val="24"/>
          <w:highlight w:val="none"/>
          <w:lang w:val="en-US" w:eastAsia="zh-CN"/>
        </w:rPr>
        <w:t>baoyachen@sinotruk.com</w:t>
      </w:r>
    </w:p>
    <w:p w14:paraId="0AA03992">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ind w:left="420" w:leftChars="0" w:firstLine="482" w:firstLineChars="200"/>
        <w:textAlignment w:val="auto"/>
        <w:rPr>
          <w:rFonts w:hint="eastAsia" w:asciiTheme="minorEastAsia" w:hAnsiTheme="minorEastAsia" w:eastAsiaTheme="minorEastAsia" w:cstheme="minorEastAsia"/>
          <w:b/>
          <w:sz w:val="24"/>
          <w:szCs w:val="24"/>
        </w:rPr>
      </w:pPr>
    </w:p>
    <w:p w14:paraId="69DF8B66">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rPr>
      </w:pPr>
      <w:r>
        <w:rPr>
          <w:rFonts w:hint="eastAsia" w:ascii="黑体" w:hAnsi="黑体" w:eastAsia="黑体" w:cs="黑体"/>
          <w:b/>
          <w:sz w:val="28"/>
          <w:szCs w:val="28"/>
          <w:lang w:val="en-US" w:eastAsia="zh-CN"/>
        </w:rPr>
        <w:t>二、</w:t>
      </w:r>
      <w:r>
        <w:rPr>
          <w:rFonts w:hint="eastAsia" w:ascii="黑体" w:hAnsi="黑体" w:eastAsia="黑体" w:cs="黑体"/>
          <w:b/>
          <w:sz w:val="28"/>
          <w:szCs w:val="28"/>
        </w:rPr>
        <w:t>项目说明</w:t>
      </w:r>
    </w:p>
    <w:p w14:paraId="59EF693E">
      <w:pPr>
        <w:spacing w:line="500" w:lineRule="exact"/>
        <w:ind w:firstLine="480" w:firstLineChars="200"/>
        <w:rPr>
          <w:rFonts w:ascii="仿宋" w:hAnsi="仿宋" w:eastAsia="仿宋"/>
          <w:sz w:val="28"/>
          <w:szCs w:val="28"/>
          <w:highlight w:val="none"/>
        </w:rPr>
      </w:pPr>
      <w:r>
        <w:rPr>
          <w:rFonts w:hint="eastAsia" w:asciiTheme="minorEastAsia" w:hAnsiTheme="minorEastAsia" w:eastAsiaTheme="minorEastAsia" w:cstheme="minorEastAsia"/>
          <w:kern w:val="2"/>
          <w:sz w:val="24"/>
          <w:szCs w:val="24"/>
          <w:lang w:val="en-US" w:eastAsia="zh-CN" w:bidi="ar-SA"/>
        </w:rPr>
        <w:t>随着行业的快速发展和全媒体网络环境日趋复杂，企业应对网络传播舆情压力日益增大，为充分响应中央关于加强和改进网络意识形态工作的部署安排，全面提高企业应对舆情的管理水平，中国重汽拟通过相关平台软件支持，对网络信息进行实时、快速、精准抓取，做到网络信息风险的高效应对和防控，维护企业品牌形象。</w:t>
      </w:r>
    </w:p>
    <w:p w14:paraId="5DB3F49A">
      <w:pPr>
        <w:pStyle w:val="19"/>
        <w:spacing w:line="500" w:lineRule="exact"/>
        <w:ind w:firstLine="560"/>
        <w:rPr>
          <w:rFonts w:hint="eastAsia" w:ascii="仿宋" w:hAnsi="仿宋" w:eastAsia="仿宋"/>
          <w:sz w:val="28"/>
          <w:szCs w:val="28"/>
          <w:lang w:val="en-US" w:eastAsia="zh-CN"/>
        </w:rPr>
      </w:pPr>
    </w:p>
    <w:p w14:paraId="1C646337">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rPr>
      </w:pPr>
      <w:r>
        <w:rPr>
          <w:rFonts w:hint="eastAsia" w:ascii="黑体" w:hAnsi="黑体" w:eastAsia="黑体" w:cs="黑体"/>
          <w:b/>
          <w:sz w:val="28"/>
          <w:szCs w:val="28"/>
          <w:lang w:val="en-US" w:eastAsia="zh-CN"/>
        </w:rPr>
        <w:t>三、</w:t>
      </w:r>
      <w:r>
        <w:rPr>
          <w:rFonts w:hint="eastAsia" w:ascii="黑体" w:hAnsi="黑体" w:eastAsia="黑体" w:cs="黑体"/>
          <w:b/>
          <w:sz w:val="28"/>
          <w:szCs w:val="28"/>
        </w:rPr>
        <w:t>标的内容</w:t>
      </w:r>
    </w:p>
    <w:p w14:paraId="69E20382">
      <w:pPr>
        <w:pStyle w:val="8"/>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lang w:val="en-US" w:eastAsia="zh-CN"/>
        </w:rPr>
        <w:t>1.</w:t>
      </w:r>
      <w:r>
        <w:rPr>
          <w:rFonts w:hint="eastAsia" w:asciiTheme="minorEastAsia" w:hAnsiTheme="minorEastAsia" w:eastAsiaTheme="minorEastAsia" w:cstheme="minorEastAsia"/>
          <w:b/>
          <w:bCs/>
          <w:kern w:val="2"/>
          <w:sz w:val="24"/>
          <w:szCs w:val="24"/>
        </w:rPr>
        <w:t>标的组成：</w:t>
      </w:r>
    </w:p>
    <w:p w14:paraId="52D2BFC5">
      <w:pPr>
        <w:pStyle w:val="12"/>
        <w:widowControl/>
        <w:spacing w:line="500" w:lineRule="exact"/>
        <w:ind w:firstLine="480" w:firstLineChars="200"/>
        <w:jc w:val="both"/>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包括但不限于以下部分：</w:t>
      </w:r>
    </w:p>
    <w:p w14:paraId="2AE4A1A3">
      <w:pPr>
        <w:pStyle w:val="12"/>
        <w:widowControl/>
        <w:spacing w:line="500" w:lineRule="exact"/>
        <w:ind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（1）项目方案要求符合中国重汽在企业形象、品牌、产品等方面的定位需求，能够有助于中国重汽集团应对企业各类风险管理。</w:t>
      </w:r>
    </w:p>
    <w:p w14:paraId="3C9BB757">
      <w:pPr>
        <w:pStyle w:val="12"/>
        <w:widowControl/>
        <w:spacing w:line="500" w:lineRule="exact"/>
        <w:ind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（2）项目方案需分项明确中国重汽所享受的服务内容，有详细文字描述说明（如不具备展示条件，应以类似案例或列表清单做示意）。</w:t>
      </w:r>
    </w:p>
    <w:p w14:paraId="0A18BF81">
      <w:pPr>
        <w:pStyle w:val="12"/>
        <w:widowControl/>
        <w:spacing w:line="500" w:lineRule="exact"/>
        <w:ind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（3）系统平台功能应以实际软件展示或以案例做解析，其中视频监测功能模块应作功能、数据以及未来系统升级方面的细化说明。</w:t>
      </w:r>
    </w:p>
    <w:p w14:paraId="6BAF55F0">
      <w:pPr>
        <w:pStyle w:val="12"/>
        <w:widowControl/>
        <w:spacing w:line="500" w:lineRule="exact"/>
        <w:ind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（4）对系统功能技术支持或据甲方需求优化项目做明确说明，包含响应方式、预期效果等。</w:t>
      </w:r>
    </w:p>
    <w:p w14:paraId="069C0D1A">
      <w:pPr>
        <w:pStyle w:val="12"/>
        <w:widowControl/>
        <w:spacing w:line="500" w:lineRule="exact"/>
        <w:ind w:firstLine="480" w:firstLineChars="20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（5）项目报价应依据分项服务项目，做具体明确。</w:t>
      </w:r>
    </w:p>
    <w:p w14:paraId="2C727C8B">
      <w:pPr>
        <w:pStyle w:val="12"/>
        <w:widowControl/>
        <w:spacing w:line="500" w:lineRule="exact"/>
        <w:ind w:firstLine="480" w:firstLineChars="200"/>
        <w:jc w:val="both"/>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（6）执行阶段的具体事项，以双方合同约定为准。</w:t>
      </w:r>
    </w:p>
    <w:p w14:paraId="5A557B88">
      <w:pPr>
        <w:pStyle w:val="8"/>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b/>
          <w:bCs/>
          <w:kern w:val="2"/>
          <w:sz w:val="24"/>
          <w:szCs w:val="24"/>
          <w:lang w:val="en-US" w:eastAsia="zh-CN"/>
        </w:rPr>
        <w:t>2.项目验收：</w:t>
      </w:r>
      <w:r>
        <w:rPr>
          <w:rFonts w:hint="eastAsia" w:asciiTheme="minorEastAsia" w:hAnsiTheme="minorEastAsia" w:eastAsiaTheme="minorEastAsia" w:cstheme="minorEastAsia"/>
          <w:kern w:val="2"/>
          <w:sz w:val="24"/>
          <w:szCs w:val="24"/>
          <w:lang w:val="en-US" w:eastAsia="zh-CN"/>
        </w:rPr>
        <w:t>能够按照招标及合同要求，及时提供软件使用账号，及时根据项目做使用教程培训。项目执行过程中，涉及的所有视频、数据文件、图文等过程素材，在项目验收时一并交付。</w:t>
      </w:r>
    </w:p>
    <w:p w14:paraId="7D839F99">
      <w:pPr>
        <w:pStyle w:val="12"/>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kern w:val="0"/>
          <w:sz w:val="24"/>
          <w:szCs w:val="24"/>
          <w:highlight w:val="none"/>
          <w:lang w:val="en-US" w:eastAsia="zh-CN"/>
        </w:rPr>
      </w:pPr>
      <w:r>
        <w:rPr>
          <w:rFonts w:hint="eastAsia" w:asciiTheme="minorEastAsia" w:hAnsiTheme="minorEastAsia" w:eastAsiaTheme="minorEastAsia" w:cstheme="minorEastAsia"/>
          <w:b/>
          <w:bCs/>
          <w:kern w:val="0"/>
          <w:sz w:val="24"/>
          <w:szCs w:val="24"/>
          <w:highlight w:val="none"/>
          <w:lang w:val="en-US" w:eastAsia="zh-CN"/>
        </w:rPr>
        <w:t>3.项目执行阶段的具体事项以合同约定为准。</w:t>
      </w:r>
    </w:p>
    <w:p w14:paraId="48789F93">
      <w:pPr>
        <w:pStyle w:val="12"/>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kern w:val="0"/>
          <w:sz w:val="24"/>
          <w:szCs w:val="24"/>
          <w:highlight w:val="none"/>
          <w:lang w:val="en-US" w:eastAsia="zh-CN"/>
        </w:rPr>
      </w:pPr>
      <w:r>
        <w:rPr>
          <w:rFonts w:hint="eastAsia" w:asciiTheme="minorEastAsia" w:hAnsiTheme="minorEastAsia" w:eastAsiaTheme="minorEastAsia" w:cstheme="minorEastAsia"/>
          <w:b/>
          <w:bCs/>
          <w:kern w:val="0"/>
          <w:sz w:val="24"/>
          <w:szCs w:val="24"/>
          <w:highlight w:val="none"/>
          <w:lang w:val="en-US" w:eastAsia="zh-CN"/>
        </w:rPr>
        <w:t>4.投标限价：20万元/年</w:t>
      </w:r>
    </w:p>
    <w:p w14:paraId="4BB52C85">
      <w:pPr>
        <w:pStyle w:val="12"/>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FF0000"/>
          <w:kern w:val="0"/>
          <w:sz w:val="24"/>
          <w:szCs w:val="24"/>
          <w:highlight w:val="none"/>
          <w:lang w:val="en-US" w:eastAsia="zh-CN"/>
        </w:rPr>
      </w:pPr>
    </w:p>
    <w:p w14:paraId="634F6519">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rPr>
      </w:pPr>
      <w:r>
        <w:rPr>
          <w:rFonts w:hint="eastAsia" w:ascii="黑体" w:hAnsi="黑体" w:eastAsia="黑体" w:cs="黑体"/>
          <w:b/>
          <w:sz w:val="28"/>
          <w:szCs w:val="28"/>
        </w:rPr>
        <w:t>四、付款条件及付款方式</w:t>
      </w:r>
    </w:p>
    <w:p w14:paraId="2667A98B">
      <w:pPr>
        <w:pStyle w:val="8"/>
        <w:keepNext w:val="0"/>
        <w:keepLines w:val="0"/>
        <w:pageBreakBefore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lang w:val="en-US" w:eastAsia="zh-CN"/>
        </w:rPr>
      </w:pPr>
      <w:bookmarkStart w:id="0" w:name="_Hlk97552887"/>
      <w:r>
        <w:rPr>
          <w:rFonts w:hint="eastAsia" w:asciiTheme="minorEastAsia" w:hAnsiTheme="minorEastAsia" w:eastAsiaTheme="minorEastAsia" w:cstheme="minorEastAsia"/>
          <w:kern w:val="2"/>
          <w:sz w:val="24"/>
          <w:szCs w:val="24"/>
          <w:lang w:val="en-US" w:eastAsia="zh-CN"/>
        </w:rPr>
        <w:t>原则上以实际执行进行结算</w:t>
      </w:r>
      <w:bookmarkEnd w:id="0"/>
      <w:r>
        <w:rPr>
          <w:rFonts w:hint="eastAsia" w:asciiTheme="minorEastAsia" w:hAnsiTheme="minorEastAsia" w:eastAsiaTheme="minorEastAsia" w:cstheme="minorEastAsia"/>
          <w:kern w:val="2"/>
          <w:sz w:val="24"/>
          <w:szCs w:val="24"/>
          <w:lang w:val="en-US" w:eastAsia="zh-CN"/>
        </w:rPr>
        <w:t>。招标人（甲方）与中标人（乙方）签订服务合同后，乙方根据合同要求按时执行。按照实际发生进行统计，按实际执行价格进行据实付款。</w:t>
      </w:r>
    </w:p>
    <w:p w14:paraId="5A37F030">
      <w:pPr>
        <w:pStyle w:val="8"/>
        <w:keepNext w:val="0"/>
        <w:keepLines w:val="0"/>
        <w:pageBreakBefore w:val="0"/>
        <w:numPr>
          <w:ilvl w:val="0"/>
          <w:numId w:val="2"/>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b/>
          <w:bCs/>
          <w:kern w:val="2"/>
          <w:sz w:val="24"/>
          <w:szCs w:val="24"/>
          <w:highlight w:val="none"/>
          <w:lang w:val="en-US" w:eastAsia="zh-CN"/>
        </w:rPr>
        <w:t>付款方式：</w:t>
      </w:r>
      <w:r>
        <w:rPr>
          <w:rFonts w:hint="eastAsia" w:asciiTheme="minorEastAsia" w:hAnsiTheme="minorEastAsia" w:eastAsiaTheme="minorEastAsia" w:cstheme="minorEastAsia"/>
          <w:kern w:val="2"/>
          <w:sz w:val="24"/>
          <w:szCs w:val="24"/>
          <w:lang w:val="en-US" w:eastAsia="zh-CN"/>
        </w:rPr>
        <w:t>原则上分两期支付，双方签署合同后，由</w:t>
      </w:r>
      <w:r>
        <w:rPr>
          <w:rFonts w:hint="eastAsia" w:asciiTheme="minorEastAsia" w:hAnsiTheme="minorEastAsia" w:eastAsiaTheme="minorEastAsia" w:cstheme="minorEastAsia"/>
          <w:kern w:val="2"/>
          <w:sz w:val="24"/>
          <w:szCs w:val="24"/>
          <w:lang w:val="zh-CN" w:eastAsia="zh-CN"/>
        </w:rPr>
        <w:t>中标人（乙方）</w:t>
      </w:r>
      <w:r>
        <w:rPr>
          <w:rFonts w:hint="eastAsia" w:asciiTheme="minorEastAsia" w:hAnsiTheme="minorEastAsia" w:eastAsiaTheme="minorEastAsia" w:cstheme="minorEastAsia"/>
          <w:kern w:val="2"/>
          <w:sz w:val="24"/>
          <w:szCs w:val="24"/>
          <w:lang w:val="en-US" w:eastAsia="zh-CN"/>
        </w:rPr>
        <w:t>开具符合甲方要求的</w:t>
      </w:r>
      <w:r>
        <w:rPr>
          <w:rFonts w:hint="eastAsia" w:asciiTheme="minorEastAsia" w:hAnsiTheme="minorEastAsia" w:eastAsiaTheme="minorEastAsia" w:cstheme="minorEastAsia"/>
          <w:kern w:val="2"/>
          <w:sz w:val="24"/>
          <w:szCs w:val="24"/>
          <w:lang w:val="zh-CN" w:eastAsia="zh-CN"/>
        </w:rPr>
        <w:t>增值税专用发票，甲方在收到发票后向中标人（乙方）支付60%首付款。服务周期结束后，</w:t>
      </w:r>
      <w:r>
        <w:rPr>
          <w:rFonts w:hint="eastAsia" w:asciiTheme="minorEastAsia" w:hAnsiTheme="minorEastAsia" w:eastAsiaTheme="minorEastAsia" w:cstheme="minorEastAsia"/>
          <w:kern w:val="2"/>
          <w:sz w:val="24"/>
          <w:szCs w:val="24"/>
          <w:lang w:val="en-US" w:eastAsia="zh-CN"/>
        </w:rPr>
        <w:t>中标人出具项目执行报告，甲方验收后，由</w:t>
      </w:r>
      <w:r>
        <w:rPr>
          <w:rFonts w:hint="eastAsia" w:asciiTheme="minorEastAsia" w:hAnsiTheme="minorEastAsia" w:eastAsiaTheme="minorEastAsia" w:cstheme="minorEastAsia"/>
          <w:kern w:val="2"/>
          <w:sz w:val="24"/>
          <w:szCs w:val="24"/>
          <w:lang w:val="zh-CN" w:eastAsia="zh-CN"/>
        </w:rPr>
        <w:t>中标人（乙方）</w:t>
      </w:r>
      <w:r>
        <w:rPr>
          <w:rFonts w:hint="eastAsia" w:asciiTheme="minorEastAsia" w:hAnsiTheme="minorEastAsia" w:eastAsiaTheme="minorEastAsia" w:cstheme="minorEastAsia"/>
          <w:kern w:val="2"/>
          <w:sz w:val="24"/>
          <w:szCs w:val="24"/>
          <w:lang w:val="en-US" w:eastAsia="zh-CN"/>
        </w:rPr>
        <w:t>开具符合甲方要求的</w:t>
      </w:r>
      <w:r>
        <w:rPr>
          <w:rFonts w:hint="eastAsia" w:asciiTheme="minorEastAsia" w:hAnsiTheme="minorEastAsia" w:eastAsiaTheme="minorEastAsia" w:cstheme="minorEastAsia"/>
          <w:kern w:val="2"/>
          <w:sz w:val="24"/>
          <w:szCs w:val="24"/>
          <w:lang w:val="zh-CN" w:eastAsia="zh-CN"/>
        </w:rPr>
        <w:t>增值税专用发票，甲方在收到发票后向中标人（乙方）支付40%尾款。合同付款方式为</w:t>
      </w:r>
      <w:r>
        <w:rPr>
          <w:rFonts w:hint="eastAsia" w:asciiTheme="minorEastAsia" w:hAnsiTheme="minorEastAsia" w:eastAsiaTheme="minorEastAsia" w:cstheme="minorEastAsia"/>
          <w:kern w:val="2"/>
          <w:sz w:val="24"/>
          <w:szCs w:val="24"/>
          <w:lang w:val="en-US" w:eastAsia="zh-CN"/>
        </w:rPr>
        <w:t>电汇</w:t>
      </w:r>
      <w:r>
        <w:rPr>
          <w:rFonts w:hint="eastAsia" w:asciiTheme="minorEastAsia" w:hAnsiTheme="minorEastAsia" w:eastAsiaTheme="minorEastAsia" w:cstheme="minorEastAsia"/>
          <w:kern w:val="2"/>
          <w:sz w:val="24"/>
          <w:szCs w:val="24"/>
          <w:lang w:val="zh-CN" w:eastAsia="zh-CN"/>
        </w:rPr>
        <w:t>，</w:t>
      </w:r>
      <w:r>
        <w:rPr>
          <w:rFonts w:hint="eastAsia" w:asciiTheme="minorEastAsia" w:hAnsiTheme="minorEastAsia" w:eastAsiaTheme="minorEastAsia" w:cstheme="minorEastAsia"/>
          <w:kern w:val="2"/>
          <w:sz w:val="24"/>
          <w:szCs w:val="24"/>
          <w:lang w:val="en-US" w:eastAsia="zh-CN"/>
        </w:rPr>
        <w:t>具体付款时间、金额，以双方签订的合同约定为准</w:t>
      </w:r>
    </w:p>
    <w:p w14:paraId="1BE730A8">
      <w:pPr>
        <w:pStyle w:val="8"/>
        <w:keepNext w:val="0"/>
        <w:keepLines w:val="0"/>
        <w:pageBreakBefore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因发票违规给付款方造成的增值税、所得税等损失，由开票方承担相关责任，包括但不限于税款、滞纳金、罚款及其他相关损失。</w:t>
      </w:r>
    </w:p>
    <w:p w14:paraId="2587A091">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rPr>
      </w:pPr>
      <w:r>
        <w:rPr>
          <w:rFonts w:hint="eastAsia" w:ascii="黑体" w:hAnsi="黑体" w:eastAsia="黑体" w:cs="黑体"/>
          <w:b/>
          <w:sz w:val="28"/>
          <w:szCs w:val="28"/>
          <w:lang w:val="en-US" w:eastAsia="zh-CN"/>
        </w:rPr>
        <w:t>五、</w:t>
      </w:r>
      <w:r>
        <w:rPr>
          <w:rFonts w:hint="eastAsia" w:ascii="黑体" w:hAnsi="黑体" w:eastAsia="黑体" w:cs="黑体"/>
          <w:b/>
          <w:sz w:val="28"/>
          <w:szCs w:val="28"/>
        </w:rPr>
        <w:t>投标人资格条件及要求</w:t>
      </w:r>
    </w:p>
    <w:p w14:paraId="29436270">
      <w:pPr>
        <w:pStyle w:val="8"/>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投标人应遵守《中华人民共和国招投标法》及有关的法律和法规。具备独立法人资格，具有独立承担民事责任能力、良好的财务状况并具有一定的垫资能力，经营稳定，资质符合项目要求，具有全面履约能力。</w:t>
      </w:r>
    </w:p>
    <w:p w14:paraId="7C3263AF">
      <w:pPr>
        <w:pStyle w:val="8"/>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lang w:val="en-US" w:eastAsia="zh-CN"/>
        </w:rPr>
      </w:pPr>
      <w:r>
        <w:rPr>
          <w:rFonts w:hint="eastAsia" w:ascii="宋体" w:hAnsi="宋体" w:eastAsia="宋体" w:cs="宋体"/>
          <w:sz w:val="24"/>
          <w:szCs w:val="24"/>
        </w:rPr>
        <w:t>投标人的</w:t>
      </w:r>
      <w:r>
        <w:rPr>
          <w:rFonts w:hint="eastAsia" w:ascii="宋体" w:hAnsi="宋体" w:eastAsia="宋体" w:cs="宋体"/>
          <w:sz w:val="24"/>
          <w:szCs w:val="24"/>
          <w:highlight w:val="none"/>
        </w:rPr>
        <w:t>注册资金不低于</w:t>
      </w:r>
      <w:r>
        <w:rPr>
          <w:rFonts w:hint="eastAsia" w:hAnsi="宋体" w:cs="宋体"/>
          <w:sz w:val="24"/>
          <w:szCs w:val="24"/>
          <w:highlight w:val="none"/>
          <w:lang w:val="en-US" w:eastAsia="zh-CN"/>
        </w:rPr>
        <w:t>3</w:t>
      </w:r>
      <w:r>
        <w:rPr>
          <w:rFonts w:hint="eastAsia" w:ascii="宋体" w:hAnsi="宋体" w:eastAsia="宋体" w:cs="宋体"/>
          <w:sz w:val="24"/>
          <w:szCs w:val="24"/>
          <w:highlight w:val="none"/>
        </w:rPr>
        <w:t>00万人民币</w:t>
      </w:r>
      <w:r>
        <w:rPr>
          <w:rFonts w:hint="eastAsia" w:hAnsi="宋体" w:cs="宋体"/>
          <w:sz w:val="24"/>
          <w:szCs w:val="24"/>
          <w:lang w:eastAsia="zh-CN"/>
        </w:rPr>
        <w:t>，</w:t>
      </w:r>
      <w:r>
        <w:rPr>
          <w:rFonts w:hint="eastAsia" w:asciiTheme="minorEastAsia" w:hAnsiTheme="minorEastAsia" w:eastAsiaTheme="minorEastAsia" w:cstheme="minorEastAsia"/>
          <w:kern w:val="2"/>
          <w:sz w:val="24"/>
          <w:szCs w:val="24"/>
          <w:highlight w:val="none"/>
          <w:lang w:val="en-US" w:eastAsia="zh-CN"/>
        </w:rPr>
        <w:t>投标人的</w:t>
      </w:r>
      <w:r>
        <w:rPr>
          <w:rFonts w:hint="eastAsia" w:asciiTheme="minorEastAsia" w:hAnsiTheme="minorEastAsia" w:eastAsiaTheme="minorEastAsia" w:cstheme="minorEastAsia"/>
          <w:kern w:val="2"/>
          <w:sz w:val="24"/>
          <w:szCs w:val="24"/>
          <w:lang w:val="en-US" w:eastAsia="zh-CN"/>
        </w:rPr>
        <w:t>营业执照在有效期内并且经营范围满足招标人需求，在国内注册三年以上（以营业执照成立日期到开标当日计算）。不符合本条款要求的视为废标项，招标人有权取消其投标资格。</w:t>
      </w:r>
    </w:p>
    <w:p w14:paraId="151683B3">
      <w:pPr>
        <w:pStyle w:val="8"/>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投标人在国家企业信用信息公示系统中有不良记录、近三年的公司财务报表异常、存在严重违规或被列入招标人“黑名单”的，招标人有权取消其投标资格。</w:t>
      </w:r>
    </w:p>
    <w:p w14:paraId="5269F06A">
      <w:pPr>
        <w:pStyle w:val="8"/>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 xml:space="preserve">投标方的直接或间接股东、法定代表人、董事、监事、高管非重汽员工及其亲属。 </w:t>
      </w:r>
    </w:p>
    <w:p w14:paraId="655F1A0D">
      <w:pPr>
        <w:pStyle w:val="8"/>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lang w:val="en-US" w:eastAsia="zh-CN"/>
        </w:rPr>
        <w:t xml:space="preserve">招标方无招标违规、谎报年度报告信息、提供虚假资质资料等行为或其他行政处罚记录。 </w:t>
      </w:r>
    </w:p>
    <w:p w14:paraId="4091A619">
      <w:pPr>
        <w:pStyle w:val="8"/>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投标人具有良好的风险应对能力，能够认可招标人的工作指令，包括节、假日能正常开展工作等要求。</w:t>
      </w:r>
    </w:p>
    <w:p w14:paraId="3B00BE90">
      <w:pPr>
        <w:pStyle w:val="8"/>
        <w:keepNext w:val="0"/>
        <w:keepLines w:val="0"/>
        <w:pageBreakBefore w:val="0"/>
        <w:numPr>
          <w:ilvl w:val="0"/>
          <w:numId w:val="3"/>
        </w:numPr>
        <w:kinsoku/>
        <w:wordWrap/>
        <w:overflowPunct/>
        <w:topLinePunct w:val="0"/>
        <w:autoSpaceDE/>
        <w:autoSpaceDN/>
        <w:bidi w:val="0"/>
        <w:adjustRightInd/>
        <w:snapToGrid/>
        <w:spacing w:line="360" w:lineRule="auto"/>
        <w:ind w:left="0" w:leftChars="0" w:firstLine="482" w:firstLineChars="200"/>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b/>
          <w:bCs/>
          <w:kern w:val="2"/>
          <w:sz w:val="24"/>
          <w:szCs w:val="24"/>
          <w:highlight w:val="none"/>
          <w:lang w:val="en-US" w:eastAsia="zh-CN"/>
        </w:rPr>
        <w:t>资格审查方式：</w:t>
      </w:r>
      <w:r>
        <w:rPr>
          <w:rFonts w:hint="eastAsia" w:asciiTheme="minorEastAsia" w:hAnsiTheme="minorEastAsia" w:eastAsiaTheme="minorEastAsia" w:cstheme="minorEastAsia"/>
          <w:kern w:val="2"/>
          <w:sz w:val="24"/>
          <w:szCs w:val="24"/>
          <w:highlight w:val="none"/>
          <w:lang w:val="en-US" w:eastAsia="zh-CN"/>
        </w:rPr>
        <w:t>资格预审，合格制。投标人应编制资格预审文件，否则视为放弃投标，内容包括：</w:t>
      </w:r>
    </w:p>
    <w:p w14:paraId="0572454E">
      <w:pPr>
        <w:pStyle w:val="8"/>
        <w:keepNext w:val="0"/>
        <w:keepLines w:val="0"/>
        <w:pageBreakBefore w:val="0"/>
        <w:numPr>
          <w:ilvl w:val="0"/>
          <w:numId w:val="0"/>
        </w:numPr>
        <w:kinsoku/>
        <w:wordWrap/>
        <w:overflowPunct/>
        <w:topLinePunct w:val="0"/>
        <w:autoSpaceDE/>
        <w:autoSpaceDN/>
        <w:bidi w:val="0"/>
        <w:adjustRightInd/>
        <w:snapToGrid/>
        <w:spacing w:line="360" w:lineRule="auto"/>
        <w:ind w:leftChars="200"/>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（1）投标人基本情况表，附带投标人三证合一的营业执照副本及复印件（加盖单位公章）。</w:t>
      </w:r>
    </w:p>
    <w:p w14:paraId="424C2692">
      <w:pPr>
        <w:pStyle w:val="8"/>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（2）法定代表人身份证复印件，若法定代表人不能出席，需有法定代表人授权委托书（格式见附件1）及被委托人身份证（加盖公章）。</w:t>
      </w:r>
    </w:p>
    <w:p w14:paraId="1E89560D">
      <w:pPr>
        <w:pStyle w:val="8"/>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(3)财务状况报告、依法缴纳税收相关材料复印件盖公章（财务状况报告：近三年审计报告，包括但不限于报告页、经审计的资产负债表、利润表、现金流量表及报表附注；如公司无审计报告，可提供近三年财务报表，包括但不限于资产负债表、利润表、现金流量表；税收材料：税收完税凭证或税务部门出具的纳税证明）。</w:t>
      </w:r>
    </w:p>
    <w:p w14:paraId="2FEBC52D">
      <w:pPr>
        <w:pStyle w:val="8"/>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（4）信用承诺书原件。</w:t>
      </w:r>
    </w:p>
    <w:p w14:paraId="5BF57F75">
      <w:pPr>
        <w:pStyle w:val="8"/>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（5）企业对外担保说明。</w:t>
      </w:r>
    </w:p>
    <w:p w14:paraId="5D6012B6">
      <w:pPr>
        <w:pStyle w:val="8"/>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（6）证明投标人资格条件的其他材料，可附上。</w:t>
      </w:r>
    </w:p>
    <w:p w14:paraId="3EE69AA2">
      <w:pPr>
        <w:pStyle w:val="8"/>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8.投标人要求具备商用车行业</w:t>
      </w:r>
      <w:r>
        <w:rPr>
          <w:rFonts w:hint="eastAsia" w:ascii="宋体" w:hAnsi="宋体" w:cs="宋体"/>
          <w:sz w:val="24"/>
          <w:szCs w:val="24"/>
          <w:highlight w:val="none"/>
          <w:lang w:val="en-US" w:eastAsia="zh-CN"/>
        </w:rPr>
        <w:t>监测服务</w:t>
      </w:r>
      <w:r>
        <w:rPr>
          <w:rFonts w:hint="eastAsia" w:hAnsi="宋体" w:cs="宋体"/>
          <w:sz w:val="24"/>
          <w:szCs w:val="24"/>
          <w:highlight w:val="none"/>
          <w:lang w:val="en-US" w:eastAsia="zh-CN"/>
        </w:rPr>
        <w:t>经验</w:t>
      </w:r>
      <w:r>
        <w:rPr>
          <w:rFonts w:hint="eastAsia" w:ascii="宋体" w:hAnsi="宋体" w:cs="宋体"/>
          <w:sz w:val="24"/>
          <w:szCs w:val="24"/>
          <w:highlight w:val="none"/>
          <w:lang w:val="en-US" w:eastAsia="zh-CN"/>
        </w:rPr>
        <w:t>（</w:t>
      </w:r>
      <w:r>
        <w:rPr>
          <w:rFonts w:hint="eastAsia" w:hAnsi="宋体" w:cs="宋体"/>
          <w:sz w:val="24"/>
          <w:szCs w:val="24"/>
          <w:highlight w:val="none"/>
          <w:lang w:val="en-US" w:eastAsia="zh-CN"/>
        </w:rPr>
        <w:t>应标时</w:t>
      </w:r>
      <w:bookmarkStart w:id="1" w:name="_GoBack"/>
      <w:bookmarkEnd w:id="1"/>
      <w:r>
        <w:rPr>
          <w:rFonts w:hint="eastAsia" w:ascii="宋体" w:hAnsi="宋体" w:cs="宋体"/>
          <w:sz w:val="24"/>
          <w:szCs w:val="24"/>
          <w:highlight w:val="none"/>
          <w:lang w:val="en-US" w:eastAsia="zh-CN"/>
        </w:rPr>
        <w:t>提供相关证明）</w:t>
      </w:r>
    </w:p>
    <w:p w14:paraId="03D8F747">
      <w:pPr>
        <w:pStyle w:val="12"/>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4"/>
          <w:szCs w:val="24"/>
        </w:rPr>
      </w:pPr>
    </w:p>
    <w:p w14:paraId="26240029">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highlight w:val="none"/>
        </w:rPr>
      </w:pPr>
      <w:r>
        <w:rPr>
          <w:rFonts w:hint="eastAsia" w:ascii="黑体" w:hAnsi="黑体" w:eastAsia="黑体" w:cs="黑体"/>
          <w:b/>
          <w:sz w:val="28"/>
          <w:szCs w:val="28"/>
          <w:highlight w:val="none"/>
          <w:lang w:val="en-US" w:eastAsia="zh-CN"/>
        </w:rPr>
        <w:t>六、</w:t>
      </w:r>
      <w:r>
        <w:rPr>
          <w:rFonts w:hint="eastAsia" w:ascii="黑体" w:hAnsi="黑体" w:eastAsia="黑体" w:cs="黑体"/>
          <w:b/>
          <w:sz w:val="28"/>
          <w:szCs w:val="28"/>
          <w:highlight w:val="none"/>
        </w:rPr>
        <w:t>投标书</w:t>
      </w:r>
    </w:p>
    <w:p w14:paraId="7A71A5B8">
      <w:pPr>
        <w:pStyle w:val="12"/>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rPr>
      </w:pPr>
      <w:r>
        <w:rPr>
          <w:rFonts w:hint="eastAsia" w:asciiTheme="minorEastAsia" w:hAnsiTheme="minorEastAsia" w:eastAsiaTheme="minorEastAsia" w:cstheme="minorEastAsia"/>
          <w:kern w:val="2"/>
          <w:sz w:val="24"/>
          <w:szCs w:val="24"/>
          <w:highlight w:val="none"/>
          <w:lang w:val="en-US" w:eastAsia="zh-CN"/>
        </w:rPr>
        <w:t>投标人须提供投标书每份投标书必须加盖骑缝章，要注明投标人的名称、地址、联系人、联系电话），电子文档上传至重汽e采通系统。内容包含：</w:t>
      </w:r>
    </w:p>
    <w:p w14:paraId="33680913">
      <w:pPr>
        <w:pStyle w:val="19"/>
        <w:keepNext w:val="0"/>
        <w:keepLines w:val="0"/>
        <w:pageBreakBefore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资质文件：符合标书第五条的资质文件复印件；</w:t>
      </w:r>
    </w:p>
    <w:p w14:paraId="0A13D536">
      <w:pPr>
        <w:pStyle w:val="19"/>
        <w:keepNext w:val="0"/>
        <w:keepLines w:val="0"/>
        <w:pageBreakBefore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kern w:val="2"/>
          <w:sz w:val="24"/>
          <w:szCs w:val="24"/>
          <w:highlight w:val="none"/>
          <w:lang w:val="zh-CN" w:eastAsia="zh-CN" w:bidi="ar-SA"/>
        </w:rPr>
      </w:pPr>
      <w:r>
        <w:rPr>
          <w:rFonts w:hint="eastAsia" w:asciiTheme="minorEastAsia" w:hAnsiTheme="minorEastAsia" w:eastAsiaTheme="minorEastAsia" w:cstheme="minorEastAsia"/>
          <w:sz w:val="24"/>
          <w:szCs w:val="24"/>
          <w:highlight w:val="none"/>
          <w:lang w:val="zh-CN"/>
        </w:rPr>
        <w:t>商务部分：报价单</w:t>
      </w:r>
      <w:r>
        <w:rPr>
          <w:rFonts w:hint="eastAsia" w:asciiTheme="minorEastAsia" w:hAnsiTheme="minorEastAsia" w:eastAsiaTheme="minorEastAsia" w:cstheme="minorEastAsia"/>
          <w:kern w:val="2"/>
          <w:sz w:val="24"/>
          <w:szCs w:val="24"/>
          <w:highlight w:val="none"/>
          <w:lang w:val="zh-CN" w:eastAsia="zh-CN" w:bidi="ar-SA"/>
        </w:rPr>
        <w:t>（</w:t>
      </w:r>
      <w:r>
        <w:rPr>
          <w:rFonts w:hint="eastAsia" w:asciiTheme="minorEastAsia" w:hAnsiTheme="minorEastAsia" w:eastAsiaTheme="minorEastAsia" w:cstheme="minorEastAsia"/>
          <w:kern w:val="2"/>
          <w:sz w:val="24"/>
          <w:szCs w:val="24"/>
          <w:highlight w:val="none"/>
          <w:lang w:val="en-US" w:eastAsia="zh" w:bidi="ar-SA"/>
        </w:rPr>
        <w:t>投标报价时需将不含税价、税率、价税合计金额列明</w:t>
      </w:r>
      <w:r>
        <w:rPr>
          <w:rFonts w:hint="eastAsia" w:asciiTheme="minorEastAsia" w:hAnsiTheme="minorEastAsia" w:eastAsiaTheme="minorEastAsia" w:cstheme="minorEastAsia"/>
          <w:kern w:val="2"/>
          <w:sz w:val="24"/>
          <w:szCs w:val="24"/>
          <w:highlight w:val="none"/>
          <w:lang w:val="zh-CN" w:eastAsia="zh-CN" w:bidi="ar-SA"/>
        </w:rPr>
        <w:t>）；</w:t>
      </w:r>
    </w:p>
    <w:p w14:paraId="7883DA94">
      <w:pPr>
        <w:pStyle w:val="19"/>
        <w:keepNext w:val="0"/>
        <w:keepLines w:val="0"/>
        <w:pageBreakBefore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highlight w:val="none"/>
          <w:lang w:val="zh-CN"/>
        </w:rPr>
      </w:pPr>
      <w:r>
        <w:rPr>
          <w:rFonts w:hint="eastAsia" w:asciiTheme="minorEastAsia" w:hAnsiTheme="minorEastAsia" w:eastAsiaTheme="minorEastAsia" w:cstheme="minorEastAsia"/>
          <w:sz w:val="24"/>
          <w:szCs w:val="24"/>
          <w:highlight w:val="none"/>
          <w:lang w:val="zh-CN"/>
        </w:rPr>
        <w:t>技术部分：</w:t>
      </w:r>
      <w:r>
        <w:rPr>
          <w:rFonts w:hint="eastAsia" w:asciiTheme="minorEastAsia" w:hAnsiTheme="minorEastAsia" w:cstheme="minorEastAsia"/>
          <w:sz w:val="24"/>
          <w:szCs w:val="24"/>
          <w:highlight w:val="none"/>
          <w:lang w:val="en-US" w:eastAsia="zh-CN"/>
        </w:rPr>
        <w:t>服务</w:t>
      </w:r>
      <w:r>
        <w:rPr>
          <w:rFonts w:hint="eastAsia" w:asciiTheme="minorEastAsia" w:hAnsiTheme="minorEastAsia" w:eastAsiaTheme="minorEastAsia" w:cstheme="minorEastAsia"/>
          <w:sz w:val="24"/>
          <w:szCs w:val="24"/>
          <w:highlight w:val="none"/>
          <w:lang w:val="zh-CN"/>
        </w:rPr>
        <w:t>方案等。</w:t>
      </w:r>
    </w:p>
    <w:p w14:paraId="3B8D45B5">
      <w:pPr>
        <w:pStyle w:val="19"/>
        <w:keepNext w:val="0"/>
        <w:keepLines w:val="0"/>
        <w:pageBreakBefore w:val="0"/>
        <w:numPr>
          <w:ilvl w:val="0"/>
          <w:numId w:val="0"/>
        </w:numPr>
        <w:kinsoku/>
        <w:wordWrap/>
        <w:overflowPunct/>
        <w:topLinePunct w:val="0"/>
        <w:autoSpaceDE/>
        <w:autoSpaceDN/>
        <w:bidi w:val="0"/>
        <w:adjustRightInd/>
        <w:snapToGrid/>
        <w:spacing w:line="360" w:lineRule="auto"/>
        <w:ind w:left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cstheme="minorEastAsia"/>
          <w:sz w:val="24"/>
          <w:szCs w:val="24"/>
          <w:highlight w:val="none"/>
          <w:lang w:val="en-US" w:eastAsia="zh-CN"/>
        </w:rPr>
        <w:t>注：投标保证金：在商务标文件上传时,投标保证金凭证附在资质文件中，应标时不做要求。</w:t>
      </w:r>
    </w:p>
    <w:p w14:paraId="31127AC4">
      <w:pPr>
        <w:pStyle w:val="21"/>
        <w:spacing w:line="500" w:lineRule="exact"/>
        <w:ind w:firstLine="600"/>
        <w:jc w:val="center"/>
        <w:rPr>
          <w:rFonts w:hint="eastAsia" w:ascii="宋体" w:eastAsia="宋体" w:cs="宋体"/>
          <w:b/>
          <w:bCs/>
          <w:sz w:val="36"/>
          <w:szCs w:val="36"/>
          <w:lang w:val="en-US" w:eastAsia="zh-CN"/>
        </w:rPr>
      </w:pPr>
    </w:p>
    <w:p w14:paraId="631C29B1">
      <w:pPr>
        <w:pStyle w:val="21"/>
        <w:spacing w:line="500" w:lineRule="exact"/>
        <w:ind w:left="0" w:leftChars="0" w:firstLine="0" w:firstLineChars="0"/>
        <w:jc w:val="center"/>
        <w:rPr>
          <w:rFonts w:hint="default" w:ascii="宋体" w:hAnsi="宋体" w:eastAsia="宋体" w:cs="宋体"/>
          <w:b/>
          <w:bCs/>
          <w:sz w:val="36"/>
          <w:szCs w:val="36"/>
          <w:lang w:val="en-US" w:eastAsia="zh-CN"/>
        </w:rPr>
      </w:pPr>
      <w:r>
        <w:rPr>
          <w:rFonts w:hint="eastAsia" w:ascii="宋体" w:eastAsia="宋体" w:cs="宋体"/>
          <w:b/>
          <w:bCs/>
          <w:sz w:val="36"/>
          <w:szCs w:val="36"/>
          <w:lang w:val="en-US" w:eastAsia="zh-CN"/>
        </w:rPr>
        <w:t>投标说明</w:t>
      </w:r>
    </w:p>
    <w:p w14:paraId="7C0A03BC">
      <w:pPr>
        <w:pStyle w:val="21"/>
        <w:spacing w:line="500" w:lineRule="exact"/>
        <w:ind w:firstLine="600"/>
        <w:rPr>
          <w:rFonts w:hint="eastAsia" w:ascii="宋体" w:hAnsi="宋体" w:eastAsia="宋体" w:cs="宋体"/>
          <w:sz w:val="24"/>
          <w:szCs w:val="24"/>
        </w:rPr>
      </w:pPr>
      <w:r>
        <w:rPr>
          <w:rFonts w:hint="eastAsia" w:ascii="宋体" w:hAnsi="宋体" w:eastAsia="宋体" w:cs="宋体"/>
          <w:sz w:val="24"/>
          <w:szCs w:val="24"/>
        </w:rPr>
        <w:t>注册完成后登录“e采通平台”进入“供应商应标”，选择对应的项目，点击“应标”后按照投标文件组成资格证明文件要求准备资料并上传，资质审查通过即为报名成功；公示期间请尽快应标。</w:t>
      </w:r>
    </w:p>
    <w:p w14:paraId="4AA4F615">
      <w:pPr>
        <w:pStyle w:val="8"/>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（1）发标时间：202</w:t>
      </w:r>
      <w:r>
        <w:rPr>
          <w:rFonts w:hint="eastAsia" w:hAnsi="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hAnsi="宋体" w:cs="宋体"/>
          <w:color w:val="auto"/>
          <w:sz w:val="24"/>
          <w:szCs w:val="24"/>
          <w:highlight w:val="none"/>
          <w:lang w:val="en-US" w:eastAsia="zh-CN"/>
        </w:rPr>
        <w:t>21</w:t>
      </w:r>
      <w:r>
        <w:rPr>
          <w:rFonts w:hint="eastAsia" w:ascii="宋体" w:hAnsi="宋体" w:eastAsia="宋体" w:cs="宋体"/>
          <w:color w:val="auto"/>
          <w:sz w:val="24"/>
          <w:szCs w:val="24"/>
          <w:highlight w:val="none"/>
        </w:rPr>
        <w:t>日</w:t>
      </w:r>
      <w:r>
        <w:rPr>
          <w:rFonts w:hint="eastAsia" w:hAnsi="宋体" w:cs="宋体"/>
          <w:color w:val="auto"/>
          <w:sz w:val="24"/>
          <w:szCs w:val="24"/>
          <w:highlight w:val="none"/>
          <w:lang w:val="en-US" w:eastAsia="zh-CN"/>
        </w:rPr>
        <w:t>12：00</w:t>
      </w:r>
      <w:r>
        <w:rPr>
          <w:rFonts w:hint="eastAsia" w:ascii="宋体" w:hAnsi="宋体" w:eastAsia="宋体" w:cs="宋体"/>
          <w:color w:val="auto"/>
          <w:sz w:val="24"/>
          <w:szCs w:val="24"/>
          <w:highlight w:val="none"/>
        </w:rPr>
        <w:t>；</w:t>
      </w:r>
    </w:p>
    <w:p w14:paraId="55C6A612">
      <w:pPr>
        <w:pStyle w:val="8"/>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（2）应标截止时间：</w:t>
      </w:r>
      <w:r>
        <w:rPr>
          <w:rFonts w:hint="eastAsia" w:asciiTheme="majorEastAsia" w:hAnsiTheme="majorEastAsia" w:eastAsiaTheme="majorEastAsia" w:cstheme="majorEastAsia"/>
          <w:b w:val="0"/>
          <w:bCs w:val="0"/>
          <w:sz w:val="24"/>
          <w:szCs w:val="24"/>
          <w:highlight w:val="none"/>
          <w:lang w:val="en-US" w:eastAsia="zh-CN"/>
        </w:rPr>
        <w:t>2026年10月26日12：00</w:t>
      </w:r>
      <w:r>
        <w:rPr>
          <w:rFonts w:hint="eastAsia" w:ascii="宋体" w:hAnsi="宋体" w:eastAsia="宋体" w:cs="宋体"/>
          <w:color w:val="auto"/>
          <w:sz w:val="24"/>
          <w:szCs w:val="24"/>
          <w:highlight w:val="none"/>
        </w:rPr>
        <w:t>；</w:t>
      </w:r>
    </w:p>
    <w:p w14:paraId="3E2BD154">
      <w:pPr>
        <w:pStyle w:val="8"/>
        <w:spacing w:line="50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auto"/>
          <w:sz w:val="24"/>
          <w:szCs w:val="24"/>
        </w:rPr>
        <w:t>（3）答疑时间：如果投标人对招标文件商务部分、技术部分有疑问，请各投标人在本答疑环节提出。提交疑问时间：</w:t>
      </w:r>
      <w:r>
        <w:rPr>
          <w:rFonts w:hint="eastAsia" w:asciiTheme="majorEastAsia" w:hAnsiTheme="majorEastAsia" w:eastAsiaTheme="majorEastAsia" w:cstheme="majorEastAsia"/>
          <w:b w:val="0"/>
          <w:bCs w:val="0"/>
          <w:sz w:val="24"/>
          <w:szCs w:val="24"/>
          <w:lang w:val="en-US" w:eastAsia="zh-CN"/>
        </w:rPr>
        <w:t>2026年10月26日</w:t>
      </w:r>
      <w:r>
        <w:rPr>
          <w:rFonts w:hint="eastAsia" w:ascii="宋体" w:hAnsi="宋体" w:eastAsia="宋体" w:cs="宋体"/>
          <w:sz w:val="24"/>
          <w:szCs w:val="24"/>
        </w:rPr>
        <w:t>1</w:t>
      </w:r>
      <w:r>
        <w:rPr>
          <w:rFonts w:hint="eastAsia" w:hAnsi="宋体" w:cs="宋体"/>
          <w:sz w:val="24"/>
          <w:szCs w:val="24"/>
          <w:lang w:val="en-US" w:eastAsia="zh-CN"/>
        </w:rPr>
        <w:t>2</w:t>
      </w:r>
      <w:r>
        <w:rPr>
          <w:rFonts w:hint="eastAsia" w:ascii="宋体" w:hAnsi="宋体" w:eastAsia="宋体" w:cs="宋体"/>
          <w:sz w:val="24"/>
          <w:szCs w:val="24"/>
        </w:rPr>
        <w:t>:00前</w:t>
      </w:r>
      <w:r>
        <w:rPr>
          <w:rFonts w:hint="eastAsia" w:ascii="宋体" w:hAnsi="宋体" w:eastAsia="宋体" w:cs="宋体"/>
          <w:color w:val="000000"/>
          <w:sz w:val="24"/>
          <w:szCs w:val="24"/>
        </w:rPr>
        <w:t>；提交疑问方式：</w:t>
      </w:r>
      <w:r>
        <w:rPr>
          <w:rFonts w:hint="eastAsia" w:ascii="宋体" w:hAnsi="宋体" w:eastAsia="宋体" w:cs="宋体"/>
          <w:color w:val="000000"/>
          <w:sz w:val="24"/>
          <w:szCs w:val="24"/>
          <w:highlight w:val="none"/>
          <w:lang w:val="en-US" w:eastAsia="zh-CN"/>
        </w:rPr>
        <w:t>建议</w:t>
      </w:r>
      <w:r>
        <w:rPr>
          <w:rFonts w:hint="eastAsia" w:hAnsi="宋体" w:cs="宋体"/>
          <w:color w:val="000000"/>
          <w:sz w:val="24"/>
          <w:szCs w:val="24"/>
          <w:highlight w:val="none"/>
          <w:lang w:val="en-US" w:eastAsia="zh-CN"/>
        </w:rPr>
        <w:t>邮箱</w:t>
      </w:r>
      <w:r>
        <w:rPr>
          <w:rFonts w:hint="eastAsia" w:ascii="宋体" w:hAnsi="宋体" w:eastAsia="宋体" w:cs="宋体"/>
          <w:color w:val="000000"/>
          <w:sz w:val="24"/>
          <w:szCs w:val="24"/>
          <w:highlight w:val="none"/>
          <w:lang w:val="en-US" w:eastAsia="zh-CN"/>
        </w:rPr>
        <w:t>联系</w:t>
      </w:r>
      <w:r>
        <w:rPr>
          <w:rFonts w:hint="eastAsia" w:hAnsi="宋体" w:cs="宋体"/>
          <w:color w:val="000000"/>
          <w:sz w:val="24"/>
          <w:szCs w:val="24"/>
          <w:highlight w:val="none"/>
          <w:lang w:val="en-US" w:eastAsia="zh-CN"/>
        </w:rPr>
        <w:t>，</w:t>
      </w:r>
      <w:r>
        <w:rPr>
          <w:rFonts w:hint="eastAsia" w:ascii="宋体" w:hAnsi="宋体" w:eastAsia="宋体" w:cs="宋体"/>
          <w:color w:val="000000"/>
          <w:sz w:val="24"/>
          <w:szCs w:val="24"/>
          <w:highlight w:val="none"/>
        </w:rPr>
        <w:t>将答疑问题以word文件格式发送至联系人邮件内，</w:t>
      </w:r>
      <w:r>
        <w:rPr>
          <w:rFonts w:hint="eastAsia" w:hAnsi="宋体" w:cs="宋体"/>
          <w:color w:val="000000"/>
          <w:sz w:val="24"/>
          <w:szCs w:val="24"/>
          <w:highlight w:val="none"/>
          <w:lang w:val="en-US" w:eastAsia="zh-CN"/>
        </w:rPr>
        <w:t>邮件</w:t>
      </w:r>
      <w:r>
        <w:rPr>
          <w:rFonts w:hint="eastAsia" w:ascii="宋体" w:hAnsi="宋体" w:eastAsia="宋体" w:cs="宋体"/>
          <w:color w:val="000000"/>
          <w:sz w:val="24"/>
          <w:szCs w:val="24"/>
          <w:highlight w:val="none"/>
        </w:rPr>
        <w:t>查收</w:t>
      </w:r>
      <w:r>
        <w:rPr>
          <w:rFonts w:hint="eastAsia" w:hAnsi="宋体" w:cs="宋体"/>
          <w:color w:val="000000"/>
          <w:sz w:val="24"/>
          <w:szCs w:val="24"/>
          <w:highlight w:val="none"/>
          <w:lang w:val="en-US" w:eastAsia="zh-CN"/>
        </w:rPr>
        <w:t>后第一时间联系</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rPr>
        <w:t>邮件名格式为：XXX公司（五个字以内公司简称）XX项目答疑文件。同时必须在邮件中以文字方式提供投标人全称、投标授权人姓名、联系方式（固定电话、手机、电子邮箱），并提供法定代表人授权委托书。</w:t>
      </w:r>
    </w:p>
    <w:p w14:paraId="37A9B492">
      <w:pPr>
        <w:pStyle w:val="22"/>
        <w:spacing w:line="500" w:lineRule="exact"/>
        <w:ind w:firstLine="602"/>
        <w:outlineLvl w:val="1"/>
        <w:rPr>
          <w:rFonts w:hint="eastAsia" w:ascii="宋体" w:hAnsi="宋体" w:eastAsia="宋体" w:cs="宋体"/>
          <w:sz w:val="24"/>
          <w:szCs w:val="24"/>
        </w:rPr>
      </w:pPr>
      <w:r>
        <w:rPr>
          <w:rFonts w:hint="eastAsia" w:ascii="宋体" w:hAnsi="宋体" w:eastAsia="宋体" w:cs="宋体"/>
          <w:sz w:val="24"/>
          <w:szCs w:val="24"/>
        </w:rPr>
        <w:t>3.投标保证金</w:t>
      </w:r>
    </w:p>
    <w:p w14:paraId="1B1ECEE7">
      <w:pPr>
        <w:pStyle w:val="21"/>
        <w:spacing w:line="500" w:lineRule="exact"/>
        <w:ind w:firstLine="600"/>
        <w:rPr>
          <w:rFonts w:hint="eastAsia" w:ascii="宋体" w:eastAsia="宋体" w:cs="宋体"/>
          <w:sz w:val="24"/>
          <w:szCs w:val="24"/>
          <w:highlight w:val="none"/>
          <w:lang w:eastAsia="zh-CN"/>
        </w:rPr>
      </w:pPr>
      <w:r>
        <w:rPr>
          <w:rFonts w:hint="eastAsia" w:ascii="宋体" w:hAnsi="宋体" w:eastAsia="宋体" w:cs="宋体"/>
          <w:sz w:val="24"/>
          <w:szCs w:val="24"/>
          <w:highlight w:val="none"/>
        </w:rPr>
        <w:t>投标人须向招标人缴纳投标保证金，投标保证金为</w:t>
      </w:r>
      <w:r>
        <w:rPr>
          <w:rFonts w:hint="eastAsia" w:eastAsia="宋体" w:cs="宋体"/>
          <w:sz w:val="24"/>
          <w:szCs w:val="24"/>
          <w:highlight w:val="none"/>
          <w:lang w:val="en-US" w:eastAsia="zh-CN"/>
        </w:rPr>
        <w:t>500</w:t>
      </w:r>
      <w:r>
        <w:rPr>
          <w:rFonts w:hint="eastAsia" w:ascii="宋体" w:hAnsi="宋体" w:eastAsia="宋体" w:cs="宋体"/>
          <w:sz w:val="24"/>
          <w:szCs w:val="24"/>
          <w:highlight w:val="none"/>
        </w:rPr>
        <w:t>0元（人民币大写</w:t>
      </w:r>
      <w:r>
        <w:rPr>
          <w:rFonts w:hint="eastAsia" w:eastAsia="宋体" w:cs="宋体"/>
          <w:sz w:val="24"/>
          <w:szCs w:val="24"/>
          <w:highlight w:val="none"/>
          <w:lang w:val="en-US" w:eastAsia="zh-CN"/>
        </w:rPr>
        <w:t>伍仟</w:t>
      </w:r>
      <w:r>
        <w:rPr>
          <w:rFonts w:hint="eastAsia" w:ascii="宋体" w:hAnsi="宋体" w:eastAsia="宋体" w:cs="宋体"/>
          <w:sz w:val="24"/>
          <w:szCs w:val="24"/>
          <w:highlight w:val="none"/>
        </w:rPr>
        <w:t>元整）</w:t>
      </w:r>
      <w:r>
        <w:rPr>
          <w:rFonts w:hint="eastAsia" w:ascii="宋体" w:eastAsia="宋体" w:cs="宋体"/>
          <w:sz w:val="24"/>
          <w:szCs w:val="24"/>
          <w:highlight w:val="none"/>
          <w:lang w:eastAsia="zh-CN"/>
        </w:rPr>
        <w:t>。</w:t>
      </w:r>
    </w:p>
    <w:p w14:paraId="26027728">
      <w:pPr>
        <w:pStyle w:val="21"/>
        <w:spacing w:line="500" w:lineRule="exact"/>
        <w:ind w:firstLine="6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汇收款开户行及账户见下： </w:t>
      </w:r>
    </w:p>
    <w:p w14:paraId="2DCBA178">
      <w:pPr>
        <w:pStyle w:val="21"/>
        <w:spacing w:line="500" w:lineRule="exact"/>
        <w:ind w:left="596" w:leftChars="284" w:firstLine="0" w:firstLineChars="0"/>
        <w:rPr>
          <w:rFonts w:hint="eastAsia" w:ascii="宋体" w:hAnsi="宋体" w:eastAsia="宋体" w:cs="宋体"/>
          <w:sz w:val="24"/>
          <w:szCs w:val="24"/>
          <w:highlight w:val="none"/>
        </w:rPr>
      </w:pPr>
      <w:r>
        <w:rPr>
          <w:rFonts w:ascii="宋体" w:hAnsi="宋体" w:eastAsia="宋体" w:cs="宋体"/>
          <w:sz w:val="24"/>
          <w:szCs w:val="24"/>
          <w:highlight w:val="none"/>
        </w:rPr>
        <w:t>单位名称：中国重汽集团济南动力有限公司</w:t>
      </w:r>
      <w:r>
        <w:rPr>
          <w:rFonts w:ascii="宋体" w:hAnsi="宋体" w:eastAsia="宋体" w:cs="宋体"/>
          <w:sz w:val="24"/>
          <w:szCs w:val="24"/>
          <w:highlight w:val="none"/>
        </w:rPr>
        <w:br w:type="textWrapping"/>
      </w:r>
      <w:r>
        <w:rPr>
          <w:rFonts w:ascii="宋体" w:hAnsi="宋体" w:eastAsia="宋体" w:cs="宋体"/>
          <w:sz w:val="24"/>
          <w:szCs w:val="24"/>
          <w:highlight w:val="none"/>
        </w:rPr>
        <w:t>收款账号：37001616508050150300</w:t>
      </w:r>
      <w:r>
        <w:rPr>
          <w:rFonts w:ascii="宋体" w:hAnsi="宋体" w:eastAsia="宋体" w:cs="宋体"/>
          <w:sz w:val="24"/>
          <w:szCs w:val="24"/>
          <w:highlight w:val="none"/>
        </w:rPr>
        <w:br w:type="textWrapping"/>
      </w:r>
      <w:r>
        <w:rPr>
          <w:rFonts w:ascii="宋体" w:hAnsi="宋体" w:eastAsia="宋体" w:cs="宋体"/>
          <w:sz w:val="24"/>
          <w:szCs w:val="24"/>
          <w:highlight w:val="none"/>
        </w:rPr>
        <w:t>开户行名称：中国建设银行股份有限公司济南天桥支行</w:t>
      </w:r>
      <w:r>
        <w:rPr>
          <w:rFonts w:ascii="宋体" w:hAnsi="宋体" w:eastAsia="宋体" w:cs="宋体"/>
          <w:sz w:val="24"/>
          <w:szCs w:val="24"/>
          <w:highlight w:val="none"/>
        </w:rPr>
        <w:br w:type="textWrapping"/>
      </w:r>
      <w:r>
        <w:rPr>
          <w:rFonts w:ascii="宋体" w:hAnsi="宋体" w:eastAsia="宋体" w:cs="宋体"/>
          <w:sz w:val="24"/>
          <w:szCs w:val="24"/>
          <w:highlight w:val="none"/>
        </w:rPr>
        <w:t>开户行行号：105451000362</w:t>
      </w:r>
      <w:r>
        <w:rPr>
          <w:rFonts w:hint="eastAsia" w:ascii="宋体" w:hAnsi="宋体" w:eastAsia="宋体" w:cs="宋体"/>
          <w:sz w:val="24"/>
          <w:szCs w:val="24"/>
          <w:highlight w:val="yellow"/>
        </w:rPr>
        <w:br w:type="textWrapping"/>
      </w:r>
      <w:r>
        <w:rPr>
          <w:rFonts w:hint="eastAsia" w:eastAsia="宋体" w:cs="Times New Roman"/>
          <w:sz w:val="24"/>
          <w:szCs w:val="28"/>
          <w:highlight w:val="none"/>
        </w:rPr>
        <w:t>转账附言：公司名称+项目名称+投标保证金。</w:t>
      </w:r>
    </w:p>
    <w:p w14:paraId="1804A9E3">
      <w:pPr>
        <w:pStyle w:val="21"/>
        <w:spacing w:line="500" w:lineRule="exact"/>
        <w:ind w:firstLine="600"/>
        <w:rPr>
          <w:rFonts w:hint="eastAsia" w:ascii="宋体" w:hAnsi="宋体" w:eastAsia="宋体" w:cs="宋体"/>
          <w:sz w:val="24"/>
          <w:szCs w:val="24"/>
        </w:rPr>
      </w:pPr>
      <w:r>
        <w:rPr>
          <w:rFonts w:hint="eastAsia" w:ascii="宋体" w:hAnsi="宋体" w:eastAsia="宋体" w:cs="宋体"/>
          <w:sz w:val="24"/>
          <w:szCs w:val="24"/>
          <w:highlight w:val="none"/>
        </w:rPr>
        <w:t>中标单位的招标保证金在合同签订后的下一月返还到</w:t>
      </w:r>
      <w:r>
        <w:rPr>
          <w:rFonts w:hint="eastAsia" w:ascii="宋体" w:hAnsi="宋体" w:eastAsia="宋体" w:cs="宋体"/>
          <w:sz w:val="24"/>
          <w:szCs w:val="24"/>
        </w:rPr>
        <w:t>交纳账户；未中标单位的投标保证金在中标结果公布后的下一月返还到交纳账户；开标现场被判定为否决单位的，其投标保证金在开标之后的下一月返还到交纳账户。保证金均为无息返还。</w:t>
      </w:r>
    </w:p>
    <w:p w14:paraId="0726182A">
      <w:pPr>
        <w:pStyle w:val="21"/>
        <w:spacing w:line="500" w:lineRule="exact"/>
        <w:ind w:firstLine="600"/>
        <w:rPr>
          <w:rFonts w:hint="eastAsia" w:ascii="宋体" w:hAnsi="宋体" w:eastAsia="宋体" w:cs="宋体"/>
          <w:sz w:val="24"/>
          <w:szCs w:val="24"/>
        </w:rPr>
      </w:pPr>
      <w:r>
        <w:rPr>
          <w:rFonts w:hint="eastAsia" w:ascii="宋体" w:hAnsi="宋体" w:eastAsia="宋体" w:cs="宋体"/>
          <w:sz w:val="24"/>
          <w:szCs w:val="24"/>
        </w:rPr>
        <w:t>发生以下情况时，招标人有权没收投标保证金：</w:t>
      </w:r>
    </w:p>
    <w:p w14:paraId="60FB1DCB">
      <w:pPr>
        <w:pStyle w:val="21"/>
        <w:spacing w:line="500" w:lineRule="exact"/>
        <w:ind w:firstLine="600"/>
        <w:rPr>
          <w:rFonts w:hint="eastAsia" w:ascii="宋体" w:hAnsi="宋体" w:eastAsia="宋体" w:cs="宋体"/>
          <w:sz w:val="24"/>
          <w:szCs w:val="24"/>
        </w:rPr>
      </w:pPr>
      <w:r>
        <w:rPr>
          <w:rFonts w:hint="eastAsia" w:ascii="宋体" w:hAnsi="宋体" w:eastAsia="宋体" w:cs="宋体"/>
          <w:sz w:val="24"/>
          <w:szCs w:val="24"/>
        </w:rPr>
        <w:t>a）截至开标前 3 天，投标人无正当理由、未以书面形式向招标人递交说明而在投标截止日不来投标的；</w:t>
      </w:r>
    </w:p>
    <w:p w14:paraId="55EE8030">
      <w:pPr>
        <w:pStyle w:val="21"/>
        <w:spacing w:line="500" w:lineRule="exact"/>
        <w:ind w:firstLine="600"/>
        <w:rPr>
          <w:rFonts w:hint="eastAsia" w:ascii="宋体" w:hAnsi="宋体" w:eastAsia="宋体" w:cs="宋体"/>
          <w:sz w:val="24"/>
          <w:szCs w:val="24"/>
        </w:rPr>
      </w:pPr>
      <w:r>
        <w:rPr>
          <w:rFonts w:hint="eastAsia" w:ascii="宋体" w:hAnsi="宋体" w:eastAsia="宋体" w:cs="宋体"/>
          <w:sz w:val="24"/>
          <w:szCs w:val="24"/>
        </w:rPr>
        <w:t>b）投标人递送投标文件后，无正当理由放弃投标的；</w:t>
      </w:r>
    </w:p>
    <w:p w14:paraId="2DBB3ACD">
      <w:pPr>
        <w:pStyle w:val="21"/>
        <w:spacing w:line="500" w:lineRule="exact"/>
        <w:ind w:firstLine="600"/>
        <w:rPr>
          <w:rFonts w:hint="eastAsia" w:ascii="宋体" w:hAnsi="宋体" w:eastAsia="宋体" w:cs="宋体"/>
          <w:sz w:val="24"/>
          <w:szCs w:val="24"/>
        </w:rPr>
      </w:pPr>
      <w:r>
        <w:rPr>
          <w:rFonts w:hint="eastAsia" w:ascii="宋体" w:hAnsi="宋体" w:eastAsia="宋体" w:cs="宋体"/>
          <w:sz w:val="24"/>
          <w:szCs w:val="24"/>
        </w:rPr>
        <w:t>c）自中标通知书发出之日起 30 日内，中标人无正当理由不与招标人签订合同的；</w:t>
      </w:r>
    </w:p>
    <w:p w14:paraId="62FAC341">
      <w:pPr>
        <w:pStyle w:val="21"/>
        <w:spacing w:line="500" w:lineRule="exact"/>
        <w:ind w:firstLine="600"/>
        <w:rPr>
          <w:rFonts w:hint="eastAsia" w:ascii="宋体" w:hAnsi="宋体" w:eastAsia="宋体" w:cs="宋体"/>
          <w:sz w:val="24"/>
          <w:szCs w:val="24"/>
        </w:rPr>
      </w:pPr>
      <w:r>
        <w:rPr>
          <w:rFonts w:hint="eastAsia" w:ascii="宋体" w:hAnsi="宋体" w:eastAsia="宋体" w:cs="宋体"/>
          <w:sz w:val="24"/>
          <w:szCs w:val="24"/>
        </w:rPr>
        <w:t>d）投标人在投标过程中被查实有串标、围标、陪标等违法违纪行为的；</w:t>
      </w:r>
    </w:p>
    <w:p w14:paraId="5D65F357">
      <w:pPr>
        <w:pStyle w:val="21"/>
        <w:spacing w:line="500" w:lineRule="exact"/>
        <w:ind w:firstLine="600"/>
        <w:rPr>
          <w:rFonts w:hint="eastAsia" w:ascii="宋体" w:hAnsi="宋体" w:eastAsia="宋体" w:cs="宋体"/>
          <w:sz w:val="24"/>
          <w:szCs w:val="24"/>
        </w:rPr>
      </w:pPr>
      <w:r>
        <w:rPr>
          <w:rFonts w:hint="eastAsia" w:ascii="宋体" w:hAnsi="宋体" w:eastAsia="宋体" w:cs="宋体"/>
          <w:sz w:val="24"/>
          <w:szCs w:val="24"/>
        </w:rPr>
        <w:t>e）投标人有违约违规行为或被投诉、举报的，在调查处理期间，保证金暂不退还，待调查处理结束后按有关规定处理。</w:t>
      </w:r>
    </w:p>
    <w:p w14:paraId="0494D9B9">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sz w:val="24"/>
          <w:szCs w:val="24"/>
          <w:lang w:val="en-US" w:eastAsia="zh-CN"/>
        </w:rPr>
      </w:pPr>
    </w:p>
    <w:p w14:paraId="458B05C7">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rPr>
      </w:pPr>
      <w:r>
        <w:rPr>
          <w:rFonts w:hint="eastAsia" w:ascii="黑体" w:hAnsi="黑体" w:eastAsia="黑体" w:cs="黑体"/>
          <w:b/>
          <w:sz w:val="28"/>
          <w:szCs w:val="28"/>
          <w:lang w:val="en-US" w:eastAsia="zh-CN"/>
        </w:rPr>
        <w:t>七、</w:t>
      </w:r>
      <w:r>
        <w:rPr>
          <w:rFonts w:hint="eastAsia" w:ascii="黑体" w:hAnsi="黑体" w:eastAsia="黑体" w:cs="黑体"/>
          <w:b/>
          <w:sz w:val="28"/>
          <w:szCs w:val="28"/>
        </w:rPr>
        <w:t>评标</w:t>
      </w:r>
    </w:p>
    <w:p w14:paraId="4D87009A">
      <w:pPr>
        <w:pStyle w:val="19"/>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zh-CN"/>
        </w:rPr>
      </w:pPr>
      <w:r>
        <w:rPr>
          <w:rFonts w:hint="eastAsia" w:asciiTheme="minorEastAsia" w:hAnsiTheme="minorEastAsia" w:cstheme="minorEastAsia"/>
          <w:sz w:val="24"/>
          <w:szCs w:val="24"/>
          <w:lang w:val="en-US" w:eastAsia="zh-CN"/>
        </w:rPr>
        <w:t>1、评标原则：</w:t>
      </w:r>
      <w:r>
        <w:rPr>
          <w:rFonts w:hint="eastAsia" w:asciiTheme="minorEastAsia" w:hAnsiTheme="minorEastAsia" w:eastAsiaTheme="minorEastAsia" w:cstheme="minorEastAsia"/>
          <w:sz w:val="24"/>
          <w:szCs w:val="24"/>
          <w:lang w:val="zh-CN"/>
        </w:rPr>
        <w:t>招标人将坚持“公开、公平、公正”原则，严格按照国家法律法规及公司规章制度要求，设立专家评审小组进行招标评审。投标文件资料不完整、投标人对招标文件的实质性要求未做出全面响应、有迹象表明投标人串通投标、中标后无正当理由在规定的时间不签订合同的、</w:t>
      </w:r>
      <w:r>
        <w:rPr>
          <w:rFonts w:hint="eastAsia" w:asciiTheme="minorEastAsia" w:hAnsiTheme="minorEastAsia" w:eastAsiaTheme="minorEastAsia" w:cstheme="minorEastAsia"/>
          <w:sz w:val="24"/>
          <w:szCs w:val="24"/>
          <w:lang w:val="zh-CN" w:eastAsia="zh"/>
        </w:rPr>
        <w:t>未按要求</w:t>
      </w:r>
      <w:r>
        <w:rPr>
          <w:rFonts w:hint="eastAsia" w:asciiTheme="minorEastAsia" w:hAnsiTheme="minorEastAsia" w:eastAsiaTheme="minorEastAsia" w:cstheme="minorEastAsia"/>
          <w:sz w:val="24"/>
          <w:szCs w:val="24"/>
          <w:lang w:val="zh-CN"/>
        </w:rPr>
        <w:t>缴纳</w:t>
      </w:r>
      <w:r>
        <w:rPr>
          <w:rFonts w:hint="eastAsia" w:asciiTheme="minorEastAsia" w:hAnsiTheme="minorEastAsia" w:eastAsiaTheme="minorEastAsia" w:cstheme="minorEastAsia"/>
          <w:sz w:val="24"/>
          <w:szCs w:val="24"/>
          <w:lang w:val="zh-CN" w:eastAsia="zh"/>
        </w:rPr>
        <w:t>投标</w:t>
      </w:r>
      <w:r>
        <w:rPr>
          <w:rFonts w:hint="eastAsia" w:asciiTheme="minorEastAsia" w:hAnsiTheme="minorEastAsia" w:eastAsiaTheme="minorEastAsia" w:cstheme="minorEastAsia"/>
          <w:sz w:val="24"/>
          <w:szCs w:val="24"/>
          <w:lang w:val="zh-CN"/>
        </w:rPr>
        <w:t>保证金、投标人提供的投标文件弄虚作假及其它违反法律法规规定情形的，视为无效投标。</w:t>
      </w:r>
    </w:p>
    <w:p w14:paraId="55E4A2FF">
      <w:pPr>
        <w:spacing w:line="480" w:lineRule="exact"/>
        <w:ind w:firstLine="480" w:firstLineChars="200"/>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2、评标方法：</w:t>
      </w:r>
    </w:p>
    <w:p w14:paraId="116D751A">
      <w:pPr>
        <w:spacing w:line="480" w:lineRule="exact"/>
        <w:ind w:firstLine="480" w:firstLineChars="200"/>
        <w:rPr>
          <w:rFonts w:hint="eastAsia" w:asciiTheme="minorEastAsia" w:hAnsiTheme="minorEastAsia" w:eastAsiaTheme="minorEastAsia" w:cstheme="minorEastAsia"/>
          <w:kern w:val="2"/>
          <w:sz w:val="24"/>
          <w:szCs w:val="24"/>
          <w:lang w:val="zh-CN" w:eastAsia="zh-CN" w:bidi="ar-SA"/>
        </w:rPr>
      </w:pPr>
      <w:r>
        <w:rPr>
          <w:rFonts w:hint="eastAsia" w:asciiTheme="minorEastAsia" w:hAnsiTheme="minorEastAsia" w:eastAsiaTheme="minorEastAsia" w:cstheme="minorEastAsia"/>
          <w:kern w:val="2"/>
          <w:sz w:val="24"/>
          <w:szCs w:val="24"/>
          <w:lang w:val="zh-CN" w:eastAsia="zh-CN" w:bidi="ar-SA"/>
        </w:rPr>
        <w:t>（1）招标人邀请各投标方指派人员参加开标会议。投标方未参加开标的，视同</w:t>
      </w:r>
      <w:r>
        <w:rPr>
          <w:rFonts w:hint="eastAsia" w:asciiTheme="minorEastAsia" w:hAnsiTheme="minorEastAsia" w:eastAsiaTheme="minorEastAsia" w:cstheme="minorEastAsia"/>
          <w:kern w:val="2"/>
          <w:sz w:val="24"/>
          <w:szCs w:val="24"/>
          <w:lang w:val="zh-CN" w:eastAsia="zh" w:bidi="ar-SA"/>
        </w:rPr>
        <w:t>放弃。</w:t>
      </w:r>
    </w:p>
    <w:p w14:paraId="7BDC9553">
      <w:pPr>
        <w:numPr>
          <w:ilvl w:val="0"/>
          <w:numId w:val="5"/>
        </w:numPr>
        <w:spacing w:line="480" w:lineRule="exact"/>
        <w:ind w:firstLine="480" w:firstLineChars="200"/>
        <w:rPr>
          <w:rFonts w:hint="eastAsia" w:asciiTheme="minorEastAsia" w:hAnsiTheme="minorEastAsia" w:eastAsiaTheme="minorEastAsia" w:cstheme="minorEastAsia"/>
          <w:kern w:val="2"/>
          <w:sz w:val="24"/>
          <w:szCs w:val="24"/>
          <w:lang w:val="zh-CN" w:eastAsia="zh-CN" w:bidi="ar-SA"/>
        </w:rPr>
      </w:pPr>
      <w:r>
        <w:rPr>
          <w:rFonts w:hint="eastAsia" w:asciiTheme="minorEastAsia" w:hAnsiTheme="minorEastAsia" w:eastAsiaTheme="minorEastAsia" w:cstheme="minorEastAsia"/>
          <w:kern w:val="2"/>
          <w:sz w:val="24"/>
          <w:szCs w:val="24"/>
          <w:lang w:val="zh-CN" w:eastAsia="zh-CN" w:bidi="ar-SA"/>
        </w:rPr>
        <w:t>本次招标采用综合评标法，分为技术标和商务标两部分进行评审。其中，技术标满分 100 分，商务标满分 100 分</w:t>
      </w:r>
      <w:r>
        <w:rPr>
          <w:rFonts w:hint="eastAsia" w:asciiTheme="minorEastAsia" w:hAnsiTheme="minorEastAsia" w:eastAsiaTheme="minorEastAsia" w:cstheme="minorEastAsia"/>
          <w:kern w:val="2"/>
          <w:sz w:val="24"/>
          <w:szCs w:val="24"/>
          <w:lang w:val="zh-CN" w:eastAsia="zh" w:bidi="ar-SA"/>
        </w:rPr>
        <w:t>。</w:t>
      </w:r>
    </w:p>
    <w:p w14:paraId="6B494A72">
      <w:pPr>
        <w:numPr>
          <w:ilvl w:val="0"/>
          <w:numId w:val="5"/>
        </w:numPr>
        <w:spacing w:line="480" w:lineRule="exact"/>
        <w:ind w:firstLine="480" w:firstLineChars="200"/>
        <w:rPr>
          <w:rFonts w:hint="eastAsia" w:asciiTheme="minorEastAsia" w:hAnsiTheme="minorEastAsia" w:eastAsiaTheme="minorEastAsia" w:cstheme="minorEastAsia"/>
          <w:kern w:val="2"/>
          <w:sz w:val="24"/>
          <w:szCs w:val="24"/>
          <w:lang w:val="zh-CN" w:eastAsia="zh-CN" w:bidi="ar-SA"/>
        </w:rPr>
      </w:pPr>
      <w:r>
        <w:rPr>
          <w:rFonts w:hint="eastAsia" w:asciiTheme="minorEastAsia" w:hAnsiTheme="minorEastAsia" w:eastAsiaTheme="minorEastAsia" w:cstheme="minorEastAsia"/>
          <w:kern w:val="2"/>
          <w:sz w:val="24"/>
          <w:szCs w:val="24"/>
          <w:lang w:val="zh-CN" w:eastAsia="zh-CN" w:bidi="ar-SA"/>
        </w:rPr>
        <w:t xml:space="preserve">评标时，先进行技术标评审，讲标时间 </w:t>
      </w:r>
      <w:r>
        <w:rPr>
          <w:rFonts w:hint="eastAsia" w:asciiTheme="minorEastAsia" w:hAnsiTheme="minorEastAsia" w:cstheme="minorEastAsia"/>
          <w:kern w:val="2"/>
          <w:sz w:val="24"/>
          <w:szCs w:val="24"/>
          <w:lang w:val="en-US" w:eastAsia="zh-CN" w:bidi="ar-SA"/>
        </w:rPr>
        <w:t>20</w:t>
      </w:r>
      <w:r>
        <w:rPr>
          <w:rFonts w:hint="eastAsia" w:asciiTheme="minorEastAsia" w:hAnsiTheme="minorEastAsia" w:eastAsiaTheme="minorEastAsia" w:cstheme="minorEastAsia"/>
          <w:kern w:val="2"/>
          <w:sz w:val="24"/>
          <w:szCs w:val="24"/>
          <w:lang w:val="zh-CN" w:eastAsia="zh-CN" w:bidi="ar-SA"/>
        </w:rPr>
        <w:t>分钟，答疑时间 10 分钟。严重偏离招标人技术标准的直接淘汰。技术标得分大于或等于80分则入围商务标</w:t>
      </w:r>
      <w:r>
        <w:rPr>
          <w:rFonts w:hint="eastAsia" w:asciiTheme="minorEastAsia" w:hAnsiTheme="minorEastAsia" w:eastAsiaTheme="minorEastAsia" w:cstheme="minorEastAsia"/>
          <w:kern w:val="2"/>
          <w:sz w:val="24"/>
          <w:szCs w:val="24"/>
          <w:lang w:val="zh-CN" w:eastAsia="zh" w:bidi="ar-SA"/>
        </w:rPr>
        <w:t>。</w:t>
      </w:r>
    </w:p>
    <w:p w14:paraId="01950837">
      <w:pPr>
        <w:pStyle w:val="19"/>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kern w:val="2"/>
          <w:sz w:val="24"/>
          <w:szCs w:val="24"/>
          <w:lang w:val="zh-CN" w:eastAsia="zh-CN" w:bidi="ar-SA"/>
        </w:rPr>
      </w:pPr>
      <w:r>
        <w:rPr>
          <w:rFonts w:hint="eastAsia" w:asciiTheme="minorEastAsia" w:hAnsiTheme="minorEastAsia" w:eastAsiaTheme="minorEastAsia" w:cstheme="minorEastAsia"/>
          <w:b/>
          <w:bCs/>
          <w:kern w:val="2"/>
          <w:sz w:val="24"/>
          <w:szCs w:val="24"/>
          <w:lang w:val="zh-CN" w:eastAsia="zh-CN" w:bidi="ar-SA"/>
        </w:rPr>
        <w:t>技术标评分标准如下：</w:t>
      </w:r>
    </w:p>
    <w:tbl>
      <w:tblPr>
        <w:tblStyle w:val="1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1"/>
        <w:gridCol w:w="1466"/>
        <w:gridCol w:w="6180"/>
      </w:tblGrid>
      <w:tr w14:paraId="4134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3" w:hRule="atLeast"/>
          <w:jc w:val="center"/>
        </w:trPr>
        <w:tc>
          <w:tcPr>
            <w:tcW w:w="1421" w:type="dxa"/>
            <w:tcBorders>
              <w:top w:val="single" w:color="auto" w:sz="4" w:space="0"/>
              <w:left w:val="single" w:color="auto" w:sz="4" w:space="0"/>
              <w:bottom w:val="single" w:color="auto" w:sz="4" w:space="0"/>
              <w:right w:val="single" w:color="auto" w:sz="4" w:space="0"/>
            </w:tcBorders>
            <w:vAlign w:val="center"/>
          </w:tcPr>
          <w:p w14:paraId="06FA4E5F">
            <w:pPr>
              <w:pStyle w:val="8"/>
              <w:jc w:val="center"/>
              <w:rPr>
                <w:rFonts w:hAnsi="宋体"/>
                <w:b/>
                <w:bCs w:val="0"/>
                <w:sz w:val="20"/>
                <w:szCs w:val="28"/>
              </w:rPr>
            </w:pPr>
            <w:r>
              <w:rPr>
                <w:rFonts w:hint="eastAsia" w:hAnsi="宋体"/>
                <w:b/>
                <w:bCs w:val="0"/>
                <w:sz w:val="20"/>
                <w:szCs w:val="28"/>
              </w:rPr>
              <w:t>类别</w:t>
            </w:r>
          </w:p>
        </w:tc>
        <w:tc>
          <w:tcPr>
            <w:tcW w:w="1466" w:type="dxa"/>
            <w:tcBorders>
              <w:top w:val="single" w:color="auto" w:sz="4" w:space="0"/>
              <w:left w:val="single" w:color="auto" w:sz="4" w:space="0"/>
              <w:bottom w:val="single" w:color="auto" w:sz="4" w:space="0"/>
              <w:right w:val="single" w:color="auto" w:sz="4" w:space="0"/>
            </w:tcBorders>
            <w:vAlign w:val="center"/>
          </w:tcPr>
          <w:p w14:paraId="55A6FF49">
            <w:pPr>
              <w:pStyle w:val="8"/>
              <w:jc w:val="center"/>
              <w:rPr>
                <w:rFonts w:hAnsi="宋体"/>
                <w:b/>
                <w:bCs w:val="0"/>
                <w:sz w:val="20"/>
                <w:szCs w:val="28"/>
              </w:rPr>
            </w:pPr>
            <w:r>
              <w:rPr>
                <w:rFonts w:hint="eastAsia" w:hAnsi="宋体"/>
                <w:b/>
                <w:bCs w:val="0"/>
                <w:sz w:val="20"/>
                <w:szCs w:val="28"/>
              </w:rPr>
              <w:t>评分内容</w:t>
            </w:r>
          </w:p>
        </w:tc>
        <w:tc>
          <w:tcPr>
            <w:tcW w:w="6180" w:type="dxa"/>
            <w:tcBorders>
              <w:top w:val="single" w:color="auto" w:sz="4" w:space="0"/>
              <w:left w:val="single" w:color="auto" w:sz="4" w:space="0"/>
              <w:bottom w:val="single" w:color="auto" w:sz="4" w:space="0"/>
              <w:right w:val="single" w:color="auto" w:sz="4" w:space="0"/>
            </w:tcBorders>
            <w:vAlign w:val="center"/>
          </w:tcPr>
          <w:p w14:paraId="6DC76BEB">
            <w:pPr>
              <w:pStyle w:val="8"/>
              <w:jc w:val="center"/>
              <w:rPr>
                <w:rFonts w:hAnsi="宋体"/>
                <w:b/>
                <w:bCs w:val="0"/>
                <w:sz w:val="20"/>
                <w:szCs w:val="28"/>
              </w:rPr>
            </w:pPr>
            <w:r>
              <w:rPr>
                <w:rFonts w:hint="eastAsia" w:hAnsi="宋体"/>
                <w:b/>
                <w:bCs w:val="0"/>
                <w:sz w:val="20"/>
                <w:szCs w:val="28"/>
              </w:rPr>
              <w:t>评分标准</w:t>
            </w:r>
          </w:p>
        </w:tc>
      </w:tr>
      <w:tr w14:paraId="54CD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21" w:type="dxa"/>
            <w:vMerge w:val="restart"/>
            <w:tcBorders>
              <w:top w:val="single" w:color="auto" w:sz="4" w:space="0"/>
              <w:left w:val="single" w:color="auto" w:sz="4" w:space="0"/>
              <w:right w:val="single" w:color="auto" w:sz="4" w:space="0"/>
            </w:tcBorders>
            <w:vAlign w:val="center"/>
          </w:tcPr>
          <w:p w14:paraId="454D7A7B">
            <w:pPr>
              <w:pStyle w:val="8"/>
              <w:jc w:val="center"/>
              <w:rPr>
                <w:rFonts w:hAnsi="宋体"/>
                <w:b/>
                <w:bCs w:val="0"/>
                <w:sz w:val="20"/>
                <w:szCs w:val="28"/>
              </w:rPr>
            </w:pPr>
            <w:r>
              <w:rPr>
                <w:rFonts w:hint="eastAsia" w:hAnsi="宋体"/>
                <w:b/>
                <w:bCs w:val="0"/>
                <w:sz w:val="20"/>
                <w:szCs w:val="28"/>
              </w:rPr>
              <w:t>技术部分</w:t>
            </w:r>
          </w:p>
          <w:p w14:paraId="6AAA3079">
            <w:pPr>
              <w:pStyle w:val="8"/>
              <w:jc w:val="center"/>
              <w:rPr>
                <w:rFonts w:hAnsi="宋体"/>
                <w:b/>
                <w:bCs w:val="0"/>
                <w:sz w:val="20"/>
                <w:szCs w:val="28"/>
              </w:rPr>
            </w:pPr>
            <w:r>
              <w:rPr>
                <w:rFonts w:hint="eastAsia" w:hAnsi="宋体"/>
                <w:b/>
                <w:bCs w:val="0"/>
                <w:sz w:val="20"/>
                <w:szCs w:val="28"/>
              </w:rPr>
              <w:t>（</w:t>
            </w:r>
            <w:r>
              <w:rPr>
                <w:rFonts w:hint="eastAsia" w:hAnsi="宋体"/>
                <w:b/>
                <w:bCs w:val="0"/>
                <w:sz w:val="20"/>
                <w:szCs w:val="28"/>
                <w:lang w:val="en-US" w:eastAsia="zh-CN"/>
              </w:rPr>
              <w:t>100</w:t>
            </w:r>
            <w:r>
              <w:rPr>
                <w:rFonts w:hint="eastAsia" w:hAnsi="宋体"/>
                <w:b/>
                <w:bCs w:val="0"/>
                <w:sz w:val="20"/>
                <w:szCs w:val="28"/>
              </w:rPr>
              <w:t>分）</w:t>
            </w:r>
          </w:p>
        </w:tc>
        <w:tc>
          <w:tcPr>
            <w:tcW w:w="1466" w:type="dxa"/>
            <w:tcBorders>
              <w:top w:val="single" w:color="auto" w:sz="4" w:space="0"/>
              <w:left w:val="single" w:color="auto" w:sz="4" w:space="0"/>
              <w:bottom w:val="single" w:color="auto" w:sz="4" w:space="0"/>
              <w:right w:val="single" w:color="auto" w:sz="4" w:space="0"/>
            </w:tcBorders>
            <w:vAlign w:val="center"/>
          </w:tcPr>
          <w:p w14:paraId="54711451">
            <w:pPr>
              <w:pStyle w:val="8"/>
              <w:jc w:val="center"/>
              <w:rPr>
                <w:rFonts w:hAnsi="宋体"/>
                <w:b/>
                <w:bCs w:val="0"/>
                <w:sz w:val="20"/>
                <w:szCs w:val="28"/>
              </w:rPr>
            </w:pPr>
            <w:r>
              <w:rPr>
                <w:rFonts w:hint="eastAsia" w:hAnsi="宋体"/>
                <w:b/>
                <w:bCs w:val="0"/>
                <w:sz w:val="20"/>
                <w:szCs w:val="28"/>
                <w:lang w:val="en-US" w:eastAsia="zh-CN"/>
              </w:rPr>
              <w:t>技术</w:t>
            </w:r>
            <w:r>
              <w:rPr>
                <w:rFonts w:hint="eastAsia" w:hAnsi="宋体"/>
                <w:b/>
                <w:bCs w:val="0"/>
                <w:sz w:val="20"/>
                <w:szCs w:val="28"/>
              </w:rPr>
              <w:t>方案</w:t>
            </w:r>
          </w:p>
          <w:p w14:paraId="0DCAC800">
            <w:pPr>
              <w:pStyle w:val="8"/>
              <w:jc w:val="center"/>
              <w:rPr>
                <w:rFonts w:hAnsi="宋体"/>
                <w:b/>
                <w:bCs w:val="0"/>
                <w:sz w:val="20"/>
                <w:szCs w:val="28"/>
              </w:rPr>
            </w:pPr>
            <w:r>
              <w:rPr>
                <w:rFonts w:hint="eastAsia" w:hAnsi="宋体"/>
                <w:b/>
                <w:bCs w:val="0"/>
                <w:sz w:val="20"/>
                <w:szCs w:val="28"/>
              </w:rPr>
              <w:t>（</w:t>
            </w:r>
            <w:r>
              <w:rPr>
                <w:rFonts w:hint="eastAsia" w:hAnsi="宋体"/>
                <w:b/>
                <w:bCs w:val="0"/>
                <w:sz w:val="20"/>
                <w:szCs w:val="28"/>
                <w:lang w:val="en-US" w:eastAsia="zh-CN"/>
              </w:rPr>
              <w:t>70</w:t>
            </w:r>
            <w:r>
              <w:rPr>
                <w:rFonts w:hint="eastAsia" w:hAnsi="宋体"/>
                <w:b/>
                <w:bCs w:val="0"/>
                <w:sz w:val="20"/>
                <w:szCs w:val="28"/>
              </w:rPr>
              <w:t>分）</w:t>
            </w:r>
          </w:p>
        </w:tc>
        <w:tc>
          <w:tcPr>
            <w:tcW w:w="6180" w:type="dxa"/>
            <w:tcBorders>
              <w:top w:val="single" w:color="auto" w:sz="4" w:space="0"/>
              <w:left w:val="single" w:color="auto" w:sz="4" w:space="0"/>
              <w:bottom w:val="single" w:color="auto" w:sz="4" w:space="0"/>
              <w:right w:val="single" w:color="auto" w:sz="4" w:space="0"/>
            </w:tcBorders>
            <w:vAlign w:val="top"/>
          </w:tcPr>
          <w:p w14:paraId="3E11D5CB">
            <w:pPr>
              <w:pStyle w:val="2"/>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exact"/>
              <w:textAlignment w:val="auto"/>
              <w:outlineLvl w:val="1"/>
              <w:rPr>
                <w:rFonts w:hint="eastAsia" w:ascii="宋体" w:hAnsi="宋体" w:eastAsia="宋体" w:cs="宋体"/>
                <w:b/>
                <w:bCs/>
                <w:sz w:val="20"/>
                <w:szCs w:val="20"/>
              </w:rPr>
            </w:pPr>
            <w:r>
              <w:rPr>
                <w:rFonts w:hint="eastAsia" w:ascii="宋体" w:hAnsi="宋体" w:eastAsia="宋体" w:cs="宋体"/>
                <w:b/>
                <w:bCs/>
                <w:kern w:val="0"/>
                <w:sz w:val="20"/>
                <w:szCs w:val="20"/>
                <w:lang w:val="en-US" w:eastAsia="zh-CN" w:bidi="ar"/>
              </w:rPr>
              <w:t>一、</w:t>
            </w:r>
            <w:r>
              <w:rPr>
                <w:rFonts w:hint="eastAsia" w:ascii="宋体" w:hAnsi="宋体" w:eastAsia="宋体" w:cs="宋体"/>
                <w:b/>
                <w:bCs/>
                <w:sz w:val="20"/>
                <w:szCs w:val="20"/>
              </w:rPr>
              <w:t>系统全网监测采集能力（0-</w:t>
            </w:r>
            <w:r>
              <w:rPr>
                <w:rFonts w:hint="eastAsia" w:cs="宋体"/>
                <w:b/>
                <w:bCs/>
                <w:sz w:val="20"/>
                <w:szCs w:val="20"/>
                <w:lang w:val="en-US" w:eastAsia="zh-CN"/>
              </w:rPr>
              <w:t>20</w:t>
            </w:r>
            <w:r>
              <w:rPr>
                <w:rFonts w:hint="eastAsia" w:ascii="宋体" w:hAnsi="宋体" w:eastAsia="宋体" w:cs="宋体"/>
                <w:b/>
                <w:bCs/>
                <w:sz w:val="20"/>
                <w:szCs w:val="20"/>
              </w:rPr>
              <w:t>分）</w:t>
            </w:r>
          </w:p>
          <w:p w14:paraId="7569A840">
            <w:pPr>
              <w:pStyle w:val="2"/>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Autospacing="0" w:afterAutospacing="0" w:line="240" w:lineRule="exact"/>
              <w:textAlignment w:val="auto"/>
              <w:outlineLvl w:val="1"/>
              <w:rPr>
                <w:rFonts w:hint="eastAsia" w:ascii="宋体" w:hAnsi="宋体" w:eastAsia="宋体" w:cs="宋体"/>
                <w:b w:val="0"/>
                <w:bCs w:val="0"/>
                <w:sz w:val="20"/>
                <w:szCs w:val="20"/>
              </w:rPr>
            </w:pPr>
            <w:r>
              <w:rPr>
                <w:rFonts w:hint="eastAsia" w:ascii="宋体" w:hAnsi="宋体" w:eastAsia="宋体" w:cs="宋体"/>
                <w:b w:val="0"/>
                <w:bCs w:val="0"/>
                <w:sz w:val="20"/>
                <w:szCs w:val="20"/>
              </w:rPr>
              <w:t>系统支持</w:t>
            </w:r>
            <w:r>
              <w:rPr>
                <w:rStyle w:val="17"/>
                <w:rFonts w:hint="eastAsia" w:ascii="宋体" w:hAnsi="宋体" w:eastAsia="宋体" w:cs="宋体"/>
                <w:b w:val="0"/>
                <w:bCs w:val="0"/>
                <w:sz w:val="20"/>
                <w:szCs w:val="20"/>
              </w:rPr>
              <w:t>7×24 小时不间断实时采集</w:t>
            </w:r>
            <w:r>
              <w:rPr>
                <w:rFonts w:hint="eastAsia" w:ascii="宋体" w:hAnsi="宋体" w:eastAsia="宋体" w:cs="宋体"/>
                <w:b w:val="0"/>
                <w:bCs w:val="0"/>
                <w:sz w:val="20"/>
                <w:szCs w:val="20"/>
              </w:rPr>
              <w:t>，无人工启停干预；覆盖</w:t>
            </w:r>
            <w:r>
              <w:rPr>
                <w:rStyle w:val="17"/>
                <w:rFonts w:hint="eastAsia" w:ascii="宋体" w:hAnsi="宋体" w:eastAsia="宋体" w:cs="宋体"/>
                <w:b w:val="0"/>
                <w:bCs w:val="0"/>
                <w:sz w:val="20"/>
                <w:szCs w:val="20"/>
              </w:rPr>
              <w:t>客户端、微博、新闻网站、微信公众号 / 视频号、短视频平台、互动论坛、数字报刊</w:t>
            </w:r>
            <w:r>
              <w:rPr>
                <w:rFonts w:hint="eastAsia" w:ascii="宋体" w:hAnsi="宋体" w:eastAsia="宋体" w:cs="宋体"/>
                <w:b w:val="0"/>
                <w:bCs w:val="0"/>
                <w:sz w:val="20"/>
                <w:szCs w:val="20"/>
              </w:rPr>
              <w:t>7 大类信源。</w:t>
            </w:r>
          </w:p>
          <w:p w14:paraId="5868E2D7">
            <w:pPr>
              <w:pStyle w:val="2"/>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Autospacing="0" w:afterAutospacing="0" w:line="240" w:lineRule="exact"/>
              <w:textAlignment w:val="auto"/>
              <w:outlineLvl w:val="1"/>
              <w:rPr>
                <w:rFonts w:hint="eastAsia" w:ascii="宋体" w:hAnsi="宋体" w:eastAsia="宋体" w:cs="宋体"/>
                <w:b w:val="0"/>
                <w:bCs w:val="0"/>
                <w:sz w:val="20"/>
                <w:szCs w:val="20"/>
              </w:rPr>
            </w:pPr>
            <w:r>
              <w:rPr>
                <w:rFonts w:hint="eastAsia" w:ascii="宋体" w:hAnsi="宋体" w:eastAsia="宋体" w:cs="宋体"/>
                <w:b w:val="0"/>
                <w:bCs w:val="0"/>
                <w:sz w:val="20"/>
                <w:szCs w:val="20"/>
              </w:rPr>
              <w:t>支持基于自定义关键词，采集微博、行业论坛、贴吧、头条、腾讯系等平台</w:t>
            </w:r>
            <w:r>
              <w:rPr>
                <w:rStyle w:val="17"/>
                <w:rFonts w:hint="eastAsia" w:ascii="宋体" w:hAnsi="宋体" w:eastAsia="宋体" w:cs="宋体"/>
                <w:b w:val="0"/>
                <w:bCs w:val="0"/>
                <w:sz w:val="20"/>
                <w:szCs w:val="20"/>
              </w:rPr>
              <w:t>正文 + 评论全量数据</w:t>
            </w:r>
            <w:r>
              <w:rPr>
                <w:rFonts w:hint="eastAsia" w:ascii="宋体" w:hAnsi="宋体" w:eastAsia="宋体" w:cs="宋体"/>
                <w:b w:val="0"/>
                <w:bCs w:val="0"/>
                <w:sz w:val="20"/>
                <w:szCs w:val="20"/>
              </w:rPr>
              <w:t>，展示原文、对应评论、评论层级关系。</w:t>
            </w:r>
          </w:p>
          <w:p w14:paraId="324C9852">
            <w:pPr>
              <w:pStyle w:val="2"/>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exact"/>
              <w:textAlignment w:val="auto"/>
              <w:outlineLvl w:val="1"/>
              <w:rPr>
                <w:rFonts w:hint="eastAsia" w:ascii="宋体" w:hAnsi="宋体" w:eastAsia="宋体" w:cs="宋体"/>
                <w:b/>
                <w:bCs/>
                <w:sz w:val="20"/>
                <w:szCs w:val="20"/>
              </w:rPr>
            </w:pPr>
            <w:r>
              <w:rPr>
                <w:rStyle w:val="17"/>
                <w:rFonts w:hint="eastAsia" w:cs="宋体"/>
                <w:b w:val="0"/>
                <w:bCs w:val="0"/>
                <w:sz w:val="20"/>
                <w:szCs w:val="20"/>
                <w:lang w:val="en-US" w:eastAsia="zh-CN"/>
              </w:rPr>
              <w:t>3.</w:t>
            </w:r>
            <w:r>
              <w:rPr>
                <w:rStyle w:val="17"/>
                <w:rFonts w:hint="eastAsia" w:ascii="宋体" w:hAnsi="宋体" w:eastAsia="宋体" w:cs="宋体"/>
                <w:b w:val="0"/>
                <w:bCs w:val="0"/>
                <w:sz w:val="20"/>
                <w:szCs w:val="20"/>
              </w:rPr>
              <w:t>系统每小时最高采集能力≥100 万条</w:t>
            </w:r>
            <w:r>
              <w:rPr>
                <w:rFonts w:hint="eastAsia" w:ascii="宋体" w:hAnsi="宋体" w:eastAsia="宋体" w:cs="宋体"/>
                <w:b w:val="0"/>
                <w:bCs w:val="0"/>
                <w:sz w:val="20"/>
                <w:szCs w:val="20"/>
              </w:rPr>
              <w:t>。</w:t>
            </w:r>
          </w:p>
          <w:p w14:paraId="17973428">
            <w:pPr>
              <w:pStyle w:val="2"/>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240" w:lineRule="exact"/>
              <w:textAlignment w:val="auto"/>
              <w:outlineLvl w:val="1"/>
              <w:rPr>
                <w:rFonts w:hint="eastAsia" w:ascii="宋体" w:hAnsi="宋体" w:eastAsia="宋体" w:cs="宋体"/>
                <w:b/>
                <w:bCs/>
                <w:sz w:val="20"/>
                <w:szCs w:val="20"/>
              </w:rPr>
            </w:pPr>
            <w:r>
              <w:rPr>
                <w:rFonts w:hint="eastAsia" w:ascii="宋体" w:hAnsi="宋体" w:eastAsia="宋体" w:cs="宋体"/>
                <w:b/>
                <w:bCs/>
                <w:sz w:val="20"/>
                <w:szCs w:val="20"/>
                <w:lang w:val="en-US" w:eastAsia="zh-CN"/>
              </w:rPr>
              <w:t>二、</w:t>
            </w:r>
            <w:r>
              <w:rPr>
                <w:rFonts w:hint="eastAsia" w:ascii="宋体" w:hAnsi="宋体" w:eastAsia="宋体" w:cs="宋体"/>
                <w:b/>
                <w:bCs/>
                <w:sz w:val="20"/>
                <w:szCs w:val="20"/>
              </w:rPr>
              <w:t>数据检索及回溯能力、数据存档（0-1</w:t>
            </w:r>
            <w:r>
              <w:rPr>
                <w:rFonts w:hint="eastAsia" w:ascii="宋体" w:hAnsi="宋体" w:eastAsia="宋体" w:cs="宋体"/>
                <w:b/>
                <w:bCs/>
                <w:sz w:val="20"/>
                <w:szCs w:val="20"/>
                <w:lang w:val="en-US" w:eastAsia="zh-CN"/>
              </w:rPr>
              <w:t>5</w:t>
            </w:r>
            <w:r>
              <w:rPr>
                <w:rFonts w:hint="eastAsia" w:ascii="宋体" w:hAnsi="宋体" w:eastAsia="宋体" w:cs="宋体"/>
                <w:b/>
                <w:bCs/>
                <w:sz w:val="20"/>
                <w:szCs w:val="20"/>
              </w:rPr>
              <w:t xml:space="preserve"> 分）</w:t>
            </w:r>
          </w:p>
          <w:p w14:paraId="349058EA">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1.</w:t>
            </w:r>
            <w:r>
              <w:rPr>
                <w:rFonts w:hint="eastAsia" w:ascii="宋体" w:hAnsi="宋体" w:eastAsia="宋体" w:cs="宋体"/>
                <w:b w:val="0"/>
                <w:bCs w:val="0"/>
                <w:sz w:val="20"/>
                <w:szCs w:val="20"/>
              </w:rPr>
              <w:t>支持全文检索，</w:t>
            </w:r>
            <w:r>
              <w:rPr>
                <w:rFonts w:hint="eastAsia" w:ascii="宋体" w:hAnsi="宋体" w:eastAsia="宋体" w:cs="宋体"/>
                <w:b w:val="0"/>
                <w:bCs w:val="0"/>
                <w:sz w:val="20"/>
                <w:szCs w:val="20"/>
                <w:lang w:val="en-US" w:eastAsia="zh-CN"/>
              </w:rPr>
              <w:t>包括文字、图片、视频等</w:t>
            </w:r>
            <w:r>
              <w:rPr>
                <w:rFonts w:hint="eastAsia" w:ascii="宋体" w:hAnsi="宋体" w:eastAsia="宋体" w:cs="宋体"/>
                <w:b w:val="0"/>
                <w:bCs w:val="0"/>
                <w:kern w:val="2"/>
                <w:sz w:val="20"/>
                <w:szCs w:val="20"/>
                <w:lang w:val="en-US" w:eastAsia="zh-CN" w:bidi="ar-SA"/>
              </w:rPr>
              <w:t>跨模态检索，</w:t>
            </w:r>
            <w:r>
              <w:rPr>
                <w:rFonts w:hint="eastAsia" w:ascii="宋体" w:hAnsi="宋体" w:eastAsia="宋体" w:cs="宋体"/>
                <w:b w:val="0"/>
                <w:bCs w:val="0"/>
                <w:sz w:val="20"/>
                <w:szCs w:val="20"/>
              </w:rPr>
              <w:t>可按关键词、时间、情感、信源、地域、事件标签等多条件组合检索。</w:t>
            </w:r>
          </w:p>
          <w:p w14:paraId="7A158BF4">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2.</w:t>
            </w:r>
            <w:r>
              <w:rPr>
                <w:rFonts w:hint="eastAsia" w:ascii="宋体" w:hAnsi="宋体" w:eastAsia="宋体" w:cs="宋体"/>
                <w:b w:val="0"/>
                <w:bCs w:val="0"/>
                <w:sz w:val="20"/>
                <w:szCs w:val="20"/>
              </w:rPr>
              <w:t>历史舆情数据支持长期存档、随时回溯查询；可回溯存档时长</w:t>
            </w:r>
            <w:r>
              <w:rPr>
                <w:rFonts w:hint="eastAsia" w:cs="宋体"/>
                <w:b w:val="0"/>
                <w:bCs w:val="0"/>
                <w:sz w:val="20"/>
                <w:szCs w:val="20"/>
                <w:lang w:val="en-US" w:eastAsia="zh-CN"/>
              </w:rPr>
              <w:t>大于3年</w:t>
            </w:r>
            <w:r>
              <w:rPr>
                <w:rFonts w:hint="eastAsia" w:ascii="宋体" w:hAnsi="宋体" w:eastAsia="宋体" w:cs="宋体"/>
                <w:b w:val="0"/>
                <w:bCs w:val="0"/>
                <w:sz w:val="20"/>
                <w:szCs w:val="20"/>
              </w:rPr>
              <w:t>。</w:t>
            </w:r>
          </w:p>
          <w:p w14:paraId="7192ABC8">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eastAsia="宋体" w:cs="宋体"/>
                <w:b/>
                <w:bCs/>
                <w:sz w:val="20"/>
                <w:szCs w:val="20"/>
              </w:rPr>
            </w:pPr>
            <w:r>
              <w:rPr>
                <w:rFonts w:hint="eastAsia" w:ascii="宋体" w:hAnsi="宋体" w:eastAsia="宋体" w:cs="宋体"/>
                <w:b/>
                <w:bCs/>
                <w:sz w:val="20"/>
                <w:szCs w:val="20"/>
                <w:lang w:val="en-US" w:eastAsia="zh-CN"/>
              </w:rPr>
              <w:t>三、</w:t>
            </w:r>
            <w:r>
              <w:rPr>
                <w:rFonts w:hint="eastAsia" w:ascii="宋体" w:hAnsi="宋体" w:eastAsia="宋体" w:cs="宋体"/>
                <w:b/>
                <w:bCs/>
                <w:sz w:val="20"/>
                <w:szCs w:val="20"/>
              </w:rPr>
              <w:t>报告、专题管理、历史数据与数据导出（0-1</w:t>
            </w:r>
            <w:r>
              <w:rPr>
                <w:rFonts w:hint="eastAsia" w:ascii="宋体" w:hAnsi="宋体" w:eastAsia="宋体" w:cs="宋体"/>
                <w:b/>
                <w:bCs/>
                <w:sz w:val="20"/>
                <w:szCs w:val="20"/>
                <w:lang w:val="en-US" w:eastAsia="zh-CN"/>
              </w:rPr>
              <w:t>5</w:t>
            </w:r>
            <w:r>
              <w:rPr>
                <w:rFonts w:hint="eastAsia" w:ascii="宋体" w:hAnsi="宋体" w:eastAsia="宋体" w:cs="宋体"/>
                <w:b/>
                <w:bCs/>
                <w:sz w:val="20"/>
                <w:szCs w:val="20"/>
              </w:rPr>
              <w:t xml:space="preserve"> 分）</w:t>
            </w:r>
          </w:p>
          <w:p w14:paraId="580C36DF">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exac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1.</w:t>
            </w:r>
            <w:r>
              <w:rPr>
                <w:rFonts w:hint="eastAsia" w:ascii="宋体" w:hAnsi="宋体" w:eastAsia="宋体" w:cs="宋体"/>
                <w:b w:val="0"/>
                <w:bCs w:val="0"/>
                <w:sz w:val="20"/>
                <w:szCs w:val="20"/>
              </w:rPr>
              <w:t>支持专题管理：可针对专项事件（如车辆质量投诉、售后纠纷、车展舆情等）创建独立舆情专题。</w:t>
            </w:r>
          </w:p>
          <w:p w14:paraId="4F315D1D">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exac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2.</w:t>
            </w:r>
            <w:r>
              <w:rPr>
                <w:rFonts w:hint="eastAsia" w:ascii="宋体" w:hAnsi="宋体" w:eastAsia="宋体" w:cs="宋体"/>
                <w:b w:val="0"/>
                <w:bCs w:val="0"/>
                <w:sz w:val="20"/>
                <w:szCs w:val="20"/>
              </w:rPr>
              <w:t>支持多类型舆情报告自动生成（简报、事件专报、日报周报</w:t>
            </w:r>
            <w:r>
              <w:rPr>
                <w:rFonts w:hint="eastAsia" w:ascii="宋体" w:hAnsi="宋体" w:eastAsia="宋体" w:cs="宋体"/>
                <w:b w:val="0"/>
                <w:bCs w:val="0"/>
                <w:sz w:val="20"/>
                <w:szCs w:val="20"/>
                <w:lang w:val="en-US" w:eastAsia="zh-CN"/>
              </w:rPr>
              <w:t>月报</w:t>
            </w:r>
            <w:r>
              <w:rPr>
                <w:rFonts w:hint="eastAsia" w:ascii="宋体" w:hAnsi="宋体" w:eastAsia="宋体" w:cs="宋体"/>
                <w:b w:val="0"/>
                <w:bCs w:val="0"/>
                <w:sz w:val="20"/>
                <w:szCs w:val="20"/>
              </w:rPr>
              <w:t>）。</w:t>
            </w:r>
          </w:p>
          <w:p w14:paraId="6D9A75D1">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exac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3.</w:t>
            </w:r>
            <w:r>
              <w:rPr>
                <w:rFonts w:hint="eastAsia" w:ascii="宋体" w:hAnsi="宋体" w:eastAsia="宋体" w:cs="宋体"/>
                <w:b w:val="0"/>
                <w:bCs w:val="0"/>
                <w:sz w:val="20"/>
                <w:szCs w:val="20"/>
              </w:rPr>
              <w:t>监测信息支持</w:t>
            </w:r>
            <w:r>
              <w:rPr>
                <w:rStyle w:val="17"/>
                <w:rFonts w:hint="eastAsia" w:ascii="宋体" w:hAnsi="宋体" w:eastAsia="宋体" w:cs="宋体"/>
                <w:b w:val="0"/>
                <w:bCs w:val="0"/>
                <w:sz w:val="20"/>
                <w:szCs w:val="20"/>
              </w:rPr>
              <w:t>实时导出</w:t>
            </w:r>
            <w:r>
              <w:rPr>
                <w:rFonts w:hint="eastAsia" w:ascii="宋体" w:hAnsi="宋体" w:eastAsia="宋体" w:cs="宋体"/>
                <w:b w:val="0"/>
                <w:bCs w:val="0"/>
                <w:sz w:val="20"/>
                <w:szCs w:val="20"/>
              </w:rPr>
              <w:t>，导出字段不少于：标题、正文内容、评论内容、原文链接、来源站点、发布时间、媒体类型、发布作者、信息情感属性、内容摘要、信源地域、精准地域、行业标签。</w:t>
            </w:r>
          </w:p>
          <w:p w14:paraId="59F06FD1">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bCs/>
                <w:sz w:val="20"/>
                <w:szCs w:val="20"/>
              </w:rPr>
            </w:pPr>
            <w:r>
              <w:rPr>
                <w:rFonts w:hint="eastAsia" w:ascii="宋体" w:hAnsi="宋体" w:eastAsia="宋体" w:cs="宋体"/>
                <w:b/>
                <w:bCs/>
                <w:sz w:val="20"/>
                <w:szCs w:val="20"/>
                <w:lang w:val="en-US" w:eastAsia="zh-CN"/>
              </w:rPr>
              <w:t>四</w:t>
            </w:r>
            <w:r>
              <w:rPr>
                <w:rFonts w:hint="eastAsia" w:ascii="宋体" w:hAnsi="宋体" w:eastAsia="宋体" w:cs="宋体"/>
                <w:b/>
                <w:bCs/>
                <w:sz w:val="20"/>
                <w:szCs w:val="20"/>
              </w:rPr>
              <w:t>、预警体系、分级预警、多渠道推送（0-</w:t>
            </w:r>
            <w:r>
              <w:rPr>
                <w:rFonts w:hint="eastAsia" w:ascii="宋体" w:hAnsi="宋体" w:eastAsia="宋体" w:cs="宋体"/>
                <w:b/>
                <w:bCs/>
                <w:sz w:val="20"/>
                <w:szCs w:val="20"/>
                <w:lang w:val="en-US" w:eastAsia="zh-CN"/>
              </w:rPr>
              <w:t>10</w:t>
            </w:r>
            <w:r>
              <w:rPr>
                <w:rFonts w:hint="eastAsia" w:ascii="宋体" w:hAnsi="宋体" w:eastAsia="宋体" w:cs="宋体"/>
                <w:b/>
                <w:bCs/>
                <w:sz w:val="20"/>
                <w:szCs w:val="20"/>
              </w:rPr>
              <w:t xml:space="preserve"> 分）</w:t>
            </w:r>
          </w:p>
          <w:p w14:paraId="0D7EC2BF">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1.</w:t>
            </w:r>
            <w:r>
              <w:rPr>
                <w:rFonts w:hint="eastAsia" w:ascii="宋体" w:hAnsi="宋体" w:eastAsia="宋体" w:cs="宋体"/>
                <w:b w:val="0"/>
                <w:bCs w:val="0"/>
                <w:sz w:val="20"/>
                <w:szCs w:val="20"/>
              </w:rPr>
              <w:t>一键溯源：可针对平台信息实现一键溯源，分析并展示首发信息、媒体参与情况、传播路径等统计分析内容。</w:t>
            </w:r>
          </w:p>
          <w:p w14:paraId="7E67332B">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bCs/>
                <w:sz w:val="20"/>
                <w:szCs w:val="20"/>
              </w:rPr>
            </w:pPr>
            <w:r>
              <w:rPr>
                <w:rFonts w:hint="eastAsia" w:ascii="宋体" w:hAnsi="宋体" w:eastAsia="宋体" w:cs="宋体"/>
                <w:b w:val="0"/>
                <w:bCs w:val="0"/>
                <w:sz w:val="20"/>
                <w:szCs w:val="20"/>
                <w:lang w:val="en-US" w:eastAsia="zh-CN"/>
              </w:rPr>
              <w:t>2.</w:t>
            </w:r>
            <w:r>
              <w:rPr>
                <w:rFonts w:hint="eastAsia" w:ascii="宋体" w:hAnsi="宋体" w:eastAsia="宋体" w:cs="宋体"/>
                <w:b w:val="0"/>
                <w:bCs w:val="0"/>
                <w:sz w:val="20"/>
                <w:szCs w:val="20"/>
              </w:rPr>
              <w:t>舆情预警：支持舆情预警，具备</w:t>
            </w:r>
            <w:r>
              <w:rPr>
                <w:rFonts w:hint="eastAsia" w:ascii="宋体" w:hAnsi="宋体" w:eastAsia="宋体" w:cs="宋体"/>
                <w:b w:val="0"/>
                <w:bCs w:val="0"/>
                <w:sz w:val="20"/>
                <w:szCs w:val="20"/>
                <w:lang w:val="en-US" w:eastAsia="zh-CN"/>
              </w:rPr>
              <w:t>多种</w:t>
            </w:r>
            <w:r>
              <w:rPr>
                <w:rFonts w:hint="eastAsia" w:ascii="宋体" w:hAnsi="宋体" w:eastAsia="宋体" w:cs="宋体"/>
                <w:b w:val="0"/>
                <w:bCs w:val="0"/>
                <w:sz w:val="20"/>
                <w:szCs w:val="20"/>
              </w:rPr>
              <w:t>预警推送渠道，监测到目标舆情后，预警推送延迟≤5分钟</w:t>
            </w:r>
          </w:p>
          <w:p w14:paraId="0CD58867">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bCs/>
                <w:sz w:val="20"/>
                <w:szCs w:val="20"/>
              </w:rPr>
            </w:pPr>
            <w:r>
              <w:rPr>
                <w:rFonts w:hint="eastAsia" w:ascii="宋体" w:hAnsi="宋体" w:eastAsia="宋体" w:cs="宋体"/>
                <w:b/>
                <w:bCs/>
                <w:sz w:val="20"/>
                <w:szCs w:val="20"/>
                <w:lang w:val="en-US" w:eastAsia="zh-CN"/>
              </w:rPr>
              <w:t>五、</w:t>
            </w:r>
            <w:r>
              <w:rPr>
                <w:rFonts w:hint="eastAsia" w:ascii="宋体" w:hAnsi="宋体" w:eastAsia="宋体" w:cs="宋体"/>
                <w:b/>
                <w:bCs/>
                <w:sz w:val="20"/>
                <w:szCs w:val="20"/>
              </w:rPr>
              <w:t>AI研判、事件聚类、溯源分析能力（0-10 分）</w:t>
            </w:r>
          </w:p>
          <w:p w14:paraId="3D628A41">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1.</w:t>
            </w:r>
            <w:r>
              <w:rPr>
                <w:rFonts w:hint="eastAsia" w:ascii="宋体" w:hAnsi="宋体" w:eastAsia="宋体" w:cs="宋体"/>
                <w:b w:val="0"/>
                <w:bCs w:val="0"/>
                <w:sz w:val="20"/>
                <w:szCs w:val="20"/>
              </w:rPr>
              <w:t>内置AI内容识别模型，可自动识别内容风险违规点，自动生成违规研判理由，支持一键纳入举报中心，实现研判、举报一站式操作。</w:t>
            </w:r>
          </w:p>
          <w:p w14:paraId="521809F5">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2.</w:t>
            </w:r>
            <w:r>
              <w:rPr>
                <w:rFonts w:hint="eastAsia" w:ascii="宋体" w:hAnsi="宋体" w:eastAsia="宋体" w:cs="宋体"/>
                <w:b w:val="0"/>
                <w:bCs w:val="0"/>
                <w:sz w:val="20"/>
                <w:szCs w:val="20"/>
              </w:rPr>
              <w:t>AI自动情感判定，自动区分正面、中性、负面舆情，自动识别维权、质量投诉、售后纠纷等商用车行业类负面类型标签。</w:t>
            </w:r>
          </w:p>
          <w:p w14:paraId="470D5A78">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eastAsia" w:ascii="宋体" w:hAnsi="宋体" w:eastAsia="宋体" w:cs="宋体"/>
                <w:sz w:val="24"/>
                <w:szCs w:val="24"/>
              </w:rPr>
            </w:pPr>
            <w:r>
              <w:rPr>
                <w:rFonts w:hint="eastAsia" w:ascii="宋体" w:hAnsi="宋体" w:eastAsia="宋体" w:cs="宋体"/>
                <w:b w:val="0"/>
                <w:bCs w:val="0"/>
                <w:sz w:val="20"/>
                <w:szCs w:val="20"/>
                <w:lang w:val="en-US" w:eastAsia="zh-CN"/>
              </w:rPr>
              <w:t>3.</w:t>
            </w:r>
            <w:r>
              <w:rPr>
                <w:rFonts w:hint="eastAsia" w:ascii="宋体" w:hAnsi="宋体" w:eastAsia="宋体" w:cs="宋体"/>
                <w:b w:val="0"/>
                <w:bCs w:val="0"/>
                <w:sz w:val="20"/>
                <w:szCs w:val="20"/>
              </w:rPr>
              <w:t>AI数据检索：快速实时呈现所需相关数据，并对数据进行多维度整理</w:t>
            </w:r>
            <w:r>
              <w:rPr>
                <w:rFonts w:hint="eastAsia" w:ascii="宋体" w:hAnsi="宋体" w:eastAsia="宋体" w:cs="宋体"/>
                <w:b w:val="0"/>
                <w:bCs w:val="0"/>
                <w:sz w:val="20"/>
                <w:szCs w:val="20"/>
                <w:lang w:eastAsia="zh-CN"/>
              </w:rPr>
              <w:t>，</w:t>
            </w:r>
            <w:r>
              <w:rPr>
                <w:rFonts w:hint="eastAsia" w:ascii="宋体" w:hAnsi="宋体" w:eastAsia="宋体" w:cs="宋体"/>
                <w:b w:val="0"/>
                <w:bCs w:val="0"/>
                <w:sz w:val="20"/>
                <w:szCs w:val="20"/>
              </w:rPr>
              <w:t>快速创建任务方案</w:t>
            </w:r>
            <w:r>
              <w:rPr>
                <w:rFonts w:hint="eastAsia" w:ascii="宋体" w:hAnsi="宋体" w:eastAsia="宋体" w:cs="宋体"/>
                <w:b w:val="0"/>
                <w:bCs w:val="0"/>
                <w:sz w:val="20"/>
                <w:szCs w:val="20"/>
                <w:lang w:eastAsia="zh-CN"/>
              </w:rPr>
              <w:t>。</w:t>
            </w:r>
          </w:p>
        </w:tc>
      </w:tr>
      <w:tr w14:paraId="0AA7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21" w:type="dxa"/>
            <w:vMerge w:val="continue"/>
            <w:tcBorders>
              <w:left w:val="single" w:color="auto" w:sz="4" w:space="0"/>
              <w:right w:val="single" w:color="auto" w:sz="4" w:space="0"/>
            </w:tcBorders>
          </w:tcPr>
          <w:p w14:paraId="1A919FDB">
            <w:pPr>
              <w:pStyle w:val="8"/>
              <w:jc w:val="center"/>
              <w:rPr>
                <w:rFonts w:hAnsi="宋体"/>
                <w:bCs/>
                <w:sz w:val="20"/>
                <w:szCs w:val="28"/>
              </w:rPr>
            </w:pPr>
          </w:p>
        </w:tc>
        <w:tc>
          <w:tcPr>
            <w:tcW w:w="1466" w:type="dxa"/>
            <w:tcBorders>
              <w:top w:val="single" w:color="auto" w:sz="4" w:space="0"/>
              <w:left w:val="single" w:color="auto" w:sz="4" w:space="0"/>
              <w:bottom w:val="single" w:color="auto" w:sz="4" w:space="0"/>
              <w:right w:val="single" w:color="auto" w:sz="4" w:space="0"/>
            </w:tcBorders>
            <w:vAlign w:val="center"/>
          </w:tcPr>
          <w:p w14:paraId="75EC67A4">
            <w:pPr>
              <w:pStyle w:val="8"/>
              <w:jc w:val="center"/>
              <w:rPr>
                <w:rFonts w:hAnsi="宋体"/>
                <w:b/>
                <w:bCs w:val="0"/>
                <w:sz w:val="20"/>
                <w:szCs w:val="28"/>
              </w:rPr>
            </w:pPr>
            <w:r>
              <w:rPr>
                <w:rFonts w:hint="eastAsia" w:hAnsi="宋体"/>
                <w:b/>
                <w:bCs w:val="0"/>
                <w:sz w:val="20"/>
                <w:szCs w:val="28"/>
              </w:rPr>
              <w:t>履约能力</w:t>
            </w:r>
          </w:p>
          <w:p w14:paraId="0FD51190">
            <w:pPr>
              <w:pStyle w:val="8"/>
              <w:jc w:val="center"/>
              <w:rPr>
                <w:rFonts w:hAnsi="宋体"/>
                <w:bCs/>
                <w:sz w:val="20"/>
                <w:szCs w:val="28"/>
              </w:rPr>
            </w:pPr>
            <w:r>
              <w:rPr>
                <w:rFonts w:hint="eastAsia" w:hAnsi="宋体"/>
                <w:b/>
                <w:bCs w:val="0"/>
                <w:sz w:val="20"/>
                <w:szCs w:val="28"/>
              </w:rPr>
              <w:t>（</w:t>
            </w:r>
            <w:r>
              <w:rPr>
                <w:rFonts w:hint="eastAsia" w:hAnsi="宋体"/>
                <w:b/>
                <w:bCs w:val="0"/>
                <w:sz w:val="20"/>
                <w:szCs w:val="28"/>
                <w:lang w:val="en-US" w:eastAsia="zh-CN"/>
              </w:rPr>
              <w:t>30</w:t>
            </w:r>
            <w:r>
              <w:rPr>
                <w:rFonts w:hint="eastAsia" w:hAnsi="宋体"/>
                <w:b/>
                <w:bCs w:val="0"/>
                <w:sz w:val="20"/>
                <w:szCs w:val="28"/>
              </w:rPr>
              <w:t>分）</w:t>
            </w:r>
          </w:p>
        </w:tc>
        <w:tc>
          <w:tcPr>
            <w:tcW w:w="6180" w:type="dxa"/>
            <w:tcBorders>
              <w:top w:val="single" w:color="auto" w:sz="4" w:space="0"/>
              <w:left w:val="single" w:color="auto" w:sz="4" w:space="0"/>
              <w:bottom w:val="single" w:color="auto" w:sz="4" w:space="0"/>
              <w:right w:val="single" w:color="auto" w:sz="4" w:space="0"/>
            </w:tcBorders>
          </w:tcPr>
          <w:p w14:paraId="278C0EDB">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bCs/>
                <w:sz w:val="20"/>
                <w:szCs w:val="20"/>
              </w:rPr>
            </w:pPr>
            <w:r>
              <w:rPr>
                <w:rFonts w:hint="eastAsia" w:ascii="宋体" w:hAnsi="宋体" w:eastAsia="宋体" w:cs="宋体"/>
                <w:b/>
                <w:bCs/>
                <w:sz w:val="20"/>
                <w:szCs w:val="20"/>
                <w:lang w:val="en-US" w:eastAsia="zh-CN"/>
              </w:rPr>
              <w:t>1.同类项目业绩与团队实操经验（0-10分）</w:t>
            </w:r>
          </w:p>
          <w:p w14:paraId="6D969116">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投标人需具备汽车制造、重工制造、大型国企相关舆情监测、舆情运维同类项目业绩，同时配套展示核心服务团队行业从业经验、项目实操落地能力，依据业绩质量、数量、匹配度综合打分。</w:t>
            </w:r>
          </w:p>
          <w:p w14:paraId="636CB755">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bCs/>
                <w:sz w:val="20"/>
                <w:szCs w:val="20"/>
              </w:rPr>
            </w:pPr>
            <w:r>
              <w:rPr>
                <w:rFonts w:hint="eastAsia" w:ascii="宋体" w:hAnsi="宋体" w:eastAsia="宋体" w:cs="宋体"/>
                <w:b/>
                <w:bCs/>
                <w:sz w:val="20"/>
                <w:szCs w:val="20"/>
                <w:lang w:val="en-US" w:eastAsia="zh-CN"/>
              </w:rPr>
              <w:t>2.</w:t>
            </w:r>
            <w:r>
              <w:rPr>
                <w:rFonts w:hint="eastAsia" w:ascii="宋体" w:hAnsi="宋体" w:eastAsia="宋体" w:cs="宋体"/>
                <w:b/>
                <w:bCs/>
                <w:sz w:val="20"/>
                <w:szCs w:val="20"/>
              </w:rPr>
              <w:t>专属项目服务团队配置（0-10分）</w:t>
            </w:r>
          </w:p>
          <w:p w14:paraId="676013A4">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val="0"/>
                <w:bCs w:val="0"/>
                <w:sz w:val="20"/>
                <w:szCs w:val="20"/>
                <w:lang w:val="en-US" w:eastAsia="zh-CN"/>
              </w:rPr>
            </w:pPr>
            <w:r>
              <w:rPr>
                <w:rFonts w:hint="eastAsia" w:ascii="宋体" w:hAnsi="宋体" w:eastAsia="宋体" w:cs="宋体"/>
                <w:b w:val="0"/>
                <w:bCs w:val="0"/>
                <w:sz w:val="20"/>
                <w:szCs w:val="20"/>
                <w:lang w:val="en-US" w:eastAsia="zh-CN"/>
              </w:rPr>
              <w:t>投标人需为本项目配置专属、固定服务团队，明确项目负责人、技术运维、舆情值守、售后保障等岗位配置，依据团队架构、人员资质、值守服务能力综合打分。</w:t>
            </w:r>
          </w:p>
          <w:p w14:paraId="684A6EBC">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exact"/>
              <w:jc w:val="left"/>
              <w:textAlignment w:val="auto"/>
              <w:rPr>
                <w:rFonts w:hint="eastAsia" w:ascii="宋体" w:hAnsi="宋体" w:eastAsia="宋体" w:cs="宋体"/>
                <w:b/>
                <w:bCs/>
                <w:sz w:val="20"/>
                <w:szCs w:val="20"/>
              </w:rPr>
            </w:pPr>
            <w:r>
              <w:rPr>
                <w:rFonts w:hint="eastAsia" w:ascii="宋体" w:hAnsi="宋体" w:eastAsia="宋体" w:cs="宋体"/>
                <w:b/>
                <w:bCs/>
                <w:sz w:val="20"/>
                <w:szCs w:val="20"/>
                <w:lang w:val="en-US" w:eastAsia="zh-CN"/>
              </w:rPr>
              <w:t>3.</w:t>
            </w:r>
            <w:r>
              <w:rPr>
                <w:rFonts w:hint="eastAsia" w:ascii="宋体" w:hAnsi="宋体" w:eastAsia="宋体" w:cs="宋体"/>
                <w:b/>
                <w:bCs/>
                <w:sz w:val="20"/>
                <w:szCs w:val="20"/>
              </w:rPr>
              <w:t>安全保密及数据权属履约承诺（0-10分）</w:t>
            </w:r>
          </w:p>
          <w:p w14:paraId="169E4FFA">
            <w:pPr>
              <w:keepNext w:val="0"/>
              <w:keepLines w:val="0"/>
              <w:pageBreakBefore w:val="0"/>
              <w:kinsoku/>
              <w:wordWrap/>
              <w:overflowPunct/>
              <w:topLinePunct w:val="0"/>
              <w:autoSpaceDE/>
              <w:autoSpaceDN/>
              <w:bidi w:val="0"/>
              <w:adjustRightInd w:val="0"/>
              <w:snapToGrid w:val="0"/>
              <w:spacing w:beforeAutospacing="0" w:afterAutospacing="0" w:line="240" w:lineRule="exact"/>
              <w:textAlignment w:val="auto"/>
              <w:rPr>
                <w:rFonts w:hint="default" w:hAnsi="宋体" w:eastAsia="宋体"/>
                <w:bCs/>
                <w:sz w:val="20"/>
                <w:szCs w:val="28"/>
                <w:lang w:val="en-US" w:eastAsia="zh-CN"/>
              </w:rPr>
            </w:pPr>
            <w:r>
              <w:rPr>
                <w:rFonts w:hint="eastAsia" w:ascii="宋体" w:hAnsi="宋体" w:eastAsia="宋体" w:cs="宋体"/>
                <w:b w:val="0"/>
                <w:bCs w:val="0"/>
                <w:sz w:val="20"/>
                <w:szCs w:val="20"/>
                <w:lang w:val="en-US" w:eastAsia="zh-CN"/>
              </w:rPr>
              <w:t>投标人需针对本项目出具正式、加盖公章的数据安全、保密管理、数据权属专项承诺函，明确数据归属、保密责任、风险兜底条款，依据承诺完整性、合规性、严谨性综合打分。</w:t>
            </w:r>
          </w:p>
        </w:tc>
      </w:tr>
    </w:tbl>
    <w:p w14:paraId="2ACF89C0">
      <w:pPr>
        <w:spacing w:line="480" w:lineRule="exact"/>
        <w:ind w:firstLine="480" w:firstLineChars="200"/>
        <w:rPr>
          <w:rFonts w:hint="eastAsia" w:asciiTheme="minorEastAsia" w:hAnsiTheme="minorEastAsia" w:eastAsiaTheme="minorEastAsia" w:cstheme="minorEastAsia"/>
          <w:kern w:val="2"/>
          <w:sz w:val="24"/>
          <w:szCs w:val="24"/>
          <w:lang w:val="zh-CN" w:eastAsia="zh-CN" w:bidi="ar-SA"/>
        </w:rPr>
      </w:pPr>
      <w:r>
        <w:rPr>
          <w:rFonts w:hint="eastAsia" w:asciiTheme="minorEastAsia" w:hAnsiTheme="minorEastAsia" w:cstheme="minorEastAsia"/>
          <w:kern w:val="2"/>
          <w:sz w:val="24"/>
          <w:szCs w:val="24"/>
          <w:lang w:val="zh-CN" w:eastAsia="zh-CN" w:bidi="ar-SA"/>
        </w:rPr>
        <w:t>（</w:t>
      </w:r>
      <w:r>
        <w:rPr>
          <w:rFonts w:hint="eastAsia" w:asciiTheme="minorEastAsia" w:hAnsiTheme="minorEastAsia" w:cstheme="minorEastAsia"/>
          <w:kern w:val="2"/>
          <w:sz w:val="24"/>
          <w:szCs w:val="24"/>
          <w:lang w:val="en-US" w:eastAsia="zh-CN" w:bidi="ar-SA"/>
        </w:rPr>
        <w:t>4</w:t>
      </w:r>
      <w:r>
        <w:rPr>
          <w:rFonts w:hint="eastAsia" w:asciiTheme="minorEastAsia" w:hAnsiTheme="minorEastAsia" w:cstheme="minorEastAsia"/>
          <w:kern w:val="2"/>
          <w:sz w:val="24"/>
          <w:szCs w:val="24"/>
          <w:lang w:val="zh-CN" w:eastAsia="zh-CN" w:bidi="ar-SA"/>
        </w:rPr>
        <w:t>）</w:t>
      </w:r>
      <w:r>
        <w:rPr>
          <w:rFonts w:hint="eastAsia" w:asciiTheme="minorEastAsia" w:hAnsiTheme="minorEastAsia" w:eastAsiaTheme="minorEastAsia" w:cstheme="minorEastAsia"/>
          <w:b/>
          <w:bCs/>
          <w:kern w:val="2"/>
          <w:sz w:val="24"/>
          <w:szCs w:val="24"/>
          <w:lang w:val="zh-CN" w:eastAsia="zh-CN" w:bidi="ar-SA"/>
        </w:rPr>
        <w:t>商务</w:t>
      </w:r>
      <w:r>
        <w:rPr>
          <w:rFonts w:hint="eastAsia" w:asciiTheme="minorEastAsia" w:hAnsiTheme="minorEastAsia" w:eastAsiaTheme="minorEastAsia" w:cstheme="minorEastAsia"/>
          <w:b/>
          <w:bCs/>
          <w:kern w:val="2"/>
          <w:sz w:val="24"/>
          <w:szCs w:val="24"/>
          <w:lang w:val="zh-CN" w:eastAsia="zh" w:bidi="ar-SA"/>
        </w:rPr>
        <w:t>标</w:t>
      </w:r>
      <w:r>
        <w:rPr>
          <w:rFonts w:hint="eastAsia" w:asciiTheme="minorEastAsia" w:hAnsiTheme="minorEastAsia" w:eastAsiaTheme="minorEastAsia" w:cstheme="minorEastAsia"/>
          <w:b/>
          <w:bCs/>
          <w:kern w:val="2"/>
          <w:sz w:val="24"/>
          <w:szCs w:val="24"/>
          <w:lang w:val="zh-CN" w:eastAsia="zh-CN" w:bidi="ar-SA"/>
        </w:rPr>
        <w:t>评分标准：</w:t>
      </w:r>
      <w:r>
        <w:rPr>
          <w:rFonts w:hint="eastAsia" w:asciiTheme="minorEastAsia" w:hAnsiTheme="minorEastAsia" w:eastAsiaTheme="minorEastAsia" w:cstheme="minorEastAsia"/>
          <w:kern w:val="2"/>
          <w:sz w:val="24"/>
          <w:szCs w:val="24"/>
          <w:lang w:val="zh-CN" w:eastAsia="zh-CN" w:bidi="ar-SA"/>
        </w:rPr>
        <w:t>按照约定时间，商务标专家组同入围投标人展开多轮商务谈判，期间可对商务谈判内容进行澄清。按照中国重汽招标采购项目评标办法，商务标得分=当前轮次最低价/供方投标价×商务标总分（100分）；</w:t>
      </w:r>
    </w:p>
    <w:p w14:paraId="3214E0B3">
      <w:pPr>
        <w:spacing w:line="480" w:lineRule="exact"/>
        <w:ind w:firstLine="480" w:firstLineChars="200"/>
        <w:rPr>
          <w:rFonts w:hint="eastAsia" w:asciiTheme="minorEastAsia" w:hAnsiTheme="minorEastAsia" w:eastAsiaTheme="minorEastAsia" w:cstheme="minorEastAsia"/>
          <w:b/>
          <w:bCs/>
          <w:kern w:val="2"/>
          <w:sz w:val="24"/>
          <w:szCs w:val="24"/>
          <w:lang w:val="zh-CN" w:eastAsia="zh-CN" w:bidi="ar-SA"/>
        </w:rPr>
      </w:pPr>
      <w:r>
        <w:rPr>
          <w:rFonts w:hint="eastAsia" w:asciiTheme="minorEastAsia" w:hAnsiTheme="minorEastAsia" w:eastAsiaTheme="minorEastAsia" w:cstheme="minorEastAsia"/>
          <w:kern w:val="2"/>
          <w:sz w:val="24"/>
          <w:szCs w:val="24"/>
          <w:lang w:val="zh-CN" w:eastAsia="zh-CN" w:bidi="ar-SA"/>
        </w:rPr>
        <w:t>（</w:t>
      </w:r>
      <w:r>
        <w:rPr>
          <w:rFonts w:hint="eastAsia" w:asciiTheme="minorEastAsia" w:hAnsiTheme="minorEastAsia" w:eastAsiaTheme="minorEastAsia" w:cstheme="minorEastAsia"/>
          <w:kern w:val="2"/>
          <w:sz w:val="24"/>
          <w:szCs w:val="24"/>
          <w:lang w:val="en-US" w:eastAsia="zh-CN" w:bidi="ar-SA"/>
        </w:rPr>
        <w:t>5</w:t>
      </w:r>
      <w:r>
        <w:rPr>
          <w:rFonts w:hint="eastAsia" w:asciiTheme="minorEastAsia" w:hAnsiTheme="minorEastAsia" w:eastAsiaTheme="minorEastAsia" w:cstheme="minorEastAsia"/>
          <w:kern w:val="2"/>
          <w:sz w:val="24"/>
          <w:szCs w:val="24"/>
          <w:lang w:val="zh-CN" w:eastAsia="zh-CN" w:bidi="ar-SA"/>
        </w:rPr>
        <w:t>）</w:t>
      </w:r>
      <w:r>
        <w:rPr>
          <w:rFonts w:hint="eastAsia" w:asciiTheme="minorEastAsia" w:hAnsiTheme="minorEastAsia" w:eastAsiaTheme="minorEastAsia" w:cstheme="minorEastAsia"/>
          <w:b/>
          <w:bCs/>
          <w:kern w:val="2"/>
          <w:sz w:val="24"/>
          <w:szCs w:val="24"/>
          <w:lang w:val="zh-CN" w:eastAsia="zh-CN" w:bidi="ar-SA"/>
        </w:rPr>
        <w:t>综合得分=技术标得分×</w:t>
      </w:r>
      <w:r>
        <w:rPr>
          <w:rFonts w:hint="eastAsia" w:asciiTheme="minorEastAsia" w:hAnsiTheme="minorEastAsia" w:cstheme="minorEastAsia"/>
          <w:b/>
          <w:bCs/>
          <w:kern w:val="2"/>
          <w:sz w:val="24"/>
          <w:szCs w:val="24"/>
          <w:lang w:val="en-US" w:eastAsia="zh-CN" w:bidi="ar-SA"/>
        </w:rPr>
        <w:t>4</w:t>
      </w:r>
      <w:r>
        <w:rPr>
          <w:rFonts w:hint="eastAsia" w:asciiTheme="minorEastAsia" w:hAnsiTheme="minorEastAsia" w:eastAsiaTheme="minorEastAsia" w:cstheme="minorEastAsia"/>
          <w:b/>
          <w:bCs/>
          <w:kern w:val="2"/>
          <w:sz w:val="24"/>
          <w:szCs w:val="24"/>
          <w:lang w:val="zh-CN" w:eastAsia="zh-CN" w:bidi="ar-SA"/>
        </w:rPr>
        <w:t>0%+商务标得分×</w:t>
      </w:r>
      <w:r>
        <w:rPr>
          <w:rFonts w:hint="eastAsia" w:asciiTheme="minorEastAsia" w:hAnsiTheme="minorEastAsia" w:cstheme="minorEastAsia"/>
          <w:b/>
          <w:bCs/>
          <w:kern w:val="2"/>
          <w:sz w:val="24"/>
          <w:szCs w:val="24"/>
          <w:lang w:val="en-US" w:eastAsia="zh-CN" w:bidi="ar-SA"/>
        </w:rPr>
        <w:t>6</w:t>
      </w:r>
      <w:r>
        <w:rPr>
          <w:rFonts w:hint="eastAsia" w:asciiTheme="minorEastAsia" w:hAnsiTheme="minorEastAsia" w:eastAsiaTheme="minorEastAsia" w:cstheme="minorEastAsia"/>
          <w:b/>
          <w:bCs/>
          <w:kern w:val="2"/>
          <w:sz w:val="24"/>
          <w:szCs w:val="24"/>
          <w:lang w:val="zh-CN" w:eastAsia="zh-CN" w:bidi="ar-SA"/>
        </w:rPr>
        <w:t>0%。综合得分最高者，确定为意向中标人。</w:t>
      </w:r>
    </w:p>
    <w:p w14:paraId="7A444A09">
      <w:pPr>
        <w:spacing w:line="480" w:lineRule="exact"/>
        <w:ind w:firstLine="480" w:firstLineChars="200"/>
        <w:rPr>
          <w:rFonts w:hint="eastAsia" w:asciiTheme="minorEastAsia" w:hAnsiTheme="minorEastAsia" w:eastAsiaTheme="minorEastAsia" w:cstheme="minorEastAsia"/>
          <w:kern w:val="2"/>
          <w:sz w:val="24"/>
          <w:szCs w:val="24"/>
          <w:lang w:val="zh-CN" w:eastAsia="zh-CN" w:bidi="ar-SA"/>
        </w:rPr>
      </w:pPr>
      <w:r>
        <w:rPr>
          <w:rFonts w:hint="eastAsia" w:asciiTheme="minorEastAsia" w:hAnsiTheme="minorEastAsia" w:eastAsiaTheme="minorEastAsia" w:cstheme="minorEastAsia"/>
          <w:kern w:val="2"/>
          <w:sz w:val="24"/>
          <w:szCs w:val="24"/>
          <w:lang w:val="zh-CN" w:eastAsia="zh-CN" w:bidi="ar-SA"/>
        </w:rPr>
        <w:t>（</w:t>
      </w:r>
      <w:r>
        <w:rPr>
          <w:rFonts w:hint="eastAsia" w:asciiTheme="minorEastAsia" w:hAnsiTheme="minorEastAsia" w:eastAsiaTheme="minorEastAsia" w:cstheme="minorEastAsia"/>
          <w:kern w:val="2"/>
          <w:sz w:val="24"/>
          <w:szCs w:val="24"/>
          <w:lang w:val="en-US" w:eastAsia="zh-CN" w:bidi="ar-SA"/>
        </w:rPr>
        <w:t>6</w:t>
      </w:r>
      <w:r>
        <w:rPr>
          <w:rFonts w:hint="eastAsia" w:asciiTheme="minorEastAsia" w:hAnsiTheme="minorEastAsia" w:eastAsiaTheme="minorEastAsia" w:cstheme="minorEastAsia"/>
          <w:kern w:val="2"/>
          <w:sz w:val="24"/>
          <w:szCs w:val="24"/>
          <w:lang w:val="zh-CN" w:eastAsia="zh-CN" w:bidi="ar-SA"/>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297A2AF3">
      <w:pPr>
        <w:spacing w:line="480" w:lineRule="exact"/>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zh-CN" w:eastAsia="zh-CN" w:bidi="ar-SA"/>
        </w:rPr>
        <w:t>（</w:t>
      </w:r>
      <w:r>
        <w:rPr>
          <w:rFonts w:hint="eastAsia" w:asciiTheme="minorEastAsia" w:hAnsiTheme="minorEastAsia" w:eastAsiaTheme="minorEastAsia" w:cstheme="minorEastAsia"/>
          <w:kern w:val="2"/>
          <w:sz w:val="24"/>
          <w:szCs w:val="24"/>
          <w:lang w:val="en-US" w:eastAsia="zh-CN" w:bidi="ar-SA"/>
        </w:rPr>
        <w:t>7</w:t>
      </w:r>
      <w:r>
        <w:rPr>
          <w:rFonts w:hint="eastAsia" w:asciiTheme="minorEastAsia" w:hAnsiTheme="minorEastAsia" w:eastAsiaTheme="minorEastAsia" w:cstheme="minorEastAsia"/>
          <w:kern w:val="2"/>
          <w:sz w:val="24"/>
          <w:szCs w:val="24"/>
          <w:lang w:val="zh-CN" w:eastAsia="zh-CN" w:bidi="ar-SA"/>
        </w:rPr>
        <w:t>）注意：每一轮在重汽e采通提供澄清报价均有时间限制，未能在规定时间内提交澄清函及报价的视为放弃本次投标。</w:t>
      </w:r>
    </w:p>
    <w:p w14:paraId="4E355AEF">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八、合同授予</w:t>
      </w:r>
    </w:p>
    <w:p w14:paraId="25D47DCD">
      <w:pPr>
        <w:pStyle w:val="19"/>
        <w:keepNext w:val="0"/>
        <w:keepLines w:val="0"/>
        <w:pageBreakBefore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招标人根据评审工作小组的评标结果确定中标人，并通知中标人。</w:t>
      </w:r>
    </w:p>
    <w:p w14:paraId="41ECCC91">
      <w:pPr>
        <w:pStyle w:val="19"/>
        <w:keepNext w:val="0"/>
        <w:keepLines w:val="0"/>
        <w:pageBreakBefore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73030B76">
      <w:pPr>
        <w:pStyle w:val="19"/>
        <w:keepNext w:val="0"/>
        <w:keepLines w:val="0"/>
        <w:pageBreakBefore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合同订立后，中标人应当按合同约定责任履约，不得将中标项目转包或分包给他人，否则视为违约，招标人有权解除合同。</w:t>
      </w:r>
    </w:p>
    <w:p w14:paraId="6280B9A9">
      <w:pPr>
        <w:pStyle w:val="19"/>
        <w:keepNext w:val="0"/>
        <w:keepLines w:val="0"/>
        <w:pageBreakBefore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若中标人在履约合同义务能力或信用有严重缺陷，招标人可终止履行本合同，并要求该中标人返还已支付的款项，招标人有权解除合同。</w:t>
      </w:r>
    </w:p>
    <w:p w14:paraId="247D01B0">
      <w:pPr>
        <w:pStyle w:val="19"/>
        <w:keepNext w:val="0"/>
        <w:keepLines w:val="0"/>
        <w:pageBreakBefore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双方的权利义务以最终签署的合同为准。</w:t>
      </w:r>
    </w:p>
    <w:p w14:paraId="44E60580">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4"/>
          <w:szCs w:val="24"/>
          <w:lang w:val="zh-CN"/>
        </w:rPr>
      </w:pPr>
    </w:p>
    <w:p w14:paraId="7DF7DD62">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九、废标及终止招标</w:t>
      </w:r>
    </w:p>
    <w:p w14:paraId="36938171">
      <w:pPr>
        <w:pStyle w:val="19"/>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zh-CN"/>
        </w:rPr>
        <w:t>投标人有下列情形之一的，将被视为废标，招标人将按照有关法律法规行使权力。投标人给招标人造成损失的，招标人有索赔的权力，投标人应给予赔偿。</w:t>
      </w:r>
    </w:p>
    <w:p w14:paraId="5B2A62C1">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投标人提供的有关资格、资质证明文件不全、不真实；</w:t>
      </w:r>
    </w:p>
    <w:p w14:paraId="13A56D45">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投标人在报价有效期内撤回投标；</w:t>
      </w:r>
    </w:p>
    <w:p w14:paraId="57010306">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在评标过程中，投标人有企图影响评标结果公正性的任何项目；</w:t>
      </w:r>
    </w:p>
    <w:p w14:paraId="3B2A4486">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投标人以任何形式诋毁他人投标；</w:t>
      </w:r>
    </w:p>
    <w:p w14:paraId="0216C561">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投标人串通投标；</w:t>
      </w:r>
    </w:p>
    <w:p w14:paraId="33706AC9">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以他人名义投标或以任何方式骗取中标；</w:t>
      </w:r>
    </w:p>
    <w:p w14:paraId="63E3B3D7">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投标人对招标文件做出实质性变更；</w:t>
      </w:r>
    </w:p>
    <w:p w14:paraId="62267D93">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投标人负责人为同一人或者存在控股、管理关系的不同单位；</w:t>
      </w:r>
    </w:p>
    <w:p w14:paraId="79E69963">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投标人被举报、检举，并经招标方查实无误的；</w:t>
      </w:r>
    </w:p>
    <w:p w14:paraId="49538C6F">
      <w:pPr>
        <w:pStyle w:val="12"/>
        <w:keepNext w:val="0"/>
        <w:keepLines w:val="0"/>
        <w:pageBreakBefore w:val="0"/>
        <w:widowControl/>
        <w:numPr>
          <w:ilvl w:val="0"/>
          <w:numId w:val="8"/>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法律、法规规定的其他情况。</w:t>
      </w:r>
    </w:p>
    <w:p w14:paraId="34678204">
      <w:pPr>
        <w:pStyle w:val="12"/>
        <w:keepNext w:val="0"/>
        <w:keepLines w:val="0"/>
        <w:pageBreakBefore w:val="0"/>
        <w:widowControl/>
        <w:numPr>
          <w:ilvl w:val="0"/>
          <w:numId w:val="0"/>
        </w:numPr>
        <w:tabs>
          <w:tab w:val="left" w:pos="397"/>
        </w:tabs>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2、出现下列情形，招标人有权否决所有投标人的投标，并终止招标。</w:t>
      </w:r>
    </w:p>
    <w:p w14:paraId="6DA5DAAA">
      <w:pPr>
        <w:pStyle w:val="12"/>
        <w:keepNext w:val="0"/>
        <w:keepLines w:val="0"/>
        <w:pageBreakBefore w:val="0"/>
        <w:widowControl/>
        <w:numPr>
          <w:ilvl w:val="0"/>
          <w:numId w:val="9"/>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出现影响评审公正性的违法、违规行为；</w:t>
      </w:r>
    </w:p>
    <w:p w14:paraId="533FA27A">
      <w:pPr>
        <w:pStyle w:val="12"/>
        <w:keepNext w:val="0"/>
        <w:keepLines w:val="0"/>
        <w:pageBreakBefore w:val="0"/>
        <w:widowControl/>
        <w:numPr>
          <w:ilvl w:val="0"/>
          <w:numId w:val="9"/>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评标委员会经评审，认为所有投标都不符合招标文件要求的；</w:t>
      </w:r>
    </w:p>
    <w:p w14:paraId="5EADE97D">
      <w:pPr>
        <w:pStyle w:val="12"/>
        <w:keepNext w:val="0"/>
        <w:keepLines w:val="0"/>
        <w:pageBreakBefore w:val="0"/>
        <w:widowControl/>
        <w:numPr>
          <w:ilvl w:val="0"/>
          <w:numId w:val="9"/>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因重大变故，本项目取消。</w:t>
      </w:r>
    </w:p>
    <w:p w14:paraId="155F7A37">
      <w:pPr>
        <w:pStyle w:val="12"/>
        <w:keepNext w:val="0"/>
        <w:keepLines w:val="0"/>
        <w:pageBreakBefore w:val="0"/>
        <w:widowControl/>
        <w:numPr>
          <w:ilvl w:val="0"/>
          <w:numId w:val="9"/>
        </w:numPr>
        <w:tabs>
          <w:tab w:val="left" w:pos="397"/>
        </w:tabs>
        <w:kinsoku/>
        <w:wordWrap/>
        <w:overflowPunct/>
        <w:topLinePunct w:val="0"/>
        <w:autoSpaceDE/>
        <w:autoSpaceDN/>
        <w:bidi w:val="0"/>
        <w:adjustRightInd/>
        <w:snapToGrid/>
        <w:spacing w:line="360" w:lineRule="auto"/>
        <w:ind w:left="425" w:leftChars="0"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招标人认为其他应终止招标的情形。</w:t>
      </w:r>
    </w:p>
    <w:p w14:paraId="7D06D2DE">
      <w:pPr>
        <w:pStyle w:val="19"/>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zh-CN"/>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ECCAA4F">
      <w:pPr>
        <w:pStyle w:val="19"/>
        <w:keepNext w:val="0"/>
        <w:keepLines w:val="0"/>
        <w:pageBreakBefore w:val="0"/>
        <w:numPr>
          <w:ilvl w:val="0"/>
          <w:numId w:val="0"/>
        </w:numPr>
        <w:tabs>
          <w:tab w:val="left" w:pos="862"/>
        </w:tabs>
        <w:kinsoku/>
        <w:wordWrap/>
        <w:overflowPunct/>
        <w:topLinePunct w:val="0"/>
        <w:autoSpaceDE/>
        <w:autoSpaceDN/>
        <w:bidi w:val="0"/>
        <w:adjustRightInd/>
        <w:snapToGrid/>
        <w:spacing w:line="360" w:lineRule="auto"/>
        <w:textAlignment w:val="auto"/>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十、解释权</w:t>
      </w:r>
    </w:p>
    <w:p w14:paraId="502EEB43">
      <w:pPr>
        <w:pStyle w:val="12"/>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本招标文件的最终解释权归招标人，当对一个问题有多种解释时以招标人的书面解释为准。招标文件未做须知明示，而又有相关法律、法规规定的，招标人对此所做解释以相关的法律、法规规定为依据。</w:t>
      </w:r>
    </w:p>
    <w:p w14:paraId="0826CA9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p>
    <w:p w14:paraId="13ADCC1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p>
    <w:p w14:paraId="43C45D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p>
    <w:p w14:paraId="1B0C0140">
      <w:pPr>
        <w:keepNext w:val="0"/>
        <w:keepLines w:val="0"/>
        <w:pageBreakBefore w:val="0"/>
        <w:kinsoku/>
        <w:wordWrap/>
        <w:overflowPunct/>
        <w:topLinePunct w:val="0"/>
        <w:autoSpaceDE/>
        <w:autoSpaceDN/>
        <w:bidi w:val="0"/>
        <w:adjustRightInd/>
        <w:snapToGrid/>
        <w:spacing w:line="360" w:lineRule="auto"/>
        <w:ind w:firstLine="480" w:firstLineChars="200"/>
        <w:jc w:val="righ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中国重汽集团济南动力有限公司</w:t>
      </w:r>
    </w:p>
    <w:p w14:paraId="2D6A4EC7">
      <w:pPr>
        <w:keepNext w:val="0"/>
        <w:keepLines w:val="0"/>
        <w:pageBreakBefore w:val="0"/>
        <w:kinsoku/>
        <w:wordWrap/>
        <w:overflowPunct/>
        <w:topLinePunct w:val="0"/>
        <w:autoSpaceDE/>
        <w:autoSpaceDN/>
        <w:bidi w:val="0"/>
        <w:adjustRightInd/>
        <w:snapToGrid/>
        <w:spacing w:line="360" w:lineRule="auto"/>
        <w:ind w:firstLine="480" w:firstLineChars="200"/>
        <w:jc w:val="righ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202</w:t>
      </w:r>
      <w:r>
        <w:rPr>
          <w:rFonts w:hint="eastAsia" w:asciiTheme="minorEastAsia" w:hAnsiTheme="minorEastAsia" w:cstheme="minorEastAsia"/>
          <w:sz w:val="24"/>
          <w:szCs w:val="24"/>
          <w:lang w:val="en-US" w:eastAsia="zh-CN"/>
        </w:rPr>
        <w:t>6年10月</w:t>
      </w:r>
    </w:p>
    <w:p w14:paraId="78D497B0">
      <w:pPr>
        <w:keepNext w:val="0"/>
        <w:keepLines w:val="0"/>
        <w:pageBreakBefore w:val="0"/>
        <w:kinsoku/>
        <w:wordWrap/>
        <w:overflowPunct/>
        <w:topLinePunct w:val="0"/>
        <w:autoSpaceDE/>
        <w:autoSpaceDN/>
        <w:bidi w:val="0"/>
        <w:adjustRightInd/>
        <w:snapToGrid/>
        <w:spacing w:line="360" w:lineRule="auto"/>
        <w:ind w:firstLine="480" w:firstLineChars="200"/>
        <w:jc w:val="right"/>
        <w:textAlignment w:val="auto"/>
        <w:rPr>
          <w:rFonts w:hint="default" w:asciiTheme="minorEastAsia" w:hAnsiTheme="minorEastAsia" w:cstheme="minorEastAsia"/>
          <w:sz w:val="24"/>
          <w:szCs w:val="24"/>
          <w:lang w:val="en-US" w:eastAsia="zh-CN"/>
        </w:rPr>
      </w:pPr>
    </w:p>
    <w:p w14:paraId="0D3A516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附件1：授权书</w:t>
      </w:r>
    </w:p>
    <w:p w14:paraId="04BBEB0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附件2：企业情况、从业经历一览表</w:t>
      </w:r>
    </w:p>
    <w:p w14:paraId="16EE332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附件3：SRM非生产供应商注册操作手册</w:t>
      </w:r>
    </w:p>
    <w:p w14:paraId="3B93DE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181C4862">
      <w:pPr>
        <w:keepNext w:val="0"/>
        <w:keepLines w:val="0"/>
        <w:pageBreakBefore w:val="0"/>
        <w:kinsoku/>
        <w:wordWrap/>
        <w:overflowPunct/>
        <w:topLinePunct w:val="0"/>
        <w:autoSpaceDE/>
        <w:autoSpaceDN/>
        <w:bidi w:val="0"/>
        <w:adjustRightInd/>
        <w:snapToGrid/>
        <w:spacing w:after="156" w:afterLines="50" w:line="360" w:lineRule="auto"/>
        <w:ind w:firstLine="480" w:firstLineChars="200"/>
        <w:jc w:val="left"/>
        <w:textAlignment w:val="auto"/>
        <w:rPr>
          <w:rFonts w:hint="eastAsia" w:asciiTheme="minorEastAsia" w:hAnsiTheme="minorEastAsia" w:eastAsiaTheme="minorEastAsia" w:cstheme="minorEastAsia"/>
          <w:sz w:val="24"/>
          <w:szCs w:val="24"/>
        </w:rPr>
        <w:sectPr>
          <w:headerReference r:id="rId3" w:type="default"/>
          <w:pgSz w:w="11906" w:h="16838"/>
          <w:pgMar w:top="1440" w:right="1080" w:bottom="1440" w:left="1080" w:header="851" w:footer="992" w:gutter="0"/>
          <w:cols w:space="425" w:num="1"/>
          <w:docGrid w:type="lines" w:linePitch="312" w:charSpace="0"/>
        </w:sectPr>
      </w:pPr>
    </w:p>
    <w:p w14:paraId="64BD182D">
      <w:pPr>
        <w:spacing w:line="312" w:lineRule="auto"/>
        <w:rPr>
          <w:rFonts w:hint="eastAsia" w:ascii="仿宋" w:hAnsi="仿宋" w:eastAsia="仿宋" w:cs="仿宋"/>
          <w:sz w:val="28"/>
          <w:szCs w:val="28"/>
          <w:lang w:eastAsia="zh"/>
        </w:rPr>
      </w:pPr>
      <w:r>
        <w:rPr>
          <w:rFonts w:hint="eastAsia" w:ascii="仿宋" w:hAnsi="仿宋" w:eastAsia="仿宋" w:cs="仿宋"/>
          <w:sz w:val="28"/>
          <w:szCs w:val="28"/>
          <w:lang w:bidi="ar"/>
        </w:rPr>
        <w:t>附件</w:t>
      </w:r>
      <w:r>
        <w:rPr>
          <w:rFonts w:hint="eastAsia" w:ascii="仿宋" w:hAnsi="仿宋" w:eastAsia="仿宋" w:cs="仿宋"/>
          <w:sz w:val="28"/>
          <w:szCs w:val="28"/>
          <w:lang w:val="en-US" w:eastAsia="zh-CN" w:bidi="ar"/>
        </w:rPr>
        <w:t>1</w:t>
      </w:r>
      <w:r>
        <w:rPr>
          <w:rFonts w:hint="eastAsia" w:ascii="仿宋" w:hAnsi="仿宋" w:eastAsia="仿宋" w:cs="仿宋"/>
          <w:sz w:val="28"/>
          <w:szCs w:val="28"/>
          <w:lang w:bidi="ar"/>
        </w:rPr>
        <w:t>：</w:t>
      </w:r>
    </w:p>
    <w:p w14:paraId="0F32DF44">
      <w:pPr>
        <w:spacing w:after="193" w:afterLines="50" w:line="312" w:lineRule="auto"/>
        <w:jc w:val="both"/>
        <w:rPr>
          <w:rFonts w:hint="eastAsia" w:ascii="宋体" w:hAnsi="宋体" w:eastAsia="宋体" w:cs="宋体"/>
          <w:b/>
          <w:bCs/>
          <w:sz w:val="44"/>
          <w:szCs w:val="44"/>
          <w:lang w:bidi="ar"/>
        </w:rPr>
      </w:pPr>
    </w:p>
    <w:p w14:paraId="7C2D8F30">
      <w:pPr>
        <w:spacing w:after="193" w:afterLines="50" w:line="312" w:lineRule="auto"/>
        <w:jc w:val="center"/>
        <w:rPr>
          <w:rFonts w:hint="eastAsia" w:ascii="宋体" w:hAnsi="宋体" w:eastAsia="宋体"/>
          <w:b/>
          <w:bCs/>
          <w:sz w:val="44"/>
          <w:szCs w:val="44"/>
        </w:rPr>
      </w:pPr>
      <w:r>
        <w:rPr>
          <w:rFonts w:hint="eastAsia" w:ascii="宋体" w:hAnsi="宋体" w:eastAsia="宋体" w:cs="宋体"/>
          <w:b/>
          <w:bCs/>
          <w:sz w:val="44"/>
          <w:szCs w:val="44"/>
          <w:lang w:bidi="ar"/>
        </w:rPr>
        <w:t>授权书</w:t>
      </w:r>
    </w:p>
    <w:p w14:paraId="7969C8FF">
      <w:pPr>
        <w:spacing w:after="193" w:afterLines="50" w:line="312" w:lineRule="auto"/>
        <w:ind w:firstLine="560" w:firstLineChars="200"/>
        <w:jc w:val="left"/>
        <w:rPr>
          <w:rFonts w:hint="eastAsia" w:ascii="楷体" w:hAnsi="楷体" w:eastAsia="楷体"/>
          <w:sz w:val="28"/>
          <w:szCs w:val="28"/>
        </w:rPr>
      </w:pPr>
      <w:r>
        <w:rPr>
          <w:rFonts w:hint="eastAsia" w:ascii="楷体" w:hAnsi="楷体" w:eastAsia="楷体" w:cs="楷体"/>
          <w:sz w:val="28"/>
          <w:szCs w:val="28"/>
          <w:lang w:bidi="ar"/>
        </w:rPr>
        <w:t>中国重汽集团</w:t>
      </w:r>
      <w:r>
        <w:rPr>
          <w:rFonts w:hint="eastAsia" w:ascii="楷体" w:hAnsi="楷体" w:eastAsia="楷体" w:cs="楷体"/>
          <w:sz w:val="28"/>
          <w:szCs w:val="28"/>
          <w:lang w:val="en-US" w:eastAsia="zh-CN" w:bidi="ar"/>
        </w:rPr>
        <w:t>济南动力</w:t>
      </w:r>
      <w:r>
        <w:rPr>
          <w:rFonts w:hint="eastAsia" w:ascii="楷体" w:hAnsi="楷体" w:eastAsia="楷体" w:cs="楷体"/>
          <w:sz w:val="28"/>
          <w:szCs w:val="28"/>
          <w:lang w:bidi="ar"/>
        </w:rPr>
        <w:t>有限公司</w:t>
      </w:r>
      <w:r>
        <w:rPr>
          <w:rFonts w:ascii="楷体" w:hAnsi="楷体" w:eastAsia="楷体" w:cs="楷体"/>
          <w:sz w:val="28"/>
          <w:szCs w:val="28"/>
          <w:lang w:bidi="ar"/>
        </w:rPr>
        <w:t>：</w:t>
      </w:r>
    </w:p>
    <w:p w14:paraId="3353FDB8">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本人</w:t>
      </w:r>
      <w:r>
        <w:rPr>
          <w:rFonts w:ascii="楷体" w:hAnsi="楷体" w:eastAsia="楷体"/>
          <w:sz w:val="28"/>
          <w:szCs w:val="28"/>
          <w:u w:val="single"/>
          <w:lang w:bidi="ar"/>
        </w:rPr>
        <w:t xml:space="preserve">         </w:t>
      </w:r>
      <w:r>
        <w:rPr>
          <w:rFonts w:ascii="楷体" w:hAnsi="楷体" w:eastAsia="楷体" w:cs="楷体"/>
          <w:sz w:val="28"/>
          <w:szCs w:val="28"/>
          <w:lang w:bidi="ar"/>
        </w:rPr>
        <w:t>（姓名）系</w:t>
      </w:r>
      <w:r>
        <w:rPr>
          <w:rFonts w:ascii="楷体" w:hAnsi="楷体" w:eastAsia="楷体"/>
          <w:sz w:val="28"/>
          <w:szCs w:val="28"/>
          <w:u w:val="single"/>
          <w:lang w:bidi="ar"/>
        </w:rPr>
        <w:t xml:space="preserve">         </w:t>
      </w:r>
      <w:r>
        <w:rPr>
          <w:rFonts w:ascii="楷体" w:hAnsi="楷体" w:eastAsia="楷体" w:cs="楷体"/>
          <w:sz w:val="28"/>
          <w:szCs w:val="28"/>
          <w:lang w:bidi="ar"/>
        </w:rPr>
        <w:t>（对方单位名称）的法定代表人，现委托</w:t>
      </w:r>
      <w:r>
        <w:rPr>
          <w:rFonts w:ascii="楷体" w:hAnsi="楷体" w:eastAsia="楷体"/>
          <w:sz w:val="28"/>
          <w:szCs w:val="28"/>
          <w:u w:val="single"/>
          <w:lang w:bidi="ar"/>
        </w:rPr>
        <w:t xml:space="preserve">      </w:t>
      </w:r>
      <w:r>
        <w:rPr>
          <w:rFonts w:ascii="楷体" w:hAnsi="楷体" w:eastAsia="楷体" w:cs="楷体"/>
          <w:sz w:val="28"/>
          <w:szCs w:val="28"/>
          <w:lang w:bidi="ar"/>
        </w:rPr>
        <w:t>（姓名）为我方代理人。代理人根据授权，以我方名义签署</w:t>
      </w:r>
      <w:r>
        <w:rPr>
          <w:rFonts w:ascii="楷体" w:hAnsi="楷体" w:eastAsia="楷体"/>
          <w:sz w:val="28"/>
          <w:szCs w:val="28"/>
          <w:u w:val="single"/>
          <w:lang w:bidi="ar"/>
        </w:rPr>
        <w:t xml:space="preserve">               </w:t>
      </w:r>
      <w:r>
        <w:rPr>
          <w:rFonts w:ascii="楷体" w:hAnsi="楷体" w:eastAsia="楷体" w:cs="楷体"/>
          <w:sz w:val="28"/>
          <w:szCs w:val="28"/>
          <w:lang w:bidi="ar"/>
        </w:rPr>
        <w:t>合同、处理招标等相关事宜，其一切法律后果均由我方承担。</w:t>
      </w:r>
    </w:p>
    <w:p w14:paraId="4089BE52">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委托期限：</w:t>
      </w:r>
      <w:r>
        <w:rPr>
          <w:rFonts w:ascii="楷体" w:hAnsi="楷体" w:eastAsia="楷体"/>
          <w:sz w:val="28"/>
          <w:szCs w:val="28"/>
          <w:u w:val="single"/>
          <w:lang w:bidi="ar"/>
        </w:rPr>
        <w:t xml:space="preserve">                                                          </w:t>
      </w:r>
    </w:p>
    <w:p w14:paraId="0917BB31">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代理人无转委托权。</w:t>
      </w:r>
    </w:p>
    <w:p w14:paraId="176ADC35">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附：</w:t>
      </w:r>
      <w:r>
        <w:rPr>
          <w:rFonts w:hint="eastAsia" w:ascii="楷体" w:hAnsi="楷体" w:eastAsia="楷体" w:cs="楷体"/>
          <w:sz w:val="28"/>
          <w:szCs w:val="28"/>
          <w:lang w:bidi="ar"/>
        </w:rPr>
        <w:t>法定代表人及</w:t>
      </w:r>
      <w:r>
        <w:rPr>
          <w:rFonts w:ascii="楷体" w:hAnsi="楷体" w:eastAsia="楷体" w:cs="楷体"/>
          <w:sz w:val="28"/>
          <w:szCs w:val="28"/>
          <w:lang w:bidi="ar"/>
        </w:rPr>
        <w:t>代理人身份证明</w:t>
      </w:r>
    </w:p>
    <w:p w14:paraId="5E1A6F47">
      <w:pPr>
        <w:spacing w:after="193" w:afterLines="50" w:line="312" w:lineRule="auto"/>
        <w:ind w:firstLine="560" w:firstLineChars="200"/>
        <w:jc w:val="left"/>
        <w:rPr>
          <w:rFonts w:hint="eastAsia" w:ascii="楷体" w:hAnsi="楷体" w:eastAsia="楷体"/>
          <w:sz w:val="28"/>
          <w:szCs w:val="28"/>
        </w:rPr>
      </w:pPr>
      <w:r>
        <w:rPr>
          <w:rFonts w:ascii="楷体" w:hAnsi="楷体" w:eastAsia="楷体"/>
          <w:sz w:val="28"/>
          <w:szCs w:val="28"/>
          <w:lang w:bidi="ar"/>
        </w:rPr>
        <w:t xml:space="preserve"> </w:t>
      </w:r>
    </w:p>
    <w:p w14:paraId="7756069D">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 xml:space="preserve"> </w:t>
      </w:r>
    </w:p>
    <w:p w14:paraId="017F6EBE">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 xml:space="preserve"> </w:t>
      </w:r>
    </w:p>
    <w:p w14:paraId="759C5C8D">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ab/>
      </w:r>
      <w:r>
        <w:rPr>
          <w:rFonts w:hint="eastAsia" w:ascii="仿宋" w:hAnsi="仿宋" w:eastAsia="仿宋" w:cs="仿宋"/>
          <w:sz w:val="28"/>
          <w:szCs w:val="28"/>
          <w:lang w:bidi="ar"/>
        </w:rPr>
        <w:t xml:space="preserve">                             授权单位：</w:t>
      </w:r>
    </w:p>
    <w:p w14:paraId="4B25921F">
      <w:pPr>
        <w:spacing w:after="193" w:afterLines="50" w:line="312" w:lineRule="auto"/>
        <w:ind w:leftChars="2300"/>
        <w:jc w:val="left"/>
        <w:rPr>
          <w:rFonts w:hint="eastAsia" w:ascii="仿宋" w:hAnsi="仿宋" w:eastAsia="仿宋" w:cs="仿宋"/>
          <w:sz w:val="28"/>
          <w:szCs w:val="28"/>
        </w:rPr>
      </w:pPr>
      <w:r>
        <w:rPr>
          <w:rFonts w:hint="eastAsia" w:ascii="仿宋" w:hAnsi="仿宋" w:eastAsia="仿宋" w:cs="仿宋"/>
          <w:sz w:val="28"/>
          <w:szCs w:val="28"/>
          <w:lang w:bidi="ar"/>
        </w:rPr>
        <w:t>法定代表人：</w:t>
      </w:r>
    </w:p>
    <w:p w14:paraId="46368C9B">
      <w:pPr>
        <w:spacing w:after="193" w:afterLines="50" w:line="312" w:lineRule="auto"/>
        <w:ind w:leftChars="2100" w:firstLine="560" w:firstLineChars="200"/>
        <w:jc w:val="left"/>
        <w:rPr>
          <w:rFonts w:hint="eastAsia" w:ascii="仿宋" w:hAnsi="仿宋" w:eastAsia="仿宋" w:cs="仿宋"/>
          <w:sz w:val="28"/>
          <w:szCs w:val="28"/>
        </w:rPr>
      </w:pP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年</w:t>
      </w: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月</w:t>
      </w: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日</w:t>
      </w:r>
    </w:p>
    <w:p w14:paraId="7276D399">
      <w:pPr>
        <w:spacing w:line="312" w:lineRule="auto"/>
        <w:ind w:firstLine="560" w:firstLineChars="200"/>
        <w:rPr>
          <w:rFonts w:hint="eastAsia" w:ascii="仿宋" w:hAnsi="仿宋" w:eastAsia="仿宋" w:cs="仿宋"/>
          <w:sz w:val="28"/>
          <w:szCs w:val="28"/>
        </w:rPr>
      </w:pPr>
    </w:p>
    <w:p w14:paraId="1EA94C28">
      <w:pPr>
        <w:spacing w:line="312" w:lineRule="auto"/>
        <w:ind w:firstLine="560" w:firstLineChars="200"/>
        <w:rPr>
          <w:rFonts w:hint="eastAsia" w:ascii="仿宋" w:hAnsi="仿宋" w:eastAsia="仿宋" w:cs="仿宋"/>
          <w:sz w:val="28"/>
          <w:szCs w:val="28"/>
        </w:rPr>
      </w:pPr>
    </w:p>
    <w:p w14:paraId="5DCCE82A">
      <w:pPr>
        <w:spacing w:line="312" w:lineRule="auto"/>
        <w:ind w:firstLine="560" w:firstLineChars="200"/>
        <w:rPr>
          <w:rFonts w:hint="eastAsia" w:ascii="仿宋" w:hAnsi="仿宋" w:eastAsia="仿宋" w:cs="仿宋"/>
          <w:sz w:val="28"/>
          <w:szCs w:val="28"/>
        </w:rPr>
      </w:pPr>
    </w:p>
    <w:p w14:paraId="196ACA8C">
      <w:pPr>
        <w:spacing w:line="312" w:lineRule="auto"/>
        <w:rPr>
          <w:rFonts w:hint="eastAsia" w:ascii="仿宋" w:hAnsi="仿宋" w:eastAsia="仿宋" w:cs="仿宋"/>
          <w:sz w:val="28"/>
          <w:szCs w:val="28"/>
          <w:lang w:eastAsia="zh"/>
        </w:rPr>
      </w:pPr>
      <w:r>
        <w:rPr>
          <w:rFonts w:hint="eastAsia" w:ascii="仿宋" w:hAnsi="仿宋" w:eastAsia="仿宋" w:cs="仿宋"/>
          <w:sz w:val="28"/>
          <w:szCs w:val="28"/>
          <w:lang w:bidi="ar"/>
        </w:rPr>
        <w:t>附件2：</w:t>
      </w:r>
    </w:p>
    <w:p w14:paraId="03ED6C97">
      <w:pPr>
        <w:spacing w:line="312" w:lineRule="auto"/>
        <w:ind w:firstLine="562" w:firstLineChars="200"/>
        <w:jc w:val="center"/>
        <w:rPr>
          <w:rFonts w:hint="eastAsia" w:ascii="仿宋" w:hAnsi="仿宋" w:eastAsia="仿宋" w:cs="仿宋"/>
          <w:b/>
          <w:bCs/>
          <w:sz w:val="28"/>
          <w:szCs w:val="28"/>
          <w:lang w:bidi="ar"/>
        </w:rPr>
      </w:pPr>
    </w:p>
    <w:p w14:paraId="6BDC8609">
      <w:pPr>
        <w:spacing w:line="312" w:lineRule="auto"/>
        <w:ind w:firstLine="562" w:firstLineChars="200"/>
        <w:jc w:val="center"/>
        <w:rPr>
          <w:rFonts w:hint="eastAsia" w:ascii="仿宋" w:hAnsi="仿宋" w:eastAsia="仿宋" w:cs="仿宋"/>
          <w:b/>
          <w:bCs/>
          <w:sz w:val="28"/>
          <w:szCs w:val="28"/>
          <w:lang w:bidi="ar"/>
        </w:rPr>
      </w:pPr>
      <w:r>
        <w:rPr>
          <w:rFonts w:hint="eastAsia" w:ascii="仿宋" w:hAnsi="仿宋" w:eastAsia="仿宋" w:cs="仿宋"/>
          <w:b/>
          <w:bCs/>
          <w:sz w:val="28"/>
          <w:szCs w:val="28"/>
          <w:lang w:bidi="ar"/>
        </w:rPr>
        <w:t>企业情况、从业经历一览表</w:t>
      </w:r>
    </w:p>
    <w:p w14:paraId="7C0EA395">
      <w:pPr>
        <w:spacing w:line="312" w:lineRule="auto"/>
        <w:ind w:firstLine="562" w:firstLineChars="200"/>
        <w:jc w:val="center"/>
        <w:rPr>
          <w:rFonts w:hint="eastAsia" w:ascii="仿宋" w:hAnsi="仿宋" w:eastAsia="仿宋" w:cs="仿宋"/>
          <w:b/>
          <w:bCs/>
          <w:sz w:val="28"/>
          <w:szCs w:val="28"/>
          <w:lang w:bidi="ar"/>
        </w:rPr>
      </w:pP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9"/>
        <w:gridCol w:w="1676"/>
        <w:gridCol w:w="1444"/>
        <w:gridCol w:w="1062"/>
        <w:gridCol w:w="1562"/>
        <w:gridCol w:w="1877"/>
      </w:tblGrid>
      <w:tr w14:paraId="0E3C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5D9B9566">
            <w:pPr>
              <w:spacing w:line="312" w:lineRule="auto"/>
              <w:ind w:firstLine="560" w:firstLineChars="200"/>
              <w:jc w:val="center"/>
              <w:rPr>
                <w:rFonts w:hint="eastAsia" w:ascii="仿宋" w:hAnsi="仿宋" w:eastAsia="仿宋" w:cs="仿宋"/>
                <w:sz w:val="28"/>
                <w:szCs w:val="28"/>
              </w:rPr>
            </w:pPr>
            <w:r>
              <w:rPr>
                <w:rFonts w:hint="eastAsia" w:ascii="仿宋" w:hAnsi="仿宋" w:eastAsia="仿宋" w:cs="仿宋"/>
                <w:sz w:val="28"/>
                <w:szCs w:val="28"/>
                <w:lang w:bidi="ar"/>
              </w:rPr>
              <w:t>企业情况</w:t>
            </w:r>
          </w:p>
        </w:tc>
      </w:tr>
      <w:tr w14:paraId="3263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00D36750">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公司名称</w:t>
            </w:r>
          </w:p>
        </w:tc>
        <w:tc>
          <w:tcPr>
            <w:tcW w:w="925" w:type="pct"/>
            <w:tcBorders>
              <w:top w:val="single" w:color="auto" w:sz="4" w:space="0"/>
              <w:left w:val="single" w:color="auto" w:sz="4" w:space="0"/>
              <w:bottom w:val="single" w:color="auto" w:sz="4" w:space="0"/>
              <w:right w:val="single" w:color="auto" w:sz="4" w:space="0"/>
            </w:tcBorders>
            <w:vAlign w:val="center"/>
          </w:tcPr>
          <w:p w14:paraId="1D892493">
            <w:pPr>
              <w:spacing w:line="312" w:lineRule="auto"/>
              <w:ind w:firstLine="560" w:firstLineChars="200"/>
              <w:jc w:val="left"/>
              <w:rPr>
                <w:rFonts w:hint="eastAsia" w:ascii="仿宋" w:hAnsi="仿宋" w:eastAsia="仿宋" w:cs="仿宋"/>
                <w:sz w:val="28"/>
                <w:szCs w:val="28"/>
              </w:rPr>
            </w:pPr>
          </w:p>
        </w:tc>
        <w:tc>
          <w:tcPr>
            <w:tcW w:w="796" w:type="pct"/>
            <w:tcBorders>
              <w:top w:val="single" w:color="auto" w:sz="4" w:space="0"/>
              <w:left w:val="single" w:color="auto" w:sz="4" w:space="0"/>
              <w:bottom w:val="single" w:color="auto" w:sz="4" w:space="0"/>
              <w:right w:val="single" w:color="auto" w:sz="4" w:space="0"/>
            </w:tcBorders>
            <w:vAlign w:val="center"/>
          </w:tcPr>
          <w:p w14:paraId="011EA6F4">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成立时间</w:t>
            </w:r>
          </w:p>
        </w:tc>
        <w:tc>
          <w:tcPr>
            <w:tcW w:w="586" w:type="pct"/>
            <w:tcBorders>
              <w:top w:val="single" w:color="auto" w:sz="4" w:space="0"/>
              <w:left w:val="single" w:color="auto" w:sz="4" w:space="0"/>
              <w:bottom w:val="single" w:color="auto" w:sz="4" w:space="0"/>
              <w:right w:val="single" w:color="auto" w:sz="4" w:space="0"/>
            </w:tcBorders>
            <w:vAlign w:val="center"/>
          </w:tcPr>
          <w:p w14:paraId="34CBEA0C">
            <w:pPr>
              <w:spacing w:line="312" w:lineRule="auto"/>
              <w:ind w:firstLine="560" w:firstLineChars="200"/>
              <w:jc w:val="left"/>
              <w:rPr>
                <w:rFonts w:hint="eastAsia" w:ascii="仿宋" w:hAnsi="仿宋" w:eastAsia="仿宋" w:cs="仿宋"/>
                <w:sz w:val="28"/>
                <w:szCs w:val="28"/>
              </w:rPr>
            </w:pPr>
          </w:p>
        </w:tc>
        <w:tc>
          <w:tcPr>
            <w:tcW w:w="862" w:type="pct"/>
            <w:tcBorders>
              <w:top w:val="single" w:color="auto" w:sz="4" w:space="0"/>
              <w:left w:val="single" w:color="auto" w:sz="4" w:space="0"/>
              <w:bottom w:val="single" w:color="auto" w:sz="4" w:space="0"/>
              <w:right w:val="single" w:color="auto" w:sz="4" w:space="0"/>
            </w:tcBorders>
            <w:vAlign w:val="center"/>
          </w:tcPr>
          <w:p w14:paraId="5289C3B3">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注册资本</w:t>
            </w:r>
          </w:p>
        </w:tc>
        <w:tc>
          <w:tcPr>
            <w:tcW w:w="1034" w:type="pct"/>
            <w:tcBorders>
              <w:top w:val="single" w:color="auto" w:sz="4" w:space="0"/>
              <w:left w:val="single" w:color="auto" w:sz="4" w:space="0"/>
              <w:bottom w:val="single" w:color="auto" w:sz="4" w:space="0"/>
              <w:right w:val="single" w:color="auto" w:sz="4" w:space="0"/>
            </w:tcBorders>
            <w:vAlign w:val="center"/>
          </w:tcPr>
          <w:p w14:paraId="51D966B7">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万元</w:t>
            </w:r>
          </w:p>
        </w:tc>
      </w:tr>
      <w:tr w14:paraId="7EF8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71E0C185">
            <w:pPr>
              <w:spacing w:line="312" w:lineRule="auto"/>
              <w:jc w:val="left"/>
              <w:rPr>
                <w:rFonts w:hint="eastAsia" w:ascii="仿宋" w:hAnsi="仿宋" w:eastAsia="仿宋" w:cs="仿宋"/>
                <w:sz w:val="28"/>
                <w:szCs w:val="28"/>
                <w:lang w:bidi="ar"/>
              </w:rPr>
            </w:pPr>
            <w:r>
              <w:rPr>
                <w:rFonts w:hint="eastAsia" w:ascii="仿宋" w:hAnsi="仿宋" w:eastAsia="仿宋" w:cs="仿宋"/>
                <w:sz w:val="28"/>
                <w:szCs w:val="28"/>
                <w:lang w:bidi="ar"/>
              </w:rPr>
              <w:t>公司在册</w:t>
            </w:r>
          </w:p>
          <w:p w14:paraId="452716DE">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员工人数</w:t>
            </w:r>
          </w:p>
        </w:tc>
        <w:tc>
          <w:tcPr>
            <w:tcW w:w="1722" w:type="pct"/>
            <w:gridSpan w:val="2"/>
            <w:tcBorders>
              <w:top w:val="single" w:color="auto" w:sz="4" w:space="0"/>
              <w:left w:val="single" w:color="auto" w:sz="4" w:space="0"/>
              <w:bottom w:val="single" w:color="auto" w:sz="4" w:space="0"/>
              <w:right w:val="single" w:color="auto" w:sz="4" w:space="0"/>
            </w:tcBorders>
            <w:vAlign w:val="center"/>
          </w:tcPr>
          <w:p w14:paraId="6C8A3453">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人</w:t>
            </w:r>
          </w:p>
        </w:tc>
        <w:tc>
          <w:tcPr>
            <w:tcW w:w="1448" w:type="pct"/>
            <w:gridSpan w:val="2"/>
            <w:tcBorders>
              <w:top w:val="single" w:color="auto" w:sz="4" w:space="0"/>
              <w:left w:val="single" w:color="auto" w:sz="4" w:space="0"/>
              <w:bottom w:val="single" w:color="auto" w:sz="4" w:space="0"/>
              <w:right w:val="single" w:color="auto" w:sz="4" w:space="0"/>
            </w:tcBorders>
            <w:vAlign w:val="center"/>
          </w:tcPr>
          <w:p w14:paraId="150EBC86">
            <w:pPr>
              <w:spacing w:line="312" w:lineRule="auto"/>
              <w:jc w:val="left"/>
              <w:rPr>
                <w:rFonts w:hint="eastAsia" w:ascii="仿宋" w:hAnsi="仿宋" w:eastAsia="仿宋" w:cs="仿宋"/>
                <w:sz w:val="28"/>
                <w:szCs w:val="28"/>
                <w:lang w:eastAsia="zh" w:bidi="ar"/>
              </w:rPr>
            </w:pPr>
            <w:r>
              <w:rPr>
                <w:rFonts w:hint="eastAsia" w:ascii="仿宋" w:hAnsi="仿宋" w:eastAsia="仿宋" w:cs="仿宋"/>
                <w:sz w:val="28"/>
                <w:szCs w:val="28"/>
                <w:lang w:eastAsia="zh" w:bidi="ar"/>
              </w:rPr>
              <w:t>团队配备</w:t>
            </w:r>
          </w:p>
          <w:p w14:paraId="2B277E4C">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员工人数</w:t>
            </w:r>
          </w:p>
        </w:tc>
        <w:tc>
          <w:tcPr>
            <w:tcW w:w="1034" w:type="pct"/>
            <w:tcBorders>
              <w:top w:val="single" w:color="auto" w:sz="4" w:space="0"/>
              <w:left w:val="single" w:color="auto" w:sz="4" w:space="0"/>
              <w:bottom w:val="single" w:color="auto" w:sz="4" w:space="0"/>
              <w:right w:val="single" w:color="auto" w:sz="4" w:space="0"/>
            </w:tcBorders>
            <w:vAlign w:val="center"/>
          </w:tcPr>
          <w:p w14:paraId="2CF35F33">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人</w:t>
            </w:r>
          </w:p>
        </w:tc>
      </w:tr>
      <w:tr w14:paraId="1240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3DC20778">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公司现有主要业务</w:t>
            </w:r>
          </w:p>
        </w:tc>
        <w:tc>
          <w:tcPr>
            <w:tcW w:w="4205" w:type="pct"/>
            <w:gridSpan w:val="5"/>
            <w:tcBorders>
              <w:top w:val="single" w:color="auto" w:sz="4" w:space="0"/>
              <w:left w:val="single" w:color="auto" w:sz="4" w:space="0"/>
              <w:bottom w:val="single" w:color="auto" w:sz="4" w:space="0"/>
              <w:right w:val="single" w:color="auto" w:sz="4" w:space="0"/>
            </w:tcBorders>
            <w:vAlign w:val="center"/>
          </w:tcPr>
          <w:p w14:paraId="711EB772">
            <w:pPr>
              <w:spacing w:line="312" w:lineRule="auto"/>
              <w:ind w:firstLine="560" w:firstLineChars="200"/>
              <w:jc w:val="left"/>
              <w:rPr>
                <w:rFonts w:hint="eastAsia" w:ascii="仿宋" w:hAnsi="仿宋" w:eastAsia="仿宋" w:cs="仿宋"/>
                <w:sz w:val="28"/>
                <w:szCs w:val="28"/>
              </w:rPr>
            </w:pPr>
          </w:p>
        </w:tc>
      </w:tr>
      <w:tr w14:paraId="4C13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4A39FEBA">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企业简介</w:t>
            </w:r>
          </w:p>
        </w:tc>
        <w:tc>
          <w:tcPr>
            <w:tcW w:w="4205" w:type="pct"/>
            <w:gridSpan w:val="5"/>
            <w:tcBorders>
              <w:top w:val="single" w:color="auto" w:sz="4" w:space="0"/>
              <w:left w:val="single" w:color="auto" w:sz="4" w:space="0"/>
              <w:bottom w:val="single" w:color="auto" w:sz="4" w:space="0"/>
              <w:right w:val="single" w:color="auto" w:sz="4" w:space="0"/>
            </w:tcBorders>
            <w:vAlign w:val="center"/>
          </w:tcPr>
          <w:p w14:paraId="5223EA90">
            <w:pPr>
              <w:spacing w:line="312" w:lineRule="auto"/>
              <w:ind w:firstLine="560" w:firstLineChars="200"/>
              <w:jc w:val="left"/>
              <w:rPr>
                <w:rFonts w:hint="eastAsia" w:ascii="仿宋" w:hAnsi="仿宋" w:eastAsia="仿宋" w:cs="仿宋"/>
                <w:sz w:val="28"/>
                <w:szCs w:val="28"/>
              </w:rPr>
            </w:pPr>
          </w:p>
        </w:tc>
      </w:tr>
    </w:tbl>
    <w:p w14:paraId="02DD8B50">
      <w:pPr>
        <w:pStyle w:val="12"/>
        <w:spacing w:line="312" w:lineRule="auto"/>
        <w:rPr>
          <w:rFonts w:hint="eastAsia" w:ascii="仿宋" w:hAnsi="仿宋" w:eastAsia="仿宋" w:cs="仿宋"/>
          <w:b/>
          <w:kern w:val="2"/>
          <w:sz w:val="28"/>
          <w:szCs w:val="28"/>
        </w:rPr>
      </w:pPr>
      <w:r>
        <w:rPr>
          <w:rFonts w:hint="eastAsia" w:ascii="仿宋" w:hAnsi="仿宋" w:eastAsia="仿宋" w:cs="仿宋"/>
          <w:kern w:val="2"/>
          <w:sz w:val="28"/>
          <w:szCs w:val="28"/>
          <w:lang w:bidi="ar"/>
        </w:rPr>
        <w:t xml:space="preserve">投标人名称（盖章）：    </w:t>
      </w:r>
      <w:r>
        <w:rPr>
          <w:rFonts w:hint="eastAsia" w:ascii="仿宋" w:hAnsi="仿宋" w:eastAsia="仿宋" w:cs="仿宋"/>
          <w:kern w:val="2"/>
          <w:sz w:val="28"/>
          <w:szCs w:val="28"/>
          <w:lang w:val="en-US" w:eastAsia="zh-CN" w:bidi="ar"/>
        </w:rPr>
        <w:t xml:space="preserve">    </w:t>
      </w:r>
      <w:r>
        <w:rPr>
          <w:rFonts w:hint="eastAsia" w:ascii="仿宋" w:hAnsi="仿宋" w:eastAsia="仿宋" w:cs="仿宋"/>
          <w:kern w:val="2"/>
          <w:sz w:val="28"/>
          <w:szCs w:val="28"/>
          <w:lang w:bidi="ar"/>
        </w:rPr>
        <w:t xml:space="preserve"> 法定代表人或授权代表签字：</w:t>
      </w:r>
    </w:p>
    <w:p w14:paraId="1BEEDDC2">
      <w:pPr>
        <w:pStyle w:val="12"/>
        <w:spacing w:line="312" w:lineRule="auto"/>
        <w:jc w:val="both"/>
        <w:rPr>
          <w:rFonts w:hint="eastAsia" w:ascii="仿宋" w:hAnsi="仿宋" w:eastAsia="仿宋" w:cs="仿宋"/>
          <w:b/>
          <w:kern w:val="2"/>
          <w:sz w:val="28"/>
          <w:szCs w:val="28"/>
          <w:lang w:bidi="ar"/>
        </w:rPr>
      </w:pPr>
      <w:r>
        <w:rPr>
          <w:rFonts w:hint="eastAsia" w:ascii="仿宋" w:hAnsi="仿宋" w:eastAsia="仿宋" w:cs="仿宋"/>
          <w:b/>
          <w:kern w:val="2"/>
          <w:sz w:val="28"/>
          <w:szCs w:val="28"/>
          <w:lang w:bidi="ar"/>
        </w:rPr>
        <w:t>注：</w:t>
      </w:r>
    </w:p>
    <w:p w14:paraId="7681FB3C">
      <w:pPr>
        <w:pStyle w:val="12"/>
        <w:spacing w:line="312" w:lineRule="auto"/>
        <w:jc w:val="both"/>
        <w:rPr>
          <w:rFonts w:hint="eastAsia" w:ascii="仿宋" w:hAnsi="仿宋" w:eastAsia="仿宋" w:cs="仿宋"/>
          <w:kern w:val="2"/>
          <w:sz w:val="28"/>
          <w:szCs w:val="28"/>
          <w:lang w:bidi="ar"/>
        </w:rPr>
      </w:pPr>
      <w:r>
        <w:rPr>
          <w:rFonts w:hint="eastAsia" w:ascii="仿宋" w:hAnsi="仿宋" w:eastAsia="仿宋" w:cs="仿宋"/>
          <w:kern w:val="2"/>
          <w:sz w:val="28"/>
          <w:szCs w:val="28"/>
          <w:lang w:bidi="ar"/>
        </w:rPr>
        <w:t>1.投标人为满足本招标项目之需，需实际配置的、包含但不限于上述设备、人员及其他条目；</w:t>
      </w:r>
    </w:p>
    <w:p w14:paraId="38389E5E">
      <w:pPr>
        <w:pStyle w:val="12"/>
        <w:spacing w:line="312" w:lineRule="auto"/>
        <w:jc w:val="both"/>
        <w:rPr>
          <w:rFonts w:hint="eastAsia"/>
          <w:lang w:val="en-US" w:eastAsia="zh-CN"/>
        </w:rPr>
        <w:sectPr>
          <w:footerReference r:id="rId4" w:type="default"/>
          <w:footerReference r:id="rId5" w:type="even"/>
          <w:pgSz w:w="11906" w:h="16838"/>
          <w:pgMar w:top="1440" w:right="1531" w:bottom="1361" w:left="1531" w:header="851" w:footer="992" w:gutter="0"/>
          <w:cols w:space="720" w:num="1"/>
          <w:docGrid w:type="lines" w:linePitch="312" w:charSpace="0"/>
        </w:sectPr>
      </w:pPr>
      <w:r>
        <w:rPr>
          <w:rFonts w:hint="eastAsia" w:ascii="仿宋" w:hAnsi="仿宋" w:eastAsia="仿宋" w:cs="仿宋"/>
          <w:kern w:val="2"/>
          <w:sz w:val="28"/>
          <w:szCs w:val="28"/>
          <w:lang w:bidi="ar"/>
        </w:rPr>
        <w:t>2.投标人可在上表内容基础上，酌情自行增加相关条目，以便更好的满足项目开展之需要。</w:t>
      </w:r>
    </w:p>
    <w:p w14:paraId="14B9418F">
      <w:pPr>
        <w:spacing w:line="312" w:lineRule="auto"/>
        <w:rPr>
          <w:rFonts w:hint="eastAsia" w:ascii="仿宋" w:hAnsi="仿宋" w:eastAsia="仿宋" w:cs="仿宋"/>
          <w:sz w:val="28"/>
          <w:szCs w:val="28"/>
          <w:lang w:eastAsia="zh"/>
        </w:rPr>
      </w:pPr>
      <w:r>
        <w:rPr>
          <w:rFonts w:hint="eastAsia" w:ascii="仿宋" w:hAnsi="仿宋" w:eastAsia="仿宋" w:cs="仿宋"/>
          <w:sz w:val="28"/>
          <w:szCs w:val="28"/>
          <w:lang w:bidi="ar"/>
        </w:rPr>
        <w:t>附件</w:t>
      </w:r>
      <w:r>
        <w:rPr>
          <w:rFonts w:hint="eastAsia" w:ascii="仿宋" w:hAnsi="仿宋" w:eastAsia="仿宋" w:cs="仿宋"/>
          <w:sz w:val="28"/>
          <w:szCs w:val="28"/>
          <w:lang w:val="en-US" w:eastAsia="zh-CN" w:bidi="ar"/>
        </w:rPr>
        <w:t>3</w:t>
      </w:r>
      <w:r>
        <w:rPr>
          <w:rFonts w:hint="eastAsia" w:ascii="仿宋" w:hAnsi="仿宋" w:eastAsia="仿宋" w:cs="仿宋"/>
          <w:sz w:val="28"/>
          <w:szCs w:val="28"/>
          <w:lang w:bidi="ar"/>
        </w:rPr>
        <w:t>：</w:t>
      </w:r>
    </w:p>
    <w:p w14:paraId="305186B7">
      <w:pPr>
        <w:pStyle w:val="13"/>
        <w:rPr>
          <w:rFonts w:hint="eastAsia" w:eastAsia="宋体" w:cs="Times New Roman"/>
          <w:b/>
          <w:bCs/>
          <w:sz w:val="44"/>
          <w:szCs w:val="44"/>
          <w:highlight w:val="none"/>
          <w:lang w:val="en-US" w:eastAsia="zh-CN"/>
        </w:rPr>
      </w:pPr>
    </w:p>
    <w:p w14:paraId="3AE85553">
      <w:pPr>
        <w:pStyle w:val="13"/>
        <w:rPr>
          <w:rFonts w:hint="eastAsia" w:ascii="宋体" w:hAnsi="宋体" w:cs="宋体"/>
          <w:b/>
          <w:bCs/>
          <w:szCs w:val="21"/>
        </w:rPr>
      </w:pPr>
      <w:r>
        <w:rPr>
          <w:rFonts w:hint="eastAsia" w:eastAsia="宋体" w:cs="Times New Roman"/>
          <w:b/>
          <w:bCs/>
          <w:sz w:val="44"/>
          <w:szCs w:val="44"/>
          <w:highlight w:val="none"/>
          <w:lang w:val="en-US" w:eastAsia="zh-CN"/>
        </w:rPr>
        <w:t>SRM非生产供应商注册操作手册</w:t>
      </w:r>
    </w:p>
    <w:p w14:paraId="5B56B81B">
      <w:pPr>
        <w:snapToGrid w:val="0"/>
        <w:spacing w:line="288" w:lineRule="auto"/>
        <w:rPr>
          <w:rFonts w:hint="eastAsia" w:ascii="宋体" w:hAnsi="宋体" w:cs="宋体"/>
          <w:b/>
          <w:bCs/>
          <w:szCs w:val="21"/>
        </w:rPr>
      </w:pPr>
    </w:p>
    <w:p w14:paraId="7A541C90">
      <w:pPr>
        <w:snapToGrid w:val="0"/>
        <w:spacing w:line="288" w:lineRule="auto"/>
        <w:rPr>
          <w:rFonts w:ascii="宋体" w:hAnsi="宋体" w:cs="宋体"/>
          <w:b/>
          <w:bCs/>
          <w:color w:val="FF0000"/>
          <w:szCs w:val="21"/>
        </w:rPr>
      </w:pPr>
      <w:r>
        <w:rPr>
          <w:rFonts w:hint="eastAsia" w:ascii="宋体" w:hAnsi="宋体" w:cs="宋体"/>
          <w:b/>
          <w:bCs/>
          <w:szCs w:val="21"/>
        </w:rPr>
        <w:t>e采通账号注册</w:t>
      </w:r>
    </w:p>
    <w:p w14:paraId="10376080">
      <w:pPr>
        <w:snapToGrid w:val="0"/>
        <w:spacing w:line="288" w:lineRule="auto"/>
        <w:rPr>
          <w:rFonts w:ascii="宋体" w:hAnsi="宋体" w:cs="宋体"/>
          <w:b/>
          <w:bCs/>
          <w:color w:val="FF0000"/>
          <w:szCs w:val="21"/>
        </w:rPr>
      </w:pPr>
      <w:r>
        <w:rPr>
          <w:rFonts w:hint="eastAsia" w:ascii="宋体" w:hAnsi="宋体" w:cs="宋体"/>
          <w:szCs w:val="21"/>
        </w:rPr>
        <w:t>投标人必须在报名时完成账号注册，</w:t>
      </w:r>
      <w:r>
        <w:rPr>
          <w:rFonts w:hint="eastAsia" w:ascii="宋体" w:hAnsi="宋体" w:cs="宋体"/>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招标人协调解决。</w:t>
      </w:r>
    </w:p>
    <w:p w14:paraId="3DE62AC7">
      <w:pPr>
        <w:snapToGrid w:val="0"/>
        <w:spacing w:line="288" w:lineRule="auto"/>
        <w:rPr>
          <w:rFonts w:ascii="宋体" w:hAnsi="宋体" w:cs="宋体"/>
          <w:b/>
          <w:bCs/>
          <w:szCs w:val="21"/>
        </w:rPr>
      </w:pPr>
      <w:r>
        <w:rPr>
          <w:rFonts w:hint="eastAsia" w:ascii="宋体" w:hAnsi="宋体" w:cs="宋体"/>
          <w:b/>
          <w:bCs/>
          <w:szCs w:val="21"/>
        </w:rPr>
        <w:t>投标单位名称带有括号的，应确保括号的样式（区分英文或汉字输入法）与银行预留的、e采通注册的完全一致，不一致的请自行在e采通中修改，否则影响后续退保证金及付款。</w:t>
      </w:r>
    </w:p>
    <w:p w14:paraId="0DA6BB4D">
      <w:pPr>
        <w:snapToGrid w:val="0"/>
        <w:spacing w:line="288" w:lineRule="auto"/>
        <w:rPr>
          <w:b/>
          <w:bCs/>
        </w:rPr>
      </w:pPr>
      <w:r>
        <w:rPr>
          <w:rFonts w:hint="eastAsia" w:ascii="宋体" w:hAnsi="宋体" w:cs="宋体"/>
          <w:b/>
          <w:bCs/>
          <w:color w:val="0000FF"/>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3958714C">
      <w:pPr>
        <w:rPr>
          <w:rFonts w:ascii="宋体" w:cs="宋体"/>
          <w:b/>
          <w:bCs/>
          <w:color w:val="C00000"/>
          <w:lang w:bidi="ar"/>
        </w:rPr>
      </w:pPr>
    </w:p>
    <w:p w14:paraId="1E62696B">
      <w:pPr>
        <w:rPr>
          <w:rFonts w:ascii="宋体" w:cs="宋体"/>
          <w:b/>
          <w:bCs/>
          <w:color w:val="C00000"/>
          <w:lang w:bidi="ar"/>
        </w:rPr>
      </w:pPr>
    </w:p>
    <w:p w14:paraId="235E90D5">
      <w:pPr>
        <w:rPr>
          <w:rFonts w:ascii="宋体" w:cs="宋体"/>
          <w:b/>
          <w:bCs/>
          <w:sz w:val="32"/>
          <w:szCs w:val="40"/>
          <w:highlight w:val="yellow"/>
        </w:rPr>
      </w:pPr>
      <w:r>
        <w:rPr>
          <w:rFonts w:hint="eastAsia" w:ascii="宋体" w:cs="宋体"/>
          <w:b/>
          <w:bCs/>
          <w:sz w:val="32"/>
          <w:szCs w:val="40"/>
          <w:highlight w:val="yellow"/>
          <w:lang w:bidi="ar"/>
        </w:rPr>
        <w:t>供应商注册</w:t>
      </w:r>
    </w:p>
    <w:p w14:paraId="729F2FF7">
      <w:r>
        <w:rPr>
          <w:rFonts w:hint="eastAsia" w:ascii="宋体" w:cs="宋体"/>
          <w:color w:val="000000"/>
          <w:lang w:bidi="ar"/>
        </w:rPr>
        <w:t>浏览器中输入地址</w:t>
      </w:r>
      <w:r>
        <w:rPr>
          <w:rFonts w:ascii="Calibri" w:hAnsi="Calibri" w:eastAsia="Calibri" w:cs="Calibri"/>
          <w:color w:val="000000"/>
          <w:lang w:bidi="ar"/>
        </w:rPr>
        <w:t>;</w:t>
      </w:r>
    </w:p>
    <w:p w14:paraId="5D0A2A09">
      <w:r>
        <w:fldChar w:fldCharType="begin"/>
      </w:r>
      <w:r>
        <w:instrText xml:space="preserve"> HYPERLINK "http://ecaitong.sinotruk.com:8012/" \l "/login normalLink /tdkey d38o9f /tdfe -10 /tdfu http:/ecaitong.sinotruk.com:8012/#/login /tdlt inline" </w:instrText>
      </w:r>
      <w:r>
        <w:fldChar w:fldCharType="separate"/>
      </w:r>
      <w:r>
        <w:rPr>
          <w:rStyle w:val="18"/>
        </w:rPr>
        <w:t>http</w:t>
      </w:r>
      <w:r>
        <w:rPr>
          <w:rStyle w:val="18"/>
          <w:rFonts w:hint="eastAsia"/>
        </w:rPr>
        <w:t>s</w:t>
      </w:r>
      <w:r>
        <w:rPr>
          <w:rStyle w:val="18"/>
        </w:rPr>
        <w:t>://ecaitong.sinotruk.com:8012/#/login</w:t>
      </w:r>
      <w:r>
        <w:rPr>
          <w:rStyle w:val="18"/>
        </w:rPr>
        <w:fldChar w:fldCharType="end"/>
      </w:r>
    </w:p>
    <w:p w14:paraId="0FCDF66E">
      <w:pPr>
        <w:numPr>
          <w:ilvl w:val="0"/>
          <w:numId w:val="10"/>
        </w:numPr>
        <w:rPr>
          <w:rFonts w:ascii="宋体" w:cs="宋体"/>
          <w:color w:val="000000"/>
          <w:lang w:bidi="ar"/>
        </w:rPr>
      </w:pPr>
      <w:r>
        <w:rPr>
          <w:rFonts w:hint="eastAsia" w:ascii="宋体" w:cs="宋体"/>
          <w:color w:val="000000"/>
          <w:lang w:bidi="ar"/>
        </w:rPr>
        <w:t>点击立即注册</w:t>
      </w:r>
    </w:p>
    <w:p w14:paraId="1B731956">
      <w:pPr>
        <w:rPr>
          <w:sz w:val="13"/>
          <w:szCs w:val="16"/>
          <w:highlight w:val="red"/>
        </w:rPr>
      </w:pPr>
      <w:r>
        <w:rPr>
          <w:rFonts w:hint="eastAsia" w:ascii="宋体" w:cs="宋体"/>
          <w:b/>
          <w:bCs/>
          <w:color w:val="C00000"/>
          <w:sz w:val="28"/>
          <w:szCs w:val="36"/>
          <w:highlight w:val="yellow"/>
          <w:lang w:bidi="ar"/>
        </w:rPr>
        <w:t>新用户注册前请务必仔细阅读系统中的供应商用户手册，根据手册提示进行操作，见下图所示</w:t>
      </w:r>
    </w:p>
    <w:p w14:paraId="23A7470C">
      <w:pPr>
        <w:snapToGrid w:val="0"/>
        <w:spacing w:line="312" w:lineRule="auto"/>
      </w:pPr>
      <w:r>
        <w:rPr>
          <w:rFonts w:ascii="宋体" w:hAnsi="宋体" w:cs="宋体"/>
          <w:sz w:val="24"/>
        </w:rPr>
        <w:drawing>
          <wp:inline distT="0" distB="0" distL="114300" distR="114300">
            <wp:extent cx="5605145" cy="2578735"/>
            <wp:effectExtent l="0" t="0" r="14605" b="12065"/>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8"/>
                    <a:stretch>
                      <a:fillRect/>
                    </a:stretch>
                  </pic:blipFill>
                  <pic:spPr>
                    <a:xfrm>
                      <a:off x="0" y="0"/>
                      <a:ext cx="5605145" cy="2578735"/>
                    </a:xfrm>
                    <a:prstGeom prst="rect">
                      <a:avLst/>
                    </a:prstGeom>
                    <a:noFill/>
                    <a:ln w="9525">
                      <a:noFill/>
                    </a:ln>
                  </pic:spPr>
                </pic:pic>
              </a:graphicData>
            </a:graphic>
          </wp:inline>
        </w:drawing>
      </w:r>
    </w:p>
    <w:p w14:paraId="403FAED3">
      <w:r>
        <w:rPr>
          <w:rFonts w:ascii="Calibri" w:hAnsi="Calibri" w:eastAsia="Calibri" w:cs="Calibri"/>
          <w:color w:val="000000"/>
          <w:lang w:bidi="ar"/>
        </w:rPr>
        <w:t xml:space="preserve">2.     </w:t>
      </w:r>
      <w:r>
        <w:rPr>
          <w:rFonts w:hint="eastAsia" w:ascii="宋体" w:cs="宋体"/>
          <w:color w:val="000000"/>
          <w:lang w:bidi="ar"/>
        </w:rPr>
        <w:t>填写手机号码（没有注册过的）</w:t>
      </w:r>
    </w:p>
    <w:p w14:paraId="54C5F004">
      <w:pPr>
        <w:snapToGrid w:val="0"/>
        <w:spacing w:line="312" w:lineRule="auto"/>
      </w:pPr>
      <w:r>
        <w:drawing>
          <wp:inline distT="0" distB="0" distL="114300" distR="114300">
            <wp:extent cx="5603240" cy="2765425"/>
            <wp:effectExtent l="0" t="0" r="16510" b="15875"/>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9"/>
                    <a:stretch>
                      <a:fillRect/>
                    </a:stretch>
                  </pic:blipFill>
                  <pic:spPr>
                    <a:xfrm>
                      <a:off x="0" y="0"/>
                      <a:ext cx="5603240" cy="2765425"/>
                    </a:xfrm>
                    <a:prstGeom prst="rect">
                      <a:avLst/>
                    </a:prstGeom>
                    <a:noFill/>
                    <a:ln>
                      <a:noFill/>
                    </a:ln>
                  </pic:spPr>
                </pic:pic>
              </a:graphicData>
            </a:graphic>
          </wp:inline>
        </w:drawing>
      </w:r>
    </w:p>
    <w:p w14:paraId="460F96B0">
      <w:pPr>
        <w:rPr>
          <w:b/>
          <w:bCs/>
        </w:rPr>
      </w:pPr>
      <w:r>
        <w:rPr>
          <w:rFonts w:ascii="Calibri" w:hAnsi="Calibri" w:eastAsia="Calibri" w:cs="Calibri"/>
          <w:b/>
          <w:bCs/>
          <w:color w:val="000000"/>
          <w:lang w:bidi="ar"/>
        </w:rPr>
        <w:t xml:space="preserve">3.     </w:t>
      </w:r>
      <w:r>
        <w:rPr>
          <w:rFonts w:hint="eastAsia" w:ascii="宋体" w:cs="宋体"/>
          <w:b/>
          <w:bCs/>
          <w:color w:val="000000"/>
          <w:lang w:bidi="ar"/>
        </w:rPr>
        <w:t>注册成功登录这个手机号码的账号进入系统，点击供应商注册</w:t>
      </w:r>
    </w:p>
    <w:p w14:paraId="6E699587">
      <w:pPr>
        <w:snapToGrid w:val="0"/>
        <w:spacing w:line="312" w:lineRule="auto"/>
      </w:pPr>
      <w:r>
        <w:drawing>
          <wp:inline distT="0" distB="0" distL="114300" distR="114300">
            <wp:extent cx="5605145" cy="2867025"/>
            <wp:effectExtent l="0" t="0" r="14605" b="9525"/>
            <wp:docPr id="9" name="图片 9" descr="descript"/>
            <wp:cNvGraphicFramePr/>
            <a:graphic xmlns:a="http://schemas.openxmlformats.org/drawingml/2006/main">
              <a:graphicData uri="http://schemas.openxmlformats.org/drawingml/2006/picture">
                <pic:pic xmlns:pic="http://schemas.openxmlformats.org/drawingml/2006/picture">
                  <pic:nvPicPr>
                    <pic:cNvPr id="9" name="图片 9" descr="descript"/>
                    <pic:cNvPicPr/>
                  </pic:nvPicPr>
                  <pic:blipFill>
                    <a:blip r:embed="rId10"/>
                    <a:stretch>
                      <a:fillRect/>
                    </a:stretch>
                  </pic:blipFill>
                  <pic:spPr>
                    <a:xfrm>
                      <a:off x="0" y="0"/>
                      <a:ext cx="5605145" cy="2867025"/>
                    </a:xfrm>
                    <a:prstGeom prst="rect">
                      <a:avLst/>
                    </a:prstGeom>
                    <a:noFill/>
                    <a:ln>
                      <a:noFill/>
                    </a:ln>
                  </pic:spPr>
                </pic:pic>
              </a:graphicData>
            </a:graphic>
          </wp:inline>
        </w:drawing>
      </w:r>
    </w:p>
    <w:p w14:paraId="1B690917">
      <w:r>
        <w:rPr>
          <w:rFonts w:ascii="Calibri" w:hAnsi="Calibri" w:eastAsia="Calibri" w:cs="Calibri"/>
          <w:color w:val="000000"/>
          <w:lang w:bidi="ar"/>
        </w:rPr>
        <w:t xml:space="preserve">4.     </w:t>
      </w:r>
      <w:r>
        <w:rPr>
          <w:rFonts w:hint="eastAsia" w:ascii="宋体" w:cs="宋体"/>
          <w:color w:val="000000"/>
          <w:lang w:bidi="ar"/>
        </w:rPr>
        <w:t>点击新增</w:t>
      </w:r>
    </w:p>
    <w:p w14:paraId="17998FC8">
      <w:pPr>
        <w:snapToGrid w:val="0"/>
        <w:spacing w:line="312" w:lineRule="auto"/>
      </w:pPr>
      <w:r>
        <w:drawing>
          <wp:inline distT="0" distB="0" distL="114300" distR="114300">
            <wp:extent cx="5758180" cy="2852420"/>
            <wp:effectExtent l="0" t="0" r="13970" b="5080"/>
            <wp:docPr id="15" name="图片 15" descr="descript"/>
            <wp:cNvGraphicFramePr/>
            <a:graphic xmlns:a="http://schemas.openxmlformats.org/drawingml/2006/main">
              <a:graphicData uri="http://schemas.openxmlformats.org/drawingml/2006/picture">
                <pic:pic xmlns:pic="http://schemas.openxmlformats.org/drawingml/2006/picture">
                  <pic:nvPicPr>
                    <pic:cNvPr id="15" name="图片 15" descr="descript"/>
                    <pic:cNvPicPr/>
                  </pic:nvPicPr>
                  <pic:blipFill>
                    <a:blip r:embed="rId11"/>
                    <a:stretch>
                      <a:fillRect/>
                    </a:stretch>
                  </pic:blipFill>
                  <pic:spPr>
                    <a:xfrm>
                      <a:off x="0" y="0"/>
                      <a:ext cx="5758180" cy="2852420"/>
                    </a:xfrm>
                    <a:prstGeom prst="rect">
                      <a:avLst/>
                    </a:prstGeom>
                    <a:noFill/>
                    <a:ln>
                      <a:noFill/>
                    </a:ln>
                  </pic:spPr>
                </pic:pic>
              </a:graphicData>
            </a:graphic>
          </wp:inline>
        </w:drawing>
      </w:r>
    </w:p>
    <w:p w14:paraId="491A5610">
      <w:r>
        <w:rPr>
          <w:lang w:bidi="ar"/>
        </w:rPr>
        <w:t>5</w:t>
      </w:r>
      <w:r>
        <w:rPr>
          <w:rFonts w:ascii="Calibri" w:hAnsi="Calibri" w:eastAsia="Calibri" w:cs="Calibri"/>
          <w:color w:val="000000"/>
          <w:lang w:bidi="ar"/>
        </w:rPr>
        <w:t xml:space="preserve"> </w:t>
      </w:r>
      <w:r>
        <w:rPr>
          <w:rFonts w:hint="eastAsia" w:ascii="宋体" w:cs="宋体"/>
          <w:color w:val="000000"/>
          <w:lang w:bidi="ar"/>
        </w:rPr>
        <w:t>按要求填写所有信息，注意非生产类要填写合作单位，最后提交审批</w:t>
      </w:r>
    </w:p>
    <w:p w14:paraId="4C2BCE53">
      <w:pPr>
        <w:rPr>
          <w:rFonts w:ascii="宋体" w:cs="宋体"/>
          <w:color w:val="000000"/>
        </w:rPr>
      </w:pPr>
      <w:r>
        <w:drawing>
          <wp:inline distT="0" distB="0" distL="114300" distR="114300">
            <wp:extent cx="5760085" cy="2807335"/>
            <wp:effectExtent l="0" t="0" r="12065" b="1206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12"/>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13970" b="1905"/>
            <wp:docPr id="11" name="图片 11" descr="descript"/>
            <wp:cNvGraphicFramePr/>
            <a:graphic xmlns:a="http://schemas.openxmlformats.org/drawingml/2006/main">
              <a:graphicData uri="http://schemas.openxmlformats.org/drawingml/2006/picture">
                <pic:pic xmlns:pic="http://schemas.openxmlformats.org/drawingml/2006/picture">
                  <pic:nvPicPr>
                    <pic:cNvPr id="11" name="图片 11" descr="descript"/>
                    <pic:cNvPicPr/>
                  </pic:nvPicPr>
                  <pic:blipFill>
                    <a:blip r:embed="rId13"/>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13970" b="1905"/>
            <wp:docPr id="13" name="图片 13" descr="descript"/>
            <wp:cNvGraphicFramePr/>
            <a:graphic xmlns:a="http://schemas.openxmlformats.org/drawingml/2006/main">
              <a:graphicData uri="http://schemas.openxmlformats.org/drawingml/2006/picture">
                <pic:pic xmlns:pic="http://schemas.openxmlformats.org/drawingml/2006/picture">
                  <pic:nvPicPr>
                    <pic:cNvPr id="13" name="图片 13" descr="descript"/>
                    <pic:cNvPicPr/>
                  </pic:nvPicPr>
                  <pic:blipFill>
                    <a:blip r:embed="rId13"/>
                    <a:stretch>
                      <a:fillRect/>
                    </a:stretch>
                  </pic:blipFill>
                  <pic:spPr>
                    <a:xfrm>
                      <a:off x="0" y="0"/>
                      <a:ext cx="5758180" cy="2817495"/>
                    </a:xfrm>
                    <a:prstGeom prst="rect">
                      <a:avLst/>
                    </a:prstGeom>
                    <a:noFill/>
                    <a:ln>
                      <a:noFill/>
                    </a:ln>
                  </pic:spPr>
                </pic:pic>
              </a:graphicData>
            </a:graphic>
          </wp:inline>
        </w:drawing>
      </w:r>
    </w:p>
    <w:p w14:paraId="1CFC6C85"/>
    <w:p w14:paraId="71E1AAF1">
      <w:pPr>
        <w:snapToGrid w:val="0"/>
        <w:spacing w:line="312" w:lineRule="auto"/>
      </w:pPr>
    </w:p>
    <w:p w14:paraId="2CBFFB9A"/>
    <w:p w14:paraId="1DE00F86">
      <w:pPr>
        <w:pStyle w:val="4"/>
        <w:widowControl/>
        <w:rPr>
          <w:rFonts w:ascii="Cambria" w:hAnsi="Cambria" w:cs="Cambria"/>
          <w:highlight w:val="yellow"/>
        </w:rPr>
      </w:pPr>
      <w:r>
        <w:rPr>
          <w:rFonts w:hint="eastAsia" w:ascii="宋体" w:cs="宋体"/>
          <w:highlight w:val="yellow"/>
        </w:rPr>
        <w:t>登录界面</w:t>
      </w:r>
    </w:p>
    <w:p w14:paraId="050AD662">
      <w:pPr>
        <w:spacing w:line="360" w:lineRule="auto"/>
      </w:pPr>
      <w:r>
        <w:rPr>
          <w:lang w:bidi="ar"/>
        </w:rPr>
        <w:t>1</w:t>
      </w:r>
      <w:r>
        <w:rPr>
          <w:rFonts w:hint="eastAsia" w:ascii="宋体" w:cs="宋体"/>
          <w:lang w:bidi="ar"/>
        </w:rPr>
        <w:t>）功能简介</w:t>
      </w:r>
    </w:p>
    <w:p w14:paraId="50730EB6">
      <w:pPr>
        <w:spacing w:line="360" w:lineRule="auto"/>
      </w:pPr>
      <w:r>
        <w:rPr>
          <w:rFonts w:hint="eastAsia" w:ascii="宋体" w:cs="宋体"/>
          <w:lang w:bidi="ar"/>
        </w:rPr>
        <w:t>此页面用于进行账号登录，找回密码。</w:t>
      </w:r>
    </w:p>
    <w:p w14:paraId="21654E5D">
      <w:pPr>
        <w:numPr>
          <w:ilvl w:val="0"/>
          <w:numId w:val="11"/>
        </w:numPr>
        <w:spacing w:line="360" w:lineRule="auto"/>
      </w:pPr>
      <w:r>
        <w:rPr>
          <w:rFonts w:hint="eastAsia" w:ascii="宋体" w:cs="宋体"/>
          <w:lang w:bidi="ar"/>
        </w:rPr>
        <w:t>界面如下</w:t>
      </w:r>
    </w:p>
    <w:p w14:paraId="52872064">
      <w:r>
        <w:drawing>
          <wp:inline distT="0" distB="0" distL="114300" distR="114300">
            <wp:extent cx="5278120" cy="2660650"/>
            <wp:effectExtent l="0" t="0" r="17780" b="6350"/>
            <wp:docPr id="14" name="图片 1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7"/>
                    <pic:cNvPicPr>
                      <a:picLocks noChangeAspect="1"/>
                    </pic:cNvPicPr>
                  </pic:nvPicPr>
                  <pic:blipFill>
                    <a:blip r:embed="rId14"/>
                    <a:stretch>
                      <a:fillRect/>
                    </a:stretch>
                  </pic:blipFill>
                  <pic:spPr>
                    <a:xfrm>
                      <a:off x="0" y="0"/>
                      <a:ext cx="5278120" cy="2660650"/>
                    </a:xfrm>
                    <a:prstGeom prst="rect">
                      <a:avLst/>
                    </a:prstGeom>
                    <a:noFill/>
                    <a:ln>
                      <a:noFill/>
                    </a:ln>
                  </pic:spPr>
                </pic:pic>
              </a:graphicData>
            </a:graphic>
          </wp:inline>
        </w:drawing>
      </w:r>
    </w:p>
    <w:p w14:paraId="6CDBD0A0">
      <w:pPr>
        <w:pStyle w:val="25"/>
        <w:ind w:firstLine="420"/>
      </w:pPr>
      <w:r>
        <w:t>3</w:t>
      </w:r>
      <w:r>
        <w:rPr>
          <w:rFonts w:hint="eastAsia"/>
        </w:rPr>
        <w:t>）页面规则</w:t>
      </w:r>
    </w:p>
    <w:p w14:paraId="1A88F5FE">
      <w:pPr>
        <w:pStyle w:val="25"/>
        <w:ind w:firstLine="422"/>
      </w:pPr>
      <w:r>
        <w:rPr>
          <w:rFonts w:hint="eastAsia"/>
          <w:b/>
          <w:bCs/>
        </w:rPr>
        <w:t>重置密码：</w:t>
      </w:r>
      <w:r>
        <w:rPr>
          <w:rFonts w:hint="eastAsia"/>
        </w:rPr>
        <w:t>对于新注册的供应商，审批流程结束之后</w:t>
      </w:r>
      <w:r>
        <w:t>e</w:t>
      </w:r>
      <w:r>
        <w:rPr>
          <w:rFonts w:hint="eastAsia"/>
        </w:rPr>
        <w:t>采通系统会发送短信到注册的收据号上，会告知登录账号和密码，</w:t>
      </w:r>
      <w:r>
        <w:rPr>
          <w:rFonts w:hint="eastAsia"/>
          <w:b/>
          <w:bCs/>
        </w:rPr>
        <w:t>账号为供应商注册完成后发送到手机上的账号密码。</w:t>
      </w:r>
      <w:r>
        <w:rPr>
          <w:rFonts w:hint="eastAsia"/>
        </w:rPr>
        <w:t>登录系统之后，立即绑定手机号，后续所有的密码重置都可以在登录界面点击忘记密码按钮，验证手机号码进行重置！</w:t>
      </w:r>
    </w:p>
    <w:p w14:paraId="6806712B">
      <w:pPr>
        <w:spacing w:line="360" w:lineRule="auto"/>
      </w:pPr>
      <w:r>
        <w:rPr>
          <w:rFonts w:hint="eastAsia" w:ascii="宋体" w:cs="宋体"/>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0403B4E2">
      <w:pPr>
        <w:pStyle w:val="4"/>
        <w:widowControl/>
        <w:spacing w:line="360" w:lineRule="auto"/>
        <w:rPr>
          <w:rFonts w:ascii="Cambria" w:hAnsi="Cambria" w:cs="Cambria"/>
          <w:highlight w:val="yellow"/>
        </w:rPr>
      </w:pPr>
      <w:r>
        <w:rPr>
          <w:rFonts w:hint="eastAsia" w:ascii="宋体" w:cs="宋体"/>
          <w:highlight w:val="yellow"/>
        </w:rPr>
        <w:t>供应商注册注意事项</w:t>
      </w:r>
    </w:p>
    <w:p w14:paraId="74FB6F25">
      <w:pPr>
        <w:spacing w:line="360" w:lineRule="auto"/>
      </w:pPr>
      <w:r>
        <w:rPr>
          <w:lang w:bidi="ar"/>
        </w:rPr>
        <w:t>1</w:t>
      </w:r>
      <w:r>
        <w:rPr>
          <w:rFonts w:hint="eastAsia" w:ascii="宋体" w:cs="宋体"/>
          <w:lang w:bidi="ar"/>
        </w:rPr>
        <w:t>）功能简介</w:t>
      </w:r>
    </w:p>
    <w:p w14:paraId="53319FE6">
      <w:pPr>
        <w:spacing w:line="360" w:lineRule="auto"/>
      </w:pPr>
      <w:r>
        <w:rPr>
          <w:rFonts w:hint="eastAsia" w:ascii="宋体" w:cs="宋体"/>
          <w:lang w:bidi="ar"/>
        </w:rPr>
        <w:t>此页面用于进行供应商注册</w:t>
      </w:r>
    </w:p>
    <w:p w14:paraId="0070C700">
      <w:pPr>
        <w:pStyle w:val="25"/>
        <w:ind w:firstLine="420"/>
      </w:pPr>
      <w:r>
        <w:t>2</w:t>
      </w:r>
      <w:r>
        <w:rPr>
          <w:rFonts w:hint="eastAsia"/>
        </w:rPr>
        <w:t>）界面如下</w:t>
      </w:r>
    </w:p>
    <w:p w14:paraId="545D3B5D">
      <w:r>
        <w:drawing>
          <wp:inline distT="0" distB="0" distL="114300" distR="114300">
            <wp:extent cx="5342255" cy="2485390"/>
            <wp:effectExtent l="0" t="0" r="10795" b="10160"/>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15"/>
                    <a:stretch>
                      <a:fillRect/>
                    </a:stretch>
                  </pic:blipFill>
                  <pic:spPr>
                    <a:xfrm>
                      <a:off x="0" y="0"/>
                      <a:ext cx="5342255" cy="2485390"/>
                    </a:xfrm>
                    <a:prstGeom prst="rect">
                      <a:avLst/>
                    </a:prstGeom>
                    <a:noFill/>
                    <a:ln>
                      <a:noFill/>
                    </a:ln>
                  </pic:spPr>
                </pic:pic>
              </a:graphicData>
            </a:graphic>
          </wp:inline>
        </w:drawing>
      </w:r>
    </w:p>
    <w:p w14:paraId="41791717">
      <w:pPr>
        <w:pStyle w:val="25"/>
        <w:ind w:firstLine="420"/>
      </w:pPr>
      <w:r>
        <w:rPr>
          <w:rFonts w:hint="eastAsia"/>
        </w:rPr>
        <w:t>3）页面规则</w:t>
      </w:r>
    </w:p>
    <w:p w14:paraId="787E7384">
      <w:pPr>
        <w:pStyle w:val="25"/>
        <w:ind w:firstLine="420"/>
      </w:pPr>
      <w:r>
        <w:rPr>
          <w:rFonts w:hint="eastAsia"/>
        </w:rPr>
        <w:t>点击新增按钮进入注册界面，如果点击提交，系统报错或者系统没反应请先仔细检查自己的填写数据是否完整正确。</w:t>
      </w:r>
    </w:p>
    <w:p w14:paraId="35C58A82">
      <w:pPr>
        <w:spacing w:line="360" w:lineRule="auto"/>
      </w:pPr>
      <w:r>
        <w:rPr>
          <w:rFonts w:hint="eastAsia" w:ascii="宋体" w:cs="宋体"/>
          <w:lang w:bidi="ar"/>
        </w:rPr>
        <w:t>注册信息的字段：尽量把所有信息都填写完整，</w:t>
      </w:r>
    </w:p>
    <w:p w14:paraId="4D7BC37A">
      <w:pPr>
        <w:numPr>
          <w:ilvl w:val="0"/>
          <w:numId w:val="12"/>
        </w:numPr>
        <w:spacing w:line="360" w:lineRule="auto"/>
      </w:pPr>
      <w:r>
        <w:rPr>
          <w:rFonts w:hint="eastAsia" w:ascii="宋体" w:cs="宋体"/>
          <w:lang w:bidi="ar"/>
        </w:rPr>
        <w:t>统一社会信用代码字段，是供应商的唯一标识字段，没有校验规则，如果系统报统一社会信用代码重复则说明此供应商已经在</w:t>
      </w:r>
      <w:r>
        <w:rPr>
          <w:lang w:bidi="ar"/>
        </w:rPr>
        <w:t>e</w:t>
      </w:r>
      <w:r>
        <w:rPr>
          <w:rFonts w:hint="eastAsia" w:ascii="宋体" w:cs="宋体"/>
          <w:lang w:bidi="ar"/>
        </w:rPr>
        <w:t>采通内存在，请咨询对应的采购工程师账号密码。</w:t>
      </w:r>
    </w:p>
    <w:p w14:paraId="5CBA566F">
      <w:pPr>
        <w:numPr>
          <w:ilvl w:val="0"/>
          <w:numId w:val="12"/>
        </w:numPr>
        <w:spacing w:line="360" w:lineRule="auto"/>
        <w:rPr>
          <w:b/>
          <w:bCs/>
          <w:color w:val="C00000"/>
        </w:rPr>
      </w:pPr>
      <w:r>
        <w:rPr>
          <w:rFonts w:hint="eastAsia" w:ascii="宋体" w:cs="宋体"/>
          <w:b/>
          <w:bCs/>
          <w:color w:val="C00000"/>
          <w:lang w:bidi="ar"/>
        </w:rPr>
        <w:t>采购形式编号和投标项目名称、近三年财务指标情况，对于非生产类供应商都是必填项。</w:t>
      </w:r>
    </w:p>
    <w:p w14:paraId="012505F8">
      <w:pPr>
        <w:numPr>
          <w:ilvl w:val="0"/>
          <w:numId w:val="12"/>
        </w:numPr>
        <w:spacing w:line="360" w:lineRule="auto"/>
      </w:pPr>
      <w:r>
        <w:rPr>
          <w:rFonts w:hint="eastAsia" w:ascii="宋体" w:cs="宋体"/>
          <w:lang w:bidi="ar"/>
        </w:rPr>
        <w:t>营业执照有效结束日期目前限制在当前日期及之前，应该限制在当前日期之后，最大允许“</w:t>
      </w:r>
      <w:r>
        <w:rPr>
          <w:lang w:bidi="ar"/>
        </w:rPr>
        <w:t>9999-12-31</w:t>
      </w:r>
      <w:r>
        <w:rPr>
          <w:rFonts w:hint="eastAsia" w:ascii="宋体" w:cs="宋体"/>
          <w:lang w:bidi="ar"/>
        </w:rPr>
        <w:t>”，即代表永久有效。</w:t>
      </w:r>
    </w:p>
    <w:p w14:paraId="2A643368">
      <w:pPr>
        <w:numPr>
          <w:ilvl w:val="0"/>
          <w:numId w:val="12"/>
        </w:numPr>
        <w:spacing w:line="360" w:lineRule="auto"/>
      </w:pPr>
      <w:r>
        <w:rPr>
          <w:rFonts w:hint="eastAsia" w:ascii="宋体" w:cs="宋体"/>
          <w:lang w:bidi="ar"/>
        </w:rPr>
        <w:t>提交成功之后进入审批流，每个节点都会由</w:t>
      </w:r>
      <w:r>
        <w:rPr>
          <w:lang w:bidi="ar"/>
        </w:rPr>
        <w:t>1</w:t>
      </w:r>
      <w:r>
        <w:rPr>
          <w:rFonts w:hint="eastAsia" w:ascii="宋体" w:cs="宋体"/>
          <w:lang w:bidi="ar"/>
        </w:rPr>
        <w:t>个或多个负责人审批，</w:t>
      </w:r>
      <w:r>
        <w:rPr>
          <w:rFonts w:hint="eastAsia" w:ascii="宋体" w:cs="宋体"/>
          <w:color w:val="C00000"/>
          <w:em w:val="dot"/>
          <w:lang w:bidi="ar"/>
        </w:rPr>
        <w:t>提交之后需要随时关注审批进度，被驳回的需要修改后重新提交信息。</w:t>
      </w:r>
      <w:r>
        <w:rPr>
          <w:rFonts w:hint="eastAsia" w:ascii="宋体" w:cs="宋体"/>
          <w:b/>
          <w:bCs/>
          <w:color w:val="C00000"/>
          <w:em w:val="dot"/>
          <w:lang w:bidi="ar"/>
        </w:rPr>
        <w:t>审批流程全部走完结束之后，且有短信通知供应商才算注册成功</w:t>
      </w:r>
      <w:r>
        <w:rPr>
          <w:rFonts w:hint="eastAsia" w:ascii="宋体" w:cs="宋体"/>
          <w:b/>
          <w:bCs/>
          <w:lang w:bidi="ar"/>
        </w:rPr>
        <w:t>。</w:t>
      </w:r>
    </w:p>
    <w:p w14:paraId="1CE5198E">
      <w:pPr>
        <w:pStyle w:val="5"/>
        <w:widowControl/>
        <w:numPr>
          <w:ilvl w:val="0"/>
          <w:numId w:val="12"/>
        </w:numPr>
        <w:spacing w:line="360" w:lineRule="auto"/>
        <w:jc w:val="left"/>
      </w:pPr>
      <w:r>
        <w:rPr>
          <w:rFonts w:hint="eastAsia" w:ascii="宋体" w:cs="宋体"/>
        </w:rPr>
        <w:t>点击“查看”按钮可以进行查看注册信息，供应商提交注册之后想查看审批进度，可以点击此按钮。</w:t>
      </w:r>
    </w:p>
    <w:p w14:paraId="51BB95CA">
      <w:pPr>
        <w:pStyle w:val="5"/>
        <w:widowControl/>
        <w:tabs>
          <w:tab w:val="left" w:pos="312"/>
        </w:tabs>
        <w:spacing w:line="360" w:lineRule="auto"/>
        <w:ind w:firstLine="0"/>
        <w:jc w:val="left"/>
        <w:rPr>
          <w:rFonts w:ascii="宋体" w:cs="宋体"/>
          <w:szCs w:val="21"/>
        </w:rPr>
      </w:pPr>
      <w:r>
        <w:rPr>
          <w:rFonts w:hint="eastAsia" w:ascii="宋体" w:hAnsi="宋体" w:cs="宋体"/>
          <w:b/>
          <w:bCs/>
          <w:szCs w:val="21"/>
          <w:lang w:val="de-DE"/>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24F4EFB8">
      <w:pPr>
        <w:pStyle w:val="5"/>
        <w:widowControl/>
        <w:tabs>
          <w:tab w:val="left" w:pos="312"/>
        </w:tabs>
        <w:spacing w:line="360" w:lineRule="auto"/>
        <w:ind w:firstLine="0"/>
        <w:jc w:val="left"/>
        <w:rPr>
          <w:rFonts w:ascii="宋体" w:cs="宋体"/>
        </w:rPr>
      </w:pPr>
    </w:p>
    <w:p w14:paraId="1365BF1C">
      <w:pPr>
        <w:pStyle w:val="4"/>
        <w:widowControl/>
        <w:rPr>
          <w:highlight w:val="yellow"/>
        </w:rPr>
      </w:pPr>
      <w:r>
        <w:rPr>
          <w:rFonts w:hint="eastAsia" w:cs="黑体"/>
          <w:highlight w:val="yellow"/>
        </w:rPr>
        <w:t>供应商应标</w:t>
      </w:r>
    </w:p>
    <w:p w14:paraId="63B652D5">
      <w:pPr>
        <w:rPr>
          <w:rFonts w:ascii="宋体" w:hAnsi="宋体" w:cs="宋体"/>
          <w:sz w:val="28"/>
          <w:szCs w:val="28"/>
        </w:rPr>
      </w:pPr>
      <w:r>
        <w:rPr>
          <w:rFonts w:hint="eastAsia" w:ascii="宋体" w:hAnsi="宋体" w:cs="宋体"/>
          <w:sz w:val="28"/>
          <w:szCs w:val="28"/>
          <w:lang w:bidi="ar"/>
        </w:rPr>
        <w:t>路径：招投标中心-非生产类招投标-供应商应标</w:t>
      </w:r>
    </w:p>
    <w:p w14:paraId="05C1C3B5">
      <w:pPr>
        <w:rPr>
          <w:rFonts w:ascii="宋体" w:hAnsi="宋体" w:cs="宋体"/>
          <w:sz w:val="28"/>
          <w:szCs w:val="28"/>
          <w:lang w:bidi="ar"/>
        </w:rPr>
      </w:pPr>
      <w:r>
        <w:rPr>
          <w:rFonts w:hint="eastAsia" w:ascii="宋体" w:hAnsi="宋体" w:cs="宋体"/>
          <w:sz w:val="28"/>
          <w:szCs w:val="28"/>
          <w:lang w:bidi="ar"/>
        </w:rPr>
        <w:t>e采通发布招标文件后，根据项目编号搜索本项目并点击应标，上传文件之后点击提交。</w:t>
      </w:r>
    </w:p>
    <w:p w14:paraId="060C0478">
      <w:r>
        <w:rPr>
          <w:rFonts w:hint="eastAsia" w:ascii="宋体" w:hAnsi="宋体" w:cs="宋体"/>
          <w:b/>
          <w:bCs/>
          <w:sz w:val="24"/>
        </w:rPr>
        <w:t>此处应标为线上资格审查环节，不是投标环节，不需要上传投标文件。投标单位应尽快应标以验证e采通账号是否可以正常使用，账号异常的请按下述提示修改账号后提交应标资料，</w:t>
      </w:r>
      <w:r>
        <w:rPr>
          <w:rFonts w:hint="eastAsia" w:ascii="宋体" w:hAnsi="宋体" w:cs="宋体"/>
          <w:b/>
          <w:bCs/>
          <w:color w:val="FF0000"/>
          <w:sz w:val="24"/>
        </w:rPr>
        <w:t>应标审核通过后方可进入投标环节，逾期不应标的无法参与投标</w:t>
      </w:r>
      <w:r>
        <w:rPr>
          <w:rFonts w:hint="eastAsia" w:ascii="宋体" w:hAnsi="宋体" w:cs="宋体"/>
          <w:b/>
          <w:bCs/>
          <w:sz w:val="24"/>
        </w:rPr>
        <w:t>。</w:t>
      </w:r>
    </w:p>
    <w:p w14:paraId="42D6DE86">
      <w:r>
        <w:drawing>
          <wp:inline distT="0" distB="0" distL="114300" distR="114300">
            <wp:extent cx="5393690" cy="2126615"/>
            <wp:effectExtent l="0" t="0" r="16510" b="698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6"/>
                    <a:stretch>
                      <a:fillRect/>
                    </a:stretch>
                  </pic:blipFill>
                  <pic:spPr>
                    <a:xfrm>
                      <a:off x="0" y="0"/>
                      <a:ext cx="5393690" cy="2126615"/>
                    </a:xfrm>
                    <a:prstGeom prst="rect">
                      <a:avLst/>
                    </a:prstGeom>
                    <a:noFill/>
                    <a:ln>
                      <a:noFill/>
                    </a:ln>
                  </pic:spPr>
                </pic:pic>
              </a:graphicData>
            </a:graphic>
          </wp:inline>
        </w:drawing>
      </w:r>
    </w:p>
    <w:p w14:paraId="16984967">
      <w:pPr>
        <w:rPr>
          <w:rFonts w:cs="宋体"/>
          <w:sz w:val="24"/>
          <w:lang w:bidi="ar"/>
        </w:rPr>
      </w:pPr>
      <w:r>
        <w:rPr>
          <w:rFonts w:hint="eastAsia" w:cs="宋体"/>
          <w:sz w:val="24"/>
          <w:lang w:bidi="ar"/>
        </w:rPr>
        <w:t>注意：</w:t>
      </w:r>
    </w:p>
    <w:p w14:paraId="1DEFAF42">
      <w:pPr>
        <w:ind w:firstLine="480" w:firstLineChars="200"/>
        <w:rPr>
          <w:rFonts w:cs="宋体"/>
          <w:sz w:val="24"/>
          <w:lang w:bidi="ar"/>
        </w:rPr>
      </w:pPr>
      <w:r>
        <w:rPr>
          <w:rFonts w:hint="eastAsia" w:cs="宋体"/>
          <w:sz w:val="24"/>
          <w:lang w:bidi="ar"/>
        </w:rPr>
        <w:t>此处如果出现“请到供应商基本信息界面，编辑补充提供财务数据再参与招投标！”提示，则说明供应商基本信息缺失财务数据，重汽财务部门和采购中心要求必须提供财务数据才可以参与招标</w:t>
      </w:r>
    </w:p>
    <w:p w14:paraId="21EB04A1">
      <w:pPr>
        <w:ind w:firstLine="480" w:firstLineChars="200"/>
        <w:rPr>
          <w:rFonts w:cs="宋体"/>
          <w:sz w:val="24"/>
          <w:lang w:bidi="ar"/>
        </w:rPr>
      </w:pPr>
      <w:r>
        <w:rPr>
          <w:rFonts w:hint="eastAsia" w:cs="宋体"/>
          <w:sz w:val="24"/>
          <w:lang w:bidi="ar"/>
        </w:rPr>
        <w:t>补充信息请到供应商中心——供应商变更任务——发起变更，进入信息填写界面，有①基本信息变更②供货类别变更③供货类别变更，选择《是否提供？一般是提供》，此处如果选择“否”系统则允许不提供财务数据的情况下参与应标，但是必须要先和采购中心联系，且此时提交的流程财务数据是不显示的且为空的，慎重。</w:t>
      </w:r>
    </w:p>
    <w:p w14:paraId="7A951A71">
      <w:pPr>
        <w:ind w:firstLine="480" w:firstLineChars="200"/>
        <w:rPr>
          <w:sz w:val="24"/>
        </w:rPr>
      </w:pPr>
      <w:r>
        <w:rPr>
          <w:rFonts w:hint="eastAsia" w:cs="宋体"/>
          <w:sz w:val="24"/>
          <w:lang w:bidi="ar"/>
        </w:rPr>
        <w:t>按要求填写财务数据，财务数据除长期借款、短期借款、对外担保金额可以为</w:t>
      </w:r>
      <w:r>
        <w:rPr>
          <w:sz w:val="24"/>
          <w:lang w:bidi="ar"/>
        </w:rPr>
        <w:t>0</w:t>
      </w:r>
      <w:r>
        <w:rPr>
          <w:rFonts w:hint="eastAsia" w:cs="宋体"/>
          <w:sz w:val="24"/>
          <w:lang w:bidi="ar"/>
        </w:rPr>
        <w:t>其他数据不允许为空，全部信息补充完整（上面其他的名称、地址、等等其他数据不变更不需要填写）之后选择采购工程师提交，经过审批后后才可以参与招标。</w:t>
      </w:r>
    </w:p>
    <w:p w14:paraId="74521A5A">
      <w:pPr>
        <w:ind w:firstLine="480" w:firstLineChars="200"/>
        <w:rPr>
          <w:sz w:val="24"/>
        </w:rPr>
      </w:pPr>
      <w:r>
        <w:rPr>
          <w:rFonts w:hint="eastAsia" w:cs="宋体"/>
          <w:sz w:val="24"/>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4E7D9AD3">
      <w:r>
        <w:drawing>
          <wp:inline distT="0" distB="0" distL="114300" distR="114300">
            <wp:extent cx="5426075" cy="2279015"/>
            <wp:effectExtent l="0" t="0" r="3175" b="6985"/>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17"/>
                    <a:stretch>
                      <a:fillRect/>
                    </a:stretch>
                  </pic:blipFill>
                  <pic:spPr>
                    <a:xfrm>
                      <a:off x="0" y="0"/>
                      <a:ext cx="5426075" cy="2279015"/>
                    </a:xfrm>
                    <a:prstGeom prst="rect">
                      <a:avLst/>
                    </a:prstGeom>
                    <a:noFill/>
                    <a:ln>
                      <a:noFill/>
                    </a:ln>
                  </pic:spPr>
                </pic:pic>
              </a:graphicData>
            </a:graphic>
          </wp:inline>
        </w:drawing>
      </w:r>
    </w:p>
    <w:p w14:paraId="14462730">
      <w:pPr>
        <w:pStyle w:val="5"/>
        <w:widowControl/>
        <w:tabs>
          <w:tab w:val="left" w:pos="312"/>
        </w:tabs>
        <w:spacing w:line="360" w:lineRule="auto"/>
        <w:ind w:firstLine="0"/>
        <w:jc w:val="left"/>
        <w:rPr>
          <w:rFonts w:ascii="宋体" w:cs="宋体"/>
        </w:rPr>
      </w:pPr>
      <w:r>
        <w:drawing>
          <wp:inline distT="0" distB="0" distL="114300" distR="114300">
            <wp:extent cx="5331460" cy="2324100"/>
            <wp:effectExtent l="0" t="0" r="2540" b="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18"/>
                    <a:stretch>
                      <a:fillRect/>
                    </a:stretch>
                  </pic:blipFill>
                  <pic:spPr>
                    <a:xfrm>
                      <a:off x="0" y="0"/>
                      <a:ext cx="5331460" cy="2324100"/>
                    </a:xfrm>
                    <a:prstGeom prst="rect">
                      <a:avLst/>
                    </a:prstGeom>
                    <a:noFill/>
                    <a:ln>
                      <a:noFill/>
                    </a:ln>
                  </pic:spPr>
                </pic:pic>
              </a:graphicData>
            </a:graphic>
          </wp:inline>
        </w:drawing>
      </w:r>
    </w:p>
    <w:p w14:paraId="01C0F6C1">
      <w:pPr>
        <w:rPr>
          <w:rFonts w:ascii="宋体" w:hAnsi="宋体"/>
          <w:kern w:val="0"/>
          <w:sz w:val="24"/>
          <w:szCs w:val="21"/>
          <w:lang w:bidi="en-US"/>
        </w:rPr>
      </w:pPr>
    </w:p>
    <w:p w14:paraId="4DBCC75E">
      <w:pPr>
        <w:pStyle w:val="8"/>
        <w:rPr>
          <w:highlight w:val="none"/>
        </w:rPr>
        <w:sectPr>
          <w:pgSz w:w="11906" w:h="16838"/>
          <w:pgMar w:top="1588" w:right="1418" w:bottom="1134" w:left="1418" w:header="851" w:footer="992" w:gutter="0"/>
          <w:pgNumType w:fmt="decimal"/>
          <w:cols w:space="720" w:num="1"/>
          <w:titlePg/>
          <w:docGrid w:type="lines" w:linePitch="312" w:charSpace="0"/>
        </w:sectPr>
      </w:pPr>
    </w:p>
    <w:p w14:paraId="7D82A662">
      <w:pPr>
        <w:pStyle w:val="8"/>
        <w:outlineLvl w:val="2"/>
        <w:rPr>
          <w:rFonts w:hint="eastAsia" w:ascii="宋体" w:hAnsi="宋体" w:eastAsia="宋体" w:cs="Times New Roman"/>
          <w:b/>
          <w:color w:val="000000"/>
          <w:sz w:val="24"/>
          <w:szCs w:val="24"/>
          <w:highlight w:val="none"/>
          <w:lang w:val="en-US" w:eastAsia="zh-CN"/>
        </w:rPr>
      </w:pPr>
      <w:r>
        <w:rPr>
          <w:rFonts w:hint="eastAsia" w:ascii="宋体" w:hAnsi="宋体" w:eastAsia="宋体" w:cs="Times New Roman"/>
          <w:b/>
          <w:color w:val="000000"/>
          <w:sz w:val="24"/>
          <w:szCs w:val="24"/>
          <w:highlight w:val="none"/>
          <w:lang w:val="en-US" w:eastAsia="zh-CN"/>
        </w:rPr>
        <w:t>SRM系统供应商用户手册</w:t>
      </w:r>
    </w:p>
    <w:p w14:paraId="3890438F">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系统网址：</w:t>
      </w:r>
      <w:r>
        <w:rPr>
          <w:rStyle w:val="18"/>
          <w:rFonts w:hint="eastAsia" w:ascii="宋体" w:hAnsi="宋体" w:eastAsia="宋体" w:cs="宋体"/>
          <w:sz w:val="24"/>
          <w:szCs w:val="24"/>
          <w:highlight w:val="none"/>
        </w:rPr>
        <w:fldChar w:fldCharType="begin"/>
      </w:r>
      <w:r>
        <w:rPr>
          <w:rStyle w:val="18"/>
          <w:rFonts w:hint="eastAsia" w:ascii="宋体" w:hAnsi="宋体" w:eastAsia="宋体" w:cs="宋体"/>
          <w:sz w:val="24"/>
          <w:szCs w:val="24"/>
          <w:highlight w:val="none"/>
        </w:rPr>
        <w:instrText xml:space="preserve">HYPERLINK http://ecaitong.sinotruk.com:8012/ normalLink \tdkey u5b6qk \tdfu http://ecaitong.sinotruk.com:8012/ \tdfn http%3A//ecaitong.sinotruk.com%3A8012/ \tdfe -10 \tdlt text </w:instrText>
      </w:r>
      <w:r>
        <w:rPr>
          <w:rStyle w:val="18"/>
          <w:rFonts w:hint="eastAsia" w:ascii="宋体" w:hAnsi="宋体" w:eastAsia="宋体" w:cs="宋体"/>
          <w:sz w:val="24"/>
          <w:szCs w:val="24"/>
          <w:highlight w:val="none"/>
        </w:rPr>
        <w:fldChar w:fldCharType="separate"/>
      </w:r>
      <w:r>
        <w:rPr>
          <w:rStyle w:val="18"/>
          <w:rFonts w:hint="eastAsia" w:ascii="宋体" w:hAnsi="宋体" w:eastAsia="宋体" w:cs="宋体"/>
          <w:sz w:val="24"/>
          <w:szCs w:val="24"/>
          <w:highlight w:val="none"/>
        </w:rPr>
        <w:t>http</w:t>
      </w:r>
      <w:r>
        <w:rPr>
          <w:rStyle w:val="18"/>
          <w:rFonts w:hint="eastAsia" w:ascii="宋体" w:hAnsi="宋体" w:cs="宋体"/>
          <w:sz w:val="24"/>
          <w:szCs w:val="24"/>
          <w:highlight w:val="none"/>
          <w:lang w:val="en-US" w:eastAsia="zh-CN"/>
        </w:rPr>
        <w:t>s</w:t>
      </w:r>
      <w:r>
        <w:rPr>
          <w:rStyle w:val="18"/>
          <w:rFonts w:hint="eastAsia" w:ascii="宋体" w:hAnsi="宋体" w:eastAsia="宋体" w:cs="宋体"/>
          <w:sz w:val="24"/>
          <w:szCs w:val="24"/>
          <w:highlight w:val="none"/>
        </w:rPr>
        <w:t>://ecaitong.sinotruk.com:8012/</w:t>
      </w:r>
      <w:r>
        <w:rPr>
          <w:rStyle w:val="18"/>
          <w:rFonts w:hint="eastAsia" w:ascii="宋体" w:hAnsi="宋体" w:eastAsia="宋体" w:cs="宋体"/>
          <w:sz w:val="24"/>
          <w:szCs w:val="24"/>
          <w:highlight w:val="none"/>
        </w:rPr>
        <w:fldChar w:fldCharType="end"/>
      </w:r>
    </w:p>
    <w:p w14:paraId="56200013">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3DED7777">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r>
        <w:rPr>
          <w:rFonts w:hint="eastAsia" w:ascii="宋体" w:hAnsi="宋体" w:cs="宋体"/>
          <w:i w:val="0"/>
          <w:strike w:val="0"/>
          <w:color w:val="000000"/>
          <w:sz w:val="24"/>
          <w:szCs w:val="24"/>
          <w:highlight w:val="none"/>
          <w:u w:val="none"/>
          <w:lang w:val="en-US" w:eastAsia="zh-CN"/>
        </w:rPr>
        <w:t>或手机短信接收到的密码</w:t>
      </w:r>
    </w:p>
    <w:p w14:paraId="7C0088B1">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6798DDA9">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32492A21">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35ABEC0F">
      <w:pPr>
        <w:snapToGrid/>
        <w:spacing w:before="0" w:after="0" w:line="240" w:lineRule="auto"/>
        <w:ind w:left="0" w:right="0"/>
        <w:jc w:val="both"/>
        <w:rPr>
          <w:highlight w:val="none"/>
        </w:rPr>
      </w:pPr>
      <w:r>
        <w:rPr>
          <w:highlight w:val="none"/>
        </w:rPr>
        <w:drawing>
          <wp:inline distT="0" distB="0" distL="114300" distR="114300">
            <wp:extent cx="5760085" cy="2269490"/>
            <wp:effectExtent l="0" t="0" r="12065" b="16510"/>
            <wp:docPr id="18" name="图片 9" descr="descript"/>
            <wp:cNvGraphicFramePr/>
            <a:graphic xmlns:a="http://schemas.openxmlformats.org/drawingml/2006/main">
              <a:graphicData uri="http://schemas.openxmlformats.org/drawingml/2006/picture">
                <pic:pic xmlns:pic="http://schemas.openxmlformats.org/drawingml/2006/picture">
                  <pic:nvPicPr>
                    <pic:cNvPr id="18" name="图片 9" descr="descript"/>
                    <pic:cNvPicPr/>
                  </pic:nvPicPr>
                  <pic:blipFill>
                    <a:blip r:embed="rId19"/>
                    <a:stretch>
                      <a:fillRect/>
                    </a:stretch>
                  </pic:blipFill>
                  <pic:spPr>
                    <a:xfrm>
                      <a:off x="0" y="0"/>
                      <a:ext cx="5760085" cy="2269490"/>
                    </a:xfrm>
                    <a:prstGeom prst="rect">
                      <a:avLst/>
                    </a:prstGeom>
                    <a:noFill/>
                    <a:ln>
                      <a:noFill/>
                    </a:ln>
                  </pic:spPr>
                </pic:pic>
              </a:graphicData>
            </a:graphic>
          </wp:inline>
        </w:drawing>
      </w:r>
    </w:p>
    <w:p w14:paraId="5D11CE15">
      <w:pPr>
        <w:snapToGrid/>
        <w:spacing w:before="0" w:after="0" w:line="240" w:lineRule="auto"/>
        <w:ind w:left="0" w:right="0"/>
        <w:jc w:val="both"/>
        <w:rPr>
          <w:highlight w:val="none"/>
        </w:rPr>
      </w:pPr>
    </w:p>
    <w:p w14:paraId="65958115">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34C6106F">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66E96DFB">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20" name="图片 20" descr="descript"/>
            <wp:cNvGraphicFramePr/>
            <a:graphic xmlns:a="http://schemas.openxmlformats.org/drawingml/2006/main">
              <a:graphicData uri="http://schemas.openxmlformats.org/drawingml/2006/picture">
                <pic:pic xmlns:pic="http://schemas.openxmlformats.org/drawingml/2006/picture">
                  <pic:nvPicPr>
                    <pic:cNvPr id="20" name="图片 20" descr="descript"/>
                    <pic:cNvPicPr/>
                  </pic:nvPicPr>
                  <pic:blipFill>
                    <a:blip r:embed="rId20"/>
                    <a:stretch>
                      <a:fillRect/>
                    </a:stretch>
                  </pic:blipFill>
                  <pic:spPr>
                    <a:xfrm>
                      <a:off x="0" y="0"/>
                      <a:ext cx="5760085" cy="2125345"/>
                    </a:xfrm>
                    <a:prstGeom prst="rect">
                      <a:avLst/>
                    </a:prstGeom>
                    <a:noFill/>
                    <a:ln>
                      <a:noFill/>
                    </a:ln>
                  </pic:spPr>
                </pic:pic>
              </a:graphicData>
            </a:graphic>
          </wp:inline>
        </w:drawing>
      </w:r>
    </w:p>
    <w:p w14:paraId="706EEFF1">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6BB94BFC">
      <w:pPr>
        <w:rPr>
          <w:b/>
          <w:bCs/>
          <w:sz w:val="28"/>
          <w:szCs w:val="28"/>
          <w:highlight w:val="none"/>
        </w:rPr>
      </w:pPr>
      <w:r>
        <w:rPr>
          <w:rFonts w:hint="eastAsia"/>
          <w:b/>
          <w:bCs/>
          <w:sz w:val="28"/>
          <w:szCs w:val="28"/>
          <w:highlight w:val="none"/>
        </w:rPr>
        <w:t>请注意，投标报价单位为万元含税</w:t>
      </w:r>
    </w:p>
    <w:p w14:paraId="48CC3805">
      <w:pPr>
        <w:pStyle w:val="6"/>
        <w:rPr>
          <w:highlight w:val="none"/>
        </w:rPr>
      </w:pPr>
    </w:p>
    <w:p w14:paraId="4AC7A04C">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21" name="图片 11" descr="descript"/>
            <wp:cNvGraphicFramePr/>
            <a:graphic xmlns:a="http://schemas.openxmlformats.org/drawingml/2006/main">
              <a:graphicData uri="http://schemas.openxmlformats.org/drawingml/2006/picture">
                <pic:pic xmlns:pic="http://schemas.openxmlformats.org/drawingml/2006/picture">
                  <pic:nvPicPr>
                    <pic:cNvPr id="21" name="图片 11" descr="descript"/>
                    <pic:cNvPicPr/>
                  </pic:nvPicPr>
                  <pic:blipFill>
                    <a:blip r:embed="rId21"/>
                    <a:stretch>
                      <a:fillRect/>
                    </a:stretch>
                  </pic:blipFill>
                  <pic:spPr>
                    <a:xfrm>
                      <a:off x="0" y="0"/>
                      <a:ext cx="5490210" cy="2668905"/>
                    </a:xfrm>
                    <a:prstGeom prst="rect">
                      <a:avLst/>
                    </a:prstGeom>
                    <a:noFill/>
                    <a:ln>
                      <a:noFill/>
                    </a:ln>
                  </pic:spPr>
                </pic:pic>
              </a:graphicData>
            </a:graphic>
          </wp:inline>
        </w:drawing>
      </w:r>
    </w:p>
    <w:p w14:paraId="29845523">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5319B3A9">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65008A1D">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444296FF">
      <w:pPr>
        <w:spacing w:before="0" w:after="0" w:line="360" w:lineRule="auto"/>
        <w:ind w:left="0"/>
        <w:rPr>
          <w:rFonts w:ascii="Arial" w:hAnsi="Arial" w:eastAsia="Arial" w:cs="Arial"/>
          <w:i w:val="0"/>
          <w:strike w:val="0"/>
          <w:color w:val="000000"/>
          <w:sz w:val="28"/>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r>
        <w:rPr>
          <w:highlight w:val="none"/>
        </w:rP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22"/>
                    <a:stretch>
                      <a:fillRect/>
                    </a:stretch>
                  </pic:blipFill>
                  <pic:spPr>
                    <a:xfrm>
                      <a:off x="0" y="0"/>
                      <a:ext cx="5502910" cy="2550795"/>
                    </a:xfrm>
                    <a:prstGeom prst="rect">
                      <a:avLst/>
                    </a:prstGeom>
                  </pic:spPr>
                </pic:pic>
              </a:graphicData>
            </a:graphic>
          </wp:inline>
        </w:drawing>
      </w:r>
    </w:p>
    <w:p w14:paraId="644BD9A2">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5FFAB3A8">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647855A9">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51D0136E">
      <w:pPr>
        <w:rPr>
          <w:b/>
          <w:bCs/>
          <w:sz w:val="28"/>
          <w:szCs w:val="28"/>
          <w:highlight w:val="none"/>
        </w:rPr>
      </w:pPr>
      <w:r>
        <w:rPr>
          <w:rFonts w:hint="eastAsia"/>
          <w:b/>
          <w:bCs/>
          <w:sz w:val="28"/>
          <w:szCs w:val="28"/>
          <w:highlight w:val="none"/>
        </w:rPr>
        <w:t>请注意，报价单位为万元含税</w:t>
      </w:r>
    </w:p>
    <w:p w14:paraId="04FB95FA">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75971643">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72D1B8B8">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046428AF">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23"/>
                    <a:stretch>
                      <a:fillRect/>
                    </a:stretch>
                  </pic:blipFill>
                  <pic:spPr>
                    <a:xfrm>
                      <a:off x="0" y="0"/>
                      <a:ext cx="5300345" cy="2172970"/>
                    </a:xfrm>
                    <a:prstGeom prst="rect">
                      <a:avLst/>
                    </a:prstGeom>
                    <a:noFill/>
                    <a:ln>
                      <a:noFill/>
                    </a:ln>
                  </pic:spPr>
                </pic:pic>
              </a:graphicData>
            </a:graphic>
          </wp:inline>
        </w:drawing>
      </w:r>
    </w:p>
    <w:p w14:paraId="2B98FEA0">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11060DD0">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7C286112">
      <w:pPr>
        <w:snapToGrid/>
        <w:spacing w:before="0" w:after="0" w:line="360" w:lineRule="auto"/>
        <w:ind w:left="0" w:right="0"/>
        <w:jc w:val="both"/>
        <w:rPr>
          <w:rFonts w:hint="eastAsia" w:hAnsi="宋体"/>
          <w:b/>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3E371B80">
      <w:pPr>
        <w:rPr>
          <w:highlight w:val="none"/>
        </w:rPr>
      </w:pPr>
      <w:r>
        <w:rPr>
          <w:highlight w:val="none"/>
        </w:rP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24"/>
                    <a:stretch>
                      <a:fillRect/>
                    </a:stretch>
                  </pic:blipFill>
                  <pic:spPr>
                    <a:xfrm>
                      <a:off x="0" y="0"/>
                      <a:ext cx="4808220" cy="1975485"/>
                    </a:xfrm>
                    <a:prstGeom prst="rect">
                      <a:avLst/>
                    </a:prstGeom>
                  </pic:spPr>
                </pic:pic>
              </a:graphicData>
            </a:graphic>
          </wp:inline>
        </w:drawing>
      </w:r>
      <w:r>
        <w:rPr>
          <w:highlight w:val="none"/>
        </w:rP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25"/>
                    <a:stretch>
                      <a:fillRect/>
                    </a:stretch>
                  </pic:blipFill>
                  <pic:spPr>
                    <a:xfrm>
                      <a:off x="0" y="0"/>
                      <a:ext cx="4883785" cy="2115820"/>
                    </a:xfrm>
                    <a:prstGeom prst="rect">
                      <a:avLst/>
                    </a:prstGeom>
                  </pic:spPr>
                </pic:pic>
              </a:graphicData>
            </a:graphic>
          </wp:inline>
        </w:drawing>
      </w:r>
    </w:p>
    <w:p w14:paraId="7A8A0C73">
      <w:pPr>
        <w:rPr>
          <w:highlight w:val="none"/>
        </w:rPr>
      </w:pPr>
      <w:r>
        <w:rPr>
          <w:rFonts w:hint="eastAsia"/>
          <w:highlight w:val="none"/>
        </w:rPr>
        <w:t>点击查看按钮查看中标通知，点击发送按钮给项目负责人发送回执，发送回执之后回执发送状态变为已发送。</w:t>
      </w:r>
    </w:p>
    <w:p w14:paraId="7BEA3206">
      <w:pPr>
        <w:spacing w:before="0" w:after="0" w:line="360" w:lineRule="auto"/>
        <w:ind w:left="0"/>
        <w:rPr>
          <w:rFonts w:hint="eastAsia" w:ascii="宋体" w:hAnsi="宋体" w:eastAsia="宋体" w:cs="宋体"/>
          <w:b/>
          <w:bCs/>
          <w:i w:val="0"/>
          <w:strike w:val="0"/>
          <w:color w:val="000000"/>
          <w:sz w:val="24"/>
          <w:szCs w:val="24"/>
          <w:highlight w:val="none"/>
          <w:u w:val="none"/>
        </w:rPr>
      </w:pPr>
      <w:r>
        <w:rPr>
          <w:rFonts w:hint="eastAsia" w:ascii="宋体" w:hAnsi="宋体" w:eastAsia="宋体" w:cs="宋体"/>
          <w:b/>
          <w:bCs/>
          <w:i w:val="0"/>
          <w:strike w:val="0"/>
          <w:color w:val="000000"/>
          <w:sz w:val="24"/>
          <w:szCs w:val="24"/>
          <w:highlight w:val="none"/>
          <w:u w:val="none"/>
          <w:lang w:val="en-US" w:eastAsia="zh-CN"/>
        </w:rPr>
        <w:t>7、</w:t>
      </w:r>
      <w:r>
        <w:rPr>
          <w:rFonts w:hint="eastAsia" w:ascii="宋体" w:hAnsi="宋体" w:eastAsia="宋体" w:cs="宋体"/>
          <w:b/>
          <w:bCs/>
          <w:i w:val="0"/>
          <w:strike w:val="0"/>
          <w:color w:val="000000"/>
          <w:sz w:val="24"/>
          <w:szCs w:val="24"/>
          <w:highlight w:val="none"/>
          <w:u w:val="none"/>
        </w:rPr>
        <w:t>评标纪律</w:t>
      </w:r>
    </w:p>
    <w:p w14:paraId="637B1B5F">
      <w:pPr>
        <w:rPr>
          <w:highlight w:val="none"/>
        </w:rPr>
      </w:pPr>
      <w:r>
        <w:rPr>
          <w:highlight w:val="none"/>
        </w:rPr>
        <w:t>路径：招投标中心-非生产类招投标-</w:t>
      </w:r>
      <w:r>
        <w:rPr>
          <w:rFonts w:hint="eastAsia"/>
          <w:highlight w:val="none"/>
        </w:rPr>
        <w:t>供应商投标</w:t>
      </w:r>
    </w:p>
    <w:p w14:paraId="20480621">
      <w:pPr>
        <w:rPr>
          <w:rFonts w:hint="eastAsia"/>
          <w:highlight w:val="none"/>
        </w:rPr>
      </w:pPr>
      <w:r>
        <w:rPr>
          <w:rFonts w:hint="eastAsia"/>
          <w:highlight w:val="none"/>
        </w:rPr>
        <w:t>供应商投标时会弹窗展示评标纪律，要求供应商勾选我已阅知并保证遵守评标记录之后点击确定按钮进入投标界面。</w:t>
      </w:r>
    </w:p>
    <w:p w14:paraId="47BE5153">
      <w:pPr>
        <w:rPr>
          <w:rFonts w:hint="eastAsia"/>
          <w:highlight w:val="none"/>
        </w:rPr>
      </w:pPr>
      <w:r>
        <w:rPr>
          <w:highlight w:val="none"/>
        </w:rP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26"/>
                    <a:stretch>
                      <a:fillRect/>
                    </a:stretch>
                  </pic:blipFill>
                  <pic:spPr>
                    <a:xfrm>
                      <a:off x="0" y="0"/>
                      <a:ext cx="5502910" cy="6014085"/>
                    </a:xfrm>
                    <a:prstGeom prst="rect">
                      <a:avLst/>
                    </a:prstGeom>
                  </pic:spPr>
                </pic:pic>
              </a:graphicData>
            </a:graphic>
          </wp:inline>
        </w:drawing>
      </w:r>
    </w:p>
    <w:p w14:paraId="34D01BFA">
      <w:pPr>
        <w:rPr>
          <w:highlight w:val="none"/>
        </w:rPr>
      </w:pPr>
    </w:p>
    <w:p w14:paraId="5E377BCF">
      <w:pPr>
        <w:rPr>
          <w:highlight w:val="none"/>
        </w:rPr>
      </w:pPr>
    </w:p>
    <w:p w14:paraId="7A1153E3">
      <w:pPr>
        <w:pStyle w:val="11"/>
        <w:rPr>
          <w:rFonts w:hint="eastAsia"/>
        </w:rPr>
      </w:pPr>
    </w:p>
    <w:p w14:paraId="62E9074F">
      <w:pPr>
        <w:rPr>
          <w:rFonts w:hint="eastAsia"/>
        </w:rPr>
      </w:pPr>
    </w:p>
    <w:p w14:paraId="4BF89A13">
      <w:pPr>
        <w:pStyle w:val="11"/>
        <w:rPr>
          <w:rFonts w:hint="eastAsia"/>
        </w:rPr>
      </w:pPr>
    </w:p>
    <w:p w14:paraId="1600AE07">
      <w:pPr>
        <w:rPr>
          <w:rFonts w:hint="eastAsia" w:asciiTheme="minorEastAsia" w:hAnsiTheme="minorEastAsia" w:eastAsiaTheme="minorEastAsia" w:cstheme="minorEastAsia"/>
          <w:lang w:val="en-US" w:eastAsia="zh-CN"/>
        </w:rPr>
      </w:pPr>
    </w:p>
    <w:sectPr>
      <w:head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3716">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56323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0D56323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3AA54">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BE2721">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02BE2721">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41E53">
    <w:pPr>
      <w:pStyle w:val="10"/>
      <w:rPr>
        <w:rFonts w:hint="eastAsia" w:eastAsiaTheme="minorEastAsia"/>
        <w:lang w:eastAsia="zh-CN"/>
      </w:rPr>
    </w:pPr>
    <w:r>
      <w:rPr>
        <w:rFonts w:hint="eastAsia" w:eastAsiaTheme="minorEastAsia"/>
        <w:lang w:eastAsia="zh-CN"/>
      </w:rPr>
      <w:drawing>
        <wp:inline distT="0" distB="0" distL="114300" distR="114300">
          <wp:extent cx="1051560" cy="282575"/>
          <wp:effectExtent l="0" t="0" r="2540" b="952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051560" cy="28257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CBFE0">
    <w:pPr>
      <w:pStyle w:val="10"/>
      <w:rPr>
        <w:rFonts w:hint="eastAsia" w:eastAsiaTheme="minorEastAsia"/>
        <w:lang w:eastAsia="zh-CN"/>
      </w:rPr>
    </w:pPr>
    <w:r>
      <w:rPr>
        <w:rFonts w:hint="eastAsia" w:eastAsiaTheme="minorEastAsia"/>
        <w:lang w:eastAsia="zh-CN"/>
      </w:rPr>
      <w:drawing>
        <wp:inline distT="0" distB="0" distL="114300" distR="114300">
          <wp:extent cx="1051560" cy="282575"/>
          <wp:effectExtent l="0" t="0" r="2540" b="952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
                  <a:stretch>
                    <a:fillRect/>
                  </a:stretch>
                </pic:blipFill>
                <pic:spPr>
                  <a:xfrm>
                    <a:off x="0" y="0"/>
                    <a:ext cx="1051560" cy="2825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C0E0E8"/>
    <w:multiLevelType w:val="singleLevel"/>
    <w:tmpl w:val="B1C0E0E8"/>
    <w:lvl w:ilvl="0" w:tentative="0">
      <w:start w:val="1"/>
      <w:numFmt w:val="decimal"/>
      <w:lvlText w:val="(%1)"/>
      <w:lvlJc w:val="left"/>
      <w:pPr>
        <w:ind w:left="425" w:hanging="425"/>
      </w:pPr>
      <w:rPr>
        <w:rFonts w:hint="default"/>
      </w:rPr>
    </w:lvl>
  </w:abstractNum>
  <w:abstractNum w:abstractNumId="1">
    <w:nsid w:val="CA4A5794"/>
    <w:multiLevelType w:val="singleLevel"/>
    <w:tmpl w:val="CA4A5794"/>
    <w:lvl w:ilvl="0" w:tentative="0">
      <w:start w:val="1"/>
      <w:numFmt w:val="decimal"/>
      <w:suff w:val="nothing"/>
      <w:lvlText w:val="%1．"/>
      <w:lvlJc w:val="left"/>
      <w:pPr>
        <w:ind w:left="0" w:firstLine="400"/>
      </w:pPr>
      <w:rPr>
        <w:rFonts w:hint="default"/>
      </w:rPr>
    </w:lvl>
  </w:abstractNum>
  <w:abstractNum w:abstractNumId="2">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3">
    <w:nsid w:val="F9FC5765"/>
    <w:multiLevelType w:val="multilevel"/>
    <w:tmpl w:val="F9FC5765"/>
    <w:lvl w:ilvl="0" w:tentative="0">
      <w:start w:val="2"/>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FBAF6AFB"/>
    <w:multiLevelType w:val="singleLevel"/>
    <w:tmpl w:val="FBAF6AFB"/>
    <w:lvl w:ilvl="0" w:tentative="0">
      <w:start w:val="1"/>
      <w:numFmt w:val="decimal"/>
      <w:suff w:val="nothing"/>
      <w:lvlText w:val="%1．"/>
      <w:lvlJc w:val="left"/>
      <w:pPr>
        <w:ind w:left="0" w:firstLine="400"/>
      </w:pPr>
      <w:rPr>
        <w:rFonts w:hint="default"/>
      </w:rPr>
    </w:lvl>
  </w:abstractNum>
  <w:abstractNum w:abstractNumId="5">
    <w:nsid w:val="03F4BB7D"/>
    <w:multiLevelType w:val="singleLevel"/>
    <w:tmpl w:val="03F4BB7D"/>
    <w:lvl w:ilvl="0" w:tentative="0">
      <w:start w:val="1"/>
      <w:numFmt w:val="decimal"/>
      <w:suff w:val="nothing"/>
      <w:lvlText w:val="%1．"/>
      <w:lvlJc w:val="left"/>
      <w:pPr>
        <w:ind w:left="0" w:firstLine="400"/>
      </w:pPr>
      <w:rPr>
        <w:rFonts w:hint="default"/>
      </w:rPr>
    </w:lvl>
  </w:abstractNum>
  <w:abstractNum w:abstractNumId="6">
    <w:nsid w:val="17367673"/>
    <w:multiLevelType w:val="singleLevel"/>
    <w:tmpl w:val="17367673"/>
    <w:lvl w:ilvl="0" w:tentative="0">
      <w:start w:val="1"/>
      <w:numFmt w:val="decimal"/>
      <w:lvlText w:val="(%1)"/>
      <w:lvlJc w:val="left"/>
      <w:pPr>
        <w:ind w:left="425" w:hanging="425"/>
      </w:pPr>
      <w:rPr>
        <w:rFonts w:hint="default"/>
      </w:rPr>
    </w:lvl>
  </w:abstractNum>
  <w:abstractNum w:abstractNumId="7">
    <w:nsid w:val="33368046"/>
    <w:multiLevelType w:val="singleLevel"/>
    <w:tmpl w:val="33368046"/>
    <w:lvl w:ilvl="0" w:tentative="0">
      <w:start w:val="1"/>
      <w:numFmt w:val="decimal"/>
      <w:lvlText w:val="%1."/>
      <w:lvlJc w:val="left"/>
      <w:pPr>
        <w:tabs>
          <w:tab w:val="left" w:pos="312"/>
        </w:tabs>
      </w:pPr>
    </w:lvl>
  </w:abstractNum>
  <w:abstractNum w:abstractNumId="8">
    <w:nsid w:val="34F1A75B"/>
    <w:multiLevelType w:val="singleLevel"/>
    <w:tmpl w:val="34F1A75B"/>
    <w:lvl w:ilvl="0" w:tentative="0">
      <w:start w:val="1"/>
      <w:numFmt w:val="decimal"/>
      <w:suff w:val="nothing"/>
      <w:lvlText w:val="%1．"/>
      <w:lvlJc w:val="left"/>
      <w:pPr>
        <w:ind w:left="0" w:firstLine="400"/>
      </w:pPr>
      <w:rPr>
        <w:rFonts w:hint="default"/>
      </w:rPr>
    </w:lvl>
  </w:abstractNum>
  <w:abstractNum w:abstractNumId="9">
    <w:nsid w:val="49E7EBFF"/>
    <w:multiLevelType w:val="singleLevel"/>
    <w:tmpl w:val="49E7EBFF"/>
    <w:lvl w:ilvl="0" w:tentative="0">
      <w:start w:val="1"/>
      <w:numFmt w:val="decimal"/>
      <w:suff w:val="nothing"/>
      <w:lvlText w:val="%1．"/>
      <w:lvlJc w:val="left"/>
      <w:pPr>
        <w:ind w:left="0" w:firstLine="400"/>
      </w:pPr>
      <w:rPr>
        <w:rFonts w:hint="default"/>
      </w:rPr>
    </w:lvl>
  </w:abstractNum>
  <w:abstractNum w:abstractNumId="10">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11">
    <w:nsid w:val="7446C7A1"/>
    <w:multiLevelType w:val="singleLevel"/>
    <w:tmpl w:val="7446C7A1"/>
    <w:lvl w:ilvl="0" w:tentative="0">
      <w:start w:val="1"/>
      <w:numFmt w:val="decimal"/>
      <w:lvlText w:val="%1."/>
      <w:lvlJc w:val="left"/>
      <w:pPr>
        <w:tabs>
          <w:tab w:val="left" w:pos="312"/>
        </w:tabs>
      </w:pPr>
    </w:lvl>
  </w:abstractNum>
  <w:num w:numId="1">
    <w:abstractNumId w:val="5"/>
  </w:num>
  <w:num w:numId="2">
    <w:abstractNumId w:val="9"/>
  </w:num>
  <w:num w:numId="3">
    <w:abstractNumId w:val="4"/>
  </w:num>
  <w:num w:numId="4">
    <w:abstractNumId w:val="8"/>
  </w:num>
  <w:num w:numId="5">
    <w:abstractNumId w:val="3"/>
  </w:num>
  <w:num w:numId="6">
    <w:abstractNumId w:val="7"/>
  </w:num>
  <w:num w:numId="7">
    <w:abstractNumId w:val="1"/>
  </w:num>
  <w:num w:numId="8">
    <w:abstractNumId w:val="6"/>
  </w:num>
  <w:num w:numId="9">
    <w:abstractNumId w:val="0"/>
  </w:num>
  <w:num w:numId="10">
    <w:abstractNumId w:val="11"/>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wZjg3OGEzYmMzNGFkYzM5MWI3NzYyYmRhZDA4MWUifQ=="/>
  </w:docVars>
  <w:rsids>
    <w:rsidRoot w:val="2D5209E8"/>
    <w:rsid w:val="004A118B"/>
    <w:rsid w:val="00AD558A"/>
    <w:rsid w:val="010351AA"/>
    <w:rsid w:val="0163602B"/>
    <w:rsid w:val="01B2221D"/>
    <w:rsid w:val="029C1F55"/>
    <w:rsid w:val="03F9442B"/>
    <w:rsid w:val="05104339"/>
    <w:rsid w:val="056C4410"/>
    <w:rsid w:val="06305B70"/>
    <w:rsid w:val="0671705A"/>
    <w:rsid w:val="067D155B"/>
    <w:rsid w:val="06E25862"/>
    <w:rsid w:val="074309F6"/>
    <w:rsid w:val="075C5614"/>
    <w:rsid w:val="07702E6D"/>
    <w:rsid w:val="07F62778"/>
    <w:rsid w:val="08CE3BD0"/>
    <w:rsid w:val="08F655F4"/>
    <w:rsid w:val="09257414"/>
    <w:rsid w:val="094033AC"/>
    <w:rsid w:val="0A041201"/>
    <w:rsid w:val="0AE95411"/>
    <w:rsid w:val="0AFA13CC"/>
    <w:rsid w:val="0B094C47"/>
    <w:rsid w:val="0BAF5B0C"/>
    <w:rsid w:val="0BB2614A"/>
    <w:rsid w:val="0C756BA7"/>
    <w:rsid w:val="11653E90"/>
    <w:rsid w:val="11F26D23"/>
    <w:rsid w:val="121C60CC"/>
    <w:rsid w:val="12AF2F6A"/>
    <w:rsid w:val="139B3968"/>
    <w:rsid w:val="13DF6E3E"/>
    <w:rsid w:val="13E175CD"/>
    <w:rsid w:val="143F3514"/>
    <w:rsid w:val="14883EEC"/>
    <w:rsid w:val="148E0DD7"/>
    <w:rsid w:val="14F72E20"/>
    <w:rsid w:val="150C68CB"/>
    <w:rsid w:val="153E45AB"/>
    <w:rsid w:val="166B5873"/>
    <w:rsid w:val="16EB0762"/>
    <w:rsid w:val="17872239"/>
    <w:rsid w:val="17A032FB"/>
    <w:rsid w:val="1821268E"/>
    <w:rsid w:val="18864A7A"/>
    <w:rsid w:val="189C0700"/>
    <w:rsid w:val="191775ED"/>
    <w:rsid w:val="19257F5C"/>
    <w:rsid w:val="198C029E"/>
    <w:rsid w:val="1A6A7BF0"/>
    <w:rsid w:val="1ACC4B81"/>
    <w:rsid w:val="1BB63028"/>
    <w:rsid w:val="1CB515F6"/>
    <w:rsid w:val="1CCB2BC8"/>
    <w:rsid w:val="1D4666F2"/>
    <w:rsid w:val="1EDD6E43"/>
    <w:rsid w:val="1FAD0A84"/>
    <w:rsid w:val="1FC81641"/>
    <w:rsid w:val="1FEC0FE2"/>
    <w:rsid w:val="213413FA"/>
    <w:rsid w:val="21AB121A"/>
    <w:rsid w:val="21CB71C6"/>
    <w:rsid w:val="21DE60F4"/>
    <w:rsid w:val="22C762AD"/>
    <w:rsid w:val="233B0189"/>
    <w:rsid w:val="23452FA8"/>
    <w:rsid w:val="2376433B"/>
    <w:rsid w:val="237A0EA4"/>
    <w:rsid w:val="2504624B"/>
    <w:rsid w:val="25F33556"/>
    <w:rsid w:val="25FF38E2"/>
    <w:rsid w:val="267F6838"/>
    <w:rsid w:val="26955FF5"/>
    <w:rsid w:val="26D504E9"/>
    <w:rsid w:val="27AC35F6"/>
    <w:rsid w:val="28920A3E"/>
    <w:rsid w:val="29226266"/>
    <w:rsid w:val="29686427"/>
    <w:rsid w:val="2A6603D4"/>
    <w:rsid w:val="2A846AAC"/>
    <w:rsid w:val="2B326508"/>
    <w:rsid w:val="2BAE6A5B"/>
    <w:rsid w:val="2BC37160"/>
    <w:rsid w:val="2CC95DB4"/>
    <w:rsid w:val="2CE657FC"/>
    <w:rsid w:val="2D5209E8"/>
    <w:rsid w:val="2D597CE1"/>
    <w:rsid w:val="2D6E050E"/>
    <w:rsid w:val="2DC21DC5"/>
    <w:rsid w:val="2E0B1797"/>
    <w:rsid w:val="2E3B71C5"/>
    <w:rsid w:val="2EA17C2D"/>
    <w:rsid w:val="2EB66229"/>
    <w:rsid w:val="30A96802"/>
    <w:rsid w:val="31332594"/>
    <w:rsid w:val="318850D4"/>
    <w:rsid w:val="31A35A6A"/>
    <w:rsid w:val="327F10FF"/>
    <w:rsid w:val="33751688"/>
    <w:rsid w:val="33EC194A"/>
    <w:rsid w:val="33F94067"/>
    <w:rsid w:val="34586FDF"/>
    <w:rsid w:val="347B4A7C"/>
    <w:rsid w:val="35653817"/>
    <w:rsid w:val="35862919"/>
    <w:rsid w:val="35A46254"/>
    <w:rsid w:val="35AE2C2F"/>
    <w:rsid w:val="364C2B74"/>
    <w:rsid w:val="36AC3612"/>
    <w:rsid w:val="370E607B"/>
    <w:rsid w:val="376804EC"/>
    <w:rsid w:val="37E13D07"/>
    <w:rsid w:val="380E5E2D"/>
    <w:rsid w:val="382C7BA0"/>
    <w:rsid w:val="38926838"/>
    <w:rsid w:val="39643D30"/>
    <w:rsid w:val="39BC17B5"/>
    <w:rsid w:val="39C05174"/>
    <w:rsid w:val="3CDE029E"/>
    <w:rsid w:val="3D545582"/>
    <w:rsid w:val="3D9C06BF"/>
    <w:rsid w:val="3EE80F60"/>
    <w:rsid w:val="3F0F0BE2"/>
    <w:rsid w:val="402B37FA"/>
    <w:rsid w:val="40316936"/>
    <w:rsid w:val="4044666A"/>
    <w:rsid w:val="40856125"/>
    <w:rsid w:val="40F25D62"/>
    <w:rsid w:val="415E65C8"/>
    <w:rsid w:val="436F7EA2"/>
    <w:rsid w:val="44F3122C"/>
    <w:rsid w:val="45462E84"/>
    <w:rsid w:val="46256F3D"/>
    <w:rsid w:val="46335C51"/>
    <w:rsid w:val="466E23DA"/>
    <w:rsid w:val="46C2653A"/>
    <w:rsid w:val="46E44703"/>
    <w:rsid w:val="46EC35B7"/>
    <w:rsid w:val="48203946"/>
    <w:rsid w:val="490966A2"/>
    <w:rsid w:val="49FE3D2D"/>
    <w:rsid w:val="4A965D14"/>
    <w:rsid w:val="4AC64234"/>
    <w:rsid w:val="4AE06583"/>
    <w:rsid w:val="4B810772"/>
    <w:rsid w:val="4D8D7E26"/>
    <w:rsid w:val="4E546612"/>
    <w:rsid w:val="4EAE5428"/>
    <w:rsid w:val="4FAD5FDA"/>
    <w:rsid w:val="4FB73276"/>
    <w:rsid w:val="507C1E50"/>
    <w:rsid w:val="5100774C"/>
    <w:rsid w:val="51C07B1A"/>
    <w:rsid w:val="520E0886"/>
    <w:rsid w:val="52416ADF"/>
    <w:rsid w:val="52546089"/>
    <w:rsid w:val="53244FC9"/>
    <w:rsid w:val="538276D1"/>
    <w:rsid w:val="54B03E76"/>
    <w:rsid w:val="55236D3E"/>
    <w:rsid w:val="556709D9"/>
    <w:rsid w:val="55B94FAC"/>
    <w:rsid w:val="55C0458D"/>
    <w:rsid w:val="56226FF5"/>
    <w:rsid w:val="56AB2DA2"/>
    <w:rsid w:val="580E61DD"/>
    <w:rsid w:val="58CB5722"/>
    <w:rsid w:val="5A861959"/>
    <w:rsid w:val="5AC62645"/>
    <w:rsid w:val="5ACE433D"/>
    <w:rsid w:val="5AFC6067"/>
    <w:rsid w:val="5BC85B34"/>
    <w:rsid w:val="5C147F37"/>
    <w:rsid w:val="5C5E240A"/>
    <w:rsid w:val="5C984558"/>
    <w:rsid w:val="5CA97B29"/>
    <w:rsid w:val="5D927437"/>
    <w:rsid w:val="5DF179D9"/>
    <w:rsid w:val="5EFE62B0"/>
    <w:rsid w:val="5F351B48"/>
    <w:rsid w:val="5FE32ACA"/>
    <w:rsid w:val="60765F74"/>
    <w:rsid w:val="61E068F6"/>
    <w:rsid w:val="62777AE9"/>
    <w:rsid w:val="629D1EDE"/>
    <w:rsid w:val="637751E5"/>
    <w:rsid w:val="63E15DFA"/>
    <w:rsid w:val="64086639"/>
    <w:rsid w:val="64354398"/>
    <w:rsid w:val="64A5151D"/>
    <w:rsid w:val="64BB664B"/>
    <w:rsid w:val="659A0956"/>
    <w:rsid w:val="660035C4"/>
    <w:rsid w:val="6660291A"/>
    <w:rsid w:val="667A42E4"/>
    <w:rsid w:val="66F9189A"/>
    <w:rsid w:val="67753429"/>
    <w:rsid w:val="67AB6E4B"/>
    <w:rsid w:val="67CD3934"/>
    <w:rsid w:val="68212E8E"/>
    <w:rsid w:val="688E4077"/>
    <w:rsid w:val="692D388F"/>
    <w:rsid w:val="69455133"/>
    <w:rsid w:val="6A136F29"/>
    <w:rsid w:val="6AD44317"/>
    <w:rsid w:val="6B2E15D5"/>
    <w:rsid w:val="6C0D1D4A"/>
    <w:rsid w:val="6C845EBC"/>
    <w:rsid w:val="6D08089B"/>
    <w:rsid w:val="6D194857"/>
    <w:rsid w:val="6D1A412B"/>
    <w:rsid w:val="6D797533"/>
    <w:rsid w:val="6DC87326"/>
    <w:rsid w:val="6DCC3EAB"/>
    <w:rsid w:val="6DF764F2"/>
    <w:rsid w:val="6E380D0C"/>
    <w:rsid w:val="6E8B52E0"/>
    <w:rsid w:val="70504778"/>
    <w:rsid w:val="70A46B2D"/>
    <w:rsid w:val="712B3508"/>
    <w:rsid w:val="720B0773"/>
    <w:rsid w:val="72281098"/>
    <w:rsid w:val="736A4853"/>
    <w:rsid w:val="73B452D9"/>
    <w:rsid w:val="74DC057F"/>
    <w:rsid w:val="75134281"/>
    <w:rsid w:val="75F55735"/>
    <w:rsid w:val="760A11E0"/>
    <w:rsid w:val="76A87C58"/>
    <w:rsid w:val="77B14B9D"/>
    <w:rsid w:val="783E7867"/>
    <w:rsid w:val="79C97604"/>
    <w:rsid w:val="7A212F9C"/>
    <w:rsid w:val="7BA63759"/>
    <w:rsid w:val="7CAD6D69"/>
    <w:rsid w:val="7CB57329"/>
    <w:rsid w:val="7CC17712"/>
    <w:rsid w:val="7CDE3CAC"/>
    <w:rsid w:val="7D857907"/>
    <w:rsid w:val="7D982C84"/>
    <w:rsid w:val="7E263B08"/>
    <w:rsid w:val="7E9F0934"/>
    <w:rsid w:val="7F1E3F4E"/>
    <w:rsid w:val="7F5434CC"/>
    <w:rsid w:val="7F721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qFormat/>
    <w:uiPriority w:val="0"/>
    <w:pPr>
      <w:keepNext/>
      <w:keepLines/>
      <w:spacing w:before="260" w:after="260" w:line="416" w:lineRule="auto"/>
      <w:outlineLvl w:val="2"/>
    </w:pPr>
    <w:rPr>
      <w:b/>
      <w:bCs/>
      <w:sz w:val="32"/>
      <w:szCs w:val="32"/>
      <w:lang w:val="zh-CN"/>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 w:val="14"/>
    </w:rPr>
  </w:style>
  <w:style w:type="paragraph" w:styleId="6">
    <w:name w:val="Body Text"/>
    <w:basedOn w:val="1"/>
    <w:next w:val="7"/>
    <w:qFormat/>
    <w:uiPriority w:val="0"/>
    <w:pPr>
      <w:spacing w:after="120"/>
    </w:pPr>
    <w:rPr>
      <w:kern w:val="0"/>
      <w:szCs w:val="21"/>
    </w:rPr>
  </w:style>
  <w:style w:type="paragraph" w:customStyle="1" w:styleId="7">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8">
    <w:name w:val="Plain Text"/>
    <w:basedOn w:val="1"/>
    <w:qFormat/>
    <w:uiPriority w:val="0"/>
    <w:rPr>
      <w:rFonts w:ascii="宋体" w:hAnsi="Courier New" w:eastAsia="宋体"/>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2">
    <w:name w:val="Normal (Web)"/>
    <w:basedOn w:val="1"/>
    <w:qFormat/>
    <w:uiPriority w:val="0"/>
    <w:pPr>
      <w:jc w:val="left"/>
    </w:pPr>
    <w:rPr>
      <w:rFonts w:eastAsia="宋体" w:cs="Times New Roman"/>
      <w:kern w:val="0"/>
      <w:sz w:val="24"/>
      <w:szCs w:val="24"/>
    </w:rPr>
  </w:style>
  <w:style w:type="paragraph" w:styleId="13">
    <w:name w:val="Title"/>
    <w:basedOn w:val="1"/>
    <w:next w:val="1"/>
    <w:qFormat/>
    <w:uiPriority w:val="0"/>
    <w:pPr>
      <w:spacing w:before="240" w:after="60"/>
      <w:jc w:val="center"/>
      <w:outlineLvl w:val="0"/>
    </w:pPr>
    <w:rPr>
      <w:rFonts w:ascii="等线 Light" w:hAnsi="等线 Light" w:cs="Times New Roman"/>
      <w:b/>
      <w:bCs/>
      <w:sz w:val="32"/>
      <w:szCs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basedOn w:val="16"/>
    <w:qFormat/>
    <w:uiPriority w:val="0"/>
    <w:rPr>
      <w:color w:val="0000FF"/>
      <w:u w:val="none"/>
    </w:rPr>
  </w:style>
  <w:style w:type="paragraph" w:customStyle="1" w:styleId="19">
    <w:name w:val="列出段落1"/>
    <w:basedOn w:val="1"/>
    <w:qFormat/>
    <w:uiPriority w:val="0"/>
    <w:pPr>
      <w:ind w:firstLine="420" w:firstLineChars="200"/>
    </w:pPr>
  </w:style>
  <w:style w:type="paragraph" w:styleId="20">
    <w:name w:val="List Paragraph"/>
    <w:basedOn w:val="1"/>
    <w:unhideWhenUsed/>
    <w:qFormat/>
    <w:uiPriority w:val="99"/>
    <w:pPr>
      <w:ind w:firstLine="420" w:firstLineChars="200"/>
    </w:pPr>
  </w:style>
  <w:style w:type="paragraph" w:customStyle="1" w:styleId="21">
    <w:name w:val="标书正文格式"/>
    <w:basedOn w:val="8"/>
    <w:qFormat/>
    <w:uiPriority w:val="0"/>
    <w:pPr>
      <w:spacing w:line="360" w:lineRule="auto"/>
      <w:ind w:firstLine="200" w:firstLineChars="200"/>
    </w:pPr>
    <w:rPr>
      <w:rFonts w:hAnsi="宋体" w:eastAsiaTheme="minorEastAsia"/>
      <w:color w:val="000000"/>
      <w:sz w:val="24"/>
      <w:szCs w:val="24"/>
    </w:rPr>
  </w:style>
  <w:style w:type="paragraph" w:customStyle="1" w:styleId="22">
    <w:name w:val="标三级标题"/>
    <w:basedOn w:val="23"/>
    <w:qFormat/>
    <w:uiPriority w:val="0"/>
  </w:style>
  <w:style w:type="paragraph" w:customStyle="1" w:styleId="23">
    <w:name w:val="标书三级标题"/>
    <w:basedOn w:val="3"/>
    <w:next w:val="21"/>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rPr>
  </w:style>
  <w:style w:type="paragraph" w:customStyle="1" w:styleId="24">
    <w:name w:val="列出段落11"/>
    <w:basedOn w:val="1"/>
    <w:qFormat/>
    <w:uiPriority w:val="0"/>
    <w:pPr>
      <w:ind w:firstLine="420" w:firstLineChars="200"/>
    </w:pPr>
    <w:rPr>
      <w:rFonts w:ascii="Calibri" w:hAnsi="Calibri" w:eastAsia="宋体"/>
      <w:szCs w:val="21"/>
    </w:rPr>
  </w:style>
  <w:style w:type="paragraph" w:customStyle="1" w:styleId="25">
    <w:name w:val="列表段落1"/>
    <w:basedOn w:val="1"/>
    <w:qFormat/>
    <w:uiPriority w:val="0"/>
    <w:pPr>
      <w:ind w:firstLine="200" w:firstLineChars="200"/>
    </w:pPr>
    <w:rPr>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4073</Words>
  <Characters>4267</Characters>
  <Lines>0</Lines>
  <Paragraphs>0</Paragraphs>
  <TotalTime>27</TotalTime>
  <ScaleCrop>false</ScaleCrop>
  <LinksUpToDate>false</LinksUpToDate>
  <CharactersWithSpaces>4294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2024-11-15T02:02:00Z</dcterms:created>
  <dc:creator>朱新秀</dc:creator>
  <cp:lastModifiedBy>鲍雅宸</cp:lastModifiedBy>
  <dcterms:modified xsi:type="dcterms:W3CDTF">2026-10-20T06:35:13Z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94D642CE5E734F0EA4AF5FDE0BBE6564_13</vt:lpwstr>
  </property>
  <property fmtid="{D5CDD505-2E9C-101B-9397-08002B2CF9AE}" pid="4" name="KSOTemplateDocerSaveRecord">
    <vt:lpwstr>eyJoZGlkIjoiN2ExYmFjYzQwODgwN2ViMzc5YjkyMDJjMzUwN2QwMmIiLCJ1c2VySWQiOiIxODUzNDE3OTY3In0=</vt:lpwstr>
  </property>
</Properties>
</file>