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color w:val="000000"/>
          <w:sz w:val="30"/>
          <w:szCs w:val="30"/>
        </w:rPr>
      </w:pPr>
    </w:p>
    <w:p>
      <w:pPr>
        <w:jc w:val="center"/>
        <w:rPr>
          <w:rFonts w:ascii="宋体"/>
          <w:color w:val="000000"/>
          <w:sz w:val="30"/>
          <w:szCs w:val="30"/>
        </w:rPr>
      </w:pPr>
    </w:p>
    <w:p>
      <w:pPr>
        <w:jc w:val="center"/>
        <w:rPr>
          <w:rFonts w:ascii="宋体"/>
          <w:color w:val="000000"/>
          <w:sz w:val="48"/>
          <w:szCs w:val="48"/>
        </w:rPr>
      </w:pPr>
      <w:r>
        <w:rPr>
          <w:rFonts w:hint="eastAsia" w:ascii="宋体" w:hAnsi="宋体"/>
          <w:color w:val="000000"/>
          <w:sz w:val="48"/>
          <w:szCs w:val="48"/>
        </w:rPr>
        <w:t>中国重汽集团济南动力有限公司</w:t>
      </w:r>
    </w:p>
    <w:p>
      <w:pPr>
        <w:jc w:val="center"/>
        <w:rPr>
          <w:color w:val="000000"/>
          <w:sz w:val="28"/>
          <w:szCs w:val="28"/>
        </w:rPr>
      </w:pPr>
      <w:r>
        <w:rPr>
          <w:rFonts w:hint="eastAsia" w:ascii="宋体" w:hAnsi="宋体"/>
          <w:color w:val="000000"/>
          <w:sz w:val="48"/>
          <w:szCs w:val="48"/>
          <w:lang w:val="en-US" w:eastAsia="zh-CN"/>
        </w:rPr>
        <w:t>测量管理体系培训项目</w:t>
      </w:r>
    </w:p>
    <w:p>
      <w:pPr>
        <w:jc w:val="center"/>
        <w:rPr>
          <w:color w:val="000000"/>
          <w:sz w:val="28"/>
          <w:szCs w:val="28"/>
        </w:rPr>
      </w:pPr>
    </w:p>
    <w:p>
      <w:pPr>
        <w:jc w:val="center"/>
        <w:rPr>
          <w:rFonts w:hint="eastAsia" w:ascii="黑体" w:hAnsi="宋体" w:eastAsia="黑体"/>
          <w:color w:val="000000"/>
          <w:sz w:val="84"/>
          <w:szCs w:val="84"/>
        </w:rPr>
      </w:pPr>
      <w:r>
        <w:rPr>
          <w:rFonts w:hint="eastAsia" w:ascii="黑体" w:hAnsi="宋体" w:eastAsia="黑体"/>
          <w:color w:val="000000"/>
          <w:sz w:val="84"/>
          <w:szCs w:val="84"/>
        </w:rPr>
        <w:t>招</w:t>
      </w:r>
    </w:p>
    <w:p>
      <w:pPr>
        <w:jc w:val="center"/>
        <w:rPr>
          <w:rFonts w:hint="eastAsia" w:ascii="黑体" w:hAnsi="宋体" w:eastAsia="黑体"/>
          <w:color w:val="000000"/>
          <w:sz w:val="84"/>
          <w:szCs w:val="84"/>
        </w:rPr>
      </w:pPr>
    </w:p>
    <w:p>
      <w:pPr>
        <w:jc w:val="center"/>
        <w:rPr>
          <w:rFonts w:hint="eastAsia" w:ascii="黑体" w:hAnsi="宋体" w:eastAsia="黑体"/>
          <w:color w:val="000000"/>
          <w:sz w:val="84"/>
          <w:szCs w:val="84"/>
        </w:rPr>
      </w:pPr>
      <w:r>
        <w:rPr>
          <w:rFonts w:hint="eastAsia" w:ascii="黑体" w:hAnsi="宋体" w:eastAsia="黑体"/>
          <w:color w:val="000000"/>
          <w:sz w:val="84"/>
          <w:szCs w:val="84"/>
        </w:rPr>
        <w:t>标</w:t>
      </w:r>
    </w:p>
    <w:p>
      <w:pPr>
        <w:jc w:val="center"/>
        <w:rPr>
          <w:rFonts w:hint="eastAsia" w:ascii="黑体" w:hAnsi="宋体" w:eastAsia="黑体"/>
          <w:color w:val="000000"/>
          <w:sz w:val="84"/>
          <w:szCs w:val="84"/>
        </w:rPr>
      </w:pPr>
    </w:p>
    <w:p>
      <w:pPr>
        <w:jc w:val="center"/>
        <w:rPr>
          <w:rFonts w:ascii="宋体"/>
          <w:color w:val="000000"/>
          <w:sz w:val="72"/>
          <w:szCs w:val="72"/>
        </w:rPr>
      </w:pPr>
      <w:r>
        <w:rPr>
          <w:rFonts w:hint="eastAsia" w:ascii="黑体" w:hAnsi="宋体" w:eastAsia="黑体"/>
          <w:color w:val="000000"/>
          <w:sz w:val="84"/>
          <w:szCs w:val="84"/>
        </w:rPr>
        <w:t>书</w:t>
      </w:r>
    </w:p>
    <w:p>
      <w:pPr>
        <w:jc w:val="center"/>
        <w:rPr>
          <w:rFonts w:ascii="宋体"/>
          <w:color w:val="000000"/>
          <w:sz w:val="48"/>
          <w:szCs w:val="48"/>
        </w:rPr>
      </w:pPr>
    </w:p>
    <w:p>
      <w:pPr>
        <w:jc w:val="center"/>
        <w:rPr>
          <w:rFonts w:ascii="宋体"/>
          <w:color w:val="000000"/>
          <w:sz w:val="28"/>
          <w:szCs w:val="28"/>
        </w:rPr>
      </w:pPr>
    </w:p>
    <w:p>
      <w:pPr>
        <w:jc w:val="center"/>
        <w:rPr>
          <w:rFonts w:ascii="宋体"/>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pPr>
        <w:jc w:val="center"/>
        <w:rPr>
          <w:rFonts w:ascii="宋体"/>
          <w:color w:val="000000"/>
          <w:sz w:val="28"/>
          <w:szCs w:val="28"/>
        </w:rPr>
      </w:pPr>
      <w:r>
        <w:rPr>
          <w:rFonts w:ascii="宋体" w:hAnsi="宋体"/>
          <w:color w:val="000000"/>
          <w:sz w:val="28"/>
          <w:szCs w:val="28"/>
        </w:rPr>
        <w:t xml:space="preserve"> 202</w:t>
      </w:r>
      <w:r>
        <w:rPr>
          <w:rFonts w:hint="eastAsia" w:ascii="宋体" w:hAnsi="宋体"/>
          <w:color w:val="000000"/>
          <w:sz w:val="28"/>
          <w:szCs w:val="28"/>
          <w:lang w:val="en-US" w:eastAsia="zh-CN"/>
        </w:rPr>
        <w:t>6</w:t>
      </w:r>
      <w:r>
        <w:rPr>
          <w:rFonts w:hint="eastAsia" w:ascii="宋体" w:hAnsi="宋体"/>
          <w:color w:val="000000"/>
          <w:sz w:val="28"/>
          <w:szCs w:val="28"/>
        </w:rPr>
        <w:t>年</w:t>
      </w:r>
      <w:r>
        <w:rPr>
          <w:rFonts w:hint="default" w:ascii="宋体" w:hAnsi="宋体"/>
          <w:color w:val="000000"/>
          <w:sz w:val="28"/>
          <w:szCs w:val="28"/>
          <w:woUserID w:val="1"/>
        </w:rPr>
        <w:t>9</w:t>
      </w:r>
      <w:r>
        <w:rPr>
          <w:rFonts w:hint="eastAsia" w:ascii="宋体" w:hAnsi="宋体"/>
          <w:color w:val="000000"/>
          <w:sz w:val="28"/>
          <w:szCs w:val="28"/>
        </w:rPr>
        <w:t>月</w:t>
      </w:r>
    </w:p>
    <w:p>
      <w:pPr>
        <w:spacing w:line="480" w:lineRule="auto"/>
        <w:jc w:val="center"/>
        <w:rPr>
          <w:rFonts w:ascii="宋体"/>
          <w:b/>
          <w:bCs/>
          <w:color w:val="0000FF"/>
          <w:sz w:val="48"/>
          <w:szCs w:val="48"/>
        </w:rPr>
      </w:pPr>
    </w:p>
    <w:p>
      <w:pPr>
        <w:spacing w:line="480" w:lineRule="auto"/>
        <w:jc w:val="center"/>
        <w:rPr>
          <w:rFonts w:ascii="宋体"/>
          <w:b/>
          <w:bCs/>
          <w:color w:val="0000FF"/>
          <w:sz w:val="48"/>
          <w:szCs w:val="48"/>
        </w:rPr>
      </w:pPr>
    </w:p>
    <w:p>
      <w:pPr>
        <w:spacing w:line="480" w:lineRule="auto"/>
        <w:jc w:val="center"/>
        <w:rPr>
          <w:rFonts w:ascii="宋体"/>
          <w:b/>
          <w:bCs/>
          <w:color w:val="0000FF"/>
          <w:sz w:val="48"/>
          <w:szCs w:val="48"/>
        </w:rPr>
      </w:pPr>
    </w:p>
    <w:p>
      <w:pPr>
        <w:spacing w:line="480" w:lineRule="auto"/>
        <w:jc w:val="center"/>
        <w:rPr>
          <w:rFonts w:ascii="宋体"/>
          <w:b/>
          <w:bCs/>
          <w:color w:val="000000"/>
          <w:sz w:val="48"/>
          <w:szCs w:val="48"/>
        </w:rPr>
      </w:pPr>
      <w:r>
        <w:rPr>
          <w:rFonts w:hint="eastAsia" w:ascii="宋体" w:hAnsi="宋体"/>
          <w:b/>
          <w:bCs/>
          <w:color w:val="000000"/>
          <w:sz w:val="48"/>
          <w:szCs w:val="48"/>
        </w:rPr>
        <w:t>目</w:t>
      </w:r>
      <w:r>
        <w:rPr>
          <w:rFonts w:ascii="宋体" w:hAnsi="宋体"/>
          <w:b/>
          <w:bCs/>
          <w:color w:val="000000"/>
          <w:sz w:val="48"/>
          <w:szCs w:val="48"/>
        </w:rPr>
        <w:t xml:space="preserve">   </w:t>
      </w:r>
      <w:r>
        <w:rPr>
          <w:rFonts w:hint="eastAsia" w:ascii="宋体" w:hAnsi="宋体"/>
          <w:b/>
          <w:bCs/>
          <w:color w:val="000000"/>
          <w:sz w:val="48"/>
          <w:szCs w:val="48"/>
        </w:rPr>
        <w:t>录</w:t>
      </w:r>
    </w:p>
    <w:p>
      <w:pPr>
        <w:tabs>
          <w:tab w:val="left" w:pos="3240"/>
        </w:tabs>
        <w:spacing w:line="480" w:lineRule="auto"/>
        <w:rPr>
          <w:rFonts w:ascii="宋体"/>
          <w:b/>
          <w:bCs/>
          <w:color w:val="000000"/>
          <w:sz w:val="24"/>
        </w:rPr>
      </w:pPr>
      <w:r>
        <w:rPr>
          <w:rFonts w:ascii="宋体"/>
          <w:b/>
          <w:bCs/>
          <w:color w:val="000000"/>
          <w:sz w:val="24"/>
        </w:rPr>
        <w:tab/>
      </w:r>
    </w:p>
    <w:p>
      <w:pPr>
        <w:tabs>
          <w:tab w:val="left" w:pos="3240"/>
        </w:tabs>
        <w:spacing w:line="480" w:lineRule="auto"/>
        <w:rPr>
          <w:rFonts w:ascii="宋体"/>
          <w:b/>
          <w:bCs/>
          <w:color w:val="000000"/>
          <w:sz w:val="24"/>
        </w:rPr>
      </w:pPr>
    </w:p>
    <w:p>
      <w:pPr>
        <w:tabs>
          <w:tab w:val="left" w:pos="3240"/>
        </w:tabs>
        <w:spacing w:line="480" w:lineRule="auto"/>
        <w:rPr>
          <w:rFonts w:ascii="宋体"/>
          <w:b/>
          <w:bCs/>
          <w:sz w:val="24"/>
        </w:rPr>
      </w:pPr>
    </w:p>
    <w:p>
      <w:pPr>
        <w:pStyle w:val="14"/>
        <w:tabs>
          <w:tab w:val="right" w:leader="dot" w:pos="8729"/>
        </w:tabs>
        <w:rPr>
          <w:rFonts w:hint="eastAsia"/>
          <w:color w:val="auto"/>
          <w:sz w:val="32"/>
          <w:szCs w:val="32"/>
        </w:rPr>
      </w:pPr>
      <w:r>
        <w:rPr>
          <w:sz w:val="24"/>
          <w:highlight w:val="yellow"/>
        </w:rPr>
        <w:fldChar w:fldCharType="begin"/>
      </w:r>
      <w:r>
        <w:rPr>
          <w:sz w:val="24"/>
          <w:highlight w:val="yellow"/>
        </w:rPr>
        <w:instrText xml:space="preserve"> TOC \o "1-2" \h \z </w:instrText>
      </w:r>
      <w:r>
        <w:rPr>
          <w:sz w:val="24"/>
          <w:highlight w:val="yellow"/>
        </w:rPr>
        <w:fldChar w:fldCharType="separate"/>
      </w:r>
      <w:r>
        <w:fldChar w:fldCharType="begin"/>
      </w:r>
      <w:r>
        <w:instrText xml:space="preserve"> HYPERLINK \l "_Toc357155294" </w:instrText>
      </w:r>
      <w:r>
        <w:fldChar w:fldCharType="separate"/>
      </w:r>
      <w:r>
        <w:rPr>
          <w:rStyle w:val="25"/>
          <w:rFonts w:hint="eastAsia"/>
          <w:color w:val="auto"/>
          <w:sz w:val="32"/>
          <w:szCs w:val="32"/>
        </w:rPr>
        <w:t>第一章</w:t>
      </w:r>
      <w:r>
        <w:rPr>
          <w:rStyle w:val="25"/>
          <w:color w:val="auto"/>
          <w:sz w:val="32"/>
          <w:szCs w:val="32"/>
        </w:rPr>
        <w:t xml:space="preserve">  </w:t>
      </w:r>
      <w:r>
        <w:rPr>
          <w:rStyle w:val="25"/>
          <w:rFonts w:hint="eastAsia"/>
          <w:color w:val="auto"/>
          <w:sz w:val="32"/>
          <w:szCs w:val="32"/>
        </w:rPr>
        <w:t>招标公告</w:t>
      </w:r>
      <w:r>
        <w:rPr>
          <w:color w:val="auto"/>
          <w:sz w:val="32"/>
          <w:szCs w:val="32"/>
        </w:rPr>
        <w:tab/>
      </w:r>
      <w:r>
        <w:rPr>
          <w:color w:val="auto"/>
          <w:sz w:val="32"/>
          <w:szCs w:val="32"/>
        </w:rPr>
        <w:fldChar w:fldCharType="end"/>
      </w:r>
      <w:r>
        <w:rPr>
          <w:color w:val="auto"/>
          <w:sz w:val="32"/>
          <w:szCs w:val="32"/>
        </w:rPr>
        <w:t>2</w:t>
      </w:r>
    </w:p>
    <w:p>
      <w:pPr>
        <w:pStyle w:val="14"/>
        <w:tabs>
          <w:tab w:val="right" w:leader="dot" w:pos="8729"/>
        </w:tabs>
        <w:rPr>
          <w:rFonts w:hint="eastAsia"/>
          <w:color w:val="auto"/>
          <w:sz w:val="32"/>
          <w:szCs w:val="32"/>
        </w:rPr>
      </w:pPr>
    </w:p>
    <w:p>
      <w:pPr>
        <w:pStyle w:val="14"/>
        <w:tabs>
          <w:tab w:val="right" w:leader="dot" w:pos="8729"/>
        </w:tabs>
        <w:rPr>
          <w:rFonts w:hint="eastAsia" w:eastAsia="宋体"/>
          <w:color w:val="auto"/>
          <w:sz w:val="32"/>
          <w:szCs w:val="32"/>
          <w:lang w:eastAsia="zh-CN"/>
        </w:rPr>
      </w:pPr>
      <w:r>
        <w:fldChar w:fldCharType="begin"/>
      </w:r>
      <w:r>
        <w:instrText xml:space="preserve"> HYPERLINK \l "_Toc357155295" </w:instrText>
      </w:r>
      <w:r>
        <w:fldChar w:fldCharType="separate"/>
      </w:r>
      <w:r>
        <w:rPr>
          <w:rStyle w:val="25"/>
          <w:rFonts w:hint="eastAsia"/>
          <w:color w:val="auto"/>
          <w:sz w:val="32"/>
          <w:szCs w:val="32"/>
        </w:rPr>
        <w:t>第二章</w:t>
      </w:r>
      <w:r>
        <w:rPr>
          <w:rStyle w:val="25"/>
          <w:color w:val="auto"/>
          <w:sz w:val="32"/>
          <w:szCs w:val="32"/>
        </w:rPr>
        <w:t xml:space="preserve">  </w:t>
      </w:r>
      <w:r>
        <w:rPr>
          <w:rStyle w:val="25"/>
          <w:rFonts w:hint="eastAsia"/>
          <w:color w:val="auto"/>
          <w:sz w:val="32"/>
          <w:szCs w:val="32"/>
        </w:rPr>
        <w:t>投标文件编制</w:t>
      </w:r>
      <w:r>
        <w:rPr>
          <w:color w:val="auto"/>
          <w:sz w:val="32"/>
          <w:szCs w:val="32"/>
        </w:rPr>
        <w:tab/>
      </w:r>
      <w:r>
        <w:rPr>
          <w:color w:val="auto"/>
          <w:sz w:val="32"/>
          <w:szCs w:val="32"/>
        </w:rPr>
        <w:fldChar w:fldCharType="end"/>
      </w:r>
      <w:r>
        <w:rPr>
          <w:color w:val="auto"/>
          <w:sz w:val="32"/>
          <w:szCs w:val="32"/>
        </w:rPr>
        <w:t>1</w:t>
      </w:r>
      <w:r>
        <w:rPr>
          <w:rFonts w:hint="eastAsia"/>
          <w:color w:val="auto"/>
          <w:sz w:val="32"/>
          <w:szCs w:val="32"/>
          <w:lang w:val="en-US" w:eastAsia="zh-CN"/>
        </w:rPr>
        <w:t>1</w:t>
      </w:r>
    </w:p>
    <w:p>
      <w:pPr>
        <w:pStyle w:val="14"/>
        <w:tabs>
          <w:tab w:val="right" w:leader="dot" w:pos="8729"/>
        </w:tabs>
        <w:rPr>
          <w:rFonts w:hint="eastAsia"/>
          <w:color w:val="auto"/>
          <w:sz w:val="32"/>
          <w:szCs w:val="32"/>
        </w:rPr>
      </w:pPr>
    </w:p>
    <w:p>
      <w:pPr>
        <w:pStyle w:val="14"/>
        <w:tabs>
          <w:tab w:val="right" w:leader="dot" w:pos="8729"/>
        </w:tabs>
        <w:rPr>
          <w:rFonts w:hint="eastAsia" w:eastAsia="宋体"/>
          <w:color w:val="auto"/>
          <w:sz w:val="32"/>
          <w:szCs w:val="32"/>
          <w:lang w:eastAsia="zh-CN"/>
        </w:rPr>
      </w:pPr>
      <w:r>
        <w:fldChar w:fldCharType="begin"/>
      </w:r>
      <w:r>
        <w:instrText xml:space="preserve"> HYPERLINK \l "_Toc357155295" </w:instrText>
      </w:r>
      <w:r>
        <w:fldChar w:fldCharType="separate"/>
      </w:r>
      <w:r>
        <w:rPr>
          <w:rStyle w:val="25"/>
          <w:rFonts w:hint="eastAsia"/>
          <w:color w:val="auto"/>
          <w:sz w:val="32"/>
          <w:szCs w:val="32"/>
        </w:rPr>
        <w:t>第三章</w:t>
      </w:r>
      <w:r>
        <w:rPr>
          <w:rStyle w:val="25"/>
          <w:color w:val="auto"/>
          <w:sz w:val="32"/>
          <w:szCs w:val="32"/>
        </w:rPr>
        <w:t xml:space="preserve">  </w:t>
      </w:r>
      <w:r>
        <w:rPr>
          <w:rStyle w:val="25"/>
          <w:rFonts w:hint="eastAsia"/>
          <w:color w:val="auto"/>
          <w:sz w:val="32"/>
          <w:szCs w:val="32"/>
        </w:rPr>
        <w:t>技术标书</w:t>
      </w:r>
      <w:r>
        <w:rPr>
          <w:color w:val="auto"/>
          <w:sz w:val="32"/>
          <w:szCs w:val="32"/>
        </w:rPr>
        <w:tab/>
      </w:r>
      <w:r>
        <w:rPr>
          <w:color w:val="auto"/>
          <w:sz w:val="32"/>
          <w:szCs w:val="32"/>
        </w:rPr>
        <w:fldChar w:fldCharType="end"/>
      </w:r>
      <w:r>
        <w:rPr>
          <w:color w:val="auto"/>
          <w:sz w:val="32"/>
          <w:szCs w:val="32"/>
        </w:rPr>
        <w:t>2</w:t>
      </w:r>
      <w:r>
        <w:rPr>
          <w:rFonts w:hint="eastAsia"/>
          <w:color w:val="auto"/>
          <w:sz w:val="32"/>
          <w:szCs w:val="32"/>
          <w:lang w:val="en-US" w:eastAsia="zh-CN"/>
        </w:rPr>
        <w:t>4</w:t>
      </w:r>
    </w:p>
    <w:p>
      <w:pPr>
        <w:pStyle w:val="14"/>
        <w:tabs>
          <w:tab w:val="right" w:leader="dot" w:pos="8729"/>
        </w:tabs>
        <w:rPr>
          <w:rFonts w:hint="eastAsia"/>
          <w:color w:val="auto"/>
          <w:sz w:val="32"/>
          <w:szCs w:val="32"/>
        </w:rPr>
      </w:pPr>
    </w:p>
    <w:p>
      <w:pPr>
        <w:pStyle w:val="14"/>
        <w:tabs>
          <w:tab w:val="right" w:leader="dot" w:pos="8729"/>
        </w:tabs>
        <w:rPr>
          <w:rFonts w:hint="eastAsia" w:eastAsia="宋体"/>
          <w:lang w:eastAsia="zh-CN"/>
        </w:rPr>
      </w:pPr>
      <w:r>
        <w:fldChar w:fldCharType="begin"/>
      </w:r>
      <w:r>
        <w:instrText xml:space="preserve"> HYPERLINK \l "_Toc357155296" </w:instrText>
      </w:r>
      <w:r>
        <w:fldChar w:fldCharType="separate"/>
      </w:r>
      <w:r>
        <w:rPr>
          <w:rFonts w:hint="eastAsia"/>
          <w:color w:val="auto"/>
          <w:sz w:val="32"/>
          <w:szCs w:val="32"/>
        </w:rPr>
        <w:t>第四章</w:t>
      </w:r>
      <w:r>
        <w:rPr>
          <w:color w:val="auto"/>
          <w:sz w:val="32"/>
          <w:szCs w:val="32"/>
        </w:rPr>
        <w:t xml:space="preserve">  </w:t>
      </w:r>
      <w:r>
        <w:rPr>
          <w:rFonts w:hint="eastAsia"/>
          <w:color w:val="auto"/>
          <w:sz w:val="32"/>
          <w:szCs w:val="32"/>
        </w:rPr>
        <w:t>服务合同</w:t>
      </w:r>
      <w:r>
        <w:rPr>
          <w:color w:val="auto"/>
          <w:sz w:val="32"/>
          <w:szCs w:val="32"/>
        </w:rPr>
        <w:tab/>
      </w:r>
      <w:r>
        <w:rPr>
          <w:color w:val="auto"/>
          <w:sz w:val="32"/>
          <w:szCs w:val="32"/>
        </w:rPr>
        <w:fldChar w:fldCharType="end"/>
      </w:r>
      <w:r>
        <w:rPr>
          <w:color w:val="auto"/>
          <w:sz w:val="32"/>
          <w:szCs w:val="32"/>
        </w:rPr>
        <w:t>2</w:t>
      </w:r>
      <w:r>
        <w:rPr>
          <w:rFonts w:hint="eastAsia"/>
          <w:color w:val="auto"/>
          <w:sz w:val="32"/>
          <w:szCs w:val="32"/>
          <w:lang w:val="en-US" w:eastAsia="zh-CN"/>
        </w:rPr>
        <w:t>6</w:t>
      </w:r>
    </w:p>
    <w:p>
      <w:pPr>
        <w:tabs>
          <w:tab w:val="left" w:pos="3240"/>
        </w:tabs>
        <w:spacing w:line="480" w:lineRule="auto"/>
        <w:rPr>
          <w:color w:val="000000"/>
        </w:rPr>
      </w:pPr>
      <w:r>
        <w:rPr>
          <w:sz w:val="24"/>
          <w:highlight w:val="yellow"/>
        </w:rPr>
        <w:fldChar w:fldCharType="end"/>
      </w: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rPr>
          <w:color w:val="0000FF"/>
        </w:rPr>
      </w:pPr>
    </w:p>
    <w:p>
      <w:pPr>
        <w:pStyle w:val="10"/>
        <w:spacing w:line="360" w:lineRule="auto"/>
        <w:jc w:val="center"/>
        <w:outlineLvl w:val="0"/>
        <w:rPr>
          <w:rFonts w:ascii="黑体" w:eastAsia="黑体"/>
          <w:b/>
          <w:bCs/>
          <w:color w:val="000000"/>
          <w:sz w:val="36"/>
          <w:szCs w:val="36"/>
        </w:rPr>
      </w:pPr>
      <w:r>
        <w:rPr>
          <w:rFonts w:hint="eastAsia" w:ascii="黑体" w:eastAsia="黑体"/>
          <w:b/>
          <w:bCs/>
          <w:color w:val="000000"/>
          <w:sz w:val="36"/>
          <w:szCs w:val="36"/>
        </w:rPr>
        <w:t>第一章</w:t>
      </w:r>
      <w:r>
        <w:rPr>
          <w:rFonts w:ascii="黑体" w:eastAsia="黑体"/>
          <w:b/>
          <w:bCs/>
          <w:color w:val="000000"/>
          <w:sz w:val="36"/>
          <w:szCs w:val="36"/>
        </w:rPr>
        <w:t xml:space="preserve">  </w:t>
      </w:r>
      <w:r>
        <w:rPr>
          <w:rFonts w:hint="eastAsia" w:ascii="黑体" w:eastAsia="黑体"/>
          <w:b/>
          <w:bCs/>
          <w:color w:val="000000"/>
          <w:sz w:val="36"/>
          <w:szCs w:val="36"/>
        </w:rPr>
        <w:t>招标公告</w:t>
      </w:r>
    </w:p>
    <w:p>
      <w:pPr>
        <w:pStyle w:val="10"/>
        <w:spacing w:line="360" w:lineRule="auto"/>
        <w:ind w:firstLine="420" w:firstLineChars="150"/>
        <w:rPr>
          <w:rFonts w:ascii="黑体" w:eastAsia="黑体"/>
          <w:b/>
          <w:bCs/>
          <w:color w:val="000000"/>
          <w:sz w:val="28"/>
        </w:rPr>
      </w:pPr>
      <w:r>
        <w:rPr>
          <w:rFonts w:hint="eastAsia" w:ascii="黑体" w:eastAsia="黑体"/>
          <w:b/>
          <w:bCs/>
          <w:color w:val="000000"/>
          <w:sz w:val="28"/>
        </w:rPr>
        <w:t>一、项目名称</w:t>
      </w:r>
    </w:p>
    <w:p>
      <w:pPr>
        <w:ind w:firstLine="420" w:firstLineChars="200"/>
        <w:rPr>
          <w:rFonts w:hint="eastAsia"/>
          <w:color w:val="000000"/>
          <w:szCs w:val="21"/>
        </w:rPr>
      </w:pPr>
      <w:bookmarkStart w:id="0" w:name="OLE_LINK1"/>
      <w:r>
        <w:rPr>
          <w:rFonts w:hint="eastAsia"/>
          <w:color w:val="000000"/>
          <w:szCs w:val="21"/>
        </w:rPr>
        <w:t>项目名称：</w:t>
      </w:r>
      <w:r>
        <w:rPr>
          <w:rFonts w:hint="eastAsia"/>
          <w:color w:val="000000"/>
          <w:szCs w:val="21"/>
          <w:lang w:val="en-US" w:eastAsia="zh-CN"/>
        </w:rPr>
        <w:t>测量管理体系培训项目</w:t>
      </w:r>
      <w:r>
        <w:rPr>
          <w:rFonts w:hint="eastAsia"/>
          <w:color w:val="000000"/>
          <w:szCs w:val="21"/>
        </w:rPr>
        <w:t>。</w:t>
      </w:r>
    </w:p>
    <w:bookmarkEnd w:id="0"/>
    <w:p>
      <w:pPr>
        <w:pStyle w:val="10"/>
        <w:spacing w:line="360" w:lineRule="auto"/>
        <w:ind w:firstLine="420" w:firstLineChars="150"/>
        <w:rPr>
          <w:rFonts w:ascii="黑体" w:eastAsia="黑体"/>
          <w:b/>
          <w:bCs/>
          <w:color w:val="000000"/>
          <w:sz w:val="28"/>
        </w:rPr>
      </w:pPr>
      <w:r>
        <w:rPr>
          <w:rFonts w:hint="eastAsia" w:ascii="黑体" w:eastAsia="黑体"/>
          <w:b/>
          <w:bCs/>
          <w:color w:val="000000"/>
          <w:sz w:val="28"/>
        </w:rPr>
        <w:t>二、招标内容</w:t>
      </w:r>
    </w:p>
    <w:p>
      <w:pPr>
        <w:ind w:firstLine="420" w:firstLineChars="200"/>
        <w:rPr>
          <w:color w:val="000000"/>
          <w:szCs w:val="21"/>
        </w:rPr>
      </w:pPr>
      <w:r>
        <w:rPr>
          <w:rFonts w:hint="eastAsia"/>
          <w:color w:val="000000"/>
          <w:szCs w:val="21"/>
        </w:rPr>
        <w:t>招标内容：</w:t>
      </w:r>
      <w:r>
        <w:rPr>
          <w:rFonts w:hint="eastAsia"/>
          <w:color w:val="000000"/>
          <w:szCs w:val="21"/>
          <w:lang w:val="en-US" w:eastAsia="zh-CN"/>
        </w:rPr>
        <w:t>测量管理体系培训项目</w:t>
      </w:r>
      <w:r>
        <w:rPr>
          <w:rFonts w:hint="eastAsia"/>
          <w:szCs w:val="21"/>
        </w:rPr>
        <w:t>。</w:t>
      </w:r>
      <w:r>
        <w:rPr>
          <w:color w:val="000000"/>
          <w:szCs w:val="21"/>
        </w:rPr>
        <w:t xml:space="preserve"> </w:t>
      </w:r>
    </w:p>
    <w:p>
      <w:pPr>
        <w:pStyle w:val="10"/>
        <w:spacing w:line="360" w:lineRule="auto"/>
        <w:ind w:firstLine="420" w:firstLineChars="150"/>
        <w:rPr>
          <w:rFonts w:ascii="黑体" w:eastAsia="黑体"/>
          <w:b/>
          <w:bCs/>
          <w:color w:val="000000"/>
          <w:sz w:val="28"/>
        </w:rPr>
      </w:pPr>
      <w:r>
        <w:rPr>
          <w:rFonts w:hint="eastAsia" w:ascii="黑体" w:eastAsia="黑体"/>
          <w:b/>
          <w:bCs/>
          <w:color w:val="000000"/>
          <w:sz w:val="28"/>
        </w:rPr>
        <w:t>三、招标形式</w:t>
      </w:r>
    </w:p>
    <w:p>
      <w:pPr>
        <w:pStyle w:val="10"/>
        <w:spacing w:line="360" w:lineRule="auto"/>
        <w:ind w:firstLine="420" w:firstLineChars="200"/>
        <w:rPr>
          <w:color w:val="000000"/>
          <w:szCs w:val="21"/>
        </w:rPr>
      </w:pPr>
      <w:r>
        <w:rPr>
          <w:rFonts w:hint="eastAsia"/>
          <w:color w:val="000000"/>
          <w:szCs w:val="21"/>
        </w:rPr>
        <w:t>招标形式：公开招标。</w:t>
      </w:r>
    </w:p>
    <w:p>
      <w:pPr>
        <w:pStyle w:val="10"/>
        <w:spacing w:line="360" w:lineRule="auto"/>
        <w:ind w:firstLine="412" w:firstLineChars="147"/>
        <w:rPr>
          <w:rFonts w:ascii="黑体" w:eastAsia="黑体"/>
          <w:b/>
          <w:bCs/>
          <w:color w:val="000000"/>
          <w:sz w:val="28"/>
        </w:rPr>
      </w:pPr>
      <w:r>
        <w:rPr>
          <w:rFonts w:hint="eastAsia" w:ascii="黑体" w:eastAsia="黑体"/>
          <w:b/>
          <w:bCs/>
          <w:color w:val="000000"/>
          <w:sz w:val="28"/>
        </w:rPr>
        <w:t>四、招标议程</w:t>
      </w:r>
    </w:p>
    <w:p>
      <w:pPr>
        <w:pStyle w:val="10"/>
        <w:spacing w:line="360" w:lineRule="auto"/>
        <w:ind w:firstLine="420" w:firstLineChars="200"/>
        <w:rPr>
          <w:highlight w:val="yellow"/>
        </w:rPr>
      </w:pPr>
      <w:r>
        <w:rPr>
          <w:highlight w:val="yellow"/>
        </w:rPr>
        <w:t>1.</w:t>
      </w:r>
      <w:r>
        <w:rPr>
          <w:rFonts w:hint="eastAsia"/>
          <w:highlight w:val="yellow"/>
        </w:rPr>
        <w:t>公告时间：</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3</w:t>
      </w:r>
      <w:r>
        <w:rPr>
          <w:rFonts w:hint="eastAsia"/>
          <w:highlight w:val="yellow"/>
        </w:rPr>
        <w:t>日</w:t>
      </w:r>
    </w:p>
    <w:p>
      <w:pPr>
        <w:pStyle w:val="10"/>
        <w:spacing w:line="360" w:lineRule="auto"/>
        <w:ind w:firstLine="420" w:firstLineChars="200"/>
        <w:rPr>
          <w:rFonts w:hint="eastAsia"/>
          <w:color w:val="000000"/>
          <w:highlight w:val="yellow"/>
        </w:rPr>
      </w:pPr>
      <w:r>
        <w:rPr>
          <w:rFonts w:hint="eastAsia"/>
          <w:highlight w:val="yellow"/>
        </w:rPr>
        <w:t>2</w:t>
      </w:r>
      <w:r>
        <w:rPr>
          <w:highlight w:val="yellow"/>
        </w:rPr>
        <w:t>.</w:t>
      </w:r>
      <w:r>
        <w:rPr>
          <w:rFonts w:hint="eastAsia"/>
          <w:highlight w:val="yellow"/>
        </w:rPr>
        <w:t>报名截止时间：</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11</w:t>
      </w:r>
      <w:r>
        <w:rPr>
          <w:rFonts w:hint="eastAsia"/>
          <w:highlight w:val="yellow"/>
        </w:rPr>
        <w:t>日</w:t>
      </w:r>
      <w:r>
        <w:rPr>
          <w:highlight w:val="yellow"/>
        </w:rPr>
        <w:t>17:00</w:t>
      </w:r>
      <w:r>
        <w:rPr>
          <w:rFonts w:hint="eastAsia"/>
          <w:highlight w:val="yellow"/>
        </w:rPr>
        <w:t>点前</w:t>
      </w:r>
      <w:r>
        <w:rPr>
          <w:rFonts w:hint="eastAsia"/>
          <w:color w:val="000000"/>
          <w:highlight w:val="yellow"/>
        </w:rPr>
        <w:t>（书面或电子邮件形式）</w:t>
      </w:r>
    </w:p>
    <w:p>
      <w:pPr>
        <w:pStyle w:val="10"/>
        <w:spacing w:line="360" w:lineRule="auto"/>
        <w:ind w:firstLine="420" w:firstLineChars="200"/>
        <w:rPr>
          <w:rFonts w:hint="eastAsia"/>
          <w:color w:val="000000"/>
          <w:highlight w:val="none"/>
        </w:rPr>
      </w:pPr>
      <w:r>
        <w:rPr>
          <w:rFonts w:hint="eastAsia"/>
          <w:color w:val="000000"/>
          <w:highlight w:val="none"/>
        </w:rPr>
        <w:t>请务必在应标截止时间前完成注册及应标操作，注册审核需2-4日，应标截止时间精确到秒，逾期将无法应标。请自行掌握时间，避免无法应标</w:t>
      </w:r>
      <w:r>
        <w:rPr>
          <w:rFonts w:hint="eastAsia"/>
          <w:color w:val="000000"/>
          <w:highlight w:val="none"/>
          <w:lang w:eastAsia="zh-CN"/>
        </w:rPr>
        <w:t>，</w:t>
      </w:r>
      <w:r>
        <w:rPr>
          <w:rFonts w:hint="eastAsia"/>
          <w:color w:val="000000"/>
          <w:highlight w:val="none"/>
        </w:rPr>
        <w:t>请投标人确认中国重汽e采通系统中供应商信息完整、准确，因供应商信息不全或错误导致的报名不成功，由投标人自行承担。</w:t>
      </w:r>
    </w:p>
    <w:p>
      <w:pPr>
        <w:pStyle w:val="10"/>
        <w:spacing w:line="360" w:lineRule="auto"/>
        <w:ind w:firstLine="420" w:firstLineChars="200"/>
      </w:pPr>
      <w:r>
        <w:rPr>
          <w:rFonts w:hint="eastAsia"/>
          <w:highlight w:val="yellow"/>
        </w:rPr>
        <w:t>3</w:t>
      </w:r>
      <w:r>
        <w:rPr>
          <w:highlight w:val="yellow"/>
        </w:rPr>
        <w:t>.</w:t>
      </w:r>
      <w:r>
        <w:rPr>
          <w:rFonts w:hint="eastAsia"/>
          <w:highlight w:val="yellow"/>
        </w:rPr>
        <w:t>答疑时间：截止至</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11</w:t>
      </w:r>
      <w:r>
        <w:rPr>
          <w:rFonts w:hint="eastAsia"/>
          <w:highlight w:val="yellow"/>
        </w:rPr>
        <w:t>日</w:t>
      </w:r>
      <w:r>
        <w:rPr>
          <w:highlight w:val="yellow"/>
        </w:rPr>
        <w:t>17:00</w:t>
      </w:r>
      <w:r>
        <w:rPr>
          <w:rFonts w:hint="eastAsia"/>
          <w:highlight w:val="yellow"/>
        </w:rPr>
        <w:t>点前</w:t>
      </w:r>
      <w:r>
        <w:rPr>
          <w:rFonts w:hint="eastAsia"/>
          <w:color w:val="000000"/>
          <w:highlight w:val="yellow"/>
        </w:rPr>
        <w:t>（若有变动另行通知）</w:t>
      </w:r>
    </w:p>
    <w:p>
      <w:pPr>
        <w:pStyle w:val="10"/>
        <w:spacing w:line="360" w:lineRule="auto"/>
        <w:ind w:firstLine="630" w:firstLineChars="300"/>
        <w:rPr>
          <w:color w:val="000000"/>
        </w:rPr>
      </w:pPr>
      <w:r>
        <w:rPr>
          <w:rFonts w:hint="eastAsia"/>
          <w:color w:val="000000"/>
        </w:rPr>
        <w:t>答疑方式：书面（或电话）答疑。</w:t>
      </w:r>
    </w:p>
    <w:p>
      <w:pPr>
        <w:pStyle w:val="10"/>
        <w:spacing w:line="360" w:lineRule="auto"/>
        <w:ind w:firstLine="630" w:firstLineChars="300"/>
        <w:rPr>
          <w:color w:val="000000"/>
        </w:rPr>
      </w:pPr>
      <w:r>
        <w:rPr>
          <w:rFonts w:hint="eastAsia"/>
          <w:color w:val="000000"/>
        </w:rPr>
        <w:t>答疑联系人：</w:t>
      </w:r>
      <w:r>
        <w:rPr>
          <w:rFonts w:hint="eastAsia"/>
          <w:color w:val="000000"/>
          <w:lang w:val="en-US" w:eastAsia="zh-CN"/>
        </w:rPr>
        <w:t>刘美丽</w:t>
      </w:r>
      <w:r>
        <w:rPr>
          <w:rFonts w:hint="eastAsia"/>
          <w:color w:val="000000"/>
        </w:rPr>
        <w:t>、潘婧</w:t>
      </w:r>
    </w:p>
    <w:p>
      <w:pPr>
        <w:pStyle w:val="10"/>
        <w:spacing w:line="360" w:lineRule="auto"/>
        <w:ind w:firstLine="630" w:firstLineChars="300"/>
        <w:rPr>
          <w:color w:val="000000"/>
        </w:rPr>
      </w:pPr>
      <w:r>
        <w:rPr>
          <w:rFonts w:hint="eastAsia"/>
          <w:color w:val="000000"/>
        </w:rPr>
        <w:t>答疑联系电话：</w:t>
      </w:r>
      <w:r>
        <w:rPr>
          <w:rFonts w:hint="eastAsia"/>
          <w:color w:val="000000"/>
          <w:lang w:val="en-US" w:eastAsia="zh-CN"/>
        </w:rPr>
        <w:t>13688637956</w:t>
      </w:r>
      <w:r>
        <w:rPr>
          <w:rFonts w:hint="eastAsia"/>
          <w:color w:val="000000"/>
        </w:rPr>
        <w:t>、13205419258</w:t>
      </w:r>
    </w:p>
    <w:p>
      <w:pPr>
        <w:pStyle w:val="10"/>
        <w:spacing w:line="360" w:lineRule="auto"/>
        <w:ind w:firstLine="630" w:firstLineChars="300"/>
      </w:pPr>
      <w:r>
        <w:rPr>
          <w:rFonts w:hint="eastAsia"/>
          <w:color w:val="000000"/>
        </w:rPr>
        <w:t>邮箱：</w:t>
      </w:r>
      <w:r>
        <w:rPr>
          <w:rFonts w:hint="eastAsia"/>
        </w:rPr>
        <w:fldChar w:fldCharType="begin"/>
      </w:r>
      <w:r>
        <w:rPr>
          <w:rFonts w:hint="eastAsia"/>
        </w:rPr>
        <w:instrText xml:space="preserve"> HYPERLINK "mailto:13205419258@126.com" </w:instrText>
      </w:r>
      <w:r>
        <w:rPr>
          <w:rFonts w:hint="eastAsia"/>
        </w:rPr>
        <w:fldChar w:fldCharType="separate"/>
      </w:r>
      <w:r>
        <w:rPr>
          <w:rStyle w:val="25"/>
          <w:rFonts w:hint="eastAsia"/>
        </w:rPr>
        <w:t>13205419258</w:t>
      </w:r>
      <w:r>
        <w:rPr>
          <w:rStyle w:val="25"/>
        </w:rPr>
        <w:t>@</w:t>
      </w:r>
      <w:r>
        <w:rPr>
          <w:rStyle w:val="25"/>
          <w:rFonts w:hint="eastAsia"/>
        </w:rPr>
        <w:t>126</w:t>
      </w:r>
      <w:r>
        <w:rPr>
          <w:rStyle w:val="25"/>
        </w:rPr>
        <w:t>.com</w:t>
      </w:r>
      <w:r>
        <w:rPr>
          <w:rFonts w:hint="eastAsia"/>
        </w:rPr>
        <w:fldChar w:fldCharType="end"/>
      </w:r>
    </w:p>
    <w:p>
      <w:pPr>
        <w:pStyle w:val="10"/>
        <w:numPr>
          <w:ilvl w:val="0"/>
          <w:numId w:val="3"/>
        </w:numPr>
        <w:spacing w:line="360" w:lineRule="auto"/>
        <w:ind w:firstLine="420" w:firstLineChars="200"/>
        <w:rPr>
          <w:rFonts w:hint="eastAsia"/>
          <w:color w:val="000000"/>
          <w:highlight w:val="yellow"/>
          <w:lang w:val="en-US" w:eastAsia="zh-CN"/>
        </w:rPr>
      </w:pPr>
      <w:r>
        <w:rPr>
          <w:rFonts w:hint="eastAsia"/>
          <w:color w:val="000000"/>
          <w:highlight w:val="yellow"/>
          <w:lang w:val="en-US" w:eastAsia="zh-CN"/>
        </w:rPr>
        <w:t>投标文件递交截止时间：</w:t>
      </w:r>
      <w:r>
        <w:rPr>
          <w:highlight w:val="yellow"/>
        </w:rPr>
        <w:t>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23</w:t>
      </w:r>
      <w:r>
        <w:rPr>
          <w:rFonts w:hint="eastAsia"/>
          <w:highlight w:val="yellow"/>
        </w:rPr>
        <w:t>日上午</w:t>
      </w:r>
      <w:r>
        <w:rPr>
          <w:highlight w:val="yellow"/>
        </w:rPr>
        <w:t>9</w:t>
      </w:r>
      <w:r>
        <w:rPr>
          <w:rFonts w:hint="eastAsia"/>
          <w:highlight w:val="yellow"/>
        </w:rPr>
        <w:t>时</w:t>
      </w:r>
      <w:r>
        <w:rPr>
          <w:rFonts w:hint="eastAsia"/>
          <w:color w:val="000000"/>
          <w:highlight w:val="yellow"/>
          <w:lang w:val="en-US" w:eastAsia="zh-CN"/>
        </w:rPr>
        <w:t>（北京时间）</w:t>
      </w:r>
    </w:p>
    <w:p>
      <w:pPr>
        <w:pStyle w:val="10"/>
        <w:widowControl w:val="0"/>
        <w:numPr>
          <w:ilvl w:val="0"/>
          <w:numId w:val="0"/>
        </w:numPr>
        <w:spacing w:line="360" w:lineRule="auto"/>
        <w:jc w:val="both"/>
        <w:rPr>
          <w:rFonts w:hint="default"/>
          <w:color w:val="000000"/>
          <w:highlight w:val="yellow"/>
          <w:lang w:val="en-US" w:eastAsia="zh-CN"/>
        </w:rPr>
      </w:pPr>
      <w:r>
        <w:rPr>
          <w:rFonts w:hint="eastAsia"/>
          <w:color w:val="000000"/>
          <w:highlight w:val="none"/>
          <w:lang w:val="en-US" w:eastAsia="zh-CN"/>
        </w:rPr>
        <w:t xml:space="preserve">    投标方式：在中国重汽e采通平台应标成功后，进入“供应商投标”环节，投递盖章扫描版电子标书（包含资质标书、技术标书、商务标书），用“公司名称+文件名称”命名。若逾期未在中国重汽e采通平台上传电子标书，即便递交了纸版投标文件，一律视为无效投标。</w:t>
      </w:r>
    </w:p>
    <w:p>
      <w:pPr>
        <w:pStyle w:val="10"/>
        <w:spacing w:line="360" w:lineRule="auto"/>
        <w:ind w:firstLine="420" w:firstLineChars="200"/>
      </w:pPr>
      <w:r>
        <w:rPr>
          <w:rFonts w:hint="eastAsia"/>
          <w:color w:val="000000"/>
          <w:highlight w:val="yellow"/>
          <w:lang w:val="en-US" w:eastAsia="zh-CN"/>
        </w:rPr>
        <w:t>5.</w:t>
      </w:r>
      <w:r>
        <w:rPr>
          <w:rFonts w:hint="eastAsia"/>
          <w:color w:val="000000"/>
          <w:highlight w:val="yellow"/>
        </w:rPr>
        <w:t>开标时间：</w:t>
      </w:r>
      <w:r>
        <w:rPr>
          <w:highlight w:val="yellow"/>
        </w:rPr>
        <w:t>202</w:t>
      </w:r>
      <w:r>
        <w:rPr>
          <w:rFonts w:hint="eastAsia"/>
          <w:highlight w:val="yellow"/>
          <w:lang w:val="en-US" w:eastAsia="zh-CN"/>
        </w:rPr>
        <w:t>6</w:t>
      </w:r>
      <w:r>
        <w:rPr>
          <w:rFonts w:hint="eastAsia"/>
          <w:highlight w:val="yellow"/>
        </w:rPr>
        <w:t>年</w:t>
      </w:r>
      <w:r>
        <w:rPr>
          <w:rFonts w:hint="default"/>
          <w:highlight w:val="yellow"/>
          <w:lang w:eastAsia="zh-CN"/>
          <w:woUserID w:val="1"/>
        </w:rPr>
        <w:t>9</w:t>
      </w:r>
      <w:r>
        <w:rPr>
          <w:rFonts w:hint="eastAsia"/>
          <w:highlight w:val="yellow"/>
        </w:rPr>
        <w:t>月</w:t>
      </w:r>
      <w:r>
        <w:rPr>
          <w:rFonts w:hint="default"/>
          <w:highlight w:val="yellow"/>
          <w:woUserID w:val="1"/>
        </w:rPr>
        <w:t>23</w:t>
      </w:r>
      <w:r>
        <w:rPr>
          <w:rFonts w:hint="eastAsia"/>
          <w:highlight w:val="yellow"/>
        </w:rPr>
        <w:t>日上午</w:t>
      </w:r>
      <w:r>
        <w:rPr>
          <w:highlight w:val="yellow"/>
        </w:rPr>
        <w:t>9</w:t>
      </w:r>
      <w:r>
        <w:rPr>
          <w:rFonts w:hint="eastAsia"/>
          <w:highlight w:val="yellow"/>
        </w:rPr>
        <w:t>时</w:t>
      </w:r>
      <w:r>
        <w:rPr>
          <w:rFonts w:hint="eastAsia"/>
          <w:b/>
          <w:bCs/>
          <w:highlight w:val="yellow"/>
        </w:rPr>
        <w:t>（暂定，以实际通知为准）</w:t>
      </w:r>
      <w:r>
        <w:rPr>
          <w:rFonts w:hint="eastAsia"/>
          <w:highlight w:val="yellow"/>
        </w:rPr>
        <w:t>。</w:t>
      </w:r>
    </w:p>
    <w:p>
      <w:pPr>
        <w:pStyle w:val="10"/>
        <w:spacing w:line="360" w:lineRule="auto"/>
        <w:ind w:firstLine="420" w:firstLineChars="200"/>
        <w:rPr>
          <w:rFonts w:hint="eastAsia"/>
        </w:rPr>
      </w:pPr>
      <w:r>
        <w:rPr>
          <w:rFonts w:hint="eastAsia"/>
          <w:lang w:val="en-US" w:eastAsia="zh-CN"/>
        </w:rPr>
        <w:t>开</w:t>
      </w:r>
      <w:r>
        <w:rPr>
          <w:rFonts w:hint="eastAsia"/>
        </w:rPr>
        <w:t>标地点：</w:t>
      </w:r>
      <w:bookmarkStart w:id="1" w:name="OLE_LINK2"/>
      <w:bookmarkStart w:id="2" w:name="OLE_LINK3"/>
    </w:p>
    <w:bookmarkEnd w:id="1"/>
    <w:bookmarkEnd w:id="2"/>
    <w:p>
      <w:pPr>
        <w:pStyle w:val="10"/>
        <w:spacing w:line="360" w:lineRule="auto"/>
        <w:ind w:firstLine="420" w:firstLineChars="200"/>
      </w:pPr>
      <w:r>
        <w:rPr>
          <w:rFonts w:hint="eastAsia"/>
          <w:lang w:val="en-US" w:eastAsia="zh-CN"/>
        </w:rPr>
        <w:t>中国重汽集团济南豪沃客车有限公司</w:t>
      </w:r>
      <w:r>
        <w:rPr>
          <w:rFonts w:hint="eastAsia"/>
        </w:rPr>
        <w:t>（具体开标地点待确定后另行通知）。投标人如因特殊原因无法参与现场招标，可采用视频的方式参与招标。</w:t>
      </w:r>
    </w:p>
    <w:p>
      <w:pPr>
        <w:pStyle w:val="10"/>
        <w:spacing w:line="360" w:lineRule="auto"/>
        <w:ind w:firstLine="420" w:firstLineChars="200"/>
        <w:rPr>
          <w:color w:val="000000"/>
        </w:rPr>
      </w:pPr>
      <w:r>
        <w:rPr>
          <w:rFonts w:hint="eastAsia"/>
          <w:color w:val="000000"/>
        </w:rPr>
        <w:t>6</w:t>
      </w:r>
      <w:r>
        <w:rPr>
          <w:color w:val="000000"/>
        </w:rPr>
        <w:t>.</w:t>
      </w:r>
      <w:r>
        <w:rPr>
          <w:rFonts w:hint="eastAsia" w:ascii="Times New Roman" w:hAnsi="Times New Roman"/>
          <w:color w:val="000000"/>
        </w:rPr>
        <w:t xml:space="preserve"> 其它：现场开标，请与开标前半个小时到达开标现场（若有变动另行通知），所有参标厂家均需带笔记本电脑应标</w:t>
      </w:r>
      <w:r>
        <w:rPr>
          <w:rFonts w:hint="eastAsia"/>
        </w:rPr>
        <w:t>。</w:t>
      </w:r>
    </w:p>
    <w:p>
      <w:pPr>
        <w:pStyle w:val="10"/>
        <w:spacing w:line="360" w:lineRule="auto"/>
        <w:ind w:firstLine="420" w:firstLineChars="200"/>
        <w:rPr>
          <w:color w:val="000000"/>
        </w:rPr>
      </w:pPr>
      <w:r>
        <w:rPr>
          <w:rFonts w:hint="eastAsia"/>
          <w:color w:val="000000"/>
        </w:rPr>
        <w:t>7</w:t>
      </w:r>
      <w:r>
        <w:rPr>
          <w:color w:val="000000"/>
        </w:rPr>
        <w:t>.</w:t>
      </w:r>
      <w:r>
        <w:rPr>
          <w:rFonts w:hint="eastAsia"/>
        </w:rPr>
        <w:t>投标文件递交：于开标当日在投标地点现场递交。</w:t>
      </w:r>
    </w:p>
    <w:p>
      <w:pPr>
        <w:pStyle w:val="10"/>
        <w:spacing w:line="360" w:lineRule="auto"/>
        <w:ind w:firstLine="420" w:firstLineChars="200"/>
        <w:rPr>
          <w:color w:val="000000"/>
        </w:rPr>
      </w:pPr>
      <w:r>
        <w:rPr>
          <w:rFonts w:hint="eastAsia"/>
          <w:color w:val="000000"/>
        </w:rPr>
        <w:t>8.报名事宜联系人：</w:t>
      </w:r>
      <w:r>
        <w:rPr>
          <w:rFonts w:hint="eastAsia"/>
          <w:color w:val="000000"/>
          <w:lang w:val="en-US" w:eastAsia="zh-CN"/>
        </w:rPr>
        <w:t>刘美丽</w:t>
      </w:r>
      <w:r>
        <w:rPr>
          <w:rFonts w:hint="eastAsia"/>
          <w:color w:val="000000"/>
        </w:rPr>
        <w:t>、潘婧</w:t>
      </w:r>
    </w:p>
    <w:p>
      <w:pPr>
        <w:pStyle w:val="10"/>
        <w:spacing w:line="360" w:lineRule="auto"/>
        <w:ind w:firstLine="420" w:firstLineChars="200"/>
        <w:rPr>
          <w:color w:val="000000"/>
        </w:rPr>
      </w:pPr>
      <w:r>
        <w:rPr>
          <w:color w:val="000000"/>
        </w:rPr>
        <w:t xml:space="preserve">  </w:t>
      </w:r>
      <w:r>
        <w:rPr>
          <w:rFonts w:hint="eastAsia"/>
          <w:color w:val="000000"/>
        </w:rPr>
        <w:t xml:space="preserve">联系电话： </w:t>
      </w:r>
      <w:r>
        <w:rPr>
          <w:rFonts w:hint="eastAsia"/>
          <w:color w:val="000000"/>
          <w:lang w:val="en-US" w:eastAsia="zh-CN"/>
        </w:rPr>
        <w:t>13688637956</w:t>
      </w:r>
      <w:r>
        <w:rPr>
          <w:rFonts w:hint="eastAsia"/>
          <w:color w:val="000000"/>
        </w:rPr>
        <w:t>、13205419258</w:t>
      </w:r>
    </w:p>
    <w:p>
      <w:pPr>
        <w:pStyle w:val="10"/>
        <w:spacing w:line="360" w:lineRule="auto"/>
        <w:ind w:firstLine="630" w:firstLineChars="300"/>
        <w:rPr>
          <w:color w:val="000000"/>
        </w:rPr>
      </w:pPr>
      <w:r>
        <w:rPr>
          <w:rFonts w:hint="eastAsia"/>
          <w:color w:val="000000"/>
        </w:rPr>
        <w:t>邮箱：</w:t>
      </w:r>
      <w:r>
        <w:rPr>
          <w:rFonts w:hint="eastAsia"/>
        </w:rPr>
        <w:t>13205419258</w:t>
      </w:r>
      <w:r>
        <w:t>@</w:t>
      </w:r>
      <w:r>
        <w:rPr>
          <w:rFonts w:hint="eastAsia"/>
        </w:rPr>
        <w:t>126</w:t>
      </w:r>
      <w:r>
        <w:t>.com</w:t>
      </w:r>
    </w:p>
    <w:p>
      <w:pPr>
        <w:pStyle w:val="10"/>
        <w:spacing w:line="360" w:lineRule="auto"/>
        <w:ind w:firstLine="412" w:firstLineChars="147"/>
        <w:rPr>
          <w:rFonts w:ascii="黑体" w:eastAsia="黑体"/>
          <w:b/>
          <w:bCs/>
          <w:color w:val="000000"/>
          <w:sz w:val="28"/>
          <w:szCs w:val="22"/>
        </w:rPr>
      </w:pPr>
      <w:r>
        <w:rPr>
          <w:rFonts w:hint="eastAsia" w:ascii="黑体" w:eastAsia="黑体"/>
          <w:b/>
          <w:bCs/>
          <w:color w:val="000000"/>
          <w:sz w:val="28"/>
          <w:szCs w:val="22"/>
        </w:rPr>
        <w:t>五、报名方式</w:t>
      </w:r>
    </w:p>
    <w:p>
      <w:pPr>
        <w:widowControl/>
        <w:spacing w:line="360" w:lineRule="auto"/>
        <w:ind w:firstLine="420" w:firstLineChars="200"/>
        <w:jc w:val="left"/>
        <w:rPr>
          <w:rFonts w:hint="eastAsia"/>
          <w:color w:val="000000"/>
        </w:rPr>
      </w:pPr>
      <w:r>
        <w:rPr>
          <w:rFonts w:hint="eastAsia"/>
          <w:color w:val="000000"/>
        </w:rPr>
        <w:t>1.本次招标报名</w:t>
      </w:r>
      <w:r>
        <w:rPr>
          <w:rFonts w:hint="eastAsia"/>
          <w:color w:val="000000"/>
          <w:lang w:val="en-US" w:eastAsia="zh-CN"/>
        </w:rPr>
        <w:t>及后续投标、开标、报价环节均</w:t>
      </w:r>
      <w:r>
        <w:rPr>
          <w:rFonts w:hint="eastAsia"/>
          <w:color w:val="000000"/>
        </w:rPr>
        <w:t>在重汽e采通（链接为http</w:t>
      </w:r>
      <w:r>
        <w:rPr>
          <w:rFonts w:hint="eastAsia"/>
          <w:color w:val="000000"/>
          <w:lang w:val="en-US" w:eastAsia="zh-CN"/>
        </w:rPr>
        <w:t>s</w:t>
      </w:r>
      <w:r>
        <w:rPr>
          <w:rFonts w:hint="eastAsia"/>
          <w:color w:val="000000"/>
        </w:rPr>
        <w:t>://ecaitong.sinotruk.com:8012）中完成。请报名厂家及时在重汽e采通中进行注册，应标审批等环节均须在重汽e采通中完成。具体详见《e采通供应商中心用户手册》</w:t>
      </w:r>
    </w:p>
    <w:p>
      <w:pPr>
        <w:widowControl/>
        <w:spacing w:line="360" w:lineRule="auto"/>
        <w:ind w:firstLine="420" w:firstLineChars="200"/>
        <w:jc w:val="left"/>
        <w:rPr>
          <w:color w:val="000000"/>
        </w:rPr>
      </w:pPr>
      <w:r>
        <w:rPr>
          <w:rFonts w:hint="eastAsia"/>
          <w:color w:val="000000"/>
          <w:highlight w:val="yellow"/>
        </w:rPr>
        <w:t>凡有意参加投标者，请于202</w:t>
      </w:r>
      <w:r>
        <w:rPr>
          <w:rFonts w:hint="eastAsia"/>
          <w:color w:val="000000"/>
          <w:highlight w:val="yellow"/>
          <w:lang w:val="en-US" w:eastAsia="zh-CN"/>
        </w:rPr>
        <w:t>6</w:t>
      </w:r>
      <w:r>
        <w:rPr>
          <w:rFonts w:hint="eastAsia"/>
          <w:color w:val="000000"/>
          <w:highlight w:val="yellow"/>
        </w:rPr>
        <w:t xml:space="preserve">年 </w:t>
      </w:r>
      <w:r>
        <w:rPr>
          <w:rFonts w:hint="default"/>
          <w:color w:val="000000"/>
          <w:highlight w:val="yellow"/>
          <w:woUserID w:val="1"/>
        </w:rPr>
        <w:t>9</w:t>
      </w:r>
      <w:r>
        <w:rPr>
          <w:rFonts w:hint="eastAsia"/>
          <w:color w:val="000000"/>
          <w:highlight w:val="yellow"/>
        </w:rPr>
        <w:t xml:space="preserve">月 </w:t>
      </w:r>
      <w:r>
        <w:rPr>
          <w:rFonts w:hint="default"/>
          <w:color w:val="000000"/>
          <w:highlight w:val="yellow"/>
          <w:woUserID w:val="1"/>
        </w:rPr>
        <w:t>11</w:t>
      </w:r>
      <w:r>
        <w:rPr>
          <w:rFonts w:hint="eastAsia"/>
          <w:color w:val="000000"/>
          <w:highlight w:val="yellow"/>
        </w:rPr>
        <w:t>日前，完成注册，否则影响参标。</w:t>
      </w:r>
    </w:p>
    <w:p>
      <w:pPr>
        <w:spacing w:line="360" w:lineRule="auto"/>
        <w:ind w:firstLine="480" w:firstLineChars="200"/>
        <w:rPr>
          <w:rFonts w:eastAsia="仿宋"/>
          <w:b/>
          <w:bCs/>
          <w:sz w:val="24"/>
          <w:szCs w:val="24"/>
        </w:rPr>
      </w:pPr>
      <w:r>
        <w:rPr>
          <w:rFonts w:eastAsia="仿宋"/>
          <w:b/>
          <w:bCs/>
          <w:color w:val="000000"/>
          <w:sz w:val="24"/>
          <w:szCs w:val="24"/>
        </w:rPr>
        <w:t>本项目实行资格后审，报名</w:t>
      </w:r>
      <w:r>
        <w:rPr>
          <w:rFonts w:eastAsia="仿宋"/>
          <w:b/>
          <w:bCs/>
          <w:sz w:val="24"/>
          <w:szCs w:val="24"/>
        </w:rPr>
        <w:t>成功不代表资格审查通过，以最终通过资格审查委员会的审查为准。</w:t>
      </w:r>
    </w:p>
    <w:p>
      <w:pPr>
        <w:pStyle w:val="10"/>
        <w:spacing w:line="360" w:lineRule="auto"/>
        <w:rPr>
          <w:rFonts w:ascii="黑体" w:eastAsia="黑体"/>
          <w:b/>
          <w:bCs/>
          <w:color w:val="000000"/>
          <w:sz w:val="28"/>
        </w:rPr>
      </w:pPr>
      <w:r>
        <w:rPr>
          <w:rFonts w:hint="eastAsia" w:ascii="黑体" w:eastAsia="黑体"/>
          <w:b/>
          <w:bCs/>
          <w:color w:val="000000"/>
          <w:sz w:val="28"/>
        </w:rPr>
        <w:t>六、获取招标文件</w:t>
      </w:r>
    </w:p>
    <w:p>
      <w:pPr>
        <w:widowControl/>
        <w:spacing w:line="360" w:lineRule="auto"/>
        <w:ind w:firstLine="420" w:firstLineChars="200"/>
        <w:jc w:val="left"/>
      </w:pPr>
      <w:r>
        <w:rPr>
          <w:rFonts w:hint="eastAsia"/>
          <w:highlight w:val="yellow"/>
        </w:rPr>
        <w:t>1.时间：202</w:t>
      </w:r>
      <w:r>
        <w:rPr>
          <w:rFonts w:hint="eastAsia"/>
          <w:highlight w:val="yellow"/>
          <w:lang w:val="en-US" w:eastAsia="zh-CN"/>
        </w:rPr>
        <w:t>6</w:t>
      </w:r>
      <w:r>
        <w:rPr>
          <w:rFonts w:hint="eastAsia"/>
          <w:highlight w:val="yellow"/>
        </w:rPr>
        <w:t>年</w:t>
      </w:r>
      <w:r>
        <w:rPr>
          <w:rFonts w:hint="default"/>
          <w:highlight w:val="yellow"/>
          <w:woUserID w:val="1"/>
        </w:rPr>
        <w:t>9</w:t>
      </w:r>
      <w:r>
        <w:rPr>
          <w:rFonts w:hint="eastAsia"/>
          <w:highlight w:val="yellow"/>
        </w:rPr>
        <w:t>月</w:t>
      </w:r>
      <w:r>
        <w:rPr>
          <w:rFonts w:hint="default"/>
          <w:highlight w:val="yellow"/>
          <w:woUserID w:val="1"/>
        </w:rPr>
        <w:t>11</w:t>
      </w:r>
      <w:r>
        <w:rPr>
          <w:rFonts w:hint="eastAsia"/>
          <w:highlight w:val="yellow"/>
        </w:rPr>
        <w:t>日下午17点前</w:t>
      </w:r>
    </w:p>
    <w:p>
      <w:pPr>
        <w:widowControl/>
        <w:spacing w:line="360" w:lineRule="auto"/>
        <w:ind w:firstLine="420" w:firstLineChars="200"/>
        <w:jc w:val="left"/>
      </w:pPr>
      <w:r>
        <w:rPr>
          <w:rFonts w:hint="eastAsia"/>
        </w:rPr>
        <w:t>2.方式：投标人在上述时间范围内，经中国重型汽车集团有限公司官网的“新闻中心-通知公告”版块（https://www.cnhtc.com.cn/）下载本项目招标书电子版文件。</w:t>
      </w:r>
    </w:p>
    <w:p>
      <w:pPr>
        <w:pStyle w:val="10"/>
        <w:spacing w:line="360" w:lineRule="auto"/>
        <w:rPr>
          <w:rFonts w:ascii="黑体" w:eastAsia="黑体"/>
          <w:b/>
          <w:bCs/>
          <w:color w:val="000000"/>
          <w:sz w:val="28"/>
        </w:rPr>
      </w:pPr>
      <w:r>
        <w:rPr>
          <w:rFonts w:hint="eastAsia" w:ascii="黑体" w:eastAsia="黑体"/>
          <w:b/>
          <w:bCs/>
          <w:color w:val="000000"/>
          <w:sz w:val="28"/>
        </w:rPr>
        <w:t>七、投标须知</w:t>
      </w:r>
    </w:p>
    <w:p>
      <w:pPr>
        <w:pStyle w:val="42"/>
        <w:spacing w:line="440" w:lineRule="exact"/>
        <w:ind w:firstLine="526" w:firstLineChars="250"/>
        <w:rPr>
          <w:rFonts w:ascii="宋体" w:cs="宋体"/>
          <w:b/>
          <w:bCs/>
          <w:color w:val="000000"/>
          <w:szCs w:val="21"/>
        </w:rPr>
      </w:pPr>
      <w:bookmarkStart w:id="3" w:name="PO_供应商资格条件_1"/>
      <w:r>
        <w:rPr>
          <w:rFonts w:ascii="宋体" w:hAnsi="宋体" w:cs="宋体"/>
          <w:b/>
          <w:bCs/>
          <w:color w:val="000000"/>
          <w:szCs w:val="21"/>
        </w:rPr>
        <w:t>1.</w:t>
      </w:r>
      <w:r>
        <w:rPr>
          <w:rFonts w:hint="eastAsia" w:ascii="宋体" w:hAnsi="宋体" w:cs="宋体"/>
          <w:b/>
          <w:bCs/>
          <w:color w:val="000000"/>
          <w:szCs w:val="21"/>
        </w:rPr>
        <w:t>合格投标人</w:t>
      </w:r>
    </w:p>
    <w:p>
      <w:pPr>
        <w:pStyle w:val="42"/>
        <w:spacing w:line="440" w:lineRule="exact"/>
        <w:ind w:firstLine="525" w:firstLineChars="250"/>
        <w:rPr>
          <w:rFonts w:hint="eastAsia" w:ascii="Times New Roman" w:hAnsi="Times New Roman" w:eastAsia="宋体" w:cs="Times New Roman"/>
          <w:kern w:val="2"/>
          <w:sz w:val="21"/>
          <w:lang w:val="en-US" w:eastAsia="zh-CN" w:bidi="ar-SA"/>
        </w:rPr>
      </w:pPr>
      <w:r>
        <w:rPr>
          <w:rFonts w:hint="eastAsia" w:ascii="宋体" w:hAnsi="宋体" w:cs="宋体"/>
          <w:color w:val="000000"/>
          <w:szCs w:val="21"/>
        </w:rPr>
        <w:t>（</w:t>
      </w:r>
      <w:r>
        <w:rPr>
          <w:rFonts w:ascii="宋体" w:hAnsi="宋体" w:cs="宋体"/>
          <w:color w:val="000000"/>
          <w:szCs w:val="21"/>
        </w:rPr>
        <w:t>1</w:t>
      </w:r>
      <w:r>
        <w:rPr>
          <w:rFonts w:hint="eastAsia" w:ascii="宋体" w:hAnsi="宋体" w:cs="宋体"/>
          <w:color w:val="000000"/>
          <w:szCs w:val="21"/>
        </w:rPr>
        <w:t>）</w:t>
      </w:r>
      <w:r>
        <w:rPr>
          <w:rFonts w:hint="eastAsia" w:ascii="Times New Roman" w:hAnsi="Times New Roman" w:eastAsia="宋体" w:cs="Times New Roman"/>
          <w:kern w:val="2"/>
          <w:sz w:val="21"/>
          <w:lang w:val="en-US" w:eastAsia="zh-CN" w:bidi="ar-SA"/>
        </w:rPr>
        <w:t>投标人须遵守《中华人民共和国招标投标法》及其他相关法律、法规。投标人应为在中华人民共和国境内合法注册，具有签订和履行合同能力的市场主体（包括依法登记的分支机构及其他依法设立的经营主体）。</w:t>
      </w:r>
    </w:p>
    <w:p>
      <w:pPr>
        <w:pStyle w:val="42"/>
        <w:spacing w:line="440" w:lineRule="exact"/>
        <w:ind w:firstLine="525" w:firstLineChars="250"/>
        <w:rPr>
          <w:rFonts w:hint="eastAsia" w:ascii="宋体" w:hAnsi="宋体" w:cs="宋体"/>
          <w:b/>
          <w:color w:val="000000"/>
          <w:szCs w:val="21"/>
        </w:rPr>
      </w:pPr>
      <w:r>
        <w:rPr>
          <w:rFonts w:hint="eastAsia" w:ascii="宋体" w:hAnsi="宋体" w:cs="宋体"/>
          <w:color w:val="000000"/>
          <w:szCs w:val="21"/>
          <w:highlight w:val="yellow"/>
        </w:rPr>
        <w:t>*（</w:t>
      </w:r>
      <w:r>
        <w:rPr>
          <w:rFonts w:ascii="宋体" w:hAnsi="宋体" w:cs="宋体"/>
          <w:color w:val="000000"/>
          <w:szCs w:val="21"/>
          <w:highlight w:val="yellow"/>
        </w:rPr>
        <w:t>2</w:t>
      </w:r>
      <w:r>
        <w:rPr>
          <w:rFonts w:hint="eastAsia" w:ascii="宋体" w:hAnsi="宋体" w:cs="宋体"/>
          <w:color w:val="000000"/>
          <w:szCs w:val="21"/>
          <w:highlight w:val="yellow"/>
        </w:rPr>
        <w:t>）</w:t>
      </w:r>
      <w:r>
        <w:rPr>
          <w:rFonts w:hint="eastAsia" w:ascii="宋体" w:hAnsi="宋体" w:cs="宋体"/>
          <w:b/>
          <w:color w:val="000000"/>
          <w:szCs w:val="21"/>
          <w:highlight w:val="yellow"/>
        </w:rPr>
        <w:t>公司成立三年以上（</w:t>
      </w:r>
      <w:r>
        <w:rPr>
          <w:rFonts w:hint="eastAsia"/>
          <w:b/>
          <w:bCs/>
          <w:highlight w:val="yellow"/>
        </w:rPr>
        <w:t>以营业执照成立日期到开标当日满三年为准</w:t>
      </w:r>
      <w:r>
        <w:rPr>
          <w:rFonts w:hint="eastAsia" w:ascii="宋体" w:hAnsi="宋体" w:cs="宋体"/>
          <w:b/>
          <w:color w:val="000000"/>
          <w:szCs w:val="21"/>
          <w:highlight w:val="yellow"/>
        </w:rPr>
        <w:t>），成立年限事业单位不作要求；</w:t>
      </w:r>
      <w:r>
        <w:rPr>
          <w:rFonts w:hint="eastAsia"/>
          <w:b/>
          <w:color w:val="000000"/>
          <w:highlight w:val="yellow"/>
        </w:rPr>
        <w:t>注册资金不少于</w:t>
      </w:r>
      <w:r>
        <w:rPr>
          <w:rFonts w:hint="eastAsia"/>
          <w:b/>
          <w:color w:val="000000"/>
          <w:highlight w:val="yellow"/>
          <w:lang w:val="en-US" w:eastAsia="zh-CN"/>
        </w:rPr>
        <w:t>3</w:t>
      </w:r>
      <w:r>
        <w:rPr>
          <w:b/>
          <w:color w:val="000000"/>
          <w:highlight w:val="yellow"/>
        </w:rPr>
        <w:t>00</w:t>
      </w:r>
      <w:r>
        <w:rPr>
          <w:rFonts w:hint="eastAsia"/>
          <w:b/>
          <w:color w:val="000000"/>
          <w:highlight w:val="yellow"/>
        </w:rPr>
        <w:t>万元人民币（或等值其他货币）</w:t>
      </w:r>
      <w:r>
        <w:rPr>
          <w:rFonts w:hint="eastAsia" w:hAnsi="宋体"/>
          <w:b/>
          <w:color w:val="000000"/>
          <w:sz w:val="24"/>
          <w:highlight w:val="yellow"/>
        </w:rPr>
        <w:t>；</w:t>
      </w:r>
      <w:r>
        <w:rPr>
          <w:rFonts w:hint="eastAsia"/>
          <w:b/>
          <w:bCs/>
          <w:highlight w:val="yellow"/>
        </w:rPr>
        <w:t>经营范围满足招标项目需求</w:t>
      </w:r>
      <w:r>
        <w:rPr>
          <w:rFonts w:hint="eastAsia" w:ascii="宋体" w:hAnsi="宋体" w:cs="宋体"/>
          <w:b/>
          <w:color w:val="000000"/>
          <w:szCs w:val="21"/>
          <w:highlight w:val="yellow"/>
        </w:rPr>
        <w:t>。</w:t>
      </w:r>
    </w:p>
    <w:p>
      <w:pPr>
        <w:pStyle w:val="42"/>
        <w:spacing w:line="440" w:lineRule="exact"/>
        <w:ind w:firstLine="525" w:firstLineChars="250"/>
        <w:rPr>
          <w:b/>
          <w:bCs/>
        </w:rPr>
      </w:pPr>
      <w:r>
        <w:rPr>
          <w:rFonts w:hint="eastAsia" w:ascii="宋体" w:hAnsi="宋体" w:cs="宋体"/>
          <w:color w:val="000000"/>
          <w:szCs w:val="21"/>
        </w:rPr>
        <w:t>*（3）</w:t>
      </w:r>
      <w:r>
        <w:t>投标人须提供具有统一社会信用代码的新版营业执照</w:t>
      </w:r>
      <w:r>
        <w:rPr>
          <w:rFonts w:hint="eastAsia"/>
          <w:lang w:val="en-US" w:eastAsia="zh-CN"/>
        </w:rPr>
        <w:t>及</w:t>
      </w:r>
      <w:r>
        <w:rPr>
          <w:rFonts w:hint="eastAsia"/>
        </w:rPr>
        <w:t>单位法人证书</w:t>
      </w:r>
      <w:r>
        <w:t>副本</w:t>
      </w:r>
      <w:r>
        <w:rPr>
          <w:b/>
        </w:rPr>
        <w:t>原件</w:t>
      </w:r>
      <w:r>
        <w:rPr>
          <w:b/>
          <w:bCs/>
        </w:rPr>
        <w:t>及复印件（加盖公章）</w:t>
      </w:r>
      <w:r>
        <w:rPr>
          <w:rFonts w:hint="eastAsia"/>
          <w:b/>
          <w:bCs/>
        </w:rPr>
        <w:t>。</w:t>
      </w:r>
    </w:p>
    <w:p>
      <w:pPr>
        <w:pStyle w:val="42"/>
        <w:spacing w:line="440" w:lineRule="exact"/>
        <w:ind w:firstLine="525" w:firstLineChars="250"/>
      </w:pPr>
      <w:r>
        <w:rPr>
          <w:rFonts w:hint="eastAsia"/>
        </w:rPr>
        <w:t>（4）</w:t>
      </w:r>
      <w:r>
        <w:t>具有良好的商业信誉，在国家企业信用信息公示系统中无与本项目有关的行政处罚、列入经营异常名录和列入严重违法失信企业名单（黑名单）信息或上述信息已被移除</w:t>
      </w:r>
      <w:r>
        <w:rPr>
          <w:rFonts w:hint="eastAsia"/>
        </w:rPr>
        <w:t>。</w:t>
      </w:r>
    </w:p>
    <w:p>
      <w:pPr>
        <w:pStyle w:val="42"/>
        <w:spacing w:line="440" w:lineRule="exact"/>
        <w:ind w:firstLine="525" w:firstLineChars="250"/>
      </w:pPr>
      <w:r>
        <w:rPr>
          <w:rFonts w:hint="eastAsia"/>
        </w:rPr>
        <w:t>（5）</w:t>
      </w:r>
      <w:r>
        <w:t>投标人在近三年内在经营活动中无违法记录。</w:t>
      </w:r>
    </w:p>
    <w:p>
      <w:pPr>
        <w:pStyle w:val="10"/>
        <w:spacing w:line="360" w:lineRule="auto"/>
        <w:ind w:firstLine="420" w:firstLineChars="200"/>
      </w:pPr>
      <w:r>
        <w:rPr>
          <w:rFonts w:hint="eastAsia" w:ascii="Times New Roman" w:hAnsi="Times New Roman"/>
        </w:rPr>
        <w:t>（6）</w:t>
      </w:r>
      <w:r>
        <w:rPr>
          <w:rFonts w:ascii="Times New Roman" w:hAnsi="Times New Roman"/>
        </w:rPr>
        <w:t>具有健全的财务会计制度，财务状况和市场行为良好。没有处于被有权机关吊销营业执照、吊销资质、停业整顿、取消投标资格以及财产被接管、冻结或进入破产程序等</w:t>
      </w:r>
      <w:r>
        <w:rPr>
          <w:rFonts w:hint="eastAsia" w:ascii="Times New Roman" w:hAnsi="Times New Roman"/>
        </w:rPr>
        <w:t>。投标人提供经会计师事务所审计且出具无保留意见的近三年的财务审计报告原件或复印件，并加盖公章，包括但不限于报告页、经审计的资产负债表、现金流量表及报表附注。如投标人公司没有经审计的财务</w:t>
      </w:r>
      <w:r>
        <w:rPr>
          <w:rFonts w:hint="eastAsia"/>
        </w:rPr>
        <w:t>报告，可提供加盖公章的近三年财务报表，包括但不限于资产负债表、现金流量表。应提供中文版本的审计报告或财务报表。</w:t>
      </w:r>
    </w:p>
    <w:p>
      <w:pPr>
        <w:pStyle w:val="42"/>
        <w:spacing w:line="440" w:lineRule="exact"/>
        <w:ind w:firstLine="525" w:firstLineChars="250"/>
      </w:pPr>
      <w:r>
        <w:rPr>
          <w:rFonts w:hint="eastAsia"/>
        </w:rPr>
        <w:t>（7）</w:t>
      </w:r>
      <w:r>
        <w:t>投标人没有被列入招标人处《黑名单》（《黑名单》指投标人与招标人在以往或正在进行的合作中，存在招标人认为的违反合同约定或违反法律法规等的失信行为）的</w:t>
      </w:r>
      <w:r>
        <w:rPr>
          <w:rFonts w:hint="eastAsia"/>
        </w:rPr>
        <w:t>。</w:t>
      </w:r>
    </w:p>
    <w:p>
      <w:pPr>
        <w:pStyle w:val="42"/>
        <w:spacing w:line="440" w:lineRule="exact"/>
        <w:ind w:firstLine="525" w:firstLineChars="250"/>
      </w:pPr>
      <w:r>
        <w:rPr>
          <w:rFonts w:hint="eastAsia"/>
        </w:rPr>
        <w:t>*（8）</w:t>
      </w:r>
      <w:r>
        <w:t>投标人须提供法人授权委托书</w:t>
      </w:r>
      <w:r>
        <w:rPr>
          <w:b/>
          <w:bCs/>
        </w:rPr>
        <w:t>原件</w:t>
      </w:r>
      <w:r>
        <w:t>（在投标文件副本中可用复印件）及投标单位的法定代表人或授权代表的身份证原件及复印件（加盖公章）</w:t>
      </w:r>
      <w:r>
        <w:rPr>
          <w:rFonts w:hint="eastAsia"/>
        </w:rPr>
        <w:t>，法人到场的，出具法定代表人资格证明文件。</w:t>
      </w:r>
    </w:p>
    <w:p>
      <w:pPr>
        <w:pStyle w:val="42"/>
        <w:spacing w:line="440" w:lineRule="exact"/>
        <w:ind w:firstLine="525" w:firstLineChars="250"/>
      </w:pPr>
      <w:r>
        <w:rPr>
          <w:rFonts w:hint="eastAsia" w:ascii="宋体" w:hAnsi="宋体" w:cs="宋体"/>
          <w:color w:val="000000"/>
          <w:szCs w:val="21"/>
        </w:rPr>
        <w:t>（9）</w:t>
      </w:r>
      <w:r>
        <w:t>投标人须具有履行合同所必须的财务、技术、服务等方面的资质和能力</w:t>
      </w:r>
      <w:r>
        <w:rPr>
          <w:rFonts w:hint="eastAsia"/>
        </w:rPr>
        <w:t>。</w:t>
      </w:r>
    </w:p>
    <w:p>
      <w:pPr>
        <w:pStyle w:val="42"/>
        <w:spacing w:line="440" w:lineRule="exact"/>
        <w:ind w:firstLine="525" w:firstLineChars="250"/>
      </w:pPr>
      <w:r>
        <w:rPr>
          <w:rFonts w:hint="eastAsia"/>
        </w:rPr>
        <w:t>（10）</w:t>
      </w:r>
      <w:r>
        <w:t>投标人须具有完全履行招标文件的所有要求的能</w:t>
      </w:r>
      <w:r>
        <w:rPr>
          <w:rFonts w:hint="eastAsia"/>
        </w:rPr>
        <w:t>力。</w:t>
      </w:r>
    </w:p>
    <w:p>
      <w:pPr>
        <w:pStyle w:val="42"/>
        <w:spacing w:line="440" w:lineRule="exact"/>
        <w:ind w:firstLine="525" w:firstLineChars="250"/>
      </w:pPr>
      <w:r>
        <w:rPr>
          <w:rFonts w:hint="eastAsia"/>
        </w:rPr>
        <w:t>（11）投标人须负责提供合理的便于运输的包装物，并承担相关费用。</w:t>
      </w:r>
    </w:p>
    <w:p>
      <w:pPr>
        <w:pStyle w:val="42"/>
        <w:spacing w:line="440" w:lineRule="exact"/>
        <w:ind w:firstLine="525" w:firstLineChars="250"/>
      </w:pPr>
      <w:r>
        <w:rPr>
          <w:rFonts w:hint="eastAsia"/>
        </w:rPr>
        <w:t>（12）</w:t>
      </w:r>
      <w:r>
        <w:t>投标人须认可招标人的工作指令，包括节、假日能正常开展工作的要求</w:t>
      </w:r>
      <w:r>
        <w:rPr>
          <w:rFonts w:hint="eastAsia"/>
        </w:rPr>
        <w:t>。</w:t>
      </w:r>
    </w:p>
    <w:p>
      <w:pPr>
        <w:pStyle w:val="42"/>
        <w:spacing w:line="440" w:lineRule="exact"/>
        <w:ind w:firstLine="525" w:firstLineChars="250"/>
      </w:pPr>
      <w:r>
        <w:rPr>
          <w:rFonts w:hint="eastAsia"/>
        </w:rPr>
        <w:t>（1</w:t>
      </w:r>
      <w:r>
        <w:t>3</w:t>
      </w:r>
      <w:r>
        <w:rPr>
          <w:rFonts w:hint="eastAsia"/>
        </w:rPr>
        <w:t>）投标人必须是最终投标、签订合同的单位。</w:t>
      </w:r>
    </w:p>
    <w:p>
      <w:pPr>
        <w:pStyle w:val="42"/>
        <w:spacing w:line="440" w:lineRule="exact"/>
        <w:ind w:firstLine="525" w:firstLineChars="250"/>
      </w:pPr>
      <w:r>
        <w:rPr>
          <w:rFonts w:hint="eastAsia"/>
        </w:rPr>
        <w:t>（1</w:t>
      </w:r>
      <w:r>
        <w:t>4</w:t>
      </w:r>
      <w:r>
        <w:rPr>
          <w:rFonts w:hint="eastAsia"/>
        </w:rPr>
        <w:t>）</w:t>
      </w:r>
      <w:r>
        <w:t>本次招标项目不接受联合体投标</w:t>
      </w:r>
      <w:r>
        <w:rPr>
          <w:rFonts w:hint="eastAsia"/>
          <w:lang w:eastAsia="zh-CN"/>
        </w:rPr>
        <w:t>，</w:t>
      </w:r>
      <w:r>
        <w:rPr>
          <w:rFonts w:hint="eastAsia"/>
          <w:lang w:val="en-US" w:eastAsia="zh-CN"/>
        </w:rPr>
        <w:t>也不接受分包</w:t>
      </w:r>
      <w:r>
        <w:t>；</w:t>
      </w:r>
    </w:p>
    <w:p>
      <w:pPr>
        <w:pStyle w:val="42"/>
        <w:spacing w:line="440" w:lineRule="exact"/>
        <w:ind w:firstLine="525" w:firstLineChars="250"/>
      </w:pPr>
      <w:r>
        <w:rPr>
          <w:rFonts w:hint="eastAsia"/>
        </w:rPr>
        <w:t>（1</w:t>
      </w:r>
      <w:r>
        <w:t>5</w:t>
      </w:r>
      <w:r>
        <w:rPr>
          <w:rFonts w:hint="eastAsia"/>
        </w:rPr>
        <w:t>）</w:t>
      </w:r>
      <w:r>
        <w:t>投标人在向招标人出示《投标保证金缴纳凭证》后方可进行投标；</w:t>
      </w:r>
    </w:p>
    <w:p>
      <w:pPr>
        <w:pStyle w:val="42"/>
        <w:spacing w:line="440" w:lineRule="exact"/>
        <w:ind w:firstLine="525" w:firstLineChars="250"/>
      </w:pPr>
      <w:r>
        <w:rPr>
          <w:rFonts w:hint="eastAsia"/>
        </w:rPr>
        <w:t>（16）逾期的投标文件招标人不予受理。</w:t>
      </w:r>
    </w:p>
    <w:p>
      <w:pPr>
        <w:widowControl/>
        <w:spacing w:line="360" w:lineRule="auto"/>
        <w:ind w:firstLine="420" w:firstLineChars="200"/>
        <w:jc w:val="left"/>
        <w:rPr>
          <w:rFonts w:hint="eastAsia"/>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培训</w:t>
      </w:r>
      <w:r>
        <w:rPr>
          <w:rFonts w:hint="eastAsia"/>
          <w:color w:val="000000" w:themeColor="text1"/>
          <w14:textFill>
            <w14:solidFill>
              <w14:schemeClr w14:val="tx1"/>
            </w14:solidFill>
          </w14:textFill>
        </w:rPr>
        <w:t>师团队中至少有2名具备国家注册测量管理体系审核员/高级</w:t>
      </w:r>
      <w:r>
        <w:rPr>
          <w:rFonts w:hint="eastAsia"/>
          <w:color w:val="000000" w:themeColor="text1"/>
          <w:lang w:val="en-US" w:eastAsia="zh-CN"/>
          <w14:textFill>
            <w14:solidFill>
              <w14:schemeClr w14:val="tx1"/>
            </w14:solidFill>
          </w14:textFill>
        </w:rPr>
        <w:t>工程师</w:t>
      </w:r>
      <w:r>
        <w:rPr>
          <w:rFonts w:hint="eastAsia"/>
          <w:color w:val="000000" w:themeColor="text1"/>
          <w14:textFill>
            <w14:solidFill>
              <w14:schemeClr w14:val="tx1"/>
            </w14:solidFill>
          </w14:textFill>
        </w:rPr>
        <w:t>资格</w:t>
      </w:r>
      <w:r>
        <w:rPr>
          <w:rFonts w:hint="eastAsia"/>
          <w:color w:val="000000" w:themeColor="text1"/>
          <w:lang w:eastAsia="zh-CN"/>
          <w14:textFill>
            <w14:solidFill>
              <w14:schemeClr w14:val="tx1"/>
            </w14:solidFill>
          </w14:textFill>
        </w:rPr>
        <w:t>。</w:t>
      </w:r>
    </w:p>
    <w:p>
      <w:pPr>
        <w:widowControl/>
        <w:spacing w:line="360" w:lineRule="auto"/>
        <w:ind w:firstLine="420" w:firstLineChars="200"/>
        <w:jc w:val="left"/>
        <w:rPr>
          <w:color w:val="C00000"/>
          <w:highlight w:val="none"/>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）项目负</w:t>
      </w:r>
      <w:r>
        <w:rPr>
          <w:rFonts w:hint="eastAsia"/>
          <w:color w:val="000000"/>
          <w:highlight w:val="none"/>
        </w:rPr>
        <w:t>责人需具备</w:t>
      </w:r>
      <w:r>
        <w:rPr>
          <w:rFonts w:hint="eastAsia"/>
          <w:color w:val="000000"/>
          <w:highlight w:val="none"/>
          <w:lang w:val="en-US" w:eastAsia="zh-CN"/>
        </w:rPr>
        <w:t>5</w:t>
      </w:r>
      <w:r>
        <w:rPr>
          <w:rFonts w:hint="eastAsia"/>
          <w:color w:val="000000"/>
          <w:highlight w:val="none"/>
        </w:rPr>
        <w:t>年以上计量管理经验，且曾主导过主机厂级</w:t>
      </w:r>
      <w:r>
        <w:rPr>
          <w:rFonts w:hint="eastAsia"/>
          <w:color w:val="000000"/>
          <w:highlight w:val="none"/>
          <w:lang w:val="en-US" w:eastAsia="zh-CN"/>
        </w:rPr>
        <w:t>或汽车零部件、机械加工行业测量体系辅导培训</w:t>
      </w:r>
      <w:r>
        <w:rPr>
          <w:rFonts w:hint="eastAsia"/>
          <w:color w:val="C00000"/>
          <w:highlight w:val="none"/>
        </w:rPr>
        <w:t>。</w:t>
      </w:r>
    </w:p>
    <w:bookmarkEnd w:id="3"/>
    <w:p>
      <w:pPr>
        <w:pStyle w:val="42"/>
        <w:spacing w:line="440" w:lineRule="exact"/>
        <w:ind w:firstLine="525" w:firstLineChars="250"/>
      </w:pPr>
      <w:r>
        <w:rPr>
          <w:rFonts w:hint="eastAsia"/>
        </w:rPr>
        <w:t>（</w:t>
      </w:r>
      <w:r>
        <w:rPr>
          <w:rFonts w:hint="eastAsia"/>
          <w:lang w:val="en-US" w:eastAsia="zh-CN"/>
        </w:rPr>
        <w:t>19</w:t>
      </w:r>
      <w:r>
        <w:rPr>
          <w:rFonts w:hint="eastAsia"/>
        </w:rPr>
        <w:t>）</w:t>
      </w:r>
      <w:r>
        <w:t>投标人的直接或间接股东、法定代表人、董事、监事、高管非重汽员工及其亲属</w:t>
      </w:r>
      <w:r>
        <w:rPr>
          <w:rFonts w:hint="eastAsia"/>
        </w:rPr>
        <w:t>。</w:t>
      </w:r>
    </w:p>
    <w:p>
      <w:pPr>
        <w:pStyle w:val="42"/>
        <w:spacing w:line="440" w:lineRule="exact"/>
        <w:ind w:firstLine="525" w:firstLineChars="250"/>
      </w:pPr>
      <w:r>
        <w:rPr>
          <w:rFonts w:hint="eastAsia"/>
        </w:rPr>
        <w:t>（</w:t>
      </w:r>
      <w:r>
        <w:t>2</w:t>
      </w:r>
      <w:r>
        <w:rPr>
          <w:rFonts w:hint="eastAsia"/>
          <w:lang w:val="en-US" w:eastAsia="zh-CN"/>
        </w:rPr>
        <w:t>0</w:t>
      </w:r>
      <w:r>
        <w:rPr>
          <w:rFonts w:hint="eastAsia"/>
        </w:rPr>
        <w:t>）法律、行政法规规定的其他条件。</w:t>
      </w:r>
    </w:p>
    <w:p>
      <w:pPr>
        <w:pStyle w:val="10"/>
        <w:spacing w:line="360" w:lineRule="auto"/>
        <w:ind w:firstLine="420" w:firstLineChars="200"/>
        <w:rPr>
          <w:rFonts w:ascii="Times New Roman" w:hAnsi="Times New Roman"/>
          <w:b/>
          <w:bCs/>
        </w:rPr>
      </w:pPr>
      <w:r>
        <w:rPr>
          <w:rFonts w:ascii="Times New Roman" w:hAnsi="Times New Roman"/>
          <w:b/>
          <w:bCs/>
        </w:rPr>
        <w:t>注：上述带“*”项为必备的资格文件，缺项</w:t>
      </w:r>
      <w:r>
        <w:rPr>
          <w:rFonts w:ascii="Times New Roman" w:hAnsi="Times New Roman"/>
          <w:b/>
          <w:bCs/>
          <w:szCs w:val="22"/>
        </w:rPr>
        <w:t>会按不响应招标文件或无效投标处理</w:t>
      </w:r>
      <w:r>
        <w:rPr>
          <w:rFonts w:ascii="Times New Roman" w:hAnsi="Times New Roman"/>
          <w:b/>
          <w:bCs/>
        </w:rPr>
        <w:t>，由专家组评定扣分或废标处理；第2、3、8、17</w:t>
      </w:r>
      <w:r>
        <w:rPr>
          <w:rFonts w:hint="eastAsia" w:ascii="Times New Roman" w:hAnsi="Times New Roman"/>
          <w:b/>
          <w:bCs/>
        </w:rPr>
        <w:t>、1</w:t>
      </w:r>
      <w:r>
        <w:rPr>
          <w:rFonts w:ascii="Times New Roman" w:hAnsi="Times New Roman"/>
          <w:b/>
          <w:bCs/>
        </w:rPr>
        <w:t>8</w:t>
      </w:r>
      <w:r>
        <w:rPr>
          <w:rFonts w:hint="eastAsia" w:ascii="Times New Roman" w:hAnsi="Times New Roman"/>
          <w:b/>
          <w:bCs/>
        </w:rPr>
        <w:t>、</w:t>
      </w:r>
      <w:r>
        <w:rPr>
          <w:rFonts w:ascii="Times New Roman" w:hAnsi="Times New Roman"/>
          <w:b/>
          <w:bCs/>
        </w:rPr>
        <w:t>项在开标前核验（由投标人单独提供），其余文件开标后核验。</w:t>
      </w:r>
    </w:p>
    <w:p>
      <w:pPr>
        <w:pStyle w:val="10"/>
        <w:spacing w:line="360" w:lineRule="auto"/>
        <w:ind w:firstLine="420" w:firstLineChars="200"/>
        <w:rPr>
          <w:rFonts w:ascii="Times New Roman" w:hAnsi="Times New Roman"/>
          <w:b/>
        </w:rPr>
      </w:pPr>
      <w:r>
        <w:rPr>
          <w:rFonts w:ascii="Times New Roman" w:hAnsi="Times New Roman"/>
          <w:b/>
        </w:rPr>
        <w:t>2.投标文件格式</w:t>
      </w:r>
    </w:p>
    <w:p>
      <w:pPr>
        <w:pStyle w:val="10"/>
        <w:spacing w:line="360" w:lineRule="auto"/>
        <w:ind w:firstLine="420" w:firstLineChars="200"/>
        <w:rPr>
          <w:rFonts w:ascii="Times New Roman" w:hAnsi="Times New Roman"/>
        </w:rPr>
      </w:pPr>
      <w:bookmarkStart w:id="4" w:name="_Hlk147217941"/>
      <w:r>
        <w:rPr>
          <w:rFonts w:ascii="Times New Roman" w:hAnsi="Times New Roman"/>
          <w:highlight w:val="yellow"/>
        </w:rPr>
        <w:t>详见本招标文件“第二章 投标文件编制”，请投标人按格式要求进行填写。</w:t>
      </w:r>
      <w:bookmarkEnd w:id="4"/>
    </w:p>
    <w:p>
      <w:pPr>
        <w:pStyle w:val="10"/>
        <w:spacing w:line="360" w:lineRule="auto"/>
        <w:ind w:firstLine="420" w:firstLineChars="200"/>
        <w:rPr>
          <w:b/>
          <w:szCs w:val="22"/>
        </w:rPr>
      </w:pPr>
      <w:r>
        <w:rPr>
          <w:b/>
          <w:szCs w:val="22"/>
        </w:rPr>
        <w:t>3.</w:t>
      </w:r>
      <w:r>
        <w:rPr>
          <w:rFonts w:hint="eastAsia"/>
          <w:b/>
          <w:szCs w:val="22"/>
        </w:rPr>
        <w:t>报价</w:t>
      </w:r>
    </w:p>
    <w:p>
      <w:pPr>
        <w:pStyle w:val="10"/>
        <w:spacing w:line="360" w:lineRule="auto"/>
        <w:ind w:left="630" w:leftChars="200" w:hanging="210" w:hangingChars="100"/>
      </w:pPr>
      <w:r>
        <w:rPr>
          <w:rFonts w:hint="eastAsia" w:hAnsi="宋体"/>
          <w:bCs/>
        </w:rPr>
        <w:t>（1）</w:t>
      </w:r>
      <w:r>
        <w:rPr>
          <w:rFonts w:hint="eastAsia"/>
          <w:bCs/>
        </w:rPr>
        <w:t>本次</w:t>
      </w:r>
      <w:r>
        <w:rPr>
          <w:rFonts w:hint="eastAsia"/>
        </w:rPr>
        <w:t>招标为公开招标，报价应为：</w:t>
      </w:r>
    </w:p>
    <w:p>
      <w:pPr>
        <w:numPr>
          <w:ilvl w:val="0"/>
          <w:numId w:val="0"/>
        </w:numPr>
        <w:ind w:leftChars="0" w:firstLine="630" w:firstLineChars="300"/>
        <w:jc w:val="both"/>
        <w:rPr>
          <w:rFonts w:hint="eastAsia"/>
        </w:rPr>
      </w:pPr>
      <w:r>
        <w:rPr>
          <w:rFonts w:hint="eastAsia"/>
        </w:rPr>
        <w:t>经与招标人或其指派的答疑人员充分沟通确认基础上，由投标人</w:t>
      </w:r>
      <w:r>
        <w:rPr>
          <w:rFonts w:hint="eastAsia"/>
          <w:lang w:val="en-US" w:eastAsia="zh-CN"/>
        </w:rPr>
        <w:t>根据招标人《测量管理体系培训推进计划》</w:t>
      </w:r>
      <w:r>
        <w:rPr>
          <w:rFonts w:hint="eastAsia"/>
        </w:rPr>
        <w:t>报出培训费（按人天）、差旅费填报单价及总价。</w:t>
      </w:r>
    </w:p>
    <w:p>
      <w:pPr>
        <w:pStyle w:val="10"/>
        <w:spacing w:line="360" w:lineRule="auto"/>
        <w:ind w:firstLine="420" w:firstLineChars="200"/>
        <w:rPr>
          <w:rFonts w:ascii="Times New Roman" w:hAnsi="Times New Roman"/>
        </w:rPr>
      </w:pPr>
      <w:r>
        <w:rPr>
          <w:rFonts w:ascii="Times New Roman" w:hAnsi="Times New Roman"/>
          <w:highlight w:val="yellow"/>
        </w:rPr>
        <w:t>详见本招标书之“第二章 投标文件编制”之“</w:t>
      </w:r>
      <w:r>
        <w:rPr>
          <w:rFonts w:hint="eastAsia" w:ascii="Times New Roman" w:hAnsi="Times New Roman"/>
          <w:highlight w:val="yellow"/>
        </w:rPr>
        <w:t>四</w:t>
      </w:r>
      <w:r>
        <w:rPr>
          <w:rFonts w:ascii="Times New Roman" w:hAnsi="Times New Roman"/>
          <w:highlight w:val="yellow"/>
        </w:rPr>
        <w:t>、投标文件</w:t>
      </w:r>
      <w:r>
        <w:rPr>
          <w:rFonts w:hint="eastAsia" w:ascii="Times New Roman" w:hAnsi="Times New Roman"/>
          <w:highlight w:val="yellow"/>
        </w:rPr>
        <w:t>附件</w:t>
      </w:r>
      <w:r>
        <w:rPr>
          <w:rFonts w:ascii="Times New Roman" w:hAnsi="Times New Roman"/>
          <w:highlight w:val="yellow"/>
        </w:rPr>
        <w:t>格式要求”之“格式3”</w:t>
      </w:r>
      <w:r>
        <w:rPr>
          <w:rFonts w:hint="eastAsia" w:ascii="Times New Roman" w:hAnsi="Times New Roman"/>
          <w:highlight w:val="yellow"/>
        </w:rPr>
        <w:t>。</w:t>
      </w:r>
    </w:p>
    <w:p>
      <w:pPr>
        <w:pStyle w:val="10"/>
        <w:spacing w:line="360" w:lineRule="auto"/>
        <w:ind w:firstLine="420" w:firstLineChars="200"/>
      </w:pPr>
      <w:r>
        <w:rPr>
          <w:rFonts w:hint="eastAsia" w:hAnsi="宋体"/>
          <w:bCs/>
        </w:rPr>
        <w:t>（2）</w:t>
      </w:r>
      <w:r>
        <w:rPr>
          <w:rFonts w:hint="eastAsia"/>
        </w:rPr>
        <w:t>所有报价货币单位为：</w:t>
      </w:r>
      <w:r>
        <w:rPr>
          <w:rFonts w:ascii="Times New Roman" w:hAnsi="Times New Roman"/>
          <w:u w:val="single"/>
        </w:rPr>
        <w:t xml:space="preserve">    </w:t>
      </w:r>
      <w:r>
        <w:rPr>
          <w:rFonts w:ascii="Times New Roman" w:hAnsi="Times New Roman"/>
        </w:rPr>
        <w:t>元（人民币），含税；税率</w:t>
      </w:r>
      <w:r>
        <w:rPr>
          <w:rFonts w:ascii="Times New Roman" w:hAnsi="Times New Roman"/>
          <w:u w:val="single"/>
        </w:rPr>
        <w:t xml:space="preserve">    </w:t>
      </w:r>
      <w:r>
        <w:rPr>
          <w:rFonts w:hint="eastAsia" w:ascii="Times New Roman" w:hAnsi="Times New Roman"/>
          <w:u w:val="single"/>
        </w:rPr>
        <w:t xml:space="preserve">   </w:t>
      </w:r>
      <w:r>
        <w:rPr>
          <w:rFonts w:ascii="Times New Roman" w:hAnsi="Times New Roman"/>
        </w:rPr>
        <w:t>；不含税价</w:t>
      </w:r>
      <w:r>
        <w:rPr>
          <w:rFonts w:ascii="Times New Roman" w:hAnsi="Times New Roman"/>
          <w:u w:val="single"/>
        </w:rPr>
        <w:t xml:space="preserve">   </w:t>
      </w:r>
      <w:r>
        <w:rPr>
          <w:rFonts w:ascii="Times New Roman" w:hAnsi="Times New Roman"/>
        </w:rPr>
        <w:t>元（人民币）</w:t>
      </w:r>
      <w:r>
        <w:rPr>
          <w:rFonts w:hint="eastAsia"/>
        </w:rPr>
        <w:t>。</w:t>
      </w:r>
    </w:p>
    <w:p>
      <w:pPr>
        <w:pStyle w:val="10"/>
        <w:spacing w:line="360" w:lineRule="auto"/>
        <w:ind w:firstLine="420" w:firstLineChars="200"/>
        <w:rPr>
          <w:rFonts w:hint="eastAsia" w:ascii="Times New Roman" w:hAnsi="Times New Roman"/>
          <w:lang w:val="en-US" w:eastAsia="zh-CN"/>
        </w:rPr>
      </w:pPr>
      <w:r>
        <w:rPr>
          <w:rFonts w:hint="eastAsia" w:hAnsi="宋体"/>
          <w:b/>
          <w:bCs/>
        </w:rPr>
        <w:t>（3）</w:t>
      </w:r>
      <w:r>
        <w:rPr>
          <w:rFonts w:hint="eastAsia"/>
          <w:b/>
          <w:bCs/>
        </w:rPr>
        <w:t>付款方式：</w:t>
      </w:r>
      <w:r>
        <w:rPr>
          <w:rFonts w:hint="eastAsia" w:ascii="Times New Roman" w:hAnsi="Times New Roman"/>
          <w:lang w:val="en-US" w:eastAsia="zh-CN"/>
        </w:rPr>
        <w:t>银行转账</w:t>
      </w:r>
      <w:r>
        <w:rPr>
          <w:rFonts w:hint="default" w:ascii="Times New Roman" w:hAnsi="Times New Roman"/>
          <w:lang w:val="en-US" w:eastAsia="zh-CN"/>
        </w:rPr>
        <w:t>，</w:t>
      </w:r>
      <w:r>
        <w:rPr>
          <w:rFonts w:hint="eastAsia" w:ascii="Times New Roman" w:hAnsi="Times New Roman"/>
          <w:lang w:val="en-US" w:eastAsia="zh-CN"/>
        </w:rPr>
        <w:t>付款节点3:6:1：</w:t>
      </w:r>
    </w:p>
    <w:p>
      <w:pPr>
        <w:pStyle w:val="10"/>
        <w:spacing w:line="360" w:lineRule="auto"/>
        <w:ind w:firstLine="420" w:firstLineChars="200"/>
        <w:rPr>
          <w:rFonts w:hint="eastAsia" w:ascii="Times New Roman" w:hAnsi="Times New Roman"/>
          <w:lang w:val="en-US" w:eastAsia="zh-CN"/>
        </w:rPr>
      </w:pPr>
      <w:r>
        <w:rPr>
          <w:rFonts w:hint="eastAsia" w:ascii="Times New Roman" w:hAnsi="Times New Roman"/>
          <w:lang w:val="en-US" w:eastAsia="zh-CN"/>
        </w:rPr>
        <w:t>A.合同签订后，中标人提交金额为合同价款30%的收据并提供合同价款30%的增值税专用发票（含复印件二份），经招标人依照财务制度审核通过后30日支付；</w:t>
      </w:r>
    </w:p>
    <w:p>
      <w:pPr>
        <w:pStyle w:val="10"/>
        <w:spacing w:line="360" w:lineRule="auto"/>
        <w:ind w:firstLine="420" w:firstLineChars="200"/>
        <w:rPr>
          <w:rFonts w:hint="eastAsia" w:ascii="Times New Roman" w:hAnsi="Times New Roman"/>
          <w:lang w:val="en-US" w:eastAsia="zh-CN"/>
        </w:rPr>
      </w:pPr>
      <w:r>
        <w:rPr>
          <w:rFonts w:hint="eastAsia" w:ascii="Times New Roman" w:hAnsi="Times New Roman"/>
          <w:lang w:val="en-US" w:eastAsia="zh-CN"/>
        </w:rPr>
        <w:t>B.乙方完成甲方</w:t>
      </w:r>
      <w:r>
        <w:rPr>
          <w:rFonts w:hint="default" w:ascii="Times New Roman" w:hAnsi="Times New Roman"/>
          <w:lang w:val="en-US" w:eastAsia="zh-CN"/>
        </w:rPr>
        <w:t>需求</w:t>
      </w:r>
      <w:r>
        <w:rPr>
          <w:rFonts w:hint="eastAsia" w:ascii="Times New Roman" w:hAnsi="Times New Roman"/>
          <w:lang w:val="en-US" w:eastAsia="zh-CN"/>
        </w:rPr>
        <w:t>后（测量体系</w:t>
      </w:r>
      <w:r>
        <w:rPr>
          <w:rFonts w:hint="default" w:ascii="Times New Roman" w:hAnsi="Times New Roman"/>
          <w:lang w:val="en-US" w:eastAsia="zh-CN"/>
        </w:rPr>
        <w:t>文件发布</w:t>
      </w:r>
      <w:r>
        <w:rPr>
          <w:rFonts w:hint="eastAsia" w:ascii="Times New Roman" w:hAnsi="Times New Roman"/>
          <w:lang w:val="en-US" w:eastAsia="zh-CN"/>
        </w:rPr>
        <w:t>并</w:t>
      </w:r>
      <w:r>
        <w:rPr>
          <w:rFonts w:hint="default" w:ascii="Times New Roman" w:hAnsi="Times New Roman"/>
          <w:lang w:val="en-US" w:eastAsia="zh-CN"/>
        </w:rPr>
        <w:t>通过管理评审</w:t>
      </w:r>
      <w:r>
        <w:rPr>
          <w:rFonts w:hint="eastAsia" w:ascii="Times New Roman" w:hAnsi="Times New Roman"/>
          <w:lang w:val="en-US" w:eastAsia="zh-CN"/>
        </w:rPr>
        <w:t>），中标人提交金额为合同价款60%的收据并提供合同价款70%的增值税专用发票（含复印件二份），经招标人依照财务制度审核通过后30日支付；</w:t>
      </w:r>
    </w:p>
    <w:p>
      <w:pPr>
        <w:pStyle w:val="10"/>
        <w:spacing w:line="360" w:lineRule="auto"/>
        <w:ind w:firstLine="420" w:firstLineChars="200"/>
        <w:rPr>
          <w:b/>
          <w:color w:val="000000"/>
        </w:rPr>
      </w:pPr>
      <w:r>
        <w:rPr>
          <w:rFonts w:hint="eastAsia" w:ascii="Times New Roman" w:hAnsi="Times New Roman"/>
          <w:lang w:val="en-US" w:eastAsia="zh-CN"/>
        </w:rPr>
        <w:t>C.</w:t>
      </w:r>
      <w:r>
        <w:rPr>
          <w:rFonts w:hint="default" w:ascii="Times New Roman" w:hAnsi="Times New Roman"/>
          <w:lang w:val="en-US" w:eastAsia="zh-CN"/>
        </w:rPr>
        <w:t>测量体系取证后</w:t>
      </w:r>
      <w:r>
        <w:rPr>
          <w:rFonts w:hint="eastAsia" w:ascii="Times New Roman" w:hAnsi="Times New Roman"/>
          <w:lang w:val="en-US" w:eastAsia="zh-CN"/>
        </w:rPr>
        <w:t>，中标人提交金额为合同价款10%的收据，经招标人依照财务制度审核通过后30日支付。</w:t>
      </w:r>
      <w:r>
        <w:rPr>
          <w:rFonts w:hint="default" w:ascii="Times New Roman" w:hAnsi="Times New Roman"/>
        </w:rPr>
        <w:br w:type="textWrapping"/>
      </w:r>
      <w:r>
        <w:rPr>
          <w:rFonts w:hint="eastAsia"/>
          <w:color w:val="000000"/>
          <w:lang w:val="en-US" w:eastAsia="zh-CN"/>
        </w:rPr>
        <w:t xml:space="preserve">    </w:t>
      </w:r>
      <w:r>
        <w:rPr>
          <w:b/>
          <w:color w:val="000000"/>
        </w:rPr>
        <w:t>4.</w:t>
      </w:r>
      <w:r>
        <w:rPr>
          <w:rFonts w:hint="eastAsia"/>
          <w:b/>
          <w:color w:val="000000"/>
        </w:rPr>
        <w:t>技术规范及服务</w:t>
      </w:r>
    </w:p>
    <w:p>
      <w:pPr>
        <w:pStyle w:val="10"/>
        <w:spacing w:line="360" w:lineRule="auto"/>
        <w:ind w:firstLine="420" w:firstLineChars="200"/>
        <w:rPr>
          <w:color w:val="000000"/>
        </w:rPr>
      </w:pPr>
      <w:r>
        <w:rPr>
          <w:rFonts w:hint="eastAsia"/>
          <w:color w:val="000000"/>
        </w:rPr>
        <w:t>⑴投标人应与招标人指派的答疑人员充分沟通，理解认可并接受相关技术规范及服务要求。</w:t>
      </w:r>
    </w:p>
    <w:p>
      <w:pPr>
        <w:pStyle w:val="10"/>
        <w:spacing w:line="360" w:lineRule="auto"/>
        <w:ind w:firstLine="420" w:firstLineChars="200"/>
      </w:pPr>
      <w:r>
        <w:rPr>
          <w:rFonts w:hint="eastAsia"/>
        </w:rPr>
        <w:t>⑵投标人可免费提供的、包含但不限于招标人所要求的其他相关服务内容，按本招标书“第二章</w:t>
      </w:r>
      <w:r>
        <w:t xml:space="preserve"> </w:t>
      </w:r>
      <w:r>
        <w:rPr>
          <w:rFonts w:hint="eastAsia"/>
        </w:rPr>
        <w:t>投标文件编制”要求，在其“开标一览表”中一并说明。</w:t>
      </w:r>
      <w:r>
        <w:tab/>
      </w:r>
    </w:p>
    <w:p>
      <w:pPr>
        <w:pStyle w:val="10"/>
        <w:spacing w:line="360" w:lineRule="auto"/>
        <w:ind w:firstLine="420" w:firstLineChars="200"/>
        <w:rPr>
          <w:b/>
          <w:color w:val="000000"/>
        </w:rPr>
      </w:pPr>
      <w:r>
        <w:rPr>
          <w:b/>
          <w:color w:val="000000"/>
        </w:rPr>
        <w:t>5.</w:t>
      </w:r>
      <w:r>
        <w:rPr>
          <w:rFonts w:hint="eastAsia"/>
          <w:b/>
          <w:color w:val="000000"/>
        </w:rPr>
        <w:t>其他</w:t>
      </w:r>
    </w:p>
    <w:p>
      <w:pPr>
        <w:pStyle w:val="10"/>
        <w:spacing w:line="360" w:lineRule="auto"/>
        <w:ind w:firstLine="420" w:firstLineChars="200"/>
        <w:rPr>
          <w:rFonts w:ascii="Times New Roman" w:hAnsi="Times New Roman"/>
        </w:rPr>
      </w:pPr>
      <w:r>
        <w:rPr>
          <w:rFonts w:ascii="Times New Roman" w:hAnsi="Times New Roman"/>
        </w:rPr>
        <w:t>投标人须认可招标人本招标文件第九条关于废标或终止招标的情况，如投标人不认可、不接受，则投标人在本招标书“第二章 投标文件编制”之“相关条款偏离表（含商务偏离及技术偏离）”中注明“不接受”字，招标人将视之为主动弃标。</w:t>
      </w:r>
    </w:p>
    <w:p>
      <w:pPr>
        <w:pStyle w:val="10"/>
        <w:spacing w:line="360" w:lineRule="auto"/>
        <w:ind w:firstLine="420" w:firstLineChars="200"/>
        <w:rPr>
          <w:color w:val="000000"/>
        </w:rPr>
      </w:pPr>
      <w:r>
        <w:rPr>
          <w:rFonts w:hint="eastAsia"/>
          <w:color w:val="000000"/>
        </w:rPr>
        <w:t>其余未尽事宜，均按合同约定。</w:t>
      </w:r>
    </w:p>
    <w:p>
      <w:pPr>
        <w:pStyle w:val="10"/>
        <w:spacing w:line="360" w:lineRule="auto"/>
        <w:ind w:firstLine="420" w:firstLineChars="200"/>
        <w:rPr>
          <w:rFonts w:ascii="Times New Roman" w:hAnsi="Times New Roman"/>
          <w:b/>
        </w:rPr>
      </w:pPr>
      <w:r>
        <w:rPr>
          <w:rFonts w:ascii="Times New Roman" w:hAnsi="Times New Roman"/>
          <w:b/>
        </w:rPr>
        <w:t>6.要求招标人或相关合同签订单位提供的配合，在标书文件中说明。</w:t>
      </w:r>
    </w:p>
    <w:p>
      <w:pPr>
        <w:pStyle w:val="10"/>
        <w:spacing w:line="360" w:lineRule="auto"/>
        <w:ind w:firstLine="240" w:firstLineChars="100"/>
        <w:rPr>
          <w:rFonts w:ascii="Times New Roman" w:hAnsi="Times New Roman"/>
          <w:b/>
          <w:color w:val="FF0000"/>
        </w:rPr>
      </w:pPr>
      <w:r>
        <w:rPr>
          <w:color w:val="FF0000"/>
          <w:sz w:val="24"/>
          <w:szCs w:val="24"/>
        </w:rPr>
        <w:t xml:space="preserve">★ </w:t>
      </w:r>
      <w:r>
        <w:rPr>
          <w:rFonts w:hint="eastAsia" w:ascii="Times New Roman" w:hAnsi="Times New Roman"/>
          <w:b/>
          <w:color w:val="FF0000"/>
        </w:rPr>
        <w:t>7</w:t>
      </w:r>
      <w:r>
        <w:rPr>
          <w:rFonts w:ascii="Times New Roman" w:hAnsi="Times New Roman"/>
          <w:b/>
          <w:color w:val="FF0000"/>
        </w:rPr>
        <w:t>.</w:t>
      </w:r>
      <w:r>
        <w:rPr>
          <w:rFonts w:hint="eastAsia" w:ascii="Times New Roman" w:hAnsi="Times New Roman"/>
          <w:b/>
          <w:color w:val="FF0000"/>
        </w:rPr>
        <w:t>若投标人已成为意向中标人，投标人必须无条件配合招标人完成中国重汽集团价值工程部核价流程的工作。</w:t>
      </w:r>
    </w:p>
    <w:p>
      <w:pPr>
        <w:pStyle w:val="10"/>
        <w:spacing w:line="360" w:lineRule="auto"/>
        <w:ind w:firstLine="280" w:firstLineChars="100"/>
        <w:rPr>
          <w:rFonts w:hint="eastAsia" w:ascii="黑体" w:hAnsi="黑体" w:eastAsia="黑体"/>
          <w:b/>
          <w:color w:val="000000"/>
          <w:sz w:val="28"/>
          <w:szCs w:val="28"/>
        </w:rPr>
      </w:pPr>
      <w:r>
        <w:rPr>
          <w:rFonts w:hint="eastAsia" w:ascii="黑体" w:hAnsi="黑体" w:eastAsia="黑体"/>
          <w:b/>
          <w:color w:val="000000"/>
          <w:sz w:val="28"/>
          <w:szCs w:val="28"/>
        </w:rPr>
        <w:t>七、</w:t>
      </w:r>
      <w:r>
        <w:rPr>
          <w:rFonts w:hint="eastAsia" w:ascii="黑体" w:eastAsia="黑体"/>
          <w:b/>
          <w:bCs/>
          <w:sz w:val="28"/>
        </w:rPr>
        <w:t>投标、开标、评标</w:t>
      </w:r>
    </w:p>
    <w:p>
      <w:pPr>
        <w:pStyle w:val="10"/>
        <w:spacing w:line="360" w:lineRule="auto"/>
        <w:ind w:firstLine="420" w:firstLineChars="200"/>
        <w:rPr>
          <w:color w:val="000000"/>
        </w:rPr>
      </w:pPr>
      <w:r>
        <w:rPr>
          <w:color w:val="000000"/>
        </w:rPr>
        <w:t>1.</w:t>
      </w:r>
      <w:r>
        <w:rPr>
          <w:rFonts w:hint="eastAsia"/>
          <w:color w:val="000000"/>
        </w:rPr>
        <w:t>投标保证金</w:t>
      </w:r>
    </w:p>
    <w:p>
      <w:pPr>
        <w:pStyle w:val="10"/>
        <w:spacing w:line="360" w:lineRule="auto"/>
        <w:ind w:firstLine="420" w:firstLineChars="200"/>
        <w:rPr>
          <w:color w:val="000000"/>
        </w:rPr>
      </w:pPr>
      <w:r>
        <w:rPr>
          <w:rFonts w:hint="eastAsia" w:hAnsi="宋体"/>
          <w:color w:val="000000"/>
        </w:rPr>
        <w:t>⑴</w:t>
      </w:r>
      <w:r>
        <w:rPr>
          <w:rFonts w:hint="eastAsia"/>
          <w:color w:val="000000"/>
        </w:rPr>
        <w:t>投标人向招标人财务部门缴纳</w:t>
      </w:r>
      <w:r>
        <w:rPr>
          <w:rFonts w:hint="eastAsia"/>
          <w:color w:val="000000"/>
          <w:u w:val="single"/>
          <w:lang w:val="en-US" w:eastAsia="zh-CN"/>
        </w:rPr>
        <w:t>5000</w:t>
      </w:r>
      <w:r>
        <w:rPr>
          <w:rFonts w:hint="eastAsia"/>
          <w:color w:val="000000"/>
          <w:u w:val="single"/>
        </w:rPr>
        <w:t>元</w:t>
      </w:r>
      <w:r>
        <w:rPr>
          <w:rFonts w:hint="eastAsia"/>
          <w:color w:val="000000"/>
        </w:rPr>
        <w:t>（人民币），作为投标人本次投标的保证金。</w:t>
      </w:r>
    </w:p>
    <w:p>
      <w:pPr>
        <w:pStyle w:val="10"/>
        <w:spacing w:line="360" w:lineRule="auto"/>
        <w:ind w:firstLine="420" w:firstLineChars="200"/>
        <w:rPr>
          <w:color w:val="000000"/>
        </w:rPr>
      </w:pPr>
      <w:r>
        <w:rPr>
          <w:rFonts w:hint="eastAsia" w:hAnsi="宋体"/>
          <w:color w:val="000000"/>
        </w:rPr>
        <w:t>⑵</w:t>
      </w:r>
      <w:r>
        <w:rPr>
          <w:rFonts w:hint="eastAsia"/>
          <w:color w:val="000000"/>
        </w:rPr>
        <w:t>缴纳方式：电汇或网银（需备注“</w:t>
      </w:r>
      <w:r>
        <w:rPr>
          <w:rFonts w:hint="eastAsia"/>
          <w:color w:val="000000"/>
          <w:lang w:val="en-US" w:eastAsia="zh-CN"/>
        </w:rPr>
        <w:t>测量管理体系培训项目</w:t>
      </w:r>
      <w:r>
        <w:rPr>
          <w:rFonts w:hint="eastAsia"/>
          <w:color w:val="000000"/>
        </w:rPr>
        <w:t>投标保证金”）；</w:t>
      </w:r>
    </w:p>
    <w:p>
      <w:pPr>
        <w:pStyle w:val="10"/>
        <w:spacing w:line="360" w:lineRule="auto"/>
        <w:ind w:firstLine="420" w:firstLineChars="200"/>
        <w:rPr>
          <w:color w:val="000000"/>
        </w:rPr>
      </w:pPr>
      <w:r>
        <w:rPr>
          <w:rFonts w:hint="eastAsia" w:hAnsi="宋体"/>
          <w:color w:val="000000"/>
        </w:rPr>
        <w:t>⑶</w:t>
      </w:r>
      <w:r>
        <w:rPr>
          <w:rFonts w:hint="eastAsia"/>
          <w:color w:val="000000"/>
        </w:rPr>
        <w:t>接收单位：</w:t>
      </w:r>
      <w:r>
        <w:rPr>
          <w:rFonts w:hint="eastAsia"/>
          <w:color w:val="000000"/>
          <w:szCs w:val="22"/>
        </w:rPr>
        <w:t>中国重汽集团济南动力有限公司</w:t>
      </w:r>
      <w:r>
        <w:rPr>
          <w:rFonts w:hint="eastAsia"/>
          <w:color w:val="000000"/>
        </w:rPr>
        <w:t>；</w:t>
      </w:r>
    </w:p>
    <w:p>
      <w:pPr>
        <w:pStyle w:val="10"/>
        <w:spacing w:line="360" w:lineRule="auto"/>
        <w:ind w:firstLine="420" w:firstLineChars="200"/>
        <w:rPr>
          <w:color w:val="000000"/>
          <w:highlight w:val="yellow"/>
        </w:rPr>
      </w:pPr>
      <w:r>
        <w:rPr>
          <w:rFonts w:hint="eastAsia" w:hAnsi="宋体"/>
          <w:color w:val="000000"/>
        </w:rPr>
        <w:t>⑷</w:t>
      </w:r>
      <w:r>
        <w:rPr>
          <w:rFonts w:hint="eastAsia"/>
          <w:color w:val="000000"/>
        </w:rPr>
        <w:t>转账信息</w:t>
      </w:r>
    </w:p>
    <w:tbl>
      <w:tblPr>
        <w:tblStyle w:val="19"/>
        <w:tblW w:w="0" w:type="auto"/>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pPr>
              <w:pStyle w:val="10"/>
              <w:ind w:firstLine="420" w:firstLineChars="200"/>
              <w:rPr>
                <w:color w:val="000000"/>
                <w:highlight w:val="yellow"/>
              </w:rPr>
            </w:pPr>
            <w:r>
              <w:rPr>
                <w:color w:val="000000"/>
              </w:rPr>
              <w:t>账户名称</w:t>
            </w:r>
            <w:r>
              <w:rPr>
                <w:rFonts w:hint="eastAsia"/>
                <w:color w:val="000000"/>
              </w:rPr>
              <w:t>：</w:t>
            </w:r>
            <w:r>
              <w:rPr>
                <w:rFonts w:hint="eastAsia"/>
                <w:color w:val="000000"/>
                <w:szCs w:val="22"/>
              </w:rPr>
              <w:t>中国重汽集团济南动力有限公司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287" w:type="dxa"/>
            <w:vAlign w:val="center"/>
          </w:tcPr>
          <w:p>
            <w:pPr>
              <w:pStyle w:val="10"/>
              <w:ind w:firstLine="420" w:firstLineChars="200"/>
              <w:rPr>
                <w:color w:val="000000"/>
              </w:rPr>
            </w:pPr>
            <w:r>
              <w:rPr>
                <w:rFonts w:hint="eastAsia"/>
                <w:color w:val="000000"/>
              </w:rPr>
              <w:t>地址：山东省济南市高新区华奥路777号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pPr>
              <w:pStyle w:val="10"/>
              <w:ind w:firstLine="420" w:firstLineChars="200"/>
              <w:rPr>
                <w:color w:val="000000"/>
                <w:highlight w:val="yellow"/>
              </w:rPr>
            </w:pPr>
            <w:r>
              <w:rPr>
                <w:rFonts w:hint="eastAsia"/>
                <w:color w:val="000000"/>
              </w:rPr>
              <w:t>银行账号：</w:t>
            </w:r>
            <w:r>
              <w:rPr>
                <w:color w:val="000000"/>
              </w:rPr>
              <w:t>37001616508050150300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pPr>
              <w:pStyle w:val="10"/>
              <w:ind w:firstLine="420" w:firstLineChars="200"/>
              <w:rPr>
                <w:color w:val="000000"/>
              </w:rPr>
            </w:pPr>
            <w:r>
              <w:rPr>
                <w:rFonts w:hint="eastAsia"/>
                <w:color w:val="000000"/>
              </w:rPr>
              <w:t>开户行行号：</w:t>
            </w:r>
            <w:r>
              <w:rPr>
                <w:color w:val="000000"/>
              </w:rPr>
              <w:t>105451000362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8287" w:type="dxa"/>
            <w:vAlign w:val="center"/>
          </w:tcPr>
          <w:p>
            <w:pPr>
              <w:pStyle w:val="10"/>
              <w:ind w:firstLine="420" w:firstLineChars="200"/>
              <w:rPr>
                <w:color w:val="000000"/>
              </w:rPr>
            </w:pPr>
            <w:r>
              <w:rPr>
                <w:rFonts w:hint="eastAsia"/>
                <w:color w:val="000000"/>
              </w:rPr>
              <w:t>开户行：中国建设银行济南市天桥区支行</w:t>
            </w:r>
          </w:p>
        </w:tc>
      </w:tr>
    </w:tbl>
    <w:p>
      <w:pPr>
        <w:pStyle w:val="10"/>
        <w:spacing w:line="360" w:lineRule="auto"/>
        <w:ind w:firstLine="420" w:firstLineChars="200"/>
        <w:rPr>
          <w:color w:val="000000"/>
        </w:rPr>
      </w:pPr>
      <w:r>
        <w:rPr>
          <w:rFonts w:hint="eastAsia"/>
          <w:color w:val="000000"/>
          <w:highlight w:val="yellow"/>
        </w:rPr>
        <w:t>(</w:t>
      </w:r>
      <w:r>
        <w:rPr>
          <w:color w:val="000000"/>
          <w:highlight w:val="yellow"/>
        </w:rPr>
        <w:t>5)</w:t>
      </w:r>
      <w:r>
        <w:rPr>
          <w:rFonts w:hint="eastAsia"/>
          <w:color w:val="000000"/>
          <w:highlight w:val="yellow"/>
        </w:rPr>
        <w:t xml:space="preserve"> 保证金截止时间：202</w:t>
      </w:r>
      <w:r>
        <w:rPr>
          <w:rFonts w:hint="eastAsia"/>
          <w:color w:val="000000"/>
          <w:highlight w:val="yellow"/>
          <w:lang w:val="en-US" w:eastAsia="zh-CN"/>
        </w:rPr>
        <w:t>6</w:t>
      </w:r>
      <w:r>
        <w:rPr>
          <w:rFonts w:hint="eastAsia"/>
          <w:color w:val="000000"/>
          <w:highlight w:val="yellow"/>
        </w:rPr>
        <w:t>年XX月XX日17时</w:t>
      </w:r>
      <w:r>
        <w:rPr>
          <w:color w:val="000000"/>
          <w:highlight w:val="yellow"/>
        </w:rPr>
        <w:t>00</w:t>
      </w:r>
      <w:r>
        <w:rPr>
          <w:rFonts w:hint="eastAsia"/>
          <w:color w:val="000000"/>
          <w:highlight w:val="yellow"/>
        </w:rPr>
        <w:t>分前</w:t>
      </w:r>
    </w:p>
    <w:p>
      <w:pPr>
        <w:pStyle w:val="10"/>
        <w:spacing w:line="360" w:lineRule="auto"/>
        <w:ind w:firstLine="420" w:firstLineChars="200"/>
        <w:rPr>
          <w:color w:val="000000"/>
        </w:rPr>
      </w:pPr>
      <w:r>
        <w:rPr>
          <w:rFonts w:hint="eastAsia"/>
          <w:color w:val="000000"/>
        </w:rPr>
        <w:t>（6）投标保证金需从基本账户转出。</w:t>
      </w:r>
    </w:p>
    <w:p>
      <w:pPr>
        <w:pStyle w:val="10"/>
        <w:spacing w:line="360" w:lineRule="auto"/>
        <w:ind w:firstLine="420" w:firstLineChars="200"/>
        <w:rPr>
          <w:color w:val="000000"/>
        </w:rPr>
      </w:pPr>
      <w:r>
        <w:rPr>
          <w:rFonts w:hint="eastAsia"/>
          <w:color w:val="000000"/>
        </w:rPr>
        <w:t>(7)说明</w:t>
      </w:r>
    </w:p>
    <w:p>
      <w:pPr>
        <w:pStyle w:val="10"/>
        <w:spacing w:line="360" w:lineRule="auto"/>
        <w:ind w:firstLine="420" w:firstLineChars="200"/>
        <w:rPr>
          <w:rFonts w:ascii="Times New Roman" w:hAnsi="Times New Roman"/>
        </w:rPr>
      </w:pPr>
      <w:r>
        <w:rPr>
          <w:rFonts w:hint="eastAsia" w:ascii="Times New Roman" w:hAnsi="Times New Roman"/>
        </w:rPr>
        <w:t>（a）</w:t>
      </w:r>
      <w:r>
        <w:rPr>
          <w:rFonts w:ascii="Times New Roman" w:hAnsi="Times New Roman"/>
        </w:rPr>
        <w:t>凡没有根据规定随附投标保证金的投标，将视为非实质性响应，并予以否决。</w:t>
      </w:r>
    </w:p>
    <w:p>
      <w:pPr>
        <w:pStyle w:val="10"/>
        <w:spacing w:line="360" w:lineRule="auto"/>
        <w:ind w:firstLine="420" w:firstLineChars="200"/>
        <w:rPr>
          <w:rFonts w:ascii="Times New Roman" w:hAnsi="Times New Roman"/>
        </w:rPr>
      </w:pPr>
      <w:r>
        <w:rPr>
          <w:rFonts w:hint="eastAsia" w:ascii="Times New Roman" w:hAnsi="Times New Roman"/>
        </w:rPr>
        <w:t>（b）</w:t>
      </w:r>
      <w:r>
        <w:rPr>
          <w:rFonts w:ascii="Times New Roman" w:hAnsi="Times New Roman"/>
        </w:rPr>
        <w:t>中标通知书发放后，经财务审核，招标人将向未中标的投标人无息退还投标保证金。</w:t>
      </w:r>
    </w:p>
    <w:p>
      <w:pPr>
        <w:pStyle w:val="10"/>
        <w:spacing w:line="360" w:lineRule="auto"/>
        <w:ind w:firstLine="420" w:firstLineChars="200"/>
        <w:rPr>
          <w:rFonts w:ascii="Times New Roman" w:hAnsi="Times New Roman"/>
        </w:rPr>
      </w:pPr>
      <w:r>
        <w:rPr>
          <w:rFonts w:hint="eastAsia" w:ascii="Times New Roman" w:hAnsi="Times New Roman"/>
        </w:rPr>
        <w:t>（c）</w:t>
      </w:r>
      <w:r>
        <w:rPr>
          <w:rFonts w:ascii="Times New Roman" w:hAnsi="Times New Roman"/>
        </w:rPr>
        <w:t>中标人的投标保证金，在中标人按规定签订合同，经财务审核，招标人将向已中标的投标人无息退还投标保证金。</w:t>
      </w:r>
    </w:p>
    <w:p>
      <w:pPr>
        <w:pStyle w:val="10"/>
        <w:spacing w:line="360" w:lineRule="auto"/>
        <w:ind w:firstLine="420" w:firstLineChars="200"/>
        <w:rPr>
          <w:rFonts w:ascii="Times New Roman" w:hAnsi="Times New Roman"/>
        </w:rPr>
      </w:pPr>
      <w:r>
        <w:rPr>
          <w:rFonts w:hint="eastAsia" w:ascii="Times New Roman" w:hAnsi="Times New Roman"/>
        </w:rPr>
        <w:t>（d）</w:t>
      </w:r>
      <w:r>
        <w:rPr>
          <w:rFonts w:ascii="Times New Roman" w:hAnsi="Times New Roman"/>
        </w:rPr>
        <w:t xml:space="preserve">投标人无正当理由随意放弃投标、撤销投标文件、中标后无正当理由拒签合同、在签订合同时向招标人或合同签订单位提出无理附加条件的，投标保证金不予返还，该投标人2年不得参与招标人组织的招投标项目。不存在以上违规情况的投标人，招标人按照退款程序。 </w:t>
      </w:r>
    </w:p>
    <w:p>
      <w:pPr>
        <w:pStyle w:val="10"/>
        <w:spacing w:line="360" w:lineRule="auto"/>
        <w:ind w:firstLine="420" w:firstLineChars="200"/>
        <w:rPr>
          <w:rFonts w:ascii="Times New Roman" w:hAnsi="Times New Roman"/>
          <w:szCs w:val="22"/>
        </w:rPr>
      </w:pPr>
      <w:r>
        <w:rPr>
          <w:rFonts w:hint="eastAsia" w:ascii="Times New Roman" w:hAnsi="Times New Roman"/>
        </w:rPr>
        <w:t>（e）</w:t>
      </w:r>
      <w:r>
        <w:rPr>
          <w:rFonts w:ascii="Times New Roman" w:hAnsi="Times New Roman"/>
          <w:szCs w:val="22"/>
        </w:rPr>
        <w:t>发生以下情况时，项目实施单位有权没收保证金：</w:t>
      </w:r>
    </w:p>
    <w:p>
      <w:pPr>
        <w:pStyle w:val="10"/>
        <w:spacing w:line="360" w:lineRule="auto"/>
        <w:ind w:left="1260" w:leftChars="400" w:hanging="420" w:hangingChars="200"/>
        <w:rPr>
          <w:rFonts w:ascii="Times New Roman" w:hAnsi="Times New Roman"/>
          <w:szCs w:val="22"/>
        </w:rPr>
      </w:pPr>
      <w:r>
        <w:rPr>
          <w:rFonts w:ascii="Times New Roman" w:hAnsi="Times New Roman"/>
          <w:szCs w:val="22"/>
        </w:rPr>
        <w:t>a）截至开标前3天，投标人无正当理由且未以书面形式递交说明而在投标截止日不来投标的；</w:t>
      </w:r>
    </w:p>
    <w:p>
      <w:pPr>
        <w:pStyle w:val="10"/>
        <w:spacing w:line="360" w:lineRule="auto"/>
        <w:ind w:left="420" w:leftChars="200" w:firstLine="420" w:firstLineChars="200"/>
        <w:rPr>
          <w:rFonts w:ascii="Times New Roman" w:hAnsi="Times New Roman"/>
          <w:szCs w:val="22"/>
        </w:rPr>
      </w:pPr>
      <w:r>
        <w:rPr>
          <w:rFonts w:ascii="Times New Roman" w:hAnsi="Times New Roman"/>
          <w:szCs w:val="22"/>
        </w:rPr>
        <w:t>b）投标人递送投标文件后，无正当理由放弃投标的；</w:t>
      </w:r>
    </w:p>
    <w:p>
      <w:pPr>
        <w:pStyle w:val="10"/>
        <w:spacing w:line="360" w:lineRule="auto"/>
        <w:ind w:left="420" w:leftChars="200" w:firstLine="420" w:firstLineChars="200"/>
        <w:rPr>
          <w:rFonts w:ascii="Times New Roman" w:hAnsi="Times New Roman"/>
          <w:szCs w:val="22"/>
        </w:rPr>
      </w:pPr>
      <w:r>
        <w:rPr>
          <w:rFonts w:ascii="Times New Roman" w:hAnsi="Times New Roman"/>
          <w:szCs w:val="22"/>
        </w:rPr>
        <w:t>c）自中标通知书发出之日起30日内，中标人无正当理由不签订合同的；</w:t>
      </w:r>
    </w:p>
    <w:p>
      <w:pPr>
        <w:pStyle w:val="10"/>
        <w:spacing w:line="360" w:lineRule="auto"/>
        <w:ind w:left="420" w:leftChars="200" w:firstLine="420" w:firstLineChars="200"/>
        <w:rPr>
          <w:rFonts w:ascii="Times New Roman" w:hAnsi="Times New Roman"/>
          <w:szCs w:val="22"/>
        </w:rPr>
      </w:pPr>
      <w:r>
        <w:rPr>
          <w:rFonts w:ascii="Times New Roman" w:hAnsi="Times New Roman"/>
          <w:szCs w:val="22"/>
        </w:rPr>
        <w:t>d）投标人在投标过程中被查实有串标、围标、陪标等违规违纪行为的；</w:t>
      </w:r>
    </w:p>
    <w:p>
      <w:pPr>
        <w:pStyle w:val="10"/>
        <w:spacing w:line="360" w:lineRule="auto"/>
        <w:ind w:left="1050" w:leftChars="400" w:hanging="210" w:hangingChars="100"/>
        <w:rPr>
          <w:rFonts w:ascii="Times New Roman" w:hAnsi="Times New Roman"/>
          <w:szCs w:val="22"/>
        </w:rPr>
      </w:pPr>
      <w:r>
        <w:rPr>
          <w:rFonts w:ascii="Times New Roman" w:hAnsi="Times New Roman"/>
          <w:szCs w:val="22"/>
        </w:rPr>
        <w:t>e）投标人有违约违规行为或被投诉、举报的，在调查处理期间，保证金暂不退还，待调查处理结束后按有关规定处理。</w:t>
      </w:r>
    </w:p>
    <w:p>
      <w:pPr>
        <w:pStyle w:val="10"/>
        <w:spacing w:line="360" w:lineRule="auto"/>
        <w:ind w:firstLine="480" w:firstLineChars="200"/>
        <w:rPr>
          <w:b/>
          <w:color w:val="000000"/>
          <w:sz w:val="24"/>
          <w:szCs w:val="24"/>
        </w:rPr>
      </w:pPr>
      <w:r>
        <w:rPr>
          <w:b/>
          <w:color w:val="000000"/>
          <w:sz w:val="24"/>
          <w:szCs w:val="24"/>
        </w:rPr>
        <w:t>2.开标</w:t>
      </w:r>
    </w:p>
    <w:p>
      <w:pPr>
        <w:pStyle w:val="10"/>
        <w:spacing w:line="360" w:lineRule="auto"/>
        <w:ind w:firstLine="420" w:firstLineChars="200"/>
        <w:rPr>
          <w:color w:val="000000"/>
        </w:rPr>
      </w:pPr>
      <w:r>
        <w:rPr>
          <w:rFonts w:hint="eastAsia"/>
          <w:color w:val="000000"/>
        </w:rPr>
        <w:t>（1）本次招标的开标、评标由招标人依法组织实施，本次招标采用技术标和商务标分级开标的模式。</w:t>
      </w:r>
    </w:p>
    <w:p>
      <w:pPr>
        <w:pStyle w:val="10"/>
        <w:spacing w:line="360" w:lineRule="auto"/>
        <w:ind w:firstLine="420" w:firstLineChars="200"/>
        <w:rPr>
          <w:color w:val="000000"/>
        </w:rPr>
      </w:pPr>
      <w:r>
        <w:rPr>
          <w:rFonts w:hint="eastAsia"/>
          <w:color w:val="000000"/>
        </w:rPr>
        <w:t>（2）本项目开标时间和地点见投标人须知前附表。开标会议由招标人组织并主持。招标人邀请各投标人派员参加开标会议。投标人未参加开标的，视同认可开标结果。</w:t>
      </w:r>
    </w:p>
    <w:p>
      <w:pPr>
        <w:pStyle w:val="10"/>
        <w:spacing w:line="360" w:lineRule="auto"/>
        <w:ind w:firstLine="420" w:firstLineChars="200"/>
        <w:rPr>
          <w:color w:val="000000"/>
        </w:rPr>
      </w:pPr>
      <w:r>
        <w:rPr>
          <w:rFonts w:hint="eastAsia"/>
          <w:color w:val="000000"/>
        </w:rPr>
        <w:t>（3）开标程序</w:t>
      </w:r>
    </w:p>
    <w:p>
      <w:pPr>
        <w:pStyle w:val="10"/>
        <w:spacing w:line="360" w:lineRule="auto"/>
        <w:ind w:firstLine="420" w:firstLineChars="200"/>
        <w:rPr>
          <w:color w:val="000000"/>
        </w:rPr>
      </w:pPr>
      <w:r>
        <w:rPr>
          <w:rFonts w:hint="eastAsia"/>
          <w:color w:val="000000"/>
        </w:rPr>
        <w:t>（a）宣布开标会议开始。</w:t>
      </w:r>
    </w:p>
    <w:p>
      <w:pPr>
        <w:pStyle w:val="10"/>
        <w:spacing w:line="360" w:lineRule="auto"/>
        <w:ind w:firstLine="420" w:firstLineChars="200"/>
        <w:rPr>
          <w:color w:val="000000"/>
        </w:rPr>
      </w:pPr>
      <w:r>
        <w:rPr>
          <w:rFonts w:hint="eastAsia"/>
          <w:color w:val="000000"/>
        </w:rPr>
        <w:t>（b）介绍与会人员。</w:t>
      </w:r>
    </w:p>
    <w:p>
      <w:pPr>
        <w:pStyle w:val="10"/>
        <w:spacing w:line="360" w:lineRule="auto"/>
        <w:ind w:firstLine="420" w:firstLineChars="200"/>
        <w:rPr>
          <w:color w:val="000000"/>
        </w:rPr>
      </w:pPr>
      <w:r>
        <w:rPr>
          <w:rFonts w:hint="eastAsia"/>
          <w:color w:val="000000"/>
        </w:rPr>
        <w:t>（c）核验投标人资格证件。</w:t>
      </w:r>
    </w:p>
    <w:p>
      <w:pPr>
        <w:pStyle w:val="10"/>
        <w:spacing w:line="360" w:lineRule="auto"/>
        <w:ind w:firstLine="420" w:firstLineChars="200"/>
        <w:rPr>
          <w:color w:val="000000"/>
        </w:rPr>
      </w:pPr>
      <w:r>
        <w:rPr>
          <w:rFonts w:hint="eastAsia"/>
          <w:color w:val="000000"/>
        </w:rPr>
        <w:t>（d）投标人或投标人推选的代表对投标文件密封情况进行检查（投标人未参加开标会议的，视同认可投标文件密封完好）。</w:t>
      </w:r>
    </w:p>
    <w:p>
      <w:pPr>
        <w:pStyle w:val="10"/>
        <w:spacing w:line="360" w:lineRule="auto"/>
        <w:ind w:firstLine="420" w:firstLineChars="200"/>
        <w:rPr>
          <w:color w:val="000000"/>
        </w:rPr>
      </w:pPr>
      <w:r>
        <w:rPr>
          <w:rFonts w:hint="eastAsia"/>
          <w:color w:val="000000"/>
        </w:rPr>
        <w:t>（e）经确认无误后，由工作人员当众拆封，先拆启技术标书，开标一览表及商务标书暂时不拆启，由招标人指定专人保管。由评标专家组对所有投标方的技术方案进行综合评定和打分，确定进入商务标评阶段的投标方。</w:t>
      </w:r>
    </w:p>
    <w:p>
      <w:pPr>
        <w:pStyle w:val="10"/>
        <w:spacing w:line="360" w:lineRule="auto"/>
        <w:ind w:firstLine="420" w:firstLineChars="200"/>
        <w:rPr>
          <w:color w:val="000000"/>
        </w:rPr>
      </w:pPr>
      <w:r>
        <w:rPr>
          <w:rFonts w:hint="eastAsia"/>
          <w:color w:val="000000"/>
        </w:rPr>
        <w:t>（f）根据技术标评审结果，通知未进入商务标评标资格的投标方离场，当众拆启进入商务标评标资格单位的开标一览表，宣读投标人名称、投标价格和投标文件的其他主要内容，投标人授权代表现场确认无误后进行商务标的评标，同技术入围投标方进行多轮商务谈判，筛选商务评分优的进入下一轮；</w:t>
      </w:r>
    </w:p>
    <w:p>
      <w:pPr>
        <w:pStyle w:val="53"/>
        <w:keepNext w:val="0"/>
        <w:keepLines w:val="0"/>
        <w:pageBreakBefore w:val="0"/>
        <w:widowControl w:val="0"/>
        <w:numPr>
          <w:ilvl w:val="0"/>
          <w:numId w:val="0"/>
        </w:numPr>
        <w:kinsoku/>
        <w:wordWrap/>
        <w:overflowPunct/>
        <w:topLinePunct w:val="0"/>
        <w:autoSpaceDE/>
        <w:autoSpaceDN/>
        <w:bidi w:val="0"/>
        <w:adjustRightInd/>
        <w:snapToGrid/>
        <w:spacing w:before="79" w:beforeLines="25" w:line="440" w:lineRule="exact"/>
        <w:ind w:leftChars="0" w:firstLine="420" w:firstLineChars="200"/>
        <w:textAlignment w:val="auto"/>
        <w:outlineLvl w:val="3"/>
        <w:rPr>
          <w:rFonts w:hint="default" w:ascii="宋体" w:hAnsi="Courier New" w:eastAsia="宋体" w:cs="Times New Roman"/>
          <w:color w:val="000000"/>
          <w:kern w:val="2"/>
          <w:sz w:val="21"/>
          <w:lang w:val="en-US" w:eastAsia="zh-CN" w:bidi="ar-SA"/>
        </w:rPr>
      </w:pPr>
      <w:r>
        <w:rPr>
          <w:rFonts w:hint="eastAsia" w:ascii="宋体" w:hAnsi="Courier New" w:eastAsia="宋体" w:cs="Times New Roman"/>
          <w:b w:val="0"/>
          <w:bCs w:val="0"/>
          <w:color w:val="000000"/>
          <w:kern w:val="2"/>
          <w:sz w:val="21"/>
          <w:lang w:val="en-US" w:eastAsia="zh-CN" w:bidi="ar-SA"/>
        </w:rPr>
        <w:t>（g）评标方法</w:t>
      </w:r>
      <w:r>
        <w:rPr>
          <w:rFonts w:hint="eastAsia" w:ascii="宋体" w:eastAsia="宋体" w:cs="Times New Roman"/>
          <w:b w:val="0"/>
          <w:bCs w:val="0"/>
          <w:color w:val="000000"/>
          <w:kern w:val="2"/>
          <w:sz w:val="21"/>
          <w:lang w:val="en-US" w:eastAsia="zh-CN" w:bidi="ar-SA"/>
        </w:rPr>
        <w:t>采用</w:t>
      </w:r>
      <w:r>
        <w:rPr>
          <w:rFonts w:hint="eastAsia" w:ascii="宋体" w:hAnsi="Courier New" w:eastAsia="宋体" w:cs="Times New Roman"/>
          <w:color w:val="000000"/>
          <w:kern w:val="2"/>
          <w:sz w:val="21"/>
          <w:lang w:val="en-US" w:eastAsia="zh-CN" w:bidi="ar-SA"/>
        </w:rPr>
        <w:t>合理最低价</w:t>
      </w:r>
      <w:r>
        <w:rPr>
          <w:rFonts w:hint="eastAsia" w:ascii="宋体" w:eastAsia="宋体" w:cs="Times New Roman"/>
          <w:color w:val="000000"/>
          <w:kern w:val="2"/>
          <w:sz w:val="21"/>
          <w:lang w:val="en-US" w:eastAsia="zh-CN" w:bidi="ar-SA"/>
        </w:rPr>
        <w:t>（</w:t>
      </w:r>
      <w:r>
        <w:rPr>
          <w:rFonts w:hint="eastAsia" w:ascii="宋体" w:hAnsi="Courier New" w:eastAsia="宋体" w:cs="Times New Roman"/>
          <w:color w:val="000000"/>
          <w:kern w:val="2"/>
          <w:sz w:val="21"/>
          <w:lang w:val="en-US" w:eastAsia="zh-CN" w:bidi="ar-SA"/>
        </w:rPr>
        <w:t>有技术</w:t>
      </w:r>
      <w:r>
        <w:rPr>
          <w:rFonts w:hint="eastAsia" w:ascii="宋体" w:eastAsia="宋体" w:cs="Times New Roman"/>
          <w:color w:val="000000"/>
          <w:kern w:val="2"/>
          <w:sz w:val="21"/>
          <w:lang w:val="en-US" w:eastAsia="zh-CN" w:bidi="ar-SA"/>
        </w:rPr>
        <w:t>）评标法</w:t>
      </w:r>
    </w:p>
    <w:p>
      <w:pPr>
        <w:pStyle w:val="53"/>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Courier New" w:eastAsia="宋体" w:cs="Times New Roman"/>
          <w:b w:val="0"/>
          <w:bCs w:val="0"/>
          <w:color w:val="000000"/>
          <w:kern w:val="2"/>
          <w:sz w:val="21"/>
          <w:lang w:val="en-US" w:eastAsia="zh-CN" w:bidi="ar-SA"/>
        </w:rPr>
      </w:pPr>
      <w:r>
        <w:rPr>
          <w:rFonts w:hint="eastAsia" w:ascii="宋体" w:hAnsi="Courier New" w:eastAsia="宋体" w:cs="Times New Roman"/>
          <w:b w:val="0"/>
          <w:bCs w:val="0"/>
          <w:color w:val="000000"/>
          <w:kern w:val="2"/>
          <w:sz w:val="21"/>
          <w:lang w:val="en-US" w:eastAsia="zh-CN" w:bidi="ar-SA"/>
        </w:rPr>
        <w:t>本次招标采用技术标入围后（技术评分≥70分），原则上合理最低价中标。本着公平、公正、公开的原则，在通过技术标综合评审后入围的前提下，选择合理最低价确定中标人，对未中标单位不做任何解释。</w:t>
      </w:r>
    </w:p>
    <w:p>
      <w:pPr>
        <w:pStyle w:val="10"/>
        <w:spacing w:line="360" w:lineRule="auto"/>
        <w:ind w:firstLine="420" w:firstLineChars="200"/>
        <w:rPr>
          <w:color w:val="000000"/>
        </w:rPr>
      </w:pPr>
      <w:r>
        <w:rPr>
          <w:rFonts w:hint="eastAsia"/>
          <w:color w:val="000000"/>
        </w:rPr>
        <w:t>（h）招标人有权根据项目情况，采取多级评标模式，最终确定投标人排序。</w:t>
      </w:r>
    </w:p>
    <w:p>
      <w:pPr>
        <w:pStyle w:val="10"/>
        <w:spacing w:line="360" w:lineRule="auto"/>
        <w:ind w:firstLine="420" w:firstLineChars="200"/>
        <w:rPr>
          <w:color w:val="000000"/>
        </w:rPr>
      </w:pPr>
      <w:r>
        <w:rPr>
          <w:rFonts w:hint="eastAsia"/>
          <w:color w:val="000000"/>
        </w:rPr>
        <w:t>(4)所有报价货币单位均为：元（人民币，含税）。</w:t>
      </w:r>
    </w:p>
    <w:p>
      <w:pPr>
        <w:pStyle w:val="10"/>
        <w:spacing w:line="360" w:lineRule="auto"/>
        <w:ind w:firstLine="480" w:firstLineChars="200"/>
        <w:rPr>
          <w:b/>
          <w:color w:val="000000"/>
          <w:sz w:val="24"/>
          <w:szCs w:val="24"/>
        </w:rPr>
      </w:pPr>
      <w:r>
        <w:rPr>
          <w:b/>
          <w:color w:val="000000"/>
          <w:sz w:val="24"/>
          <w:szCs w:val="24"/>
        </w:rPr>
        <w:t>3.</w:t>
      </w:r>
      <w:r>
        <w:rPr>
          <w:rFonts w:hint="eastAsia"/>
          <w:b/>
          <w:color w:val="000000"/>
          <w:sz w:val="24"/>
          <w:szCs w:val="24"/>
        </w:rPr>
        <w:t>评标</w:t>
      </w:r>
    </w:p>
    <w:p>
      <w:pPr>
        <w:pStyle w:val="10"/>
        <w:spacing w:line="360" w:lineRule="auto"/>
        <w:ind w:firstLine="420" w:firstLineChars="200"/>
        <w:rPr>
          <w:b/>
        </w:rPr>
      </w:pPr>
      <w:r>
        <w:rPr>
          <w:rFonts w:hint="eastAsia" w:hAnsi="宋体"/>
          <w:szCs w:val="21"/>
        </w:rPr>
        <w:t>为保证项目顺利实施，由招标人组织、按国家法律法规及公司相关规章制度要求，设立评标委员会包含技术标专家组和商务标专家组，技术标专家组和商务标专家组</w:t>
      </w:r>
      <w:r>
        <w:rPr>
          <w:rFonts w:hint="eastAsia"/>
          <w:szCs w:val="22"/>
        </w:rPr>
        <w:t>成员人数为五人及以上单数。其中，技术标专家组成员须有一名项目实施单位人员负责参与技术标评议。评标委员会负责参照评分标准，按照国家招投标有关规定，本着公平、公正、公开、有序的原则，在最大限度地满足招标文件实质性要求的前提下，按照招标文件中规定的各项因素进行综合评议。</w:t>
      </w:r>
    </w:p>
    <w:p>
      <w:pPr>
        <w:spacing w:line="360" w:lineRule="auto"/>
        <w:ind w:right="2" w:firstLine="420" w:firstLineChars="200"/>
      </w:pPr>
      <w:r>
        <w:rPr>
          <w:b/>
          <w:szCs w:val="22"/>
        </w:rPr>
        <w:t>投标前请各投标方按照标书技术要求对项目方案进行充分准备，有意投标的单位应默认认同上述开标、评标过程，无异议。</w:t>
      </w:r>
      <w:r>
        <w:rPr>
          <w:b/>
          <w:szCs w:val="21"/>
        </w:rPr>
        <w:t>对未入围投标方及未中标人不做任何解释</w:t>
      </w:r>
      <w:r>
        <w:t>。</w:t>
      </w:r>
    </w:p>
    <w:p>
      <w:pPr>
        <w:pStyle w:val="10"/>
        <w:spacing w:line="360" w:lineRule="auto"/>
        <w:ind w:firstLine="480" w:firstLineChars="200"/>
        <w:rPr>
          <w:b/>
          <w:color w:val="000000"/>
          <w:sz w:val="24"/>
          <w:szCs w:val="24"/>
        </w:rPr>
      </w:pPr>
      <w:r>
        <w:rPr>
          <w:b/>
          <w:color w:val="000000"/>
          <w:sz w:val="24"/>
          <w:szCs w:val="24"/>
        </w:rPr>
        <w:t>4</w:t>
      </w:r>
      <w:r>
        <w:rPr>
          <w:rFonts w:hint="eastAsia"/>
          <w:b/>
          <w:color w:val="000000"/>
          <w:sz w:val="24"/>
          <w:szCs w:val="24"/>
        </w:rPr>
        <w:t>．评分标准</w:t>
      </w:r>
    </w:p>
    <w:p>
      <w:pPr>
        <w:pStyle w:val="10"/>
        <w:spacing w:line="360" w:lineRule="auto"/>
        <w:ind w:firstLine="420" w:firstLineChars="200"/>
        <w:rPr>
          <w:rFonts w:hint="eastAsia" w:hAnsi="宋体"/>
          <w:color w:val="000000"/>
          <w:szCs w:val="21"/>
        </w:rPr>
      </w:pPr>
      <w:r>
        <w:rPr>
          <w:rFonts w:hAnsi="宋体"/>
          <w:color w:val="000000"/>
        </w:rPr>
        <w:t>4.1</w:t>
      </w:r>
      <w:r>
        <w:rPr>
          <w:rFonts w:hint="eastAsia" w:hAnsi="宋体"/>
          <w:color w:val="000000"/>
        </w:rPr>
        <w:t>评标依据：</w:t>
      </w:r>
      <w:r>
        <w:rPr>
          <w:rFonts w:hint="eastAsia" w:hAnsi="宋体"/>
          <w:color w:val="000000"/>
          <w:szCs w:val="21"/>
        </w:rPr>
        <w:t>采用</w:t>
      </w:r>
      <w:r>
        <w:rPr>
          <w:rFonts w:hint="eastAsia" w:hAnsi="宋体"/>
          <w:color w:val="000000"/>
          <w:szCs w:val="21"/>
          <w:highlight w:val="yellow"/>
        </w:rPr>
        <w:t>合理最低价评标法</w:t>
      </w:r>
    </w:p>
    <w:tbl>
      <w:tblPr>
        <w:tblStyle w:val="19"/>
        <w:tblW w:w="9839" w:type="dxa"/>
        <w:tblInd w:w="93" w:type="dxa"/>
        <w:tblLayout w:type="fixed"/>
        <w:tblCellMar>
          <w:top w:w="0" w:type="dxa"/>
          <w:left w:w="108" w:type="dxa"/>
          <w:bottom w:w="0" w:type="dxa"/>
          <w:right w:w="108" w:type="dxa"/>
        </w:tblCellMar>
      </w:tblPr>
      <w:tblGrid>
        <w:gridCol w:w="558"/>
        <w:gridCol w:w="698"/>
        <w:gridCol w:w="714"/>
        <w:gridCol w:w="4424"/>
        <w:gridCol w:w="2506"/>
        <w:gridCol w:w="939"/>
      </w:tblGrid>
      <w:tr>
        <w:tblPrEx>
          <w:tblCellMar>
            <w:top w:w="0" w:type="dxa"/>
            <w:left w:w="108" w:type="dxa"/>
            <w:bottom w:w="0" w:type="dxa"/>
            <w:right w:w="108" w:type="dxa"/>
          </w:tblCellMar>
        </w:tblPrEx>
        <w:trPr>
          <w:trHeight w:val="975" w:hRule="atLeast"/>
        </w:trPr>
        <w:tc>
          <w:tcPr>
            <w:tcW w:w="125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评审项目</w:t>
            </w:r>
          </w:p>
        </w:tc>
        <w:tc>
          <w:tcPr>
            <w:tcW w:w="714"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　</w:t>
            </w:r>
          </w:p>
        </w:tc>
        <w:tc>
          <w:tcPr>
            <w:tcW w:w="4424"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评定内容</w:t>
            </w:r>
          </w:p>
        </w:tc>
        <w:tc>
          <w:tcPr>
            <w:tcW w:w="2506"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hAnsi="宋体"/>
                <w:b/>
                <w:color w:val="000000"/>
                <w:szCs w:val="21"/>
              </w:rPr>
              <w:t>评分依据</w:t>
            </w:r>
          </w:p>
        </w:tc>
        <w:tc>
          <w:tcPr>
            <w:tcW w:w="939" w:type="dxa"/>
            <w:tcBorders>
              <w:top w:val="single" w:color="auto" w:sz="4" w:space="0"/>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最大分值（分）</w:t>
            </w:r>
          </w:p>
        </w:tc>
      </w:tr>
      <w:tr>
        <w:tblPrEx>
          <w:tblCellMar>
            <w:top w:w="0" w:type="dxa"/>
            <w:left w:w="108" w:type="dxa"/>
            <w:bottom w:w="0" w:type="dxa"/>
            <w:right w:w="108" w:type="dxa"/>
          </w:tblCellMar>
        </w:tblPrEx>
        <w:trPr>
          <w:trHeight w:val="574" w:hRule="atLeast"/>
        </w:trPr>
        <w:tc>
          <w:tcPr>
            <w:tcW w:w="558"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技术标</w:t>
            </w:r>
          </w:p>
        </w:tc>
        <w:tc>
          <w:tcPr>
            <w:tcW w:w="698" w:type="dxa"/>
            <w:vMerge w:val="restart"/>
            <w:tcBorders>
              <w:top w:val="nil"/>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技术实力</w:t>
            </w:r>
          </w:p>
        </w:tc>
        <w:tc>
          <w:tcPr>
            <w:tcW w:w="714"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团队综合实力</w:t>
            </w:r>
          </w:p>
        </w:tc>
        <w:tc>
          <w:tcPr>
            <w:tcW w:w="4424" w:type="dxa"/>
            <w:tcBorders>
              <w:top w:val="nil"/>
              <w:left w:val="nil"/>
              <w:bottom w:val="single" w:color="auto" w:sz="4" w:space="0"/>
              <w:right w:val="single" w:color="auto" w:sz="4" w:space="0"/>
            </w:tcBorders>
            <w:vAlign w:val="center"/>
          </w:tcPr>
          <w:p>
            <w:pPr>
              <w:widowControl/>
              <w:rPr>
                <w:color w:val="000000"/>
                <w:szCs w:val="21"/>
              </w:rPr>
            </w:pPr>
            <w:r>
              <w:rPr>
                <w:rFonts w:hint="eastAsia"/>
                <w:color w:val="000000"/>
                <w:szCs w:val="21"/>
              </w:rPr>
              <w:t>投标人的整体规模、项目团队实力、技术力量等酌情得</w:t>
            </w:r>
            <w:r>
              <w:rPr>
                <w:color w:val="000000"/>
                <w:szCs w:val="21"/>
              </w:rPr>
              <w:t>1-</w:t>
            </w:r>
            <w:r>
              <w:rPr>
                <w:rFonts w:hint="eastAsia"/>
                <w:color w:val="000000"/>
                <w:szCs w:val="21"/>
              </w:rPr>
              <w:t>40分；</w:t>
            </w:r>
          </w:p>
        </w:tc>
        <w:tc>
          <w:tcPr>
            <w:tcW w:w="2506"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hint="eastAsia"/>
                <w:color w:val="000000"/>
                <w:szCs w:val="21"/>
              </w:rPr>
              <w:t>投标人的整体规模赋基本分</w:t>
            </w:r>
            <w:r>
              <w:rPr>
                <w:color w:val="000000"/>
                <w:szCs w:val="21"/>
              </w:rPr>
              <w:t>1-</w:t>
            </w:r>
            <w:r>
              <w:rPr>
                <w:rFonts w:hint="eastAsia"/>
                <w:color w:val="000000"/>
                <w:szCs w:val="21"/>
              </w:rPr>
              <w:t>20分；项目团队实力、技术力量20分，评价优良者赋分10</w:t>
            </w:r>
            <w:r>
              <w:rPr>
                <w:color w:val="000000"/>
                <w:szCs w:val="21"/>
              </w:rPr>
              <w:t>-</w:t>
            </w:r>
            <w:r>
              <w:rPr>
                <w:rFonts w:hint="eastAsia"/>
                <w:color w:val="000000"/>
                <w:szCs w:val="21"/>
              </w:rPr>
              <w:t>20分，其它的根据排序在</w:t>
            </w:r>
            <w:r>
              <w:rPr>
                <w:color w:val="000000"/>
                <w:szCs w:val="21"/>
              </w:rPr>
              <w:t>0-</w:t>
            </w:r>
            <w:r>
              <w:rPr>
                <w:rFonts w:hint="eastAsia"/>
                <w:color w:val="000000"/>
                <w:szCs w:val="21"/>
              </w:rPr>
              <w:t>9分之间赋分。</w:t>
            </w:r>
          </w:p>
        </w:tc>
        <w:tc>
          <w:tcPr>
            <w:tcW w:w="93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40</w:t>
            </w:r>
          </w:p>
        </w:tc>
      </w:tr>
      <w:tr>
        <w:tblPrEx>
          <w:tblCellMar>
            <w:top w:w="0" w:type="dxa"/>
            <w:left w:w="108" w:type="dxa"/>
            <w:bottom w:w="0" w:type="dxa"/>
            <w:right w:w="108" w:type="dxa"/>
          </w:tblCellMar>
        </w:tblPrEx>
        <w:trPr>
          <w:trHeight w:val="453" w:hRule="atLeast"/>
        </w:trPr>
        <w:tc>
          <w:tcPr>
            <w:tcW w:w="55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69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714" w:type="dxa"/>
            <w:tcBorders>
              <w:top w:val="nil"/>
              <w:left w:val="nil"/>
              <w:bottom w:val="single" w:color="auto" w:sz="4" w:space="0"/>
              <w:right w:val="single" w:color="auto" w:sz="4" w:space="0"/>
            </w:tcBorders>
            <w:vAlign w:val="center"/>
          </w:tcPr>
          <w:p>
            <w:pPr>
              <w:widowControl/>
              <w:jc w:val="center"/>
              <w:rPr>
                <w:rFonts w:ascii="宋体" w:cs="宋体"/>
                <w:b/>
                <w:bCs/>
                <w:kern w:val="0"/>
                <w:sz w:val="24"/>
              </w:rPr>
            </w:pPr>
            <w:r>
              <w:rPr>
                <w:rFonts w:hint="eastAsia"/>
                <w:b/>
                <w:szCs w:val="21"/>
              </w:rPr>
              <w:t>履约能力</w:t>
            </w:r>
          </w:p>
        </w:tc>
        <w:tc>
          <w:tcPr>
            <w:tcW w:w="4424" w:type="dxa"/>
            <w:tcBorders>
              <w:top w:val="nil"/>
              <w:left w:val="nil"/>
              <w:bottom w:val="single" w:color="auto" w:sz="4" w:space="0"/>
              <w:right w:val="single" w:color="auto" w:sz="4" w:space="0"/>
            </w:tcBorders>
            <w:vAlign w:val="center"/>
          </w:tcPr>
          <w:p>
            <w:pPr>
              <w:widowControl/>
              <w:rPr>
                <w:rFonts w:ascii="宋体" w:cs="宋体"/>
                <w:kern w:val="0"/>
                <w:szCs w:val="21"/>
              </w:rPr>
            </w:pPr>
            <w:r>
              <w:rPr>
                <w:rFonts w:hint="eastAsia"/>
                <w:color w:val="000000"/>
                <w:szCs w:val="21"/>
              </w:rPr>
              <w:t>投标人的经营范围、公司运营状况、履约情况等</w:t>
            </w:r>
            <w:r>
              <w:rPr>
                <w:rFonts w:hint="eastAsia" w:ascii="宋体" w:hAnsi="宋体" w:cs="宋体"/>
                <w:kern w:val="0"/>
                <w:szCs w:val="21"/>
              </w:rPr>
              <w:t>酌情得</w:t>
            </w:r>
            <w:r>
              <w:rPr>
                <w:rFonts w:ascii="宋体" w:hAnsi="宋体" w:cs="宋体"/>
                <w:kern w:val="0"/>
                <w:szCs w:val="21"/>
              </w:rPr>
              <w:t>1-</w:t>
            </w:r>
            <w:r>
              <w:rPr>
                <w:rFonts w:hint="eastAsia" w:ascii="宋体" w:hAnsi="宋体" w:cs="宋体"/>
                <w:kern w:val="0"/>
                <w:szCs w:val="21"/>
              </w:rPr>
              <w:t>25分；</w:t>
            </w:r>
          </w:p>
        </w:tc>
        <w:tc>
          <w:tcPr>
            <w:tcW w:w="2506"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hint="eastAsia"/>
                <w:color w:val="000000"/>
                <w:szCs w:val="21"/>
              </w:rPr>
              <w:t>评价优良者赋分15</w:t>
            </w:r>
            <w:r>
              <w:rPr>
                <w:color w:val="000000"/>
                <w:szCs w:val="21"/>
              </w:rPr>
              <w:t>-</w:t>
            </w:r>
            <w:r>
              <w:rPr>
                <w:rFonts w:hint="eastAsia"/>
                <w:color w:val="000000"/>
                <w:szCs w:val="21"/>
              </w:rPr>
              <w:t>25分，其它的根据排序在</w:t>
            </w:r>
            <w:r>
              <w:rPr>
                <w:color w:val="000000"/>
                <w:szCs w:val="21"/>
              </w:rPr>
              <w:t>0-</w:t>
            </w:r>
            <w:r>
              <w:rPr>
                <w:rFonts w:hint="eastAsia"/>
                <w:color w:val="000000"/>
                <w:szCs w:val="21"/>
              </w:rPr>
              <w:t>14分之间赋分。</w:t>
            </w:r>
          </w:p>
        </w:tc>
        <w:tc>
          <w:tcPr>
            <w:tcW w:w="93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25</w:t>
            </w:r>
          </w:p>
        </w:tc>
      </w:tr>
      <w:tr>
        <w:tblPrEx>
          <w:tblCellMar>
            <w:top w:w="0" w:type="dxa"/>
            <w:left w:w="108" w:type="dxa"/>
            <w:bottom w:w="0" w:type="dxa"/>
            <w:right w:w="108" w:type="dxa"/>
          </w:tblCellMar>
        </w:tblPrEx>
        <w:trPr>
          <w:trHeight w:val="799" w:hRule="atLeast"/>
        </w:trPr>
        <w:tc>
          <w:tcPr>
            <w:tcW w:w="55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69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宋体"/>
                <w:b/>
                <w:bCs/>
                <w:color w:val="000000"/>
                <w:kern w:val="0"/>
                <w:sz w:val="24"/>
              </w:rPr>
            </w:pPr>
          </w:p>
        </w:tc>
        <w:tc>
          <w:tcPr>
            <w:tcW w:w="714" w:type="dxa"/>
            <w:tcBorders>
              <w:top w:val="nil"/>
              <w:left w:val="nil"/>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现场答疑</w:t>
            </w:r>
          </w:p>
        </w:tc>
        <w:tc>
          <w:tcPr>
            <w:tcW w:w="4424" w:type="dxa"/>
            <w:tcBorders>
              <w:top w:val="nil"/>
              <w:left w:val="nil"/>
              <w:bottom w:val="single" w:color="auto" w:sz="4" w:space="0"/>
              <w:right w:val="single" w:color="auto" w:sz="4" w:space="0"/>
            </w:tcBorders>
            <w:vAlign w:val="center"/>
          </w:tcPr>
          <w:p>
            <w:pPr>
              <w:widowControl/>
              <w:rPr>
                <w:rFonts w:ascii="宋体" w:cs="宋体"/>
                <w:kern w:val="0"/>
                <w:szCs w:val="21"/>
              </w:rPr>
            </w:pPr>
            <w:r>
              <w:rPr>
                <w:rFonts w:hint="eastAsia" w:ascii="宋体" w:hAnsi="宋体" w:cs="宋体"/>
                <w:kern w:val="0"/>
                <w:szCs w:val="21"/>
              </w:rPr>
              <w:t>投标人代表对方案及技术优势，回答评标专家现场提问酌情得</w:t>
            </w:r>
            <w:r>
              <w:rPr>
                <w:rFonts w:ascii="宋体" w:hAnsi="宋体" w:cs="宋体"/>
                <w:kern w:val="0"/>
                <w:szCs w:val="21"/>
              </w:rPr>
              <w:t>1-</w:t>
            </w:r>
            <w:r>
              <w:rPr>
                <w:rFonts w:hint="eastAsia" w:ascii="宋体" w:hAnsi="宋体" w:cs="宋体"/>
                <w:kern w:val="0"/>
                <w:szCs w:val="21"/>
              </w:rPr>
              <w:t>15分；</w:t>
            </w:r>
          </w:p>
        </w:tc>
        <w:tc>
          <w:tcPr>
            <w:tcW w:w="2506"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hint="eastAsia" w:hAnsi="宋体"/>
                <w:color w:val="000000"/>
                <w:szCs w:val="21"/>
              </w:rPr>
              <w:t>评价优良者赋分10</w:t>
            </w:r>
            <w:r>
              <w:rPr>
                <w:rFonts w:hAnsi="宋体"/>
                <w:color w:val="000000"/>
                <w:szCs w:val="21"/>
              </w:rPr>
              <w:t>-</w:t>
            </w:r>
            <w:r>
              <w:rPr>
                <w:rFonts w:hint="eastAsia" w:hAnsi="宋体"/>
                <w:color w:val="000000"/>
                <w:szCs w:val="21"/>
              </w:rPr>
              <w:t>1</w:t>
            </w:r>
            <w:r>
              <w:rPr>
                <w:rFonts w:hAnsi="宋体"/>
                <w:color w:val="000000"/>
                <w:szCs w:val="21"/>
              </w:rPr>
              <w:t>5</w:t>
            </w:r>
            <w:r>
              <w:rPr>
                <w:rFonts w:hint="eastAsia" w:hAnsi="宋体"/>
                <w:color w:val="000000"/>
                <w:szCs w:val="21"/>
              </w:rPr>
              <w:t>分，其它的根据排序在</w:t>
            </w:r>
            <w:r>
              <w:rPr>
                <w:rFonts w:hAnsi="宋体"/>
                <w:color w:val="000000"/>
                <w:szCs w:val="21"/>
              </w:rPr>
              <w:t>0-</w:t>
            </w:r>
            <w:r>
              <w:rPr>
                <w:rFonts w:hint="eastAsia" w:hAnsi="宋体"/>
                <w:color w:val="000000"/>
                <w:szCs w:val="21"/>
              </w:rPr>
              <w:t>9分之间赋分</w:t>
            </w:r>
          </w:p>
        </w:tc>
        <w:tc>
          <w:tcPr>
            <w:tcW w:w="939" w:type="dxa"/>
            <w:tcBorders>
              <w:top w:val="nil"/>
              <w:left w:val="nil"/>
              <w:bottom w:val="single" w:color="auto" w:sz="4" w:space="0"/>
              <w:right w:val="single" w:color="auto" w:sz="4" w:space="0"/>
            </w:tcBorders>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15</w:t>
            </w:r>
          </w:p>
        </w:tc>
      </w:tr>
      <w:tr>
        <w:tblPrEx>
          <w:tblCellMar>
            <w:top w:w="0" w:type="dxa"/>
            <w:left w:w="108" w:type="dxa"/>
            <w:bottom w:w="0" w:type="dxa"/>
            <w:right w:w="108" w:type="dxa"/>
          </w:tblCellMar>
        </w:tblPrEx>
        <w:trPr>
          <w:trHeight w:val="799" w:hRule="atLeast"/>
        </w:trPr>
        <w:tc>
          <w:tcPr>
            <w:tcW w:w="55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kern w:val="0"/>
                <w:sz w:val="24"/>
              </w:rPr>
            </w:pPr>
            <w:r>
              <w:rPr>
                <w:rFonts w:hint="eastAsia" w:ascii="宋体" w:hAnsi="宋体" w:cs="宋体"/>
                <w:b/>
                <w:bCs/>
                <w:kern w:val="0"/>
                <w:sz w:val="24"/>
              </w:rPr>
              <w:t>技术标</w:t>
            </w:r>
          </w:p>
        </w:tc>
        <w:tc>
          <w:tcPr>
            <w:tcW w:w="69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kern w:val="0"/>
                <w:sz w:val="24"/>
              </w:rPr>
            </w:pPr>
            <w:r>
              <w:rPr>
                <w:rFonts w:hint="eastAsia" w:ascii="宋体" w:hAnsi="宋体" w:cs="宋体"/>
                <w:b/>
                <w:bCs/>
                <w:kern w:val="0"/>
                <w:sz w:val="24"/>
              </w:rPr>
              <w:t>服务</w:t>
            </w:r>
          </w:p>
        </w:tc>
        <w:tc>
          <w:tcPr>
            <w:tcW w:w="71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历史服务</w:t>
            </w:r>
          </w:p>
        </w:tc>
        <w:tc>
          <w:tcPr>
            <w:tcW w:w="4424" w:type="dxa"/>
            <w:tcBorders>
              <w:top w:val="single" w:color="auto" w:sz="4" w:space="0"/>
              <w:left w:val="nil"/>
              <w:bottom w:val="single" w:color="auto" w:sz="4" w:space="0"/>
              <w:right w:val="single" w:color="auto" w:sz="4" w:space="0"/>
            </w:tcBorders>
            <w:vAlign w:val="center"/>
          </w:tcPr>
          <w:p>
            <w:pPr>
              <w:widowControl/>
              <w:rPr>
                <w:rFonts w:ascii="宋体" w:cs="宋体"/>
                <w:kern w:val="0"/>
                <w:szCs w:val="21"/>
              </w:rPr>
            </w:pPr>
            <w:r>
              <w:rPr>
                <w:rFonts w:hint="eastAsia" w:ascii="宋体" w:hAnsi="宋体" w:cs="宋体"/>
                <w:kern w:val="0"/>
                <w:szCs w:val="21"/>
              </w:rPr>
              <w:t>投标人同行业服务业绩情况。</w:t>
            </w:r>
          </w:p>
        </w:tc>
        <w:tc>
          <w:tcPr>
            <w:tcW w:w="2506"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Cs w:val="21"/>
              </w:rPr>
              <w:t>1份合同复印件赋1分，最高10分。</w:t>
            </w:r>
          </w:p>
        </w:tc>
        <w:tc>
          <w:tcPr>
            <w:tcW w:w="939" w:type="dxa"/>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kern w:val="0"/>
                <w:sz w:val="24"/>
              </w:rPr>
            </w:pPr>
            <w:r>
              <w:rPr>
                <w:rFonts w:hint="eastAsia" w:ascii="宋体" w:hAnsi="宋体" w:cs="宋体"/>
                <w:kern w:val="0"/>
                <w:sz w:val="24"/>
              </w:rPr>
              <w:t>10</w:t>
            </w:r>
          </w:p>
        </w:tc>
      </w:tr>
      <w:tr>
        <w:tblPrEx>
          <w:tblCellMar>
            <w:top w:w="0" w:type="dxa"/>
            <w:left w:w="108" w:type="dxa"/>
            <w:bottom w:w="0" w:type="dxa"/>
            <w:right w:w="108" w:type="dxa"/>
          </w:tblCellMar>
        </w:tblPrEx>
        <w:trPr>
          <w:trHeight w:val="936"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b/>
                <w:bCs/>
                <w:kern w:val="0"/>
                <w:sz w:val="24"/>
              </w:rPr>
            </w:pPr>
          </w:p>
        </w:tc>
        <w:tc>
          <w:tcPr>
            <w:tcW w:w="69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b/>
                <w:bCs/>
                <w:kern w:val="0"/>
                <w:sz w:val="24"/>
              </w:rPr>
            </w:pPr>
          </w:p>
        </w:tc>
        <w:tc>
          <w:tcPr>
            <w:tcW w:w="71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bCs/>
                <w:color w:val="000000"/>
                <w:kern w:val="0"/>
                <w:sz w:val="24"/>
              </w:rPr>
            </w:pPr>
            <w:r>
              <w:rPr>
                <w:rFonts w:hint="eastAsia" w:ascii="宋体" w:hAnsi="宋体" w:cs="宋体"/>
                <w:b/>
                <w:bCs/>
                <w:color w:val="000000"/>
                <w:kern w:val="0"/>
                <w:sz w:val="24"/>
              </w:rPr>
              <w:t>服务承诺</w:t>
            </w:r>
          </w:p>
        </w:tc>
        <w:tc>
          <w:tcPr>
            <w:tcW w:w="4424" w:type="dxa"/>
            <w:tcBorders>
              <w:top w:val="single" w:color="auto" w:sz="4" w:space="0"/>
              <w:left w:val="nil"/>
              <w:bottom w:val="single" w:color="auto" w:sz="4" w:space="0"/>
              <w:right w:val="single" w:color="auto" w:sz="4" w:space="0"/>
            </w:tcBorders>
            <w:vAlign w:val="center"/>
          </w:tcPr>
          <w:p>
            <w:pPr>
              <w:widowControl/>
              <w:rPr>
                <w:rFonts w:ascii="宋体" w:cs="宋体"/>
                <w:kern w:val="0"/>
                <w:szCs w:val="21"/>
              </w:rPr>
            </w:pPr>
            <w:r>
              <w:rPr>
                <w:rFonts w:hint="eastAsia" w:ascii="宋体" w:hAnsi="宋体" w:cs="宋体"/>
                <w:kern w:val="0"/>
                <w:szCs w:val="21"/>
              </w:rPr>
              <w:t>满足招标文件中服务要求，承诺有其它额外免费的、</w:t>
            </w:r>
            <w:r>
              <w:rPr>
                <w:rFonts w:hint="eastAsia" w:ascii="宋体" w:hAnsi="宋体" w:cs="宋体"/>
                <w:kern w:val="0"/>
                <w:szCs w:val="21"/>
                <w:lang w:val="en-US" w:eastAsia="zh-CN"/>
              </w:rPr>
              <w:t>培训</w:t>
            </w:r>
            <w:r>
              <w:rPr>
                <w:rFonts w:hint="eastAsia" w:ascii="宋体" w:hAnsi="宋体" w:cs="宋体"/>
                <w:kern w:val="0"/>
                <w:szCs w:val="21"/>
              </w:rPr>
              <w:t>方案及对招标人有利的服务项目或措施等。</w:t>
            </w:r>
          </w:p>
        </w:tc>
        <w:tc>
          <w:tcPr>
            <w:tcW w:w="250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kern w:val="0"/>
                <w:sz w:val="24"/>
              </w:rPr>
            </w:pPr>
            <w:r>
              <w:rPr>
                <w:rFonts w:hint="eastAsia" w:hAnsi="宋体"/>
                <w:color w:val="000000"/>
                <w:szCs w:val="21"/>
              </w:rPr>
              <w:t>评价优良者赋分5-10分，其它的根据排序在0</w:t>
            </w:r>
            <w:r>
              <w:rPr>
                <w:rFonts w:hAnsi="宋体"/>
                <w:color w:val="000000"/>
                <w:szCs w:val="21"/>
              </w:rPr>
              <w:t>—</w:t>
            </w:r>
            <w:r>
              <w:rPr>
                <w:rFonts w:hint="eastAsia" w:hAnsi="宋体"/>
                <w:color w:val="000000"/>
                <w:szCs w:val="21"/>
              </w:rPr>
              <w:t>4分之间赋分</w:t>
            </w:r>
          </w:p>
        </w:tc>
        <w:tc>
          <w:tcPr>
            <w:tcW w:w="93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10</w:t>
            </w:r>
            <w:r>
              <w:rPr>
                <w:rFonts w:ascii="宋体" w:cs="宋体"/>
                <w:kern w:val="0"/>
                <w:sz w:val="24"/>
              </w:rPr>
              <w:t xml:space="preserve"> </w:t>
            </w:r>
          </w:p>
        </w:tc>
      </w:tr>
    </w:tbl>
    <w:p>
      <w:pPr>
        <w:pStyle w:val="10"/>
        <w:spacing w:line="360" w:lineRule="auto"/>
        <w:ind w:firstLine="420" w:firstLineChars="200"/>
        <w:rPr>
          <w:rFonts w:hint="eastAsia" w:hAnsi="宋体"/>
          <w:color w:val="000000"/>
          <w:szCs w:val="22"/>
        </w:rPr>
      </w:pPr>
      <w:r>
        <w:rPr>
          <w:rFonts w:hint="eastAsia" w:hAnsi="宋体"/>
          <w:color w:val="000000"/>
          <w:szCs w:val="22"/>
        </w:rPr>
        <w:t>4.2评标原则和方法</w:t>
      </w:r>
    </w:p>
    <w:p>
      <w:pPr>
        <w:pStyle w:val="10"/>
        <w:spacing w:line="360" w:lineRule="auto"/>
        <w:ind w:firstLine="420" w:firstLineChars="200"/>
        <w:rPr>
          <w:color w:val="000000"/>
        </w:rPr>
      </w:pPr>
      <w:r>
        <w:rPr>
          <w:rFonts w:hint="eastAsia" w:hAnsi="宋体"/>
          <w:color w:val="000000"/>
          <w:szCs w:val="22"/>
        </w:rPr>
        <w:t>1.招标人将坚持“公开、公平、公正”原则，严格按照国家法律法规及公司规章制度要求，设立评标委员会进行招标评审。</w:t>
      </w:r>
      <w:r>
        <w:rPr>
          <w:rFonts w:hint="eastAsia" w:hAnsi="宋体"/>
          <w:color w:val="000000"/>
          <w:szCs w:val="22"/>
        </w:rPr>
        <w:br w:type="textWrapping"/>
      </w:r>
      <w:r>
        <w:rPr>
          <w:rFonts w:hint="eastAsia" w:hAnsi="宋体"/>
          <w:color w:val="000000"/>
          <w:szCs w:val="22"/>
        </w:rPr>
        <w:t xml:space="preserve">    </w:t>
      </w:r>
      <w:r>
        <w:rPr>
          <w:rFonts w:hint="eastAsia" w:hAnsi="宋体"/>
          <w:color w:val="000000"/>
          <w:szCs w:val="22"/>
          <w:highlight w:val="yellow"/>
        </w:rPr>
        <w:t>2.</w:t>
      </w:r>
      <w:r>
        <w:rPr>
          <w:rFonts w:hint="eastAsia"/>
          <w:color w:val="000000"/>
          <w:highlight w:val="yellow"/>
        </w:rPr>
        <w:t>招标人有权根据项目情况，采取多级评标模式，技术标与商务标分别投标，先投技术标，按照标书中规定的详细技术配置对比表进行技术评标，在满足技术评分≥70分的前提下（含技术澄清），推荐至少3家候选中标人（不含竞争性谈判/单一来源采购）进入商务标，并编制技术标评标报告。原则上技术标完成后须统一入围供方技术标准、明确重要技术配置。如因变更、完善技术配置，需更改商务报价，技术标专家组同入围供方统一确定时间。按照技术标入围后招标最低价选择中标厂家。</w:t>
      </w:r>
      <w:r>
        <w:rPr>
          <w:rFonts w:hint="eastAsia" w:hAnsi="宋体"/>
          <w:color w:val="000000"/>
          <w:szCs w:val="22"/>
          <w:highlight w:val="yellow"/>
        </w:rPr>
        <w:t>对未中标单位不做任何解释。</w:t>
      </w:r>
      <w:r>
        <w:rPr>
          <w:rFonts w:hint="eastAsia" w:hAnsi="宋体"/>
          <w:color w:val="000000"/>
          <w:szCs w:val="22"/>
        </w:rPr>
        <w:br w:type="textWrapping"/>
      </w:r>
      <w:r>
        <w:rPr>
          <w:rFonts w:hint="eastAsia" w:hAnsi="宋体"/>
          <w:color w:val="000000"/>
          <w:szCs w:val="22"/>
        </w:rPr>
        <w:t xml:space="preserve">    3.投标文件未密封或资料不完整、投标人对招标文件的实质性要求未做出全面响应、有迹象表明投标人串通投标、中标后无正当理由在规定的时间不签订合同的、中标后不交纳履约保证金、投标人提供的投标文件弄虚作假及其它违反法律、法规规定情形的，视为无效投标。</w:t>
      </w:r>
    </w:p>
    <w:p>
      <w:pPr>
        <w:pStyle w:val="10"/>
        <w:spacing w:line="360" w:lineRule="auto"/>
        <w:ind w:firstLine="549" w:firstLineChars="196"/>
        <w:rPr>
          <w:rFonts w:ascii="黑体" w:eastAsia="黑体"/>
          <w:b/>
          <w:bCs/>
          <w:sz w:val="28"/>
        </w:rPr>
      </w:pPr>
      <w:r>
        <w:rPr>
          <w:rFonts w:hint="eastAsia" w:ascii="黑体" w:eastAsia="黑体"/>
          <w:b/>
          <w:bCs/>
          <w:sz w:val="28"/>
        </w:rPr>
        <w:t>八、合同签订</w:t>
      </w:r>
    </w:p>
    <w:p>
      <w:pPr>
        <w:pStyle w:val="10"/>
        <w:spacing w:line="360" w:lineRule="auto"/>
        <w:ind w:firstLine="420" w:firstLineChars="200"/>
      </w:pPr>
      <w:r>
        <w:rPr>
          <w:rFonts w:hint="eastAsia"/>
        </w:rPr>
        <w:t>1.根据评标委员会的评标结果并按相关法律法规的规定及公司相关制度要求，确定中标人。中标人承诺无条件服从招标人针对该项目的后续所有安排。招标人不承诺将合同授予报价最低的投标人，也不对未中标人做任何解释。</w:t>
      </w:r>
    </w:p>
    <w:p>
      <w:pPr>
        <w:pStyle w:val="10"/>
        <w:spacing w:line="360" w:lineRule="auto"/>
        <w:ind w:firstLine="420" w:firstLineChars="200"/>
        <w:rPr>
          <w:rFonts w:hint="eastAsia" w:hAnsi="宋体"/>
          <w:szCs w:val="21"/>
        </w:rPr>
      </w:pPr>
      <w:r>
        <w:rPr>
          <w:rFonts w:hint="eastAsia" w:hAnsi="宋体"/>
          <w:szCs w:val="21"/>
        </w:rPr>
        <w:t>2.招标人发送《中标通知书》给中标人，中标人应及时与招标人联系，在规定的时间内（一般为接到《中标通知书》后3个工作日内）到招标单位对《中标人推荐表》进行签字确认，如果中标人接到《中标通知书》后，无正当理由拒绝按其规定的期限与相关单位签订合同或在签订合同时向招标人或相关单位提出附加条件或者更改合同实质性内容的，招标人有权取消其中标资格，招标人将从剩余投标人中重新确定中标人，或重新组织招标。</w:t>
      </w:r>
    </w:p>
    <w:p>
      <w:pPr>
        <w:pStyle w:val="10"/>
        <w:spacing w:line="360" w:lineRule="auto"/>
        <w:ind w:firstLine="420" w:firstLineChars="200"/>
        <w:rPr>
          <w:rFonts w:hint="eastAsia" w:hAnsi="宋体"/>
          <w:szCs w:val="21"/>
        </w:rPr>
      </w:pPr>
      <w:r>
        <w:rPr>
          <w:rFonts w:hint="eastAsia" w:hAnsi="宋体"/>
          <w:szCs w:val="21"/>
        </w:rPr>
        <w:t>3</w:t>
      </w:r>
      <w:r>
        <w:rPr>
          <w:rFonts w:hAnsi="宋体"/>
          <w:szCs w:val="21"/>
        </w:rPr>
        <w:t>.</w:t>
      </w:r>
      <w:r>
        <w:rPr>
          <w:rFonts w:hint="eastAsia" w:hAnsi="宋体"/>
          <w:szCs w:val="21"/>
        </w:rPr>
        <w:t>中标人完成《中标人推荐表》签字确认后，按照标书要求与中国重汽集团签订合同。</w:t>
      </w:r>
      <w:r>
        <w:rPr>
          <w:rFonts w:hint="eastAsia" w:hAnsi="宋体"/>
          <w:szCs w:val="21"/>
          <w:lang w:val="en-US" w:eastAsia="zh-CN"/>
        </w:rPr>
        <w:t>本次培训范围包括</w:t>
      </w:r>
      <w:r>
        <w:rPr>
          <w:rFonts w:hint="eastAsia" w:hAnsi="宋体"/>
          <w:szCs w:val="21"/>
        </w:rPr>
        <w:t>中国重汽集团</w:t>
      </w:r>
      <w:r>
        <w:rPr>
          <w:rFonts w:hint="eastAsia" w:hAnsi="宋体"/>
          <w:szCs w:val="21"/>
          <w:lang w:val="en-US" w:eastAsia="zh-CN"/>
        </w:rPr>
        <w:t>12家</w:t>
      </w:r>
      <w:r>
        <w:rPr>
          <w:rFonts w:hint="eastAsia" w:hAnsi="宋体"/>
          <w:szCs w:val="21"/>
        </w:rPr>
        <w:t>内部单位</w:t>
      </w:r>
      <w:r>
        <w:rPr>
          <w:rFonts w:hint="eastAsia" w:hAnsi="宋体"/>
          <w:szCs w:val="21"/>
          <w:lang w:val="en-US" w:eastAsia="zh-CN"/>
        </w:rPr>
        <w:t>但不限于</w:t>
      </w:r>
      <w:r>
        <w:rPr>
          <w:rFonts w:hint="eastAsia" w:hAnsi="宋体"/>
          <w:szCs w:val="21"/>
        </w:rPr>
        <w:t>以下单位：</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default" w:hAnsi="宋体" w:eastAsia="宋体"/>
                <w:szCs w:val="21"/>
                <w:lang w:val="en-US" w:eastAsia="zh-CN"/>
              </w:rPr>
            </w:pPr>
            <w:r>
              <w:rPr>
                <w:rFonts w:hint="eastAsia" w:hAnsi="宋体"/>
                <w:szCs w:val="21"/>
                <w:lang w:val="en-US" w:eastAsia="zh-CN"/>
              </w:rPr>
              <w:t>中国重型汽车集团有限公司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济南卡车制造公司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济南商用车制造公司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济南轻卡制造公司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济南特种车制造公司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济宁商用车公司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济南发动机厂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济南变速箱厂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济南车桥公司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济南成型厂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济南部件公司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济南橡塑件公司</w:t>
            </w:r>
          </w:p>
        </w:tc>
      </w:tr>
    </w:tbl>
    <w:p>
      <w:pPr>
        <w:pStyle w:val="10"/>
        <w:spacing w:line="360" w:lineRule="auto"/>
        <w:ind w:firstLine="420" w:firstLineChars="200"/>
        <w:rPr>
          <w:rFonts w:hint="eastAsia" w:hAnsi="宋体"/>
          <w:szCs w:val="21"/>
        </w:rPr>
      </w:pPr>
      <w:r>
        <w:rPr>
          <w:rFonts w:hint="eastAsia" w:hAnsi="宋体"/>
          <w:szCs w:val="21"/>
        </w:rPr>
        <w:t>4.中标人应在保证质量的前提下完成中标项目，不得在无理由的情况下（理由应得到招标方认可）将中标项目转包或分包给他人，否则视为违约，招标人或相关单位有权解除合同。</w:t>
      </w:r>
    </w:p>
    <w:p>
      <w:pPr>
        <w:pStyle w:val="10"/>
        <w:spacing w:line="360" w:lineRule="auto"/>
        <w:ind w:firstLine="420" w:firstLineChars="200"/>
        <w:rPr>
          <w:rFonts w:hint="eastAsia" w:hAnsi="宋体"/>
          <w:szCs w:val="21"/>
        </w:rPr>
      </w:pPr>
      <w:r>
        <w:rPr>
          <w:rFonts w:hint="eastAsia" w:hAnsi="宋体"/>
          <w:szCs w:val="21"/>
        </w:rPr>
        <w:t>5.在</w:t>
      </w:r>
      <w:r>
        <w:rPr>
          <w:rFonts w:hint="eastAsia"/>
          <w:szCs w:val="21"/>
        </w:rPr>
        <w:t>履行</w:t>
      </w:r>
      <w:r>
        <w:rPr>
          <w:rFonts w:hint="eastAsia" w:hAnsi="宋体"/>
          <w:szCs w:val="21"/>
        </w:rPr>
        <w:t>合同过程中，中标人</w:t>
      </w:r>
      <w:r>
        <w:rPr>
          <w:rFonts w:hint="eastAsia"/>
          <w:szCs w:val="21"/>
        </w:rPr>
        <w:t>由于履行义务的能力或信用有严重缺陷，</w:t>
      </w:r>
      <w:r>
        <w:rPr>
          <w:rFonts w:hint="eastAsia" w:hAnsi="宋体"/>
          <w:szCs w:val="21"/>
        </w:rPr>
        <w:t>招标人有权取消其中标资格，招标人将从剩余投标人中依序重新确定中标人，或重新组织招标。</w:t>
      </w:r>
    </w:p>
    <w:p>
      <w:pPr>
        <w:pStyle w:val="10"/>
        <w:spacing w:line="360" w:lineRule="auto"/>
        <w:ind w:firstLine="420" w:firstLineChars="200"/>
        <w:rPr>
          <w:rFonts w:hint="eastAsia" w:hAnsi="宋体"/>
          <w:szCs w:val="21"/>
        </w:rPr>
      </w:pPr>
      <w:r>
        <w:rPr>
          <w:rFonts w:hint="eastAsia" w:hAnsi="宋体"/>
          <w:szCs w:val="21"/>
        </w:rPr>
        <w:t>6.招标人有权指定招标人的关联单位作为合同签订人，与中标人签署相关合同，且具体权利义务以双方最终签署的合同为准。</w:t>
      </w:r>
    </w:p>
    <w:p>
      <w:pPr>
        <w:pStyle w:val="10"/>
        <w:spacing w:line="360" w:lineRule="auto"/>
        <w:ind w:firstLine="420" w:firstLineChars="200"/>
        <w:rPr>
          <w:rFonts w:ascii="Times New Roman" w:hAnsi="Times New Roman"/>
        </w:rPr>
      </w:pPr>
      <w:r>
        <w:rPr>
          <w:rFonts w:ascii="Times New Roman" w:hAnsi="Times New Roman"/>
        </w:rPr>
        <w:t>7.中标人须认可由于招标人上级集团公司政策变化引起的合同签订前终止项目的要求。</w:t>
      </w:r>
    </w:p>
    <w:p>
      <w:pPr>
        <w:pStyle w:val="10"/>
        <w:spacing w:line="360" w:lineRule="auto"/>
        <w:ind w:firstLine="549" w:firstLineChars="196"/>
        <w:rPr>
          <w:rFonts w:ascii="黑体" w:eastAsia="黑体"/>
          <w:b/>
          <w:bCs/>
          <w:sz w:val="28"/>
        </w:rPr>
      </w:pPr>
      <w:r>
        <w:rPr>
          <w:rFonts w:hint="eastAsia" w:ascii="黑体" w:hAnsi="黑体" w:eastAsia="黑体"/>
          <w:b/>
          <w:sz w:val="28"/>
          <w:szCs w:val="28"/>
        </w:rPr>
        <w:t>九、</w:t>
      </w:r>
      <w:r>
        <w:rPr>
          <w:rFonts w:hint="eastAsia" w:ascii="黑体" w:eastAsia="黑体"/>
          <w:b/>
          <w:bCs/>
          <w:sz w:val="28"/>
        </w:rPr>
        <w:t>废标及终止招标</w:t>
      </w:r>
    </w:p>
    <w:p>
      <w:pPr>
        <w:spacing w:line="520" w:lineRule="exact"/>
        <w:ind w:right="2" w:firstLine="420" w:firstLineChars="200"/>
        <w:rPr>
          <w:rFonts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pPr>
        <w:spacing w:line="520" w:lineRule="exact"/>
        <w:ind w:right="2" w:firstLine="420" w:firstLineChars="200"/>
        <w:rPr>
          <w:rFonts w:hint="eastAsia" w:ascii="宋体" w:hAnsi="宋体" w:cs="宋体"/>
          <w:color w:val="000000"/>
          <w:szCs w:val="21"/>
          <w:shd w:val="clear" w:color="auto" w:fill="FFFFFF"/>
        </w:rPr>
      </w:pPr>
      <w:r>
        <w:rPr>
          <w:rFonts w:hint="eastAsia" w:ascii="宋体" w:hAnsi="宋体"/>
        </w:rPr>
        <w:t>⑵</w:t>
      </w:r>
      <w:r>
        <w:rPr>
          <w:rFonts w:ascii="宋体" w:hAnsi="宋体" w:cs="宋体"/>
          <w:color w:val="000000"/>
          <w:szCs w:val="21"/>
          <w:shd w:val="clear" w:color="auto" w:fill="FFFFFF"/>
        </w:rPr>
        <w:t>投标人负责人为同一人或者存在控股、管理关系的不同单位；</w:t>
      </w:r>
    </w:p>
    <w:p>
      <w:pPr>
        <w:spacing w:line="520" w:lineRule="exact"/>
        <w:ind w:right="2" w:firstLine="420" w:firstLineChars="200"/>
        <w:rPr>
          <w:rFonts w:ascii="宋体" w:hAnsi="Courier New"/>
        </w:rPr>
      </w:pPr>
      <w:r>
        <w:rPr>
          <w:rFonts w:hint="eastAsia" w:ascii="宋体" w:hAnsi="宋体"/>
        </w:rPr>
        <w:t>⑶</w:t>
      </w:r>
      <w:r>
        <w:rPr>
          <w:rFonts w:ascii="宋体" w:hAnsi="宋体" w:cs="宋体"/>
          <w:color w:val="000000"/>
          <w:szCs w:val="21"/>
          <w:shd w:val="clear" w:color="auto" w:fill="FFFFFF"/>
        </w:rPr>
        <w:t>投标人被举报、检举，并经招标方查实无误的</w:t>
      </w:r>
      <w:r>
        <w:rPr>
          <w:rFonts w:hint="eastAsia" w:ascii="宋体" w:hAnsi="宋体" w:cs="宋体"/>
          <w:color w:val="000000"/>
          <w:szCs w:val="21"/>
          <w:shd w:val="clear" w:color="auto" w:fill="FFFFFF"/>
        </w:rPr>
        <w:t>；</w:t>
      </w:r>
    </w:p>
    <w:p>
      <w:pPr>
        <w:spacing w:line="520" w:lineRule="exact"/>
        <w:ind w:right="2" w:firstLine="420" w:firstLineChars="200"/>
        <w:rPr>
          <w:rFonts w:ascii="宋体" w:hAnsi="Courier New"/>
        </w:rPr>
      </w:pPr>
      <w:r>
        <w:rPr>
          <w:rFonts w:hint="eastAsia" w:ascii="宋体" w:hAnsi="宋体"/>
        </w:rPr>
        <w:t>⑷</w:t>
      </w:r>
      <w:r>
        <w:rPr>
          <w:rFonts w:hint="eastAsia" w:ascii="宋体" w:hAnsi="Courier New"/>
        </w:rPr>
        <w:t>投标人在报价有效期内撤回投标；</w:t>
      </w:r>
    </w:p>
    <w:p>
      <w:pPr>
        <w:spacing w:line="520" w:lineRule="exact"/>
        <w:ind w:right="2" w:firstLine="420" w:firstLineChars="200"/>
        <w:rPr>
          <w:rFonts w:ascii="宋体" w:hAnsi="Courier New"/>
        </w:rPr>
      </w:pPr>
      <w:r>
        <w:rPr>
          <w:rFonts w:hint="eastAsia" w:ascii="宋体" w:hAnsi="宋体"/>
        </w:rPr>
        <w:t>⑸</w:t>
      </w:r>
      <w:r>
        <w:rPr>
          <w:rFonts w:hint="eastAsia" w:ascii="宋体" w:hAnsi="Courier New"/>
        </w:rPr>
        <w:t>在整个评标过程中，投标人有企图影响评标结果公正性的任何活动；</w:t>
      </w:r>
    </w:p>
    <w:p>
      <w:pPr>
        <w:spacing w:line="520" w:lineRule="exact"/>
        <w:ind w:right="2" w:firstLine="420" w:firstLineChars="200"/>
        <w:rPr>
          <w:rFonts w:ascii="宋体" w:hAnsi="Courier New"/>
        </w:rPr>
      </w:pPr>
      <w:r>
        <w:rPr>
          <w:rFonts w:hint="eastAsia" w:ascii="宋体" w:hAnsi="宋体"/>
        </w:rPr>
        <w:t>⑹</w:t>
      </w:r>
      <w:r>
        <w:rPr>
          <w:rFonts w:hint="eastAsia" w:ascii="宋体" w:hAnsi="Courier New"/>
        </w:rPr>
        <w:t>投标人以任何方式诋毁其他投标人；</w:t>
      </w:r>
    </w:p>
    <w:p>
      <w:pPr>
        <w:spacing w:line="520" w:lineRule="exact"/>
        <w:ind w:right="2" w:firstLine="420" w:firstLineChars="200"/>
        <w:rPr>
          <w:rFonts w:ascii="宋体" w:hAnsi="Courier New"/>
        </w:rPr>
      </w:pPr>
      <w:r>
        <w:rPr>
          <w:rFonts w:hint="eastAsia" w:ascii="宋体" w:hAnsi="宋体"/>
        </w:rPr>
        <w:t>⑺</w:t>
      </w:r>
      <w:r>
        <w:rPr>
          <w:rFonts w:hint="eastAsia" w:ascii="宋体" w:hAnsi="Courier New"/>
        </w:rPr>
        <w:t>投标人串通投标；</w:t>
      </w:r>
    </w:p>
    <w:p>
      <w:pPr>
        <w:spacing w:line="520" w:lineRule="exact"/>
        <w:ind w:right="2" w:firstLine="420" w:firstLineChars="200"/>
        <w:rPr>
          <w:rFonts w:ascii="宋体" w:hAnsi="Courier New"/>
        </w:rPr>
      </w:pPr>
      <w:r>
        <w:rPr>
          <w:rFonts w:hint="eastAsia" w:ascii="宋体" w:hAnsi="宋体"/>
        </w:rPr>
        <w:t>⑻</w:t>
      </w:r>
      <w:r>
        <w:rPr>
          <w:rFonts w:hint="eastAsia" w:ascii="宋体" w:hAnsi="Courier New"/>
        </w:rPr>
        <w:t>以他人名义投标或者以其他方式弄虚作假，骗取中标的；</w:t>
      </w:r>
    </w:p>
    <w:p>
      <w:pPr>
        <w:spacing w:line="520" w:lineRule="exact"/>
        <w:ind w:right="2" w:firstLine="420" w:firstLineChars="200"/>
        <w:rPr>
          <w:rFonts w:ascii="宋体" w:hAnsi="Courier New"/>
        </w:rPr>
      </w:pPr>
      <w:r>
        <w:rPr>
          <w:rFonts w:hint="eastAsia" w:ascii="宋体" w:hAnsi="Courier New"/>
        </w:rPr>
        <w:t>⑼中标人不按规定签订合同；</w:t>
      </w:r>
    </w:p>
    <w:p>
      <w:pPr>
        <w:spacing w:line="520" w:lineRule="exact"/>
        <w:ind w:right="2" w:firstLine="420" w:firstLineChars="200"/>
        <w:rPr>
          <w:rFonts w:ascii="宋体" w:hAnsi="Courier New"/>
        </w:rPr>
      </w:pPr>
      <w:r>
        <w:rPr>
          <w:rFonts w:hint="eastAsia" w:ascii="宋体" w:hAnsi="Courier New"/>
        </w:rPr>
        <w:t>⑽法律、法规规定的其他情况。</w:t>
      </w:r>
    </w:p>
    <w:p>
      <w:pPr>
        <w:spacing w:line="520" w:lineRule="exact"/>
        <w:ind w:right="2" w:firstLine="420" w:firstLineChars="200"/>
        <w:rPr>
          <w:rFonts w:ascii="宋体" w:hAnsi="Courier New"/>
        </w:rPr>
      </w:pPr>
      <w:r>
        <w:rPr>
          <w:rFonts w:hint="eastAsia" w:ascii="宋体" w:hAnsi="Courier New"/>
        </w:rPr>
        <w:t>2.出现下列情形之一，招标人有权否决所有投标人的投标，并终止招标。</w:t>
      </w:r>
    </w:p>
    <w:p>
      <w:pPr>
        <w:spacing w:line="520" w:lineRule="exact"/>
        <w:ind w:right="2" w:firstLine="420" w:firstLineChars="200"/>
        <w:rPr>
          <w:rFonts w:ascii="宋体" w:hAnsi="Courier New"/>
        </w:rPr>
      </w:pPr>
      <w:r>
        <w:rPr>
          <w:rFonts w:hint="eastAsia" w:ascii="宋体" w:hAnsi="Courier New"/>
        </w:rPr>
        <w:t>⑴出现影响采购公正的违法、违规行为的。</w:t>
      </w:r>
    </w:p>
    <w:p>
      <w:pPr>
        <w:spacing w:line="520" w:lineRule="exact"/>
        <w:ind w:right="2" w:firstLine="420" w:firstLineChars="200"/>
        <w:rPr>
          <w:rFonts w:ascii="宋体" w:hAnsi="Courier New"/>
        </w:rPr>
      </w:pPr>
      <w:r>
        <w:rPr>
          <w:rFonts w:hint="eastAsia" w:ascii="宋体" w:hAnsi="Courier New"/>
        </w:rPr>
        <w:t>⑵评标委员会经评审，认为所有投标都不符合招标文件要求的。</w:t>
      </w:r>
    </w:p>
    <w:p>
      <w:pPr>
        <w:spacing w:line="520" w:lineRule="exact"/>
        <w:ind w:right="2" w:firstLine="420" w:firstLineChars="200"/>
        <w:rPr>
          <w:rFonts w:ascii="宋体" w:hAnsi="Courier New"/>
        </w:rPr>
      </w:pPr>
      <w:r>
        <w:rPr>
          <w:rFonts w:hint="eastAsia" w:ascii="宋体" w:hAnsi="宋体"/>
        </w:rPr>
        <w:t>⑶</w:t>
      </w:r>
      <w:r>
        <w:rPr>
          <w:rFonts w:hint="eastAsia" w:ascii="宋体" w:hAnsi="Courier New"/>
        </w:rPr>
        <w:t>因重大变故，采购任务取消的。</w:t>
      </w:r>
    </w:p>
    <w:p>
      <w:pPr>
        <w:spacing w:line="520" w:lineRule="exact"/>
        <w:ind w:right="2" w:firstLine="420" w:firstLineChars="200"/>
        <w:rPr>
          <w:rFonts w:ascii="宋体" w:hAnsi="Courier New"/>
        </w:rPr>
      </w:pPr>
      <w:r>
        <w:rPr>
          <w:rFonts w:hint="eastAsia" w:ascii="宋体" w:hAnsi="宋体"/>
        </w:rPr>
        <w:t>⑷</w:t>
      </w:r>
      <w:r>
        <w:rPr>
          <w:rFonts w:hint="eastAsia" w:ascii="宋体" w:hAnsi="Courier New"/>
        </w:rPr>
        <w:t>符合条件的投标人或者对招标文件做实质响应的投标人不足三家的。</w:t>
      </w:r>
    </w:p>
    <w:p>
      <w:pPr>
        <w:spacing w:line="520" w:lineRule="exact"/>
        <w:ind w:right="2" w:firstLine="420" w:firstLineChars="200"/>
        <w:rPr>
          <w:rFonts w:ascii="宋体" w:hAnsi="Courier New"/>
        </w:rPr>
      </w:pPr>
      <w:r>
        <w:rPr>
          <w:rFonts w:hint="eastAsia" w:ascii="宋体" w:hAnsi="宋体"/>
        </w:rPr>
        <w:t>⑸</w:t>
      </w:r>
      <w:r>
        <w:rPr>
          <w:rFonts w:hint="eastAsia" w:ascii="宋体" w:hAnsi="Courier New"/>
          <w:color w:val="000000"/>
          <w:szCs w:val="22"/>
        </w:rPr>
        <w:t>招标人认为其他应终止招标的情形。</w:t>
      </w:r>
    </w:p>
    <w:p>
      <w:pPr>
        <w:pStyle w:val="10"/>
        <w:spacing w:line="360" w:lineRule="auto"/>
        <w:ind w:firstLine="412" w:firstLineChars="147"/>
        <w:rPr>
          <w:rFonts w:hint="eastAsia" w:ascii="黑体" w:hAnsi="黑体" w:eastAsia="黑体"/>
          <w:b/>
          <w:sz w:val="28"/>
          <w:szCs w:val="28"/>
        </w:rPr>
      </w:pPr>
      <w:r>
        <w:rPr>
          <w:rFonts w:hint="eastAsia" w:ascii="黑体" w:hAnsi="黑体" w:eastAsia="黑体"/>
          <w:b/>
          <w:sz w:val="28"/>
          <w:szCs w:val="28"/>
        </w:rPr>
        <w:t>十、中标人瑕疵滞后发现的处理原则</w:t>
      </w:r>
    </w:p>
    <w:p>
      <w:pPr>
        <w:spacing w:line="520" w:lineRule="exact"/>
        <w:ind w:right="2" w:firstLine="420" w:firstLineChars="200"/>
      </w:pPr>
      <w:r>
        <w:t>无论基于何种原因，各项本应作为拒绝处理的情形即便未被及时发现而使该中标人通过了资格审核、初评、现场复审、终评或其他所有相关程序，包括已签订合同的情形，招标人均有权拒绝或取消中标人资格，一旦中标人被拒绝或该中标人此前的评议结果被取消，相关的一切损失均由该中标人承担。</w:t>
      </w:r>
    </w:p>
    <w:p>
      <w:pPr>
        <w:pStyle w:val="10"/>
        <w:spacing w:line="360" w:lineRule="auto"/>
        <w:ind w:firstLine="412" w:firstLineChars="147"/>
        <w:rPr>
          <w:rFonts w:hint="eastAsia" w:ascii="黑体" w:hAnsi="黑体" w:eastAsia="黑体"/>
          <w:b/>
          <w:sz w:val="28"/>
          <w:szCs w:val="28"/>
        </w:rPr>
      </w:pPr>
      <w:r>
        <w:rPr>
          <w:rFonts w:hint="eastAsia" w:ascii="黑体" w:hAnsi="黑体" w:eastAsia="黑体"/>
          <w:b/>
          <w:sz w:val="28"/>
          <w:szCs w:val="28"/>
        </w:rPr>
        <w:t>十一、技术要求</w:t>
      </w:r>
    </w:p>
    <w:p>
      <w:pPr>
        <w:pStyle w:val="10"/>
        <w:spacing w:line="360" w:lineRule="auto"/>
        <w:ind w:left="420" w:hanging="420" w:hangingChars="200"/>
      </w:pPr>
      <w:r>
        <w:t xml:space="preserve">    </w:t>
      </w:r>
      <w:r>
        <w:rPr>
          <w:rFonts w:hint="eastAsia"/>
        </w:rPr>
        <w:t>见本招标文件“第三章</w:t>
      </w:r>
      <w:r>
        <w:t xml:space="preserve"> </w:t>
      </w:r>
      <w:r>
        <w:rPr>
          <w:rFonts w:hint="eastAsia"/>
        </w:rPr>
        <w:t>技术标书”，附后。</w:t>
      </w:r>
    </w:p>
    <w:p>
      <w:pPr>
        <w:pStyle w:val="10"/>
        <w:spacing w:line="360" w:lineRule="auto"/>
        <w:ind w:firstLine="412" w:firstLineChars="147"/>
        <w:rPr>
          <w:rFonts w:hint="eastAsia" w:ascii="黑体" w:hAnsi="黑体" w:eastAsia="黑体"/>
          <w:b/>
          <w:sz w:val="28"/>
          <w:szCs w:val="28"/>
        </w:rPr>
      </w:pPr>
      <w:r>
        <w:rPr>
          <w:rFonts w:hint="eastAsia" w:ascii="黑体" w:hAnsi="黑体" w:eastAsia="黑体"/>
          <w:b/>
          <w:sz w:val="28"/>
          <w:szCs w:val="28"/>
        </w:rPr>
        <w:t>十二、解释权</w:t>
      </w:r>
      <w:r>
        <w:rPr>
          <w:rFonts w:ascii="黑体" w:hAnsi="黑体" w:eastAsia="黑体"/>
          <w:b/>
          <w:sz w:val="28"/>
          <w:szCs w:val="28"/>
        </w:rPr>
        <w:t> </w:t>
      </w:r>
    </w:p>
    <w:p>
      <w:pPr>
        <w:spacing w:line="520" w:lineRule="exact"/>
        <w:ind w:right="2" w:firstLine="420" w:firstLineChars="200"/>
        <w:rPr>
          <w:lang w:bidi="ar"/>
        </w:rPr>
      </w:pPr>
      <w:r>
        <w:rPr>
          <w:lang w:bidi="ar"/>
        </w:rPr>
        <w:t>本招标文件的最终解释权归招标人，当对一个问题有多种解释时以招标人的书面解释为准。招标文件未做须知明示，而又有相关法律、法规规定的，招标人对此所做解释以相关的法律、法规规定为依据。</w:t>
      </w:r>
    </w:p>
    <w:p>
      <w:pPr>
        <w:spacing w:before="156" w:beforeLines="50" w:after="312" w:afterLines="100"/>
        <w:jc w:val="center"/>
        <w:rPr>
          <w:rFonts w:hint="eastAsia" w:eastAsia="黑体"/>
          <w:b/>
          <w:bCs/>
          <w:sz w:val="36"/>
          <w:szCs w:val="36"/>
        </w:rPr>
      </w:pPr>
    </w:p>
    <w:p>
      <w:pPr>
        <w:spacing w:before="156" w:beforeLines="50" w:after="312" w:afterLines="100"/>
        <w:jc w:val="center"/>
        <w:rPr>
          <w:rFonts w:hint="eastAsia" w:eastAsia="黑体"/>
          <w:b/>
          <w:bCs/>
          <w:sz w:val="36"/>
          <w:szCs w:val="36"/>
        </w:rPr>
      </w:pPr>
    </w:p>
    <w:p>
      <w:pPr>
        <w:spacing w:before="156" w:beforeLines="50" w:after="312" w:afterLines="100"/>
        <w:jc w:val="center"/>
        <w:rPr>
          <w:rFonts w:eastAsia="黑体"/>
          <w:b/>
          <w:bCs/>
          <w:sz w:val="36"/>
          <w:szCs w:val="36"/>
        </w:rPr>
      </w:pPr>
      <w:r>
        <w:rPr>
          <w:rFonts w:hint="eastAsia" w:eastAsia="黑体"/>
          <w:b/>
          <w:bCs/>
          <w:sz w:val="36"/>
          <w:szCs w:val="36"/>
        </w:rPr>
        <w:t>第二章</w:t>
      </w:r>
      <w:r>
        <w:rPr>
          <w:rFonts w:eastAsia="黑体"/>
          <w:b/>
          <w:bCs/>
          <w:sz w:val="36"/>
          <w:szCs w:val="36"/>
        </w:rPr>
        <w:t xml:space="preserve">  </w:t>
      </w:r>
      <w:r>
        <w:rPr>
          <w:rFonts w:hint="eastAsia" w:eastAsia="黑体"/>
          <w:b/>
          <w:bCs/>
          <w:sz w:val="36"/>
          <w:szCs w:val="36"/>
        </w:rPr>
        <w:t>投标文件编制</w:t>
      </w:r>
    </w:p>
    <w:p>
      <w:pPr>
        <w:pStyle w:val="10"/>
        <w:spacing w:line="360" w:lineRule="auto"/>
        <w:rPr>
          <w:rFonts w:hint="eastAsia" w:ascii="黑体" w:hAnsi="黑体" w:eastAsia="黑体"/>
          <w:b/>
          <w:bCs/>
          <w:sz w:val="28"/>
          <w:szCs w:val="28"/>
        </w:rPr>
      </w:pPr>
      <w:r>
        <w:rPr>
          <w:rFonts w:hint="eastAsia" w:ascii="黑体" w:hAnsi="黑体" w:eastAsia="黑体"/>
          <w:b/>
          <w:bCs/>
          <w:sz w:val="28"/>
          <w:szCs w:val="28"/>
        </w:rPr>
        <w:t>一、</w:t>
      </w:r>
      <w:r>
        <w:rPr>
          <w:rFonts w:ascii="黑体" w:hAnsi="黑体" w:eastAsia="黑体"/>
          <w:b/>
          <w:bCs/>
          <w:sz w:val="28"/>
          <w:szCs w:val="28"/>
        </w:rPr>
        <w:t>投标文件组成</w:t>
      </w:r>
    </w:p>
    <w:p>
      <w:pPr>
        <w:pStyle w:val="10"/>
        <w:spacing w:line="360" w:lineRule="auto"/>
        <w:ind w:firstLine="420" w:firstLineChars="200"/>
        <w:rPr>
          <w:rFonts w:ascii="Times New Roman" w:hAnsi="Times New Roman"/>
        </w:rPr>
      </w:pPr>
      <w:r>
        <w:rPr>
          <w:rFonts w:ascii="Times New Roman" w:hAnsi="Times New Roman"/>
        </w:rPr>
        <w:t>投标文件由</w:t>
      </w:r>
      <w:r>
        <w:rPr>
          <w:rFonts w:ascii="Times New Roman" w:hAnsi="Times New Roman"/>
          <w:bCs/>
        </w:rPr>
        <w:t>资格文件、</w:t>
      </w:r>
      <w:r>
        <w:rPr>
          <w:rFonts w:ascii="Times New Roman" w:hAnsi="Times New Roman"/>
        </w:rPr>
        <w:t>商务标、技术标、电子版标书、开标一览表组成，要求</w:t>
      </w:r>
      <w:r>
        <w:rPr>
          <w:rFonts w:ascii="Times New Roman" w:hAnsi="Times New Roman"/>
          <w:bCs/>
        </w:rPr>
        <w:t>资格文件、</w:t>
      </w:r>
      <w:r>
        <w:rPr>
          <w:rFonts w:ascii="Times New Roman" w:hAnsi="Times New Roman"/>
        </w:rPr>
        <w:t>商务标、技术标、电子标书、开标一览表</w:t>
      </w:r>
      <w:r>
        <w:rPr>
          <w:rFonts w:ascii="Times New Roman" w:hAnsi="Times New Roman"/>
          <w:b/>
          <w:bCs/>
        </w:rPr>
        <w:t>分别装订密封</w:t>
      </w:r>
      <w:r>
        <w:rPr>
          <w:rFonts w:ascii="Times New Roman" w:hAnsi="Times New Roman"/>
        </w:rPr>
        <w:t>。</w:t>
      </w:r>
    </w:p>
    <w:p>
      <w:pPr>
        <w:pStyle w:val="10"/>
        <w:spacing w:line="360" w:lineRule="auto"/>
        <w:ind w:firstLine="420" w:firstLineChars="200"/>
        <w:rPr>
          <w:rFonts w:ascii="Times New Roman" w:hAnsi="Times New Roman"/>
        </w:rPr>
      </w:pPr>
      <w:r>
        <w:rPr>
          <w:rFonts w:ascii="Times New Roman" w:hAnsi="Times New Roman"/>
        </w:rPr>
        <w:t>其中</w:t>
      </w:r>
      <w:r>
        <w:rPr>
          <w:rFonts w:ascii="Times New Roman" w:hAnsi="Times New Roman"/>
          <w:bCs/>
        </w:rPr>
        <w:t>资格文件</w:t>
      </w:r>
      <w:r>
        <w:rPr>
          <w:rFonts w:ascii="Times New Roman" w:hAnsi="Times New Roman"/>
          <w:u w:val="single"/>
        </w:rPr>
        <w:t>壹</w:t>
      </w:r>
      <w:r>
        <w:rPr>
          <w:rFonts w:ascii="Times New Roman" w:hAnsi="Times New Roman"/>
        </w:rPr>
        <w:t>份，商务标、技术标一式</w:t>
      </w:r>
      <w:r>
        <w:rPr>
          <w:rFonts w:hint="eastAsia" w:ascii="Times New Roman" w:hAnsi="Times New Roman"/>
          <w:szCs w:val="22"/>
          <w:u w:val="single"/>
        </w:rPr>
        <w:t>三</w:t>
      </w:r>
      <w:r>
        <w:rPr>
          <w:rFonts w:ascii="Times New Roman" w:hAnsi="Times New Roman"/>
        </w:rPr>
        <w:t>份，正本</w:t>
      </w:r>
      <w:r>
        <w:rPr>
          <w:rFonts w:hint="eastAsia" w:ascii="Times New Roman" w:hAnsi="Times New Roman"/>
          <w:szCs w:val="22"/>
          <w:u w:val="single"/>
        </w:rPr>
        <w:t>一</w:t>
      </w:r>
      <w:r>
        <w:rPr>
          <w:rFonts w:ascii="Times New Roman" w:hAnsi="Times New Roman"/>
        </w:rPr>
        <w:t>份，副本</w:t>
      </w:r>
      <w:r>
        <w:rPr>
          <w:rFonts w:hint="eastAsia" w:ascii="Times New Roman" w:hAnsi="Times New Roman"/>
          <w:szCs w:val="22"/>
          <w:u w:val="single"/>
        </w:rPr>
        <w:t>两</w:t>
      </w:r>
      <w:r>
        <w:rPr>
          <w:rFonts w:ascii="Times New Roman" w:hAnsi="Times New Roman"/>
        </w:rPr>
        <w:t>份，电子标书</w:t>
      </w:r>
      <w:r>
        <w:rPr>
          <w:rFonts w:ascii="Times New Roman" w:hAnsi="Times New Roman"/>
          <w:u w:val="single"/>
        </w:rPr>
        <w:t>壹</w:t>
      </w:r>
      <w:r>
        <w:rPr>
          <w:rFonts w:ascii="Times New Roman" w:hAnsi="Times New Roman"/>
        </w:rPr>
        <w:t>份，开标一览表一式</w:t>
      </w:r>
      <w:r>
        <w:rPr>
          <w:rFonts w:ascii="Times New Roman" w:hAnsi="Times New Roman"/>
          <w:u w:val="single"/>
        </w:rPr>
        <w:t>贰</w:t>
      </w:r>
      <w:r>
        <w:rPr>
          <w:rFonts w:ascii="Times New Roman" w:hAnsi="Times New Roman"/>
        </w:rPr>
        <w:t>份。</w:t>
      </w:r>
    </w:p>
    <w:p>
      <w:pPr>
        <w:pStyle w:val="10"/>
        <w:spacing w:line="360" w:lineRule="auto"/>
        <w:ind w:firstLine="420" w:firstLineChars="200"/>
        <w:rPr>
          <w:rFonts w:ascii="Times New Roman" w:hAnsi="Times New Roman"/>
        </w:rPr>
      </w:pPr>
      <w:r>
        <w:rPr>
          <w:rFonts w:ascii="Times New Roman" w:hAnsi="Times New Roman"/>
        </w:rPr>
        <w:t>资格文件包括：</w:t>
      </w:r>
    </w:p>
    <w:tbl>
      <w:tblPr>
        <w:tblStyle w:val="19"/>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序号</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1</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ascii="Times New Roman" w:hAnsi="Times New Roman"/>
              </w:rPr>
            </w:pPr>
            <w:r>
              <w:rPr>
                <w:rFonts w:ascii="Times New Roman" w:hAnsi="Times New Roman"/>
              </w:rPr>
              <w:t>具有统一社会信用代码的新版营业执照</w:t>
            </w:r>
            <w:r>
              <w:rPr>
                <w:rFonts w:hint="eastAsia" w:ascii="Times New Roman" w:hAnsi="Times New Roman"/>
              </w:rPr>
              <w:t>或事业单位法人证书</w:t>
            </w:r>
            <w:r>
              <w:rPr>
                <w:rFonts w:ascii="Times New Roman" w:hAnsi="Times New Roman"/>
              </w:rPr>
              <w:t>副本原件及复印件（加盖公章）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2</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ascii="Times New Roman" w:hAnsi="Times New Roman"/>
              </w:rPr>
            </w:pPr>
            <w:r>
              <w:rPr>
                <w:rFonts w:ascii="Times New Roman" w:hAnsi="Times New Roman"/>
              </w:rPr>
              <w:t>注册资金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3</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pPr>
            <w:r>
              <w:t>法人授权委托书原件及投标单位的法定代表人或授权代表的身份证原件及复印件（加盖公章）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4</w:t>
            </w:r>
          </w:p>
        </w:tc>
        <w:tc>
          <w:tcPr>
            <w:tcW w:w="8647" w:type="dxa"/>
            <w:tcBorders>
              <w:top w:val="single" w:color="auto" w:sz="4" w:space="0"/>
              <w:left w:val="single" w:color="auto" w:sz="4" w:space="0"/>
              <w:bottom w:val="single" w:color="auto" w:sz="4" w:space="0"/>
              <w:right w:val="single" w:color="auto" w:sz="4" w:space="0"/>
            </w:tcBorders>
            <w:vAlign w:val="center"/>
          </w:tcPr>
          <w:p>
            <w:r>
              <w:t>投标保证金缴纳凭证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5</w:t>
            </w:r>
          </w:p>
        </w:tc>
        <w:tc>
          <w:tcPr>
            <w:tcW w:w="8647"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pPr>
            <w:r>
              <w:rPr>
                <w:rFonts w:hint="eastAsia"/>
                <w:color w:val="000000" w:themeColor="text1"/>
                <w:lang w:val="en-US" w:eastAsia="zh-CN"/>
                <w14:textFill>
                  <w14:solidFill>
                    <w14:schemeClr w14:val="tx1"/>
                  </w14:solidFill>
                </w14:textFill>
              </w:rPr>
              <w:t>培训</w:t>
            </w:r>
            <w:r>
              <w:rPr>
                <w:rFonts w:hint="eastAsia"/>
                <w:color w:val="000000" w:themeColor="text1"/>
                <w14:textFill>
                  <w14:solidFill>
                    <w14:schemeClr w14:val="tx1"/>
                  </w14:solidFill>
                </w14:textFill>
              </w:rPr>
              <w:t>师团队中至少有2名具备国家注册测量管理体系审核员/高级</w:t>
            </w:r>
            <w:r>
              <w:rPr>
                <w:rFonts w:hint="eastAsia"/>
                <w:color w:val="000000" w:themeColor="text1"/>
                <w:lang w:val="en-US" w:eastAsia="zh-CN"/>
                <w14:textFill>
                  <w14:solidFill>
                    <w14:schemeClr w14:val="tx1"/>
                  </w14:solidFill>
                </w14:textFill>
              </w:rPr>
              <w:t>工程师</w:t>
            </w:r>
            <w:r>
              <w:rPr>
                <w:rFonts w:hint="eastAsia"/>
                <w:color w:val="000000" w:themeColor="text1"/>
                <w14:textFill>
                  <w14:solidFill>
                    <w14:schemeClr w14:val="tx1"/>
                  </w14:solidFill>
                </w14:textFill>
              </w:rPr>
              <w:t>资格</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项目负</w:t>
            </w:r>
            <w:r>
              <w:rPr>
                <w:rFonts w:hint="eastAsia"/>
                <w:color w:val="000000"/>
              </w:rPr>
              <w:t>责人需具备</w:t>
            </w:r>
            <w:r>
              <w:rPr>
                <w:rFonts w:hint="eastAsia"/>
                <w:color w:val="000000"/>
                <w:lang w:val="en-US" w:eastAsia="zh-CN"/>
              </w:rPr>
              <w:t>5</w:t>
            </w:r>
            <w:r>
              <w:rPr>
                <w:rFonts w:hint="eastAsia"/>
                <w:color w:val="000000"/>
              </w:rPr>
              <w:t>年以上计量管理经验，且曾主导过主机厂级</w:t>
            </w:r>
            <w:r>
              <w:rPr>
                <w:rFonts w:hint="eastAsia"/>
                <w:color w:val="000000"/>
                <w:lang w:val="en-US" w:eastAsia="zh-CN"/>
              </w:rPr>
              <w:t>或汽车零部件、机械加工行业测量体系辅导培训</w:t>
            </w:r>
            <w:r>
              <w:rPr>
                <w:rFonts w:hint="eastAsia"/>
                <w:color w:val="000000" w:themeColor="text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6</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color w:val="000000" w:themeColor="text1"/>
                <w:lang w:val="en-US" w:eastAsia="zh-CN"/>
                <w14:textFill>
                  <w14:solidFill>
                    <w14:schemeClr w14:val="tx1"/>
                  </w14:solidFill>
                </w14:textFill>
              </w:rPr>
              <w:t>测量管理体系培训项目</w:t>
            </w:r>
            <w:r>
              <w:rPr>
                <w:rFonts w:hint="eastAsia"/>
                <w:color w:val="000000" w:themeColor="text1"/>
                <w14:textFill>
                  <w14:solidFill>
                    <w14:schemeClr w14:val="tx1"/>
                  </w14:solidFill>
                </w14:textFill>
              </w:rPr>
              <w:t>业绩；近3年内（202</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年至今）具有至少2项汽车制造行业（乘用车/商用车/零部件）或大型制造业的ISO 10012成功</w:t>
            </w:r>
            <w:r>
              <w:rPr>
                <w:rFonts w:hint="eastAsia"/>
                <w:color w:val="000000" w:themeColor="text1"/>
                <w:lang w:val="en-US" w:eastAsia="zh-CN"/>
                <w14:textFill>
                  <w14:solidFill>
                    <w14:schemeClr w14:val="tx1"/>
                  </w14:solidFill>
                </w14:textFill>
              </w:rPr>
              <w:t>培训</w:t>
            </w:r>
            <w:r>
              <w:rPr>
                <w:rFonts w:hint="eastAsia"/>
                <w:color w:val="000000" w:themeColor="text1"/>
                <w14:textFill>
                  <w14:solidFill>
                    <w14:schemeClr w14:val="tx1"/>
                  </w14:solidFill>
                </w14:textFill>
              </w:rPr>
              <w:t>案例（须提供</w:t>
            </w:r>
            <w:r>
              <w:rPr>
                <w:rFonts w:hint="eastAsia"/>
                <w:color w:val="000000" w:themeColor="text1"/>
                <w:lang w:val="en-US" w:eastAsia="zh-CN"/>
                <w14:textFill>
                  <w14:solidFill>
                    <w14:schemeClr w14:val="tx1"/>
                  </w14:solidFill>
                </w14:textFill>
              </w:rPr>
              <w:t>培训明细</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7</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近三年的公司财务报告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8</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投标单位最近半年完税证明、信用证明材料（中国人民银行信用代码证+征信报告）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9</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年度纳税信用评价信息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hint="eastAsia" w:ascii="Times New Roman" w:hAnsi="Times New Roman"/>
              </w:rPr>
              <w:t>1</w:t>
            </w:r>
            <w:r>
              <w:rPr>
                <w:rFonts w:ascii="Times New Roman" w:hAnsi="Times New Roman"/>
              </w:rPr>
              <w:t>0</w:t>
            </w:r>
          </w:p>
        </w:tc>
        <w:tc>
          <w:tcPr>
            <w:tcW w:w="8647" w:type="dxa"/>
            <w:tcBorders>
              <w:top w:val="single" w:color="auto" w:sz="4" w:space="0"/>
              <w:left w:val="single" w:color="auto" w:sz="4" w:space="0"/>
              <w:bottom w:val="single" w:color="auto" w:sz="4" w:space="0"/>
              <w:right w:val="single" w:color="auto" w:sz="4" w:space="0"/>
            </w:tcBorders>
            <w:vAlign w:val="center"/>
          </w:tcPr>
          <w:p>
            <w:r>
              <w:rPr>
                <w:rFonts w:hint="eastAsia"/>
              </w:rPr>
              <w:t>投标单位对外担保说明（加盖公章）</w:t>
            </w:r>
          </w:p>
        </w:tc>
      </w:tr>
    </w:tbl>
    <w:p>
      <w:pPr>
        <w:pStyle w:val="10"/>
        <w:spacing w:line="360" w:lineRule="auto"/>
        <w:ind w:firstLine="420" w:firstLineChars="200"/>
        <w:rPr>
          <w:rFonts w:ascii="Times New Roman" w:hAnsi="Times New Roman"/>
        </w:rPr>
      </w:pPr>
      <w:r>
        <w:rPr>
          <w:rFonts w:ascii="Times New Roman" w:hAnsi="Times New Roman"/>
        </w:rPr>
        <w:t>技术标包含：</w:t>
      </w:r>
    </w:p>
    <w:tbl>
      <w:tblPr>
        <w:tblStyle w:val="19"/>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序号</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1</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hint="eastAsia" w:hAnsi="宋体"/>
                <w:color w:val="000000"/>
                <w:szCs w:val="22"/>
              </w:rPr>
            </w:pPr>
            <w:r>
              <w:rPr>
                <w:rFonts w:hint="eastAsia"/>
                <w:color w:val="000000"/>
              </w:rPr>
              <w:t>投标人按合同履约能力、团队综合实力、服务</w:t>
            </w:r>
            <w:r>
              <w:rPr>
                <w:rFonts w:hint="eastAsia" w:hAnsi="宋体"/>
                <w:color w:val="000000"/>
                <w:szCs w:val="22"/>
              </w:rPr>
              <w:t>（包括但不限于）以及“第三章</w:t>
            </w:r>
            <w:r>
              <w:rPr>
                <w:rFonts w:hAnsi="宋体"/>
                <w:color w:val="000000"/>
                <w:szCs w:val="22"/>
              </w:rPr>
              <w:t xml:space="preserve"> </w:t>
            </w:r>
            <w:r>
              <w:rPr>
                <w:rFonts w:hint="eastAsia" w:hAnsi="宋体"/>
                <w:color w:val="000000"/>
                <w:szCs w:val="22"/>
              </w:rPr>
              <w:t>技术标书”中所列示项目等文件自行编制的项目策划文件</w:t>
            </w:r>
          </w:p>
          <w:p>
            <w:pPr>
              <w:pStyle w:val="10"/>
              <w:spacing w:line="360" w:lineRule="auto"/>
              <w:rPr>
                <w:rFonts w:hint="eastAsia" w:hAnsi="宋体"/>
                <w:color w:val="000000"/>
                <w:szCs w:val="22"/>
              </w:rPr>
            </w:pPr>
            <w:r>
              <w:rPr>
                <w:rFonts w:hAnsi="宋体"/>
                <w:color w:val="000000"/>
                <w:szCs w:val="22"/>
              </w:rPr>
              <w:t>a)</w:t>
            </w:r>
            <w:r>
              <w:rPr>
                <w:rFonts w:hint="eastAsia" w:hAnsi="宋体"/>
                <w:color w:val="000000"/>
                <w:szCs w:val="22"/>
              </w:rPr>
              <w:t>履约能力：包含但不限于公司经营范围、公司运营状况（投标人近三年的公司财务报表等）、履约情况（可提供获得荣誉或在技术实力、服务效率、服务经验等方面进行描述）。</w:t>
            </w:r>
          </w:p>
          <w:p>
            <w:pPr>
              <w:pStyle w:val="10"/>
              <w:spacing w:line="360" w:lineRule="auto"/>
              <w:rPr>
                <w:rFonts w:hint="eastAsia" w:hAnsi="宋体"/>
                <w:color w:val="000000"/>
                <w:szCs w:val="22"/>
              </w:rPr>
            </w:pPr>
            <w:r>
              <w:rPr>
                <w:rFonts w:hint="eastAsia" w:hAnsi="宋体"/>
                <w:color w:val="000000"/>
                <w:szCs w:val="22"/>
              </w:rPr>
              <w:t>b)团队综合实力：包含但不限于整体规模（公司简介、</w:t>
            </w:r>
            <w:r>
              <w:rPr>
                <w:rFonts w:hint="eastAsia" w:hAnsi="宋体"/>
                <w:color w:val="000000"/>
                <w:szCs w:val="22"/>
                <w:lang w:val="en-US" w:eastAsia="zh-CN"/>
              </w:rPr>
              <w:t>培训与实战背景</w:t>
            </w:r>
            <w:r>
              <w:rPr>
                <w:rFonts w:hint="eastAsia" w:hAnsi="宋体"/>
                <w:color w:val="000000"/>
                <w:szCs w:val="22"/>
              </w:rPr>
              <w:t>、专业资质认证</w:t>
            </w:r>
            <w:r>
              <w:rPr>
                <w:rFonts w:hint="eastAsia" w:hAnsi="宋体"/>
                <w:color w:val="000000"/>
                <w:szCs w:val="22"/>
                <w:lang w:eastAsia="zh-CN"/>
              </w:rPr>
              <w:t>、</w:t>
            </w:r>
            <w:r>
              <w:rPr>
                <w:rFonts w:hint="eastAsia" w:hAnsi="宋体"/>
                <w:color w:val="000000"/>
                <w:szCs w:val="22"/>
              </w:rPr>
              <w:t>资历组合合理性</w:t>
            </w:r>
            <w:r>
              <w:rPr>
                <w:rFonts w:hint="eastAsia" w:hAnsi="宋体"/>
                <w:color w:val="000000"/>
                <w:szCs w:val="22"/>
                <w:lang w:eastAsia="zh-CN"/>
              </w:rPr>
              <w:t>、</w:t>
            </w:r>
            <w:r>
              <w:rPr>
                <w:rFonts w:hint="eastAsia" w:hAnsi="宋体"/>
                <w:color w:val="000000"/>
                <w:szCs w:val="22"/>
              </w:rPr>
              <w:t>专业配置完整性</w:t>
            </w:r>
            <w:r>
              <w:rPr>
                <w:rFonts w:hint="eastAsia" w:hAnsi="宋体"/>
                <w:color w:val="000000"/>
                <w:szCs w:val="22"/>
                <w:lang w:eastAsia="zh-CN"/>
              </w:rPr>
              <w:t>、</w:t>
            </w:r>
            <w:r>
              <w:rPr>
                <w:rFonts w:hint="eastAsia" w:hAnsi="宋体"/>
                <w:color w:val="000000"/>
                <w:szCs w:val="22"/>
                <w:lang w:val="en-US" w:eastAsia="zh-CN"/>
              </w:rPr>
              <w:t>汽车行业</w:t>
            </w:r>
            <w:r>
              <w:rPr>
                <w:rFonts w:hint="eastAsia" w:hAnsi="宋体"/>
                <w:color w:val="000000"/>
                <w:szCs w:val="22"/>
              </w:rPr>
              <w:t>标杆客户背书</w:t>
            </w:r>
            <w:r>
              <w:rPr>
                <w:rFonts w:hint="eastAsia" w:hAnsi="宋体"/>
                <w:color w:val="000000"/>
                <w:szCs w:val="22"/>
                <w:lang w:eastAsia="zh-CN"/>
              </w:rPr>
              <w:t>、</w:t>
            </w:r>
            <w:r>
              <w:rPr>
                <w:rFonts w:hint="default" w:hAnsi="宋体"/>
                <w:color w:val="000000"/>
                <w:szCs w:val="22"/>
              </w:rPr>
              <w:t>交付能力</w:t>
            </w:r>
            <w:r>
              <w:rPr>
                <w:rFonts w:hint="eastAsia" w:hAnsi="宋体"/>
                <w:color w:val="000000"/>
                <w:szCs w:val="22"/>
              </w:rPr>
              <w:t>等）；技术力量（国家认监委认可范围、研发技术实力、</w:t>
            </w:r>
            <w:r>
              <w:rPr>
                <w:rFonts w:hint="default" w:hAnsi="宋体"/>
                <w:color w:val="000000"/>
                <w:szCs w:val="22"/>
              </w:rPr>
              <w:t>方法论与工具成熟度</w:t>
            </w:r>
            <w:r>
              <w:rPr>
                <w:rFonts w:hint="eastAsia" w:hAnsi="宋体"/>
                <w:color w:val="000000"/>
                <w:szCs w:val="22"/>
                <w:lang w:eastAsia="zh-CN"/>
              </w:rPr>
              <w:t>、</w:t>
            </w:r>
            <w:r>
              <w:rPr>
                <w:rFonts w:hint="default" w:hAnsi="宋体"/>
                <w:color w:val="000000"/>
                <w:szCs w:val="22"/>
              </w:rPr>
              <w:t>创新与技术前瞻性</w:t>
            </w:r>
            <w:r>
              <w:rPr>
                <w:rFonts w:hint="eastAsia" w:hAnsi="宋体"/>
                <w:color w:val="000000"/>
                <w:szCs w:val="22"/>
                <w:lang w:eastAsia="zh-CN"/>
              </w:rPr>
              <w:t>、</w:t>
            </w:r>
            <w:r>
              <w:rPr>
                <w:rFonts w:hint="eastAsia" w:hAnsi="宋体"/>
                <w:color w:val="000000"/>
                <w:szCs w:val="22"/>
                <w:lang w:val="en-US" w:eastAsia="zh-CN"/>
              </w:rPr>
              <w:t>知识转移的能力</w:t>
            </w:r>
            <w:r>
              <w:rPr>
                <w:rFonts w:hint="eastAsia" w:hAnsi="宋体"/>
                <w:color w:val="000000"/>
                <w:szCs w:val="22"/>
              </w:rPr>
              <w:t>等）；项目团队实力（人员组成架构、资质及荣誉等）。</w:t>
            </w:r>
          </w:p>
          <w:p>
            <w:pPr>
              <w:pStyle w:val="10"/>
              <w:spacing w:line="360" w:lineRule="auto"/>
              <w:rPr>
                <w:rFonts w:hint="eastAsia" w:ascii="Times New Roman" w:hAnsi="Times New Roman" w:eastAsia="宋体"/>
                <w:lang w:eastAsia="zh-CN"/>
              </w:rPr>
            </w:pPr>
            <w:r>
              <w:rPr>
                <w:rFonts w:hAnsi="宋体"/>
                <w:color w:val="000000"/>
                <w:szCs w:val="22"/>
              </w:rPr>
              <w:t>c)</w:t>
            </w:r>
            <w:r>
              <w:rPr>
                <w:rFonts w:hint="eastAsia" w:hAnsi="宋体"/>
                <w:color w:val="000000"/>
                <w:szCs w:val="22"/>
              </w:rPr>
              <w:t>服务：包含但不限于历史服务（</w:t>
            </w:r>
            <w:r>
              <w:rPr>
                <w:rFonts w:hint="eastAsia" w:hAnsi="宋体"/>
                <w:color w:val="000000"/>
                <w:szCs w:val="21"/>
              </w:rPr>
              <w:t>投标人需提供行业服务业绩情况、在</w:t>
            </w:r>
            <w:r>
              <w:rPr>
                <w:rFonts w:hint="eastAsia" w:hAnsi="宋体"/>
                <w:color w:val="000000"/>
                <w:szCs w:val="21"/>
                <w:lang w:val="en-US" w:eastAsia="zh-CN"/>
              </w:rPr>
              <w:t>汽车行业</w:t>
            </w:r>
            <w:r>
              <w:rPr>
                <w:rFonts w:hint="eastAsia" w:hAnsi="宋体"/>
                <w:color w:val="000000"/>
                <w:szCs w:val="21"/>
              </w:rPr>
              <w:t>服务质量情况</w:t>
            </w:r>
            <w:r>
              <w:rPr>
                <w:rFonts w:hint="eastAsia" w:hAnsi="宋体"/>
                <w:color w:val="000000"/>
                <w:szCs w:val="22"/>
              </w:rPr>
              <w:t>合同复印件）；</w:t>
            </w:r>
            <w:r>
              <w:rPr>
                <w:rFonts w:hint="eastAsia"/>
                <w:color w:val="000000"/>
                <w:szCs w:val="21"/>
              </w:rPr>
              <w:t>服务承诺（承诺有其它额外免费的或对招标人有利的服务项目或措施）</w:t>
            </w:r>
            <w:r>
              <w:rPr>
                <w:rFonts w:hint="eastAsia"/>
                <w:color w:val="00000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2</w:t>
            </w:r>
          </w:p>
        </w:tc>
        <w:tc>
          <w:tcPr>
            <w:tcW w:w="8647" w:type="dxa"/>
            <w:tcBorders>
              <w:top w:val="single" w:color="auto" w:sz="4" w:space="0"/>
              <w:left w:val="single" w:color="auto" w:sz="4" w:space="0"/>
              <w:bottom w:val="single" w:color="auto" w:sz="4" w:space="0"/>
              <w:right w:val="single" w:color="auto" w:sz="4" w:space="0"/>
            </w:tcBorders>
            <w:vAlign w:val="center"/>
          </w:tcPr>
          <w:p>
            <w:pPr>
              <w:pStyle w:val="10"/>
              <w:spacing w:line="360" w:lineRule="auto"/>
              <w:rPr>
                <w:rFonts w:ascii="Times New Roman" w:hAnsi="Times New Roman"/>
              </w:rPr>
            </w:pPr>
            <w:r>
              <w:rPr>
                <w:rFonts w:hint="eastAsia" w:hAnsi="宋体"/>
                <w:color w:val="000000"/>
              </w:rPr>
              <w:t>投标人认为需要提交的其它文件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3</w:t>
            </w:r>
          </w:p>
        </w:tc>
        <w:tc>
          <w:tcPr>
            <w:tcW w:w="8647" w:type="dxa"/>
            <w:tcBorders>
              <w:top w:val="single" w:color="auto" w:sz="4" w:space="0"/>
              <w:left w:val="single" w:color="auto" w:sz="4" w:space="0"/>
              <w:bottom w:val="single" w:color="auto" w:sz="4" w:space="0"/>
              <w:right w:val="single" w:color="auto" w:sz="4" w:space="0"/>
            </w:tcBorders>
            <w:vAlign w:val="center"/>
          </w:tcPr>
          <w:p>
            <w:pPr>
              <w:spacing w:line="420" w:lineRule="exact"/>
            </w:pPr>
            <w:r>
              <w:t>格式6相关条款偏离表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vAlign w:val="center"/>
          </w:tcPr>
          <w:p>
            <w:pPr>
              <w:pStyle w:val="10"/>
              <w:spacing w:line="360" w:lineRule="auto"/>
              <w:jc w:val="center"/>
              <w:rPr>
                <w:rFonts w:ascii="Times New Roman" w:hAnsi="Times New Roman"/>
              </w:rPr>
            </w:pPr>
            <w:r>
              <w:rPr>
                <w:rFonts w:ascii="Times New Roman" w:hAnsi="Times New Roman"/>
              </w:rPr>
              <w:t>4</w:t>
            </w:r>
          </w:p>
        </w:tc>
        <w:tc>
          <w:tcPr>
            <w:tcW w:w="8647" w:type="dxa"/>
            <w:tcBorders>
              <w:top w:val="single" w:color="auto" w:sz="4" w:space="0"/>
              <w:left w:val="single" w:color="auto" w:sz="4" w:space="0"/>
              <w:bottom w:val="single" w:color="auto" w:sz="4" w:space="0"/>
              <w:right w:val="single" w:color="auto" w:sz="4" w:space="0"/>
            </w:tcBorders>
            <w:vAlign w:val="center"/>
          </w:tcPr>
          <w:p>
            <w:r>
              <w:t>格式2 投标文件目录</w:t>
            </w:r>
          </w:p>
        </w:tc>
      </w:tr>
    </w:tbl>
    <w:p>
      <w:pPr>
        <w:pStyle w:val="10"/>
        <w:spacing w:line="360" w:lineRule="auto"/>
        <w:ind w:firstLine="420" w:firstLineChars="200"/>
        <w:rPr>
          <w:rFonts w:ascii="Times New Roman" w:hAnsi="Times New Roman"/>
        </w:rPr>
      </w:pPr>
      <w:r>
        <w:rPr>
          <w:rFonts w:ascii="Times New Roman" w:hAnsi="Times New Roman"/>
        </w:rPr>
        <w:t>商务标包含：</w:t>
      </w:r>
    </w:p>
    <w:tbl>
      <w:tblPr>
        <w:tblStyle w:val="19"/>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序号</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1</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格式1 投标书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2</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格式2 投标文件目录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3</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格式4 投标分项报价表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4</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格式5 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5</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格式6相关条款偏离表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7</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格式7 企业情况、从业经历、服务承诺一览表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pPr>
              <w:pStyle w:val="10"/>
              <w:spacing w:line="360" w:lineRule="auto"/>
              <w:jc w:val="center"/>
              <w:rPr>
                <w:rFonts w:ascii="Times New Roman" w:hAnsi="Times New Roman"/>
              </w:rPr>
            </w:pPr>
            <w:r>
              <w:rPr>
                <w:rFonts w:ascii="Times New Roman" w:hAnsi="Times New Roman"/>
              </w:rPr>
              <w:t>9</w:t>
            </w:r>
          </w:p>
        </w:tc>
        <w:tc>
          <w:tcPr>
            <w:tcW w:w="8647" w:type="dxa"/>
            <w:tcBorders>
              <w:top w:val="single" w:color="auto" w:sz="4" w:space="0"/>
              <w:left w:val="single" w:color="auto" w:sz="4" w:space="0"/>
              <w:bottom w:val="single" w:color="auto" w:sz="4" w:space="0"/>
              <w:right w:val="single" w:color="auto" w:sz="4" w:space="0"/>
            </w:tcBorders>
          </w:tcPr>
          <w:p>
            <w:pPr>
              <w:pStyle w:val="10"/>
              <w:spacing w:line="360" w:lineRule="auto"/>
              <w:rPr>
                <w:rFonts w:ascii="Times New Roman" w:hAnsi="Times New Roman"/>
              </w:rPr>
            </w:pPr>
            <w:r>
              <w:rPr>
                <w:rFonts w:ascii="Times New Roman" w:hAnsi="Times New Roman"/>
              </w:rPr>
              <w:t>格式9 投标保证金退付表</w:t>
            </w:r>
          </w:p>
        </w:tc>
      </w:tr>
    </w:tbl>
    <w:p>
      <w:pPr>
        <w:pStyle w:val="10"/>
        <w:spacing w:line="360" w:lineRule="auto"/>
        <w:rPr>
          <w:rFonts w:hint="eastAsia" w:ascii="黑体" w:hAnsi="黑体" w:eastAsia="黑体"/>
          <w:b/>
          <w:bCs/>
          <w:sz w:val="28"/>
          <w:szCs w:val="28"/>
        </w:rPr>
      </w:pPr>
      <w:r>
        <w:rPr>
          <w:rFonts w:hint="eastAsia" w:ascii="黑体" w:hAnsi="黑体" w:eastAsia="黑体"/>
          <w:b/>
          <w:bCs/>
          <w:sz w:val="28"/>
          <w:szCs w:val="28"/>
        </w:rPr>
        <w:t>二、投标文件的签署盖章</w:t>
      </w:r>
    </w:p>
    <w:p>
      <w:pPr>
        <w:pStyle w:val="10"/>
        <w:spacing w:line="360" w:lineRule="auto"/>
        <w:ind w:firstLine="420" w:firstLineChars="200"/>
        <w:rPr>
          <w:rFonts w:ascii="Times New Roman" w:hAnsi="Times New Roman"/>
        </w:rPr>
      </w:pPr>
      <w:r>
        <w:rPr>
          <w:rFonts w:ascii="Times New Roman" w:hAnsi="Times New Roman"/>
        </w:rPr>
        <w:t>1.法定代表人或投标人授权代表必须按招标文件的规定在投标文件（正本、副本及各附件）、开标一览表上签字并加盖</w:t>
      </w:r>
      <w:r>
        <w:rPr>
          <w:rFonts w:ascii="Times New Roman" w:hAnsi="Times New Roman"/>
          <w:b/>
          <w:bCs/>
        </w:rPr>
        <w:t>投标人单位公章</w:t>
      </w:r>
      <w:r>
        <w:rPr>
          <w:rFonts w:ascii="Times New Roman" w:hAnsi="Times New Roman"/>
        </w:rPr>
        <w:t>，不得使用其它形式如带有“专用章”等字样的印章，否则投标将被视为无效。如投标人对投标文件进行了修改，则须由投标人的法定代表人或授权代表在修改的每一页上签字或加盖公章。</w:t>
      </w:r>
    </w:p>
    <w:p>
      <w:pPr>
        <w:pStyle w:val="10"/>
        <w:spacing w:line="360" w:lineRule="auto"/>
        <w:ind w:firstLine="420" w:firstLineChars="200"/>
        <w:rPr>
          <w:rFonts w:ascii="Times New Roman" w:hAnsi="Times New Roman"/>
        </w:rPr>
      </w:pPr>
      <w:r>
        <w:rPr>
          <w:rFonts w:ascii="Times New Roman" w:hAnsi="Times New Roman"/>
        </w:rPr>
        <w:t>2.任何行间插字、涂改和增删，必须由投标人的法定代表人或授权代表签字或加盖公章后才有效。</w:t>
      </w:r>
    </w:p>
    <w:p>
      <w:pPr>
        <w:pStyle w:val="10"/>
        <w:spacing w:line="360" w:lineRule="auto"/>
        <w:rPr>
          <w:rFonts w:hint="eastAsia" w:ascii="黑体" w:hAnsi="黑体" w:eastAsia="黑体"/>
          <w:b/>
          <w:bCs/>
          <w:sz w:val="28"/>
          <w:szCs w:val="28"/>
        </w:rPr>
      </w:pPr>
      <w:r>
        <w:rPr>
          <w:rFonts w:hint="eastAsia" w:ascii="黑体" w:hAnsi="黑体" w:eastAsia="黑体"/>
          <w:b/>
          <w:bCs/>
          <w:sz w:val="28"/>
          <w:szCs w:val="28"/>
        </w:rPr>
        <w:t>三、投标文件的密封标记</w:t>
      </w:r>
    </w:p>
    <w:p>
      <w:pPr>
        <w:pStyle w:val="10"/>
        <w:spacing w:line="360" w:lineRule="auto"/>
        <w:ind w:firstLine="420" w:firstLineChars="200"/>
        <w:rPr>
          <w:rFonts w:ascii="Times New Roman" w:hAnsi="Times New Roman"/>
        </w:rPr>
      </w:pPr>
      <w:r>
        <w:rPr>
          <w:rFonts w:ascii="Times New Roman" w:hAnsi="Times New Roman"/>
        </w:rPr>
        <w:t>1.投标人应将投标文件正、副本及U盘电子版一同密封送达，并在封面明显处注明以下内容：</w:t>
      </w:r>
    </w:p>
    <w:p>
      <w:pPr>
        <w:pStyle w:val="10"/>
        <w:spacing w:line="360" w:lineRule="auto"/>
        <w:ind w:firstLine="420" w:firstLineChars="200"/>
        <w:rPr>
          <w:rFonts w:ascii="Times New Roman" w:hAnsi="Times New Roman"/>
        </w:rPr>
      </w:pPr>
      <w:r>
        <w:rPr>
          <w:rFonts w:ascii="Times New Roman" w:hAnsi="Times New Roman"/>
        </w:rPr>
        <w:t>⑴项目名称</w:t>
      </w:r>
    </w:p>
    <w:p>
      <w:pPr>
        <w:pStyle w:val="10"/>
        <w:spacing w:line="360" w:lineRule="auto"/>
        <w:ind w:firstLine="420" w:firstLineChars="200"/>
        <w:rPr>
          <w:rFonts w:ascii="Times New Roman" w:hAnsi="Times New Roman"/>
        </w:rPr>
      </w:pPr>
      <w:r>
        <w:rPr>
          <w:rFonts w:ascii="Times New Roman" w:hAnsi="Times New Roman"/>
        </w:rPr>
        <w:t>⑵投标人名称（加盖公章）、地址、邮编、电话、传真</w:t>
      </w:r>
    </w:p>
    <w:p>
      <w:pPr>
        <w:pStyle w:val="10"/>
        <w:spacing w:line="360" w:lineRule="auto"/>
        <w:ind w:firstLine="420" w:firstLineChars="200"/>
        <w:rPr>
          <w:rFonts w:ascii="Times New Roman" w:hAnsi="Times New Roman"/>
        </w:rPr>
      </w:pPr>
      <w:r>
        <w:rPr>
          <w:rFonts w:ascii="Times New Roman" w:hAnsi="Times New Roman"/>
        </w:rPr>
        <w:t>2.请投标人将2份“开标一览表”单独密封，并注明开标一览表、项目名称、投标人名称（加盖公章），与投标文件同时提交。</w:t>
      </w:r>
    </w:p>
    <w:p>
      <w:pPr>
        <w:pStyle w:val="10"/>
        <w:spacing w:line="360" w:lineRule="auto"/>
        <w:ind w:firstLine="420" w:firstLineChars="200"/>
        <w:rPr>
          <w:rFonts w:ascii="Times New Roman" w:hAnsi="Times New Roman"/>
        </w:rPr>
      </w:pPr>
      <w:r>
        <w:rPr>
          <w:rFonts w:ascii="Times New Roman" w:hAnsi="Times New Roman"/>
        </w:rPr>
        <w:t>3.每一密封文件在封口处加盖投标人</w:t>
      </w:r>
      <w:r>
        <w:rPr>
          <w:rFonts w:ascii="Times New Roman" w:hAnsi="Times New Roman"/>
          <w:highlight w:val="yellow"/>
        </w:rPr>
        <w:t>公章并注明“</w:t>
      </w:r>
      <w:r>
        <w:rPr>
          <w:rFonts w:ascii="Times New Roman" w:hAnsi="Times New Roman"/>
          <w:color w:val="FF0000"/>
          <w:highlight w:val="yellow"/>
        </w:rPr>
        <w:t>于202</w:t>
      </w:r>
      <w:r>
        <w:rPr>
          <w:rFonts w:hint="eastAsia" w:ascii="Times New Roman" w:hAnsi="Times New Roman"/>
          <w:color w:val="FF0000"/>
          <w:highlight w:val="yellow"/>
          <w:lang w:val="en-US" w:eastAsia="zh-CN"/>
        </w:rPr>
        <w:t>6</w:t>
      </w:r>
      <w:r>
        <w:rPr>
          <w:rFonts w:ascii="Times New Roman" w:hAnsi="Times New Roman"/>
          <w:color w:val="FF0000"/>
          <w:highlight w:val="yellow"/>
        </w:rPr>
        <w:t>年*月*日上午9:00时之前不准启封</w:t>
      </w:r>
      <w:r>
        <w:rPr>
          <w:rFonts w:ascii="Times New Roman" w:hAnsi="Times New Roman"/>
          <w:highlight w:val="yellow"/>
        </w:rPr>
        <w:t>”</w:t>
      </w:r>
      <w:r>
        <w:rPr>
          <w:rFonts w:ascii="Times New Roman" w:hAnsi="Times New Roman"/>
        </w:rPr>
        <w:t>字样。</w:t>
      </w:r>
    </w:p>
    <w:p>
      <w:pPr>
        <w:pStyle w:val="10"/>
        <w:spacing w:line="360" w:lineRule="auto"/>
        <w:ind w:firstLine="420" w:firstLineChars="200"/>
        <w:rPr>
          <w:rFonts w:ascii="Times New Roman" w:hAnsi="Times New Roman"/>
        </w:rPr>
      </w:pPr>
      <w:r>
        <w:rPr>
          <w:rFonts w:ascii="Times New Roman" w:hAnsi="Times New Roman"/>
        </w:rPr>
        <w:t>4.如果投标人未按上述要求对投标文件密封及加写标记，招标人对投标人提前启封概不负责。对由此造成提前开封的投标文件，招标人有权予以拒绝，并退回投标人。</w:t>
      </w:r>
    </w:p>
    <w:p>
      <w:pPr>
        <w:pStyle w:val="10"/>
        <w:spacing w:line="360" w:lineRule="auto"/>
        <w:rPr>
          <w:rFonts w:hint="eastAsia" w:ascii="黑体" w:hAnsi="黑体" w:eastAsia="黑体"/>
          <w:b/>
          <w:bCs/>
          <w:sz w:val="28"/>
          <w:szCs w:val="28"/>
        </w:rPr>
      </w:pPr>
      <w:r>
        <w:rPr>
          <w:rFonts w:hint="eastAsia" w:ascii="黑体" w:hAnsi="黑体" w:eastAsia="黑体"/>
          <w:b/>
          <w:bCs/>
          <w:sz w:val="28"/>
          <w:szCs w:val="28"/>
        </w:rPr>
        <w:t>四、投标文件附件格式</w:t>
      </w:r>
    </w:p>
    <w:p>
      <w:pPr>
        <w:rPr>
          <w:rFonts w:eastAsia="黑体"/>
          <w:b/>
          <w:bCs/>
          <w:sz w:val="28"/>
        </w:rPr>
      </w:pPr>
      <w:r>
        <w:rPr>
          <w:rFonts w:eastAsia="黑体"/>
          <w:b/>
          <w:bCs/>
          <w:sz w:val="28"/>
        </w:rPr>
        <w:t>格式1</w:t>
      </w:r>
    </w:p>
    <w:p>
      <w:pPr>
        <w:rPr>
          <w:u w:val="single"/>
        </w:rPr>
      </w:pPr>
      <w:r>
        <w:t>项目名称：</w:t>
      </w:r>
      <w:r>
        <w:rPr>
          <w:u w:val="single"/>
        </w:rPr>
        <w:t xml:space="preserve"> </w:t>
      </w:r>
      <w:r>
        <w:rPr>
          <w:rFonts w:hint="eastAsia"/>
          <w:u w:val="single"/>
          <w:lang w:val="en-US" w:eastAsia="zh-CN"/>
        </w:rPr>
        <w:t>测量体系培训招标</w:t>
      </w:r>
    </w:p>
    <w:p/>
    <w:p>
      <w:pPr>
        <w:spacing w:line="360" w:lineRule="auto"/>
        <w:jc w:val="center"/>
        <w:rPr>
          <w:rFonts w:eastAsia="黑体"/>
          <w:b/>
          <w:bCs/>
          <w:sz w:val="28"/>
        </w:rPr>
      </w:pPr>
      <w:r>
        <w:rPr>
          <w:rFonts w:eastAsia="黑体"/>
          <w:b/>
          <w:bCs/>
          <w:sz w:val="28"/>
        </w:rPr>
        <w:t>投标书</w:t>
      </w:r>
    </w:p>
    <w:p>
      <w:pPr>
        <w:spacing w:line="360" w:lineRule="auto"/>
        <w:rPr>
          <w:u w:val="single"/>
        </w:rPr>
      </w:pPr>
      <w:r>
        <w:t>致</w:t>
      </w:r>
      <w:r>
        <w:rPr>
          <w:u w:val="single"/>
        </w:rPr>
        <w:t>（招标人名称）                            ：</w:t>
      </w:r>
    </w:p>
    <w:p>
      <w:pPr>
        <w:spacing w:line="360" w:lineRule="auto"/>
        <w:ind w:firstLine="645"/>
      </w:pPr>
      <w:r>
        <w:t>根据贵方为（</w:t>
      </w:r>
      <w:r>
        <w:rPr>
          <w:u w:val="single"/>
        </w:rPr>
        <w:t xml:space="preserve">项目名称）                         </w:t>
      </w:r>
      <w:r>
        <w:t>招标书，签字代表</w:t>
      </w:r>
      <w:r>
        <w:rPr>
          <w:u w:val="single"/>
        </w:rPr>
        <w:t xml:space="preserve">（全名、职务）           </w:t>
      </w:r>
      <w:r>
        <w:t>经正式授权并代表投标人</w:t>
      </w:r>
      <w:r>
        <w:rPr>
          <w:u w:val="single"/>
        </w:rPr>
        <w:t xml:space="preserve">（投标人名称、地址）              </w:t>
      </w:r>
      <w:r>
        <w:t>提交下述文件：</w:t>
      </w:r>
    </w:p>
    <w:p>
      <w:pPr>
        <w:spacing w:line="360" w:lineRule="auto"/>
      </w:pPr>
      <w:r>
        <w:t>标书（正本</w:t>
      </w:r>
      <w:r>
        <w:rPr>
          <w:u w:val="single"/>
        </w:rPr>
        <w:t>1</w:t>
      </w:r>
      <w:r>
        <w:t>份和副本一式</w:t>
      </w:r>
      <w:r>
        <w:rPr>
          <w:u w:val="single"/>
        </w:rPr>
        <w:t>4</w:t>
      </w:r>
      <w:r>
        <w:t>份）</w:t>
      </w:r>
    </w:p>
    <w:p>
      <w:pPr>
        <w:spacing w:line="360" w:lineRule="auto"/>
      </w:pPr>
      <w:r>
        <w:t>资质证明文件（1份）</w:t>
      </w:r>
    </w:p>
    <w:p>
      <w:pPr>
        <w:spacing w:line="360" w:lineRule="auto"/>
      </w:pPr>
      <w:r>
        <w:t>据此，签字代表宣布同意如下：</w:t>
      </w:r>
    </w:p>
    <w:p>
      <w:pPr>
        <w:numPr>
          <w:ilvl w:val="0"/>
          <w:numId w:val="4"/>
        </w:numPr>
        <w:spacing w:line="360" w:lineRule="auto"/>
        <w:rPr>
          <w:u w:val="single"/>
        </w:rPr>
      </w:pPr>
      <w:r>
        <w:t>所附投标报价表中规定的应提供的投标总价（含税）为</w:t>
      </w:r>
      <w:r>
        <w:rPr>
          <w:u w:val="single"/>
        </w:rPr>
        <w:t>（注明币种和金额）    ，</w:t>
      </w:r>
    </w:p>
    <w:p>
      <w:pPr>
        <w:spacing w:line="360" w:lineRule="auto"/>
        <w:ind w:firstLine="840" w:firstLineChars="400"/>
      </w:pPr>
      <w:r>
        <w:rPr>
          <w:u w:val="single"/>
        </w:rPr>
        <w:t>即（中文文字描述）                                      ；</w:t>
      </w:r>
      <w:r>
        <w:t>税率</w:t>
      </w:r>
      <w:r>
        <w:rPr>
          <w:u w:val="single"/>
        </w:rPr>
        <w:t xml:space="preserve">      ；</w:t>
      </w:r>
      <w:r>
        <w:t>不含税金额</w:t>
      </w:r>
      <w:r>
        <w:rPr>
          <w:u w:val="single"/>
        </w:rPr>
        <w:t xml:space="preserve">       </w:t>
      </w:r>
      <w:r>
        <w:t>。</w:t>
      </w:r>
    </w:p>
    <w:p>
      <w:pPr>
        <w:numPr>
          <w:ilvl w:val="0"/>
          <w:numId w:val="4"/>
        </w:numPr>
        <w:spacing w:line="360" w:lineRule="auto"/>
      </w:pPr>
      <w:r>
        <w:t>投标人将按招标文件的规定履行合同责任和义务。</w:t>
      </w:r>
    </w:p>
    <w:p>
      <w:pPr>
        <w:numPr>
          <w:ilvl w:val="0"/>
          <w:numId w:val="4"/>
        </w:numPr>
        <w:spacing w:line="360" w:lineRule="auto"/>
      </w:pPr>
      <w:r>
        <w:t>投标人已详细审查全部招标文件，包括修改文件（如有的话）以及全部参考资料和有关附件，我们完全理解并同意放弃对这方面有不明及误解的权利。</w:t>
      </w:r>
    </w:p>
    <w:p>
      <w:pPr>
        <w:numPr>
          <w:ilvl w:val="0"/>
          <w:numId w:val="4"/>
        </w:numPr>
        <w:spacing w:line="360" w:lineRule="auto"/>
      </w:pPr>
      <w:r>
        <w:rPr>
          <w:szCs w:val="21"/>
        </w:rPr>
        <w:t>投标有效期：自投标截止之日起至合同签署日一直有效。</w:t>
      </w:r>
    </w:p>
    <w:p>
      <w:pPr>
        <w:numPr>
          <w:ilvl w:val="0"/>
          <w:numId w:val="4"/>
        </w:numPr>
        <w:spacing w:line="360" w:lineRule="auto"/>
      </w:pPr>
      <w:r>
        <w:t>投标人同意提供贵方要求的可能与投标有关的一切数据和资料，完全理解贵方不一定要接受最低价的投标或收到的任何投标。</w:t>
      </w:r>
    </w:p>
    <w:p>
      <w:pPr>
        <w:numPr>
          <w:ilvl w:val="0"/>
          <w:numId w:val="4"/>
        </w:numPr>
        <w:spacing w:line="360" w:lineRule="auto"/>
      </w:pPr>
      <w:r>
        <w:t>投标人承诺所提供的所有数据和资料均真实有效，如存在虚报情况，投标人愿为此承担一切法律责任，并主动退出本项目竞标。</w:t>
      </w:r>
    </w:p>
    <w:p>
      <w:pPr>
        <w:numPr>
          <w:ilvl w:val="0"/>
          <w:numId w:val="4"/>
        </w:numPr>
        <w:spacing w:line="360" w:lineRule="auto"/>
      </w:pPr>
      <w:r>
        <w:t>与本投标有关的一切正式往来通讯请寄：</w:t>
      </w:r>
    </w:p>
    <w:p>
      <w:pPr>
        <w:spacing w:line="360" w:lineRule="auto"/>
        <w:ind w:left="795"/>
      </w:pPr>
      <w:r>
        <w:t>地址：                                   邮编：</w:t>
      </w:r>
    </w:p>
    <w:p>
      <w:pPr>
        <w:spacing w:line="360" w:lineRule="auto"/>
        <w:ind w:left="795"/>
      </w:pPr>
      <w:r>
        <w:t>电话：                                   传真：</w:t>
      </w:r>
    </w:p>
    <w:p>
      <w:pPr>
        <w:spacing w:line="360" w:lineRule="auto"/>
        <w:ind w:left="795"/>
      </w:pPr>
      <w:r>
        <w:t>投标人授权代表签字：                 职务：                 日期：</w:t>
      </w:r>
    </w:p>
    <w:p>
      <w:pPr>
        <w:spacing w:line="360" w:lineRule="auto"/>
        <w:ind w:left="795"/>
      </w:pPr>
    </w:p>
    <w:p>
      <w:pPr>
        <w:spacing w:line="360" w:lineRule="auto"/>
        <w:ind w:left="795"/>
      </w:pPr>
      <w:r>
        <w:t>投标人名称（及公章）：</w:t>
      </w:r>
    </w:p>
    <w:p>
      <w:pPr>
        <w:ind w:firstLine="840" w:firstLineChars="400"/>
        <w:rPr>
          <w:rFonts w:ascii="黑体" w:eastAsia="黑体"/>
          <w:color w:val="0000FF"/>
          <w:sz w:val="30"/>
        </w:rPr>
      </w:pPr>
      <w:r>
        <w:t>日期：        年       月       日</w:t>
      </w:r>
    </w:p>
    <w:p>
      <w:pPr>
        <w:spacing w:line="360" w:lineRule="auto"/>
        <w:ind w:left="795"/>
        <w:rPr>
          <w:rFonts w:eastAsia="黑体"/>
          <w:b/>
          <w:bCs/>
          <w:sz w:val="28"/>
        </w:rPr>
      </w:pPr>
    </w:p>
    <w:p>
      <w:pPr>
        <w:spacing w:line="360" w:lineRule="auto"/>
        <w:ind w:left="795"/>
        <w:rPr>
          <w:rFonts w:eastAsia="黑体"/>
          <w:b/>
          <w:bCs/>
          <w:sz w:val="28"/>
        </w:rPr>
      </w:pPr>
      <w:r>
        <w:rPr>
          <w:rFonts w:eastAsia="黑体"/>
          <w:b/>
          <w:bCs/>
          <w:sz w:val="28"/>
        </w:rPr>
        <w:t>格式2</w:t>
      </w:r>
    </w:p>
    <w:p>
      <w:r>
        <w:t>项目名称：</w:t>
      </w:r>
      <w:r>
        <w:rPr>
          <w:u w:val="single"/>
        </w:rPr>
        <w:t xml:space="preserve">  </w:t>
      </w:r>
      <w:r>
        <w:rPr>
          <w:rFonts w:hint="eastAsia"/>
          <w:u w:val="single"/>
          <w:lang w:val="en-US" w:eastAsia="zh-CN"/>
        </w:rPr>
        <w:t>测量体系培训招标</w:t>
      </w:r>
    </w:p>
    <w:p/>
    <w:p>
      <w:pPr>
        <w:rPr>
          <w:szCs w:val="21"/>
        </w:rPr>
      </w:pPr>
      <w:r>
        <w:rPr>
          <w:szCs w:val="21"/>
        </w:rPr>
        <w:t>日期：  年   月   日</w:t>
      </w:r>
    </w:p>
    <w:p>
      <w:pPr>
        <w:jc w:val="center"/>
        <w:rPr>
          <w:rFonts w:eastAsia="黑体"/>
          <w:sz w:val="30"/>
        </w:rPr>
      </w:pPr>
      <w:r>
        <w:rPr>
          <w:rFonts w:eastAsia="黑体"/>
          <w:sz w:val="30"/>
        </w:rPr>
        <w:t>投标文件目录</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6520"/>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rPr>
                <w:szCs w:val="15"/>
              </w:rPr>
            </w:pPr>
            <w:r>
              <w:rPr>
                <w:szCs w:val="15"/>
              </w:rPr>
              <w:t>序号</w:t>
            </w:r>
          </w:p>
        </w:tc>
        <w:tc>
          <w:tcPr>
            <w:tcW w:w="6520" w:type="dxa"/>
            <w:vAlign w:val="center"/>
          </w:tcPr>
          <w:p>
            <w:pPr>
              <w:jc w:val="center"/>
              <w:rPr>
                <w:szCs w:val="15"/>
              </w:rPr>
            </w:pPr>
            <w:r>
              <w:rPr>
                <w:szCs w:val="15"/>
              </w:rPr>
              <w:t>主要内容</w:t>
            </w:r>
          </w:p>
        </w:tc>
        <w:tc>
          <w:tcPr>
            <w:tcW w:w="1276" w:type="dxa"/>
            <w:vAlign w:val="center"/>
          </w:tcPr>
          <w:p>
            <w:pPr>
              <w:jc w:val="center"/>
              <w:rPr>
                <w:szCs w:val="15"/>
              </w:rPr>
            </w:pPr>
            <w:r>
              <w:rPr>
                <w:szCs w:val="15"/>
              </w:rPr>
              <w:t>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1" w:type="dxa"/>
            <w:vAlign w:val="center"/>
          </w:tcPr>
          <w:p>
            <w:pPr>
              <w:jc w:val="center"/>
            </w:pPr>
          </w:p>
        </w:tc>
        <w:tc>
          <w:tcPr>
            <w:tcW w:w="6520" w:type="dxa"/>
            <w:vAlign w:val="center"/>
          </w:tcPr>
          <w:p>
            <w:pPr>
              <w:jc w:val="center"/>
            </w:pPr>
          </w:p>
        </w:tc>
        <w:tc>
          <w:tcPr>
            <w:tcW w:w="1276" w:type="dxa"/>
            <w:vAlign w:val="center"/>
          </w:tcPr>
          <w:p>
            <w:pPr>
              <w:jc w:val="center"/>
            </w:pPr>
          </w:p>
        </w:tc>
      </w:tr>
    </w:tbl>
    <w:p>
      <w:pPr>
        <w:rPr>
          <w:szCs w:val="21"/>
        </w:rPr>
      </w:pPr>
      <w:r>
        <w:rPr>
          <w:szCs w:val="21"/>
        </w:rPr>
        <w:t>投标人名称（盖章）：              法定代表人或授权代表签字：</w:t>
      </w:r>
    </w:p>
    <w:p>
      <w:pPr>
        <w:rPr>
          <w:szCs w:val="16"/>
        </w:rPr>
      </w:pPr>
    </w:p>
    <w:p>
      <w:pPr>
        <w:rPr>
          <w:szCs w:val="16"/>
        </w:rPr>
      </w:pPr>
      <w:r>
        <w:rPr>
          <w:b/>
          <w:szCs w:val="16"/>
        </w:rPr>
        <w:t>注：</w:t>
      </w:r>
      <w:r>
        <w:rPr>
          <w:szCs w:val="16"/>
        </w:rPr>
        <w:t>1.本表填写投标文件主要内容，以用于开标宣读。</w:t>
      </w:r>
    </w:p>
    <w:p>
      <w:pPr>
        <w:ind w:firstLine="420" w:firstLineChars="200"/>
        <w:rPr>
          <w:szCs w:val="16"/>
        </w:rPr>
      </w:pPr>
      <w:r>
        <w:rPr>
          <w:szCs w:val="16"/>
        </w:rPr>
        <w:t>2．“索引”一栏填写该主要内容对应于投标文件的“条款号/页号”。</w:t>
      </w:r>
    </w:p>
    <w:p>
      <w:pPr>
        <w:rPr>
          <w:rFonts w:eastAsia="黑体"/>
          <w:b/>
          <w:bCs/>
          <w:sz w:val="28"/>
        </w:rPr>
      </w:pPr>
    </w:p>
    <w:p>
      <w:pPr>
        <w:rPr>
          <w:rFonts w:eastAsia="黑体"/>
          <w:b/>
          <w:bCs/>
          <w:sz w:val="28"/>
        </w:rPr>
      </w:pPr>
      <w:r>
        <w:rPr>
          <w:rFonts w:hint="eastAsia" w:eastAsia="黑体"/>
          <w:b/>
          <w:bCs/>
          <w:sz w:val="28"/>
        </w:rPr>
        <w:t>格式</w:t>
      </w:r>
      <w:r>
        <w:rPr>
          <w:rFonts w:eastAsia="黑体"/>
          <w:b/>
          <w:bCs/>
          <w:sz w:val="28"/>
        </w:rPr>
        <w:t>3</w:t>
      </w:r>
    </w:p>
    <w:p>
      <w:r>
        <w:t>项目名称：</w:t>
      </w:r>
      <w:r>
        <w:rPr>
          <w:u w:val="single"/>
        </w:rPr>
        <w:t xml:space="preserve">  </w:t>
      </w:r>
      <w:r>
        <w:rPr>
          <w:rFonts w:hint="eastAsia"/>
          <w:u w:val="single"/>
          <w:lang w:val="en-US" w:eastAsia="zh-CN"/>
        </w:rPr>
        <w:t xml:space="preserve">测量体系培训招标 </w:t>
      </w:r>
    </w:p>
    <w:p>
      <w:pPr>
        <w:rPr>
          <w:szCs w:val="21"/>
        </w:rPr>
      </w:pPr>
      <w:r>
        <w:rPr>
          <w:szCs w:val="21"/>
        </w:rPr>
        <w:t>日期：  年   月   日</w:t>
      </w:r>
    </w:p>
    <w:p>
      <w:pPr>
        <w:pStyle w:val="7"/>
        <w:spacing w:line="460" w:lineRule="exact"/>
        <w:jc w:val="center"/>
        <w:rPr>
          <w:rFonts w:ascii="Times New Roman"/>
        </w:rPr>
      </w:pPr>
      <w:r>
        <w:rPr>
          <w:rFonts w:ascii="Times New Roman"/>
          <w:b/>
          <w:bCs/>
          <w:szCs w:val="32"/>
        </w:rPr>
        <w:t>开标一览表</w:t>
      </w:r>
      <w:r>
        <w:rPr>
          <w:rFonts w:ascii="Times New Roman"/>
        </w:rPr>
        <w:t xml:space="preserve">                                 </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6"/>
        <w:gridCol w:w="1171"/>
        <w:gridCol w:w="5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trPr>
        <w:tc>
          <w:tcPr>
            <w:tcW w:w="2076" w:type="dxa"/>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bCs/>
                <w:sz w:val="24"/>
              </w:rPr>
            </w:pPr>
            <w:r>
              <w:rPr>
                <w:sz w:val="24"/>
              </w:rPr>
              <w:t>投标人名称</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2076" w:type="dxa"/>
            <w:vMerge w:val="restart"/>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投标总报价</w:t>
            </w:r>
          </w:p>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（含税）</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0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sz w:val="24"/>
              </w:rPr>
            </w:pP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2076" w:type="dxa"/>
            <w:vMerge w:val="restart"/>
            <w:tcBorders>
              <w:top w:val="single" w:color="auto" w:sz="4" w:space="0"/>
              <w:left w:val="single" w:color="auto" w:sz="4" w:space="0"/>
              <w:right w:val="single" w:color="auto" w:sz="4" w:space="0"/>
            </w:tcBorders>
            <w:vAlign w:val="center"/>
          </w:tcPr>
          <w:p>
            <w:pPr>
              <w:widowControl/>
              <w:jc w:val="center"/>
              <w:rPr>
                <w:sz w:val="24"/>
              </w:rPr>
            </w:pPr>
            <w:r>
              <w:rPr>
                <w:sz w:val="24"/>
              </w:rPr>
              <w:t>不含税金额</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2076" w:type="dxa"/>
            <w:vMerge w:val="continue"/>
            <w:tcBorders>
              <w:left w:val="single" w:color="auto" w:sz="4" w:space="0"/>
              <w:bottom w:val="single" w:color="auto" w:sz="4" w:space="0"/>
              <w:right w:val="single" w:color="auto" w:sz="4" w:space="0"/>
            </w:tcBorders>
            <w:vAlign w:val="center"/>
          </w:tcPr>
          <w:p>
            <w:pPr>
              <w:widowControl/>
              <w:jc w:val="left"/>
              <w:rPr>
                <w:rFonts w:eastAsia="微软雅黑"/>
                <w:color w:val="000000"/>
                <w:sz w:val="22"/>
                <w:szCs w:val="22"/>
                <w:shd w:val="clear" w:color="auto" w:fill="FCFCFC"/>
              </w:rPr>
            </w:pP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r>
              <w:rPr>
                <w:bCs/>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2076" w:type="dxa"/>
            <w:tcBorders>
              <w:left w:val="single" w:color="auto" w:sz="4" w:space="0"/>
              <w:bottom w:val="single" w:color="auto" w:sz="4" w:space="0"/>
              <w:right w:val="single" w:color="auto" w:sz="4" w:space="0"/>
            </w:tcBorders>
            <w:vAlign w:val="center"/>
          </w:tcPr>
          <w:p>
            <w:pPr>
              <w:widowControl/>
              <w:jc w:val="center"/>
              <w:rPr>
                <w:rFonts w:eastAsia="微软雅黑"/>
                <w:color w:val="000000"/>
                <w:sz w:val="22"/>
                <w:szCs w:val="22"/>
                <w:shd w:val="clear" w:color="auto" w:fill="FCFCFC"/>
              </w:rPr>
            </w:pPr>
            <w:r>
              <w:rPr>
                <w:rFonts w:eastAsia="微软雅黑"/>
                <w:color w:val="000000"/>
                <w:sz w:val="22"/>
                <w:szCs w:val="22"/>
                <w:shd w:val="clear" w:color="auto" w:fill="FCFCFC"/>
              </w:rPr>
              <w:t>税率：</w:t>
            </w:r>
          </w:p>
        </w:tc>
        <w:tc>
          <w:tcPr>
            <w:tcW w:w="6930"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247" w:type="dxa"/>
            <w:gridSpan w:val="2"/>
            <w:tcBorders>
              <w:top w:val="single" w:color="auto" w:sz="4" w:space="0"/>
              <w:left w:val="single" w:color="auto" w:sz="4" w:space="0"/>
              <w:bottom w:val="single" w:color="auto" w:sz="4" w:space="0"/>
              <w:right w:val="single" w:color="auto" w:sz="4" w:space="0"/>
            </w:tcBorders>
            <w:vAlign w:val="center"/>
          </w:tcPr>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对招标文件的响应程度</w:t>
            </w:r>
          </w:p>
          <w:p>
            <w:pPr>
              <w:tabs>
                <w:tab w:val="left" w:pos="0"/>
                <w:tab w:val="left" w:pos="720"/>
                <w:tab w:val="left" w:pos="1440"/>
                <w:tab w:val="left" w:pos="2160"/>
                <w:tab w:val="left" w:pos="2880"/>
                <w:tab w:val="left" w:pos="3600"/>
                <w:tab w:val="left" w:pos="4320"/>
              </w:tabs>
              <w:autoSpaceDE w:val="0"/>
              <w:autoSpaceDN w:val="0"/>
              <w:adjustRightInd w:val="0"/>
              <w:spacing w:line="480" w:lineRule="exact"/>
              <w:jc w:val="center"/>
              <w:rPr>
                <w:sz w:val="24"/>
              </w:rPr>
            </w:pPr>
            <w:r>
              <w:rPr>
                <w:sz w:val="24"/>
              </w:rPr>
              <w:t>（是否完全响应）</w:t>
            </w:r>
          </w:p>
        </w:tc>
        <w:tc>
          <w:tcPr>
            <w:tcW w:w="5759" w:type="dxa"/>
            <w:tcBorders>
              <w:top w:val="single" w:color="auto" w:sz="4" w:space="0"/>
              <w:left w:val="single" w:color="auto" w:sz="4" w:space="0"/>
              <w:bottom w:val="single" w:color="auto" w:sz="4" w:space="0"/>
              <w:right w:val="single" w:color="auto" w:sz="4" w:space="0"/>
            </w:tcBorders>
          </w:tcPr>
          <w:p>
            <w:pPr>
              <w:tabs>
                <w:tab w:val="left" w:pos="0"/>
                <w:tab w:val="left" w:pos="720"/>
                <w:tab w:val="left" w:pos="1440"/>
                <w:tab w:val="left" w:pos="2160"/>
                <w:tab w:val="left" w:pos="2880"/>
                <w:tab w:val="left" w:pos="3600"/>
                <w:tab w:val="left" w:pos="4320"/>
              </w:tabs>
              <w:autoSpaceDE w:val="0"/>
              <w:autoSpaceDN w:val="0"/>
              <w:adjustRightInd w:val="0"/>
              <w:spacing w:line="480" w:lineRule="exact"/>
              <w:rPr>
                <w:bCs/>
                <w:sz w:val="24"/>
              </w:rPr>
            </w:pPr>
          </w:p>
        </w:tc>
      </w:tr>
    </w:tbl>
    <w:p>
      <w:pPr>
        <w:spacing w:line="400" w:lineRule="exact"/>
      </w:pPr>
      <w:r>
        <w:rPr>
          <w:b/>
          <w:bCs/>
        </w:rPr>
        <w:t>注：</w:t>
      </w:r>
    </w:p>
    <w:p>
      <w:pPr>
        <w:spacing w:line="520" w:lineRule="exact"/>
        <w:rPr>
          <w:b/>
          <w:bCs/>
        </w:rPr>
      </w:pPr>
      <w:r>
        <w:rPr>
          <w:b/>
          <w:bCs/>
        </w:rPr>
        <w:t>1、此表中的报价必须与相应的报价明细表中的报价一致。</w:t>
      </w:r>
    </w:p>
    <w:p>
      <w:pPr>
        <w:spacing w:line="300" w:lineRule="auto"/>
        <w:rPr>
          <w:b/>
          <w:bCs/>
        </w:rPr>
      </w:pPr>
      <w:r>
        <w:rPr>
          <w:b/>
          <w:bCs/>
        </w:rPr>
        <w:t>2、本表除附在投标文件中外，还应一式贰份单独密封，以便唱标。</w:t>
      </w:r>
    </w:p>
    <w:p>
      <w:pPr>
        <w:spacing w:line="660" w:lineRule="exact"/>
        <w:rPr>
          <w:sz w:val="24"/>
        </w:rPr>
      </w:pPr>
      <w:r>
        <w:rPr>
          <w:sz w:val="24"/>
        </w:rPr>
        <w:t>投标人：（盖章）</w:t>
      </w:r>
    </w:p>
    <w:p>
      <w:pPr>
        <w:spacing w:line="660" w:lineRule="exact"/>
        <w:rPr>
          <w:sz w:val="24"/>
        </w:rPr>
      </w:pPr>
      <w:r>
        <w:rPr>
          <w:sz w:val="24"/>
        </w:rPr>
        <w:t>法定代表人（授权代表）：（签字）</w:t>
      </w:r>
    </w:p>
    <w:p>
      <w:pPr>
        <w:jc w:val="center"/>
        <w:rPr>
          <w:rFonts w:ascii="宋体"/>
          <w:b/>
          <w:color w:val="0000FF"/>
          <w:sz w:val="32"/>
          <w:szCs w:val="32"/>
        </w:rPr>
      </w:pP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pacing w:line="360" w:lineRule="auto"/>
        <w:rPr>
          <w:rFonts w:eastAsia="黑体"/>
          <w:b/>
          <w:bCs/>
          <w:sz w:val="28"/>
        </w:rPr>
      </w:pPr>
      <w:r>
        <w:rPr>
          <w:rFonts w:hint="eastAsia" w:eastAsia="黑体"/>
          <w:b/>
          <w:bCs/>
          <w:sz w:val="28"/>
        </w:rPr>
        <w:t>格式</w:t>
      </w:r>
      <w:r>
        <w:rPr>
          <w:rFonts w:eastAsia="黑体"/>
          <w:b/>
          <w:bCs/>
          <w:sz w:val="28"/>
        </w:rPr>
        <w:t>4</w:t>
      </w:r>
    </w:p>
    <w:p>
      <w:pPr>
        <w:pStyle w:val="7"/>
        <w:spacing w:line="460" w:lineRule="exact"/>
        <w:jc w:val="center"/>
        <w:rPr>
          <w:rFonts w:ascii="Times New Roman"/>
          <w:b/>
          <w:bCs/>
          <w:szCs w:val="32"/>
        </w:rPr>
      </w:pPr>
      <w:r>
        <w:rPr>
          <w:rFonts w:ascii="Times New Roman"/>
          <w:b/>
          <w:bCs/>
          <w:szCs w:val="32"/>
        </w:rPr>
        <w:t>投标分项报价表</w:t>
      </w:r>
    </w:p>
    <w:p>
      <w:pPr>
        <w:spacing w:line="520" w:lineRule="exact"/>
        <w:rPr>
          <w:sz w:val="24"/>
          <w:u w:val="single"/>
        </w:rPr>
      </w:pPr>
      <w:r>
        <w:rPr>
          <w:sz w:val="24"/>
        </w:rPr>
        <w:t>项目名称：</w:t>
      </w:r>
      <w:r>
        <w:rPr>
          <w:sz w:val="24"/>
          <w:u w:val="single"/>
        </w:rPr>
        <w:t xml:space="preserve">  </w:t>
      </w:r>
      <w:r>
        <w:rPr>
          <w:sz w:val="28"/>
          <w:szCs w:val="28"/>
          <w:u w:val="single"/>
        </w:rPr>
        <w:t xml:space="preserve"> </w:t>
      </w:r>
      <w:r>
        <w:rPr>
          <w:rFonts w:hint="eastAsia"/>
          <w:sz w:val="24"/>
          <w:szCs w:val="24"/>
          <w:u w:val="single"/>
          <w:lang w:val="en-US" w:eastAsia="zh-CN"/>
        </w:rPr>
        <w:t xml:space="preserve">测量体系培训招标 </w:t>
      </w:r>
      <w:r>
        <w:rPr>
          <w:sz w:val="24"/>
          <w:szCs w:val="24"/>
          <w:u w:val="single"/>
        </w:rPr>
        <w:t xml:space="preserve">    </w:t>
      </w:r>
      <w:r>
        <w:rPr>
          <w:sz w:val="24"/>
        </w:rPr>
        <w:t xml:space="preserve">       </w:t>
      </w:r>
    </w:p>
    <w:tbl>
      <w:tblPr>
        <w:tblStyle w:val="19"/>
        <w:tblW w:w="10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370"/>
        <w:gridCol w:w="5061"/>
        <w:gridCol w:w="1209"/>
        <w:gridCol w:w="1142"/>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79"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1370"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项目</w:t>
            </w:r>
          </w:p>
        </w:tc>
        <w:tc>
          <w:tcPr>
            <w:tcW w:w="5061"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工    作    内    容</w:t>
            </w:r>
          </w:p>
        </w:tc>
        <w:tc>
          <w:tcPr>
            <w:tcW w:w="1209"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指导方式</w:t>
            </w:r>
          </w:p>
        </w:tc>
        <w:tc>
          <w:tcPr>
            <w:tcW w:w="1142" w:type="dxa"/>
            <w:noWrap w:val="0"/>
            <w:vAlign w:val="center"/>
          </w:tcPr>
          <w:p>
            <w:pPr>
              <w:numPr>
                <w:ilvl w:val="0"/>
                <w:numId w:val="0"/>
              </w:numPr>
              <w:spacing w:line="240" w:lineRule="auto"/>
              <w:ind w:leftChars="0"/>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预计用时（天）</w:t>
            </w:r>
          </w:p>
        </w:tc>
        <w:tc>
          <w:tcPr>
            <w:tcW w:w="1142" w:type="dxa"/>
            <w:noWrap w:val="0"/>
            <w:vAlign w:val="center"/>
          </w:tcPr>
          <w:p>
            <w:pPr>
              <w:numPr>
                <w:ilvl w:val="0"/>
                <w:numId w:val="0"/>
              </w:numPr>
              <w:spacing w:line="240" w:lineRule="auto"/>
              <w:ind w:leftChars="0"/>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分项报价（元）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7" w:hRule="exact"/>
          <w:jc w:val="center"/>
        </w:trPr>
        <w:tc>
          <w:tcPr>
            <w:tcW w:w="779" w:type="dxa"/>
            <w:noWrap w:val="0"/>
            <w:vAlign w:val="center"/>
          </w:tcPr>
          <w:p>
            <w:pPr>
              <w:numPr>
                <w:ilvl w:val="0"/>
                <w:numId w:val="0"/>
              </w:numPr>
              <w:spacing w:line="240" w:lineRule="auto"/>
              <w:ind w:leftChars="0"/>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1</w:t>
            </w:r>
          </w:p>
        </w:tc>
        <w:tc>
          <w:tcPr>
            <w:tcW w:w="1370" w:type="dxa"/>
            <w:shd w:val="clear" w:color="auto" w:fill="auto"/>
            <w:noWrap w:val="0"/>
            <w:vAlign w:val="center"/>
          </w:tcPr>
          <w:p>
            <w:pPr>
              <w:numPr>
                <w:ilvl w:val="0"/>
                <w:numId w:val="0"/>
              </w:numPr>
              <w:spacing w:line="240" w:lineRule="auto"/>
              <w:ind w:leftChars="0"/>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测量体系培训及标准宣贯</w:t>
            </w:r>
          </w:p>
        </w:tc>
        <w:tc>
          <w:tcPr>
            <w:tcW w:w="5061" w:type="dxa"/>
            <w:noWrap w:val="0"/>
            <w:vAlign w:val="center"/>
          </w:tcPr>
          <w:p>
            <w:pPr>
              <w:numPr>
                <w:ilvl w:val="0"/>
                <w:numId w:val="0"/>
              </w:numPr>
              <w:spacing w:line="240" w:lineRule="auto"/>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测量体系培训课程按照“战略-管理-执行”三级穿透式设计，分别面向高层领导、分管质量中层、操作人员三个层级组织实施：</w:t>
            </w:r>
          </w:p>
          <w:p>
            <w:pPr>
              <w:numPr>
                <w:ilvl w:val="0"/>
                <w:numId w:val="5"/>
              </w:numPr>
              <w:spacing w:line="240" w:lineRule="auto"/>
              <w:ind w:leftChars="0"/>
              <w:jc w:val="left"/>
              <w:rPr>
                <w:rFonts w:hint="eastAsia" w:ascii="仿宋_GB2312" w:hAnsi="仿宋_GB2312" w:eastAsia="仿宋_GB2312" w:cs="仿宋_GB2312"/>
                <w:b/>
                <w:bCs/>
                <w:kern w:val="2"/>
                <w:sz w:val="21"/>
                <w:szCs w:val="24"/>
                <w:lang w:val="en-US" w:eastAsia="zh-CN" w:bidi="ar-SA"/>
              </w:rPr>
            </w:pPr>
            <w:r>
              <w:rPr>
                <w:rFonts w:hint="eastAsia" w:ascii="仿宋_GB2312" w:hAnsi="仿宋_GB2312" w:eastAsia="仿宋_GB2312" w:cs="仿宋_GB2312"/>
                <w:b/>
                <w:bCs/>
                <w:kern w:val="2"/>
                <w:sz w:val="21"/>
                <w:szCs w:val="24"/>
                <w:lang w:val="en-US" w:eastAsia="zh-CN" w:bidi="ar-SA"/>
              </w:rPr>
              <w:t>高层专项培训</w:t>
            </w:r>
          </w:p>
          <w:p>
            <w:pPr>
              <w:numPr>
                <w:ilvl w:val="0"/>
                <w:numId w:val="0"/>
              </w:numPr>
              <w:spacing w:line="240" w:lineRule="auto"/>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计划1-</w:t>
            </w:r>
            <w:r>
              <w:rPr>
                <w:rFonts w:hint="default" w:ascii="仿宋_GB2312" w:hAnsi="仿宋_GB2312" w:eastAsia="仿宋_GB2312" w:cs="仿宋_GB2312"/>
                <w:lang w:val="en-US" w:eastAsia="zh-CN"/>
              </w:rPr>
              <w:t>2课时</w:t>
            </w:r>
            <w:r>
              <w:rPr>
                <w:rFonts w:hint="eastAsia" w:ascii="仿宋_GB2312" w:hAnsi="仿宋_GB2312" w:eastAsia="仿宋_GB2312" w:cs="仿宋_GB2312"/>
                <w:lang w:val="en-US" w:eastAsia="zh-CN"/>
              </w:rPr>
              <w:t>，</w:t>
            </w:r>
            <w:r>
              <w:rPr>
                <w:rFonts w:hint="default" w:ascii="仿宋_GB2312" w:hAnsi="仿宋_GB2312" w:eastAsia="仿宋_GB2312" w:cs="仿宋_GB2312"/>
                <w:lang w:val="en-US" w:eastAsia="zh-CN"/>
              </w:rPr>
              <w:t>针对管理者代表及相关管理层进行</w:t>
            </w:r>
            <w:r>
              <w:rPr>
                <w:rFonts w:hint="eastAsia" w:ascii="仿宋_GB2312" w:hAnsi="仿宋_GB2312" w:eastAsia="仿宋_GB2312" w:cs="仿宋_GB2312"/>
                <w:kern w:val="2"/>
                <w:sz w:val="21"/>
                <w:szCs w:val="24"/>
                <w:lang w:val="en-US" w:eastAsia="zh-CN" w:bidi="ar-SA"/>
              </w:rPr>
              <w:t>概念性培训</w:t>
            </w:r>
            <w:r>
              <w:rPr>
                <w:rFonts w:hint="default" w:ascii="仿宋_GB2312" w:hAnsi="仿宋_GB2312" w:eastAsia="仿宋_GB2312" w:cs="仿宋_GB2312"/>
                <w:lang w:val="en-US" w:eastAsia="zh-CN"/>
              </w:rPr>
              <w:t>《计量在汽车质量管控中的战略意义》</w:t>
            </w:r>
            <w:r>
              <w:rPr>
                <w:rFonts w:hint="eastAsia" w:ascii="仿宋_GB2312" w:hAnsi="仿宋_GB2312" w:eastAsia="仿宋_GB2312" w:cs="仿宋_GB2312"/>
                <w:lang w:val="en-US" w:eastAsia="zh-CN"/>
              </w:rPr>
              <w:t>。</w:t>
            </w:r>
          </w:p>
          <w:p>
            <w:pPr>
              <w:numPr>
                <w:ilvl w:val="0"/>
                <w:numId w:val="5"/>
              </w:numPr>
              <w:spacing w:line="240" w:lineRule="auto"/>
              <w:ind w:left="0" w:leftChars="0" w:firstLine="0" w:firstLineChars="0"/>
              <w:jc w:val="left"/>
              <w:rPr>
                <w:rFonts w:hint="eastAsia" w:ascii="仿宋_GB2312" w:hAnsi="仿宋_GB2312" w:eastAsia="仿宋_GB2312" w:cs="仿宋_GB2312"/>
                <w:b/>
                <w:bCs/>
                <w:kern w:val="2"/>
                <w:sz w:val="21"/>
                <w:szCs w:val="24"/>
                <w:lang w:val="en-US" w:eastAsia="zh-CN" w:bidi="ar-SA"/>
              </w:rPr>
            </w:pPr>
            <w:r>
              <w:rPr>
                <w:rFonts w:hint="eastAsia" w:ascii="仿宋_GB2312" w:hAnsi="仿宋_GB2312" w:eastAsia="仿宋_GB2312" w:cs="仿宋_GB2312"/>
                <w:b/>
                <w:bCs/>
                <w:kern w:val="2"/>
                <w:sz w:val="21"/>
                <w:szCs w:val="24"/>
                <w:lang w:val="en-US" w:eastAsia="zh-CN" w:bidi="ar-SA"/>
              </w:rPr>
              <w:t>分管质量的中层领导系统培训</w:t>
            </w:r>
          </w:p>
          <w:p>
            <w:pPr>
              <w:numPr>
                <w:ilvl w:val="0"/>
                <w:numId w:val="0"/>
              </w:numPr>
              <w:spacing w:line="240" w:lineRule="auto"/>
              <w:ind w:leftChars="0"/>
              <w:jc w:val="left"/>
              <w:rPr>
                <w:rFonts w:hint="default"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计划1天，针对分管质量的中层领导开展《测量过程控制与体系有效运行的实战管理》培训，内容涉及：</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模块一：法规与标准解读</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模块二：测量过程的策划与控制</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模块三：体系文件编制与审核技能</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模块四：问题分析与持续改进</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模块五：MSA及Cg/Cgk实战应用</w:t>
            </w:r>
          </w:p>
          <w:p>
            <w:pPr>
              <w:numPr>
                <w:ilvl w:val="0"/>
                <w:numId w:val="5"/>
              </w:numPr>
              <w:spacing w:line="240" w:lineRule="auto"/>
              <w:ind w:left="0" w:leftChars="0" w:firstLine="0" w:firstLineChars="0"/>
              <w:jc w:val="left"/>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操作人员实操类培训：</w:t>
            </w:r>
          </w:p>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计划2天，针对</w:t>
            </w:r>
            <w:r>
              <w:rPr>
                <w:rFonts w:hint="default" w:ascii="仿宋_GB2312" w:hAnsi="仿宋_GB2312" w:eastAsia="仿宋_GB2312" w:cs="仿宋_GB2312"/>
                <w:lang w:val="en-US" w:eastAsia="zh-CN"/>
              </w:rPr>
              <w:t>具体操作人员（检验员、校准员、一线操作工）</w:t>
            </w:r>
            <w:r>
              <w:rPr>
                <w:rFonts w:hint="eastAsia" w:ascii="仿宋_GB2312" w:hAnsi="仿宋_GB2312" w:eastAsia="仿宋_GB2312" w:cs="仿宋_GB2312"/>
                <w:lang w:val="en-US" w:eastAsia="zh-CN"/>
              </w:rPr>
              <w:t>开展</w:t>
            </w:r>
            <w:r>
              <w:rPr>
                <w:rFonts w:hint="default" w:ascii="仿宋_GB2312" w:hAnsi="仿宋_GB2312" w:eastAsia="仿宋_GB2312" w:cs="仿宋_GB2312"/>
                <w:lang w:val="en-US" w:eastAsia="zh-CN"/>
              </w:rPr>
              <w:t>《测量设备规范操作与日常维护》</w:t>
            </w:r>
            <w:r>
              <w:rPr>
                <w:rFonts w:hint="eastAsia" w:ascii="仿宋_GB2312" w:hAnsi="仿宋_GB2312" w:eastAsia="仿宋_GB2312" w:cs="仿宋_GB2312"/>
                <w:lang w:val="en-US" w:eastAsia="zh-CN"/>
              </w:rPr>
              <w:t>培训，内容涉及：</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模块一：基础知识</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模块二：规范操作</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模块三：日常维护与异常处置</w:t>
            </w:r>
          </w:p>
          <w:p>
            <w:pPr>
              <w:numPr>
                <w:ilvl w:val="0"/>
                <w:numId w:val="0"/>
              </w:numPr>
              <w:spacing w:line="240" w:lineRule="auto"/>
              <w:ind w:leftChars="0"/>
              <w:jc w:val="left"/>
              <w:rPr>
                <w:rFonts w:hint="default" w:ascii="仿宋_GB2312" w:hAnsi="仿宋_GB2312" w:eastAsia="仿宋_GB2312" w:cs="仿宋_GB2312"/>
                <w:lang w:val="en-US" w:eastAsia="zh-CN"/>
              </w:rPr>
            </w:pPr>
            <w:r>
              <w:rPr>
                <w:rFonts w:hint="default" w:ascii="仿宋_GB2312" w:hAnsi="仿宋_GB2312" w:eastAsia="仿宋_GB2312" w:cs="仿宋_GB2312"/>
                <w:lang w:val="en-US" w:eastAsia="zh-CN"/>
              </w:rPr>
              <w:t>模块四：实操考核</w:t>
            </w:r>
          </w:p>
          <w:p>
            <w:pPr>
              <w:numPr>
                <w:ilvl w:val="0"/>
                <w:numId w:val="0"/>
              </w:numPr>
              <w:spacing w:line="240" w:lineRule="auto"/>
              <w:ind w:leftChars="0"/>
              <w:jc w:val="left"/>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4、测量体系内审员</w:t>
            </w:r>
            <w:r>
              <w:rPr>
                <w:rFonts w:hint="default" w:ascii="仿宋_GB2312" w:hAnsi="仿宋_GB2312" w:eastAsia="仿宋_GB2312" w:cs="仿宋_GB2312"/>
                <w:b/>
                <w:bCs/>
                <w:lang w:val="en-US" w:eastAsia="zh-CN"/>
              </w:rPr>
              <w:t>专项培训</w:t>
            </w:r>
            <w:r>
              <w:rPr>
                <w:rFonts w:hint="eastAsia" w:ascii="仿宋_GB2312" w:hAnsi="仿宋_GB2312" w:eastAsia="仿宋_GB2312" w:cs="仿宋_GB2312"/>
                <w:b/>
                <w:bCs/>
                <w:kern w:val="2"/>
                <w:sz w:val="21"/>
                <w:szCs w:val="24"/>
                <w:lang w:val="en-US" w:eastAsia="zh-CN" w:bidi="ar-SA"/>
              </w:rPr>
              <w:t>（不少于20人）</w:t>
            </w:r>
          </w:p>
          <w:p>
            <w:pPr>
              <w:numPr>
                <w:ilvl w:val="0"/>
                <w:numId w:val="0"/>
              </w:numPr>
              <w:spacing w:line="240" w:lineRule="auto"/>
              <w:ind w:leftChars="0"/>
              <w:jc w:val="left"/>
              <w:rPr>
                <w:rFonts w:hint="default"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计</w:t>
            </w:r>
            <w:r>
              <w:rPr>
                <w:rFonts w:hint="eastAsia" w:ascii="仿宋_GB2312" w:hAnsi="仿宋_GB2312" w:eastAsia="仿宋_GB2312" w:cs="仿宋_GB2312"/>
                <w:kern w:val="2"/>
                <w:sz w:val="21"/>
                <w:szCs w:val="24"/>
                <w:lang w:val="en-US" w:eastAsia="zh-CN" w:bidi="ar-SA"/>
              </w:rPr>
              <w:t>划1.5天，针对选拔的内审员候选人（以管理层为主）开展《测量管理体系内审员资格认证培训》，内容涉及：</w:t>
            </w:r>
          </w:p>
          <w:p>
            <w:pPr>
              <w:numPr>
                <w:ilvl w:val="0"/>
                <w:numId w:val="6"/>
              </w:numPr>
              <w:spacing w:line="240" w:lineRule="auto"/>
              <w:ind w:leftChars="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ISO 10012-2026、GB/T19022、GB17167、相关法律法规、测量管理体系手册等标准深度解读（要求按ISO 10012最新版培训搭建测量体系）</w:t>
            </w:r>
          </w:p>
          <w:p>
            <w:pPr>
              <w:numPr>
                <w:ilvl w:val="0"/>
                <w:numId w:val="6"/>
              </w:numPr>
              <w:spacing w:line="240" w:lineRule="auto"/>
              <w:ind w:leftChars="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审核策划与检查表编制</w:t>
            </w:r>
          </w:p>
          <w:p>
            <w:pPr>
              <w:numPr>
                <w:ilvl w:val="0"/>
                <w:numId w:val="0"/>
              </w:numPr>
              <w:spacing w:line="240" w:lineRule="auto"/>
              <w:ind w:leftChars="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3） 现场审核技巧（提问、取证、记录）</w:t>
            </w:r>
          </w:p>
          <w:p>
            <w:pPr>
              <w:numPr>
                <w:ilvl w:val="0"/>
                <w:numId w:val="0"/>
              </w:numPr>
              <w:spacing w:line="240" w:lineRule="auto"/>
              <w:ind w:leftChars="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4）不符合项判定与报告编写</w:t>
            </w:r>
          </w:p>
          <w:p>
            <w:pPr>
              <w:numPr>
                <w:ilvl w:val="0"/>
                <w:numId w:val="0"/>
              </w:numPr>
              <w:spacing w:line="240" w:lineRule="auto"/>
              <w:ind w:leftChars="0"/>
              <w:jc w:val="left"/>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kern w:val="2"/>
                <w:sz w:val="21"/>
                <w:szCs w:val="24"/>
                <w:lang w:val="en-US" w:eastAsia="zh-CN" w:bidi="ar-SA"/>
              </w:rPr>
              <w:t>5）审核后续跟踪与验证</w:t>
            </w:r>
          </w:p>
          <w:p>
            <w:pPr>
              <w:numPr>
                <w:ilvl w:val="0"/>
                <w:numId w:val="0"/>
              </w:numPr>
              <w:spacing w:line="240" w:lineRule="auto"/>
              <w:ind w:leftChars="0"/>
              <w:jc w:val="left"/>
              <w:rPr>
                <w:rFonts w:hint="eastAsia" w:ascii="仿宋_GB2312" w:hAnsi="仿宋_GB2312" w:eastAsia="仿宋_GB2312" w:cs="仿宋_GB2312"/>
                <w:lang w:val="en-US" w:eastAsia="zh-CN"/>
              </w:rPr>
            </w:pPr>
            <w:r>
              <w:rPr>
                <w:rFonts w:hint="eastAsia" w:ascii="仿宋_GB2312" w:hAnsi="仿宋_GB2312" w:eastAsia="仿宋_GB2312" w:cs="仿宋_GB2312"/>
                <w:kern w:val="2"/>
                <w:sz w:val="21"/>
                <w:szCs w:val="24"/>
                <w:lang w:val="en-US" w:eastAsia="zh-CN" w:bidi="ar-SA"/>
              </w:rPr>
              <w:t>6）模拟审核演练+取证考试</w:t>
            </w:r>
          </w:p>
        </w:tc>
        <w:tc>
          <w:tcPr>
            <w:tcW w:w="1209" w:type="dxa"/>
            <w:shd w:val="clear" w:color="auto" w:fill="auto"/>
            <w:noWrap w:val="0"/>
            <w:vAlign w:val="center"/>
          </w:tcPr>
          <w:p>
            <w:pPr>
              <w:numPr>
                <w:ilvl w:val="0"/>
                <w:numId w:val="0"/>
              </w:numPr>
              <w:spacing w:line="240" w:lineRule="auto"/>
              <w:ind w:left="0" w:leftChars="0" w:firstLine="0" w:firstLineChars="0"/>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lang w:val="en-US" w:eastAsia="zh-CN"/>
              </w:rPr>
              <w:t>现场</w:t>
            </w:r>
          </w:p>
        </w:tc>
        <w:tc>
          <w:tcPr>
            <w:tcW w:w="1142" w:type="dxa"/>
            <w:shd w:val="clear" w:color="auto" w:fill="auto"/>
            <w:noWrap w:val="0"/>
            <w:vAlign w:val="center"/>
          </w:tcPr>
          <w:p>
            <w:pPr>
              <w:numPr>
                <w:ilvl w:val="0"/>
                <w:numId w:val="0"/>
              </w:numPr>
              <w:spacing w:line="240" w:lineRule="auto"/>
              <w:ind w:left="0" w:leftChars="0" w:firstLine="0" w:firstLineChars="0"/>
              <w:jc w:val="center"/>
              <w:rPr>
                <w:rFonts w:hint="eastAsia" w:ascii="仿宋_GB2312" w:hAnsi="仿宋_GB2312" w:eastAsia="仿宋_GB2312" w:cs="仿宋_GB2312"/>
                <w:kern w:val="2"/>
                <w:sz w:val="21"/>
                <w:szCs w:val="24"/>
                <w:lang w:val="en-US" w:eastAsia="zh-CN" w:bidi="ar-SA"/>
              </w:rPr>
            </w:pPr>
            <w:r>
              <w:rPr>
                <w:rFonts w:hint="eastAsia" w:ascii="仿宋_GB2312" w:hAnsi="仿宋_GB2312" w:eastAsia="仿宋_GB2312" w:cs="仿宋_GB2312"/>
                <w:color w:val="000000" w:themeColor="text1"/>
                <w:lang w:val="en-US" w:eastAsia="zh-CN"/>
                <w14:textFill>
                  <w14:solidFill>
                    <w14:schemeClr w14:val="tx1"/>
                  </w14:solidFill>
                </w14:textFill>
              </w:rPr>
              <w:t>5</w:t>
            </w:r>
          </w:p>
        </w:tc>
        <w:tc>
          <w:tcPr>
            <w:tcW w:w="1142" w:type="dxa"/>
            <w:shd w:val="clear" w:color="auto" w:fill="auto"/>
            <w:noWrap w:val="0"/>
            <w:vAlign w:val="center"/>
          </w:tcPr>
          <w:p>
            <w:pPr>
              <w:numPr>
                <w:ilvl w:val="0"/>
                <w:numId w:val="0"/>
              </w:numPr>
              <w:spacing w:line="240" w:lineRule="auto"/>
              <w:ind w:left="0" w:leftChars="0" w:firstLine="0" w:firstLineChars="0"/>
              <w:jc w:val="center"/>
              <w:rPr>
                <w:rFonts w:hint="eastAsia" w:ascii="仿宋_GB2312" w:hAnsi="仿宋_GB2312" w:eastAsia="仿宋_GB2312" w:cs="仿宋_GB231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77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w:t>
            </w:r>
          </w:p>
        </w:tc>
        <w:tc>
          <w:tcPr>
            <w:tcW w:w="1370"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取证</w:t>
            </w:r>
          </w:p>
        </w:tc>
        <w:tc>
          <w:tcPr>
            <w:tcW w:w="5061" w:type="dxa"/>
            <w:noWrap w:val="0"/>
            <w:vAlign w:val="center"/>
          </w:tcPr>
          <w:p>
            <w:pPr>
              <w:numPr>
                <w:ilvl w:val="0"/>
                <w:numId w:val="0"/>
              </w:numPr>
              <w:spacing w:line="240" w:lineRule="auto"/>
              <w:ind w:leftChars="0"/>
              <w:jc w:val="left"/>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配合甲方完成测量管理体系AAA认证证书取证</w:t>
            </w:r>
          </w:p>
        </w:tc>
        <w:tc>
          <w:tcPr>
            <w:tcW w:w="1209"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w:t>
            </w:r>
          </w:p>
        </w:tc>
        <w:tc>
          <w:tcPr>
            <w:tcW w:w="1142" w:type="dxa"/>
            <w:noWrap w:val="0"/>
            <w:vAlign w:val="center"/>
          </w:tcPr>
          <w:p>
            <w:pPr>
              <w:numPr>
                <w:ilvl w:val="0"/>
                <w:numId w:val="0"/>
              </w:numPr>
              <w:spacing w:line="240" w:lineRule="auto"/>
              <w:ind w:leftChars="0"/>
              <w:jc w:val="center"/>
              <w:rPr>
                <w:rFonts w:hint="eastAsia" w:ascii="仿宋_GB2312" w:hAnsi="仿宋_GB2312" w:eastAsia="仿宋_GB2312" w:cs="仿宋_GB2312"/>
                <w:lang w:val="en-US" w:eastAsia="zh-CN"/>
              </w:rPr>
            </w:pPr>
          </w:p>
        </w:tc>
      </w:tr>
    </w:tbl>
    <w:p>
      <w:pPr>
        <w:rPr>
          <w:b/>
          <w:sz w:val="24"/>
        </w:rPr>
      </w:pPr>
      <w:r>
        <w:rPr>
          <w:b/>
          <w:sz w:val="24"/>
        </w:rPr>
        <w:t>注：</w:t>
      </w:r>
    </w:p>
    <w:p>
      <w:pPr>
        <w:numPr>
          <w:ilvl w:val="0"/>
          <w:numId w:val="7"/>
        </w:numPr>
        <w:ind w:left="990" w:leftChars="0" w:firstLineChars="0"/>
        <w:rPr>
          <w:sz w:val="24"/>
        </w:rPr>
      </w:pPr>
      <w:r>
        <w:rPr>
          <w:sz w:val="24"/>
        </w:rPr>
        <w:t>如上表中的有关费用投标人免费提供，请注明“免费”字样。</w:t>
      </w:r>
    </w:p>
    <w:p>
      <w:pPr>
        <w:spacing w:line="660" w:lineRule="exact"/>
        <w:rPr>
          <w:sz w:val="24"/>
        </w:rPr>
      </w:pPr>
      <w:r>
        <w:rPr>
          <w:sz w:val="24"/>
        </w:rPr>
        <w:t>投标人：（盖章）</w:t>
      </w:r>
    </w:p>
    <w:p>
      <w:pPr>
        <w:spacing w:line="660" w:lineRule="exact"/>
        <w:rPr>
          <w:sz w:val="24"/>
        </w:rPr>
      </w:pPr>
      <w:r>
        <w:rPr>
          <w:sz w:val="24"/>
        </w:rPr>
        <w:t>法定代表人（授权代表）：（签字）</w:t>
      </w:r>
    </w:p>
    <w:p>
      <w:pPr>
        <w:spacing w:line="660" w:lineRule="exact"/>
        <w:rPr>
          <w:sz w:val="24"/>
        </w:rPr>
      </w:pP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rPr>
          <w:rFonts w:eastAsia="黑体"/>
          <w:b/>
          <w:bCs/>
          <w:sz w:val="28"/>
        </w:rPr>
      </w:pPr>
      <w:r>
        <w:rPr>
          <w:rFonts w:hint="eastAsia"/>
          <w:sz w:val="24"/>
        </w:rPr>
        <w:t>投标人名称（盖章）：</w:t>
      </w:r>
      <w:r>
        <w:rPr>
          <w:rFonts w:ascii="仿宋_GB2312" w:hAnsi="宋体" w:eastAsia="仿宋_GB2312"/>
          <w:sz w:val="24"/>
        </w:rPr>
        <w:t xml:space="preserve">              </w:t>
      </w:r>
      <w:r>
        <w:rPr>
          <w:rFonts w:hint="eastAsia"/>
          <w:sz w:val="24"/>
        </w:rPr>
        <w:t>法定代表人或授权代表签字：</w:t>
      </w:r>
    </w:p>
    <w:p>
      <w:pPr>
        <w:rPr>
          <w:rFonts w:eastAsia="黑体"/>
          <w:b/>
          <w:bCs/>
          <w:sz w:val="28"/>
        </w:rPr>
      </w:pPr>
      <w:r>
        <w:rPr>
          <w:rFonts w:eastAsia="黑体"/>
          <w:b/>
          <w:bCs/>
          <w:sz w:val="28"/>
        </w:rPr>
        <w:t>格式5</w:t>
      </w:r>
    </w:p>
    <w:p>
      <w:r>
        <w:t>项目名称：</w:t>
      </w:r>
      <w:r>
        <w:rPr>
          <w:u w:val="single"/>
        </w:rPr>
        <w:t xml:space="preserve"> </w:t>
      </w:r>
      <w:r>
        <w:rPr>
          <w:rFonts w:hint="eastAsia"/>
          <w:u w:val="single"/>
          <w:lang w:val="en-US" w:eastAsia="zh-CN"/>
        </w:rPr>
        <w:t>测量体系培训招标</w:t>
      </w:r>
    </w:p>
    <w:p/>
    <w:p>
      <w:pPr>
        <w:rPr>
          <w:szCs w:val="21"/>
        </w:rPr>
      </w:pPr>
      <w:r>
        <w:rPr>
          <w:szCs w:val="21"/>
        </w:rPr>
        <w:t>日期：  年   月   日</w:t>
      </w:r>
    </w:p>
    <w:p>
      <w:pPr>
        <w:jc w:val="center"/>
        <w:rPr>
          <w:rFonts w:eastAsia="黑体"/>
          <w:b/>
          <w:bCs/>
          <w:sz w:val="28"/>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pPr>
              <w:rPr>
                <w:rFonts w:eastAsia="仿宋_GB2312"/>
                <w:sz w:val="24"/>
              </w:rPr>
            </w:pPr>
            <w:r>
              <w:rPr>
                <w:rFonts w:eastAsia="仿宋_GB2312"/>
                <w:sz w:val="24"/>
              </w:rPr>
              <w:t>投标人承诺：</w:t>
            </w:r>
          </w:p>
          <w:p>
            <w:pPr>
              <w:pStyle w:val="10"/>
              <w:spacing w:line="360" w:lineRule="auto"/>
              <w:ind w:firstLine="480" w:firstLineChars="200"/>
              <w:rPr>
                <w:rFonts w:ascii="Times New Roman" w:hAnsi="Times New Roman" w:eastAsia="仿宋_GB2312"/>
                <w:sz w:val="24"/>
              </w:rPr>
            </w:pPr>
            <w:r>
              <w:rPr>
                <w:rFonts w:ascii="Times New Roman" w:hAnsi="Times New Roman" w:eastAsia="仿宋_GB2312"/>
                <w:sz w:val="24"/>
              </w:rPr>
              <w:t>我公司承诺遵</w:t>
            </w:r>
            <w:r>
              <w:rPr>
                <w:rFonts w:ascii="Times New Roman" w:hAnsi="Times New Roman" w:eastAsia="仿宋_GB2312"/>
                <w:sz w:val="24"/>
                <w:szCs w:val="22"/>
              </w:rPr>
              <w:t>守贵公司由于招标人上级集团公司政策变化引起的合同签订前终止项目的要求，并承担由此带来的一切损失。</w:t>
            </w:r>
          </w:p>
          <w:p>
            <w:pPr>
              <w:rPr>
                <w:rFonts w:eastAsia="仿宋_GB2312"/>
                <w:sz w:val="24"/>
              </w:rPr>
            </w:pPr>
          </w:p>
        </w:tc>
      </w:tr>
    </w:tbl>
    <w:p>
      <w:pPr>
        <w:rPr>
          <w:rFonts w:eastAsia="仿宋_GB2312"/>
          <w:sz w:val="24"/>
        </w:rPr>
      </w:pPr>
    </w:p>
    <w:p>
      <w:pPr>
        <w:rPr>
          <w:rFonts w:eastAsia="仿宋_GB2312"/>
          <w:sz w:val="24"/>
        </w:rPr>
      </w:pPr>
      <w:r>
        <w:rPr>
          <w:rFonts w:eastAsia="仿宋_GB2312"/>
          <w:sz w:val="24"/>
        </w:rPr>
        <w:t>投标人名称（盖章）：              法定代表人或授权代表签字：</w:t>
      </w:r>
    </w:p>
    <w:p>
      <w:pPr>
        <w:rPr>
          <w:sz w:val="24"/>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hint="eastAsia" w:eastAsia="黑体"/>
          <w:b/>
          <w:bCs/>
          <w:sz w:val="28"/>
        </w:rPr>
      </w:pPr>
    </w:p>
    <w:p>
      <w:pPr>
        <w:rPr>
          <w:rFonts w:eastAsia="黑体"/>
          <w:b/>
          <w:bCs/>
          <w:sz w:val="28"/>
        </w:rPr>
      </w:pPr>
      <w:r>
        <w:rPr>
          <w:rFonts w:hint="eastAsia" w:eastAsia="黑体"/>
          <w:b/>
          <w:bCs/>
          <w:sz w:val="28"/>
        </w:rPr>
        <w:t>格式</w:t>
      </w:r>
      <w:r>
        <w:rPr>
          <w:rFonts w:eastAsia="黑体"/>
          <w:b/>
          <w:bCs/>
          <w:sz w:val="28"/>
        </w:rPr>
        <w:t>6</w:t>
      </w:r>
    </w:p>
    <w:p>
      <w:r>
        <w:t>项目名称：</w:t>
      </w:r>
      <w:r>
        <w:rPr>
          <w:u w:val="single"/>
        </w:rPr>
        <w:t xml:space="preserve">  </w:t>
      </w:r>
      <w:r>
        <w:rPr>
          <w:rFonts w:hint="eastAsia"/>
          <w:u w:val="single"/>
          <w:lang w:val="en-US" w:eastAsia="zh-CN"/>
        </w:rPr>
        <w:t>测量体系培训招标</w:t>
      </w:r>
    </w:p>
    <w:p/>
    <w:p>
      <w:pPr>
        <w:rPr>
          <w:szCs w:val="21"/>
        </w:rPr>
      </w:pPr>
      <w:r>
        <w:rPr>
          <w:szCs w:val="21"/>
        </w:rPr>
        <w:t>日期：  年   月   日</w:t>
      </w:r>
    </w:p>
    <w:p>
      <w:pPr>
        <w:jc w:val="center"/>
        <w:rPr>
          <w:rFonts w:eastAsia="黑体"/>
          <w:b/>
          <w:bCs/>
          <w:sz w:val="28"/>
        </w:rPr>
      </w:pPr>
    </w:p>
    <w:p>
      <w:pPr>
        <w:jc w:val="center"/>
        <w:rPr>
          <w:rFonts w:eastAsia="黑体"/>
          <w:b/>
          <w:bCs/>
          <w:sz w:val="28"/>
        </w:rPr>
      </w:pPr>
      <w:r>
        <w:rPr>
          <w:rFonts w:eastAsia="黑体"/>
          <w:b/>
          <w:bCs/>
          <w:sz w:val="28"/>
        </w:rPr>
        <w:t>相关条款偏离表（含商务偏离及技术偏离）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pPr>
              <w:jc w:val="center"/>
              <w:rPr>
                <w:sz w:val="24"/>
              </w:rPr>
            </w:pPr>
            <w:r>
              <w:rPr>
                <w:sz w:val="24"/>
              </w:rPr>
              <w:t>序号</w:t>
            </w:r>
          </w:p>
        </w:tc>
        <w:tc>
          <w:tcPr>
            <w:tcW w:w="4140" w:type="dxa"/>
            <w:gridSpan w:val="2"/>
            <w:vAlign w:val="center"/>
          </w:tcPr>
          <w:p>
            <w:pPr>
              <w:jc w:val="center"/>
              <w:rPr>
                <w:sz w:val="24"/>
              </w:rPr>
            </w:pPr>
            <w:r>
              <w:rPr>
                <w:sz w:val="24"/>
              </w:rPr>
              <w:t>招标文件条款</w:t>
            </w:r>
          </w:p>
        </w:tc>
        <w:tc>
          <w:tcPr>
            <w:tcW w:w="3554" w:type="dxa"/>
            <w:vMerge w:val="restart"/>
            <w:vAlign w:val="center"/>
          </w:tcPr>
          <w:p>
            <w:pPr>
              <w:jc w:val="center"/>
              <w:rPr>
                <w:sz w:val="24"/>
              </w:rPr>
            </w:pPr>
            <w:r>
              <w:rPr>
                <w:sz w:val="24"/>
              </w:rPr>
              <w:t>偏离内容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pPr>
              <w:rPr>
                <w:sz w:val="24"/>
              </w:rPr>
            </w:pPr>
          </w:p>
        </w:tc>
        <w:tc>
          <w:tcPr>
            <w:tcW w:w="1080" w:type="dxa"/>
            <w:vAlign w:val="center"/>
          </w:tcPr>
          <w:p>
            <w:pPr>
              <w:jc w:val="center"/>
              <w:rPr>
                <w:sz w:val="24"/>
              </w:rPr>
            </w:pPr>
            <w:r>
              <w:rPr>
                <w:sz w:val="24"/>
              </w:rPr>
              <w:t>条款号</w:t>
            </w:r>
          </w:p>
        </w:tc>
        <w:tc>
          <w:tcPr>
            <w:tcW w:w="3060" w:type="dxa"/>
            <w:vAlign w:val="center"/>
          </w:tcPr>
          <w:p>
            <w:pPr>
              <w:jc w:val="center"/>
              <w:rPr>
                <w:sz w:val="24"/>
              </w:rPr>
            </w:pPr>
            <w:r>
              <w:rPr>
                <w:sz w:val="24"/>
              </w:rPr>
              <w:t>条款要求</w:t>
            </w:r>
          </w:p>
        </w:tc>
        <w:tc>
          <w:tcPr>
            <w:tcW w:w="3554"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1</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2</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3</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4</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5</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6</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7</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8</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9</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pPr>
              <w:jc w:val="center"/>
              <w:rPr>
                <w:sz w:val="24"/>
              </w:rPr>
            </w:pPr>
            <w:r>
              <w:rPr>
                <w:sz w:val="24"/>
              </w:rPr>
              <w:t>10</w:t>
            </w:r>
          </w:p>
        </w:tc>
        <w:tc>
          <w:tcPr>
            <w:tcW w:w="1080" w:type="dxa"/>
            <w:vAlign w:val="center"/>
          </w:tcPr>
          <w:p>
            <w:pPr>
              <w:rPr>
                <w:sz w:val="24"/>
              </w:rPr>
            </w:pPr>
          </w:p>
        </w:tc>
        <w:tc>
          <w:tcPr>
            <w:tcW w:w="3060" w:type="dxa"/>
            <w:vAlign w:val="center"/>
          </w:tcPr>
          <w:p>
            <w:pPr>
              <w:rPr>
                <w:sz w:val="24"/>
              </w:rPr>
            </w:pPr>
          </w:p>
        </w:tc>
        <w:tc>
          <w:tcPr>
            <w:tcW w:w="3554" w:type="dxa"/>
            <w:vAlign w:val="center"/>
          </w:tcPr>
          <w:p>
            <w:pPr>
              <w:rPr>
                <w:sz w:val="24"/>
              </w:rPr>
            </w:pPr>
          </w:p>
        </w:tc>
      </w:tr>
    </w:tbl>
    <w:p>
      <w:pPr>
        <w:rPr>
          <w:sz w:val="24"/>
        </w:rPr>
      </w:pPr>
    </w:p>
    <w:p>
      <w:pPr>
        <w:rPr>
          <w:rFonts w:eastAsia="仿宋_GB2312"/>
          <w:sz w:val="24"/>
        </w:rPr>
      </w:pPr>
      <w:r>
        <w:rPr>
          <w:rFonts w:eastAsia="仿宋_GB2312"/>
          <w:sz w:val="24"/>
        </w:rPr>
        <w:t>投标人名称（盖章）：              法定代表人或授权代表签字：</w:t>
      </w:r>
    </w:p>
    <w:p>
      <w:pPr>
        <w:rPr>
          <w:sz w:val="24"/>
        </w:rPr>
      </w:pPr>
    </w:p>
    <w:p>
      <w:pPr>
        <w:rPr>
          <w:sz w:val="24"/>
        </w:rPr>
      </w:pPr>
    </w:p>
    <w:p>
      <w:pPr>
        <w:rPr>
          <w:sz w:val="24"/>
        </w:rPr>
      </w:pPr>
      <w:r>
        <w:rPr>
          <w:b/>
          <w:sz w:val="24"/>
        </w:rPr>
        <w:t>注：</w:t>
      </w:r>
      <w:r>
        <w:rPr>
          <w:sz w:val="24"/>
        </w:rPr>
        <w:t>为避免歧义，无偏离也应要提报该表，并注明“无”字。如无该表则即使在其它部分已反映，将也被视为“无偏离”。</w:t>
      </w:r>
    </w:p>
    <w:p>
      <w:pPr>
        <w:rPr>
          <w:sz w:val="24"/>
        </w:rPr>
      </w:pPr>
    </w:p>
    <w:p>
      <w:pPr>
        <w:rPr>
          <w:rFonts w:eastAsia="黑体"/>
          <w:b/>
          <w:bCs/>
          <w:sz w:val="28"/>
        </w:rPr>
      </w:pPr>
    </w:p>
    <w:p>
      <w:pPr>
        <w:rPr>
          <w:rFonts w:eastAsia="黑体"/>
          <w:b/>
          <w:bCs/>
          <w:sz w:val="28"/>
        </w:rPr>
      </w:pPr>
      <w:r>
        <w:rPr>
          <w:rFonts w:hint="eastAsia" w:eastAsia="黑体"/>
          <w:b/>
          <w:bCs/>
          <w:sz w:val="28"/>
        </w:rPr>
        <w:t>格式</w:t>
      </w:r>
      <w:r>
        <w:rPr>
          <w:rFonts w:eastAsia="黑体"/>
          <w:b/>
          <w:bCs/>
          <w:sz w:val="28"/>
        </w:rPr>
        <w:t xml:space="preserve">7 </w:t>
      </w:r>
    </w:p>
    <w:p>
      <w:r>
        <w:t>项目名称：</w:t>
      </w:r>
      <w:r>
        <w:rPr>
          <w:u w:val="single"/>
        </w:rPr>
        <w:t xml:space="preserve">   </w:t>
      </w:r>
      <w:r>
        <w:rPr>
          <w:rFonts w:hint="eastAsia"/>
          <w:u w:val="single"/>
          <w:lang w:val="en-US" w:eastAsia="zh-CN"/>
        </w:rPr>
        <w:t>测量体系培训招标</w:t>
      </w:r>
    </w:p>
    <w:p>
      <w:pPr>
        <w:pStyle w:val="10"/>
        <w:spacing w:line="360" w:lineRule="auto"/>
        <w:ind w:left="886" w:leftChars="-6" w:hanging="898" w:hangingChars="428"/>
        <w:rPr>
          <w:rFonts w:ascii="Times New Roman" w:hAnsi="Times New Roman"/>
          <w:szCs w:val="21"/>
        </w:rPr>
      </w:pPr>
      <w:r>
        <w:rPr>
          <w:rFonts w:ascii="Times New Roman" w:hAnsi="Times New Roman"/>
          <w:szCs w:val="21"/>
        </w:rPr>
        <w:t>日期：  年   月   日</w:t>
      </w:r>
    </w:p>
    <w:p>
      <w:pPr>
        <w:jc w:val="center"/>
        <w:rPr>
          <w:rFonts w:eastAsia="黑体"/>
          <w:b/>
          <w:bCs/>
          <w:sz w:val="28"/>
        </w:rPr>
      </w:pPr>
      <w:r>
        <w:rPr>
          <w:rFonts w:eastAsia="黑体"/>
          <w:b/>
          <w:bCs/>
          <w:sz w:val="28"/>
        </w:rPr>
        <w:t>企业情况、从业经历、服务承诺一览表</w:t>
      </w:r>
    </w:p>
    <w:p>
      <w:pPr>
        <w:spacing w:line="400" w:lineRule="exact"/>
        <w:jc w:val="center"/>
        <w:rPr>
          <w:rFonts w:eastAsia="黑体"/>
          <w:sz w:val="30"/>
        </w:rPr>
      </w:pPr>
      <w:r>
        <w:rPr>
          <w:rFonts w:eastAsia="黑体"/>
          <w:sz w:val="30"/>
        </w:rPr>
        <w:t>（模板，信息仅供参考，项目需求单位根据项目实际情况自拟格式和内容）</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42"/>
        <w:gridCol w:w="1288"/>
        <w:gridCol w:w="696"/>
        <w:gridCol w:w="580"/>
        <w:gridCol w:w="1400"/>
        <w:gridCol w:w="1293"/>
        <w:gridCol w:w="697"/>
        <w:gridCol w:w="1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pPr>
              <w:jc w:val="center"/>
              <w:rPr>
                <w:sz w:val="24"/>
              </w:rPr>
            </w:pPr>
            <w:r>
              <w:rPr>
                <w:sz w:val="24"/>
              </w:rPr>
              <w:t>企业情况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pPr>
              <w:jc w:val="center"/>
              <w:rPr>
                <w:sz w:val="24"/>
              </w:rPr>
            </w:pPr>
            <w:r>
              <w:rPr>
                <w:sz w:val="24"/>
              </w:rPr>
              <w:t>公司名称</w:t>
            </w:r>
          </w:p>
        </w:tc>
        <w:tc>
          <w:tcPr>
            <w:tcW w:w="2269" w:type="dxa"/>
            <w:gridSpan w:val="3"/>
            <w:vAlign w:val="center"/>
          </w:tcPr>
          <w:p>
            <w:pPr>
              <w:jc w:val="center"/>
              <w:rPr>
                <w:sz w:val="24"/>
              </w:rPr>
            </w:pPr>
          </w:p>
        </w:tc>
        <w:tc>
          <w:tcPr>
            <w:tcW w:w="1276" w:type="dxa"/>
            <w:gridSpan w:val="2"/>
            <w:vAlign w:val="center"/>
          </w:tcPr>
          <w:p>
            <w:pPr>
              <w:rPr>
                <w:sz w:val="24"/>
              </w:rPr>
            </w:pPr>
            <w:r>
              <w:rPr>
                <w:sz w:val="24"/>
              </w:rPr>
              <w:t>成立时间</w:t>
            </w:r>
          </w:p>
        </w:tc>
        <w:tc>
          <w:tcPr>
            <w:tcW w:w="1400" w:type="dxa"/>
            <w:vAlign w:val="center"/>
          </w:tcPr>
          <w:p>
            <w:pPr>
              <w:rPr>
                <w:sz w:val="24"/>
              </w:rPr>
            </w:pPr>
          </w:p>
        </w:tc>
        <w:tc>
          <w:tcPr>
            <w:tcW w:w="1293" w:type="dxa"/>
            <w:vAlign w:val="center"/>
          </w:tcPr>
          <w:p>
            <w:pPr>
              <w:rPr>
                <w:sz w:val="24"/>
              </w:rPr>
            </w:pPr>
            <w:r>
              <w:rPr>
                <w:sz w:val="24"/>
              </w:rPr>
              <w:t>注册资本</w:t>
            </w:r>
          </w:p>
        </w:tc>
        <w:tc>
          <w:tcPr>
            <w:tcW w:w="2263" w:type="dxa"/>
            <w:gridSpan w:val="2"/>
            <w:vAlign w:val="center"/>
          </w:tcPr>
          <w:p>
            <w:pPr>
              <w:jc w:val="right"/>
              <w:rPr>
                <w:sz w:val="24"/>
              </w:rPr>
            </w:pPr>
            <w:r>
              <w:rPr>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vAlign w:val="center"/>
          </w:tcPr>
          <w:p>
            <w:pPr>
              <w:jc w:val="left"/>
              <w:rPr>
                <w:sz w:val="24"/>
              </w:rPr>
            </w:pPr>
            <w:r>
              <w:rPr>
                <w:sz w:val="24"/>
              </w:rPr>
              <w:t>公司在册员工人数</w:t>
            </w:r>
          </w:p>
        </w:tc>
        <w:tc>
          <w:tcPr>
            <w:tcW w:w="1984" w:type="dxa"/>
            <w:gridSpan w:val="2"/>
            <w:vAlign w:val="center"/>
          </w:tcPr>
          <w:p>
            <w:pPr>
              <w:jc w:val="right"/>
              <w:rPr>
                <w:sz w:val="24"/>
              </w:rPr>
            </w:pPr>
            <w:r>
              <w:rPr>
                <w:sz w:val="24"/>
              </w:rPr>
              <w:t>人</w:t>
            </w:r>
          </w:p>
        </w:tc>
        <w:tc>
          <w:tcPr>
            <w:tcW w:w="3970" w:type="dxa"/>
            <w:gridSpan w:val="4"/>
            <w:vAlign w:val="center"/>
          </w:tcPr>
          <w:p>
            <w:pPr>
              <w:rPr>
                <w:sz w:val="24"/>
              </w:rPr>
            </w:pPr>
            <w:r>
              <w:rPr>
                <w:sz w:val="24"/>
              </w:rPr>
              <w:t>专业从事产品研发、生产的员工人数</w:t>
            </w:r>
          </w:p>
        </w:tc>
        <w:tc>
          <w:tcPr>
            <w:tcW w:w="1554" w:type="dxa"/>
            <w:vAlign w:val="center"/>
          </w:tcPr>
          <w:p>
            <w:pPr>
              <w:jc w:val="right"/>
              <w:rPr>
                <w:sz w:val="24"/>
              </w:rPr>
            </w:pPr>
            <w:r>
              <w:rPr>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4"/>
            <w:vAlign w:val="center"/>
          </w:tcPr>
          <w:p>
            <w:pPr>
              <w:jc w:val="left"/>
              <w:rPr>
                <w:sz w:val="24"/>
              </w:rPr>
            </w:pPr>
            <w:r>
              <w:rPr>
                <w:sz w:val="24"/>
              </w:rPr>
              <w:t>企业所通过的体系认证情况</w:t>
            </w:r>
          </w:p>
        </w:tc>
        <w:tc>
          <w:tcPr>
            <w:tcW w:w="6232" w:type="dxa"/>
            <w:gridSpan w:val="6"/>
            <w:vAlign w:val="center"/>
          </w:tcPr>
          <w:p>
            <w:pPr>
              <w:jc w:val="righ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3"/>
            <w:vAlign w:val="center"/>
          </w:tcPr>
          <w:p>
            <w:pPr>
              <w:jc w:val="center"/>
              <w:rPr>
                <w:sz w:val="24"/>
              </w:rPr>
            </w:pPr>
            <w:r>
              <w:rPr>
                <w:sz w:val="24"/>
              </w:rPr>
              <w:t>公司现有主要研发、实验、生产设备</w:t>
            </w:r>
          </w:p>
        </w:tc>
        <w:tc>
          <w:tcPr>
            <w:tcW w:w="7493" w:type="dxa"/>
            <w:gridSpan w:val="7"/>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pPr>
              <w:jc w:val="center"/>
              <w:rPr>
                <w:sz w:val="24"/>
              </w:rPr>
            </w:pPr>
            <w:r>
              <w:rPr>
                <w:sz w:val="24"/>
              </w:rPr>
              <w:t>从业经历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r>
              <w:rPr>
                <w:szCs w:val="21"/>
              </w:rPr>
              <w:t>正在或曾经从事过的项目名称</w:t>
            </w:r>
          </w:p>
        </w:tc>
        <w:tc>
          <w:tcPr>
            <w:tcW w:w="2649" w:type="dxa"/>
            <w:gridSpan w:val="3"/>
            <w:vAlign w:val="center"/>
          </w:tcPr>
          <w:p>
            <w:pPr>
              <w:jc w:val="center"/>
              <w:rPr>
                <w:sz w:val="24"/>
              </w:rPr>
            </w:pPr>
            <w:r>
              <w:rPr>
                <w:sz w:val="24"/>
              </w:rPr>
              <w:t>项目起止时间</w:t>
            </w:r>
          </w:p>
        </w:tc>
        <w:tc>
          <w:tcPr>
            <w:tcW w:w="3556" w:type="dxa"/>
            <w:gridSpan w:val="3"/>
            <w:vAlign w:val="center"/>
          </w:tcPr>
          <w:p>
            <w:pPr>
              <w:jc w:val="center"/>
              <w:rPr>
                <w:sz w:val="24"/>
              </w:rPr>
            </w:pPr>
            <w:r>
              <w:rPr>
                <w:sz w:val="24"/>
              </w:rPr>
              <w:t>与投标人签订合同的单位名称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4"/>
            <w:vAlign w:val="center"/>
          </w:tcPr>
          <w:p>
            <w:pPr>
              <w:jc w:val="center"/>
              <w:rPr>
                <w:sz w:val="24"/>
              </w:rPr>
            </w:pPr>
          </w:p>
        </w:tc>
        <w:tc>
          <w:tcPr>
            <w:tcW w:w="2649" w:type="dxa"/>
            <w:gridSpan w:val="3"/>
            <w:vAlign w:val="center"/>
          </w:tcPr>
          <w:p>
            <w:pPr>
              <w:rPr>
                <w:sz w:val="24"/>
              </w:rPr>
            </w:pPr>
          </w:p>
        </w:tc>
        <w:tc>
          <w:tcPr>
            <w:tcW w:w="3556" w:type="dxa"/>
            <w:gridSpan w:val="3"/>
            <w:vAlign w:val="center"/>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0"/>
            <w:vAlign w:val="center"/>
          </w:tcPr>
          <w:p>
            <w:pPr>
              <w:jc w:val="center"/>
              <w:rPr>
                <w:sz w:val="24"/>
              </w:rPr>
            </w:pPr>
            <w:r>
              <w:rPr>
                <w:sz w:val="24"/>
              </w:rPr>
              <w:t>针对本招标项目的服务承诺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pPr>
              <w:jc w:val="center"/>
              <w:rPr>
                <w:sz w:val="24"/>
              </w:rPr>
            </w:pPr>
            <w:r>
              <w:rPr>
                <w:sz w:val="24"/>
              </w:rPr>
              <w:t>可为该项目配备人员、相关设备情况</w:t>
            </w:r>
          </w:p>
        </w:tc>
        <w:tc>
          <w:tcPr>
            <w:tcW w:w="1730" w:type="dxa"/>
            <w:gridSpan w:val="2"/>
            <w:vAlign w:val="center"/>
          </w:tcPr>
          <w:p>
            <w:pPr>
              <w:jc w:val="center"/>
              <w:rPr>
                <w:sz w:val="24"/>
              </w:rPr>
            </w:pPr>
            <w:r>
              <w:rPr>
                <w:sz w:val="24"/>
              </w:rPr>
              <w:t>设计人员（名）</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研发、实验设备（功能、型号、数量）</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生产设备（功能、型号、数量）</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szCs w:val="24"/>
              </w:rPr>
            </w:pPr>
            <w:r>
              <w:rPr>
                <w:sz w:val="24"/>
              </w:rPr>
              <w:t>……</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pPr>
              <w:jc w:val="center"/>
              <w:rPr>
                <w:sz w:val="24"/>
              </w:rPr>
            </w:pPr>
            <w:r>
              <w:rPr>
                <w:sz w:val="24"/>
              </w:rPr>
              <w:t>其他</w:t>
            </w:r>
          </w:p>
        </w:tc>
        <w:tc>
          <w:tcPr>
            <w:tcW w:w="1730" w:type="dxa"/>
            <w:gridSpan w:val="2"/>
            <w:vAlign w:val="center"/>
          </w:tcPr>
          <w:p>
            <w:pPr>
              <w:jc w:val="center"/>
              <w:rPr>
                <w:sz w:val="24"/>
              </w:rPr>
            </w:pPr>
            <w:r>
              <w:rPr>
                <w:sz w:val="24"/>
              </w:rPr>
              <w:t>……</w:t>
            </w:r>
          </w:p>
        </w:tc>
        <w:tc>
          <w:tcPr>
            <w:tcW w:w="6205" w:type="dxa"/>
            <w:gridSpan w:val="6"/>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pPr>
              <w:jc w:val="center"/>
              <w:rPr>
                <w:sz w:val="24"/>
              </w:rPr>
            </w:pPr>
          </w:p>
        </w:tc>
        <w:tc>
          <w:tcPr>
            <w:tcW w:w="1730" w:type="dxa"/>
            <w:gridSpan w:val="2"/>
            <w:vAlign w:val="center"/>
          </w:tcPr>
          <w:p>
            <w:pPr>
              <w:jc w:val="center"/>
              <w:rPr>
                <w:sz w:val="24"/>
              </w:rPr>
            </w:pPr>
            <w:r>
              <w:rPr>
                <w:sz w:val="24"/>
              </w:rPr>
              <w:t>……</w:t>
            </w:r>
          </w:p>
        </w:tc>
        <w:tc>
          <w:tcPr>
            <w:tcW w:w="6205" w:type="dxa"/>
            <w:gridSpan w:val="6"/>
            <w:vAlign w:val="center"/>
          </w:tcPr>
          <w:p>
            <w:pPr>
              <w:jc w:val="center"/>
              <w:rPr>
                <w:sz w:val="24"/>
              </w:rPr>
            </w:pPr>
          </w:p>
        </w:tc>
      </w:tr>
    </w:tbl>
    <w:p>
      <w:pPr>
        <w:pStyle w:val="10"/>
        <w:spacing w:line="360" w:lineRule="auto"/>
        <w:ind w:firstLine="240" w:firstLineChars="100"/>
        <w:rPr>
          <w:rFonts w:ascii="Times New Roman" w:hAnsi="Times New Roman"/>
          <w:b/>
          <w:sz w:val="24"/>
          <w:szCs w:val="24"/>
        </w:rPr>
      </w:pPr>
      <w:r>
        <w:rPr>
          <w:rFonts w:ascii="Times New Roman" w:hAnsi="Times New Roman" w:eastAsia="仿宋_GB2312"/>
          <w:sz w:val="24"/>
        </w:rPr>
        <w:t>投标人名称（盖章）：              法定代表人或授权代表签字：</w:t>
      </w:r>
    </w:p>
    <w:p>
      <w:pPr>
        <w:pStyle w:val="10"/>
        <w:spacing w:line="360" w:lineRule="auto"/>
        <w:ind w:left="707" w:leftChars="115" w:hanging="466" w:hangingChars="194"/>
        <w:rPr>
          <w:rFonts w:ascii="Times New Roman" w:hAnsi="Times New Roman"/>
          <w:sz w:val="24"/>
        </w:rPr>
      </w:pPr>
      <w:r>
        <w:rPr>
          <w:rFonts w:ascii="Times New Roman" w:hAnsi="Times New Roman"/>
          <w:b/>
          <w:sz w:val="24"/>
        </w:rPr>
        <w:t>注：</w:t>
      </w:r>
      <w:r>
        <w:rPr>
          <w:rFonts w:ascii="Times New Roman" w:hAnsi="Times New Roman"/>
          <w:sz w:val="24"/>
        </w:rPr>
        <w:t>1.投标人为满足本招标项目之需，需实际配置的、包含但不限于上述设备、人员及其他条目；</w:t>
      </w:r>
    </w:p>
    <w:p>
      <w:pPr>
        <w:pStyle w:val="10"/>
        <w:spacing w:line="360" w:lineRule="auto"/>
        <w:ind w:left="661" w:leftChars="315"/>
        <w:rPr>
          <w:rFonts w:ascii="Times New Roman" w:hAnsi="Times New Roman"/>
          <w:sz w:val="24"/>
        </w:rPr>
      </w:pPr>
      <w:r>
        <w:rPr>
          <w:rFonts w:ascii="Times New Roman" w:hAnsi="Times New Roman"/>
          <w:sz w:val="24"/>
        </w:rPr>
        <w:t>2.投标人可在上表内容基础上，酌情自行增加相关条目，以便更好的满足项目开展之需要。</w:t>
      </w:r>
    </w:p>
    <w:p>
      <w:pPr>
        <w:rPr>
          <w:rFonts w:eastAsia="黑体"/>
          <w:b/>
          <w:bCs/>
          <w:sz w:val="28"/>
        </w:rPr>
      </w:pPr>
      <w:r>
        <w:rPr>
          <w:rFonts w:eastAsia="黑体"/>
          <w:b/>
          <w:bCs/>
          <w:sz w:val="28"/>
        </w:rPr>
        <w:br w:type="page"/>
      </w:r>
      <w:r>
        <w:rPr>
          <w:rFonts w:hint="eastAsia" w:eastAsia="黑体"/>
          <w:b/>
          <w:bCs/>
          <w:sz w:val="28"/>
        </w:rPr>
        <w:t>格式</w:t>
      </w:r>
      <w:r>
        <w:rPr>
          <w:rFonts w:eastAsia="黑体"/>
          <w:b/>
          <w:bCs/>
          <w:sz w:val="28"/>
        </w:rPr>
        <w:t>8</w:t>
      </w:r>
    </w:p>
    <w:p>
      <w:r>
        <w:t>项目名称：</w:t>
      </w:r>
      <w:r>
        <w:rPr>
          <w:u w:val="single"/>
        </w:rPr>
        <w:t xml:space="preserve">  </w:t>
      </w:r>
      <w:r>
        <w:rPr>
          <w:rFonts w:hint="eastAsia"/>
          <w:u w:val="single"/>
          <w:lang w:val="en-US" w:eastAsia="zh-CN"/>
        </w:rPr>
        <w:t>测量体系培训招标</w:t>
      </w:r>
    </w:p>
    <w:p>
      <w:pPr>
        <w:pStyle w:val="10"/>
        <w:spacing w:line="360" w:lineRule="auto"/>
        <w:rPr>
          <w:rFonts w:ascii="Times New Roman" w:hAnsi="Times New Roman"/>
          <w:szCs w:val="21"/>
        </w:rPr>
      </w:pPr>
      <w:r>
        <w:rPr>
          <w:rFonts w:ascii="Times New Roman" w:hAnsi="Times New Roman"/>
          <w:szCs w:val="21"/>
        </w:rPr>
        <w:t>日期：  年   月   日</w:t>
      </w:r>
    </w:p>
    <w:p>
      <w:pPr>
        <w:jc w:val="center"/>
        <w:rPr>
          <w:rFonts w:eastAsia="黑体"/>
          <w:b/>
          <w:bCs/>
          <w:sz w:val="28"/>
        </w:rPr>
      </w:pPr>
      <w:r>
        <w:rPr>
          <w:rFonts w:eastAsia="黑体"/>
          <w:b/>
          <w:bCs/>
          <w:sz w:val="28"/>
        </w:rPr>
        <w:t>法人授权委托书</w:t>
      </w:r>
    </w:p>
    <w:p>
      <w:pPr>
        <w:rPr>
          <w:u w:val="single"/>
        </w:rPr>
      </w:pPr>
      <w:r>
        <w:t>致</w:t>
      </w:r>
      <w:r>
        <w:rPr>
          <w:u w:val="single"/>
        </w:rPr>
        <w:t>（招标人名称）                            ：</w:t>
      </w:r>
    </w:p>
    <w:p>
      <w:pPr>
        <w:spacing w:line="360" w:lineRule="auto"/>
        <w:ind w:firstLine="420" w:firstLineChars="200"/>
        <w:rPr>
          <w:kern w:val="0"/>
          <w:szCs w:val="21"/>
        </w:rPr>
      </w:pPr>
      <w:r>
        <w:rPr>
          <w:kern w:val="0"/>
          <w:szCs w:val="21"/>
        </w:rPr>
        <w:t>本授权委托书声明：我</w:t>
      </w:r>
      <w:r>
        <w:rPr>
          <w:kern w:val="0"/>
          <w:szCs w:val="21"/>
          <w:u w:val="single"/>
        </w:rPr>
        <w:t xml:space="preserve">（法人姓名）       </w:t>
      </w:r>
      <w:r>
        <w:rPr>
          <w:kern w:val="0"/>
          <w:szCs w:val="21"/>
        </w:rPr>
        <w:t>系</w:t>
      </w:r>
      <w:r>
        <w:rPr>
          <w:u w:val="single"/>
        </w:rPr>
        <w:t>（投标人名称）</w:t>
      </w:r>
      <w:r>
        <w:rPr>
          <w:kern w:val="0"/>
          <w:szCs w:val="21"/>
          <w:u w:val="single"/>
        </w:rPr>
        <w:t xml:space="preserve">                   </w:t>
      </w:r>
      <w:r>
        <w:rPr>
          <w:kern w:val="0"/>
          <w:szCs w:val="21"/>
        </w:rPr>
        <w:t>的法定代表人，现授权委托</w:t>
      </w:r>
      <w:r>
        <w:rPr>
          <w:u w:val="single"/>
        </w:rPr>
        <w:t>（投标人名称）</w:t>
      </w:r>
      <w:r>
        <w:rPr>
          <w:kern w:val="0"/>
          <w:szCs w:val="21"/>
          <w:u w:val="single"/>
        </w:rPr>
        <w:t xml:space="preserve">                    </w:t>
      </w:r>
      <w:r>
        <w:rPr>
          <w:kern w:val="0"/>
          <w:szCs w:val="21"/>
        </w:rPr>
        <w:t>的</w:t>
      </w:r>
      <w:r>
        <w:rPr>
          <w:kern w:val="0"/>
          <w:szCs w:val="21"/>
          <w:u w:val="single"/>
        </w:rPr>
        <w:t xml:space="preserve"> （授权代表姓名）        </w:t>
      </w:r>
      <w:r>
        <w:rPr>
          <w:kern w:val="0"/>
          <w:szCs w:val="21"/>
        </w:rPr>
        <w:t>为我公司参加贵方组织的</w:t>
      </w:r>
      <w:r>
        <w:rPr>
          <w:kern w:val="0"/>
          <w:szCs w:val="21"/>
          <w:u w:val="single"/>
        </w:rPr>
        <w:t xml:space="preserve">      XX项目                     </w:t>
      </w:r>
      <w:r>
        <w:rPr>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pPr>
        <w:spacing w:line="360" w:lineRule="auto"/>
        <w:ind w:firstLine="420" w:firstLineChars="200"/>
        <w:rPr>
          <w:kern w:val="0"/>
          <w:szCs w:val="21"/>
        </w:rPr>
      </w:pPr>
      <w:r>
        <w:rPr>
          <w:kern w:val="0"/>
          <w:szCs w:val="21"/>
        </w:rPr>
        <w:t>委托期限：</w:t>
      </w:r>
      <w:r>
        <w:rPr>
          <w:kern w:val="0"/>
          <w:szCs w:val="21"/>
          <w:u w:val="single"/>
        </w:rPr>
        <w:t>20XX  年X 月 X 日至 20XX  年 X 月 X 日</w:t>
      </w:r>
    </w:p>
    <w:p>
      <w:pPr>
        <w:spacing w:line="360" w:lineRule="auto"/>
        <w:ind w:firstLine="420" w:firstLineChars="200"/>
        <w:rPr>
          <w:kern w:val="0"/>
          <w:szCs w:val="21"/>
        </w:rPr>
      </w:pPr>
      <w:r>
        <w:rPr>
          <w:kern w:val="0"/>
          <w:szCs w:val="21"/>
        </w:rPr>
        <w:t>授权代表无转委托权，特此委托。</w:t>
      </w:r>
    </w:p>
    <w:p>
      <w:pPr>
        <w:spacing w:line="360" w:lineRule="auto"/>
        <w:ind w:firstLine="420" w:firstLineChars="200"/>
        <w:rPr>
          <w:kern w:val="0"/>
          <w:szCs w:val="21"/>
        </w:rPr>
      </w:pPr>
      <w:r>
        <w:rPr>
          <w:kern w:val="0"/>
          <w:szCs w:val="21"/>
          <w:u w:val="single"/>
        </w:rPr>
        <w:t>授权代表</w:t>
      </w:r>
      <w:r>
        <w:rPr>
          <w:kern w:val="0"/>
          <w:szCs w:val="21"/>
        </w:rPr>
        <w:t>姓名：</w:t>
      </w:r>
      <w:r>
        <w:rPr>
          <w:kern w:val="0"/>
          <w:szCs w:val="21"/>
          <w:u w:val="single"/>
        </w:rPr>
        <w:t xml:space="preserve">       </w:t>
      </w:r>
      <w:r>
        <w:rPr>
          <w:kern w:val="0"/>
          <w:szCs w:val="21"/>
        </w:rPr>
        <w:t xml:space="preserve">   性别： </w:t>
      </w:r>
      <w:r>
        <w:rPr>
          <w:kern w:val="0"/>
          <w:szCs w:val="21"/>
          <w:u w:val="single"/>
        </w:rPr>
        <w:t xml:space="preserve">      </w:t>
      </w:r>
      <w:r>
        <w:rPr>
          <w:kern w:val="0"/>
          <w:szCs w:val="21"/>
        </w:rPr>
        <w:t xml:space="preserve">    年龄： </w:t>
      </w:r>
      <w:r>
        <w:rPr>
          <w:kern w:val="0"/>
          <w:szCs w:val="21"/>
          <w:u w:val="single"/>
        </w:rPr>
        <w:t xml:space="preserve">      </w:t>
      </w:r>
    </w:p>
    <w:p>
      <w:pPr>
        <w:spacing w:line="360" w:lineRule="auto"/>
        <w:ind w:firstLine="420" w:firstLineChars="200"/>
        <w:rPr>
          <w:kern w:val="0"/>
          <w:szCs w:val="21"/>
        </w:rPr>
      </w:pPr>
      <w:r>
        <w:rPr>
          <w:kern w:val="0"/>
          <w:szCs w:val="21"/>
        </w:rPr>
        <w:t>身份证号码：</w:t>
      </w:r>
      <w:r>
        <w:rPr>
          <w:kern w:val="0"/>
          <w:szCs w:val="21"/>
          <w:u w:val="single"/>
        </w:rPr>
        <w:t xml:space="preserve">                    </w:t>
      </w:r>
      <w:r>
        <w:rPr>
          <w:kern w:val="0"/>
          <w:szCs w:val="21"/>
        </w:rPr>
        <w:t xml:space="preserve">  职务： </w:t>
      </w:r>
      <w:r>
        <w:rPr>
          <w:kern w:val="0"/>
          <w:szCs w:val="21"/>
          <w:u w:val="single"/>
        </w:rPr>
        <w:t xml:space="preserve">       </w:t>
      </w:r>
      <w:r>
        <w:rPr>
          <w:kern w:val="0"/>
          <w:szCs w:val="21"/>
        </w:rPr>
        <w:t xml:space="preserve">    </w:t>
      </w:r>
    </w:p>
    <w:p>
      <w:pPr>
        <w:spacing w:line="360" w:lineRule="auto"/>
        <w:ind w:firstLine="420" w:firstLineChars="200"/>
        <w:rPr>
          <w:kern w:val="0"/>
          <w:szCs w:val="21"/>
        </w:rPr>
      </w:pPr>
      <w:r>
        <w:rPr>
          <w:kern w:val="0"/>
          <w:szCs w:val="21"/>
        </w:rPr>
        <w:t>投标人名称：（盖单位公章）</w:t>
      </w:r>
    </w:p>
    <w:p>
      <w:pPr>
        <w:spacing w:line="360" w:lineRule="auto"/>
        <w:ind w:firstLine="420" w:firstLineChars="200"/>
        <w:rPr>
          <w:kern w:val="0"/>
          <w:szCs w:val="21"/>
        </w:rPr>
      </w:pPr>
      <w:r>
        <w:rPr>
          <w:kern w:val="0"/>
          <w:szCs w:val="21"/>
        </w:rPr>
        <w:t>法定代表人：（签字）</w:t>
      </w:r>
    </w:p>
    <w:p>
      <w:pPr>
        <w:spacing w:line="360" w:lineRule="auto"/>
        <w:rPr>
          <w:kern w:val="0"/>
          <w:szCs w:val="21"/>
        </w:rPr>
      </w:pPr>
    </w:p>
    <w:p>
      <w:pPr>
        <w:adjustRightInd w:val="0"/>
        <w:spacing w:line="480" w:lineRule="exact"/>
        <w:jc w:val="left"/>
        <w:textAlignment w:val="baseline"/>
        <w:rPr>
          <w:b/>
          <w:kern w:val="0"/>
          <w:szCs w:val="21"/>
        </w:rPr>
      </w:pPr>
      <w:r>
        <w:rPr>
          <w:b/>
          <w:kern w:val="0"/>
          <w:szCs w:val="21"/>
        </w:rPr>
        <w:t>附被授权人（授权代表）有效的身份证正反两面复印件</w:t>
      </w:r>
    </w:p>
    <w:p>
      <w:pPr>
        <w:spacing w:line="360" w:lineRule="auto"/>
        <w:rPr>
          <w:kern w:val="0"/>
          <w:szCs w:val="21"/>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r>
        <w:rPr>
          <w:rFonts w:hint="eastAsia" w:eastAsia="黑体"/>
          <w:b/>
          <w:bCs/>
          <w:sz w:val="28"/>
        </w:rPr>
        <w:t>格式</w:t>
      </w:r>
      <w:r>
        <w:rPr>
          <w:rFonts w:eastAsia="黑体"/>
          <w:b/>
          <w:bCs/>
          <w:sz w:val="28"/>
        </w:rPr>
        <w:t>9</w:t>
      </w:r>
    </w:p>
    <w:p>
      <w:r>
        <w:t>项目名称：</w:t>
      </w:r>
      <w:r>
        <w:rPr>
          <w:u w:val="single"/>
        </w:rPr>
        <w:t xml:space="preserve">  </w:t>
      </w:r>
      <w:r>
        <w:rPr>
          <w:rFonts w:hint="eastAsia"/>
          <w:u w:val="single"/>
          <w:lang w:val="en-US" w:eastAsia="zh-CN"/>
        </w:rPr>
        <w:t xml:space="preserve">测量体系培训招标 </w:t>
      </w:r>
      <w:r>
        <w:rPr>
          <w:u w:val="single"/>
        </w:rPr>
        <w:t xml:space="preserve"> </w:t>
      </w:r>
    </w:p>
    <w:p>
      <w:pPr>
        <w:pStyle w:val="10"/>
        <w:spacing w:line="360" w:lineRule="auto"/>
        <w:ind w:left="886" w:leftChars="-6" w:hanging="898" w:hangingChars="428"/>
        <w:rPr>
          <w:rFonts w:ascii="Times New Roman" w:hAnsi="Times New Roman"/>
          <w:szCs w:val="21"/>
        </w:rPr>
      </w:pPr>
      <w:r>
        <w:rPr>
          <w:rFonts w:ascii="Times New Roman" w:hAnsi="Times New Roman"/>
          <w:szCs w:val="21"/>
        </w:rPr>
        <w:t>日期：  年   月   日</w:t>
      </w:r>
    </w:p>
    <w:p>
      <w:pPr>
        <w:jc w:val="center"/>
        <w:rPr>
          <w:rFonts w:eastAsia="黑体"/>
          <w:b/>
          <w:bCs/>
          <w:sz w:val="28"/>
        </w:rPr>
      </w:pPr>
      <w:r>
        <w:rPr>
          <w:rFonts w:eastAsia="黑体"/>
          <w:b/>
          <w:bCs/>
          <w:sz w:val="28"/>
        </w:rPr>
        <w:t>投标保证金退付表</w:t>
      </w:r>
    </w:p>
    <w:tbl>
      <w:tblPr>
        <w:tblStyle w:val="1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投标人单位名称：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户名：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pPr>
              <w:pStyle w:val="10"/>
              <w:spacing w:line="360" w:lineRule="auto"/>
              <w:rPr>
                <w:rFonts w:ascii="Times New Roman" w:hAnsi="Times New Roman"/>
              </w:rPr>
            </w:pPr>
            <w:r>
              <w:rPr>
                <w:rFonts w:ascii="Times New Roman" w:hAnsi="Times New Roman"/>
              </w:rPr>
              <w:t>纳税人识别号：</w:t>
            </w:r>
          </w:p>
        </w:tc>
      </w:tr>
    </w:tbl>
    <w:p>
      <w:pPr>
        <w:pStyle w:val="10"/>
        <w:spacing w:line="360" w:lineRule="auto"/>
        <w:ind w:firstLine="240" w:firstLineChars="100"/>
        <w:rPr>
          <w:rFonts w:ascii="Times New Roman" w:hAnsi="Times New Roman" w:eastAsia="仿宋_GB2312"/>
          <w:color w:val="000000"/>
          <w:sz w:val="24"/>
        </w:rPr>
      </w:pPr>
    </w:p>
    <w:p>
      <w:pPr>
        <w:pStyle w:val="10"/>
        <w:spacing w:line="360" w:lineRule="auto"/>
        <w:ind w:firstLine="240" w:firstLineChars="100"/>
        <w:rPr>
          <w:rFonts w:ascii="Times New Roman" w:hAnsi="Times New Roman"/>
          <w:b/>
          <w:sz w:val="24"/>
          <w:szCs w:val="24"/>
        </w:rPr>
      </w:pPr>
      <w:r>
        <w:rPr>
          <w:rFonts w:ascii="Times New Roman" w:hAnsi="Times New Roman" w:eastAsia="仿宋_GB2312"/>
          <w:color w:val="000000"/>
          <w:sz w:val="24"/>
        </w:rPr>
        <w:t>投标人名称（盖章）：              法定代表人或授权代表签字：</w:t>
      </w:r>
    </w:p>
    <w:p>
      <w:pPr>
        <w:pStyle w:val="10"/>
        <w:spacing w:line="360" w:lineRule="auto"/>
        <w:rPr>
          <w:rFonts w:ascii="Times New Roman" w:hAnsi="Times New Roman"/>
          <w:b/>
          <w:sz w:val="24"/>
          <w:szCs w:val="24"/>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pStyle w:val="10"/>
        <w:spacing w:line="360" w:lineRule="auto"/>
        <w:jc w:val="center"/>
        <w:rPr>
          <w:rFonts w:ascii="Times New Roman" w:hAnsi="Times New Roman" w:eastAsia="黑体"/>
          <w:b/>
          <w:bCs/>
          <w:sz w:val="36"/>
          <w:szCs w:val="36"/>
        </w:rPr>
      </w:pPr>
    </w:p>
    <w:p>
      <w:pPr>
        <w:ind w:firstLine="2883" w:firstLineChars="800"/>
        <w:outlineLvl w:val="0"/>
        <w:rPr>
          <w:rFonts w:ascii="黑体" w:hAnsi="Courier New" w:eastAsia="黑体"/>
          <w:b/>
          <w:bCs/>
          <w:color w:val="0000FF"/>
          <w:sz w:val="36"/>
          <w:szCs w:val="36"/>
        </w:rPr>
      </w:pPr>
    </w:p>
    <w:p>
      <w:pPr>
        <w:jc w:val="center"/>
        <w:outlineLvl w:val="0"/>
        <w:rPr>
          <w:rFonts w:ascii="黑体" w:hAnsi="Courier New" w:eastAsia="黑体"/>
          <w:b/>
          <w:bCs/>
          <w:sz w:val="36"/>
          <w:szCs w:val="36"/>
        </w:rPr>
      </w:pPr>
      <w:r>
        <w:rPr>
          <w:rFonts w:hint="eastAsia" w:ascii="黑体" w:hAnsi="Courier New" w:eastAsia="黑体"/>
          <w:b/>
          <w:bCs/>
          <w:sz w:val="36"/>
          <w:szCs w:val="36"/>
        </w:rPr>
        <w:t>第三章</w:t>
      </w:r>
      <w:r>
        <w:rPr>
          <w:rFonts w:ascii="黑体" w:hAnsi="Courier New" w:eastAsia="黑体"/>
          <w:b/>
          <w:bCs/>
          <w:sz w:val="36"/>
          <w:szCs w:val="36"/>
        </w:rPr>
        <w:t xml:space="preserve">   </w:t>
      </w:r>
      <w:r>
        <w:rPr>
          <w:rFonts w:hint="eastAsia" w:ascii="黑体" w:hAnsi="Courier New" w:eastAsia="黑体"/>
          <w:b/>
          <w:bCs/>
          <w:sz w:val="36"/>
          <w:szCs w:val="36"/>
        </w:rPr>
        <w:t>技术标书</w:t>
      </w:r>
    </w:p>
    <w:p>
      <w:pPr>
        <w:pStyle w:val="10"/>
        <w:spacing w:line="360" w:lineRule="auto"/>
        <w:rPr>
          <w:rFonts w:ascii="黑体" w:eastAsia="黑体"/>
          <w:b/>
          <w:bCs/>
          <w:sz w:val="28"/>
        </w:rPr>
      </w:pPr>
      <w:r>
        <w:rPr>
          <w:rFonts w:hint="eastAsia" w:ascii="黑体" w:eastAsia="黑体"/>
          <w:b/>
          <w:bCs/>
          <w:sz w:val="28"/>
        </w:rPr>
        <w:t>一、项目名称</w:t>
      </w:r>
    </w:p>
    <w:p>
      <w:pPr>
        <w:ind w:firstLine="420" w:firstLineChars="200"/>
        <w:rPr>
          <w:rFonts w:hint="eastAsia"/>
          <w:szCs w:val="21"/>
        </w:rPr>
      </w:pPr>
      <w:r>
        <w:rPr>
          <w:rFonts w:hint="eastAsia"/>
          <w:szCs w:val="21"/>
        </w:rPr>
        <w:t>项目名称：</w:t>
      </w:r>
      <w:r>
        <w:rPr>
          <w:rFonts w:hint="eastAsia"/>
          <w:szCs w:val="21"/>
          <w:lang w:val="en-US" w:eastAsia="zh-CN"/>
        </w:rPr>
        <w:t>测量体系培训与技术培训</w:t>
      </w:r>
      <w:r>
        <w:rPr>
          <w:rFonts w:hint="eastAsia"/>
          <w:szCs w:val="21"/>
        </w:rPr>
        <w:t>服务</w:t>
      </w:r>
    </w:p>
    <w:p>
      <w:pPr>
        <w:pStyle w:val="10"/>
        <w:spacing w:line="360" w:lineRule="auto"/>
        <w:rPr>
          <w:rFonts w:ascii="黑体" w:eastAsia="黑体"/>
          <w:b/>
          <w:bCs/>
          <w:sz w:val="28"/>
        </w:rPr>
      </w:pPr>
      <w:r>
        <w:rPr>
          <w:rFonts w:hint="eastAsia" w:ascii="黑体" w:eastAsia="黑体"/>
          <w:b/>
          <w:bCs/>
          <w:sz w:val="28"/>
        </w:rPr>
        <w:t>二、招标内容及形式</w:t>
      </w:r>
    </w:p>
    <w:p>
      <w:pPr>
        <w:pStyle w:val="10"/>
        <w:spacing w:line="360" w:lineRule="auto"/>
        <w:ind w:firstLine="420" w:firstLineChars="200"/>
        <w:rPr>
          <w:rFonts w:hint="eastAsia" w:hAnsi="宋体"/>
          <w:szCs w:val="22"/>
          <w:lang w:eastAsia="zh-CN"/>
        </w:rPr>
      </w:pPr>
      <w:r>
        <w:rPr>
          <w:rFonts w:hint="eastAsia" w:hAnsi="宋体"/>
          <w:szCs w:val="21"/>
          <w:lang w:val="en-US" w:eastAsia="zh-CN"/>
        </w:rPr>
        <w:t>本次培训范围包括</w:t>
      </w:r>
      <w:r>
        <w:rPr>
          <w:rFonts w:hint="eastAsia" w:hAnsi="宋体"/>
          <w:szCs w:val="21"/>
        </w:rPr>
        <w:t>中国重汽集团</w:t>
      </w:r>
      <w:r>
        <w:rPr>
          <w:rFonts w:hint="eastAsia" w:hAnsi="宋体"/>
          <w:szCs w:val="21"/>
          <w:lang w:val="en-US" w:eastAsia="zh-CN"/>
        </w:rPr>
        <w:t>12家</w:t>
      </w:r>
      <w:r>
        <w:rPr>
          <w:rFonts w:hint="eastAsia" w:hAnsi="宋体"/>
          <w:szCs w:val="21"/>
        </w:rPr>
        <w:t>内部单位</w:t>
      </w:r>
      <w:r>
        <w:rPr>
          <w:rFonts w:hint="eastAsia" w:hAnsi="宋体"/>
          <w:szCs w:val="21"/>
          <w:lang w:val="en-US" w:eastAsia="zh-CN"/>
        </w:rPr>
        <w:t>但不限于</w:t>
      </w:r>
      <w:r>
        <w:rPr>
          <w:rFonts w:hint="eastAsia" w:hAnsi="宋体"/>
          <w:szCs w:val="21"/>
        </w:rPr>
        <w:t>以下单位</w:t>
      </w:r>
      <w:r>
        <w:rPr>
          <w:rFonts w:hint="eastAsia" w:hAnsi="宋体"/>
          <w:szCs w:val="21"/>
          <w:lang w:val="en-US" w:eastAsia="zh-CN"/>
        </w:rPr>
        <w:t>的</w:t>
      </w:r>
      <w:r>
        <w:rPr>
          <w:rFonts w:hint="eastAsia" w:hAnsi="宋体"/>
          <w:szCs w:val="22"/>
          <w:lang w:val="en-US" w:eastAsia="zh-CN"/>
        </w:rPr>
        <w:t>测量体系培训</w:t>
      </w:r>
      <w:r>
        <w:rPr>
          <w:rFonts w:hint="eastAsia" w:hAnsi="宋体"/>
          <w:szCs w:val="22"/>
          <w:lang w:eastAsia="zh-CN"/>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default" w:hAnsi="宋体" w:eastAsia="宋体"/>
                <w:szCs w:val="21"/>
                <w:lang w:val="en-US" w:eastAsia="zh-CN"/>
              </w:rPr>
            </w:pPr>
            <w:r>
              <w:rPr>
                <w:rFonts w:hint="eastAsia" w:hAnsi="宋体"/>
                <w:szCs w:val="21"/>
                <w:lang w:val="en-US" w:eastAsia="zh-CN"/>
              </w:rPr>
              <w:t>中国重型汽车集团有限公司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济南卡车制造公司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济南商用车制造公司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济南轻卡制造公司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济南特种车制造公司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济宁商用车公司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济南发动机厂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济南变速箱厂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济南车桥公司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济南成型厂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3" w:type="dxa"/>
            <w:vAlign w:val="center"/>
          </w:tcPr>
          <w:p>
            <w:pPr>
              <w:pStyle w:val="10"/>
              <w:jc w:val="center"/>
              <w:rPr>
                <w:rFonts w:hint="eastAsia" w:hAnsi="宋体"/>
                <w:szCs w:val="21"/>
              </w:rPr>
            </w:pPr>
            <w:r>
              <w:rPr>
                <w:rFonts w:hint="eastAsia" w:hAnsi="宋体"/>
                <w:szCs w:val="21"/>
              </w:rPr>
              <w:t>济南部件公司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83" w:type="dxa"/>
            <w:vAlign w:val="center"/>
          </w:tcPr>
          <w:p>
            <w:pPr>
              <w:pStyle w:val="10"/>
              <w:jc w:val="center"/>
              <w:rPr>
                <w:rFonts w:hint="eastAsia" w:hAnsi="宋体"/>
                <w:szCs w:val="21"/>
              </w:rPr>
            </w:pPr>
            <w:r>
              <w:rPr>
                <w:rFonts w:hint="eastAsia" w:hAnsi="宋体"/>
                <w:szCs w:val="21"/>
              </w:rPr>
              <w:t>济南橡塑件公司</w:t>
            </w:r>
          </w:p>
        </w:tc>
      </w:tr>
    </w:tbl>
    <w:p>
      <w:pPr>
        <w:pStyle w:val="10"/>
        <w:spacing w:line="360" w:lineRule="auto"/>
        <w:ind w:firstLine="420" w:firstLineChars="200"/>
        <w:rPr>
          <w:rFonts w:hint="eastAsia" w:hAnsi="宋体"/>
          <w:szCs w:val="22"/>
        </w:rPr>
      </w:pPr>
      <w:r>
        <w:rPr>
          <w:rFonts w:hint="eastAsia" w:hAnsi="宋体"/>
          <w:szCs w:val="22"/>
          <w:highlight w:val="yellow"/>
        </w:rPr>
        <w:t>本次招标采用公开招标形式，本项目按照</w:t>
      </w:r>
      <w:r>
        <w:rPr>
          <w:rFonts w:hint="eastAsia"/>
          <w:color w:val="000000"/>
          <w:highlight w:val="yellow"/>
        </w:rPr>
        <w:t>技术标入围后招标</w:t>
      </w:r>
      <w:r>
        <w:rPr>
          <w:rFonts w:hint="eastAsia"/>
          <w:color w:val="000000"/>
          <w:highlight w:val="yellow"/>
          <w:lang w:val="en-US" w:eastAsia="zh-CN"/>
        </w:rPr>
        <w:t>合理</w:t>
      </w:r>
      <w:r>
        <w:rPr>
          <w:rFonts w:hint="eastAsia"/>
          <w:color w:val="000000"/>
          <w:highlight w:val="yellow"/>
        </w:rPr>
        <w:t>最低价选择中标厂家</w:t>
      </w:r>
      <w:r>
        <w:rPr>
          <w:rFonts w:hint="eastAsia" w:hAnsi="宋体"/>
          <w:szCs w:val="22"/>
          <w:highlight w:val="yellow"/>
        </w:rPr>
        <w:t>。</w:t>
      </w:r>
    </w:p>
    <w:p>
      <w:pPr>
        <w:pStyle w:val="10"/>
        <w:spacing w:line="360" w:lineRule="auto"/>
        <w:rPr>
          <w:rFonts w:ascii="黑体" w:eastAsia="黑体"/>
          <w:b/>
          <w:bCs/>
          <w:sz w:val="28"/>
        </w:rPr>
      </w:pPr>
      <w:r>
        <w:rPr>
          <w:rFonts w:hint="eastAsia" w:ascii="黑体" w:eastAsia="黑体"/>
          <w:b/>
          <w:bCs/>
          <w:sz w:val="28"/>
        </w:rPr>
        <w:t>三、资质认证</w:t>
      </w:r>
    </w:p>
    <w:p>
      <w:pPr>
        <w:widowControl/>
        <w:spacing w:line="360" w:lineRule="auto"/>
        <w:ind w:firstLine="420" w:firstLineChars="200"/>
        <w:jc w:val="left"/>
        <w:rPr>
          <w:rFonts w:hint="eastAsia" w:ascii="宋体" w:hAnsi="宋体" w:eastAsia="宋体" w:cs="Times New Roman"/>
          <w:kern w:val="2"/>
          <w:sz w:val="21"/>
          <w:szCs w:val="22"/>
          <w:lang w:val="en-US" w:eastAsia="zh-CN" w:bidi="ar-SA"/>
        </w:rPr>
      </w:pPr>
      <w:r>
        <w:rPr>
          <w:rFonts w:hint="eastAsia" w:ascii="宋体" w:hAnsi="宋体" w:eastAsia="宋体" w:cs="Times New Roman"/>
          <w:kern w:val="2"/>
          <w:sz w:val="21"/>
          <w:szCs w:val="22"/>
          <w:lang w:val="en-US" w:eastAsia="zh-CN" w:bidi="ar-SA"/>
        </w:rPr>
        <w:t>1.</w:t>
      </w:r>
      <w:r>
        <w:rPr>
          <w:rFonts w:hint="eastAsia"/>
          <w:color w:val="000000" w:themeColor="text1"/>
          <w14:textFill>
            <w14:solidFill>
              <w14:schemeClr w14:val="tx1"/>
            </w14:solidFill>
          </w14:textFill>
        </w:rPr>
        <w:t>具备</w:t>
      </w:r>
      <w:r>
        <w:rPr>
          <w:rFonts w:hint="eastAsia"/>
          <w:color w:val="000000" w:themeColor="text1"/>
          <w:lang w:val="en-US" w:eastAsia="zh-CN"/>
          <w14:textFill>
            <w14:solidFill>
              <w14:schemeClr w14:val="tx1"/>
            </w14:solidFill>
          </w14:textFill>
        </w:rPr>
        <w:t>有营业执照</w:t>
      </w:r>
      <w:r>
        <w:rPr>
          <w:rFonts w:hint="eastAsia"/>
          <w:color w:val="000000" w:themeColor="text1"/>
          <w14:textFill>
            <w14:solidFill>
              <w14:schemeClr w14:val="tx1"/>
            </w14:solidFill>
          </w14:textFill>
        </w:rPr>
        <w:t>，且</w:t>
      </w:r>
      <w:r>
        <w:rPr>
          <w:rFonts w:hint="eastAsia"/>
          <w:color w:val="000000" w:themeColor="text1"/>
          <w:lang w:val="en-US" w:eastAsia="zh-CN"/>
          <w14:textFill>
            <w14:solidFill>
              <w14:schemeClr w14:val="tx1"/>
            </w14:solidFill>
          </w14:textFill>
        </w:rPr>
        <w:t>培训</w:t>
      </w:r>
      <w:r>
        <w:rPr>
          <w:rFonts w:hint="eastAsia"/>
          <w:color w:val="000000" w:themeColor="text1"/>
          <w14:textFill>
            <w14:solidFill>
              <w14:schemeClr w14:val="tx1"/>
            </w14:solidFill>
          </w14:textFill>
        </w:rPr>
        <w:t>师团队中至少有2名具备国家注册测量管理体系审核员/高级</w:t>
      </w:r>
      <w:r>
        <w:rPr>
          <w:rFonts w:hint="eastAsia"/>
          <w:color w:val="000000" w:themeColor="text1"/>
          <w:lang w:val="en-US" w:eastAsia="zh-CN"/>
          <w14:textFill>
            <w14:solidFill>
              <w14:schemeClr w14:val="tx1"/>
            </w14:solidFill>
          </w14:textFill>
        </w:rPr>
        <w:t>工程师</w:t>
      </w:r>
      <w:r>
        <w:rPr>
          <w:rFonts w:hint="eastAsia"/>
          <w:color w:val="000000" w:themeColor="text1"/>
          <w14:textFill>
            <w14:solidFill>
              <w14:schemeClr w14:val="tx1"/>
            </w14:solidFill>
          </w14:textFill>
        </w:rPr>
        <w:t>资格</w:t>
      </w:r>
      <w:r>
        <w:rPr>
          <w:rFonts w:hint="eastAsia"/>
          <w:color w:val="000000" w:themeColor="text1"/>
          <w:lang w:eastAsia="zh-CN"/>
          <w14:textFill>
            <w14:solidFill>
              <w14:schemeClr w14:val="tx1"/>
            </w14:solidFill>
          </w14:textFill>
        </w:rPr>
        <w:t>。</w:t>
      </w:r>
    </w:p>
    <w:p>
      <w:pPr>
        <w:widowControl/>
        <w:spacing w:line="360" w:lineRule="auto"/>
        <w:ind w:firstLine="420" w:firstLineChars="200"/>
        <w:jc w:val="left"/>
        <w:rPr>
          <w:rFonts w:hint="eastAsia" w:ascii="宋体" w:hAnsi="宋体" w:eastAsia="宋体" w:cs="Times New Roman"/>
          <w:kern w:val="2"/>
          <w:sz w:val="21"/>
          <w:szCs w:val="22"/>
          <w:lang w:val="en-US" w:eastAsia="zh-CN" w:bidi="ar-SA"/>
        </w:rPr>
      </w:pPr>
      <w:r>
        <w:rPr>
          <w:rFonts w:hint="eastAsia" w:ascii="宋体" w:hAnsi="宋体" w:eastAsia="宋体" w:cs="Times New Roman"/>
          <w:kern w:val="2"/>
          <w:sz w:val="21"/>
          <w:szCs w:val="22"/>
          <w:lang w:val="en-US" w:eastAsia="zh-CN" w:bidi="ar-SA"/>
        </w:rPr>
        <w:t>2.</w:t>
      </w:r>
      <w:r>
        <w:rPr>
          <w:rFonts w:hint="eastAsia"/>
          <w:color w:val="000000" w:themeColor="text1"/>
          <w14:textFill>
            <w14:solidFill>
              <w14:schemeClr w14:val="tx1"/>
            </w14:solidFill>
          </w14:textFill>
        </w:rPr>
        <w:t>项目负</w:t>
      </w:r>
      <w:r>
        <w:rPr>
          <w:rFonts w:hint="eastAsia"/>
          <w:color w:val="000000"/>
        </w:rPr>
        <w:t>责人需具备</w:t>
      </w:r>
      <w:r>
        <w:rPr>
          <w:rFonts w:hint="eastAsia"/>
          <w:color w:val="000000"/>
          <w:lang w:val="en-US" w:eastAsia="zh-CN"/>
        </w:rPr>
        <w:t>5</w:t>
      </w:r>
      <w:r>
        <w:rPr>
          <w:rFonts w:hint="eastAsia"/>
          <w:color w:val="000000"/>
        </w:rPr>
        <w:t>年以上计量管理经验，且曾主导过主机厂级</w:t>
      </w:r>
      <w:r>
        <w:rPr>
          <w:rFonts w:hint="eastAsia"/>
          <w:color w:val="000000"/>
          <w:lang w:val="en-US" w:eastAsia="zh-CN"/>
        </w:rPr>
        <w:t>或汽车零部件、机械加工行业测量体系辅导培训</w:t>
      </w:r>
      <w:r>
        <w:rPr>
          <w:rFonts w:hint="eastAsia"/>
          <w:color w:val="000000" w:themeColor="text1"/>
          <w14:textFill>
            <w14:solidFill>
              <w14:schemeClr w14:val="tx1"/>
            </w14:solidFill>
          </w14:textFill>
        </w:rPr>
        <w:t>。</w:t>
      </w:r>
    </w:p>
    <w:p>
      <w:pPr>
        <w:pStyle w:val="42"/>
        <w:spacing w:line="440" w:lineRule="exact"/>
        <w:ind w:left="0" w:leftChars="0" w:firstLine="420" w:firstLineChars="200"/>
        <w:rPr>
          <w:rFonts w:hint="eastAsia" w:ascii="宋体" w:hAnsi="宋体" w:eastAsia="宋体" w:cs="Times New Roman"/>
          <w:kern w:val="2"/>
          <w:sz w:val="21"/>
          <w:szCs w:val="22"/>
          <w:lang w:val="en-US" w:eastAsia="zh-CN" w:bidi="ar-SA"/>
        </w:rPr>
      </w:pPr>
      <w:r>
        <w:rPr>
          <w:rFonts w:hint="eastAsia" w:ascii="宋体" w:hAnsi="宋体" w:eastAsia="宋体" w:cs="Times New Roman"/>
          <w:kern w:val="2"/>
          <w:sz w:val="21"/>
          <w:szCs w:val="22"/>
          <w:lang w:val="en-US" w:eastAsia="zh-CN" w:bidi="ar-SA"/>
        </w:rPr>
        <w:t>3.提供近三年</w:t>
      </w:r>
      <w:r>
        <w:rPr>
          <w:rFonts w:hint="eastAsia" w:ascii="宋体" w:hAnsi="宋体" w:cs="Times New Roman"/>
          <w:kern w:val="2"/>
          <w:sz w:val="21"/>
          <w:szCs w:val="22"/>
          <w:lang w:val="en-US" w:eastAsia="zh-CN" w:bidi="ar-SA"/>
        </w:rPr>
        <w:t>测量管理体系培训项目</w:t>
      </w:r>
      <w:r>
        <w:rPr>
          <w:rFonts w:hint="eastAsia" w:ascii="宋体" w:hAnsi="宋体" w:eastAsia="宋体" w:cs="Times New Roman"/>
          <w:kern w:val="2"/>
          <w:sz w:val="21"/>
          <w:szCs w:val="22"/>
          <w:lang w:val="en-US" w:eastAsia="zh-CN" w:bidi="ar-SA"/>
        </w:rPr>
        <w:t>业绩；近3年内（2023年至今）具有至少2项汽车制造行业（乘用车/商用车/零部件）或大型制造业的ISO 10012成功</w:t>
      </w:r>
      <w:r>
        <w:rPr>
          <w:rFonts w:hint="eastAsia" w:ascii="宋体" w:hAnsi="宋体" w:cs="Times New Roman"/>
          <w:kern w:val="2"/>
          <w:sz w:val="21"/>
          <w:szCs w:val="22"/>
          <w:lang w:val="en-US" w:eastAsia="zh-CN" w:bidi="ar-SA"/>
        </w:rPr>
        <w:t>培训</w:t>
      </w:r>
      <w:r>
        <w:rPr>
          <w:rFonts w:hint="eastAsia" w:ascii="宋体" w:hAnsi="宋体" w:eastAsia="宋体" w:cs="Times New Roman"/>
          <w:kern w:val="2"/>
          <w:sz w:val="21"/>
          <w:szCs w:val="22"/>
          <w:lang w:val="en-US" w:eastAsia="zh-CN" w:bidi="ar-SA"/>
        </w:rPr>
        <w:t>案例（须提供</w:t>
      </w:r>
      <w:r>
        <w:rPr>
          <w:rFonts w:hint="eastAsia" w:ascii="宋体" w:hAnsi="宋体" w:cs="Times New Roman"/>
          <w:kern w:val="2"/>
          <w:sz w:val="21"/>
          <w:szCs w:val="22"/>
          <w:lang w:val="en-US" w:eastAsia="zh-CN" w:bidi="ar-SA"/>
        </w:rPr>
        <w:t>培训明细</w:t>
      </w:r>
      <w:r>
        <w:rPr>
          <w:rFonts w:hint="eastAsia" w:ascii="宋体" w:hAnsi="宋体" w:eastAsia="宋体" w:cs="Times New Roman"/>
          <w:kern w:val="2"/>
          <w:sz w:val="21"/>
          <w:szCs w:val="22"/>
          <w:lang w:val="en-US" w:eastAsia="zh-CN" w:bidi="ar-SA"/>
        </w:rPr>
        <w:t>）；</w:t>
      </w:r>
    </w:p>
    <w:p>
      <w:pPr>
        <w:pStyle w:val="10"/>
        <w:spacing w:line="360" w:lineRule="auto"/>
        <w:rPr>
          <w:rFonts w:hint="eastAsia" w:ascii="黑体" w:eastAsia="黑体"/>
          <w:b/>
          <w:bCs/>
          <w:sz w:val="28"/>
          <w:szCs w:val="22"/>
        </w:rPr>
      </w:pPr>
      <w:r>
        <w:rPr>
          <w:rFonts w:hint="eastAsia" w:ascii="黑体" w:eastAsia="黑体"/>
          <w:b/>
          <w:bCs/>
          <w:sz w:val="28"/>
          <w:szCs w:val="22"/>
        </w:rPr>
        <w:t>四、</w:t>
      </w:r>
      <w:r>
        <w:rPr>
          <w:rFonts w:hint="eastAsia" w:ascii="黑体" w:eastAsia="黑体"/>
          <w:b/>
          <w:bCs/>
          <w:sz w:val="28"/>
          <w:szCs w:val="22"/>
          <w:lang w:val="en-US" w:eastAsia="zh-CN"/>
        </w:rPr>
        <w:t>培训</w:t>
      </w:r>
      <w:r>
        <w:rPr>
          <w:rFonts w:hint="eastAsia" w:ascii="黑体" w:eastAsia="黑体"/>
          <w:b/>
          <w:bCs/>
          <w:sz w:val="28"/>
          <w:szCs w:val="22"/>
        </w:rPr>
        <w:t>要求</w:t>
      </w:r>
    </w:p>
    <w:tbl>
      <w:tblPr>
        <w:tblStyle w:val="19"/>
        <w:tblW w:w="10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1370"/>
        <w:gridCol w:w="1681"/>
        <w:gridCol w:w="4453"/>
        <w:gridCol w:w="1288"/>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预计时间节点</w:t>
            </w:r>
          </w:p>
        </w:tc>
        <w:tc>
          <w:tcPr>
            <w:tcW w:w="4453"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    作    内    容</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指导方式</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预计用时（天）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6" w:hRule="exac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70" w:type="dxa"/>
            <w:shd w:val="clear" w:color="auto" w:fill="auto"/>
            <w:noWrap w:val="0"/>
            <w:vAlign w:val="center"/>
          </w:tcPr>
          <w:p>
            <w:pPr>
              <w:numPr>
                <w:ilvl w:val="0"/>
                <w:numId w:val="0"/>
              </w:numPr>
              <w:spacing w:line="240" w:lineRule="auto"/>
              <w:ind w:left="0" w:leftChars="0" w:firstLine="0" w:firstLineChars="0"/>
              <w:jc w:val="center"/>
              <w:rPr>
                <w:rFonts w:hint="eastAsia" w:ascii="宋体" w:hAnsi="宋体" w:eastAsia="宋体" w:cs="宋体"/>
                <w:kern w:val="2"/>
                <w:sz w:val="21"/>
                <w:szCs w:val="21"/>
                <w:lang w:val="en-US" w:eastAsia="zh-CN" w:bidi="ar-SA"/>
              </w:rPr>
            </w:pPr>
            <w:r>
              <w:rPr>
                <w:rFonts w:hint="eastAsia" w:ascii="仿宋_GB2312" w:hAnsi="仿宋_GB2312" w:eastAsia="仿宋_GB2312" w:cs="仿宋_GB2312"/>
                <w:lang w:val="en-US" w:eastAsia="zh-CN"/>
              </w:rPr>
              <w:t>测量体系培训及标准宣贯</w:t>
            </w:r>
          </w:p>
        </w:tc>
        <w:tc>
          <w:tcPr>
            <w:tcW w:w="1681" w:type="dxa"/>
            <w:shd w:val="clear" w:color="auto" w:fill="auto"/>
            <w:noWrap w:val="0"/>
            <w:vAlign w:val="center"/>
          </w:tcPr>
          <w:p>
            <w:pPr>
              <w:numPr>
                <w:ilvl w:val="0"/>
                <w:numId w:val="0"/>
              </w:numPr>
              <w:spacing w:line="240" w:lineRule="auto"/>
              <w:ind w:left="0" w:leftChars="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2026年</w:t>
            </w:r>
            <w:r>
              <w:rPr>
                <w:rFonts w:hint="default" w:ascii="宋体" w:hAnsi="宋体" w:cs="宋体"/>
                <w:sz w:val="21"/>
                <w:szCs w:val="21"/>
                <w:lang w:eastAsia="zh-CN"/>
                <w:woUserID w:val="1"/>
              </w:rPr>
              <w:t>10</w:t>
            </w:r>
            <w:bookmarkStart w:id="5" w:name="_GoBack"/>
            <w:bookmarkEnd w:id="5"/>
            <w:r>
              <w:rPr>
                <w:rFonts w:hint="eastAsia" w:ascii="宋体" w:hAnsi="宋体" w:eastAsia="宋体" w:cs="宋体"/>
                <w:sz w:val="21"/>
                <w:szCs w:val="21"/>
                <w:lang w:val="en-US" w:eastAsia="zh-CN"/>
              </w:rPr>
              <w:t>月</w:t>
            </w:r>
          </w:p>
        </w:tc>
        <w:tc>
          <w:tcPr>
            <w:tcW w:w="4453" w:type="dxa"/>
            <w:noWrap w:val="0"/>
            <w:vAlign w:val="center"/>
          </w:tcPr>
          <w:p>
            <w:pPr>
              <w:numPr>
                <w:ilvl w:val="0"/>
                <w:numId w:val="0"/>
              </w:numPr>
              <w:spacing w:line="240" w:lineRule="auto"/>
              <w:jc w:val="left"/>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测量体系培训课程按照“战略-管理-执行”三级穿透式设计，分别面向高层领导、分管质量中层、操作人员三个层级组织实施：</w:t>
            </w:r>
          </w:p>
          <w:p>
            <w:pPr>
              <w:numPr>
                <w:ilvl w:val="0"/>
                <w:numId w:val="5"/>
              </w:numPr>
              <w:spacing w:line="240" w:lineRule="auto"/>
              <w:ind w:leftChars="0"/>
              <w:jc w:val="left"/>
              <w:rPr>
                <w:rFonts w:hint="eastAsia" w:ascii="宋体" w:hAnsi="宋体" w:eastAsia="宋体" w:cs="宋体"/>
                <w:b/>
                <w:bCs/>
                <w:kern w:val="2"/>
                <w:sz w:val="21"/>
                <w:szCs w:val="24"/>
                <w:lang w:val="en-US" w:eastAsia="zh-CN" w:bidi="ar-SA"/>
              </w:rPr>
            </w:pPr>
            <w:r>
              <w:rPr>
                <w:rFonts w:hint="eastAsia" w:ascii="宋体" w:hAnsi="宋体" w:eastAsia="宋体" w:cs="宋体"/>
                <w:b/>
                <w:bCs/>
                <w:kern w:val="2"/>
                <w:sz w:val="21"/>
                <w:szCs w:val="24"/>
                <w:lang w:val="en-US" w:eastAsia="zh-CN" w:bidi="ar-SA"/>
              </w:rPr>
              <w:t>高层专项培训</w:t>
            </w:r>
          </w:p>
          <w:p>
            <w:pPr>
              <w:numPr>
                <w:ilvl w:val="0"/>
                <w:numId w:val="0"/>
              </w:numPr>
              <w:spacing w:line="240" w:lineRule="auto"/>
              <w:jc w:val="left"/>
              <w:rPr>
                <w:rFonts w:hint="eastAsia" w:ascii="宋体" w:hAnsi="宋体" w:eastAsia="宋体" w:cs="宋体"/>
                <w:kern w:val="2"/>
                <w:sz w:val="21"/>
                <w:szCs w:val="24"/>
                <w:lang w:val="en-US" w:eastAsia="zh-CN" w:bidi="ar-SA"/>
              </w:rPr>
            </w:pPr>
            <w:r>
              <w:rPr>
                <w:rFonts w:hint="eastAsia" w:ascii="宋体" w:hAnsi="宋体" w:eastAsia="宋体" w:cs="宋体"/>
                <w:lang w:val="en-US" w:eastAsia="zh-CN"/>
              </w:rPr>
              <w:t>计划1-2课时，针对管理者代表及相关管理层进行</w:t>
            </w:r>
            <w:r>
              <w:rPr>
                <w:rFonts w:hint="eastAsia" w:ascii="宋体" w:hAnsi="宋体" w:eastAsia="宋体" w:cs="宋体"/>
                <w:kern w:val="2"/>
                <w:sz w:val="21"/>
                <w:szCs w:val="24"/>
                <w:lang w:val="en-US" w:eastAsia="zh-CN" w:bidi="ar-SA"/>
              </w:rPr>
              <w:t>概念性培训</w:t>
            </w:r>
            <w:r>
              <w:rPr>
                <w:rFonts w:hint="eastAsia" w:ascii="宋体" w:hAnsi="宋体" w:eastAsia="宋体" w:cs="宋体"/>
                <w:lang w:val="en-US" w:eastAsia="zh-CN"/>
              </w:rPr>
              <w:t>《计量在汽车质量管控中的战略意义》。</w:t>
            </w:r>
          </w:p>
          <w:p>
            <w:pPr>
              <w:numPr>
                <w:ilvl w:val="0"/>
                <w:numId w:val="5"/>
              </w:numPr>
              <w:spacing w:line="240" w:lineRule="auto"/>
              <w:ind w:left="0" w:leftChars="0" w:firstLine="0" w:firstLineChars="0"/>
              <w:jc w:val="left"/>
              <w:rPr>
                <w:rFonts w:hint="eastAsia" w:ascii="宋体" w:hAnsi="宋体" w:eastAsia="宋体" w:cs="宋体"/>
                <w:b/>
                <w:bCs/>
                <w:kern w:val="2"/>
                <w:sz w:val="21"/>
                <w:szCs w:val="24"/>
                <w:lang w:val="en-US" w:eastAsia="zh-CN" w:bidi="ar-SA"/>
              </w:rPr>
            </w:pPr>
            <w:r>
              <w:rPr>
                <w:rFonts w:hint="eastAsia" w:ascii="宋体" w:hAnsi="宋体" w:eastAsia="宋体" w:cs="宋体"/>
                <w:b/>
                <w:bCs/>
                <w:kern w:val="2"/>
                <w:sz w:val="21"/>
                <w:szCs w:val="24"/>
                <w:lang w:val="en-US" w:eastAsia="zh-CN" w:bidi="ar-SA"/>
              </w:rPr>
              <w:t>分管质量的中层领导系统培训</w:t>
            </w:r>
          </w:p>
          <w:p>
            <w:pPr>
              <w:numPr>
                <w:ilvl w:val="0"/>
                <w:numId w:val="0"/>
              </w:numPr>
              <w:spacing w:line="240" w:lineRule="auto"/>
              <w:ind w:leftChars="0"/>
              <w:jc w:val="left"/>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计划1天，针对分管质量的中层领导开展《测量过程控制与体系有效运行的实战管理》培训，内容涉及：</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模块一：法规与标准解读</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模块二：测量过程的策划与控制</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模块三：体系文件编制与审核技能</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模块四：问题分析与持续改进</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模块五：MSA及Cg/Cgk实战应用</w:t>
            </w:r>
          </w:p>
          <w:p>
            <w:pPr>
              <w:numPr>
                <w:ilvl w:val="0"/>
                <w:numId w:val="5"/>
              </w:numPr>
              <w:spacing w:line="240" w:lineRule="auto"/>
              <w:ind w:left="0" w:leftChars="0" w:firstLine="0" w:firstLineChars="0"/>
              <w:jc w:val="left"/>
              <w:rPr>
                <w:rFonts w:hint="eastAsia" w:ascii="宋体" w:hAnsi="宋体" w:eastAsia="宋体" w:cs="宋体"/>
                <w:b/>
                <w:bCs/>
                <w:lang w:val="en-US" w:eastAsia="zh-CN"/>
              </w:rPr>
            </w:pPr>
            <w:r>
              <w:rPr>
                <w:rFonts w:hint="eastAsia" w:ascii="宋体" w:hAnsi="宋体" w:eastAsia="宋体" w:cs="宋体"/>
                <w:b/>
                <w:bCs/>
                <w:lang w:val="en-US" w:eastAsia="zh-CN"/>
              </w:rPr>
              <w:t>操作人员实操类培训：</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计划2天，针对具体操作人员（检验员、校准员、一线操作工）开展《测量设备规范操作与日常维护》培训，内容涉及：</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模块一：基础知识</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模块二：规范操作</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模块三：日常维护与异常处置</w:t>
            </w:r>
          </w:p>
          <w:p>
            <w:pPr>
              <w:numPr>
                <w:ilvl w:val="0"/>
                <w:numId w:val="0"/>
              </w:numPr>
              <w:spacing w:line="240" w:lineRule="auto"/>
              <w:ind w:leftChars="0"/>
              <w:jc w:val="left"/>
              <w:rPr>
                <w:rFonts w:hint="eastAsia" w:ascii="宋体" w:hAnsi="宋体" w:eastAsia="宋体" w:cs="宋体"/>
                <w:lang w:val="en-US" w:eastAsia="zh-CN"/>
              </w:rPr>
            </w:pPr>
            <w:r>
              <w:rPr>
                <w:rFonts w:hint="eastAsia" w:ascii="宋体" w:hAnsi="宋体" w:eastAsia="宋体" w:cs="宋体"/>
                <w:lang w:val="en-US" w:eastAsia="zh-CN"/>
              </w:rPr>
              <w:t>模块四：实操考核</w:t>
            </w:r>
          </w:p>
          <w:p>
            <w:pPr>
              <w:numPr>
                <w:ilvl w:val="0"/>
                <w:numId w:val="0"/>
              </w:numPr>
              <w:spacing w:line="240" w:lineRule="auto"/>
              <w:ind w:leftChars="0"/>
              <w:jc w:val="left"/>
              <w:rPr>
                <w:rFonts w:hint="eastAsia" w:ascii="宋体" w:hAnsi="宋体" w:eastAsia="宋体" w:cs="宋体"/>
                <w:b/>
                <w:bCs/>
                <w:lang w:val="en-US" w:eastAsia="zh-CN"/>
              </w:rPr>
            </w:pPr>
            <w:r>
              <w:rPr>
                <w:rFonts w:hint="eastAsia" w:ascii="宋体" w:hAnsi="宋体" w:eastAsia="宋体" w:cs="宋体"/>
                <w:b/>
                <w:bCs/>
                <w:lang w:val="en-US" w:eastAsia="zh-CN"/>
              </w:rPr>
              <w:t>4、测量体系内审员专项培训</w:t>
            </w:r>
            <w:r>
              <w:rPr>
                <w:rFonts w:hint="eastAsia" w:ascii="宋体" w:hAnsi="宋体" w:eastAsia="宋体" w:cs="宋体"/>
                <w:b/>
                <w:bCs/>
                <w:kern w:val="2"/>
                <w:sz w:val="21"/>
                <w:szCs w:val="24"/>
                <w:lang w:val="en-US" w:eastAsia="zh-CN" w:bidi="ar-SA"/>
              </w:rPr>
              <w:t>（不少于20人）</w:t>
            </w:r>
          </w:p>
          <w:p>
            <w:pPr>
              <w:numPr>
                <w:ilvl w:val="0"/>
                <w:numId w:val="0"/>
              </w:numPr>
              <w:spacing w:line="240" w:lineRule="auto"/>
              <w:ind w:leftChars="0"/>
              <w:jc w:val="left"/>
              <w:rPr>
                <w:rFonts w:hint="eastAsia" w:ascii="宋体" w:hAnsi="宋体" w:eastAsia="宋体" w:cs="宋体"/>
                <w:kern w:val="2"/>
                <w:sz w:val="21"/>
                <w:szCs w:val="24"/>
                <w:lang w:val="en-US" w:eastAsia="zh-CN" w:bidi="ar-SA"/>
              </w:rPr>
            </w:pPr>
            <w:r>
              <w:rPr>
                <w:rFonts w:hint="eastAsia" w:ascii="宋体" w:hAnsi="宋体" w:eastAsia="宋体" w:cs="宋体"/>
                <w:lang w:val="en-US" w:eastAsia="zh-CN"/>
              </w:rPr>
              <w:t>计</w:t>
            </w:r>
            <w:r>
              <w:rPr>
                <w:rFonts w:hint="eastAsia" w:ascii="宋体" w:hAnsi="宋体" w:eastAsia="宋体" w:cs="宋体"/>
                <w:kern w:val="2"/>
                <w:sz w:val="21"/>
                <w:szCs w:val="24"/>
                <w:lang w:val="en-US" w:eastAsia="zh-CN" w:bidi="ar-SA"/>
              </w:rPr>
              <w:t>划1.5天，针对拔的内审员候选人（以管理层为主）开展《测量管理体系内审员资格认证培训》，内容涉及：</w:t>
            </w:r>
          </w:p>
          <w:p>
            <w:pPr>
              <w:numPr>
                <w:ilvl w:val="0"/>
                <w:numId w:val="0"/>
              </w:numPr>
              <w:spacing w:line="240" w:lineRule="auto"/>
              <w:ind w:leftChars="0"/>
              <w:jc w:val="left"/>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1）</w:t>
            </w:r>
            <w:r>
              <w:rPr>
                <w:rFonts w:hint="eastAsia" w:ascii="仿宋_GB2312" w:hAnsi="仿宋_GB2312" w:eastAsia="仿宋_GB2312" w:cs="仿宋_GB2312"/>
                <w:kern w:val="2"/>
                <w:sz w:val="21"/>
                <w:szCs w:val="24"/>
                <w:lang w:val="en-US" w:eastAsia="zh-CN" w:bidi="ar-SA"/>
              </w:rPr>
              <w:t>ISO 10012-2026、GB/T19022、GB17167、相关法律法规、测量管理体系手册等标准深度解读（要求按ISO 10012最新版培训搭建测量体系）</w:t>
            </w:r>
          </w:p>
          <w:p>
            <w:pPr>
              <w:numPr>
                <w:ilvl w:val="0"/>
                <w:numId w:val="0"/>
              </w:numPr>
              <w:spacing w:line="240" w:lineRule="auto"/>
              <w:ind w:leftChars="0"/>
              <w:jc w:val="left"/>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2） 审核策划与检查表编制</w:t>
            </w:r>
          </w:p>
          <w:p>
            <w:pPr>
              <w:numPr>
                <w:ilvl w:val="0"/>
                <w:numId w:val="0"/>
              </w:numPr>
              <w:spacing w:line="240" w:lineRule="auto"/>
              <w:ind w:leftChars="0"/>
              <w:jc w:val="left"/>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3） 现场审核技巧（提问、取证、记录）</w:t>
            </w:r>
          </w:p>
          <w:p>
            <w:pPr>
              <w:numPr>
                <w:ilvl w:val="0"/>
                <w:numId w:val="0"/>
              </w:numPr>
              <w:spacing w:line="240" w:lineRule="auto"/>
              <w:ind w:leftChars="0"/>
              <w:jc w:val="left"/>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4）不符合项判定与报告编写</w:t>
            </w:r>
          </w:p>
          <w:p>
            <w:pPr>
              <w:numPr>
                <w:ilvl w:val="0"/>
                <w:numId w:val="0"/>
              </w:numPr>
              <w:spacing w:line="240" w:lineRule="auto"/>
              <w:ind w:leftChars="0"/>
              <w:jc w:val="left"/>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t>5）审核后续跟踪与验证</w:t>
            </w:r>
          </w:p>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kern w:val="2"/>
                <w:sz w:val="21"/>
                <w:szCs w:val="24"/>
                <w:lang w:val="en-US" w:eastAsia="zh-CN" w:bidi="ar-SA"/>
              </w:rPr>
              <w:t>6）模拟审核演练+取证考试</w:t>
            </w:r>
          </w:p>
        </w:tc>
        <w:tc>
          <w:tcPr>
            <w:tcW w:w="1288" w:type="dxa"/>
            <w:shd w:val="clear" w:color="auto" w:fill="auto"/>
            <w:noWrap w:val="0"/>
            <w:vAlign w:val="center"/>
          </w:tcPr>
          <w:p>
            <w:pPr>
              <w:numPr>
                <w:ilvl w:val="0"/>
                <w:numId w:val="0"/>
              </w:numPr>
              <w:spacing w:line="240" w:lineRule="auto"/>
              <w:ind w:left="0" w:leftChars="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现场</w:t>
            </w:r>
          </w:p>
        </w:tc>
        <w:tc>
          <w:tcPr>
            <w:tcW w:w="1142" w:type="dxa"/>
            <w:shd w:val="clear" w:color="auto" w:fill="auto"/>
            <w:noWrap w:val="0"/>
            <w:vAlign w:val="center"/>
          </w:tcPr>
          <w:p>
            <w:pPr>
              <w:numPr>
                <w:ilvl w:val="0"/>
                <w:numId w:val="0"/>
              </w:numPr>
              <w:spacing w:line="240" w:lineRule="auto"/>
              <w:ind w:left="0" w:leftChars="0"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607"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1370"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取证</w:t>
            </w:r>
          </w:p>
        </w:tc>
        <w:tc>
          <w:tcPr>
            <w:tcW w:w="1681"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t>年</w:t>
            </w:r>
            <w:r>
              <w:rPr>
                <w:rFonts w:hint="eastAsia" w:ascii="宋体" w:hAnsi="宋体" w:cs="宋体"/>
                <w:sz w:val="21"/>
                <w:szCs w:val="21"/>
                <w:lang w:val="en-US" w:eastAsia="zh-CN"/>
              </w:rPr>
              <w:t>（根据新版标准转换进度待定）</w:t>
            </w:r>
          </w:p>
        </w:tc>
        <w:tc>
          <w:tcPr>
            <w:tcW w:w="4453" w:type="dxa"/>
            <w:noWrap w:val="0"/>
            <w:vAlign w:val="center"/>
          </w:tcPr>
          <w:p>
            <w:pPr>
              <w:numPr>
                <w:ilvl w:val="0"/>
                <w:numId w:val="0"/>
              </w:numPr>
              <w:spacing w:line="240" w:lineRule="auto"/>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配合甲方完成测量管理体系AAA认证证书取证</w:t>
            </w:r>
          </w:p>
        </w:tc>
        <w:tc>
          <w:tcPr>
            <w:tcW w:w="1288"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142" w:type="dxa"/>
            <w:noWrap w:val="0"/>
            <w:vAlign w:val="center"/>
          </w:tcPr>
          <w:p>
            <w:pPr>
              <w:numPr>
                <w:ilvl w:val="0"/>
                <w:numId w:val="0"/>
              </w:numPr>
              <w:spacing w:line="240" w:lineRule="auto"/>
              <w:ind w:lef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bl>
    <w:p>
      <w:pPr>
        <w:pStyle w:val="10"/>
        <w:spacing w:line="360" w:lineRule="auto"/>
        <w:rPr>
          <w:rFonts w:hint="default" w:ascii="黑体" w:hAnsi="黑体" w:eastAsia="黑体"/>
          <w:b/>
          <w:bCs/>
          <w:color w:val="000000"/>
          <w:sz w:val="28"/>
          <w:szCs w:val="28"/>
          <w:lang w:val="en-US" w:eastAsia="zh-CN"/>
        </w:rPr>
      </w:pPr>
      <w:r>
        <w:rPr>
          <w:rFonts w:hint="eastAsia"/>
          <w:lang w:val="en-US" w:eastAsia="zh-CN"/>
        </w:rPr>
        <w:t>注：</w:t>
      </w:r>
      <w:r>
        <w:rPr>
          <w:rFonts w:hint="eastAsia" w:ascii="宋体" w:hAnsi="宋体" w:eastAsia="宋体" w:cs="宋体"/>
          <w:sz w:val="21"/>
          <w:szCs w:val="21"/>
          <w:lang w:val="en-US" w:eastAsia="zh-CN"/>
        </w:rPr>
        <w:t>预计时间节点</w:t>
      </w:r>
      <w:r>
        <w:rPr>
          <w:rFonts w:hint="eastAsia" w:hAnsi="宋体" w:cs="宋体"/>
          <w:sz w:val="21"/>
          <w:szCs w:val="21"/>
          <w:lang w:val="en-US" w:eastAsia="zh-CN"/>
        </w:rPr>
        <w:t>可</w:t>
      </w:r>
      <w:r>
        <w:rPr>
          <w:rFonts w:hint="eastAsia"/>
          <w:lang w:val="en-US" w:eastAsia="zh-CN"/>
        </w:rPr>
        <w:t>按项目招标进度制定。</w:t>
      </w:r>
    </w:p>
    <w:p>
      <w:pPr>
        <w:pStyle w:val="10"/>
        <w:spacing w:line="360" w:lineRule="auto"/>
        <w:rPr>
          <w:rFonts w:hint="eastAsia" w:ascii="黑体" w:hAnsi="黑体" w:eastAsia="黑体"/>
          <w:b/>
          <w:bCs/>
          <w:color w:val="000000"/>
          <w:sz w:val="28"/>
          <w:szCs w:val="28"/>
        </w:rPr>
      </w:pPr>
      <w:r>
        <w:rPr>
          <w:rFonts w:hint="eastAsia" w:ascii="黑体" w:hAnsi="黑体" w:eastAsia="黑体"/>
          <w:b/>
          <w:bCs/>
          <w:color w:val="000000"/>
          <w:sz w:val="28"/>
          <w:szCs w:val="28"/>
        </w:rPr>
        <w:t>五、其他</w:t>
      </w:r>
    </w:p>
    <w:p>
      <w:pPr>
        <w:pStyle w:val="10"/>
        <w:spacing w:line="360" w:lineRule="auto"/>
        <w:ind w:firstLine="420" w:firstLineChars="200"/>
      </w:pPr>
      <w:r>
        <w:t>1.</w:t>
      </w:r>
      <w:r>
        <w:rPr>
          <w:rFonts w:hint="eastAsia"/>
        </w:rPr>
        <w:t>投标人承诺对参与该项目所获得的与招标人产品相关的所有信息都予以保密，并承担与此相关的所有法律责任。</w:t>
      </w:r>
    </w:p>
    <w:p>
      <w:pPr>
        <w:pStyle w:val="10"/>
        <w:spacing w:line="360" w:lineRule="auto"/>
        <w:ind w:firstLine="420" w:firstLineChars="200"/>
      </w:pPr>
      <w:r>
        <w:t>2.</w:t>
      </w:r>
      <w:r>
        <w:rPr>
          <w:rFonts w:hint="eastAsia"/>
        </w:rPr>
        <w:t>其余未尽事宜，投标人应与招标人指派的答疑人员充分沟通，理解认可并接受相关技术规范及服务要求。</w:t>
      </w:r>
    </w:p>
    <w:p>
      <w:pPr>
        <w:pStyle w:val="10"/>
        <w:spacing w:line="360" w:lineRule="auto"/>
        <w:jc w:val="center"/>
        <w:rPr>
          <w:rFonts w:hint="eastAsia" w:ascii="黑体" w:eastAsia="黑体"/>
          <w:b/>
          <w:bCs/>
          <w:color w:val="000000"/>
          <w:sz w:val="36"/>
          <w:szCs w:val="36"/>
        </w:rPr>
      </w:pPr>
    </w:p>
    <w:p>
      <w:pPr>
        <w:pStyle w:val="10"/>
        <w:spacing w:line="360" w:lineRule="auto"/>
        <w:jc w:val="center"/>
        <w:rPr>
          <w:rFonts w:ascii="黑体" w:eastAsia="黑体"/>
          <w:b/>
          <w:bCs/>
          <w:color w:val="000000"/>
          <w:sz w:val="36"/>
          <w:szCs w:val="36"/>
        </w:rPr>
      </w:pPr>
      <w:r>
        <w:rPr>
          <w:rFonts w:hint="eastAsia" w:ascii="黑体" w:eastAsia="黑体"/>
          <w:b/>
          <w:bCs/>
          <w:color w:val="000000"/>
          <w:sz w:val="36"/>
          <w:szCs w:val="36"/>
        </w:rPr>
        <w:t>第四章</w:t>
      </w:r>
      <w:r>
        <w:rPr>
          <w:rFonts w:ascii="黑体" w:eastAsia="黑体"/>
          <w:b/>
          <w:bCs/>
          <w:color w:val="000000"/>
          <w:sz w:val="36"/>
          <w:szCs w:val="36"/>
        </w:rPr>
        <w:t xml:space="preserve"> </w:t>
      </w:r>
      <w:r>
        <w:rPr>
          <w:rFonts w:hint="eastAsia" w:ascii="黑体" w:eastAsia="黑体"/>
          <w:b/>
          <w:bCs/>
          <w:color w:val="000000"/>
          <w:sz w:val="36"/>
          <w:szCs w:val="36"/>
        </w:rPr>
        <w:t>中国重汽集团</w:t>
      </w:r>
      <w:r>
        <w:rPr>
          <w:rFonts w:hint="eastAsia" w:ascii="黑体" w:eastAsia="黑体"/>
          <w:b/>
          <w:bCs/>
          <w:color w:val="000000"/>
          <w:sz w:val="36"/>
          <w:szCs w:val="36"/>
          <w:lang w:val="en-US" w:eastAsia="zh-CN"/>
        </w:rPr>
        <w:t>测量体系培训</w:t>
      </w:r>
      <w:r>
        <w:rPr>
          <w:rFonts w:hint="eastAsia" w:ascii="黑体" w:eastAsia="黑体"/>
          <w:b/>
          <w:bCs/>
          <w:color w:val="000000"/>
          <w:sz w:val="36"/>
          <w:szCs w:val="36"/>
        </w:rPr>
        <w:t>合同</w:t>
      </w:r>
    </w:p>
    <w:p>
      <w:pPr>
        <w:pStyle w:val="10"/>
        <w:spacing w:line="360" w:lineRule="auto"/>
        <w:jc w:val="center"/>
        <w:rPr>
          <w:rFonts w:hint="eastAsia" w:hAnsi="宋体"/>
          <w:b/>
          <w:sz w:val="24"/>
          <w:szCs w:val="24"/>
        </w:rPr>
      </w:pPr>
      <w:r>
        <w:rPr>
          <w:rFonts w:hint="eastAsia" w:ascii="黑体" w:eastAsia="黑体"/>
          <w:sz w:val="36"/>
          <w:szCs w:val="36"/>
        </w:rPr>
        <w:t>（以最终签署版本为准）</w:t>
      </w:r>
    </w:p>
    <w:p>
      <w:pPr>
        <w:pStyle w:val="10"/>
        <w:spacing w:line="360" w:lineRule="auto"/>
        <w:ind w:firstLine="420" w:firstLineChars="200"/>
        <w:rPr>
          <w:rFonts w:hint="eastAsia" w:hAnsi="宋体"/>
          <w:color w:val="0000FF"/>
          <w:szCs w:val="22"/>
        </w:rPr>
      </w:pPr>
      <w:r>
        <w:rPr>
          <w:rFonts w:hint="eastAsia"/>
          <w:szCs w:val="22"/>
        </w:rPr>
        <w:t>中标单位与</w:t>
      </w:r>
      <w:r>
        <w:rPr>
          <w:rFonts w:hint="eastAsia"/>
          <w:szCs w:val="22"/>
          <w:lang w:val="en-US" w:eastAsia="zh-CN"/>
        </w:rPr>
        <w:t>招标</w:t>
      </w:r>
      <w:r>
        <w:rPr>
          <w:rFonts w:hint="eastAsia"/>
          <w:szCs w:val="22"/>
        </w:rPr>
        <w:t>单位签订合同，违约责任由</w:t>
      </w:r>
      <w:r>
        <w:rPr>
          <w:rFonts w:hint="eastAsia"/>
          <w:szCs w:val="22"/>
          <w:lang w:val="en-US" w:eastAsia="zh-CN"/>
        </w:rPr>
        <w:t>招标</w:t>
      </w:r>
      <w:r>
        <w:rPr>
          <w:rFonts w:hint="eastAsia"/>
          <w:szCs w:val="22"/>
        </w:rPr>
        <w:t>单位与中标单位协商制定。</w:t>
      </w:r>
    </w:p>
    <w:sectPr>
      <w:headerReference r:id="rId3" w:type="default"/>
      <w:footerReference r:id="rId4" w:type="default"/>
      <w:footerReference r:id="rId5" w:type="even"/>
      <w:pgSz w:w="11906" w:h="16838"/>
      <w:pgMar w:top="1588" w:right="1418" w:bottom="113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2010600030101010101"/>
    <w:charset w:val="52"/>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仿宋_GB2312">
    <w:altName w:val="汉仪仿宋KW"/>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altName w:val="汉仪仿宋KW"/>
    <w:panose1 w:val="02010609060101010101"/>
    <w:charset w:val="86"/>
    <w:family w:val="modern"/>
    <w:pitch w:val="default"/>
    <w:sig w:usb0="00000000" w:usb1="00000000" w:usb2="00000016" w:usb3="00000000" w:csb0="00040001" w:csb1="00000000"/>
  </w:font>
  <w:font w:name="微软雅黑">
    <w:altName w:val="汉仪旗黑KW 55S"/>
    <w:panose1 w:val="020B0503020204020204"/>
    <w:charset w:val="86"/>
    <w:family w:val="swiss"/>
    <w:pitch w:val="default"/>
    <w:sig w:usb0="00000000" w:usb1="00000000" w:usb2="00000016" w:usb3="00000000" w:csb0="0004001F" w:csb1="00000000"/>
  </w:font>
  <w:font w:name="楷体_GB2312">
    <w:altName w:val="汉仪楷体KW"/>
    <w:panose1 w:val="02010609030101010101"/>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汉仪仿宋KW">
    <w:panose1 w:val="00020600040101010101"/>
    <w:charset w:val="86"/>
    <w:family w:val="auto"/>
    <w:pitch w:val="default"/>
    <w:sig w:usb0="A00002BF" w:usb1="18EF7CFA" w:usb2="00000016" w:usb3="00000000" w:csb0="0004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rPr>
        <w:rStyle w:val="23"/>
      </w:rPr>
      <w:fldChar w:fldCharType="begin"/>
    </w:r>
    <w:r>
      <w:rPr>
        <w:rStyle w:val="23"/>
      </w:rPr>
      <w:instrText xml:space="preserve">PAGE  </w:instrText>
    </w:r>
    <w:r>
      <w:rPr>
        <w:rStyle w:val="23"/>
      </w:rPr>
      <w:fldChar w:fldCharType="separate"/>
    </w:r>
    <w:r>
      <w:rPr>
        <w:rStyle w:val="23"/>
      </w:rPr>
      <w:t>- 21 -</w:t>
    </w:r>
    <w:r>
      <w:rPr>
        <w:rStyle w:val="23"/>
      </w:rP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3"/>
      </w:rPr>
    </w:pPr>
    <w:r>
      <w:rPr>
        <w:rStyle w:val="23"/>
      </w:rPr>
      <w:fldChar w:fldCharType="begin"/>
    </w:r>
    <w:r>
      <w:rPr>
        <w:rStyle w:val="23"/>
      </w:rPr>
      <w:instrText xml:space="preserve">PAGE  </w:instrText>
    </w:r>
    <w:r>
      <w:rPr>
        <w:rStyle w:val="23"/>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w:t>
    </w:r>
    <w:r>
      <w:rPr>
        <w:rFonts w:ascii="楷体_GB2312" w:eastAsia="楷体_GB2312"/>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D0E33F"/>
    <w:multiLevelType w:val="singleLevel"/>
    <w:tmpl w:val="E4D0E33F"/>
    <w:lvl w:ilvl="0" w:tentative="0">
      <w:start w:val="4"/>
      <w:numFmt w:val="decimal"/>
      <w:lvlText w:val="%1."/>
      <w:lvlJc w:val="left"/>
      <w:pPr>
        <w:tabs>
          <w:tab w:val="left" w:pos="312"/>
        </w:tabs>
      </w:pPr>
    </w:lvl>
  </w:abstractNum>
  <w:abstractNum w:abstractNumId="1">
    <w:nsid w:val="06882CE3"/>
    <w:multiLevelType w:val="multilevel"/>
    <w:tmpl w:val="06882CE3"/>
    <w:lvl w:ilvl="0" w:tentative="0">
      <w:start w:val="1"/>
      <w:numFmt w:val="decimal"/>
      <w:pStyle w:val="52"/>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2">
    <w:nsid w:val="2CC074AB"/>
    <w:multiLevelType w:val="multilevel"/>
    <w:tmpl w:val="2CC074AB"/>
    <w:lvl w:ilvl="0" w:tentative="0">
      <w:start w:val="1"/>
      <w:numFmt w:val="decimal"/>
      <w:lvlText w:val="%1．"/>
      <w:lvlJc w:val="left"/>
      <w:pPr>
        <w:tabs>
          <w:tab w:val="left" w:pos="795"/>
        </w:tabs>
        <w:ind w:left="795" w:hanging="360"/>
      </w:pPr>
      <w:rPr>
        <w:rFonts w:hint="eastAsia" w:cs="Times New Roman"/>
      </w:rPr>
    </w:lvl>
    <w:lvl w:ilvl="1" w:tentative="0">
      <w:start w:val="1"/>
      <w:numFmt w:val="lowerLetter"/>
      <w:lvlText w:val="%2)"/>
      <w:lvlJc w:val="left"/>
      <w:pPr>
        <w:tabs>
          <w:tab w:val="left" w:pos="1275"/>
        </w:tabs>
        <w:ind w:left="1275" w:hanging="420"/>
      </w:pPr>
      <w:rPr>
        <w:rFonts w:cs="Times New Roman"/>
      </w:rPr>
    </w:lvl>
    <w:lvl w:ilvl="2" w:tentative="0">
      <w:start w:val="1"/>
      <w:numFmt w:val="lowerRoman"/>
      <w:lvlText w:val="%3."/>
      <w:lvlJc w:val="right"/>
      <w:pPr>
        <w:tabs>
          <w:tab w:val="left" w:pos="1695"/>
        </w:tabs>
        <w:ind w:left="1695" w:hanging="420"/>
      </w:pPr>
      <w:rPr>
        <w:rFonts w:cs="Times New Roman"/>
      </w:rPr>
    </w:lvl>
    <w:lvl w:ilvl="3" w:tentative="0">
      <w:start w:val="1"/>
      <w:numFmt w:val="decimal"/>
      <w:lvlText w:val="%4."/>
      <w:lvlJc w:val="left"/>
      <w:pPr>
        <w:tabs>
          <w:tab w:val="left" w:pos="2115"/>
        </w:tabs>
        <w:ind w:left="2115" w:hanging="420"/>
      </w:pPr>
      <w:rPr>
        <w:rFonts w:cs="Times New Roman"/>
      </w:rPr>
    </w:lvl>
    <w:lvl w:ilvl="4" w:tentative="0">
      <w:start w:val="1"/>
      <w:numFmt w:val="lowerLetter"/>
      <w:lvlText w:val="%5)"/>
      <w:lvlJc w:val="left"/>
      <w:pPr>
        <w:tabs>
          <w:tab w:val="left" w:pos="2535"/>
        </w:tabs>
        <w:ind w:left="2535" w:hanging="420"/>
      </w:pPr>
      <w:rPr>
        <w:rFonts w:cs="Times New Roman"/>
      </w:rPr>
    </w:lvl>
    <w:lvl w:ilvl="5" w:tentative="0">
      <w:start w:val="1"/>
      <w:numFmt w:val="lowerRoman"/>
      <w:lvlText w:val="%6."/>
      <w:lvlJc w:val="right"/>
      <w:pPr>
        <w:tabs>
          <w:tab w:val="left" w:pos="2955"/>
        </w:tabs>
        <w:ind w:left="2955" w:hanging="420"/>
      </w:pPr>
      <w:rPr>
        <w:rFonts w:cs="Times New Roman"/>
      </w:rPr>
    </w:lvl>
    <w:lvl w:ilvl="6" w:tentative="0">
      <w:start w:val="1"/>
      <w:numFmt w:val="decimal"/>
      <w:lvlText w:val="%7."/>
      <w:lvlJc w:val="left"/>
      <w:pPr>
        <w:tabs>
          <w:tab w:val="left" w:pos="3375"/>
        </w:tabs>
        <w:ind w:left="3375" w:hanging="420"/>
      </w:pPr>
      <w:rPr>
        <w:rFonts w:cs="Times New Roman"/>
      </w:rPr>
    </w:lvl>
    <w:lvl w:ilvl="7" w:tentative="0">
      <w:start w:val="1"/>
      <w:numFmt w:val="lowerLetter"/>
      <w:lvlText w:val="%8)"/>
      <w:lvlJc w:val="left"/>
      <w:pPr>
        <w:tabs>
          <w:tab w:val="left" w:pos="3795"/>
        </w:tabs>
        <w:ind w:left="3795" w:hanging="420"/>
      </w:pPr>
      <w:rPr>
        <w:rFonts w:cs="Times New Roman"/>
      </w:rPr>
    </w:lvl>
    <w:lvl w:ilvl="8" w:tentative="0">
      <w:start w:val="1"/>
      <w:numFmt w:val="lowerRoman"/>
      <w:lvlText w:val="%9."/>
      <w:lvlJc w:val="right"/>
      <w:pPr>
        <w:tabs>
          <w:tab w:val="left" w:pos="4215"/>
        </w:tabs>
        <w:ind w:left="4215" w:hanging="420"/>
      </w:pPr>
      <w:rPr>
        <w:rFonts w:cs="Times New Roman"/>
      </w:rPr>
    </w:lvl>
  </w:abstractNum>
  <w:abstractNum w:abstractNumId="3">
    <w:nsid w:val="3E7E4D3F"/>
    <w:multiLevelType w:val="singleLevel"/>
    <w:tmpl w:val="3E7E4D3F"/>
    <w:lvl w:ilvl="0" w:tentative="0">
      <w:start w:val="1"/>
      <w:numFmt w:val="decimal"/>
      <w:suff w:val="nothing"/>
      <w:lvlText w:val="%1、"/>
      <w:lvlJc w:val="left"/>
    </w:lvl>
  </w:abstractNum>
  <w:abstractNum w:abstractNumId="4">
    <w:nsid w:val="40DA778E"/>
    <w:multiLevelType w:val="singleLevel"/>
    <w:tmpl w:val="40DA778E"/>
    <w:lvl w:ilvl="0" w:tentative="0">
      <w:start w:val="1"/>
      <w:numFmt w:val="decimal"/>
      <w:suff w:val="nothing"/>
      <w:lvlText w:val="%1）"/>
      <w:lvlJc w:val="left"/>
    </w:lvl>
  </w:abstractNum>
  <w:abstractNum w:abstractNumId="5">
    <w:nsid w:val="656A6EAE"/>
    <w:multiLevelType w:val="multilevel"/>
    <w:tmpl w:val="656A6EAE"/>
    <w:lvl w:ilvl="0" w:tentative="0">
      <w:start w:val="1"/>
      <w:numFmt w:val="chineseCountingThousand"/>
      <w:pStyle w:val="53"/>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7BC33692"/>
    <w:multiLevelType w:val="multilevel"/>
    <w:tmpl w:val="7BC33692"/>
    <w:lvl w:ilvl="0" w:tentative="0">
      <w:start w:val="1"/>
      <w:numFmt w:val="decimal"/>
      <w:lvlText w:val="%1、"/>
      <w:lvlJc w:val="left"/>
      <w:pPr>
        <w:tabs>
          <w:tab w:val="left" w:pos="840"/>
        </w:tabs>
        <w:ind w:left="990" w:hanging="360"/>
      </w:pPr>
      <w:rPr>
        <w:rFonts w:hint="default"/>
      </w:rPr>
    </w:lvl>
    <w:lvl w:ilvl="1" w:tentative="0">
      <w:start w:val="1"/>
      <w:numFmt w:val="lowerLetter"/>
      <w:lvlText w:val="%2)"/>
      <w:lvlJc w:val="left"/>
      <w:pPr>
        <w:tabs>
          <w:tab w:val="left" w:pos="1320"/>
        </w:tabs>
        <w:ind w:left="1470" w:hanging="420"/>
      </w:pPr>
    </w:lvl>
    <w:lvl w:ilvl="2" w:tentative="0">
      <w:start w:val="1"/>
      <w:numFmt w:val="lowerRoman"/>
      <w:lvlText w:val="%3."/>
      <w:lvlJc w:val="right"/>
      <w:pPr>
        <w:tabs>
          <w:tab w:val="left" w:pos="1740"/>
        </w:tabs>
        <w:ind w:left="1890" w:hanging="420"/>
      </w:pPr>
    </w:lvl>
    <w:lvl w:ilvl="3" w:tentative="0">
      <w:start w:val="1"/>
      <w:numFmt w:val="decimal"/>
      <w:lvlText w:val="%4."/>
      <w:lvlJc w:val="left"/>
      <w:pPr>
        <w:tabs>
          <w:tab w:val="left" w:pos="2160"/>
        </w:tabs>
        <w:ind w:left="2310" w:hanging="420"/>
      </w:pPr>
    </w:lvl>
    <w:lvl w:ilvl="4" w:tentative="0">
      <w:start w:val="1"/>
      <w:numFmt w:val="lowerLetter"/>
      <w:lvlText w:val="%5)"/>
      <w:lvlJc w:val="left"/>
      <w:pPr>
        <w:tabs>
          <w:tab w:val="left" w:pos="2580"/>
        </w:tabs>
        <w:ind w:left="2730" w:hanging="420"/>
      </w:pPr>
    </w:lvl>
    <w:lvl w:ilvl="5" w:tentative="0">
      <w:start w:val="1"/>
      <w:numFmt w:val="lowerRoman"/>
      <w:lvlText w:val="%6."/>
      <w:lvlJc w:val="right"/>
      <w:pPr>
        <w:tabs>
          <w:tab w:val="left" w:pos="3000"/>
        </w:tabs>
        <w:ind w:left="3150" w:hanging="420"/>
      </w:pPr>
    </w:lvl>
    <w:lvl w:ilvl="6" w:tentative="0">
      <w:start w:val="1"/>
      <w:numFmt w:val="decimal"/>
      <w:lvlText w:val="%7."/>
      <w:lvlJc w:val="left"/>
      <w:pPr>
        <w:tabs>
          <w:tab w:val="left" w:pos="3420"/>
        </w:tabs>
        <w:ind w:left="3570" w:hanging="420"/>
      </w:pPr>
    </w:lvl>
    <w:lvl w:ilvl="7" w:tentative="0">
      <w:start w:val="1"/>
      <w:numFmt w:val="lowerLetter"/>
      <w:lvlText w:val="%8)"/>
      <w:lvlJc w:val="left"/>
      <w:pPr>
        <w:tabs>
          <w:tab w:val="left" w:pos="3840"/>
        </w:tabs>
        <w:ind w:left="3990" w:hanging="420"/>
      </w:pPr>
    </w:lvl>
    <w:lvl w:ilvl="8" w:tentative="0">
      <w:start w:val="1"/>
      <w:numFmt w:val="lowerRoman"/>
      <w:lvlText w:val="%9."/>
      <w:lvlJc w:val="right"/>
      <w:pPr>
        <w:tabs>
          <w:tab w:val="left" w:pos="4260"/>
        </w:tabs>
        <w:ind w:left="4410" w:hanging="420"/>
      </w:pPr>
    </w:lvl>
  </w:abstractNum>
  <w:num w:numId="1">
    <w:abstractNumId w:val="1"/>
  </w:num>
  <w:num w:numId="2">
    <w:abstractNumId w:val="5"/>
  </w:num>
  <w:num w:numId="3">
    <w:abstractNumId w:val="0"/>
  </w:num>
  <w:num w:numId="4">
    <w:abstractNumId w:val="2"/>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5ZmVmZWQ1NzQ2ZDhlMTIzNjhkZDYxZjM0MWJhNzgifQ=="/>
  </w:docVars>
  <w:rsids>
    <w:rsidRoot w:val="003447BF"/>
    <w:rsid w:val="000014D3"/>
    <w:rsid w:val="00001C5A"/>
    <w:rsid w:val="00001DCB"/>
    <w:rsid w:val="000056AD"/>
    <w:rsid w:val="00005AF4"/>
    <w:rsid w:val="00006391"/>
    <w:rsid w:val="00007986"/>
    <w:rsid w:val="00007DC2"/>
    <w:rsid w:val="00010983"/>
    <w:rsid w:val="00010BB4"/>
    <w:rsid w:val="00011CD2"/>
    <w:rsid w:val="000126A7"/>
    <w:rsid w:val="00013B94"/>
    <w:rsid w:val="000140D2"/>
    <w:rsid w:val="000142C2"/>
    <w:rsid w:val="00016CB2"/>
    <w:rsid w:val="0002113D"/>
    <w:rsid w:val="00021DC4"/>
    <w:rsid w:val="00022BFC"/>
    <w:rsid w:val="00023513"/>
    <w:rsid w:val="000254D3"/>
    <w:rsid w:val="00025BE7"/>
    <w:rsid w:val="00025E3D"/>
    <w:rsid w:val="00025E68"/>
    <w:rsid w:val="00032A9E"/>
    <w:rsid w:val="00032F3A"/>
    <w:rsid w:val="00033243"/>
    <w:rsid w:val="00033E4A"/>
    <w:rsid w:val="0003453C"/>
    <w:rsid w:val="00035188"/>
    <w:rsid w:val="000351DE"/>
    <w:rsid w:val="00035800"/>
    <w:rsid w:val="000360F9"/>
    <w:rsid w:val="000370BC"/>
    <w:rsid w:val="00040024"/>
    <w:rsid w:val="000406A3"/>
    <w:rsid w:val="00040FBF"/>
    <w:rsid w:val="000426B5"/>
    <w:rsid w:val="00043761"/>
    <w:rsid w:val="000437B4"/>
    <w:rsid w:val="00043B31"/>
    <w:rsid w:val="00043E7D"/>
    <w:rsid w:val="00044D50"/>
    <w:rsid w:val="0005298D"/>
    <w:rsid w:val="000547D0"/>
    <w:rsid w:val="00055A4F"/>
    <w:rsid w:val="000573F2"/>
    <w:rsid w:val="00057421"/>
    <w:rsid w:val="00057D63"/>
    <w:rsid w:val="00060239"/>
    <w:rsid w:val="0006053F"/>
    <w:rsid w:val="00060FC1"/>
    <w:rsid w:val="000626B3"/>
    <w:rsid w:val="0006535F"/>
    <w:rsid w:val="00066685"/>
    <w:rsid w:val="00066F51"/>
    <w:rsid w:val="00067867"/>
    <w:rsid w:val="00067D3C"/>
    <w:rsid w:val="0007042D"/>
    <w:rsid w:val="0007070F"/>
    <w:rsid w:val="00070DC8"/>
    <w:rsid w:val="00071741"/>
    <w:rsid w:val="00071B86"/>
    <w:rsid w:val="00072D95"/>
    <w:rsid w:val="00074924"/>
    <w:rsid w:val="00074AC3"/>
    <w:rsid w:val="0007576F"/>
    <w:rsid w:val="000803B4"/>
    <w:rsid w:val="0008080E"/>
    <w:rsid w:val="00082151"/>
    <w:rsid w:val="000825CD"/>
    <w:rsid w:val="00082F55"/>
    <w:rsid w:val="00083710"/>
    <w:rsid w:val="000838CC"/>
    <w:rsid w:val="00083C90"/>
    <w:rsid w:val="000843E1"/>
    <w:rsid w:val="0008454C"/>
    <w:rsid w:val="00086313"/>
    <w:rsid w:val="000940E3"/>
    <w:rsid w:val="00094304"/>
    <w:rsid w:val="00094EC9"/>
    <w:rsid w:val="00096D2D"/>
    <w:rsid w:val="000A202D"/>
    <w:rsid w:val="000A2BA0"/>
    <w:rsid w:val="000A4A8C"/>
    <w:rsid w:val="000A5072"/>
    <w:rsid w:val="000A6339"/>
    <w:rsid w:val="000B137E"/>
    <w:rsid w:val="000B1727"/>
    <w:rsid w:val="000B4F4F"/>
    <w:rsid w:val="000B5136"/>
    <w:rsid w:val="000B5234"/>
    <w:rsid w:val="000B527D"/>
    <w:rsid w:val="000B6DD8"/>
    <w:rsid w:val="000B705B"/>
    <w:rsid w:val="000B7C0F"/>
    <w:rsid w:val="000C0E43"/>
    <w:rsid w:val="000C1BB6"/>
    <w:rsid w:val="000C5E0E"/>
    <w:rsid w:val="000C7DA4"/>
    <w:rsid w:val="000D14A9"/>
    <w:rsid w:val="000D2EA0"/>
    <w:rsid w:val="000D486E"/>
    <w:rsid w:val="000D49B6"/>
    <w:rsid w:val="000D4D7C"/>
    <w:rsid w:val="000D4EA2"/>
    <w:rsid w:val="000D5ACE"/>
    <w:rsid w:val="000D6C0C"/>
    <w:rsid w:val="000D7A5B"/>
    <w:rsid w:val="000E0D2C"/>
    <w:rsid w:val="000E141B"/>
    <w:rsid w:val="000E1805"/>
    <w:rsid w:val="000E329A"/>
    <w:rsid w:val="000E356E"/>
    <w:rsid w:val="000E70CB"/>
    <w:rsid w:val="000E7114"/>
    <w:rsid w:val="000F02A3"/>
    <w:rsid w:val="000F0B6C"/>
    <w:rsid w:val="000F1C22"/>
    <w:rsid w:val="000F37CE"/>
    <w:rsid w:val="000F456F"/>
    <w:rsid w:val="000F5488"/>
    <w:rsid w:val="000F54AD"/>
    <w:rsid w:val="00100754"/>
    <w:rsid w:val="001023B1"/>
    <w:rsid w:val="00102A52"/>
    <w:rsid w:val="00102F85"/>
    <w:rsid w:val="00103481"/>
    <w:rsid w:val="00103856"/>
    <w:rsid w:val="00103A1B"/>
    <w:rsid w:val="00106078"/>
    <w:rsid w:val="001103E6"/>
    <w:rsid w:val="00110947"/>
    <w:rsid w:val="00112A18"/>
    <w:rsid w:val="0011354F"/>
    <w:rsid w:val="00114A6A"/>
    <w:rsid w:val="001160D8"/>
    <w:rsid w:val="00117152"/>
    <w:rsid w:val="00117F5E"/>
    <w:rsid w:val="0012053A"/>
    <w:rsid w:val="00120F1C"/>
    <w:rsid w:val="00121794"/>
    <w:rsid w:val="00121FD9"/>
    <w:rsid w:val="001228DF"/>
    <w:rsid w:val="0012339E"/>
    <w:rsid w:val="00123E3F"/>
    <w:rsid w:val="00124DC8"/>
    <w:rsid w:val="00125162"/>
    <w:rsid w:val="001258FA"/>
    <w:rsid w:val="00125D7B"/>
    <w:rsid w:val="001267B8"/>
    <w:rsid w:val="00126ED2"/>
    <w:rsid w:val="001302DE"/>
    <w:rsid w:val="00131694"/>
    <w:rsid w:val="00131E0F"/>
    <w:rsid w:val="001341BF"/>
    <w:rsid w:val="00135EBC"/>
    <w:rsid w:val="0013630E"/>
    <w:rsid w:val="00136356"/>
    <w:rsid w:val="001369FF"/>
    <w:rsid w:val="00140381"/>
    <w:rsid w:val="0014056C"/>
    <w:rsid w:val="00140736"/>
    <w:rsid w:val="0014187D"/>
    <w:rsid w:val="0014234D"/>
    <w:rsid w:val="001427B1"/>
    <w:rsid w:val="001458B6"/>
    <w:rsid w:val="00147091"/>
    <w:rsid w:val="001471D4"/>
    <w:rsid w:val="0015024C"/>
    <w:rsid w:val="00152193"/>
    <w:rsid w:val="00152259"/>
    <w:rsid w:val="001531DD"/>
    <w:rsid w:val="001532D1"/>
    <w:rsid w:val="001533AA"/>
    <w:rsid w:val="00153684"/>
    <w:rsid w:val="00155DD3"/>
    <w:rsid w:val="00156266"/>
    <w:rsid w:val="00156A1E"/>
    <w:rsid w:val="00156DC9"/>
    <w:rsid w:val="00157B9E"/>
    <w:rsid w:val="001609DF"/>
    <w:rsid w:val="00161531"/>
    <w:rsid w:val="00162435"/>
    <w:rsid w:val="00162592"/>
    <w:rsid w:val="00162999"/>
    <w:rsid w:val="0016501A"/>
    <w:rsid w:val="001652C8"/>
    <w:rsid w:val="001656BB"/>
    <w:rsid w:val="00165E58"/>
    <w:rsid w:val="00166CE5"/>
    <w:rsid w:val="001708B6"/>
    <w:rsid w:val="00171675"/>
    <w:rsid w:val="0017247D"/>
    <w:rsid w:val="00172ADC"/>
    <w:rsid w:val="001749E7"/>
    <w:rsid w:val="00174A06"/>
    <w:rsid w:val="0017622A"/>
    <w:rsid w:val="00176B3A"/>
    <w:rsid w:val="00180B5E"/>
    <w:rsid w:val="00180DE7"/>
    <w:rsid w:val="00181F6A"/>
    <w:rsid w:val="0018208D"/>
    <w:rsid w:val="00182978"/>
    <w:rsid w:val="00183116"/>
    <w:rsid w:val="00186A61"/>
    <w:rsid w:val="0018701C"/>
    <w:rsid w:val="00187848"/>
    <w:rsid w:val="00187CDD"/>
    <w:rsid w:val="0019057F"/>
    <w:rsid w:val="00190D59"/>
    <w:rsid w:val="00191B51"/>
    <w:rsid w:val="00191E43"/>
    <w:rsid w:val="001953D9"/>
    <w:rsid w:val="001A03D2"/>
    <w:rsid w:val="001A0476"/>
    <w:rsid w:val="001A0538"/>
    <w:rsid w:val="001A0547"/>
    <w:rsid w:val="001A0ABE"/>
    <w:rsid w:val="001A7750"/>
    <w:rsid w:val="001B00E7"/>
    <w:rsid w:val="001B13F5"/>
    <w:rsid w:val="001B1B87"/>
    <w:rsid w:val="001B1F29"/>
    <w:rsid w:val="001B388A"/>
    <w:rsid w:val="001B51E6"/>
    <w:rsid w:val="001B6A93"/>
    <w:rsid w:val="001C04E2"/>
    <w:rsid w:val="001C109C"/>
    <w:rsid w:val="001C3AEE"/>
    <w:rsid w:val="001C3E67"/>
    <w:rsid w:val="001C4AD2"/>
    <w:rsid w:val="001C5900"/>
    <w:rsid w:val="001C5908"/>
    <w:rsid w:val="001C6C19"/>
    <w:rsid w:val="001C70F9"/>
    <w:rsid w:val="001D0690"/>
    <w:rsid w:val="001D12D4"/>
    <w:rsid w:val="001D1DF0"/>
    <w:rsid w:val="001D5258"/>
    <w:rsid w:val="001D5E0B"/>
    <w:rsid w:val="001D6A5D"/>
    <w:rsid w:val="001D6DED"/>
    <w:rsid w:val="001E0B6D"/>
    <w:rsid w:val="001E1FE5"/>
    <w:rsid w:val="001E2AFF"/>
    <w:rsid w:val="001E3429"/>
    <w:rsid w:val="001E3895"/>
    <w:rsid w:val="001E38D6"/>
    <w:rsid w:val="001E397B"/>
    <w:rsid w:val="001E39F6"/>
    <w:rsid w:val="001E4691"/>
    <w:rsid w:val="001E5882"/>
    <w:rsid w:val="001E63F0"/>
    <w:rsid w:val="001E6406"/>
    <w:rsid w:val="001E6F28"/>
    <w:rsid w:val="001E70D0"/>
    <w:rsid w:val="001F0458"/>
    <w:rsid w:val="001F0DEC"/>
    <w:rsid w:val="001F139C"/>
    <w:rsid w:val="001F25F8"/>
    <w:rsid w:val="001F337F"/>
    <w:rsid w:val="001F46E7"/>
    <w:rsid w:val="001F73CB"/>
    <w:rsid w:val="00200980"/>
    <w:rsid w:val="00201382"/>
    <w:rsid w:val="00201687"/>
    <w:rsid w:val="00201D34"/>
    <w:rsid w:val="0020244E"/>
    <w:rsid w:val="002033F6"/>
    <w:rsid w:val="00203CED"/>
    <w:rsid w:val="00203CF7"/>
    <w:rsid w:val="002047D2"/>
    <w:rsid w:val="00204CAD"/>
    <w:rsid w:val="00205586"/>
    <w:rsid w:val="00206B5F"/>
    <w:rsid w:val="00206D6F"/>
    <w:rsid w:val="002075B3"/>
    <w:rsid w:val="00210FD5"/>
    <w:rsid w:val="00212815"/>
    <w:rsid w:val="00212D33"/>
    <w:rsid w:val="00212F98"/>
    <w:rsid w:val="002131A6"/>
    <w:rsid w:val="00213C71"/>
    <w:rsid w:val="00215597"/>
    <w:rsid w:val="002157D9"/>
    <w:rsid w:val="0021644E"/>
    <w:rsid w:val="00216AA3"/>
    <w:rsid w:val="002178FD"/>
    <w:rsid w:val="0022017A"/>
    <w:rsid w:val="00223BB6"/>
    <w:rsid w:val="00223FED"/>
    <w:rsid w:val="00226D20"/>
    <w:rsid w:val="002272FC"/>
    <w:rsid w:val="0023079D"/>
    <w:rsid w:val="002315C8"/>
    <w:rsid w:val="00234E3D"/>
    <w:rsid w:val="002353D7"/>
    <w:rsid w:val="00235929"/>
    <w:rsid w:val="0023657F"/>
    <w:rsid w:val="00236F49"/>
    <w:rsid w:val="00237048"/>
    <w:rsid w:val="00237497"/>
    <w:rsid w:val="002401A4"/>
    <w:rsid w:val="002401EC"/>
    <w:rsid w:val="00240742"/>
    <w:rsid w:val="00240890"/>
    <w:rsid w:val="00240B8A"/>
    <w:rsid w:val="0024330F"/>
    <w:rsid w:val="00243948"/>
    <w:rsid w:val="00243FAB"/>
    <w:rsid w:val="002444B8"/>
    <w:rsid w:val="00245CCD"/>
    <w:rsid w:val="00246414"/>
    <w:rsid w:val="002510B3"/>
    <w:rsid w:val="002516D9"/>
    <w:rsid w:val="0025278D"/>
    <w:rsid w:val="002536FC"/>
    <w:rsid w:val="00253E44"/>
    <w:rsid w:val="00254642"/>
    <w:rsid w:val="0025474D"/>
    <w:rsid w:val="00255AC4"/>
    <w:rsid w:val="00256680"/>
    <w:rsid w:val="00256E96"/>
    <w:rsid w:val="002575B7"/>
    <w:rsid w:val="0026010A"/>
    <w:rsid w:val="00264203"/>
    <w:rsid w:val="0026442A"/>
    <w:rsid w:val="002650E7"/>
    <w:rsid w:val="002714D2"/>
    <w:rsid w:val="00271A2C"/>
    <w:rsid w:val="00272D15"/>
    <w:rsid w:val="0027316E"/>
    <w:rsid w:val="00274153"/>
    <w:rsid w:val="00274683"/>
    <w:rsid w:val="0027584C"/>
    <w:rsid w:val="00277408"/>
    <w:rsid w:val="00277BF5"/>
    <w:rsid w:val="00277EFC"/>
    <w:rsid w:val="002806B7"/>
    <w:rsid w:val="00281377"/>
    <w:rsid w:val="00284D88"/>
    <w:rsid w:val="00284EC4"/>
    <w:rsid w:val="00285919"/>
    <w:rsid w:val="00285A1A"/>
    <w:rsid w:val="00285D9D"/>
    <w:rsid w:val="00286355"/>
    <w:rsid w:val="002908CC"/>
    <w:rsid w:val="00291E63"/>
    <w:rsid w:val="00292ED3"/>
    <w:rsid w:val="0029420A"/>
    <w:rsid w:val="00297CE2"/>
    <w:rsid w:val="002A00F9"/>
    <w:rsid w:val="002A0850"/>
    <w:rsid w:val="002A1468"/>
    <w:rsid w:val="002A1CDF"/>
    <w:rsid w:val="002A254B"/>
    <w:rsid w:val="002A272D"/>
    <w:rsid w:val="002A2AAF"/>
    <w:rsid w:val="002A3535"/>
    <w:rsid w:val="002A56BD"/>
    <w:rsid w:val="002A659D"/>
    <w:rsid w:val="002A7705"/>
    <w:rsid w:val="002B032B"/>
    <w:rsid w:val="002B12F1"/>
    <w:rsid w:val="002B1789"/>
    <w:rsid w:val="002B2899"/>
    <w:rsid w:val="002B2A94"/>
    <w:rsid w:val="002B3AA8"/>
    <w:rsid w:val="002B3DD0"/>
    <w:rsid w:val="002B4765"/>
    <w:rsid w:val="002B5016"/>
    <w:rsid w:val="002B510D"/>
    <w:rsid w:val="002B5135"/>
    <w:rsid w:val="002B54A3"/>
    <w:rsid w:val="002B5881"/>
    <w:rsid w:val="002B5BE4"/>
    <w:rsid w:val="002B6E49"/>
    <w:rsid w:val="002C14BD"/>
    <w:rsid w:val="002C2DDA"/>
    <w:rsid w:val="002C38B5"/>
    <w:rsid w:val="002C44D2"/>
    <w:rsid w:val="002C4A24"/>
    <w:rsid w:val="002C662D"/>
    <w:rsid w:val="002C7657"/>
    <w:rsid w:val="002C7B8F"/>
    <w:rsid w:val="002D037B"/>
    <w:rsid w:val="002D046C"/>
    <w:rsid w:val="002D0A2B"/>
    <w:rsid w:val="002D10B9"/>
    <w:rsid w:val="002D1F57"/>
    <w:rsid w:val="002D3628"/>
    <w:rsid w:val="002D3F03"/>
    <w:rsid w:val="002D478F"/>
    <w:rsid w:val="002D50D1"/>
    <w:rsid w:val="002D6590"/>
    <w:rsid w:val="002D6CA1"/>
    <w:rsid w:val="002D700F"/>
    <w:rsid w:val="002D713C"/>
    <w:rsid w:val="002D79E9"/>
    <w:rsid w:val="002D7C1A"/>
    <w:rsid w:val="002E0BDC"/>
    <w:rsid w:val="002E3F33"/>
    <w:rsid w:val="002E556A"/>
    <w:rsid w:val="002E6D4A"/>
    <w:rsid w:val="002E7155"/>
    <w:rsid w:val="002F0674"/>
    <w:rsid w:val="002F0FEF"/>
    <w:rsid w:val="002F2D1C"/>
    <w:rsid w:val="002F41D5"/>
    <w:rsid w:val="002F4F8D"/>
    <w:rsid w:val="002F4F93"/>
    <w:rsid w:val="002F65D5"/>
    <w:rsid w:val="002F6FEE"/>
    <w:rsid w:val="002F73C1"/>
    <w:rsid w:val="0030183C"/>
    <w:rsid w:val="00302A83"/>
    <w:rsid w:val="00303AD0"/>
    <w:rsid w:val="003046ED"/>
    <w:rsid w:val="00304E5C"/>
    <w:rsid w:val="003058C6"/>
    <w:rsid w:val="003058F1"/>
    <w:rsid w:val="00305DF1"/>
    <w:rsid w:val="00306B9C"/>
    <w:rsid w:val="00307850"/>
    <w:rsid w:val="0031082A"/>
    <w:rsid w:val="00312AD3"/>
    <w:rsid w:val="00313189"/>
    <w:rsid w:val="00314898"/>
    <w:rsid w:val="0031577A"/>
    <w:rsid w:val="00316501"/>
    <w:rsid w:val="0031690F"/>
    <w:rsid w:val="00317A5B"/>
    <w:rsid w:val="00320D27"/>
    <w:rsid w:val="003221B4"/>
    <w:rsid w:val="0032300C"/>
    <w:rsid w:val="00323B1A"/>
    <w:rsid w:val="00323D93"/>
    <w:rsid w:val="0032586C"/>
    <w:rsid w:val="00326159"/>
    <w:rsid w:val="00326B4B"/>
    <w:rsid w:val="00326EB9"/>
    <w:rsid w:val="0033057F"/>
    <w:rsid w:val="00330AA6"/>
    <w:rsid w:val="00331BD6"/>
    <w:rsid w:val="00333CF8"/>
    <w:rsid w:val="00334BAC"/>
    <w:rsid w:val="00334FCD"/>
    <w:rsid w:val="00335566"/>
    <w:rsid w:val="003367A4"/>
    <w:rsid w:val="00336E65"/>
    <w:rsid w:val="00337328"/>
    <w:rsid w:val="00337877"/>
    <w:rsid w:val="00340A81"/>
    <w:rsid w:val="0034223B"/>
    <w:rsid w:val="00342314"/>
    <w:rsid w:val="00343B68"/>
    <w:rsid w:val="003447BF"/>
    <w:rsid w:val="00344B0C"/>
    <w:rsid w:val="003450FE"/>
    <w:rsid w:val="003453B7"/>
    <w:rsid w:val="00345A9C"/>
    <w:rsid w:val="00346AA1"/>
    <w:rsid w:val="00347301"/>
    <w:rsid w:val="0035039C"/>
    <w:rsid w:val="00350E58"/>
    <w:rsid w:val="00352375"/>
    <w:rsid w:val="0035253E"/>
    <w:rsid w:val="003556DC"/>
    <w:rsid w:val="00355F34"/>
    <w:rsid w:val="00360B4A"/>
    <w:rsid w:val="00360C77"/>
    <w:rsid w:val="003635F7"/>
    <w:rsid w:val="0036435F"/>
    <w:rsid w:val="00364B71"/>
    <w:rsid w:val="00366187"/>
    <w:rsid w:val="00367B96"/>
    <w:rsid w:val="003708CD"/>
    <w:rsid w:val="003726A5"/>
    <w:rsid w:val="00372F98"/>
    <w:rsid w:val="00374C5D"/>
    <w:rsid w:val="00376454"/>
    <w:rsid w:val="00380A39"/>
    <w:rsid w:val="0038469B"/>
    <w:rsid w:val="00385342"/>
    <w:rsid w:val="00386E3B"/>
    <w:rsid w:val="00387F41"/>
    <w:rsid w:val="00390585"/>
    <w:rsid w:val="003912FA"/>
    <w:rsid w:val="003922C0"/>
    <w:rsid w:val="0039243F"/>
    <w:rsid w:val="00392C7E"/>
    <w:rsid w:val="0039301D"/>
    <w:rsid w:val="00395590"/>
    <w:rsid w:val="00396005"/>
    <w:rsid w:val="00396151"/>
    <w:rsid w:val="003962B6"/>
    <w:rsid w:val="0039756F"/>
    <w:rsid w:val="003A142B"/>
    <w:rsid w:val="003A22A0"/>
    <w:rsid w:val="003A3633"/>
    <w:rsid w:val="003A5AB3"/>
    <w:rsid w:val="003B15CB"/>
    <w:rsid w:val="003B2025"/>
    <w:rsid w:val="003B224A"/>
    <w:rsid w:val="003B4A6D"/>
    <w:rsid w:val="003B6F25"/>
    <w:rsid w:val="003B74CC"/>
    <w:rsid w:val="003C06AB"/>
    <w:rsid w:val="003C0D3E"/>
    <w:rsid w:val="003C1D15"/>
    <w:rsid w:val="003C2CF3"/>
    <w:rsid w:val="003C4BB9"/>
    <w:rsid w:val="003C5136"/>
    <w:rsid w:val="003C51CE"/>
    <w:rsid w:val="003C54AE"/>
    <w:rsid w:val="003C7AC5"/>
    <w:rsid w:val="003C7AC8"/>
    <w:rsid w:val="003D0033"/>
    <w:rsid w:val="003D09AE"/>
    <w:rsid w:val="003D0FCA"/>
    <w:rsid w:val="003D192F"/>
    <w:rsid w:val="003D2165"/>
    <w:rsid w:val="003D24E4"/>
    <w:rsid w:val="003D6390"/>
    <w:rsid w:val="003D77DF"/>
    <w:rsid w:val="003D7BF1"/>
    <w:rsid w:val="003E1132"/>
    <w:rsid w:val="003E135A"/>
    <w:rsid w:val="003E1783"/>
    <w:rsid w:val="003E264E"/>
    <w:rsid w:val="003E2B07"/>
    <w:rsid w:val="003E2F40"/>
    <w:rsid w:val="003E523A"/>
    <w:rsid w:val="003E7138"/>
    <w:rsid w:val="003E7A55"/>
    <w:rsid w:val="003F1410"/>
    <w:rsid w:val="003F18EF"/>
    <w:rsid w:val="003F1F40"/>
    <w:rsid w:val="003F2A8C"/>
    <w:rsid w:val="003F3692"/>
    <w:rsid w:val="003F6DAA"/>
    <w:rsid w:val="003F7999"/>
    <w:rsid w:val="004007F3"/>
    <w:rsid w:val="00403331"/>
    <w:rsid w:val="00404B70"/>
    <w:rsid w:val="004068B2"/>
    <w:rsid w:val="00407649"/>
    <w:rsid w:val="00410D46"/>
    <w:rsid w:val="004123EC"/>
    <w:rsid w:val="00412A67"/>
    <w:rsid w:val="00413830"/>
    <w:rsid w:val="0041463B"/>
    <w:rsid w:val="004149D8"/>
    <w:rsid w:val="00415718"/>
    <w:rsid w:val="00415E31"/>
    <w:rsid w:val="004171AC"/>
    <w:rsid w:val="00417894"/>
    <w:rsid w:val="00417AE1"/>
    <w:rsid w:val="00417CD5"/>
    <w:rsid w:val="00420A69"/>
    <w:rsid w:val="00421716"/>
    <w:rsid w:val="00422AF4"/>
    <w:rsid w:val="00422F71"/>
    <w:rsid w:val="004242C0"/>
    <w:rsid w:val="004246EF"/>
    <w:rsid w:val="00424959"/>
    <w:rsid w:val="00424CEC"/>
    <w:rsid w:val="00425890"/>
    <w:rsid w:val="00425E22"/>
    <w:rsid w:val="00430D3D"/>
    <w:rsid w:val="0043100B"/>
    <w:rsid w:val="00431929"/>
    <w:rsid w:val="004320A4"/>
    <w:rsid w:val="00432CA1"/>
    <w:rsid w:val="00432D9A"/>
    <w:rsid w:val="00432F85"/>
    <w:rsid w:val="004331B4"/>
    <w:rsid w:val="004338F3"/>
    <w:rsid w:val="00433B7C"/>
    <w:rsid w:val="00435041"/>
    <w:rsid w:val="00435C8F"/>
    <w:rsid w:val="00436CC4"/>
    <w:rsid w:val="004375C2"/>
    <w:rsid w:val="00437EF7"/>
    <w:rsid w:val="004408FF"/>
    <w:rsid w:val="00440B29"/>
    <w:rsid w:val="004411FD"/>
    <w:rsid w:val="004419A1"/>
    <w:rsid w:val="00441AFD"/>
    <w:rsid w:val="00441EA6"/>
    <w:rsid w:val="004439A5"/>
    <w:rsid w:val="00444400"/>
    <w:rsid w:val="00445613"/>
    <w:rsid w:val="00446B20"/>
    <w:rsid w:val="0044784B"/>
    <w:rsid w:val="00450712"/>
    <w:rsid w:val="004525CF"/>
    <w:rsid w:val="00454AB3"/>
    <w:rsid w:val="00455615"/>
    <w:rsid w:val="004558A9"/>
    <w:rsid w:val="00455952"/>
    <w:rsid w:val="00456A3C"/>
    <w:rsid w:val="00460CD9"/>
    <w:rsid w:val="00461D9C"/>
    <w:rsid w:val="00461E1E"/>
    <w:rsid w:val="00461E65"/>
    <w:rsid w:val="004624BF"/>
    <w:rsid w:val="00462BC1"/>
    <w:rsid w:val="00462E2E"/>
    <w:rsid w:val="00463340"/>
    <w:rsid w:val="004639DA"/>
    <w:rsid w:val="004640C9"/>
    <w:rsid w:val="004659B1"/>
    <w:rsid w:val="004676EE"/>
    <w:rsid w:val="00470100"/>
    <w:rsid w:val="004757B3"/>
    <w:rsid w:val="00477794"/>
    <w:rsid w:val="00481BA2"/>
    <w:rsid w:val="00483729"/>
    <w:rsid w:val="004843CF"/>
    <w:rsid w:val="00484890"/>
    <w:rsid w:val="00484D0F"/>
    <w:rsid w:val="00484DAB"/>
    <w:rsid w:val="00484DBA"/>
    <w:rsid w:val="004855E0"/>
    <w:rsid w:val="00490786"/>
    <w:rsid w:val="00490A89"/>
    <w:rsid w:val="0049186D"/>
    <w:rsid w:val="0049288B"/>
    <w:rsid w:val="00492A36"/>
    <w:rsid w:val="00492E73"/>
    <w:rsid w:val="00494087"/>
    <w:rsid w:val="0049408B"/>
    <w:rsid w:val="00494CA1"/>
    <w:rsid w:val="0049581C"/>
    <w:rsid w:val="0049768D"/>
    <w:rsid w:val="004A0138"/>
    <w:rsid w:val="004A1AE2"/>
    <w:rsid w:val="004A2295"/>
    <w:rsid w:val="004A28D1"/>
    <w:rsid w:val="004A6294"/>
    <w:rsid w:val="004A650B"/>
    <w:rsid w:val="004A73B5"/>
    <w:rsid w:val="004A7621"/>
    <w:rsid w:val="004A78E9"/>
    <w:rsid w:val="004B0197"/>
    <w:rsid w:val="004B08A6"/>
    <w:rsid w:val="004B09E9"/>
    <w:rsid w:val="004B203C"/>
    <w:rsid w:val="004B2F5D"/>
    <w:rsid w:val="004B38C6"/>
    <w:rsid w:val="004B486A"/>
    <w:rsid w:val="004B4950"/>
    <w:rsid w:val="004B58F5"/>
    <w:rsid w:val="004B7614"/>
    <w:rsid w:val="004C1193"/>
    <w:rsid w:val="004C15BD"/>
    <w:rsid w:val="004C204E"/>
    <w:rsid w:val="004C2141"/>
    <w:rsid w:val="004C3F09"/>
    <w:rsid w:val="004C485E"/>
    <w:rsid w:val="004C5E79"/>
    <w:rsid w:val="004C60F2"/>
    <w:rsid w:val="004D0EBD"/>
    <w:rsid w:val="004D177C"/>
    <w:rsid w:val="004D1DEE"/>
    <w:rsid w:val="004D26A6"/>
    <w:rsid w:val="004D3345"/>
    <w:rsid w:val="004D6E6A"/>
    <w:rsid w:val="004D70FC"/>
    <w:rsid w:val="004E0B2D"/>
    <w:rsid w:val="004E4688"/>
    <w:rsid w:val="004E52C0"/>
    <w:rsid w:val="004F2DD3"/>
    <w:rsid w:val="004F47A8"/>
    <w:rsid w:val="004F50BC"/>
    <w:rsid w:val="004F5278"/>
    <w:rsid w:val="004F5827"/>
    <w:rsid w:val="004F6792"/>
    <w:rsid w:val="004F726A"/>
    <w:rsid w:val="004F78CE"/>
    <w:rsid w:val="00501A26"/>
    <w:rsid w:val="0050287F"/>
    <w:rsid w:val="00505662"/>
    <w:rsid w:val="00506771"/>
    <w:rsid w:val="00506F0F"/>
    <w:rsid w:val="00507DB0"/>
    <w:rsid w:val="005108CD"/>
    <w:rsid w:val="00513345"/>
    <w:rsid w:val="005137E5"/>
    <w:rsid w:val="00513892"/>
    <w:rsid w:val="00514CE7"/>
    <w:rsid w:val="00515BAC"/>
    <w:rsid w:val="00515D14"/>
    <w:rsid w:val="00515ED3"/>
    <w:rsid w:val="005207CB"/>
    <w:rsid w:val="00521E68"/>
    <w:rsid w:val="005225BE"/>
    <w:rsid w:val="005258B1"/>
    <w:rsid w:val="005259EE"/>
    <w:rsid w:val="0052786D"/>
    <w:rsid w:val="00527875"/>
    <w:rsid w:val="00527A89"/>
    <w:rsid w:val="00527CA1"/>
    <w:rsid w:val="00530470"/>
    <w:rsid w:val="0053060F"/>
    <w:rsid w:val="00531A31"/>
    <w:rsid w:val="005327D0"/>
    <w:rsid w:val="00534424"/>
    <w:rsid w:val="00535477"/>
    <w:rsid w:val="00537577"/>
    <w:rsid w:val="00537F86"/>
    <w:rsid w:val="005404C5"/>
    <w:rsid w:val="00541DDC"/>
    <w:rsid w:val="005435FD"/>
    <w:rsid w:val="00543AA0"/>
    <w:rsid w:val="00544A90"/>
    <w:rsid w:val="005450F5"/>
    <w:rsid w:val="00545984"/>
    <w:rsid w:val="005461DF"/>
    <w:rsid w:val="0055043D"/>
    <w:rsid w:val="00550F3A"/>
    <w:rsid w:val="00551123"/>
    <w:rsid w:val="00551317"/>
    <w:rsid w:val="00551492"/>
    <w:rsid w:val="005515D7"/>
    <w:rsid w:val="00554280"/>
    <w:rsid w:val="00556EF9"/>
    <w:rsid w:val="00562C90"/>
    <w:rsid w:val="00562D9E"/>
    <w:rsid w:val="00562F3F"/>
    <w:rsid w:val="00564C35"/>
    <w:rsid w:val="00565140"/>
    <w:rsid w:val="005666BC"/>
    <w:rsid w:val="00567EE7"/>
    <w:rsid w:val="00570BBF"/>
    <w:rsid w:val="00571A54"/>
    <w:rsid w:val="00573BA8"/>
    <w:rsid w:val="005746D2"/>
    <w:rsid w:val="005750B6"/>
    <w:rsid w:val="0057534A"/>
    <w:rsid w:val="005754CE"/>
    <w:rsid w:val="00576694"/>
    <w:rsid w:val="0058088C"/>
    <w:rsid w:val="00580BF4"/>
    <w:rsid w:val="0058150B"/>
    <w:rsid w:val="00581E43"/>
    <w:rsid w:val="00582FC4"/>
    <w:rsid w:val="0058351A"/>
    <w:rsid w:val="0058593C"/>
    <w:rsid w:val="005859DD"/>
    <w:rsid w:val="0058737F"/>
    <w:rsid w:val="005877F8"/>
    <w:rsid w:val="00590E34"/>
    <w:rsid w:val="00591228"/>
    <w:rsid w:val="00591809"/>
    <w:rsid w:val="00591B3D"/>
    <w:rsid w:val="00591B98"/>
    <w:rsid w:val="00591FD1"/>
    <w:rsid w:val="005A0210"/>
    <w:rsid w:val="005A58E1"/>
    <w:rsid w:val="005B0C68"/>
    <w:rsid w:val="005B0FF9"/>
    <w:rsid w:val="005B1BF3"/>
    <w:rsid w:val="005B22E0"/>
    <w:rsid w:val="005B4FD4"/>
    <w:rsid w:val="005B5E03"/>
    <w:rsid w:val="005B78B8"/>
    <w:rsid w:val="005B7D81"/>
    <w:rsid w:val="005C1667"/>
    <w:rsid w:val="005C1F5E"/>
    <w:rsid w:val="005C223C"/>
    <w:rsid w:val="005C35EA"/>
    <w:rsid w:val="005C36E5"/>
    <w:rsid w:val="005C3EBF"/>
    <w:rsid w:val="005C43D6"/>
    <w:rsid w:val="005C46B4"/>
    <w:rsid w:val="005C48AC"/>
    <w:rsid w:val="005C520D"/>
    <w:rsid w:val="005C57D4"/>
    <w:rsid w:val="005C61FD"/>
    <w:rsid w:val="005C662C"/>
    <w:rsid w:val="005D0FAF"/>
    <w:rsid w:val="005D19A1"/>
    <w:rsid w:val="005D1F17"/>
    <w:rsid w:val="005D2326"/>
    <w:rsid w:val="005D2F1F"/>
    <w:rsid w:val="005D31AB"/>
    <w:rsid w:val="005D569B"/>
    <w:rsid w:val="005D59EF"/>
    <w:rsid w:val="005D63A5"/>
    <w:rsid w:val="005D7CEF"/>
    <w:rsid w:val="005D7E2E"/>
    <w:rsid w:val="005E1353"/>
    <w:rsid w:val="005E1F43"/>
    <w:rsid w:val="005E276D"/>
    <w:rsid w:val="005E388B"/>
    <w:rsid w:val="005E50FA"/>
    <w:rsid w:val="005E62E2"/>
    <w:rsid w:val="005E7251"/>
    <w:rsid w:val="005E7503"/>
    <w:rsid w:val="005F2FDA"/>
    <w:rsid w:val="005F4152"/>
    <w:rsid w:val="005F6885"/>
    <w:rsid w:val="005F6EEB"/>
    <w:rsid w:val="005F76A1"/>
    <w:rsid w:val="005F79B1"/>
    <w:rsid w:val="006004CC"/>
    <w:rsid w:val="00600FB7"/>
    <w:rsid w:val="00601DB5"/>
    <w:rsid w:val="0060404B"/>
    <w:rsid w:val="006053FA"/>
    <w:rsid w:val="0060581A"/>
    <w:rsid w:val="00605886"/>
    <w:rsid w:val="00607354"/>
    <w:rsid w:val="006073AC"/>
    <w:rsid w:val="00610E7F"/>
    <w:rsid w:val="00610EC5"/>
    <w:rsid w:val="00613265"/>
    <w:rsid w:val="006148E3"/>
    <w:rsid w:val="00614E7B"/>
    <w:rsid w:val="006155BE"/>
    <w:rsid w:val="006160AC"/>
    <w:rsid w:val="00621536"/>
    <w:rsid w:val="00621AED"/>
    <w:rsid w:val="00624CCB"/>
    <w:rsid w:val="00625984"/>
    <w:rsid w:val="00625FAB"/>
    <w:rsid w:val="00627355"/>
    <w:rsid w:val="00627715"/>
    <w:rsid w:val="006309DA"/>
    <w:rsid w:val="00630E44"/>
    <w:rsid w:val="00630EF0"/>
    <w:rsid w:val="00631FAE"/>
    <w:rsid w:val="00631FD7"/>
    <w:rsid w:val="00632470"/>
    <w:rsid w:val="0063268A"/>
    <w:rsid w:val="006329B9"/>
    <w:rsid w:val="00632AFC"/>
    <w:rsid w:val="00632CE5"/>
    <w:rsid w:val="00633892"/>
    <w:rsid w:val="0063460A"/>
    <w:rsid w:val="006348DA"/>
    <w:rsid w:val="00635B90"/>
    <w:rsid w:val="00635BC3"/>
    <w:rsid w:val="00637C80"/>
    <w:rsid w:val="00640E88"/>
    <w:rsid w:val="00640F33"/>
    <w:rsid w:val="006411A5"/>
    <w:rsid w:val="006412A7"/>
    <w:rsid w:val="006422D1"/>
    <w:rsid w:val="0064270E"/>
    <w:rsid w:val="006437DD"/>
    <w:rsid w:val="00645776"/>
    <w:rsid w:val="00645FB2"/>
    <w:rsid w:val="00646647"/>
    <w:rsid w:val="00647775"/>
    <w:rsid w:val="00650211"/>
    <w:rsid w:val="00650B1F"/>
    <w:rsid w:val="00652522"/>
    <w:rsid w:val="00654FCF"/>
    <w:rsid w:val="0065560D"/>
    <w:rsid w:val="00655E63"/>
    <w:rsid w:val="006570AD"/>
    <w:rsid w:val="00657394"/>
    <w:rsid w:val="006606B7"/>
    <w:rsid w:val="0066106E"/>
    <w:rsid w:val="00662BC7"/>
    <w:rsid w:val="006639D2"/>
    <w:rsid w:val="0066495C"/>
    <w:rsid w:val="00664EFB"/>
    <w:rsid w:val="006668D4"/>
    <w:rsid w:val="00671303"/>
    <w:rsid w:val="0067145D"/>
    <w:rsid w:val="00672389"/>
    <w:rsid w:val="00672805"/>
    <w:rsid w:val="00672E17"/>
    <w:rsid w:val="00672FCF"/>
    <w:rsid w:val="0067471C"/>
    <w:rsid w:val="006777B0"/>
    <w:rsid w:val="006778F7"/>
    <w:rsid w:val="00677917"/>
    <w:rsid w:val="006802D8"/>
    <w:rsid w:val="006802D9"/>
    <w:rsid w:val="0068129B"/>
    <w:rsid w:val="006820B2"/>
    <w:rsid w:val="00682721"/>
    <w:rsid w:val="0068306B"/>
    <w:rsid w:val="00684592"/>
    <w:rsid w:val="00687831"/>
    <w:rsid w:val="00687ED7"/>
    <w:rsid w:val="006913DE"/>
    <w:rsid w:val="0069148D"/>
    <w:rsid w:val="00691F50"/>
    <w:rsid w:val="00692FF4"/>
    <w:rsid w:val="00694336"/>
    <w:rsid w:val="00694BB6"/>
    <w:rsid w:val="00695499"/>
    <w:rsid w:val="00696044"/>
    <w:rsid w:val="00696C1F"/>
    <w:rsid w:val="0069780A"/>
    <w:rsid w:val="00697B53"/>
    <w:rsid w:val="006A05A6"/>
    <w:rsid w:val="006A2099"/>
    <w:rsid w:val="006A449C"/>
    <w:rsid w:val="006A4EC8"/>
    <w:rsid w:val="006A7297"/>
    <w:rsid w:val="006A756D"/>
    <w:rsid w:val="006A75D9"/>
    <w:rsid w:val="006B1E24"/>
    <w:rsid w:val="006B44BF"/>
    <w:rsid w:val="006B4AAF"/>
    <w:rsid w:val="006B5F1F"/>
    <w:rsid w:val="006B631E"/>
    <w:rsid w:val="006B6FA0"/>
    <w:rsid w:val="006B7817"/>
    <w:rsid w:val="006C08AD"/>
    <w:rsid w:val="006C0AEC"/>
    <w:rsid w:val="006C2298"/>
    <w:rsid w:val="006C31FA"/>
    <w:rsid w:val="006C3235"/>
    <w:rsid w:val="006C38D4"/>
    <w:rsid w:val="006C5C0F"/>
    <w:rsid w:val="006C78F6"/>
    <w:rsid w:val="006D10B8"/>
    <w:rsid w:val="006D2177"/>
    <w:rsid w:val="006D2764"/>
    <w:rsid w:val="006D57CF"/>
    <w:rsid w:val="006D5A9E"/>
    <w:rsid w:val="006D6441"/>
    <w:rsid w:val="006D6545"/>
    <w:rsid w:val="006D6563"/>
    <w:rsid w:val="006D6805"/>
    <w:rsid w:val="006D6F56"/>
    <w:rsid w:val="006D7E84"/>
    <w:rsid w:val="006E5AF1"/>
    <w:rsid w:val="006E672C"/>
    <w:rsid w:val="006E721B"/>
    <w:rsid w:val="006E7E32"/>
    <w:rsid w:val="006E7F33"/>
    <w:rsid w:val="006F1AD4"/>
    <w:rsid w:val="006F1DCB"/>
    <w:rsid w:val="006F2AC1"/>
    <w:rsid w:val="006F2EA5"/>
    <w:rsid w:val="006F3577"/>
    <w:rsid w:val="006F35C0"/>
    <w:rsid w:val="006F381E"/>
    <w:rsid w:val="006F3F76"/>
    <w:rsid w:val="006F440D"/>
    <w:rsid w:val="006F5FD9"/>
    <w:rsid w:val="006F6406"/>
    <w:rsid w:val="006F6435"/>
    <w:rsid w:val="006F671B"/>
    <w:rsid w:val="006F7DF7"/>
    <w:rsid w:val="00700FBD"/>
    <w:rsid w:val="007015F7"/>
    <w:rsid w:val="007033C6"/>
    <w:rsid w:val="0070398B"/>
    <w:rsid w:val="007049FC"/>
    <w:rsid w:val="00705463"/>
    <w:rsid w:val="00710D1D"/>
    <w:rsid w:val="00710EF6"/>
    <w:rsid w:val="00711B2C"/>
    <w:rsid w:val="00713420"/>
    <w:rsid w:val="007139F3"/>
    <w:rsid w:val="007143A8"/>
    <w:rsid w:val="00715110"/>
    <w:rsid w:val="007159A1"/>
    <w:rsid w:val="00717311"/>
    <w:rsid w:val="00721369"/>
    <w:rsid w:val="0072186C"/>
    <w:rsid w:val="00722583"/>
    <w:rsid w:val="00722F2C"/>
    <w:rsid w:val="00723A39"/>
    <w:rsid w:val="00723CE5"/>
    <w:rsid w:val="00725C8B"/>
    <w:rsid w:val="00725FFD"/>
    <w:rsid w:val="00726307"/>
    <w:rsid w:val="00727A51"/>
    <w:rsid w:val="00730B7D"/>
    <w:rsid w:val="00731078"/>
    <w:rsid w:val="007318AE"/>
    <w:rsid w:val="0073305A"/>
    <w:rsid w:val="0073330E"/>
    <w:rsid w:val="00733D2E"/>
    <w:rsid w:val="007342E0"/>
    <w:rsid w:val="00734438"/>
    <w:rsid w:val="007344E4"/>
    <w:rsid w:val="007419A1"/>
    <w:rsid w:val="00742F76"/>
    <w:rsid w:val="00743666"/>
    <w:rsid w:val="00743A46"/>
    <w:rsid w:val="0074486C"/>
    <w:rsid w:val="00745327"/>
    <w:rsid w:val="007453E8"/>
    <w:rsid w:val="007463A7"/>
    <w:rsid w:val="00746D34"/>
    <w:rsid w:val="007521DE"/>
    <w:rsid w:val="0075368D"/>
    <w:rsid w:val="00753930"/>
    <w:rsid w:val="007542FA"/>
    <w:rsid w:val="007562AD"/>
    <w:rsid w:val="007612AE"/>
    <w:rsid w:val="00762289"/>
    <w:rsid w:val="00762FEC"/>
    <w:rsid w:val="007642C4"/>
    <w:rsid w:val="00764566"/>
    <w:rsid w:val="007645E6"/>
    <w:rsid w:val="00765AEA"/>
    <w:rsid w:val="007662FE"/>
    <w:rsid w:val="007705BC"/>
    <w:rsid w:val="0077075F"/>
    <w:rsid w:val="0077085D"/>
    <w:rsid w:val="007709D0"/>
    <w:rsid w:val="00770C5D"/>
    <w:rsid w:val="00771D1F"/>
    <w:rsid w:val="007731F9"/>
    <w:rsid w:val="00773510"/>
    <w:rsid w:val="0077359E"/>
    <w:rsid w:val="0077395B"/>
    <w:rsid w:val="00775CED"/>
    <w:rsid w:val="00775E59"/>
    <w:rsid w:val="00782386"/>
    <w:rsid w:val="0078322F"/>
    <w:rsid w:val="007832E9"/>
    <w:rsid w:val="007834B6"/>
    <w:rsid w:val="00785913"/>
    <w:rsid w:val="0078746D"/>
    <w:rsid w:val="00787A3F"/>
    <w:rsid w:val="00790063"/>
    <w:rsid w:val="0079220F"/>
    <w:rsid w:val="00792CAB"/>
    <w:rsid w:val="00792E85"/>
    <w:rsid w:val="00793075"/>
    <w:rsid w:val="007945B4"/>
    <w:rsid w:val="007945ED"/>
    <w:rsid w:val="00796D5F"/>
    <w:rsid w:val="00797A2B"/>
    <w:rsid w:val="00797BFF"/>
    <w:rsid w:val="007A018B"/>
    <w:rsid w:val="007A0717"/>
    <w:rsid w:val="007A1B56"/>
    <w:rsid w:val="007A2423"/>
    <w:rsid w:val="007A353D"/>
    <w:rsid w:val="007A3655"/>
    <w:rsid w:val="007A59E0"/>
    <w:rsid w:val="007A5DEE"/>
    <w:rsid w:val="007B080B"/>
    <w:rsid w:val="007B4862"/>
    <w:rsid w:val="007B49C2"/>
    <w:rsid w:val="007B6326"/>
    <w:rsid w:val="007B6981"/>
    <w:rsid w:val="007B719E"/>
    <w:rsid w:val="007B757E"/>
    <w:rsid w:val="007C14F8"/>
    <w:rsid w:val="007C3C81"/>
    <w:rsid w:val="007C4B05"/>
    <w:rsid w:val="007C697E"/>
    <w:rsid w:val="007C7DC2"/>
    <w:rsid w:val="007D1154"/>
    <w:rsid w:val="007D1FB0"/>
    <w:rsid w:val="007D30D7"/>
    <w:rsid w:val="007D46BA"/>
    <w:rsid w:val="007D47A1"/>
    <w:rsid w:val="007D5935"/>
    <w:rsid w:val="007D6102"/>
    <w:rsid w:val="007D7AD5"/>
    <w:rsid w:val="007E0ABF"/>
    <w:rsid w:val="007E2B5E"/>
    <w:rsid w:val="007E2B7E"/>
    <w:rsid w:val="007E2FF6"/>
    <w:rsid w:val="007E3074"/>
    <w:rsid w:val="007E38F3"/>
    <w:rsid w:val="007E4D8D"/>
    <w:rsid w:val="007E4F6C"/>
    <w:rsid w:val="007F039D"/>
    <w:rsid w:val="007F07A9"/>
    <w:rsid w:val="007F1558"/>
    <w:rsid w:val="007F1875"/>
    <w:rsid w:val="007F24A7"/>
    <w:rsid w:val="007F4BC2"/>
    <w:rsid w:val="007F626F"/>
    <w:rsid w:val="007F64AF"/>
    <w:rsid w:val="007F6B93"/>
    <w:rsid w:val="00800195"/>
    <w:rsid w:val="00801B62"/>
    <w:rsid w:val="00803356"/>
    <w:rsid w:val="008036D4"/>
    <w:rsid w:val="00803F4B"/>
    <w:rsid w:val="008058C3"/>
    <w:rsid w:val="00805D62"/>
    <w:rsid w:val="00806BE7"/>
    <w:rsid w:val="00807210"/>
    <w:rsid w:val="00810E5C"/>
    <w:rsid w:val="008110D7"/>
    <w:rsid w:val="00811EBD"/>
    <w:rsid w:val="008137CD"/>
    <w:rsid w:val="00813F8C"/>
    <w:rsid w:val="00814026"/>
    <w:rsid w:val="00817CE7"/>
    <w:rsid w:val="00820009"/>
    <w:rsid w:val="00820578"/>
    <w:rsid w:val="00820930"/>
    <w:rsid w:val="00821E68"/>
    <w:rsid w:val="00823134"/>
    <w:rsid w:val="00823398"/>
    <w:rsid w:val="00826CA4"/>
    <w:rsid w:val="00827EA0"/>
    <w:rsid w:val="00827EAD"/>
    <w:rsid w:val="00830163"/>
    <w:rsid w:val="00830975"/>
    <w:rsid w:val="00832B8E"/>
    <w:rsid w:val="00836DC4"/>
    <w:rsid w:val="00837177"/>
    <w:rsid w:val="00837FCC"/>
    <w:rsid w:val="00840B0A"/>
    <w:rsid w:val="00841A0A"/>
    <w:rsid w:val="00843399"/>
    <w:rsid w:val="0084430E"/>
    <w:rsid w:val="008466E3"/>
    <w:rsid w:val="00847726"/>
    <w:rsid w:val="00847DB5"/>
    <w:rsid w:val="00850EC0"/>
    <w:rsid w:val="00851F89"/>
    <w:rsid w:val="008526DD"/>
    <w:rsid w:val="0085272F"/>
    <w:rsid w:val="00853E8A"/>
    <w:rsid w:val="00853EB2"/>
    <w:rsid w:val="00853FE6"/>
    <w:rsid w:val="008559F4"/>
    <w:rsid w:val="0085757E"/>
    <w:rsid w:val="0085794F"/>
    <w:rsid w:val="00861E76"/>
    <w:rsid w:val="00862B4C"/>
    <w:rsid w:val="008630FD"/>
    <w:rsid w:val="0086411E"/>
    <w:rsid w:val="0086429C"/>
    <w:rsid w:val="008649D1"/>
    <w:rsid w:val="008654AE"/>
    <w:rsid w:val="008658BB"/>
    <w:rsid w:val="00866DA7"/>
    <w:rsid w:val="008674CD"/>
    <w:rsid w:val="008679C9"/>
    <w:rsid w:val="008679F6"/>
    <w:rsid w:val="0087092A"/>
    <w:rsid w:val="00870B0F"/>
    <w:rsid w:val="0087440B"/>
    <w:rsid w:val="008745AD"/>
    <w:rsid w:val="00874DE7"/>
    <w:rsid w:val="0087632A"/>
    <w:rsid w:val="00876D70"/>
    <w:rsid w:val="00880798"/>
    <w:rsid w:val="00880D12"/>
    <w:rsid w:val="00880D58"/>
    <w:rsid w:val="008819D4"/>
    <w:rsid w:val="00881E95"/>
    <w:rsid w:val="00883BE6"/>
    <w:rsid w:val="008846ED"/>
    <w:rsid w:val="00885613"/>
    <w:rsid w:val="00886422"/>
    <w:rsid w:val="008869C4"/>
    <w:rsid w:val="0088717D"/>
    <w:rsid w:val="008878FC"/>
    <w:rsid w:val="00891A49"/>
    <w:rsid w:val="00893AA2"/>
    <w:rsid w:val="008945FF"/>
    <w:rsid w:val="00894C81"/>
    <w:rsid w:val="0089571A"/>
    <w:rsid w:val="00896120"/>
    <w:rsid w:val="00896E5E"/>
    <w:rsid w:val="00897D64"/>
    <w:rsid w:val="008A2087"/>
    <w:rsid w:val="008A2477"/>
    <w:rsid w:val="008A28A2"/>
    <w:rsid w:val="008A42B3"/>
    <w:rsid w:val="008A4F7D"/>
    <w:rsid w:val="008A540F"/>
    <w:rsid w:val="008A6E7C"/>
    <w:rsid w:val="008A7463"/>
    <w:rsid w:val="008A7DBD"/>
    <w:rsid w:val="008B0B59"/>
    <w:rsid w:val="008B6BFF"/>
    <w:rsid w:val="008B6D3A"/>
    <w:rsid w:val="008C0184"/>
    <w:rsid w:val="008C0A62"/>
    <w:rsid w:val="008C10A9"/>
    <w:rsid w:val="008C2B24"/>
    <w:rsid w:val="008C5279"/>
    <w:rsid w:val="008C5747"/>
    <w:rsid w:val="008C6338"/>
    <w:rsid w:val="008C652A"/>
    <w:rsid w:val="008C7E21"/>
    <w:rsid w:val="008D0336"/>
    <w:rsid w:val="008D2B91"/>
    <w:rsid w:val="008D2D16"/>
    <w:rsid w:val="008D36FA"/>
    <w:rsid w:val="008D3D26"/>
    <w:rsid w:val="008D4549"/>
    <w:rsid w:val="008D487B"/>
    <w:rsid w:val="008D4BD5"/>
    <w:rsid w:val="008D5BE8"/>
    <w:rsid w:val="008D6AA2"/>
    <w:rsid w:val="008D6FCD"/>
    <w:rsid w:val="008D735D"/>
    <w:rsid w:val="008E08A0"/>
    <w:rsid w:val="008E0A5A"/>
    <w:rsid w:val="008E1610"/>
    <w:rsid w:val="008E271A"/>
    <w:rsid w:val="008E28DD"/>
    <w:rsid w:val="008E3E26"/>
    <w:rsid w:val="008E7B9F"/>
    <w:rsid w:val="008F0684"/>
    <w:rsid w:val="008F2214"/>
    <w:rsid w:val="008F2568"/>
    <w:rsid w:val="008F3AFA"/>
    <w:rsid w:val="008F56AE"/>
    <w:rsid w:val="008F5A62"/>
    <w:rsid w:val="008F7BFD"/>
    <w:rsid w:val="0090052B"/>
    <w:rsid w:val="00901E23"/>
    <w:rsid w:val="00902060"/>
    <w:rsid w:val="00904DC5"/>
    <w:rsid w:val="009066A7"/>
    <w:rsid w:val="009104F3"/>
    <w:rsid w:val="00911C5E"/>
    <w:rsid w:val="00913CDD"/>
    <w:rsid w:val="00914EFB"/>
    <w:rsid w:val="009150BF"/>
    <w:rsid w:val="00915164"/>
    <w:rsid w:val="00915394"/>
    <w:rsid w:val="0091553F"/>
    <w:rsid w:val="00915CD9"/>
    <w:rsid w:val="00916629"/>
    <w:rsid w:val="00916C78"/>
    <w:rsid w:val="009174CA"/>
    <w:rsid w:val="009200C4"/>
    <w:rsid w:val="00920171"/>
    <w:rsid w:val="00920A48"/>
    <w:rsid w:val="009215E9"/>
    <w:rsid w:val="00921760"/>
    <w:rsid w:val="0092344D"/>
    <w:rsid w:val="009237D0"/>
    <w:rsid w:val="00926466"/>
    <w:rsid w:val="00927473"/>
    <w:rsid w:val="00930A81"/>
    <w:rsid w:val="00930E5C"/>
    <w:rsid w:val="00932939"/>
    <w:rsid w:val="00932D8E"/>
    <w:rsid w:val="0093415D"/>
    <w:rsid w:val="0093430C"/>
    <w:rsid w:val="00935C03"/>
    <w:rsid w:val="009364E3"/>
    <w:rsid w:val="00936C11"/>
    <w:rsid w:val="009370FD"/>
    <w:rsid w:val="009371A7"/>
    <w:rsid w:val="00937F8F"/>
    <w:rsid w:val="0094039C"/>
    <w:rsid w:val="0094095B"/>
    <w:rsid w:val="00941611"/>
    <w:rsid w:val="0094166B"/>
    <w:rsid w:val="00941FF1"/>
    <w:rsid w:val="009423B2"/>
    <w:rsid w:val="00943285"/>
    <w:rsid w:val="0094424A"/>
    <w:rsid w:val="009448CF"/>
    <w:rsid w:val="00950371"/>
    <w:rsid w:val="009506F3"/>
    <w:rsid w:val="009515BA"/>
    <w:rsid w:val="009526DC"/>
    <w:rsid w:val="00952F99"/>
    <w:rsid w:val="00956F4B"/>
    <w:rsid w:val="009572D5"/>
    <w:rsid w:val="00960520"/>
    <w:rsid w:val="00960564"/>
    <w:rsid w:val="009614B8"/>
    <w:rsid w:val="00962652"/>
    <w:rsid w:val="009626D9"/>
    <w:rsid w:val="0096282A"/>
    <w:rsid w:val="00963680"/>
    <w:rsid w:val="009653DD"/>
    <w:rsid w:val="00965FCF"/>
    <w:rsid w:val="0096767C"/>
    <w:rsid w:val="0097115D"/>
    <w:rsid w:val="0097238B"/>
    <w:rsid w:val="00973331"/>
    <w:rsid w:val="00973485"/>
    <w:rsid w:val="00973901"/>
    <w:rsid w:val="00974A1D"/>
    <w:rsid w:val="0097529E"/>
    <w:rsid w:val="00977EDA"/>
    <w:rsid w:val="009805DB"/>
    <w:rsid w:val="009861E0"/>
    <w:rsid w:val="0098775D"/>
    <w:rsid w:val="00991056"/>
    <w:rsid w:val="0099211A"/>
    <w:rsid w:val="00993BD9"/>
    <w:rsid w:val="00995DE6"/>
    <w:rsid w:val="00996523"/>
    <w:rsid w:val="009971D3"/>
    <w:rsid w:val="0099735D"/>
    <w:rsid w:val="00997610"/>
    <w:rsid w:val="009A3159"/>
    <w:rsid w:val="009A4DF0"/>
    <w:rsid w:val="009A5E54"/>
    <w:rsid w:val="009A6E52"/>
    <w:rsid w:val="009B254B"/>
    <w:rsid w:val="009B2958"/>
    <w:rsid w:val="009B29B7"/>
    <w:rsid w:val="009B562F"/>
    <w:rsid w:val="009B6E6B"/>
    <w:rsid w:val="009C09B3"/>
    <w:rsid w:val="009C1A89"/>
    <w:rsid w:val="009C2FAB"/>
    <w:rsid w:val="009C3350"/>
    <w:rsid w:val="009C3CC3"/>
    <w:rsid w:val="009C6FA6"/>
    <w:rsid w:val="009D0CCC"/>
    <w:rsid w:val="009D1B9B"/>
    <w:rsid w:val="009D3282"/>
    <w:rsid w:val="009D3C0D"/>
    <w:rsid w:val="009D46E0"/>
    <w:rsid w:val="009D4F7D"/>
    <w:rsid w:val="009D6906"/>
    <w:rsid w:val="009D7EB5"/>
    <w:rsid w:val="009D7FCD"/>
    <w:rsid w:val="009E1D0D"/>
    <w:rsid w:val="009E1F66"/>
    <w:rsid w:val="009E26B2"/>
    <w:rsid w:val="009E28E2"/>
    <w:rsid w:val="009E28FF"/>
    <w:rsid w:val="009E2F43"/>
    <w:rsid w:val="009E3D29"/>
    <w:rsid w:val="009E40C9"/>
    <w:rsid w:val="009E6F38"/>
    <w:rsid w:val="009E7E5D"/>
    <w:rsid w:val="009E7FCA"/>
    <w:rsid w:val="009F05CB"/>
    <w:rsid w:val="009F0847"/>
    <w:rsid w:val="009F1949"/>
    <w:rsid w:val="009F2362"/>
    <w:rsid w:val="009F25B4"/>
    <w:rsid w:val="009F3755"/>
    <w:rsid w:val="009F467F"/>
    <w:rsid w:val="009F5980"/>
    <w:rsid w:val="009F5A22"/>
    <w:rsid w:val="009F731B"/>
    <w:rsid w:val="009F7B2A"/>
    <w:rsid w:val="00A0031F"/>
    <w:rsid w:val="00A0114B"/>
    <w:rsid w:val="00A0228D"/>
    <w:rsid w:val="00A026E9"/>
    <w:rsid w:val="00A02D0A"/>
    <w:rsid w:val="00A035E5"/>
    <w:rsid w:val="00A050FE"/>
    <w:rsid w:val="00A056D2"/>
    <w:rsid w:val="00A06CF0"/>
    <w:rsid w:val="00A12C87"/>
    <w:rsid w:val="00A12DFF"/>
    <w:rsid w:val="00A13E57"/>
    <w:rsid w:val="00A17255"/>
    <w:rsid w:val="00A17D91"/>
    <w:rsid w:val="00A20586"/>
    <w:rsid w:val="00A20DE3"/>
    <w:rsid w:val="00A237A1"/>
    <w:rsid w:val="00A23DCC"/>
    <w:rsid w:val="00A24E47"/>
    <w:rsid w:val="00A251CA"/>
    <w:rsid w:val="00A2713B"/>
    <w:rsid w:val="00A300CF"/>
    <w:rsid w:val="00A311B6"/>
    <w:rsid w:val="00A31C25"/>
    <w:rsid w:val="00A3317F"/>
    <w:rsid w:val="00A33C8A"/>
    <w:rsid w:val="00A34781"/>
    <w:rsid w:val="00A34E1A"/>
    <w:rsid w:val="00A351A9"/>
    <w:rsid w:val="00A35D60"/>
    <w:rsid w:val="00A37AF2"/>
    <w:rsid w:val="00A401E0"/>
    <w:rsid w:val="00A40512"/>
    <w:rsid w:val="00A40AE0"/>
    <w:rsid w:val="00A4191F"/>
    <w:rsid w:val="00A41DA1"/>
    <w:rsid w:val="00A420F5"/>
    <w:rsid w:val="00A42A0F"/>
    <w:rsid w:val="00A436ED"/>
    <w:rsid w:val="00A43FED"/>
    <w:rsid w:val="00A470DF"/>
    <w:rsid w:val="00A47CA3"/>
    <w:rsid w:val="00A50229"/>
    <w:rsid w:val="00A506AD"/>
    <w:rsid w:val="00A50CF3"/>
    <w:rsid w:val="00A52319"/>
    <w:rsid w:val="00A52A50"/>
    <w:rsid w:val="00A530DE"/>
    <w:rsid w:val="00A53845"/>
    <w:rsid w:val="00A542E4"/>
    <w:rsid w:val="00A54CF7"/>
    <w:rsid w:val="00A571B1"/>
    <w:rsid w:val="00A571DA"/>
    <w:rsid w:val="00A57639"/>
    <w:rsid w:val="00A60B74"/>
    <w:rsid w:val="00A613F6"/>
    <w:rsid w:val="00A615A1"/>
    <w:rsid w:val="00A617C1"/>
    <w:rsid w:val="00A61BE1"/>
    <w:rsid w:val="00A62309"/>
    <w:rsid w:val="00A62DE8"/>
    <w:rsid w:val="00A62EEE"/>
    <w:rsid w:val="00A63FF9"/>
    <w:rsid w:val="00A64E96"/>
    <w:rsid w:val="00A65827"/>
    <w:rsid w:val="00A669EE"/>
    <w:rsid w:val="00A66C95"/>
    <w:rsid w:val="00A67E94"/>
    <w:rsid w:val="00A70351"/>
    <w:rsid w:val="00A71628"/>
    <w:rsid w:val="00A74240"/>
    <w:rsid w:val="00A748B3"/>
    <w:rsid w:val="00A7678B"/>
    <w:rsid w:val="00A80047"/>
    <w:rsid w:val="00A8079E"/>
    <w:rsid w:val="00A81496"/>
    <w:rsid w:val="00A81BF3"/>
    <w:rsid w:val="00A82AD7"/>
    <w:rsid w:val="00A8480C"/>
    <w:rsid w:val="00A853BB"/>
    <w:rsid w:val="00A853C6"/>
    <w:rsid w:val="00A85FC3"/>
    <w:rsid w:val="00A86DE2"/>
    <w:rsid w:val="00A91112"/>
    <w:rsid w:val="00A927BD"/>
    <w:rsid w:val="00A93466"/>
    <w:rsid w:val="00A95938"/>
    <w:rsid w:val="00A95E9A"/>
    <w:rsid w:val="00A967FF"/>
    <w:rsid w:val="00A968B6"/>
    <w:rsid w:val="00A96B75"/>
    <w:rsid w:val="00A97CC0"/>
    <w:rsid w:val="00AA11BB"/>
    <w:rsid w:val="00AA1838"/>
    <w:rsid w:val="00AA35A8"/>
    <w:rsid w:val="00AA57AA"/>
    <w:rsid w:val="00AA5E61"/>
    <w:rsid w:val="00AB030D"/>
    <w:rsid w:val="00AB09C5"/>
    <w:rsid w:val="00AB11B2"/>
    <w:rsid w:val="00AB240E"/>
    <w:rsid w:val="00AB2F7B"/>
    <w:rsid w:val="00AB34AB"/>
    <w:rsid w:val="00AB44C2"/>
    <w:rsid w:val="00AB57CC"/>
    <w:rsid w:val="00AB7440"/>
    <w:rsid w:val="00AC054E"/>
    <w:rsid w:val="00AC0FDB"/>
    <w:rsid w:val="00AC54DA"/>
    <w:rsid w:val="00AC5BC7"/>
    <w:rsid w:val="00AC5E52"/>
    <w:rsid w:val="00AC61B3"/>
    <w:rsid w:val="00AC654A"/>
    <w:rsid w:val="00AC7055"/>
    <w:rsid w:val="00AC7B7D"/>
    <w:rsid w:val="00AC7EE4"/>
    <w:rsid w:val="00AD0475"/>
    <w:rsid w:val="00AD219D"/>
    <w:rsid w:val="00AD2C5F"/>
    <w:rsid w:val="00AD4212"/>
    <w:rsid w:val="00AE08FF"/>
    <w:rsid w:val="00AE0A1A"/>
    <w:rsid w:val="00AE0CB6"/>
    <w:rsid w:val="00AE0E67"/>
    <w:rsid w:val="00AE0EB1"/>
    <w:rsid w:val="00AE10BD"/>
    <w:rsid w:val="00AE16E7"/>
    <w:rsid w:val="00AE1D88"/>
    <w:rsid w:val="00AE23A9"/>
    <w:rsid w:val="00AE2706"/>
    <w:rsid w:val="00AE2D33"/>
    <w:rsid w:val="00AE3D49"/>
    <w:rsid w:val="00AE5F19"/>
    <w:rsid w:val="00AE6333"/>
    <w:rsid w:val="00AE79CB"/>
    <w:rsid w:val="00AE7D87"/>
    <w:rsid w:val="00AE7E4B"/>
    <w:rsid w:val="00AE7EE0"/>
    <w:rsid w:val="00AF00AB"/>
    <w:rsid w:val="00AF01A9"/>
    <w:rsid w:val="00AF07E1"/>
    <w:rsid w:val="00AF20CB"/>
    <w:rsid w:val="00AF541C"/>
    <w:rsid w:val="00AF5520"/>
    <w:rsid w:val="00AF5FB6"/>
    <w:rsid w:val="00AF6057"/>
    <w:rsid w:val="00AF6297"/>
    <w:rsid w:val="00AF64A4"/>
    <w:rsid w:val="00AF66E4"/>
    <w:rsid w:val="00AF7006"/>
    <w:rsid w:val="00AF7539"/>
    <w:rsid w:val="00B000E1"/>
    <w:rsid w:val="00B00EBB"/>
    <w:rsid w:val="00B0261C"/>
    <w:rsid w:val="00B05629"/>
    <w:rsid w:val="00B0613A"/>
    <w:rsid w:val="00B07A4D"/>
    <w:rsid w:val="00B07AD7"/>
    <w:rsid w:val="00B11D42"/>
    <w:rsid w:val="00B12226"/>
    <w:rsid w:val="00B13CE4"/>
    <w:rsid w:val="00B14AAA"/>
    <w:rsid w:val="00B161FA"/>
    <w:rsid w:val="00B171F3"/>
    <w:rsid w:val="00B17408"/>
    <w:rsid w:val="00B20E16"/>
    <w:rsid w:val="00B2128F"/>
    <w:rsid w:val="00B25883"/>
    <w:rsid w:val="00B25EA9"/>
    <w:rsid w:val="00B263D3"/>
    <w:rsid w:val="00B2662F"/>
    <w:rsid w:val="00B27AC0"/>
    <w:rsid w:val="00B315C9"/>
    <w:rsid w:val="00B31B5F"/>
    <w:rsid w:val="00B31E1B"/>
    <w:rsid w:val="00B32262"/>
    <w:rsid w:val="00B336A2"/>
    <w:rsid w:val="00B34D43"/>
    <w:rsid w:val="00B356D4"/>
    <w:rsid w:val="00B35B9E"/>
    <w:rsid w:val="00B361F0"/>
    <w:rsid w:val="00B36EBB"/>
    <w:rsid w:val="00B37290"/>
    <w:rsid w:val="00B37B61"/>
    <w:rsid w:val="00B4208D"/>
    <w:rsid w:val="00B42D85"/>
    <w:rsid w:val="00B43712"/>
    <w:rsid w:val="00B4388F"/>
    <w:rsid w:val="00B43B1D"/>
    <w:rsid w:val="00B43CAD"/>
    <w:rsid w:val="00B44D1D"/>
    <w:rsid w:val="00B44F3C"/>
    <w:rsid w:val="00B451DC"/>
    <w:rsid w:val="00B46848"/>
    <w:rsid w:val="00B468F9"/>
    <w:rsid w:val="00B46F64"/>
    <w:rsid w:val="00B5117D"/>
    <w:rsid w:val="00B51EA6"/>
    <w:rsid w:val="00B523C4"/>
    <w:rsid w:val="00B526C9"/>
    <w:rsid w:val="00B538D8"/>
    <w:rsid w:val="00B543D9"/>
    <w:rsid w:val="00B54D80"/>
    <w:rsid w:val="00B554DD"/>
    <w:rsid w:val="00B61C18"/>
    <w:rsid w:val="00B6429A"/>
    <w:rsid w:val="00B6448C"/>
    <w:rsid w:val="00B6487F"/>
    <w:rsid w:val="00B6571B"/>
    <w:rsid w:val="00B6620B"/>
    <w:rsid w:val="00B665A1"/>
    <w:rsid w:val="00B67504"/>
    <w:rsid w:val="00B70969"/>
    <w:rsid w:val="00B71270"/>
    <w:rsid w:val="00B725A4"/>
    <w:rsid w:val="00B72F78"/>
    <w:rsid w:val="00B73F7B"/>
    <w:rsid w:val="00B74AC7"/>
    <w:rsid w:val="00B76217"/>
    <w:rsid w:val="00B762F4"/>
    <w:rsid w:val="00B76E4A"/>
    <w:rsid w:val="00B76F16"/>
    <w:rsid w:val="00B81DF1"/>
    <w:rsid w:val="00B81F2D"/>
    <w:rsid w:val="00B82528"/>
    <w:rsid w:val="00B825B4"/>
    <w:rsid w:val="00B82D99"/>
    <w:rsid w:val="00B8495C"/>
    <w:rsid w:val="00B85589"/>
    <w:rsid w:val="00B85AA6"/>
    <w:rsid w:val="00B86612"/>
    <w:rsid w:val="00B86B90"/>
    <w:rsid w:val="00B86E61"/>
    <w:rsid w:val="00B91FB3"/>
    <w:rsid w:val="00B92D88"/>
    <w:rsid w:val="00B95100"/>
    <w:rsid w:val="00B96838"/>
    <w:rsid w:val="00BA0BA0"/>
    <w:rsid w:val="00BA1B92"/>
    <w:rsid w:val="00BA43AB"/>
    <w:rsid w:val="00BA5F39"/>
    <w:rsid w:val="00BA7947"/>
    <w:rsid w:val="00BB024E"/>
    <w:rsid w:val="00BB1CD0"/>
    <w:rsid w:val="00BB2F82"/>
    <w:rsid w:val="00BB3979"/>
    <w:rsid w:val="00BB42E0"/>
    <w:rsid w:val="00BB4462"/>
    <w:rsid w:val="00BB46F2"/>
    <w:rsid w:val="00BB570C"/>
    <w:rsid w:val="00BB64BA"/>
    <w:rsid w:val="00BB789E"/>
    <w:rsid w:val="00BC1F6F"/>
    <w:rsid w:val="00BC5B8B"/>
    <w:rsid w:val="00BC61A7"/>
    <w:rsid w:val="00BC6744"/>
    <w:rsid w:val="00BC6874"/>
    <w:rsid w:val="00BC7B57"/>
    <w:rsid w:val="00BD19B2"/>
    <w:rsid w:val="00BD3452"/>
    <w:rsid w:val="00BD5269"/>
    <w:rsid w:val="00BD601B"/>
    <w:rsid w:val="00BD6FA6"/>
    <w:rsid w:val="00BD76F3"/>
    <w:rsid w:val="00BD7BCB"/>
    <w:rsid w:val="00BE046B"/>
    <w:rsid w:val="00BE0EAB"/>
    <w:rsid w:val="00BE1167"/>
    <w:rsid w:val="00BE1E7E"/>
    <w:rsid w:val="00BE2611"/>
    <w:rsid w:val="00BE319B"/>
    <w:rsid w:val="00BE37AD"/>
    <w:rsid w:val="00BE37FE"/>
    <w:rsid w:val="00BE464F"/>
    <w:rsid w:val="00BE53CA"/>
    <w:rsid w:val="00BE5EF7"/>
    <w:rsid w:val="00BE5F01"/>
    <w:rsid w:val="00BE624B"/>
    <w:rsid w:val="00BF0C27"/>
    <w:rsid w:val="00BF0DFA"/>
    <w:rsid w:val="00BF1857"/>
    <w:rsid w:val="00BF2398"/>
    <w:rsid w:val="00BF34E1"/>
    <w:rsid w:val="00BF3DE4"/>
    <w:rsid w:val="00BF55CE"/>
    <w:rsid w:val="00BF6DB1"/>
    <w:rsid w:val="00BF7BDE"/>
    <w:rsid w:val="00C005CE"/>
    <w:rsid w:val="00C01D58"/>
    <w:rsid w:val="00C023B0"/>
    <w:rsid w:val="00C038D9"/>
    <w:rsid w:val="00C04D6F"/>
    <w:rsid w:val="00C06485"/>
    <w:rsid w:val="00C06576"/>
    <w:rsid w:val="00C11348"/>
    <w:rsid w:val="00C11D8D"/>
    <w:rsid w:val="00C12C58"/>
    <w:rsid w:val="00C1363F"/>
    <w:rsid w:val="00C14000"/>
    <w:rsid w:val="00C1463E"/>
    <w:rsid w:val="00C14EC9"/>
    <w:rsid w:val="00C17DEB"/>
    <w:rsid w:val="00C2035E"/>
    <w:rsid w:val="00C20A5F"/>
    <w:rsid w:val="00C213FF"/>
    <w:rsid w:val="00C216E9"/>
    <w:rsid w:val="00C21EB8"/>
    <w:rsid w:val="00C226E1"/>
    <w:rsid w:val="00C2301A"/>
    <w:rsid w:val="00C23A36"/>
    <w:rsid w:val="00C23EB9"/>
    <w:rsid w:val="00C2441F"/>
    <w:rsid w:val="00C24F8F"/>
    <w:rsid w:val="00C2666E"/>
    <w:rsid w:val="00C26ED3"/>
    <w:rsid w:val="00C2781E"/>
    <w:rsid w:val="00C279BC"/>
    <w:rsid w:val="00C27DF5"/>
    <w:rsid w:val="00C30203"/>
    <w:rsid w:val="00C33344"/>
    <w:rsid w:val="00C33BE2"/>
    <w:rsid w:val="00C33C1C"/>
    <w:rsid w:val="00C3400A"/>
    <w:rsid w:val="00C3460B"/>
    <w:rsid w:val="00C37058"/>
    <w:rsid w:val="00C37D1F"/>
    <w:rsid w:val="00C40018"/>
    <w:rsid w:val="00C419D2"/>
    <w:rsid w:val="00C42017"/>
    <w:rsid w:val="00C421FF"/>
    <w:rsid w:val="00C44CD7"/>
    <w:rsid w:val="00C46AB2"/>
    <w:rsid w:val="00C504AE"/>
    <w:rsid w:val="00C51545"/>
    <w:rsid w:val="00C52775"/>
    <w:rsid w:val="00C544DA"/>
    <w:rsid w:val="00C55052"/>
    <w:rsid w:val="00C56040"/>
    <w:rsid w:val="00C5690B"/>
    <w:rsid w:val="00C56D94"/>
    <w:rsid w:val="00C574E0"/>
    <w:rsid w:val="00C5757B"/>
    <w:rsid w:val="00C57D38"/>
    <w:rsid w:val="00C61E56"/>
    <w:rsid w:val="00C62150"/>
    <w:rsid w:val="00C62667"/>
    <w:rsid w:val="00C62EEF"/>
    <w:rsid w:val="00C63A0E"/>
    <w:rsid w:val="00C6605A"/>
    <w:rsid w:val="00C6641E"/>
    <w:rsid w:val="00C7012D"/>
    <w:rsid w:val="00C72703"/>
    <w:rsid w:val="00C73AE2"/>
    <w:rsid w:val="00C74072"/>
    <w:rsid w:val="00C7485C"/>
    <w:rsid w:val="00C75F08"/>
    <w:rsid w:val="00C776C2"/>
    <w:rsid w:val="00C80A92"/>
    <w:rsid w:val="00C81B29"/>
    <w:rsid w:val="00C8226D"/>
    <w:rsid w:val="00C8319A"/>
    <w:rsid w:val="00C84C4D"/>
    <w:rsid w:val="00C85A37"/>
    <w:rsid w:val="00C85C52"/>
    <w:rsid w:val="00C875E1"/>
    <w:rsid w:val="00C87EC8"/>
    <w:rsid w:val="00C907A6"/>
    <w:rsid w:val="00C943AF"/>
    <w:rsid w:val="00C94615"/>
    <w:rsid w:val="00C94808"/>
    <w:rsid w:val="00C972AE"/>
    <w:rsid w:val="00C97B27"/>
    <w:rsid w:val="00C97C52"/>
    <w:rsid w:val="00CA01E3"/>
    <w:rsid w:val="00CA02B0"/>
    <w:rsid w:val="00CA357E"/>
    <w:rsid w:val="00CA3EF9"/>
    <w:rsid w:val="00CA4FA0"/>
    <w:rsid w:val="00CA5414"/>
    <w:rsid w:val="00CA5479"/>
    <w:rsid w:val="00CA6C25"/>
    <w:rsid w:val="00CA6DE8"/>
    <w:rsid w:val="00CA7468"/>
    <w:rsid w:val="00CA798A"/>
    <w:rsid w:val="00CA7B9F"/>
    <w:rsid w:val="00CB0310"/>
    <w:rsid w:val="00CB0A82"/>
    <w:rsid w:val="00CB1361"/>
    <w:rsid w:val="00CB152F"/>
    <w:rsid w:val="00CB237E"/>
    <w:rsid w:val="00CB3A5F"/>
    <w:rsid w:val="00CB4C4E"/>
    <w:rsid w:val="00CB6034"/>
    <w:rsid w:val="00CB607B"/>
    <w:rsid w:val="00CB6D9D"/>
    <w:rsid w:val="00CB71EA"/>
    <w:rsid w:val="00CC3C93"/>
    <w:rsid w:val="00CC3FFE"/>
    <w:rsid w:val="00CC4E6C"/>
    <w:rsid w:val="00CC5425"/>
    <w:rsid w:val="00CC6FA7"/>
    <w:rsid w:val="00CC758C"/>
    <w:rsid w:val="00CC7D25"/>
    <w:rsid w:val="00CD115A"/>
    <w:rsid w:val="00CD193E"/>
    <w:rsid w:val="00CD20B3"/>
    <w:rsid w:val="00CD2763"/>
    <w:rsid w:val="00CD28AE"/>
    <w:rsid w:val="00CD3509"/>
    <w:rsid w:val="00CD3E4D"/>
    <w:rsid w:val="00CD4255"/>
    <w:rsid w:val="00CD6DA4"/>
    <w:rsid w:val="00CE0361"/>
    <w:rsid w:val="00CE0A06"/>
    <w:rsid w:val="00CE0D11"/>
    <w:rsid w:val="00CE2660"/>
    <w:rsid w:val="00CE36BF"/>
    <w:rsid w:val="00CE45D3"/>
    <w:rsid w:val="00CE685A"/>
    <w:rsid w:val="00CE7237"/>
    <w:rsid w:val="00CF0E4C"/>
    <w:rsid w:val="00CF1D3D"/>
    <w:rsid w:val="00CF256A"/>
    <w:rsid w:val="00CF34E6"/>
    <w:rsid w:val="00CF3BE8"/>
    <w:rsid w:val="00CF3DF0"/>
    <w:rsid w:val="00CF3F9F"/>
    <w:rsid w:val="00CF41B3"/>
    <w:rsid w:val="00CF4D5E"/>
    <w:rsid w:val="00CF531B"/>
    <w:rsid w:val="00CF6355"/>
    <w:rsid w:val="00CF6794"/>
    <w:rsid w:val="00D014A9"/>
    <w:rsid w:val="00D02384"/>
    <w:rsid w:val="00D02662"/>
    <w:rsid w:val="00D037C4"/>
    <w:rsid w:val="00D050DE"/>
    <w:rsid w:val="00D10712"/>
    <w:rsid w:val="00D1134F"/>
    <w:rsid w:val="00D125AE"/>
    <w:rsid w:val="00D1291A"/>
    <w:rsid w:val="00D13E39"/>
    <w:rsid w:val="00D144EF"/>
    <w:rsid w:val="00D145F5"/>
    <w:rsid w:val="00D146BC"/>
    <w:rsid w:val="00D16DDF"/>
    <w:rsid w:val="00D1739C"/>
    <w:rsid w:val="00D20582"/>
    <w:rsid w:val="00D220E4"/>
    <w:rsid w:val="00D252C3"/>
    <w:rsid w:val="00D26741"/>
    <w:rsid w:val="00D27641"/>
    <w:rsid w:val="00D2795C"/>
    <w:rsid w:val="00D311AB"/>
    <w:rsid w:val="00D34262"/>
    <w:rsid w:val="00D34534"/>
    <w:rsid w:val="00D3662B"/>
    <w:rsid w:val="00D400D9"/>
    <w:rsid w:val="00D40691"/>
    <w:rsid w:val="00D409E6"/>
    <w:rsid w:val="00D40FB5"/>
    <w:rsid w:val="00D413EF"/>
    <w:rsid w:val="00D41CBE"/>
    <w:rsid w:val="00D42040"/>
    <w:rsid w:val="00D42146"/>
    <w:rsid w:val="00D421BA"/>
    <w:rsid w:val="00D42FFE"/>
    <w:rsid w:val="00D45132"/>
    <w:rsid w:val="00D452B9"/>
    <w:rsid w:val="00D46100"/>
    <w:rsid w:val="00D46CEB"/>
    <w:rsid w:val="00D470CC"/>
    <w:rsid w:val="00D51321"/>
    <w:rsid w:val="00D529A1"/>
    <w:rsid w:val="00D55619"/>
    <w:rsid w:val="00D558ED"/>
    <w:rsid w:val="00D61452"/>
    <w:rsid w:val="00D6194B"/>
    <w:rsid w:val="00D621E1"/>
    <w:rsid w:val="00D630EC"/>
    <w:rsid w:val="00D63C39"/>
    <w:rsid w:val="00D6474B"/>
    <w:rsid w:val="00D65ED6"/>
    <w:rsid w:val="00D663CB"/>
    <w:rsid w:val="00D664C2"/>
    <w:rsid w:val="00D66518"/>
    <w:rsid w:val="00D70368"/>
    <w:rsid w:val="00D72342"/>
    <w:rsid w:val="00D72636"/>
    <w:rsid w:val="00D74155"/>
    <w:rsid w:val="00D74BA9"/>
    <w:rsid w:val="00D762F4"/>
    <w:rsid w:val="00D767AD"/>
    <w:rsid w:val="00D82955"/>
    <w:rsid w:val="00D8307C"/>
    <w:rsid w:val="00D83641"/>
    <w:rsid w:val="00D844A1"/>
    <w:rsid w:val="00D84D03"/>
    <w:rsid w:val="00D86B70"/>
    <w:rsid w:val="00D87BFB"/>
    <w:rsid w:val="00D9356E"/>
    <w:rsid w:val="00D937D4"/>
    <w:rsid w:val="00D946B2"/>
    <w:rsid w:val="00D9680F"/>
    <w:rsid w:val="00D96965"/>
    <w:rsid w:val="00D970B5"/>
    <w:rsid w:val="00D9746A"/>
    <w:rsid w:val="00D97E89"/>
    <w:rsid w:val="00DA060C"/>
    <w:rsid w:val="00DA1160"/>
    <w:rsid w:val="00DA2E9A"/>
    <w:rsid w:val="00DA52F4"/>
    <w:rsid w:val="00DA56A0"/>
    <w:rsid w:val="00DB092E"/>
    <w:rsid w:val="00DB14D3"/>
    <w:rsid w:val="00DB324F"/>
    <w:rsid w:val="00DB5EC3"/>
    <w:rsid w:val="00DB5FAB"/>
    <w:rsid w:val="00DB7149"/>
    <w:rsid w:val="00DB7F6F"/>
    <w:rsid w:val="00DC0701"/>
    <w:rsid w:val="00DC09F2"/>
    <w:rsid w:val="00DC14D4"/>
    <w:rsid w:val="00DC2529"/>
    <w:rsid w:val="00DC29CF"/>
    <w:rsid w:val="00DC4F18"/>
    <w:rsid w:val="00DC5E0A"/>
    <w:rsid w:val="00DC5E5E"/>
    <w:rsid w:val="00DC63F4"/>
    <w:rsid w:val="00DD0036"/>
    <w:rsid w:val="00DD0063"/>
    <w:rsid w:val="00DD10D0"/>
    <w:rsid w:val="00DD2117"/>
    <w:rsid w:val="00DD33A6"/>
    <w:rsid w:val="00DD4AAF"/>
    <w:rsid w:val="00DD5F61"/>
    <w:rsid w:val="00DE006A"/>
    <w:rsid w:val="00DE0568"/>
    <w:rsid w:val="00DE2EBA"/>
    <w:rsid w:val="00DE482E"/>
    <w:rsid w:val="00DE4BA0"/>
    <w:rsid w:val="00DE5899"/>
    <w:rsid w:val="00DE5900"/>
    <w:rsid w:val="00DE7DC6"/>
    <w:rsid w:val="00DF033C"/>
    <w:rsid w:val="00DF0D8A"/>
    <w:rsid w:val="00DF1349"/>
    <w:rsid w:val="00DF2D40"/>
    <w:rsid w:val="00DF327A"/>
    <w:rsid w:val="00DF3EF4"/>
    <w:rsid w:val="00DF456A"/>
    <w:rsid w:val="00DF491D"/>
    <w:rsid w:val="00DF5A11"/>
    <w:rsid w:val="00DF6006"/>
    <w:rsid w:val="00DF621A"/>
    <w:rsid w:val="00DF6524"/>
    <w:rsid w:val="00DF70B2"/>
    <w:rsid w:val="00E029F3"/>
    <w:rsid w:val="00E02DC4"/>
    <w:rsid w:val="00E02E33"/>
    <w:rsid w:val="00E02F2F"/>
    <w:rsid w:val="00E03E1B"/>
    <w:rsid w:val="00E07364"/>
    <w:rsid w:val="00E1026E"/>
    <w:rsid w:val="00E120E8"/>
    <w:rsid w:val="00E12473"/>
    <w:rsid w:val="00E14CA4"/>
    <w:rsid w:val="00E14FDB"/>
    <w:rsid w:val="00E14FEC"/>
    <w:rsid w:val="00E158E3"/>
    <w:rsid w:val="00E15C73"/>
    <w:rsid w:val="00E15F03"/>
    <w:rsid w:val="00E16A2F"/>
    <w:rsid w:val="00E16AA1"/>
    <w:rsid w:val="00E17478"/>
    <w:rsid w:val="00E17B67"/>
    <w:rsid w:val="00E17E42"/>
    <w:rsid w:val="00E235A9"/>
    <w:rsid w:val="00E2477D"/>
    <w:rsid w:val="00E2529F"/>
    <w:rsid w:val="00E32A63"/>
    <w:rsid w:val="00E33521"/>
    <w:rsid w:val="00E3401E"/>
    <w:rsid w:val="00E3464C"/>
    <w:rsid w:val="00E34B64"/>
    <w:rsid w:val="00E360DE"/>
    <w:rsid w:val="00E36D0C"/>
    <w:rsid w:val="00E37AC9"/>
    <w:rsid w:val="00E42CA1"/>
    <w:rsid w:val="00E433D2"/>
    <w:rsid w:val="00E44151"/>
    <w:rsid w:val="00E501BC"/>
    <w:rsid w:val="00E51726"/>
    <w:rsid w:val="00E5375E"/>
    <w:rsid w:val="00E55E00"/>
    <w:rsid w:val="00E56053"/>
    <w:rsid w:val="00E576EE"/>
    <w:rsid w:val="00E6090A"/>
    <w:rsid w:val="00E647C1"/>
    <w:rsid w:val="00E67824"/>
    <w:rsid w:val="00E71E11"/>
    <w:rsid w:val="00E73070"/>
    <w:rsid w:val="00E7325C"/>
    <w:rsid w:val="00E7400C"/>
    <w:rsid w:val="00E76F8F"/>
    <w:rsid w:val="00E77B47"/>
    <w:rsid w:val="00E77F12"/>
    <w:rsid w:val="00E800F3"/>
    <w:rsid w:val="00E80505"/>
    <w:rsid w:val="00E80F04"/>
    <w:rsid w:val="00E83633"/>
    <w:rsid w:val="00E83B09"/>
    <w:rsid w:val="00E84425"/>
    <w:rsid w:val="00E86131"/>
    <w:rsid w:val="00E8623F"/>
    <w:rsid w:val="00E862C8"/>
    <w:rsid w:val="00E87CA5"/>
    <w:rsid w:val="00E87F78"/>
    <w:rsid w:val="00E925C1"/>
    <w:rsid w:val="00E925FF"/>
    <w:rsid w:val="00E92CF9"/>
    <w:rsid w:val="00E954A2"/>
    <w:rsid w:val="00E9587D"/>
    <w:rsid w:val="00E96CEF"/>
    <w:rsid w:val="00EA3D64"/>
    <w:rsid w:val="00EA508B"/>
    <w:rsid w:val="00EA5360"/>
    <w:rsid w:val="00EA5B66"/>
    <w:rsid w:val="00EB1CF8"/>
    <w:rsid w:val="00EB2992"/>
    <w:rsid w:val="00EB3D43"/>
    <w:rsid w:val="00EB4738"/>
    <w:rsid w:val="00EB48F1"/>
    <w:rsid w:val="00EB4BB1"/>
    <w:rsid w:val="00EB6182"/>
    <w:rsid w:val="00EB73E9"/>
    <w:rsid w:val="00EC0296"/>
    <w:rsid w:val="00EC0B31"/>
    <w:rsid w:val="00EC230A"/>
    <w:rsid w:val="00EC27E9"/>
    <w:rsid w:val="00EC334D"/>
    <w:rsid w:val="00EC3DC2"/>
    <w:rsid w:val="00EC51C4"/>
    <w:rsid w:val="00EC54B6"/>
    <w:rsid w:val="00EC5941"/>
    <w:rsid w:val="00EC5C26"/>
    <w:rsid w:val="00EC6130"/>
    <w:rsid w:val="00EC62AF"/>
    <w:rsid w:val="00EC6861"/>
    <w:rsid w:val="00EC7FD9"/>
    <w:rsid w:val="00ED0CB6"/>
    <w:rsid w:val="00ED2992"/>
    <w:rsid w:val="00ED479D"/>
    <w:rsid w:val="00ED4937"/>
    <w:rsid w:val="00ED4E6E"/>
    <w:rsid w:val="00ED5F2D"/>
    <w:rsid w:val="00ED6706"/>
    <w:rsid w:val="00ED6F26"/>
    <w:rsid w:val="00ED73F5"/>
    <w:rsid w:val="00EE054F"/>
    <w:rsid w:val="00EE1D00"/>
    <w:rsid w:val="00EE2218"/>
    <w:rsid w:val="00EE2495"/>
    <w:rsid w:val="00EE264B"/>
    <w:rsid w:val="00EE445F"/>
    <w:rsid w:val="00EE58A3"/>
    <w:rsid w:val="00EE5CC9"/>
    <w:rsid w:val="00EE72BF"/>
    <w:rsid w:val="00EE7595"/>
    <w:rsid w:val="00EF06DD"/>
    <w:rsid w:val="00EF07A5"/>
    <w:rsid w:val="00EF3152"/>
    <w:rsid w:val="00EF36A3"/>
    <w:rsid w:val="00EF45FA"/>
    <w:rsid w:val="00EF557D"/>
    <w:rsid w:val="00EF77C5"/>
    <w:rsid w:val="00F02EC3"/>
    <w:rsid w:val="00F0317F"/>
    <w:rsid w:val="00F03520"/>
    <w:rsid w:val="00F075BC"/>
    <w:rsid w:val="00F077B2"/>
    <w:rsid w:val="00F11CC4"/>
    <w:rsid w:val="00F12321"/>
    <w:rsid w:val="00F12720"/>
    <w:rsid w:val="00F12923"/>
    <w:rsid w:val="00F12D11"/>
    <w:rsid w:val="00F13829"/>
    <w:rsid w:val="00F138A7"/>
    <w:rsid w:val="00F15D9E"/>
    <w:rsid w:val="00F16389"/>
    <w:rsid w:val="00F16FDB"/>
    <w:rsid w:val="00F1707E"/>
    <w:rsid w:val="00F2052D"/>
    <w:rsid w:val="00F206A6"/>
    <w:rsid w:val="00F22314"/>
    <w:rsid w:val="00F22E7F"/>
    <w:rsid w:val="00F230F0"/>
    <w:rsid w:val="00F23780"/>
    <w:rsid w:val="00F23F54"/>
    <w:rsid w:val="00F26151"/>
    <w:rsid w:val="00F264AB"/>
    <w:rsid w:val="00F27039"/>
    <w:rsid w:val="00F270BF"/>
    <w:rsid w:val="00F27838"/>
    <w:rsid w:val="00F27CF8"/>
    <w:rsid w:val="00F30183"/>
    <w:rsid w:val="00F30476"/>
    <w:rsid w:val="00F305F6"/>
    <w:rsid w:val="00F3082C"/>
    <w:rsid w:val="00F308BF"/>
    <w:rsid w:val="00F312EC"/>
    <w:rsid w:val="00F3286D"/>
    <w:rsid w:val="00F339AD"/>
    <w:rsid w:val="00F33B87"/>
    <w:rsid w:val="00F34287"/>
    <w:rsid w:val="00F3441B"/>
    <w:rsid w:val="00F34E55"/>
    <w:rsid w:val="00F3575A"/>
    <w:rsid w:val="00F359A4"/>
    <w:rsid w:val="00F359B5"/>
    <w:rsid w:val="00F35E4A"/>
    <w:rsid w:val="00F36EC8"/>
    <w:rsid w:val="00F36FC9"/>
    <w:rsid w:val="00F37015"/>
    <w:rsid w:val="00F401A8"/>
    <w:rsid w:val="00F44535"/>
    <w:rsid w:val="00F45B9C"/>
    <w:rsid w:val="00F45E3C"/>
    <w:rsid w:val="00F5525A"/>
    <w:rsid w:val="00F553C7"/>
    <w:rsid w:val="00F56ECA"/>
    <w:rsid w:val="00F5745A"/>
    <w:rsid w:val="00F57E8C"/>
    <w:rsid w:val="00F60845"/>
    <w:rsid w:val="00F61B7D"/>
    <w:rsid w:val="00F63899"/>
    <w:rsid w:val="00F63A42"/>
    <w:rsid w:val="00F650BD"/>
    <w:rsid w:val="00F671A8"/>
    <w:rsid w:val="00F67BE5"/>
    <w:rsid w:val="00F71906"/>
    <w:rsid w:val="00F72278"/>
    <w:rsid w:val="00F756D0"/>
    <w:rsid w:val="00F75DD7"/>
    <w:rsid w:val="00F80393"/>
    <w:rsid w:val="00F80CE2"/>
    <w:rsid w:val="00F81C99"/>
    <w:rsid w:val="00F82252"/>
    <w:rsid w:val="00F82801"/>
    <w:rsid w:val="00F83E0A"/>
    <w:rsid w:val="00F8562F"/>
    <w:rsid w:val="00F85E74"/>
    <w:rsid w:val="00F87FCC"/>
    <w:rsid w:val="00F906BD"/>
    <w:rsid w:val="00F90A03"/>
    <w:rsid w:val="00F90D66"/>
    <w:rsid w:val="00F91014"/>
    <w:rsid w:val="00F91310"/>
    <w:rsid w:val="00F9207A"/>
    <w:rsid w:val="00F93355"/>
    <w:rsid w:val="00F93D44"/>
    <w:rsid w:val="00F968CA"/>
    <w:rsid w:val="00F96E6A"/>
    <w:rsid w:val="00FA0E64"/>
    <w:rsid w:val="00FA3E4D"/>
    <w:rsid w:val="00FA6E0E"/>
    <w:rsid w:val="00FA6E0F"/>
    <w:rsid w:val="00FA75CB"/>
    <w:rsid w:val="00FA79BA"/>
    <w:rsid w:val="00FB166C"/>
    <w:rsid w:val="00FB3C18"/>
    <w:rsid w:val="00FB50B2"/>
    <w:rsid w:val="00FB523B"/>
    <w:rsid w:val="00FB6FA7"/>
    <w:rsid w:val="00FB7196"/>
    <w:rsid w:val="00FC17C1"/>
    <w:rsid w:val="00FC2EC6"/>
    <w:rsid w:val="00FC3954"/>
    <w:rsid w:val="00FC3CEE"/>
    <w:rsid w:val="00FC44B0"/>
    <w:rsid w:val="00FC4E13"/>
    <w:rsid w:val="00FC53DC"/>
    <w:rsid w:val="00FC55B7"/>
    <w:rsid w:val="00FC5FD6"/>
    <w:rsid w:val="00FC66E5"/>
    <w:rsid w:val="00FC6746"/>
    <w:rsid w:val="00FC723A"/>
    <w:rsid w:val="00FD110D"/>
    <w:rsid w:val="00FD14EB"/>
    <w:rsid w:val="00FD178B"/>
    <w:rsid w:val="00FD218C"/>
    <w:rsid w:val="00FD3745"/>
    <w:rsid w:val="00FD3941"/>
    <w:rsid w:val="00FD3A12"/>
    <w:rsid w:val="00FD6AA4"/>
    <w:rsid w:val="00FE09F0"/>
    <w:rsid w:val="00FE0B3E"/>
    <w:rsid w:val="00FF0776"/>
    <w:rsid w:val="00FF11BA"/>
    <w:rsid w:val="00FF171D"/>
    <w:rsid w:val="00FF1D26"/>
    <w:rsid w:val="00FF2E65"/>
    <w:rsid w:val="00FF64DB"/>
    <w:rsid w:val="00FF766B"/>
    <w:rsid w:val="00FF7D8A"/>
    <w:rsid w:val="010D3B8B"/>
    <w:rsid w:val="01296F0D"/>
    <w:rsid w:val="013A1B07"/>
    <w:rsid w:val="01B1498E"/>
    <w:rsid w:val="01CC4711"/>
    <w:rsid w:val="02DA1020"/>
    <w:rsid w:val="031E10E2"/>
    <w:rsid w:val="032E090D"/>
    <w:rsid w:val="036E317C"/>
    <w:rsid w:val="037467C5"/>
    <w:rsid w:val="03B57267"/>
    <w:rsid w:val="041D73B8"/>
    <w:rsid w:val="04343D3A"/>
    <w:rsid w:val="044A3DA8"/>
    <w:rsid w:val="045E717C"/>
    <w:rsid w:val="05085485"/>
    <w:rsid w:val="0550728A"/>
    <w:rsid w:val="05A91C75"/>
    <w:rsid w:val="05AA662E"/>
    <w:rsid w:val="06684CC9"/>
    <w:rsid w:val="07186FDC"/>
    <w:rsid w:val="07286BBF"/>
    <w:rsid w:val="074364E7"/>
    <w:rsid w:val="0746301B"/>
    <w:rsid w:val="076D2165"/>
    <w:rsid w:val="07DD500C"/>
    <w:rsid w:val="07E86792"/>
    <w:rsid w:val="083E28C5"/>
    <w:rsid w:val="08642EDB"/>
    <w:rsid w:val="086C04CC"/>
    <w:rsid w:val="087F118D"/>
    <w:rsid w:val="08E71D17"/>
    <w:rsid w:val="09294E16"/>
    <w:rsid w:val="092A7F68"/>
    <w:rsid w:val="097D4FC2"/>
    <w:rsid w:val="09D074BF"/>
    <w:rsid w:val="0A221417"/>
    <w:rsid w:val="0A520480"/>
    <w:rsid w:val="0A7C78C7"/>
    <w:rsid w:val="0AB51AEB"/>
    <w:rsid w:val="0AE423C4"/>
    <w:rsid w:val="0B064255"/>
    <w:rsid w:val="0B1C1B5C"/>
    <w:rsid w:val="0B4960E5"/>
    <w:rsid w:val="0B517DA2"/>
    <w:rsid w:val="0B931CF3"/>
    <w:rsid w:val="0BE35313"/>
    <w:rsid w:val="0BE468DD"/>
    <w:rsid w:val="0C685EF2"/>
    <w:rsid w:val="0D4829AA"/>
    <w:rsid w:val="0E03637D"/>
    <w:rsid w:val="0E1A2854"/>
    <w:rsid w:val="0E276433"/>
    <w:rsid w:val="0E64349C"/>
    <w:rsid w:val="0E716B6E"/>
    <w:rsid w:val="0ED47E86"/>
    <w:rsid w:val="0F256C33"/>
    <w:rsid w:val="0F3B2377"/>
    <w:rsid w:val="0F500A84"/>
    <w:rsid w:val="0FF420F3"/>
    <w:rsid w:val="1003030C"/>
    <w:rsid w:val="116E1B5E"/>
    <w:rsid w:val="11813F04"/>
    <w:rsid w:val="11BB16CA"/>
    <w:rsid w:val="11E5701C"/>
    <w:rsid w:val="11F70892"/>
    <w:rsid w:val="12011178"/>
    <w:rsid w:val="123371E8"/>
    <w:rsid w:val="127F7ABB"/>
    <w:rsid w:val="12BF77B3"/>
    <w:rsid w:val="12D74107"/>
    <w:rsid w:val="12DF1B3A"/>
    <w:rsid w:val="136733E5"/>
    <w:rsid w:val="136B6AC9"/>
    <w:rsid w:val="14224AEC"/>
    <w:rsid w:val="148E10EB"/>
    <w:rsid w:val="14992489"/>
    <w:rsid w:val="14F1433E"/>
    <w:rsid w:val="152B77F0"/>
    <w:rsid w:val="15891CCA"/>
    <w:rsid w:val="160F5764"/>
    <w:rsid w:val="16481FED"/>
    <w:rsid w:val="1674401A"/>
    <w:rsid w:val="167F1023"/>
    <w:rsid w:val="16B57C43"/>
    <w:rsid w:val="16F771DE"/>
    <w:rsid w:val="171A53CA"/>
    <w:rsid w:val="17E10884"/>
    <w:rsid w:val="18151944"/>
    <w:rsid w:val="186C142F"/>
    <w:rsid w:val="18B95A18"/>
    <w:rsid w:val="18FE3268"/>
    <w:rsid w:val="197A1AB7"/>
    <w:rsid w:val="198F1E03"/>
    <w:rsid w:val="1A132B18"/>
    <w:rsid w:val="1B85773F"/>
    <w:rsid w:val="1C071B9A"/>
    <w:rsid w:val="1C5A1971"/>
    <w:rsid w:val="1C981270"/>
    <w:rsid w:val="1CCC7313"/>
    <w:rsid w:val="1D857049"/>
    <w:rsid w:val="1DD06039"/>
    <w:rsid w:val="1E761FE9"/>
    <w:rsid w:val="1E9743E7"/>
    <w:rsid w:val="1EEA57A5"/>
    <w:rsid w:val="1EEF28C5"/>
    <w:rsid w:val="1FB04EFC"/>
    <w:rsid w:val="20B25A39"/>
    <w:rsid w:val="21E74CE2"/>
    <w:rsid w:val="2268030A"/>
    <w:rsid w:val="22A939AB"/>
    <w:rsid w:val="22E5305C"/>
    <w:rsid w:val="230C5911"/>
    <w:rsid w:val="23802D0B"/>
    <w:rsid w:val="23A344E1"/>
    <w:rsid w:val="23BE335C"/>
    <w:rsid w:val="23F37813"/>
    <w:rsid w:val="244A6458"/>
    <w:rsid w:val="24986F9A"/>
    <w:rsid w:val="254C1CC2"/>
    <w:rsid w:val="261F3C9F"/>
    <w:rsid w:val="2671577A"/>
    <w:rsid w:val="26D46B1D"/>
    <w:rsid w:val="27A4632C"/>
    <w:rsid w:val="27C331F5"/>
    <w:rsid w:val="28C955A0"/>
    <w:rsid w:val="28F57DAC"/>
    <w:rsid w:val="291853E7"/>
    <w:rsid w:val="2979475F"/>
    <w:rsid w:val="29C64ABB"/>
    <w:rsid w:val="2A66405C"/>
    <w:rsid w:val="2AB02843"/>
    <w:rsid w:val="2ACB2D30"/>
    <w:rsid w:val="2B612655"/>
    <w:rsid w:val="2BB56590"/>
    <w:rsid w:val="2BCE46EC"/>
    <w:rsid w:val="2C0F259E"/>
    <w:rsid w:val="2C1552E9"/>
    <w:rsid w:val="2C6F0D76"/>
    <w:rsid w:val="2CB03331"/>
    <w:rsid w:val="2CD41F16"/>
    <w:rsid w:val="2D3D104A"/>
    <w:rsid w:val="2E4B67A4"/>
    <w:rsid w:val="2E9F5538"/>
    <w:rsid w:val="2F1E1C6E"/>
    <w:rsid w:val="2F2A7EC1"/>
    <w:rsid w:val="2FE474C2"/>
    <w:rsid w:val="30376951"/>
    <w:rsid w:val="31211476"/>
    <w:rsid w:val="31520CFE"/>
    <w:rsid w:val="31761783"/>
    <w:rsid w:val="322311B8"/>
    <w:rsid w:val="32732A73"/>
    <w:rsid w:val="328C29A2"/>
    <w:rsid w:val="33254824"/>
    <w:rsid w:val="33274396"/>
    <w:rsid w:val="33C91BE9"/>
    <w:rsid w:val="33CC614F"/>
    <w:rsid w:val="33D92995"/>
    <w:rsid w:val="33E921B0"/>
    <w:rsid w:val="341F0A85"/>
    <w:rsid w:val="34404678"/>
    <w:rsid w:val="3472764E"/>
    <w:rsid w:val="34730740"/>
    <w:rsid w:val="34B65ADF"/>
    <w:rsid w:val="34F7580E"/>
    <w:rsid w:val="35304B92"/>
    <w:rsid w:val="367F5E41"/>
    <w:rsid w:val="368A51A4"/>
    <w:rsid w:val="369028B5"/>
    <w:rsid w:val="3735129F"/>
    <w:rsid w:val="37B95AEB"/>
    <w:rsid w:val="37E81D8A"/>
    <w:rsid w:val="387F6B8D"/>
    <w:rsid w:val="39042559"/>
    <w:rsid w:val="390B58F5"/>
    <w:rsid w:val="399232E9"/>
    <w:rsid w:val="39A2674E"/>
    <w:rsid w:val="39B34C7D"/>
    <w:rsid w:val="3ADC67D6"/>
    <w:rsid w:val="3AFD3619"/>
    <w:rsid w:val="3B251F15"/>
    <w:rsid w:val="3B3C573F"/>
    <w:rsid w:val="3B980AE4"/>
    <w:rsid w:val="3C13533C"/>
    <w:rsid w:val="3C7832EE"/>
    <w:rsid w:val="3CB365E6"/>
    <w:rsid w:val="3D5A2682"/>
    <w:rsid w:val="3D676C40"/>
    <w:rsid w:val="3D8611FE"/>
    <w:rsid w:val="3DA45043"/>
    <w:rsid w:val="3DEB76F7"/>
    <w:rsid w:val="3E6A0D54"/>
    <w:rsid w:val="3F154D41"/>
    <w:rsid w:val="3FA64F4F"/>
    <w:rsid w:val="3FFB3AFE"/>
    <w:rsid w:val="40312F94"/>
    <w:rsid w:val="406F4AC7"/>
    <w:rsid w:val="41686388"/>
    <w:rsid w:val="41EC0D67"/>
    <w:rsid w:val="41FC2A25"/>
    <w:rsid w:val="421925FD"/>
    <w:rsid w:val="42BB1CFE"/>
    <w:rsid w:val="438A66C7"/>
    <w:rsid w:val="43E54F45"/>
    <w:rsid w:val="441009FF"/>
    <w:rsid w:val="44807372"/>
    <w:rsid w:val="448A1C05"/>
    <w:rsid w:val="458170D3"/>
    <w:rsid w:val="464B1E36"/>
    <w:rsid w:val="46E261EF"/>
    <w:rsid w:val="47522205"/>
    <w:rsid w:val="47723ABC"/>
    <w:rsid w:val="477A0BC3"/>
    <w:rsid w:val="47A2218F"/>
    <w:rsid w:val="47AF3907"/>
    <w:rsid w:val="47CF64E9"/>
    <w:rsid w:val="4830115B"/>
    <w:rsid w:val="486D58D6"/>
    <w:rsid w:val="48CF5671"/>
    <w:rsid w:val="48F26E3F"/>
    <w:rsid w:val="49D8566B"/>
    <w:rsid w:val="4A044E91"/>
    <w:rsid w:val="4AA00698"/>
    <w:rsid w:val="4AD53EAA"/>
    <w:rsid w:val="4BF11618"/>
    <w:rsid w:val="4C184159"/>
    <w:rsid w:val="4C9F4ECD"/>
    <w:rsid w:val="4CD07C03"/>
    <w:rsid w:val="4D96019A"/>
    <w:rsid w:val="4E044D43"/>
    <w:rsid w:val="4E473EF5"/>
    <w:rsid w:val="4E6C2AB5"/>
    <w:rsid w:val="4EA607BA"/>
    <w:rsid w:val="4ED91416"/>
    <w:rsid w:val="4EE059CD"/>
    <w:rsid w:val="4FA54146"/>
    <w:rsid w:val="4FB06DC2"/>
    <w:rsid w:val="4FFC7F4A"/>
    <w:rsid w:val="509E385B"/>
    <w:rsid w:val="50C2342A"/>
    <w:rsid w:val="51620FAD"/>
    <w:rsid w:val="51F7453B"/>
    <w:rsid w:val="528423B6"/>
    <w:rsid w:val="52B53C24"/>
    <w:rsid w:val="53232A8F"/>
    <w:rsid w:val="53C93E1C"/>
    <w:rsid w:val="53E73AF4"/>
    <w:rsid w:val="53F936E2"/>
    <w:rsid w:val="549C36BA"/>
    <w:rsid w:val="554A42CB"/>
    <w:rsid w:val="557669C3"/>
    <w:rsid w:val="55BA05DB"/>
    <w:rsid w:val="55D93EC5"/>
    <w:rsid w:val="55F36C0F"/>
    <w:rsid w:val="56767B7C"/>
    <w:rsid w:val="56A376DE"/>
    <w:rsid w:val="56A65531"/>
    <w:rsid w:val="56D61CCE"/>
    <w:rsid w:val="57410565"/>
    <w:rsid w:val="57505C8D"/>
    <w:rsid w:val="578723DA"/>
    <w:rsid w:val="579F6E9D"/>
    <w:rsid w:val="57B43C7D"/>
    <w:rsid w:val="580C3AB9"/>
    <w:rsid w:val="58DB070B"/>
    <w:rsid w:val="58DC1179"/>
    <w:rsid w:val="59E152CA"/>
    <w:rsid w:val="59ED432F"/>
    <w:rsid w:val="5A0C4E48"/>
    <w:rsid w:val="5A5B214E"/>
    <w:rsid w:val="5A6E0C11"/>
    <w:rsid w:val="5B283720"/>
    <w:rsid w:val="5B8703AD"/>
    <w:rsid w:val="5C3F6FE1"/>
    <w:rsid w:val="5D1A1D54"/>
    <w:rsid w:val="5D8F6D1E"/>
    <w:rsid w:val="5DCB1A18"/>
    <w:rsid w:val="5DEC0B2F"/>
    <w:rsid w:val="5E23428F"/>
    <w:rsid w:val="5F9373C7"/>
    <w:rsid w:val="5FE1162F"/>
    <w:rsid w:val="60000AB0"/>
    <w:rsid w:val="600601C7"/>
    <w:rsid w:val="607A5522"/>
    <w:rsid w:val="60CB661A"/>
    <w:rsid w:val="61034AC0"/>
    <w:rsid w:val="610F3A7B"/>
    <w:rsid w:val="613C7E7F"/>
    <w:rsid w:val="61592EEE"/>
    <w:rsid w:val="617F1079"/>
    <w:rsid w:val="61D62AF4"/>
    <w:rsid w:val="61E95A7E"/>
    <w:rsid w:val="61EC2EDA"/>
    <w:rsid w:val="61F555BE"/>
    <w:rsid w:val="624E0443"/>
    <w:rsid w:val="625C58C6"/>
    <w:rsid w:val="62807148"/>
    <w:rsid w:val="6316277E"/>
    <w:rsid w:val="63BC7452"/>
    <w:rsid w:val="63CB5912"/>
    <w:rsid w:val="63FB2F49"/>
    <w:rsid w:val="641A60B9"/>
    <w:rsid w:val="64B55E4E"/>
    <w:rsid w:val="64C708FC"/>
    <w:rsid w:val="66186F8A"/>
    <w:rsid w:val="665C1888"/>
    <w:rsid w:val="669079DA"/>
    <w:rsid w:val="66927D88"/>
    <w:rsid w:val="66CF1454"/>
    <w:rsid w:val="67540218"/>
    <w:rsid w:val="676B62D3"/>
    <w:rsid w:val="67CF213A"/>
    <w:rsid w:val="67F14F24"/>
    <w:rsid w:val="683304D9"/>
    <w:rsid w:val="683614A5"/>
    <w:rsid w:val="68826B5E"/>
    <w:rsid w:val="68BE2ED4"/>
    <w:rsid w:val="690D02B2"/>
    <w:rsid w:val="699557A5"/>
    <w:rsid w:val="69E91EAC"/>
    <w:rsid w:val="6A2631A0"/>
    <w:rsid w:val="6A6B13FA"/>
    <w:rsid w:val="6A844DD7"/>
    <w:rsid w:val="6A8C4A63"/>
    <w:rsid w:val="6ADB0EA6"/>
    <w:rsid w:val="6AFF300A"/>
    <w:rsid w:val="6B6171EB"/>
    <w:rsid w:val="6C1214D4"/>
    <w:rsid w:val="6C1F5798"/>
    <w:rsid w:val="6C5B3291"/>
    <w:rsid w:val="6C6460E9"/>
    <w:rsid w:val="6C6D13DD"/>
    <w:rsid w:val="6E496DB9"/>
    <w:rsid w:val="6E4A4731"/>
    <w:rsid w:val="6E6A6AFC"/>
    <w:rsid w:val="6E947C51"/>
    <w:rsid w:val="6F7366BE"/>
    <w:rsid w:val="6F9E0360"/>
    <w:rsid w:val="6FCF1B6A"/>
    <w:rsid w:val="70401EC8"/>
    <w:rsid w:val="70541113"/>
    <w:rsid w:val="705E3AE9"/>
    <w:rsid w:val="707B6F1F"/>
    <w:rsid w:val="713B6787"/>
    <w:rsid w:val="7161219A"/>
    <w:rsid w:val="71A810DD"/>
    <w:rsid w:val="71DB1320"/>
    <w:rsid w:val="720840EE"/>
    <w:rsid w:val="72595B82"/>
    <w:rsid w:val="72AC6BEA"/>
    <w:rsid w:val="72C47143"/>
    <w:rsid w:val="73157497"/>
    <w:rsid w:val="74620891"/>
    <w:rsid w:val="74D15432"/>
    <w:rsid w:val="74DD616A"/>
    <w:rsid w:val="74F87829"/>
    <w:rsid w:val="7548217D"/>
    <w:rsid w:val="754C624E"/>
    <w:rsid w:val="758F4050"/>
    <w:rsid w:val="759843E5"/>
    <w:rsid w:val="759975A2"/>
    <w:rsid w:val="7681627F"/>
    <w:rsid w:val="770557F5"/>
    <w:rsid w:val="770D541F"/>
    <w:rsid w:val="775572BA"/>
    <w:rsid w:val="77C6624A"/>
    <w:rsid w:val="780A3C6B"/>
    <w:rsid w:val="78574485"/>
    <w:rsid w:val="788B5632"/>
    <w:rsid w:val="78BA2A49"/>
    <w:rsid w:val="78FD151D"/>
    <w:rsid w:val="79C95BDD"/>
    <w:rsid w:val="7A574482"/>
    <w:rsid w:val="7A7F53BD"/>
    <w:rsid w:val="7A996FD7"/>
    <w:rsid w:val="7BAC5F04"/>
    <w:rsid w:val="7C4D0D3C"/>
    <w:rsid w:val="7C543E9C"/>
    <w:rsid w:val="7C623573"/>
    <w:rsid w:val="7C9C348E"/>
    <w:rsid w:val="7CB64223"/>
    <w:rsid w:val="7CC145C3"/>
    <w:rsid w:val="7CF11E53"/>
    <w:rsid w:val="7D486724"/>
    <w:rsid w:val="7D566002"/>
    <w:rsid w:val="7DE05A2C"/>
    <w:rsid w:val="7DF34266"/>
    <w:rsid w:val="7E220BA6"/>
    <w:rsid w:val="7E3A287F"/>
    <w:rsid w:val="7E540E70"/>
    <w:rsid w:val="7E5F4413"/>
    <w:rsid w:val="7E8120A2"/>
    <w:rsid w:val="7E8338D4"/>
    <w:rsid w:val="7E9B1A3B"/>
    <w:rsid w:val="7EA761A4"/>
    <w:rsid w:val="7EC42B6F"/>
    <w:rsid w:val="7F0F1CCF"/>
    <w:rsid w:val="7F6B0129"/>
    <w:rsid w:val="7FD308D0"/>
    <w:rsid w:val="7FF94568"/>
    <w:rsid w:val="BEEB7028"/>
    <w:rsid w:val="D9F7E3D6"/>
    <w:rsid w:val="E35FC174"/>
    <w:rsid w:val="EA0EBDE5"/>
    <w:rsid w:val="FB9FB8AF"/>
    <w:rsid w:val="FFF9BD2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firstLineChars="200"/>
    </w:pPr>
  </w:style>
  <w:style w:type="paragraph" w:styleId="6">
    <w:name w:val="annotation text"/>
    <w:basedOn w:val="1"/>
    <w:link w:val="28"/>
    <w:qFormat/>
    <w:uiPriority w:val="99"/>
    <w:pPr>
      <w:jc w:val="left"/>
    </w:pPr>
  </w:style>
  <w:style w:type="paragraph" w:styleId="7">
    <w:name w:val="Body Text"/>
    <w:basedOn w:val="1"/>
    <w:link w:val="29"/>
    <w:qFormat/>
    <w:uiPriority w:val="0"/>
    <w:rPr>
      <w:rFonts w:ascii="仿宋_GB2312" w:eastAsia="仿宋_GB2312"/>
      <w:sz w:val="32"/>
    </w:rPr>
  </w:style>
  <w:style w:type="paragraph" w:styleId="8">
    <w:name w:val="Body Text Indent"/>
    <w:basedOn w:val="1"/>
    <w:link w:val="30"/>
    <w:qFormat/>
    <w:uiPriority w:val="99"/>
    <w:pPr>
      <w:spacing w:after="120"/>
      <w:ind w:left="420" w:leftChars="200"/>
    </w:pPr>
  </w:style>
  <w:style w:type="paragraph" w:styleId="9">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10">
    <w:name w:val="Plain Text"/>
    <w:basedOn w:val="1"/>
    <w:link w:val="31"/>
    <w:qFormat/>
    <w:uiPriority w:val="0"/>
    <w:rPr>
      <w:rFonts w:ascii="宋体" w:hAnsi="Courier New"/>
    </w:rPr>
  </w:style>
  <w:style w:type="paragraph" w:styleId="11">
    <w:name w:val="Balloon Text"/>
    <w:basedOn w:val="1"/>
    <w:link w:val="32"/>
    <w:qFormat/>
    <w:uiPriority w:val="99"/>
    <w:rPr>
      <w:sz w:val="18"/>
      <w:szCs w:val="18"/>
    </w:rPr>
  </w:style>
  <w:style w:type="paragraph" w:styleId="12">
    <w:name w:val="footer"/>
    <w:basedOn w:val="1"/>
    <w:link w:val="33"/>
    <w:qFormat/>
    <w:uiPriority w:val="99"/>
    <w:pPr>
      <w:tabs>
        <w:tab w:val="center" w:pos="4153"/>
        <w:tab w:val="right" w:pos="8306"/>
      </w:tabs>
      <w:snapToGrid w:val="0"/>
      <w:jc w:val="left"/>
    </w:pPr>
    <w:rPr>
      <w:sz w:val="18"/>
      <w:szCs w:val="18"/>
    </w:rPr>
  </w:style>
  <w:style w:type="paragraph" w:styleId="13">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qFormat/>
    <w:uiPriority w:val="39"/>
    <w:pPr>
      <w:spacing w:line="360" w:lineRule="auto"/>
      <w:jc w:val="left"/>
    </w:pPr>
    <w:rPr>
      <w:rFonts w:ascii="宋体" w:hAnsi="宋体"/>
      <w:b/>
      <w:caps/>
      <w:color w:val="FF0000"/>
      <w:szCs w:val="21"/>
    </w:rPr>
  </w:style>
  <w:style w:type="paragraph" w:styleId="15">
    <w:name w:val="List"/>
    <w:basedOn w:val="1"/>
    <w:qFormat/>
    <w:uiPriority w:val="0"/>
    <w:pPr>
      <w:ind w:left="200" w:hanging="200" w:hangingChars="200"/>
    </w:pPr>
    <w:rPr>
      <w:rFonts w:ascii="Calibri" w:hAnsi="Calibri"/>
      <w:szCs w:val="21"/>
    </w:rPr>
  </w:style>
  <w:style w:type="paragraph" w:styleId="16">
    <w:name w:val="toc 2"/>
    <w:basedOn w:val="1"/>
    <w:next w:val="1"/>
    <w:unhideWhenUsed/>
    <w:qFormat/>
    <w:uiPriority w:val="39"/>
    <w:pPr>
      <w:ind w:left="420" w:leftChars="200"/>
    </w:pPr>
  </w:style>
  <w:style w:type="paragraph" w:styleId="17">
    <w:name w:val="Normal (Web)"/>
    <w:basedOn w:val="1"/>
    <w:qFormat/>
    <w:uiPriority w:val="99"/>
    <w:pPr>
      <w:spacing w:before="100" w:beforeAutospacing="1" w:after="100" w:afterAutospacing="1"/>
      <w:jc w:val="left"/>
    </w:pPr>
    <w:rPr>
      <w:kern w:val="0"/>
      <w:sz w:val="24"/>
    </w:rPr>
  </w:style>
  <w:style w:type="paragraph" w:styleId="18">
    <w:name w:val="annotation subject"/>
    <w:basedOn w:val="6"/>
    <w:next w:val="6"/>
    <w:link w:val="35"/>
    <w:qFormat/>
    <w:uiPriority w:val="99"/>
    <w:rPr>
      <w:b/>
      <w:bCs/>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22"/>
    <w:rPr>
      <w:b/>
    </w:rPr>
  </w:style>
  <w:style w:type="character" w:styleId="23">
    <w:name w:val="page number"/>
    <w:basedOn w:val="21"/>
    <w:qFormat/>
    <w:uiPriority w:val="99"/>
  </w:style>
  <w:style w:type="character" w:styleId="24">
    <w:name w:val="FollowedHyperlink"/>
    <w:qFormat/>
    <w:uiPriority w:val="99"/>
    <w:rPr>
      <w:color w:val="800080"/>
      <w:u w:val="single"/>
    </w:rPr>
  </w:style>
  <w:style w:type="character" w:styleId="25">
    <w:name w:val="Hyperlink"/>
    <w:semiHidden/>
    <w:qFormat/>
    <w:uiPriority w:val="99"/>
    <w:rPr>
      <w:color w:val="1F4F88"/>
      <w:u w:val="none"/>
    </w:rPr>
  </w:style>
  <w:style w:type="character" w:styleId="26">
    <w:name w:val="annotation reference"/>
    <w:qFormat/>
    <w:uiPriority w:val="99"/>
    <w:rPr>
      <w:sz w:val="21"/>
    </w:rPr>
  </w:style>
  <w:style w:type="character" w:customStyle="1" w:styleId="27">
    <w:name w:val="标题 1 字符"/>
    <w:link w:val="2"/>
    <w:qFormat/>
    <w:locked/>
    <w:uiPriority w:val="9"/>
    <w:rPr>
      <w:b/>
      <w:kern w:val="44"/>
      <w:sz w:val="44"/>
    </w:rPr>
  </w:style>
  <w:style w:type="character" w:customStyle="1" w:styleId="28">
    <w:name w:val="批注文字 字符"/>
    <w:link w:val="6"/>
    <w:qFormat/>
    <w:locked/>
    <w:uiPriority w:val="99"/>
    <w:rPr>
      <w:kern w:val="2"/>
      <w:sz w:val="21"/>
    </w:rPr>
  </w:style>
  <w:style w:type="character" w:customStyle="1" w:styleId="29">
    <w:name w:val="正文文本 字符"/>
    <w:link w:val="7"/>
    <w:qFormat/>
    <w:uiPriority w:val="0"/>
    <w:rPr>
      <w:kern w:val="2"/>
      <w:sz w:val="21"/>
    </w:rPr>
  </w:style>
  <w:style w:type="character" w:customStyle="1" w:styleId="30">
    <w:name w:val="正文文本缩进 字符"/>
    <w:link w:val="8"/>
    <w:semiHidden/>
    <w:qFormat/>
    <w:uiPriority w:val="99"/>
    <w:rPr>
      <w:kern w:val="2"/>
      <w:sz w:val="21"/>
    </w:rPr>
  </w:style>
  <w:style w:type="character" w:customStyle="1" w:styleId="31">
    <w:name w:val="纯文本 字符"/>
    <w:link w:val="10"/>
    <w:qFormat/>
    <w:locked/>
    <w:uiPriority w:val="0"/>
    <w:rPr>
      <w:rFonts w:ascii="宋体" w:hAnsi="Courier New" w:eastAsia="宋体"/>
      <w:kern w:val="2"/>
      <w:sz w:val="21"/>
      <w:lang w:val="en-US" w:eastAsia="zh-CN"/>
    </w:rPr>
  </w:style>
  <w:style w:type="character" w:customStyle="1" w:styleId="32">
    <w:name w:val="批注框文本 字符"/>
    <w:link w:val="11"/>
    <w:qFormat/>
    <w:locked/>
    <w:uiPriority w:val="99"/>
    <w:rPr>
      <w:kern w:val="2"/>
      <w:sz w:val="18"/>
    </w:rPr>
  </w:style>
  <w:style w:type="character" w:customStyle="1" w:styleId="33">
    <w:name w:val="页脚 字符"/>
    <w:link w:val="12"/>
    <w:semiHidden/>
    <w:qFormat/>
    <w:uiPriority w:val="99"/>
    <w:rPr>
      <w:kern w:val="2"/>
      <w:sz w:val="18"/>
      <w:szCs w:val="18"/>
    </w:rPr>
  </w:style>
  <w:style w:type="character" w:customStyle="1" w:styleId="34">
    <w:name w:val="页眉 字符"/>
    <w:link w:val="13"/>
    <w:qFormat/>
    <w:locked/>
    <w:uiPriority w:val="99"/>
    <w:rPr>
      <w:rFonts w:eastAsia="宋体"/>
      <w:kern w:val="2"/>
      <w:sz w:val="18"/>
      <w:lang w:val="en-US" w:eastAsia="zh-CN"/>
    </w:rPr>
  </w:style>
  <w:style w:type="character" w:customStyle="1" w:styleId="35">
    <w:name w:val="批注主题 字符"/>
    <w:link w:val="18"/>
    <w:qFormat/>
    <w:locked/>
    <w:uiPriority w:val="99"/>
    <w:rPr>
      <w:b/>
      <w:kern w:val="2"/>
      <w:sz w:val="21"/>
    </w:rPr>
  </w:style>
  <w:style w:type="character" w:customStyle="1" w:styleId="36">
    <w:name w:val="纯文本 Char"/>
    <w:qFormat/>
    <w:uiPriority w:val="0"/>
    <w:rPr>
      <w:rFonts w:ascii="宋体" w:hAnsi="Courier New" w:eastAsia="宋体"/>
      <w:kern w:val="2"/>
      <w:sz w:val="21"/>
      <w:lang w:val="en-US" w:eastAsia="zh-CN"/>
    </w:rPr>
  </w:style>
  <w:style w:type="character" w:customStyle="1" w:styleId="37">
    <w:name w:val="HTML Markup"/>
    <w:qFormat/>
    <w:uiPriority w:val="0"/>
    <w:rPr>
      <w:vanish/>
      <w:color w:val="FF0000"/>
    </w:rPr>
  </w:style>
  <w:style w:type="character" w:customStyle="1" w:styleId="38">
    <w:name w:val="Char Char3"/>
    <w:qFormat/>
    <w:uiPriority w:val="0"/>
    <w:rPr>
      <w:rFonts w:ascii="宋体" w:hAnsi="Courier New" w:eastAsia="宋体"/>
      <w:kern w:val="2"/>
      <w:sz w:val="21"/>
      <w:lang w:val="en-US" w:eastAsia="zh-CN"/>
    </w:rPr>
  </w:style>
  <w:style w:type="character" w:customStyle="1" w:styleId="39">
    <w:name w:val="Char Char2"/>
    <w:qFormat/>
    <w:uiPriority w:val="0"/>
    <w:rPr>
      <w:rFonts w:ascii="宋体" w:hAnsi="Courier New"/>
      <w:kern w:val="2"/>
      <w:sz w:val="21"/>
    </w:rPr>
  </w:style>
  <w:style w:type="character" w:customStyle="1" w:styleId="40">
    <w:name w:val="Char Char5"/>
    <w:qFormat/>
    <w:uiPriority w:val="0"/>
    <w:rPr>
      <w:rFonts w:ascii="宋体" w:hAnsi="Courier New" w:eastAsia="宋体"/>
      <w:kern w:val="2"/>
      <w:sz w:val="21"/>
      <w:lang w:val="en-US" w:eastAsia="zh-CN"/>
    </w:rPr>
  </w:style>
  <w:style w:type="character" w:customStyle="1" w:styleId="41">
    <w:name w:val="apple-converted-space"/>
    <w:qFormat/>
    <w:uiPriority w:val="0"/>
  </w:style>
  <w:style w:type="paragraph" w:customStyle="1" w:styleId="42">
    <w:name w:val="正文首行缩进两字符"/>
    <w:basedOn w:val="1"/>
    <w:qFormat/>
    <w:uiPriority w:val="0"/>
    <w:pPr>
      <w:spacing w:line="360" w:lineRule="auto"/>
      <w:ind w:firstLine="200" w:firstLineChars="200"/>
    </w:pPr>
  </w:style>
  <w:style w:type="paragraph" w:customStyle="1" w:styleId="43">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44">
    <w:name w:val="List Paragraph"/>
    <w:basedOn w:val="1"/>
    <w:qFormat/>
    <w:uiPriority w:val="34"/>
    <w:pPr>
      <w:ind w:firstLine="420" w:firstLineChars="200"/>
    </w:pPr>
    <w:rPr>
      <w:rFonts w:ascii="Calibri" w:hAnsi="Calibri"/>
      <w:szCs w:val="22"/>
    </w:rPr>
  </w:style>
  <w:style w:type="paragraph" w:customStyle="1" w:styleId="45">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6">
    <w:name w:val="二级列表 Char"/>
    <w:basedOn w:val="1"/>
    <w:qFormat/>
    <w:uiPriority w:val="0"/>
    <w:rPr>
      <w:rFonts w:ascii="Calibri" w:hAnsi="Calibri"/>
    </w:rPr>
  </w:style>
  <w:style w:type="paragraph" w:customStyle="1" w:styleId="47">
    <w:name w:val="1"/>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48">
    <w:name w:val="2"/>
    <w:basedOn w:val="1"/>
    <w:qFormat/>
    <w:uiPriority w:val="0"/>
    <w:pPr>
      <w:widowControl/>
      <w:spacing w:after="160" w:line="240" w:lineRule="exact"/>
      <w:jc w:val="left"/>
    </w:pPr>
    <w:rPr>
      <w:rFonts w:ascii="Arial" w:hAnsi="Arial" w:cs="Verdana"/>
      <w:b/>
      <w:kern w:val="0"/>
      <w:sz w:val="24"/>
      <w:szCs w:val="24"/>
      <w:lang w:eastAsia="en-US" w:bidi="th-TH"/>
    </w:rPr>
  </w:style>
  <w:style w:type="paragraph" w:customStyle="1" w:styleId="49">
    <w:name w:val="List Paragraph1"/>
    <w:basedOn w:val="1"/>
    <w:qFormat/>
    <w:uiPriority w:val="0"/>
    <w:pPr>
      <w:ind w:firstLine="420" w:firstLineChars="200"/>
    </w:pPr>
    <w:rPr>
      <w:rFonts w:ascii="Calibri" w:hAnsi="Calibri"/>
      <w:szCs w:val="22"/>
    </w:rPr>
  </w:style>
  <w:style w:type="paragraph" w:customStyle="1" w:styleId="50">
    <w:name w:val="Char Char Char Char Char Char1 Char"/>
    <w:basedOn w:val="1"/>
    <w:qFormat/>
    <w:uiPriority w:val="0"/>
    <w:pPr>
      <w:widowControl/>
      <w:spacing w:after="160" w:line="240" w:lineRule="exact"/>
      <w:jc w:val="left"/>
    </w:pPr>
    <w:rPr>
      <w:rFonts w:ascii="Arial" w:hAnsi="Arial" w:cs="Verdana"/>
      <w:b/>
      <w:kern w:val="0"/>
      <w:sz w:val="24"/>
      <w:szCs w:val="24"/>
      <w:lang w:eastAsia="en-US" w:bidi="th-TH"/>
    </w:rPr>
  </w:style>
  <w:style w:type="paragraph" w:customStyle="1" w:styleId="51">
    <w:name w:val="标书正文"/>
    <w:basedOn w:val="10"/>
    <w:qFormat/>
    <w:uiPriority w:val="9"/>
    <w:pPr>
      <w:spacing w:line="360" w:lineRule="auto"/>
      <w:jc w:val="left"/>
    </w:pPr>
  </w:style>
  <w:style w:type="paragraph" w:customStyle="1" w:styleId="52">
    <w:name w:val="（4）级标题"/>
    <w:basedOn w:val="10"/>
    <w:qFormat/>
    <w:uiPriority w:val="8"/>
    <w:pPr>
      <w:numPr>
        <w:ilvl w:val="0"/>
        <w:numId w:val="1"/>
      </w:numPr>
      <w:spacing w:line="360" w:lineRule="auto"/>
      <w:outlineLvl w:val="4"/>
    </w:pPr>
  </w:style>
  <w:style w:type="paragraph" w:customStyle="1" w:styleId="53">
    <w:name w:val="一级标题"/>
    <w:basedOn w:val="10"/>
    <w:qFormat/>
    <w:uiPriority w:val="1"/>
    <w:pPr>
      <w:numPr>
        <w:ilvl w:val="0"/>
        <w:numId w:val="2"/>
      </w:numPr>
      <w:spacing w:line="360" w:lineRule="auto"/>
      <w:ind w:left="420"/>
      <w:outlineLvl w:val="1"/>
    </w:pPr>
    <w:rPr>
      <w:rFonts w:ascii="黑体" w:eastAsia="黑体"/>
      <w:b/>
      <w:bCs/>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Sky123.Org</Company>
  <Pages>25</Pages>
  <Words>11595</Words>
  <Characters>12045</Characters>
  <Lines>590</Lines>
  <Paragraphs>537</Paragraphs>
  <TotalTime>0</TotalTime>
  <ScaleCrop>false</ScaleCrop>
  <LinksUpToDate>false</LinksUpToDate>
  <CharactersWithSpaces>12849</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2022-07-24T18:34:00Z</dcterms:created>
  <dc:creator>微软用户</dc:creator>
  <cp:lastModifiedBy>美丽</cp:lastModifiedBy>
  <cp:lastPrinted>2019-09-18T19:10:00Z</cp:lastPrinted>
  <dcterms:modified xsi:type="dcterms:W3CDTF">2026-09-02T14:54:45Z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3DDFAA209F4D4E368A780FCAC177B512_13</vt:lpwstr>
  </property>
  <property fmtid="{D5CDD505-2E9C-101B-9397-08002B2CF9AE}" pid="4" name="KSOTemplateDocerSaveRecord">
    <vt:lpwstr>eyJoZGlkIjoiYjMwM2FmZGRkNzNjM2QzYThlODk2YWVmODlkYzRiMmUiLCJ1c2VySWQiOiI0MzEwODAxMzkifQ==</vt:lpwstr>
  </property>
</Properties>
</file>