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jc w:val="center"/>
        <w:rPr>
          <w:rFonts w:hint="eastAsia" w:cs="宋体"/>
          <w:i w:val="0"/>
          <w:iCs/>
          <w:sz w:val="40"/>
          <w:szCs w:val="40"/>
          <w:lang w:val="en-US" w:eastAsia="zh-CN"/>
        </w:rPr>
      </w:pPr>
      <w:bookmarkStart w:id="0" w:name="_Toc27465"/>
      <w:r>
        <w:rPr>
          <w:rFonts w:hint="eastAsia" w:cs="宋体"/>
          <w:i w:val="0"/>
          <w:iCs/>
          <w:sz w:val="40"/>
          <w:szCs w:val="40"/>
          <w:lang w:val="en-US" w:eastAsia="zh-CN"/>
        </w:rPr>
        <w:t>中国重汽智能制造中心基建项目</w:t>
      </w:r>
    </w:p>
    <w:p>
      <w:pPr>
        <w:pStyle w:val="3"/>
        <w:widowControl/>
        <w:jc w:val="center"/>
        <w:rPr>
          <w:rFonts w:hint="eastAsia" w:cs="宋体"/>
          <w:i w:val="0"/>
          <w:iCs/>
          <w:sz w:val="32"/>
          <w:szCs w:val="32"/>
          <w:lang w:val="en-US" w:eastAsia="zh-CN"/>
        </w:rPr>
      </w:pPr>
      <w:r>
        <w:rPr>
          <w:rFonts w:hint="eastAsia" w:cs="宋体"/>
          <w:i w:val="0"/>
          <w:iCs/>
          <w:sz w:val="40"/>
          <w:szCs w:val="40"/>
          <w:lang w:val="en-US" w:eastAsia="zh-CN"/>
        </w:rPr>
        <w:t>地源热泵系统设计采购及施工一体化工程</w:t>
      </w:r>
    </w:p>
    <w:p>
      <w:pPr>
        <w:pStyle w:val="3"/>
        <w:widowControl/>
        <w:jc w:val="center"/>
        <w:rPr>
          <w:rFonts w:hint="eastAsia" w:ascii="Cambria" w:hAnsi="Cambria" w:eastAsia="宋体" w:cs="宋体"/>
          <w:b/>
          <w:bCs/>
          <w:i w:val="0"/>
          <w:iCs/>
          <w:sz w:val="22"/>
          <w:szCs w:val="22"/>
          <w:highlight w:val="none"/>
          <w:lang w:eastAsia="zh-CN"/>
        </w:rPr>
      </w:pPr>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ZBGL2026090014</w:t>
      </w:r>
      <w:r>
        <w:rPr>
          <w:rFonts w:hint="eastAsia" w:ascii="Cambria" w:hAnsi="Cambria" w:eastAsia="宋体" w:cs="宋体"/>
          <w:b/>
          <w:bCs/>
          <w:i w:val="0"/>
          <w:iCs/>
          <w:sz w:val="22"/>
          <w:szCs w:val="22"/>
          <w:highlight w:val="none"/>
          <w:lang w:eastAsia="zh-CN"/>
        </w:rPr>
        <w:t>）</w:t>
      </w:r>
      <w:bookmarkEnd w:id="0"/>
    </w:p>
    <w:p>
      <w:pPr>
        <w:rPr>
          <w:rFonts w:hint="eastAsia" w:asciiTheme="majorEastAsia" w:hAnsiTheme="majorEastAsia" w:eastAsiaTheme="majorEastAsia" w:cstheme="majorEastAsia"/>
          <w:b/>
          <w:bCs/>
          <w:sz w:val="24"/>
          <w:szCs w:val="24"/>
        </w:rPr>
      </w:pPr>
    </w:p>
    <w:p>
      <w:pPr>
        <w:rPr>
          <w:rFonts w:hint="eastAsia" w:asciiTheme="majorEastAsia" w:hAnsiTheme="majorEastAsia" w:eastAsiaTheme="majorEastAsia" w:cstheme="majorEastAsia"/>
          <w:b/>
          <w:bCs/>
          <w:sz w:val="24"/>
          <w:szCs w:val="24"/>
        </w:rPr>
      </w:pPr>
    </w:p>
    <w:tbl>
      <w:tblPr>
        <w:tblStyle w:val="16"/>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2026-09-02 </w:t>
            </w:r>
          </w:p>
        </w:tc>
        <w:tc>
          <w:tcPr>
            <w:tcW w:w="2200" w:type="dxa"/>
            <w:shd w:val="clear" w:color="auto" w:fill="DEDEDE"/>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2026-09-09 </w:t>
            </w:r>
          </w:p>
        </w:tc>
      </w:tr>
    </w:tbl>
    <w:p>
      <w:pPr>
        <w:rPr>
          <w:rFonts w:hint="eastAsia" w:asciiTheme="majorEastAsia" w:hAnsiTheme="majorEastAsia" w:eastAsiaTheme="majorEastAsia" w:cstheme="majorEastAsia"/>
          <w:b/>
          <w:bCs/>
          <w:sz w:val="24"/>
          <w:szCs w:val="24"/>
        </w:rPr>
      </w:pPr>
    </w:p>
    <w:p>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中国重汽集团济南动力有限公司针对中国重汽智能制造中心基建项目地源热泵系统设计采购及施工一体化工程项目，以公开招标的方式组织招标。本项目业主为中国重汽集团济南动力有限公司，建设资金来自 企业自筹 ，出资比例为 100% 。该项目现已具备招标条件，欢迎具备条件的潜在投标人参加投标。</w:t>
      </w:r>
    </w:p>
    <w:p>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pPr>
        <w:ind w:firstLine="240" w:firstLineChars="1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2.1工程名称：中国重汽智能制造中心基建项目地源热泵系统设计采购及施工一体化工程；</w:t>
      </w:r>
    </w:p>
    <w:p>
      <w:pPr>
        <w:ind w:firstLine="240" w:firstLineChars="1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2.2工程地点：山东省济南市章丘区；</w:t>
      </w:r>
    </w:p>
    <w:p>
      <w:pPr>
        <w:ind w:firstLine="240" w:firstLineChars="1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2.3工程概况：中国重汽智能制造中心基建项目位于山东省济南市章丘区世纪大道北潘王路，项目占地面积670825平方米，新建建筑面积245000平方米。新建园区采用地源热泵空调系统。本次招标为地源热泵系统设计采购及施工一体化工程。</w:t>
      </w:r>
    </w:p>
    <w:p>
      <w:pPr>
        <w:ind w:firstLine="240" w:firstLineChars="1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2.4资金来源：企业自筹，已落实；</w:t>
      </w:r>
    </w:p>
    <w:p>
      <w:pPr>
        <w:ind w:firstLine="240" w:firstLineChars="1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2.5工期要求：计划工期2027年6月投用，最终以招标文件为准；</w:t>
      </w:r>
    </w:p>
    <w:p>
      <w:pPr>
        <w:ind w:firstLine="240" w:firstLineChars="1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2.6招标范围：本次招标范围为地源热泵系统（包括地源侧系统、地源热泵房内各系统）的整体设计、施工等相关工作。主要包括:地源热泵站房内的设备（地源热泵机组及附属配套设备如泵、定压装置、水处理装置等）、地源侧部分（打井、埋管、回填、测温等）、地源热泵站房内水系统、以及各分系统之间的连接管等设备和管道及附件（阀门、仪器仪表、保温、标识等）、自动控制系统以及上述系统配套的电气系统（不包含站房建筑施工，具体分界详见招标技术要求相关约定）的深化设计、供货、安装、施工、系统冲洗试压及调试、验收、培训和售后服务（免费提供一个完整制冷季和采暖季的运维），本项目为交钥匙工程。</w:t>
      </w:r>
    </w:p>
    <w:p>
      <w:pPr>
        <w:ind w:firstLine="240" w:firstLineChars="1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2.7本工程共分：1个标段。</w:t>
      </w:r>
    </w:p>
    <w:p>
      <w:pPr>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三、供应商资格条件  </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3.1 本次招标要求投标人具备：</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投标人必须是在中华人民共和国境内注册的独立法人机构，具有独立承担民事责任能力，注册资金不少于1000万元人民币；公司成立三年以上（以营业执照成立日期到开标当日满三年为准）；在人员、设备、资金等方面具备相应的能力；</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投标人资质要求：应当同时具有的设计资质和施工资质，或者由具有相应资质的设计单位和施工单位组成联合体；其中，设计资质：工程设计综合资质或建筑行业（建筑工程专业）设计乙级及以上资质；施工资质：建筑机电安装工程专业承包二级及以上资质或者机电工程施工总承包二级及以上资质；并具有有效的安全生产许可证；</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投标人所投设备属生产许可证管理的或须具有强制性认证证书的，应具有生产许可证或强制性认证证书（须出示有效期内的生产许可证或3C认证证书）；且所投标产品应具有在有效期内的节能产品认证证书（一级能效）。</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（4）财务要求：近三年财务状况良好（近三年指2023、2024、2025年），要求包含企业最近半年完税证明、信用证明材料（中国人民银行征信报告）、年度纳税信用评价信息、企业对外担保说明；</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信誉要求：近三年（2023年9月1日至今）公司信誉良好，无行政处罚及失信记录等信息，无与本项目有关的违法违规等不良行为，无招标违规、谎报年度报告信息、提供虚假资质资料等行为或其他行政处罚记录；申请人未被“中国执行信息公开网”网站（https://zxgk.court.gov.cn/shixin/）列为失信被执行人；【招标人将登录"中国执行信息公开网"网站（https://zxgk.court.gov.cn/shixin/）查询，招标人应对属于限制参与工程建设项目投标活动失信被执行人依法依规予以限制。】</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业绩要求：近五年（2021年9月1日至今）至少承揽过1个单项合同额不低于2000万元的地源热泵系统设计采购及施工一体化工程或者地源热泵系统工程施工或地源热泵系统设备供货安装业绩（不含仅供货业绩）；【报名时提供合同和竣工验收证明原件扫描件，以竣工验收时间为准】</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（7）投标地源热泵机组的生产厂家近五年（2021年9月1日至今）至少承揽过3个单项合同额不低于300万元的热泵机组供货业绩；【报名时提供合同及设备验收报告的原件扫描件，以验收时间为准】</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（8）至少提供一项投标地源热泵机组厂家已成功运行五年及以上的地源热泵系统业绩供招标人考察【报名时提供合同原件扫描件】；</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（9）单位负责人为同一人、存在直接/间接控股、管理关系、实际控制关系（含一致行动、股权代持、协议控制、亲属控制）的不同投标人，不得同时报名参加本次招标活动；</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（10）投标人没有被我公司列入黑名单；</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（11）投标人的直接或间接股东、法定代表人、董事、监事、高管非重汽员工及其亲属；</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（12）法律法规对合格投标人的其他要求、规定。</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3.2 本项目不接受代理商、接受联合体投标。需提供联合体各方加盖公章的协议书，并满足下列要求：</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（1）联合体所有成员数量不得超过2家；</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（2）联合体成员须满足前述针对投标人的资质要求；</w:t>
      </w:r>
    </w:p>
    <w:p>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（3）联合体各方不得再以自己名义单独或参加其他联合体在同一标段投标，否则，相关投标均无效。</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四、采购文件领取 </w:t>
      </w:r>
      <w:r>
        <w:rPr>
          <w:rFonts w:hint="eastAsia" w:asciiTheme="majorEastAsia" w:hAnsiTheme="majorEastAsia" w:eastAsiaTheme="majorEastAsia" w:cstheme="majorEastAsia"/>
          <w:sz w:val="24"/>
          <w:szCs w:val="24"/>
        </w:rPr>
        <w:t xml:space="preserve"> </w:t>
      </w:r>
    </w:p>
    <w:p>
      <w:pPr>
        <w:widowControl/>
        <w:spacing w:line="360" w:lineRule="auto"/>
        <w:ind w:firstLine="480" w:firstLineChars="200"/>
        <w:rPr>
          <w:sz w:val="24"/>
          <w:lang w:bidi="ar"/>
        </w:rPr>
      </w:pPr>
      <w:r>
        <w:rPr>
          <w:kern w:val="0"/>
          <w:sz w:val="24"/>
          <w:lang w:bidi="en-US"/>
        </w:rPr>
        <w:t>4.1凡有意参加投标者，请于</w:t>
      </w:r>
      <w:r>
        <w:rPr>
          <w:kern w:val="0"/>
          <w:sz w:val="24"/>
          <w:highlight w:val="yellow"/>
          <w:lang w:bidi="en-US"/>
        </w:rPr>
        <w:t>2026年9月</w:t>
      </w:r>
      <w:r>
        <w:rPr>
          <w:kern w:val="0"/>
          <w:sz w:val="24"/>
          <w:highlight w:val="yellow"/>
          <w:u w:val="single"/>
          <w:lang w:bidi="en-US"/>
        </w:rPr>
        <w:t>2</w:t>
      </w:r>
      <w:r>
        <w:rPr>
          <w:kern w:val="0"/>
          <w:sz w:val="24"/>
          <w:highlight w:val="yellow"/>
          <w:lang w:bidi="en-US"/>
        </w:rPr>
        <w:t>日至2026年9月</w:t>
      </w:r>
      <w:r>
        <w:rPr>
          <w:kern w:val="0"/>
          <w:sz w:val="24"/>
          <w:highlight w:val="yellow"/>
          <w:u w:val="single"/>
          <w:lang w:bidi="en-US"/>
        </w:rPr>
        <w:t>9</w:t>
      </w:r>
      <w:r>
        <w:rPr>
          <w:kern w:val="0"/>
          <w:sz w:val="24"/>
          <w:highlight w:val="yellow"/>
          <w:lang w:bidi="en-US"/>
        </w:rPr>
        <w:t>日每日</w:t>
      </w:r>
      <w:r>
        <w:rPr>
          <w:rFonts w:hint="eastAsia"/>
          <w:kern w:val="0"/>
          <w:sz w:val="24"/>
          <w:highlight w:val="yellow"/>
          <w:lang w:val="en-US" w:eastAsia="zh-CN" w:bidi="en-US"/>
        </w:rPr>
        <w:t>9</w:t>
      </w:r>
      <w:r>
        <w:rPr>
          <w:kern w:val="0"/>
          <w:sz w:val="24"/>
          <w:highlight w:val="yellow"/>
          <w:lang w:bidi="en-US"/>
        </w:rPr>
        <w:t>：30-17：00</w:t>
      </w:r>
      <w:r>
        <w:rPr>
          <w:kern w:val="0"/>
          <w:sz w:val="24"/>
          <w:lang w:bidi="en-US"/>
        </w:rPr>
        <w:t>，</w:t>
      </w:r>
      <w:r>
        <w:rPr>
          <w:sz w:val="24"/>
          <w:lang w:bidi="ar"/>
        </w:rPr>
        <w:t>按照以下顺序及所列项准备相关资料的</w:t>
      </w:r>
      <w:r>
        <w:rPr>
          <w:b/>
          <w:bCs/>
          <w:sz w:val="24"/>
          <w:lang w:bidi="ar"/>
        </w:rPr>
        <w:t>原件的扫描件</w:t>
      </w:r>
      <w:r>
        <w:rPr>
          <w:sz w:val="24"/>
          <w:lang w:bidi="ar"/>
        </w:rPr>
        <w:t>（要求每一页原文件扫描在一页上，扫描文件必须清晰可辨否则影响报名的审核，扫描文件格式为pdf格式，禁止采用压缩文件格式或图片格式，</w:t>
      </w:r>
      <w:r>
        <w:rPr>
          <w:b/>
          <w:bCs/>
          <w:sz w:val="24"/>
          <w:lang w:bidi="ar"/>
        </w:rPr>
        <w:t>所有扫描文件都集成到1个pdf文档</w:t>
      </w:r>
      <w:r>
        <w:rPr>
          <w:sz w:val="24"/>
          <w:lang w:bidi="ar"/>
        </w:rPr>
        <w:t>并设置目录）。</w:t>
      </w:r>
      <w:bookmarkStart w:id="1" w:name="_Hlk212119793"/>
      <w:r>
        <w:rPr>
          <w:sz w:val="24"/>
          <w:lang w:bidi="ar"/>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资质审查通过即为报名成功；公示期间请尽快报名。</w:t>
      </w:r>
    </w:p>
    <w:bookmarkEnd w:id="1"/>
    <w:p>
      <w:pPr>
        <w:pStyle w:val="15"/>
        <w:ind w:left="420" w:right="420" w:rightChars="200" w:firstLine="420"/>
        <w:jc w:val="both"/>
      </w:pPr>
      <w:r>
        <w:rPr>
          <w:rFonts w:eastAsia="仿宋_GB2312"/>
          <w:highlight w:val="yellow"/>
        </w:rPr>
        <w:t>已注册的投标人注意去重汽e采通平台检查更新近三年的经营概况，财务信息更新到近三年，且不许有空余，若因此造成应标不成功，后果由投标人自行承担。（更新路径：重汽e采通-供应商中心-供应商变更-供应商财务数据变更管理-右上角：发起变更）</w:t>
      </w:r>
      <w:bookmarkStart w:id="9" w:name="_GoBack"/>
      <w:bookmarkEnd w:id="9"/>
    </w:p>
    <w:p>
      <w:pPr>
        <w:widowControl/>
        <w:spacing w:line="360" w:lineRule="auto"/>
        <w:ind w:firstLine="482" w:firstLineChars="200"/>
        <w:rPr>
          <w:b/>
          <w:bCs/>
          <w:sz w:val="24"/>
          <w:lang w:bidi="ar"/>
        </w:rPr>
      </w:pPr>
      <w:r>
        <w:rPr>
          <w:b/>
          <w:bCs/>
          <w:sz w:val="24"/>
          <w:lang w:bidi="ar"/>
        </w:rPr>
        <w:t>报名时提供的资料不合格的会在系统被驳回，请及时查阅</w:t>
      </w:r>
      <w:bookmarkStart w:id="2" w:name="_Hlk212122099"/>
      <w:r>
        <w:rPr>
          <w:b/>
          <w:bCs/>
          <w:sz w:val="24"/>
          <w:lang w:bidi="ar"/>
        </w:rPr>
        <w:t>审核状态</w:t>
      </w:r>
      <w:bookmarkEnd w:id="2"/>
      <w:r>
        <w:rPr>
          <w:b/>
          <w:bCs/>
          <w:sz w:val="24"/>
          <w:lang w:bidi="ar"/>
        </w:rPr>
        <w:t>并及时补齐资料，不能按时补充资料的视为自动放弃本次投标。</w:t>
      </w:r>
    </w:p>
    <w:p>
      <w:pPr>
        <w:widowControl/>
        <w:numPr>
          <w:ilvl w:val="0"/>
          <w:numId w:val="1"/>
        </w:numPr>
        <w:spacing w:line="360" w:lineRule="auto"/>
        <w:rPr>
          <w:kern w:val="0"/>
          <w:sz w:val="24"/>
          <w:szCs w:val="21"/>
          <w:lang w:bidi="en-US"/>
        </w:rPr>
      </w:pPr>
      <w:r>
        <w:rPr>
          <w:kern w:val="0"/>
          <w:sz w:val="24"/>
          <w:szCs w:val="21"/>
          <w:lang w:bidi="en-US"/>
        </w:rPr>
        <w:t>XXX公司XXX项目投标信息明细表（</w:t>
      </w:r>
      <w:r>
        <w:rPr>
          <w:b/>
          <w:bCs/>
          <w:kern w:val="0"/>
          <w:sz w:val="24"/>
          <w:szCs w:val="21"/>
          <w:lang w:bidi="en-US"/>
        </w:rPr>
        <w:t>附件1</w:t>
      </w:r>
      <w:r>
        <w:rPr>
          <w:kern w:val="0"/>
          <w:sz w:val="24"/>
          <w:szCs w:val="21"/>
          <w:lang w:bidi="en-US"/>
        </w:rPr>
        <w:t>）</w:t>
      </w:r>
    </w:p>
    <w:p>
      <w:pPr>
        <w:widowControl/>
        <w:numPr>
          <w:ilvl w:val="0"/>
          <w:numId w:val="1"/>
        </w:numPr>
        <w:spacing w:line="360" w:lineRule="auto"/>
        <w:rPr>
          <w:kern w:val="0"/>
          <w:sz w:val="24"/>
          <w:szCs w:val="21"/>
          <w:lang w:bidi="en-US"/>
        </w:rPr>
      </w:pPr>
      <w:r>
        <w:rPr>
          <w:kern w:val="0"/>
          <w:sz w:val="24"/>
          <w:szCs w:val="21"/>
          <w:lang w:bidi="en-US"/>
        </w:rPr>
        <w:t>营业执照；</w:t>
      </w:r>
    </w:p>
    <w:p>
      <w:pPr>
        <w:widowControl/>
        <w:numPr>
          <w:ilvl w:val="0"/>
          <w:numId w:val="1"/>
        </w:numPr>
        <w:spacing w:line="360" w:lineRule="auto"/>
        <w:rPr>
          <w:kern w:val="0"/>
          <w:sz w:val="24"/>
          <w:szCs w:val="21"/>
          <w:lang w:bidi="en-US"/>
        </w:rPr>
      </w:pPr>
      <w:r>
        <w:rPr>
          <w:kern w:val="0"/>
          <w:sz w:val="24"/>
          <w:szCs w:val="21"/>
          <w:lang w:bidi="en-US"/>
        </w:rPr>
        <w:t>资质证书；</w:t>
      </w:r>
    </w:p>
    <w:p>
      <w:pPr>
        <w:widowControl/>
        <w:numPr>
          <w:ilvl w:val="0"/>
          <w:numId w:val="1"/>
        </w:numPr>
        <w:spacing w:line="360" w:lineRule="auto"/>
        <w:rPr>
          <w:sz w:val="24"/>
          <w:lang w:bidi="ar"/>
        </w:rPr>
      </w:pPr>
      <w:r>
        <w:rPr>
          <w:sz w:val="24"/>
          <w:lang w:bidi="ar"/>
        </w:rPr>
        <w:t>安全生产许可证；</w:t>
      </w:r>
    </w:p>
    <w:p>
      <w:pPr>
        <w:widowControl/>
        <w:numPr>
          <w:ilvl w:val="0"/>
          <w:numId w:val="1"/>
        </w:numPr>
        <w:spacing w:line="360" w:lineRule="auto"/>
        <w:rPr>
          <w:sz w:val="24"/>
          <w:lang w:bidi="ar"/>
        </w:rPr>
      </w:pPr>
      <w:r>
        <w:rPr>
          <w:rFonts w:hint="eastAsia"/>
          <w:sz w:val="24"/>
          <w:lang w:bidi="ar"/>
        </w:rPr>
        <w:t>（如有联合体，必须提供）双方加盖公章的联合体协议书（</w:t>
      </w:r>
      <w:r>
        <w:rPr>
          <w:rFonts w:hint="eastAsia"/>
          <w:b/>
          <w:bCs/>
          <w:sz w:val="24"/>
          <w:lang w:bidi="ar"/>
        </w:rPr>
        <w:t>附件4</w:t>
      </w:r>
      <w:r>
        <w:rPr>
          <w:rFonts w:hint="eastAsia"/>
          <w:sz w:val="24"/>
          <w:lang w:bidi="ar"/>
        </w:rPr>
        <w:t>）；</w:t>
      </w:r>
    </w:p>
    <w:p>
      <w:pPr>
        <w:widowControl/>
        <w:numPr>
          <w:ilvl w:val="0"/>
          <w:numId w:val="1"/>
        </w:numPr>
        <w:spacing w:line="360" w:lineRule="auto"/>
        <w:rPr>
          <w:sz w:val="24"/>
          <w:lang w:bidi="ar"/>
        </w:rPr>
      </w:pPr>
      <w:r>
        <w:rPr>
          <w:rFonts w:hint="eastAsia"/>
          <w:b/>
          <w:bCs/>
          <w:sz w:val="24"/>
          <w:lang w:bidi="ar"/>
        </w:rPr>
        <w:t>热泵机组等核心设备的厂家品牌</w:t>
      </w:r>
      <w:r>
        <w:rPr>
          <w:rFonts w:hint="eastAsia"/>
          <w:sz w:val="24"/>
          <w:lang w:bidi="ar"/>
        </w:rPr>
        <w:t>、生产许可证或强制性认证证书，节能产品认证证书（对应能效等级）及型式试验报告；</w:t>
      </w:r>
    </w:p>
    <w:p>
      <w:pPr>
        <w:widowControl/>
        <w:numPr>
          <w:ilvl w:val="0"/>
          <w:numId w:val="1"/>
        </w:numPr>
        <w:spacing w:line="360" w:lineRule="auto"/>
        <w:rPr>
          <w:kern w:val="0"/>
          <w:sz w:val="24"/>
          <w:szCs w:val="21"/>
          <w:lang w:bidi="en-US"/>
        </w:rPr>
      </w:pPr>
      <w:r>
        <w:rPr>
          <w:rFonts w:hint="eastAsia"/>
          <w:kern w:val="0"/>
          <w:sz w:val="24"/>
          <w:szCs w:val="21"/>
          <w:lang w:bidi="en-US"/>
        </w:rPr>
        <w:t>投标热泵机组厂家已成功运行五年及以上的地源热泵系统业绩【优先提供济南及周边地区项目业绩，需提供合同原件扫描件】；</w:t>
      </w:r>
    </w:p>
    <w:p>
      <w:pPr>
        <w:widowControl/>
        <w:numPr>
          <w:ilvl w:val="0"/>
          <w:numId w:val="1"/>
        </w:numPr>
        <w:spacing w:line="360" w:lineRule="auto"/>
        <w:rPr>
          <w:kern w:val="0"/>
          <w:sz w:val="24"/>
          <w:szCs w:val="21"/>
          <w:lang w:bidi="en-US"/>
        </w:rPr>
      </w:pPr>
      <w:r>
        <w:rPr>
          <w:kern w:val="0"/>
          <w:sz w:val="24"/>
          <w:szCs w:val="21"/>
          <w:lang w:bidi="en-US"/>
        </w:rPr>
        <w:t>信用中国，</w:t>
      </w:r>
      <w:r>
        <w:rPr>
          <w:sz w:val="24"/>
          <w:lang w:bidi="ar"/>
        </w:rPr>
        <w:t>“中国执行信息公开网”截图</w:t>
      </w:r>
      <w:r>
        <w:rPr>
          <w:kern w:val="0"/>
          <w:sz w:val="24"/>
          <w:szCs w:val="21"/>
          <w:lang w:bidi="en-US"/>
        </w:rPr>
        <w:t>；</w:t>
      </w:r>
    </w:p>
    <w:p>
      <w:pPr>
        <w:widowControl/>
        <w:numPr>
          <w:ilvl w:val="0"/>
          <w:numId w:val="1"/>
        </w:numPr>
        <w:spacing w:line="360" w:lineRule="auto"/>
        <w:jc w:val="left"/>
        <w:rPr>
          <w:kern w:val="0"/>
          <w:sz w:val="24"/>
          <w:szCs w:val="21"/>
          <w:lang w:bidi="en-US"/>
        </w:rPr>
      </w:pPr>
      <w:r>
        <w:rPr>
          <w:sz w:val="24"/>
          <w:lang w:bidi="ar"/>
        </w:rPr>
        <w:t>投标单位资产情况汇总表，按照下述表格内容及顺序如实填写。填写的依据为经审计事务所审计并盖章的企业财务审计报告等相关资料，并将近三年（近三年指2023、2024、2025年）企业财务审计报告扫描件附后，</w:t>
      </w:r>
      <w:r>
        <w:rPr>
          <w:kern w:val="0"/>
          <w:sz w:val="24"/>
          <w:lang w:bidi="en-US"/>
        </w:rPr>
        <w:t>还应包含企业最近半年完税证明、信用证明材料（中国人民银行征信报告）；年度纳税信用评价信息；企业对外担保说明</w:t>
      </w:r>
      <w:r>
        <w:rPr>
          <w:sz w:val="24"/>
          <w:lang w:bidi="ar"/>
        </w:rPr>
        <w:t>。</w:t>
      </w:r>
      <w:r>
        <w:rPr>
          <w:b/>
          <w:bCs/>
          <w:sz w:val="24"/>
          <w:lang w:bidi="ar"/>
        </w:rPr>
        <w:t>注意没有投标单位资产情况汇总表或扫描件不清晰无法辨认则会影响报名成功</w:t>
      </w:r>
      <w:r>
        <w:rPr>
          <w:kern w:val="0"/>
          <w:sz w:val="24"/>
          <w:lang w:bidi="en-US"/>
        </w:rPr>
        <w:t>；</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9"/>
        <w:gridCol w:w="2641"/>
        <w:gridCol w:w="2626"/>
        <w:gridCol w:w="2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000" w:type="pct"/>
            <w:gridSpan w:val="4"/>
            <w:vAlign w:val="center"/>
          </w:tcPr>
          <w:p>
            <w:pPr>
              <w:spacing w:line="360" w:lineRule="auto"/>
              <w:jc w:val="center"/>
              <w:rPr>
                <w:rStyle w:val="32"/>
              </w:rPr>
            </w:pPr>
            <w:r>
              <w:rPr>
                <w:rStyle w:val="32"/>
              </w:rPr>
              <w:t>投标单位资产情况汇总表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注册资金（万元）</w:t>
            </w:r>
          </w:p>
        </w:tc>
        <w:tc>
          <w:tcPr>
            <w:tcW w:w="3694" w:type="pct"/>
            <w:gridSpan w:val="3"/>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实收资金（万元）</w:t>
            </w:r>
          </w:p>
        </w:tc>
        <w:tc>
          <w:tcPr>
            <w:tcW w:w="3694" w:type="pct"/>
            <w:gridSpan w:val="3"/>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年度资产情况</w:t>
            </w:r>
          </w:p>
        </w:tc>
        <w:tc>
          <w:tcPr>
            <w:tcW w:w="1236" w:type="pct"/>
          </w:tcPr>
          <w:p>
            <w:pPr>
              <w:spacing w:line="360" w:lineRule="auto"/>
              <w:jc w:val="center"/>
              <w:rPr>
                <w:rStyle w:val="32"/>
              </w:rPr>
            </w:pPr>
            <w:r>
              <w:rPr>
                <w:rStyle w:val="32"/>
              </w:rPr>
              <w:t>2023年</w:t>
            </w:r>
          </w:p>
        </w:tc>
        <w:tc>
          <w:tcPr>
            <w:tcW w:w="1229" w:type="pct"/>
          </w:tcPr>
          <w:p>
            <w:pPr>
              <w:spacing w:line="360" w:lineRule="auto"/>
              <w:jc w:val="center"/>
              <w:rPr>
                <w:rStyle w:val="32"/>
              </w:rPr>
            </w:pPr>
            <w:r>
              <w:rPr>
                <w:rStyle w:val="32"/>
              </w:rPr>
              <w:t>2024年</w:t>
            </w:r>
          </w:p>
        </w:tc>
        <w:tc>
          <w:tcPr>
            <w:tcW w:w="1229" w:type="pct"/>
          </w:tcPr>
          <w:p>
            <w:pPr>
              <w:spacing w:line="360" w:lineRule="auto"/>
              <w:jc w:val="center"/>
              <w:rPr>
                <w:rStyle w:val="32"/>
              </w:rPr>
            </w:pPr>
            <w:r>
              <w:rPr>
                <w:rStyle w:val="32"/>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流动资产（万元）</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非流动资产（万元）</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营业收入（万元）</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年底资产总值（万元）</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年底负债总值（万元）</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资产负债率（</w:t>
            </w:r>
            <w:r>
              <w:rPr>
                <w:rStyle w:val="32"/>
                <w:u w:val="single"/>
              </w:rPr>
              <w:t xml:space="preserve">  </w:t>
            </w:r>
            <w:r>
              <w:rPr>
                <w:rStyle w:val="32"/>
              </w:rPr>
              <w:t>%）</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净利润（万元）</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rPr>
                <w:rStyle w:val="32"/>
              </w:rPr>
            </w:pPr>
            <w:r>
              <w:rPr>
                <w:rStyle w:val="32"/>
              </w:rPr>
              <w:t>未分配利润（万元）</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pPr>
            <w:r>
              <w:rPr>
                <w:rStyle w:val="32"/>
              </w:rPr>
              <w:t>营运资金</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6" w:type="pct"/>
          </w:tcPr>
          <w:p>
            <w:pPr>
              <w:spacing w:line="360" w:lineRule="auto"/>
              <w:jc w:val="center"/>
            </w:pPr>
            <w:r>
              <w:rPr>
                <w:rStyle w:val="32"/>
                <w:sz w:val="20"/>
                <w:szCs w:val="20"/>
              </w:rPr>
              <w:t>（本年营业收入-上年营业收入）÷上年营业收入</w:t>
            </w:r>
          </w:p>
        </w:tc>
        <w:tc>
          <w:tcPr>
            <w:tcW w:w="1236" w:type="pct"/>
          </w:tcPr>
          <w:p>
            <w:pPr>
              <w:spacing w:line="360" w:lineRule="auto"/>
              <w:jc w:val="center"/>
              <w:rPr>
                <w:rStyle w:val="32"/>
              </w:rPr>
            </w:pPr>
          </w:p>
        </w:tc>
        <w:tc>
          <w:tcPr>
            <w:tcW w:w="1229" w:type="pct"/>
          </w:tcPr>
          <w:p>
            <w:pPr>
              <w:spacing w:line="360" w:lineRule="auto"/>
              <w:jc w:val="center"/>
              <w:rPr>
                <w:rStyle w:val="32"/>
              </w:rPr>
            </w:pPr>
          </w:p>
        </w:tc>
        <w:tc>
          <w:tcPr>
            <w:tcW w:w="1229" w:type="pct"/>
          </w:tcPr>
          <w:p>
            <w:pPr>
              <w:spacing w:line="360" w:lineRule="auto"/>
              <w:jc w:val="center"/>
              <w:rPr>
                <w:rStyle w:val="32"/>
              </w:rPr>
            </w:pPr>
          </w:p>
        </w:tc>
      </w:tr>
    </w:tbl>
    <w:p>
      <w:pPr>
        <w:widowControl/>
        <w:numPr>
          <w:ilvl w:val="0"/>
          <w:numId w:val="1"/>
        </w:numPr>
        <w:spacing w:line="360" w:lineRule="auto"/>
        <w:rPr>
          <w:kern w:val="0"/>
          <w:sz w:val="24"/>
          <w:szCs w:val="21"/>
          <w:lang w:bidi="en-US"/>
        </w:rPr>
      </w:pPr>
      <w:r>
        <w:rPr>
          <w:kern w:val="0"/>
          <w:sz w:val="24"/>
          <w:szCs w:val="21"/>
          <w:lang w:bidi="en-US"/>
        </w:rPr>
        <w:t>公司简介：包括但不限于公司发展史、企业文化、企业性质、规模和实力、营业水平、技术人员情况、在建项目情况、企业荣誉及认证、企业优势等；</w:t>
      </w:r>
    </w:p>
    <w:p>
      <w:pPr>
        <w:widowControl/>
        <w:numPr>
          <w:ilvl w:val="0"/>
          <w:numId w:val="1"/>
        </w:numPr>
        <w:spacing w:line="360" w:lineRule="auto"/>
        <w:rPr>
          <w:kern w:val="0"/>
          <w:sz w:val="24"/>
          <w:szCs w:val="21"/>
          <w:lang w:bidi="en-US"/>
        </w:rPr>
      </w:pPr>
      <w:r>
        <w:rPr>
          <w:kern w:val="0"/>
          <w:sz w:val="24"/>
          <w:szCs w:val="21"/>
          <w:lang w:bidi="en-US"/>
        </w:rPr>
        <w:t>2021年9月1日至今类似项目业绩（</w:t>
      </w:r>
      <w:r>
        <w:rPr>
          <w:rFonts w:hint="eastAsia"/>
          <w:kern w:val="0"/>
          <w:sz w:val="24"/>
          <w:szCs w:val="21"/>
          <w:lang w:bidi="en-US"/>
        </w:rPr>
        <w:t>投标单位至少1个</w:t>
      </w:r>
      <w:r>
        <w:rPr>
          <w:kern w:val="0"/>
          <w:sz w:val="24"/>
          <w:szCs w:val="21"/>
          <w:lang w:bidi="en-US"/>
        </w:rPr>
        <w:t>单项合同额不低于2000</w:t>
      </w:r>
      <w:r>
        <w:rPr>
          <w:rFonts w:hint="eastAsia"/>
          <w:kern w:val="0"/>
          <w:sz w:val="24"/>
          <w:szCs w:val="21"/>
          <w:lang w:bidi="en-US"/>
        </w:rPr>
        <w:t>万</w:t>
      </w:r>
      <w:r>
        <w:rPr>
          <w:kern w:val="0"/>
          <w:sz w:val="24"/>
          <w:szCs w:val="21"/>
          <w:lang w:bidi="en-US"/>
        </w:rPr>
        <w:t>元的</w:t>
      </w:r>
      <w:r>
        <w:rPr>
          <w:rFonts w:hint="eastAsia"/>
          <w:kern w:val="0"/>
          <w:sz w:val="24"/>
          <w:szCs w:val="21"/>
          <w:lang w:bidi="en-US"/>
        </w:rPr>
        <w:t>地源热泵系统设计采购及施工一体化工程或者地源热泵系统工程施工或地源热泵系统设备供货安装业绩；地源热泵机组的生产厂家至少3个单项合同额不低于300万元的热泵机组供货业绩</w:t>
      </w:r>
      <w:r>
        <w:rPr>
          <w:kern w:val="0"/>
          <w:sz w:val="24"/>
          <w:szCs w:val="21"/>
          <w:lang w:bidi="en-US"/>
        </w:rPr>
        <w:t>），要求提供合同及验收报告的原件扫描件，</w:t>
      </w:r>
      <w:r>
        <w:rPr>
          <w:rFonts w:hint="eastAsia"/>
          <w:kern w:val="0"/>
          <w:sz w:val="24"/>
          <w:szCs w:val="21"/>
          <w:lang w:bidi="en-US"/>
        </w:rPr>
        <w:t>数量不限</w:t>
      </w:r>
      <w:r>
        <w:rPr>
          <w:kern w:val="0"/>
          <w:sz w:val="24"/>
          <w:szCs w:val="21"/>
          <w:lang w:bidi="en-US"/>
        </w:rPr>
        <w:t>，能报尽报，填写</w:t>
      </w:r>
      <w:r>
        <w:rPr>
          <w:b/>
          <w:bCs/>
          <w:kern w:val="0"/>
          <w:sz w:val="24"/>
          <w:szCs w:val="21"/>
          <w:lang w:bidi="en-US"/>
        </w:rPr>
        <w:t>附件2</w:t>
      </w:r>
      <w:r>
        <w:rPr>
          <w:kern w:val="0"/>
          <w:sz w:val="24"/>
          <w:szCs w:val="21"/>
          <w:lang w:bidi="en-US"/>
        </w:rPr>
        <w:t>；</w:t>
      </w:r>
    </w:p>
    <w:p>
      <w:pPr>
        <w:widowControl/>
        <w:numPr>
          <w:ilvl w:val="0"/>
          <w:numId w:val="1"/>
        </w:numPr>
        <w:spacing w:line="360" w:lineRule="auto"/>
        <w:rPr>
          <w:kern w:val="0"/>
          <w:sz w:val="24"/>
          <w:szCs w:val="21"/>
          <w:lang w:bidi="en-US"/>
        </w:rPr>
      </w:pPr>
      <w:r>
        <w:rPr>
          <w:kern w:val="0"/>
          <w:sz w:val="24"/>
          <w:szCs w:val="21"/>
          <w:lang w:bidi="en-US"/>
        </w:rPr>
        <w:t>唯一的法人授权委托书（</w:t>
      </w:r>
      <w:r>
        <w:rPr>
          <w:b/>
          <w:bCs/>
          <w:kern w:val="0"/>
          <w:sz w:val="24"/>
          <w:szCs w:val="21"/>
          <w:lang w:bidi="en-US"/>
        </w:rPr>
        <w:t>附件3</w:t>
      </w:r>
      <w:r>
        <w:rPr>
          <w:kern w:val="0"/>
          <w:sz w:val="24"/>
          <w:szCs w:val="21"/>
          <w:lang w:bidi="en-US"/>
        </w:rPr>
        <w:t>）、授权人和被授权人身份证，及在本单位近6个月社保缴纳证明；</w:t>
      </w:r>
    </w:p>
    <w:p>
      <w:pPr>
        <w:widowControl/>
        <w:numPr>
          <w:ilvl w:val="0"/>
          <w:numId w:val="1"/>
        </w:numPr>
        <w:spacing w:line="360" w:lineRule="auto"/>
        <w:rPr>
          <w:kern w:val="0"/>
          <w:sz w:val="24"/>
          <w:szCs w:val="21"/>
          <w:lang w:bidi="en-US"/>
        </w:rPr>
      </w:pPr>
      <w:r>
        <w:rPr>
          <w:kern w:val="0"/>
          <w:sz w:val="24"/>
          <w:szCs w:val="21"/>
          <w:lang w:bidi="en-US"/>
        </w:rPr>
        <w:t>联系人、联系方式、电子邮箱。</w:t>
      </w:r>
    </w:p>
    <w:p>
      <w:pPr>
        <w:adjustRightInd w:val="0"/>
        <w:snapToGrid w:val="0"/>
        <w:spacing w:line="360" w:lineRule="auto"/>
        <w:ind w:firstLine="482" w:firstLineChars="200"/>
        <w:rPr>
          <w:b/>
          <w:bCs/>
          <w:kern w:val="0"/>
          <w:sz w:val="24"/>
          <w:u w:val="single"/>
          <w:lang w:bidi="en-US"/>
        </w:rPr>
      </w:pPr>
      <w:r>
        <w:rPr>
          <w:b/>
          <w:bCs/>
          <w:kern w:val="0"/>
          <w:sz w:val="24"/>
          <w:highlight w:val="yellow"/>
          <w:u w:val="single"/>
          <w:lang w:bidi="en-US"/>
        </w:rPr>
        <w:t>以上报名资料均要加盖公章。</w:t>
      </w:r>
    </w:p>
    <w:p>
      <w:pPr>
        <w:adjustRightInd w:val="0"/>
        <w:snapToGrid w:val="0"/>
        <w:spacing w:line="360" w:lineRule="auto"/>
        <w:rPr>
          <w:b/>
          <w:bCs/>
          <w:kern w:val="0"/>
          <w:sz w:val="24"/>
          <w:shd w:val="pct10" w:color="auto" w:fill="FFFFFF"/>
          <w:lang w:bidi="en-US"/>
        </w:rPr>
      </w:pPr>
      <w:r>
        <w:rPr>
          <w:b/>
          <w:bCs/>
          <w:kern w:val="0"/>
          <w:sz w:val="24"/>
          <w:shd w:val="pct10" w:color="auto" w:fill="FFFFFF"/>
          <w:lang w:bidi="en-US"/>
        </w:rPr>
        <w:t>注意：</w:t>
      </w:r>
    </w:p>
    <w:p>
      <w:pPr>
        <w:spacing w:line="360" w:lineRule="auto"/>
        <w:ind w:firstLine="482" w:firstLineChars="200"/>
        <w:rPr>
          <w:b/>
          <w:bCs/>
          <w:sz w:val="24"/>
        </w:rPr>
      </w:pPr>
      <w:r>
        <w:rPr>
          <w:b/>
          <w:bCs/>
          <w:kern w:val="0"/>
          <w:sz w:val="24"/>
          <w:lang w:bidi="en-US"/>
        </w:rPr>
        <w:t>本项目实行报名资格预审+开标资格后审，报名阶段资质审查通过即为报名成功。发放招标文件前，招标人进行资格审查验证，并对报名企业从公司规模实力、业绩、财务状况等多个方面按所提供的报名材料进行综合考察，根据审查考察结果以合格制确定投标入围名单。开标再次进行资格审查。</w:t>
      </w:r>
    </w:p>
    <w:p>
      <w:pPr>
        <w:spacing w:line="360" w:lineRule="auto"/>
        <w:ind w:firstLine="480" w:firstLineChars="200"/>
        <w:jc w:val="left"/>
        <w:rPr>
          <w:sz w:val="24"/>
        </w:rPr>
      </w:pPr>
      <w:r>
        <w:rPr>
          <w:sz w:val="24"/>
        </w:rPr>
        <w:t>入围者通过重汽e采通平台接收电子版招标文件，具体发送时间另行通知。</w:t>
      </w:r>
    </w:p>
    <w:p>
      <w:pPr>
        <w:spacing w:line="360" w:lineRule="auto"/>
        <w:ind w:firstLine="480" w:firstLineChars="200"/>
        <w:rPr>
          <w:rStyle w:val="34"/>
          <w:color w:val="C00000"/>
          <w:lang w:bidi="ar"/>
        </w:rPr>
      </w:pPr>
      <w:r>
        <w:rPr>
          <w:sz w:val="24"/>
          <w:lang w:bidi="ar"/>
        </w:rPr>
        <w:t>报名请按照本公告附件5《非生产供应商注册操作手册》及e采通首页《供应商用户手册》提示完成平台注册（网址：</w:t>
      </w:r>
      <w:r>
        <w:rPr>
          <w:sz w:val="24"/>
        </w:rPr>
        <w:t>https://ecaitong.sinotruk.com:8012/#/login），注册时，</w:t>
      </w:r>
      <w:r>
        <w:rPr>
          <w:sz w:val="24"/>
          <w:highlight w:val="yellow"/>
        </w:rPr>
        <w:t>供应商属性选择【非生产】、管理单位选择【直管单位】、意向配套单位选择【直管单位】；采购形式编号见本公告标题下方；经营概况“是否提供”原则上选择【能提供】，近三年财务数据为必填项，要求如实填写；配套能力的供货类别选择</w:t>
      </w:r>
      <w:r>
        <w:rPr>
          <w:rFonts w:hint="eastAsia"/>
          <w:sz w:val="24"/>
          <w:highlight w:val="yellow"/>
        </w:rPr>
        <w:t>【</w:t>
      </w:r>
      <w:r>
        <w:rPr>
          <w:sz w:val="24"/>
          <w:highlight w:val="yellow"/>
        </w:rPr>
        <w:t>工程建设-工程建设</w:t>
      </w:r>
      <w:r>
        <w:rPr>
          <w:rFonts w:hint="eastAsia"/>
          <w:sz w:val="24"/>
          <w:highlight w:val="yellow"/>
        </w:rPr>
        <w:t>】</w:t>
      </w:r>
      <w:r>
        <w:rPr>
          <w:sz w:val="24"/>
          <w:highlight w:val="yellow"/>
        </w:rPr>
        <w:t>；账号信息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pPr>
        <w:spacing w:line="360" w:lineRule="auto"/>
        <w:ind w:firstLine="482" w:firstLineChars="200"/>
        <w:rPr>
          <w:b/>
          <w:bCs/>
          <w:sz w:val="24"/>
          <w:lang w:bidi="ar"/>
        </w:rPr>
      </w:pPr>
      <w:r>
        <w:rPr>
          <w:b/>
          <w:bCs/>
          <w:sz w:val="24"/>
          <w:highlight w:val="yellow"/>
          <w:lang w:bidi="ar"/>
        </w:rPr>
        <w:t>e采通注册并</w:t>
      </w:r>
      <w:r>
        <w:rPr>
          <w:b/>
          <w:bCs/>
          <w:sz w:val="24"/>
          <w:highlight w:val="yellow"/>
          <w:em w:val="dot"/>
          <w:lang w:bidi="ar"/>
        </w:rPr>
        <w:t>审核通过后</w:t>
      </w:r>
      <w:r>
        <w:rPr>
          <w:b/>
          <w:bCs/>
          <w:sz w:val="24"/>
          <w:lang w:bidi="ar"/>
        </w:rPr>
        <w:t>方能参与本项目应标及后续投标，审核通过后请电话告知招标方联系人。</w:t>
      </w:r>
    </w:p>
    <w:p>
      <w:pPr>
        <w:spacing w:line="360" w:lineRule="auto"/>
        <w:ind w:firstLine="482" w:firstLineChars="200"/>
        <w:jc w:val="left"/>
        <w:rPr>
          <w:lang w:bidi="ar"/>
        </w:rPr>
      </w:pPr>
      <w:r>
        <w:rPr>
          <w:rFonts w:eastAsiaTheme="minorEastAsia"/>
          <w:b/>
          <w:bCs/>
          <w:sz w:val="24"/>
          <w:highlight w:val="yellow"/>
          <w:em w:val="dot"/>
          <w:lang w:bidi="ar"/>
        </w:rPr>
        <w:t>供应商需同时在阳光采购平台进行注册</w:t>
      </w:r>
      <w:r>
        <w:rPr>
          <w:rFonts w:eastAsiaTheme="minorEastAsia"/>
          <w:b/>
          <w:bCs/>
          <w:sz w:val="24"/>
          <w:em w:val="dot"/>
          <w:lang w:bidi="ar"/>
        </w:rPr>
        <w:t>，并在本公告要求的截止时间前搜索本项目报名。阳光采购平台在公告截止时间前报名成功的方为线下报名成功。e采通账号注册完成且应标成功的方为线上报名成功。</w:t>
      </w:r>
    </w:p>
    <w:p>
      <w:pPr>
        <w:widowControl/>
        <w:adjustRightInd w:val="0"/>
        <w:snapToGrid w:val="0"/>
        <w:spacing w:line="360" w:lineRule="auto"/>
        <w:ind w:firstLine="480" w:firstLineChars="200"/>
        <w:rPr>
          <w:kern w:val="0"/>
          <w:sz w:val="24"/>
          <w:lang w:bidi="en-US"/>
        </w:rPr>
      </w:pPr>
      <w:r>
        <w:rPr>
          <w:kern w:val="0"/>
          <w:sz w:val="24"/>
          <w:lang w:bidi="en-US"/>
        </w:rPr>
        <w:t>4.2招标文件获取：招标文件采取电子版文件，入围者通过重汽e采通平台接受电子版招标文件。</w:t>
      </w:r>
    </w:p>
    <w:p>
      <w:pPr>
        <w:widowControl/>
        <w:adjustRightInd w:val="0"/>
        <w:snapToGrid w:val="0"/>
        <w:spacing w:line="360" w:lineRule="auto"/>
        <w:ind w:firstLine="480" w:firstLineChars="200"/>
        <w:jc w:val="left"/>
        <w:rPr>
          <w:kern w:val="0"/>
          <w:sz w:val="24"/>
          <w:lang w:bidi="en-US"/>
        </w:rPr>
      </w:pPr>
      <w:r>
        <w:rPr>
          <w:kern w:val="0"/>
          <w:sz w:val="24"/>
          <w:lang w:bidi="en-US"/>
        </w:rPr>
        <w:t>4.3招标文件工本费：无。</w:t>
      </w:r>
    </w:p>
    <w:p>
      <w:pPr>
        <w:widowControl/>
        <w:adjustRightInd w:val="0"/>
        <w:snapToGrid w:val="0"/>
        <w:spacing w:line="360" w:lineRule="auto"/>
        <w:ind w:firstLine="480" w:firstLineChars="200"/>
        <w:jc w:val="left"/>
        <w:rPr>
          <w:kern w:val="0"/>
          <w:sz w:val="24"/>
          <w:lang w:bidi="en-US"/>
        </w:rPr>
      </w:pPr>
      <w:r>
        <w:rPr>
          <w:kern w:val="0"/>
          <w:sz w:val="24"/>
          <w:lang w:bidi="en-US"/>
        </w:rPr>
        <w:t>4.4投标保证金金额、形式和递交：详见招标文件。</w:t>
      </w:r>
    </w:p>
    <w:p>
      <w:pPr>
        <w:widowControl/>
        <w:adjustRightInd w:val="0"/>
        <w:snapToGrid w:val="0"/>
        <w:spacing w:line="360" w:lineRule="auto"/>
        <w:ind w:firstLine="480" w:firstLineChars="200"/>
        <w:jc w:val="left"/>
        <w:rPr>
          <w:kern w:val="0"/>
          <w:sz w:val="24"/>
          <w:lang w:bidi="en-US"/>
        </w:rPr>
      </w:pPr>
      <w:r>
        <w:rPr>
          <w:kern w:val="0"/>
          <w:sz w:val="24"/>
          <w:lang w:bidi="en-US"/>
        </w:rPr>
        <w:t>4.5中标服务费：无。</w:t>
      </w:r>
    </w:p>
    <w:p>
      <w:pPr>
        <w:spacing w:line="240" w:lineRule="auto"/>
        <w:rPr>
          <w:rFonts w:hint="eastAsia" w:asciiTheme="majorEastAsia" w:hAnsiTheme="majorEastAsia" w:eastAsiaTheme="majorEastAsia" w:cstheme="majorEastAsia"/>
          <w:b/>
          <w:bCs/>
          <w:kern w:val="2"/>
          <w:sz w:val="24"/>
          <w:szCs w:val="24"/>
          <w:highlight w:val="yellow"/>
          <w:lang w:val="en-US" w:eastAsia="zh-CN" w:bidi="ar-SA"/>
        </w:rPr>
      </w:pPr>
      <w:r>
        <w:rPr>
          <w:rFonts w:hint="eastAsia" w:asciiTheme="majorEastAsia" w:hAnsiTheme="majorEastAsia" w:eastAsiaTheme="majorEastAsia" w:cstheme="majorEastAsia"/>
          <w:b w:val="0"/>
          <w:bCs w:val="0"/>
          <w:kern w:val="2"/>
          <w:sz w:val="24"/>
          <w:szCs w:val="24"/>
          <w:lang w:val="en-US" w:eastAsia="zh-CN" w:bidi="ar-SA"/>
        </w:rPr>
        <w:t xml:space="preserve">    4.6</w:t>
      </w:r>
      <w:r>
        <w:rPr>
          <w:rFonts w:hint="eastAsia" w:asciiTheme="majorEastAsia" w:hAnsiTheme="majorEastAsia" w:eastAsiaTheme="majorEastAsia" w:cstheme="majorEastAsia"/>
          <w:b/>
          <w:bCs/>
          <w:kern w:val="2"/>
          <w:sz w:val="24"/>
          <w:szCs w:val="24"/>
          <w:highlight w:val="yellow"/>
          <w:lang w:val="en-US" w:eastAsia="zh-CN" w:bidi="ar-SA"/>
        </w:rPr>
        <w:t>采购文件领取截止时间：2026-09-9 17:00:00</w:t>
      </w:r>
    </w:p>
    <w:p>
      <w:pPr>
        <w:spacing w:line="240" w:lineRule="auto"/>
        <w:ind w:firstLine="480"/>
        <w:rPr>
          <w:rFonts w:hint="eastAsia" w:asciiTheme="majorEastAsia" w:hAnsiTheme="majorEastAsia" w:eastAsiaTheme="majorEastAsia" w:cstheme="majorEastAsia"/>
          <w:b w:val="0"/>
          <w:bCs w:val="0"/>
          <w:kern w:val="2"/>
          <w:sz w:val="24"/>
          <w:szCs w:val="24"/>
          <w:lang w:val="en-US" w:eastAsia="zh-CN" w:bidi="ar-SA"/>
        </w:rPr>
      </w:pPr>
      <w:r>
        <w:rPr>
          <w:rFonts w:hint="eastAsia" w:asciiTheme="majorEastAsia" w:hAnsiTheme="majorEastAsia" w:eastAsiaTheme="majorEastAsia" w:cstheme="majorEastAsia"/>
          <w:b w:val="0"/>
          <w:bCs w:val="0"/>
          <w:kern w:val="2"/>
          <w:sz w:val="24"/>
          <w:szCs w:val="24"/>
          <w:lang w:val="en-US" w:eastAsia="zh-CN" w:bidi="ar-SA"/>
        </w:rPr>
        <w:t xml:space="preserve">4.7采购文件领取地点：中国重汽e采通-招标中心-非生产类招投标-供应商投标 </w:t>
      </w:r>
    </w:p>
    <w:p>
      <w:pPr>
        <w:spacing w:line="240" w:lineRule="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五、响应文件提交 </w:t>
      </w:r>
    </w:p>
    <w:p>
      <w:pPr>
        <w:spacing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 xml:space="preserve">电子版须在递交截止时间前上传至“中国重汽e采通”系统，纸质版于线下开标时现场提交。 </w:t>
      </w:r>
    </w:p>
    <w:p>
      <w:pPr>
        <w:spacing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rPr>
        <w:t>2026-0</w:t>
      </w:r>
      <w:r>
        <w:rPr>
          <w:rFonts w:hint="eastAsia" w:asciiTheme="majorEastAsia" w:hAnsiTheme="majorEastAsia" w:eastAsiaTheme="majorEastAsia" w:cstheme="majorEastAsia"/>
          <w:sz w:val="24"/>
          <w:szCs w:val="24"/>
          <w:lang w:val="en-US" w:eastAsia="zh-CN"/>
        </w:rPr>
        <w:t>9</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30</w:t>
      </w:r>
      <w:r>
        <w:rPr>
          <w:rFonts w:hint="eastAsia" w:asciiTheme="majorEastAsia" w:hAnsiTheme="majorEastAsia" w:eastAsiaTheme="majorEastAsia" w:cstheme="majorEastAsia"/>
          <w:sz w:val="24"/>
          <w:szCs w:val="24"/>
        </w:rPr>
        <w:t xml:space="preserve"> 09:</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 xml:space="preserve">0:00 </w:t>
      </w:r>
    </w:p>
    <w:p>
      <w:pPr>
        <w:spacing w:line="24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.电子</w:t>
      </w:r>
      <w:r>
        <w:rPr>
          <w:rFonts w:hint="eastAsia" w:asciiTheme="majorEastAsia" w:hAnsiTheme="majorEastAsia" w:eastAsiaTheme="majorEastAsia" w:cstheme="majorEastAsia"/>
          <w:b/>
          <w:bCs/>
          <w:sz w:val="24"/>
          <w:szCs w:val="24"/>
        </w:rPr>
        <w:t>递交地点：</w:t>
      </w:r>
      <w:r>
        <w:rPr>
          <w:rFonts w:hint="eastAsia" w:asciiTheme="majorEastAsia" w:hAnsiTheme="majorEastAsia" w:eastAsiaTheme="majorEastAsia" w:cstheme="majorEastAsia"/>
          <w:sz w:val="24"/>
          <w:szCs w:val="24"/>
        </w:rPr>
        <w:t>中国重汽e采通-招标中心-非生产类招投标-供应商投标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80" w:leftChars="0"/>
        <w:textAlignment w:val="auto"/>
        <w:rPr>
          <w:rFonts w:hint="eastAsia" w:asciiTheme="majorEastAsia" w:hAnsiTheme="majorEastAsia" w:eastAsiaTheme="majorEastAsia" w:cstheme="majorEastAsia"/>
          <w:sz w:val="24"/>
          <w:szCs w:val="24"/>
          <w:highlight w:val="cyan"/>
        </w:rPr>
      </w:pPr>
      <w:r>
        <w:rPr>
          <w:rFonts w:hint="eastAsia" w:asciiTheme="majorEastAsia" w:hAnsiTheme="majorEastAsia" w:eastAsiaTheme="majorEastAsia" w:cstheme="majorEastAsia"/>
          <w:b/>
          <w:bCs/>
          <w:sz w:val="24"/>
          <w:szCs w:val="24"/>
          <w:highlight w:val="cyan"/>
          <w:lang w:val="en-US" w:eastAsia="zh-CN"/>
        </w:rPr>
        <w:t>4.纸质版递交地点：</w:t>
      </w:r>
      <w:r>
        <w:rPr>
          <w:rFonts w:hint="eastAsia" w:asciiTheme="majorEastAsia" w:hAnsiTheme="majorEastAsia" w:eastAsiaTheme="majorEastAsia" w:cstheme="majorEastAsia"/>
          <w:sz w:val="24"/>
          <w:szCs w:val="24"/>
        </w:rPr>
        <w:t>山东省济南市历城区华奥路777号科技大厦1307会议室</w:t>
      </w:r>
    </w:p>
    <w:p>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2026-0</w:t>
      </w:r>
      <w:r>
        <w:rPr>
          <w:rFonts w:hint="eastAsia" w:asciiTheme="majorEastAsia" w:hAnsiTheme="majorEastAsia" w:eastAsiaTheme="majorEastAsia" w:cstheme="majorEastAsia"/>
          <w:sz w:val="24"/>
          <w:szCs w:val="24"/>
          <w:lang w:val="en-US" w:eastAsia="zh-CN"/>
        </w:rPr>
        <w:t>9</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30</w:t>
      </w:r>
      <w:r>
        <w:rPr>
          <w:rFonts w:hint="eastAsia" w:asciiTheme="majorEastAsia" w:hAnsiTheme="majorEastAsia" w:eastAsiaTheme="majorEastAsia" w:cstheme="majorEastAsia"/>
          <w:sz w:val="24"/>
          <w:szCs w:val="24"/>
        </w:rPr>
        <w:t xml:space="preserve"> 09:</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 xml:space="preserve">0:00 </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ajorEastAsia" w:hAnsiTheme="majorEastAsia" w:eastAsiaTheme="majorEastAsia" w:cstheme="majorEastAsia"/>
          <w:sz w:val="24"/>
          <w:szCs w:val="24"/>
        </w:rPr>
        <w:t xml:space="preserve">山东省济南市历城区华奥路777号科技大厦1307会议室 </w:t>
      </w:r>
    </w:p>
    <w:p>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七、发布公告的媒介  </w:t>
      </w:r>
    </w:p>
    <w:p>
      <w:pPr>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 xml:space="preserve">阳光采购服务平台（www.ygcgfw.com） </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（www.cnhtc.com.cn）</w:t>
      </w:r>
    </w:p>
    <w:p>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八、联系方式 </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名称：中国重型汽车集团有限公司 </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联系人：</w:t>
      </w:r>
      <w:r>
        <w:rPr>
          <w:rFonts w:hint="eastAsia" w:asciiTheme="majorEastAsia" w:hAnsiTheme="majorEastAsia" w:eastAsiaTheme="majorEastAsia" w:cstheme="majorEastAsia"/>
          <w:sz w:val="24"/>
          <w:szCs w:val="24"/>
          <w:lang w:val="en-US" w:eastAsia="zh-CN"/>
        </w:rPr>
        <w:t>张老师、葛老师</w:t>
      </w:r>
    </w:p>
    <w:p>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17860609609、18560151676</w:t>
      </w:r>
    </w:p>
    <w:p>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供应商需在阳光采购服务平台进行注册，注册后搜索该项目并进行报名。</w:t>
      </w:r>
    </w:p>
    <w:p>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pPr>
        <w:rPr>
          <w:sz w:val="30"/>
          <w:szCs w:val="30"/>
        </w:rPr>
      </w:pPr>
      <w:r>
        <w:rPr>
          <w:sz w:val="30"/>
          <w:szCs w:val="30"/>
        </w:rPr>
        <w:t>附件1：投标信息明细表</w:t>
      </w:r>
    </w:p>
    <w:tbl>
      <w:tblPr>
        <w:tblStyle w:val="16"/>
        <w:tblW w:w="5000" w:type="pct"/>
        <w:tblInd w:w="0" w:type="dxa"/>
        <w:tblLayout w:type="autofit"/>
        <w:tblCellMar>
          <w:top w:w="0" w:type="dxa"/>
          <w:left w:w="108" w:type="dxa"/>
          <w:bottom w:w="0" w:type="dxa"/>
          <w:right w:w="108" w:type="dxa"/>
        </w:tblCellMar>
      </w:tblPr>
      <w:tblGrid>
        <w:gridCol w:w="444"/>
        <w:gridCol w:w="1051"/>
        <w:gridCol w:w="444"/>
        <w:gridCol w:w="457"/>
        <w:gridCol w:w="831"/>
        <w:gridCol w:w="882"/>
        <w:gridCol w:w="737"/>
        <w:gridCol w:w="583"/>
        <w:gridCol w:w="553"/>
        <w:gridCol w:w="502"/>
        <w:gridCol w:w="874"/>
        <w:gridCol w:w="613"/>
        <w:gridCol w:w="523"/>
        <w:gridCol w:w="613"/>
        <w:gridCol w:w="494"/>
        <w:gridCol w:w="616"/>
        <w:gridCol w:w="465"/>
      </w:tblGrid>
      <w:tr>
        <w:tblPrEx>
          <w:tblCellMar>
            <w:top w:w="0" w:type="dxa"/>
            <w:left w:w="108" w:type="dxa"/>
            <w:bottom w:w="0" w:type="dxa"/>
            <w:right w:w="108" w:type="dxa"/>
          </w:tblCellMar>
        </w:tblPrEx>
        <w:trPr>
          <w:trHeight w:val="285" w:hRule="atLeast"/>
        </w:trPr>
        <w:tc>
          <w:tcPr>
            <w:tcW w:w="20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序</w:t>
            </w:r>
            <w:r>
              <w:rPr>
                <w:color w:val="000000"/>
                <w:kern w:val="0"/>
                <w:sz w:val="20"/>
                <w:szCs w:val="20"/>
                <w:lang w:bidi="ar"/>
              </w:rPr>
              <w:br w:type="textWrapping"/>
            </w:r>
            <w:r>
              <w:rPr>
                <w:color w:val="000000"/>
                <w:kern w:val="0"/>
                <w:sz w:val="20"/>
                <w:szCs w:val="20"/>
                <w:lang w:bidi="ar"/>
              </w:rPr>
              <w:t>号</w:t>
            </w:r>
          </w:p>
        </w:tc>
        <w:tc>
          <w:tcPr>
            <w:tcW w:w="49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单位名称</w:t>
            </w:r>
          </w:p>
        </w:tc>
        <w:tc>
          <w:tcPr>
            <w:tcW w:w="20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地区</w:t>
            </w:r>
          </w:p>
        </w:tc>
        <w:tc>
          <w:tcPr>
            <w:tcW w:w="21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联系人</w:t>
            </w: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联系方式</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FF0000"/>
                <w:kern w:val="0"/>
                <w:sz w:val="20"/>
                <w:szCs w:val="20"/>
                <w:lang w:bidi="ar"/>
              </w:rPr>
            </w:pPr>
            <w:r>
              <w:rPr>
                <w:color w:val="FF0000"/>
                <w:kern w:val="0"/>
                <w:sz w:val="20"/>
                <w:szCs w:val="20"/>
                <w:lang w:bidi="ar"/>
              </w:rPr>
              <w:t>唯一指定</w:t>
            </w:r>
          </w:p>
          <w:p>
            <w:pPr>
              <w:widowControl/>
              <w:jc w:val="center"/>
              <w:textAlignment w:val="center"/>
              <w:rPr>
                <w:color w:val="000000"/>
                <w:sz w:val="20"/>
                <w:szCs w:val="20"/>
              </w:rPr>
            </w:pPr>
            <w:r>
              <w:rPr>
                <w:color w:val="000000"/>
                <w:kern w:val="0"/>
                <w:sz w:val="20"/>
                <w:szCs w:val="20"/>
                <w:lang w:bidi="ar"/>
              </w:rPr>
              <w:t>邮箱</w:t>
            </w:r>
          </w:p>
        </w:tc>
        <w:tc>
          <w:tcPr>
            <w:tcW w:w="3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注册资金</w:t>
            </w:r>
            <w:r>
              <w:rPr>
                <w:color w:val="000000"/>
                <w:kern w:val="0"/>
                <w:sz w:val="20"/>
                <w:szCs w:val="20"/>
                <w:lang w:bidi="ar"/>
              </w:rPr>
              <w:br w:type="textWrapping"/>
            </w:r>
            <w:r>
              <w:rPr>
                <w:color w:val="000000"/>
                <w:kern w:val="0"/>
                <w:sz w:val="20"/>
                <w:szCs w:val="20"/>
                <w:lang w:bidi="ar"/>
              </w:rPr>
              <w:t>（≥5亿元）</w:t>
            </w:r>
          </w:p>
        </w:tc>
        <w:tc>
          <w:tcPr>
            <w:tcW w:w="27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注册时间</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企业性质</w:t>
            </w:r>
          </w:p>
        </w:tc>
        <w:tc>
          <w:tcPr>
            <w:tcW w:w="235" w:type="pct"/>
            <w:vMerge w:val="restart"/>
            <w:tcBorders>
              <w:top w:val="single" w:color="000000" w:sz="4" w:space="0"/>
              <w:left w:val="single" w:color="000000" w:sz="4" w:space="0"/>
              <w:right w:val="single" w:color="000000" w:sz="4" w:space="0"/>
            </w:tcBorders>
            <w:shd w:val="clear" w:color="auto" w:fill="FFFFFF"/>
            <w:vAlign w:val="center"/>
          </w:tcPr>
          <w:p>
            <w:pPr>
              <w:widowControl/>
              <w:jc w:val="center"/>
              <w:textAlignment w:val="center"/>
              <w:rPr>
                <w:color w:val="000000"/>
                <w:kern w:val="0"/>
                <w:sz w:val="20"/>
                <w:szCs w:val="20"/>
                <w:lang w:bidi="ar"/>
              </w:rPr>
            </w:pPr>
            <w:r>
              <w:rPr>
                <w:color w:val="000000"/>
                <w:kern w:val="0"/>
                <w:sz w:val="20"/>
                <w:szCs w:val="20"/>
                <w:lang w:bidi="ar"/>
              </w:rPr>
              <w:t>资质</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kern w:val="0"/>
                <w:sz w:val="20"/>
                <w:szCs w:val="20"/>
                <w:lang w:bidi="ar"/>
              </w:rPr>
            </w:pPr>
            <w:r>
              <w:rPr>
                <w:color w:val="000000"/>
                <w:kern w:val="0"/>
                <w:sz w:val="20"/>
                <w:szCs w:val="20"/>
                <w:lang w:bidi="ar"/>
              </w:rPr>
              <w:t>类似</w:t>
            </w:r>
            <w:r>
              <w:rPr>
                <w:color w:val="000000"/>
                <w:kern w:val="0"/>
                <w:sz w:val="20"/>
                <w:szCs w:val="20"/>
                <w:lang w:bidi="ar"/>
              </w:rPr>
              <w:br w:type="textWrapping"/>
            </w:r>
            <w:r>
              <w:rPr>
                <w:color w:val="000000"/>
                <w:kern w:val="0"/>
                <w:sz w:val="20"/>
                <w:szCs w:val="20"/>
                <w:lang w:bidi="ar"/>
              </w:rPr>
              <w:t>业绩</w:t>
            </w:r>
          </w:p>
          <w:p>
            <w:pPr>
              <w:widowControl/>
              <w:jc w:val="center"/>
              <w:textAlignment w:val="center"/>
              <w:rPr>
                <w:color w:val="000000"/>
                <w:kern w:val="0"/>
                <w:sz w:val="20"/>
                <w:szCs w:val="20"/>
                <w:lang w:bidi="ar"/>
              </w:rPr>
            </w:pPr>
            <w:r>
              <w:rPr>
                <w:color w:val="000000"/>
                <w:kern w:val="0"/>
                <w:sz w:val="20"/>
                <w:szCs w:val="20"/>
                <w:lang w:bidi="ar"/>
              </w:rPr>
              <w:t>数量</w:t>
            </w:r>
          </w:p>
          <w:p>
            <w:pPr>
              <w:widowControl/>
              <w:jc w:val="center"/>
              <w:textAlignment w:val="center"/>
              <w:rPr>
                <w:color w:val="000000"/>
                <w:sz w:val="20"/>
                <w:szCs w:val="20"/>
              </w:rPr>
            </w:pPr>
            <w:r>
              <w:rPr>
                <w:color w:val="000000"/>
                <w:kern w:val="0"/>
                <w:sz w:val="20"/>
                <w:szCs w:val="20"/>
                <w:lang w:bidi="ar"/>
              </w:rPr>
              <w:t>（项）</w:t>
            </w:r>
          </w:p>
        </w:tc>
        <w:tc>
          <w:tcPr>
            <w:tcW w:w="5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2023年</w:t>
            </w:r>
          </w:p>
        </w:tc>
        <w:tc>
          <w:tcPr>
            <w:tcW w:w="51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2024年</w:t>
            </w:r>
          </w:p>
        </w:tc>
        <w:tc>
          <w:tcPr>
            <w:tcW w:w="50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2025年</w:t>
            </w:r>
          </w:p>
        </w:tc>
      </w:tr>
      <w:tr>
        <w:tblPrEx>
          <w:tblCellMar>
            <w:top w:w="0" w:type="dxa"/>
            <w:left w:w="108" w:type="dxa"/>
            <w:bottom w:w="0" w:type="dxa"/>
            <w:right w:w="108" w:type="dxa"/>
          </w:tblCellMar>
        </w:tblPrEx>
        <w:trPr>
          <w:trHeight w:val="480" w:hRule="atLeast"/>
        </w:trPr>
        <w:tc>
          <w:tcPr>
            <w:tcW w:w="20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49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20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21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3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235" w:type="pct"/>
            <w:vMerge w:val="continue"/>
            <w:tcBorders>
              <w:left w:val="single" w:color="000000" w:sz="4" w:space="0"/>
              <w:bottom w:val="single" w:color="000000" w:sz="4" w:space="0"/>
              <w:right w:val="single" w:color="000000" w:sz="4" w:space="0"/>
            </w:tcBorders>
            <w:shd w:val="clear" w:color="auto" w:fill="FFFFFF"/>
          </w:tcPr>
          <w:p>
            <w:pPr>
              <w:rPr>
                <w:sz w:val="20"/>
                <w:szCs w:val="20"/>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rPr>
                <w:sz w:val="20"/>
                <w:szCs w:val="20"/>
              </w:rPr>
            </w:pP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资产负债率</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资产负债率</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color w:val="000000"/>
                <w:sz w:val="20"/>
                <w:szCs w:val="20"/>
              </w:rPr>
            </w:pPr>
            <w:r>
              <w:rPr>
                <w:color w:val="000000"/>
                <w:kern w:val="0"/>
                <w:sz w:val="20"/>
                <w:szCs w:val="20"/>
                <w:lang w:bidi="ar"/>
              </w:rPr>
              <w:t>资产负债率</w:t>
            </w:r>
          </w:p>
        </w:tc>
      </w:tr>
      <w:tr>
        <w:tblPrEx>
          <w:tblCellMar>
            <w:top w:w="0" w:type="dxa"/>
            <w:left w:w="108" w:type="dxa"/>
            <w:bottom w:w="0" w:type="dxa"/>
            <w:right w:w="108" w:type="dxa"/>
          </w:tblCellMar>
        </w:tblPrEx>
        <w:trPr>
          <w:trHeight w:val="649" w:hRule="atLeast"/>
        </w:trPr>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3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13"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r>
      <w:tr>
        <w:tblPrEx>
          <w:tblCellMar>
            <w:top w:w="0" w:type="dxa"/>
            <w:left w:w="108" w:type="dxa"/>
            <w:bottom w:w="0" w:type="dxa"/>
            <w:right w:w="108" w:type="dxa"/>
          </w:tblCellMar>
        </w:tblPrEx>
        <w:trPr>
          <w:trHeight w:val="694" w:hRule="atLeast"/>
        </w:trPr>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3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13"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r>
      <w:tr>
        <w:tblPrEx>
          <w:tblCellMar>
            <w:top w:w="0" w:type="dxa"/>
            <w:left w:w="108" w:type="dxa"/>
            <w:bottom w:w="0" w:type="dxa"/>
            <w:right w:w="108" w:type="dxa"/>
          </w:tblCellMar>
        </w:tblPrEx>
        <w:trPr>
          <w:trHeight w:val="719" w:hRule="atLeast"/>
        </w:trPr>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3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13"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3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p>
        </w:tc>
        <w:tc>
          <w:tcPr>
            <w:tcW w:w="217" w:type="pc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color w:val="000000"/>
                <w:sz w:val="20"/>
                <w:szCs w:val="20"/>
              </w:rPr>
            </w:pPr>
            <w:r>
              <w:rPr>
                <w:color w:val="000000"/>
                <w:sz w:val="20"/>
                <w:szCs w:val="20"/>
              </w:rPr>
              <w:t>%</w:t>
            </w:r>
          </w:p>
        </w:tc>
      </w:tr>
    </w:tbl>
    <w:p>
      <w:pPr>
        <w:rPr>
          <w:kern w:val="0"/>
          <w:sz w:val="24"/>
          <w:szCs w:val="21"/>
          <w:lang w:bidi="en-US"/>
        </w:rPr>
      </w:pPr>
    </w:p>
    <w:p>
      <w:pPr>
        <w:autoSpaceDE w:val="0"/>
        <w:autoSpaceDN w:val="0"/>
        <w:adjustRightInd w:val="0"/>
        <w:snapToGrid w:val="0"/>
        <w:spacing w:line="420" w:lineRule="exact"/>
        <w:jc w:val="left"/>
        <w:rPr>
          <w:b/>
          <w:bCs/>
          <w:sz w:val="24"/>
          <w:lang w:bidi="ar"/>
        </w:rPr>
      </w:pPr>
      <w:r>
        <w:rPr>
          <w:b/>
          <w:bCs/>
          <w:sz w:val="24"/>
          <w:lang w:bidi="ar"/>
        </w:rPr>
        <w:t>注意：数据依据为报名单位提供的</w:t>
      </w:r>
      <w:r>
        <w:rPr>
          <w:b/>
          <w:bCs/>
          <w:sz w:val="24"/>
          <w:em w:val="dot"/>
          <w:lang w:bidi="ar"/>
        </w:rPr>
        <w:t>近三年财务审计报告数据</w:t>
      </w:r>
      <w:r>
        <w:rPr>
          <w:b/>
          <w:bCs/>
          <w:sz w:val="24"/>
          <w:lang w:bidi="ar"/>
        </w:rPr>
        <w:t>，各报名单位务必确保数据真实及填写格式准确，如有不实之处一经核实将取消报名资格，</w:t>
      </w:r>
      <w:r>
        <w:rPr>
          <w:b/>
          <w:bCs/>
          <w:sz w:val="24"/>
          <w:highlight w:val="yellow"/>
          <w:lang w:bidi="ar"/>
        </w:rPr>
        <w:t>e采通注册时未填报财务数据的，将无法提交应标资料并无法参加投标，请及时补充资料，详见后附说明</w:t>
      </w:r>
      <w:r>
        <w:rPr>
          <w:b/>
          <w:bCs/>
          <w:sz w:val="24"/>
          <w:lang w:bidi="ar"/>
        </w:rPr>
        <w:t>。</w:t>
      </w:r>
    </w:p>
    <w:p>
      <w:pPr>
        <w:rPr>
          <w:kern w:val="0"/>
          <w:sz w:val="24"/>
          <w:szCs w:val="21"/>
          <w:lang w:bidi="en-US"/>
        </w:rPr>
      </w:pPr>
      <w:r>
        <w:rPr>
          <w:kern w:val="0"/>
          <w:sz w:val="24"/>
          <w:szCs w:val="21"/>
          <w:lang w:bidi="en-US"/>
        </w:rPr>
        <w:br w:type="page"/>
      </w:r>
    </w:p>
    <w:p>
      <w:pPr>
        <w:rPr>
          <w:sz w:val="30"/>
          <w:szCs w:val="30"/>
        </w:rPr>
      </w:pPr>
      <w:r>
        <w:rPr>
          <w:sz w:val="30"/>
          <w:szCs w:val="30"/>
        </w:rPr>
        <w:t>附件2:</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332"/>
        <w:gridCol w:w="1157"/>
        <w:gridCol w:w="1862"/>
        <w:gridCol w:w="1862"/>
        <w:gridCol w:w="1627"/>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single" w:color="auto" w:sz="4" w:space="0"/>
              <w:left w:val="single" w:color="auto" w:sz="4" w:space="0"/>
              <w:bottom w:val="single" w:color="auto" w:sz="4" w:space="0"/>
              <w:right w:val="single" w:color="auto" w:sz="4" w:space="0"/>
            </w:tcBorders>
            <w:noWrap/>
          </w:tcPr>
          <w:p>
            <w:pPr>
              <w:autoSpaceDE w:val="0"/>
              <w:autoSpaceDN w:val="0"/>
              <w:jc w:val="center"/>
              <w:rPr>
                <w:b/>
                <w:bCs/>
                <w:sz w:val="30"/>
                <w:szCs w:val="30"/>
              </w:rPr>
            </w:pPr>
            <w:r>
              <w:rPr>
                <w:b/>
                <w:bCs/>
                <w:sz w:val="28"/>
                <w:szCs w:val="28"/>
              </w:rPr>
              <w:t>类似项目业绩列表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323"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序号</w:t>
            </w:r>
          </w:p>
        </w:tc>
        <w:tc>
          <w:tcPr>
            <w:tcW w:w="1090"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项目/合同</w:t>
            </w:r>
          </w:p>
          <w:p>
            <w:pPr>
              <w:autoSpaceDE w:val="0"/>
              <w:autoSpaceDN w:val="0"/>
              <w:jc w:val="center"/>
              <w:rPr>
                <w:sz w:val="24"/>
              </w:rPr>
            </w:pPr>
            <w:r>
              <w:rPr>
                <w:sz w:val="24"/>
              </w:rPr>
              <w:t>名称</w:t>
            </w:r>
          </w:p>
        </w:tc>
        <w:tc>
          <w:tcPr>
            <w:tcW w:w="54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项目地点</w:t>
            </w: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施工内容及范围</w:t>
            </w: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合同额（万元）</w:t>
            </w: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rFonts w:hint="eastAsia"/>
                <w:sz w:val="24"/>
              </w:rPr>
              <w:t>合同签订时间</w:t>
            </w: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rFonts w:hint="eastAsia"/>
                <w:sz w:val="24"/>
              </w:rPr>
              <w:t>验收时间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23"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1</w:t>
            </w:r>
          </w:p>
        </w:tc>
        <w:tc>
          <w:tcPr>
            <w:tcW w:w="1090"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54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23"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2</w:t>
            </w:r>
          </w:p>
        </w:tc>
        <w:tc>
          <w:tcPr>
            <w:tcW w:w="1090"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54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23"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3</w:t>
            </w:r>
          </w:p>
        </w:tc>
        <w:tc>
          <w:tcPr>
            <w:tcW w:w="1090"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54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23"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4</w:t>
            </w:r>
          </w:p>
        </w:tc>
        <w:tc>
          <w:tcPr>
            <w:tcW w:w="1090"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54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323" w:type="pct"/>
            <w:tcBorders>
              <w:top w:val="single" w:color="auto" w:sz="4" w:space="0"/>
              <w:left w:val="single" w:color="auto" w:sz="4" w:space="0"/>
              <w:bottom w:val="single" w:color="auto" w:sz="4" w:space="0"/>
              <w:right w:val="single" w:color="auto" w:sz="4" w:space="0"/>
            </w:tcBorders>
            <w:noWrap/>
          </w:tcPr>
          <w:p>
            <w:pPr>
              <w:autoSpaceDE w:val="0"/>
              <w:autoSpaceDN w:val="0"/>
              <w:rPr>
                <w:sz w:val="24"/>
              </w:rPr>
            </w:pPr>
            <w:r>
              <w:rPr>
                <w:sz w:val="24"/>
              </w:rPr>
              <w:t>......</w:t>
            </w:r>
          </w:p>
        </w:tc>
        <w:tc>
          <w:tcPr>
            <w:tcW w:w="1090"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54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2" w:hRule="atLeast"/>
          <w:jc w:val="center"/>
        </w:trPr>
        <w:tc>
          <w:tcPr>
            <w:tcW w:w="323" w:type="pct"/>
            <w:tcBorders>
              <w:top w:val="single" w:color="auto" w:sz="4" w:space="0"/>
              <w:left w:val="single" w:color="auto" w:sz="4" w:space="0"/>
              <w:bottom w:val="single" w:color="auto" w:sz="4" w:space="0"/>
              <w:right w:val="single" w:color="auto" w:sz="4" w:space="0"/>
            </w:tcBorders>
            <w:noWrap/>
          </w:tcPr>
          <w:p>
            <w:pPr>
              <w:autoSpaceDE w:val="0"/>
              <w:autoSpaceDN w:val="0"/>
              <w:rPr>
                <w:sz w:val="24"/>
              </w:rPr>
            </w:pPr>
          </w:p>
        </w:tc>
        <w:tc>
          <w:tcPr>
            <w:tcW w:w="1090"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r>
              <w:rPr>
                <w:sz w:val="24"/>
              </w:rPr>
              <w:t>数量不限，能报尽报</w:t>
            </w:r>
          </w:p>
        </w:tc>
        <w:tc>
          <w:tcPr>
            <w:tcW w:w="54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871"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c>
          <w:tcPr>
            <w:tcW w:w="652" w:type="pct"/>
            <w:tcBorders>
              <w:top w:val="single" w:color="auto" w:sz="4" w:space="0"/>
              <w:left w:val="single" w:color="auto" w:sz="4" w:space="0"/>
              <w:bottom w:val="single" w:color="auto" w:sz="4" w:space="0"/>
              <w:right w:val="single" w:color="auto" w:sz="4" w:space="0"/>
            </w:tcBorders>
            <w:noWrap/>
            <w:vAlign w:val="center"/>
          </w:tcPr>
          <w:p>
            <w:pPr>
              <w:autoSpaceDE w:val="0"/>
              <w:autoSpaceDN w:val="0"/>
              <w:jc w:val="center"/>
              <w:rPr>
                <w:sz w:val="24"/>
              </w:rPr>
            </w:pPr>
          </w:p>
        </w:tc>
      </w:tr>
    </w:tbl>
    <w:p>
      <w:pPr>
        <w:rPr>
          <w:kern w:val="0"/>
          <w:sz w:val="24"/>
          <w:szCs w:val="21"/>
          <w:lang w:bidi="en-US"/>
        </w:rPr>
      </w:pPr>
    </w:p>
    <w:p>
      <w:pPr>
        <w:autoSpaceDE w:val="0"/>
        <w:autoSpaceDN w:val="0"/>
        <w:rPr>
          <w:sz w:val="30"/>
          <w:szCs w:val="30"/>
        </w:rPr>
      </w:pPr>
      <w:bookmarkStart w:id="3" w:name="_Toc136871075"/>
      <w:r>
        <w:rPr>
          <w:sz w:val="30"/>
          <w:szCs w:val="30"/>
        </w:rPr>
        <w:br w:type="page"/>
      </w:r>
    </w:p>
    <w:p>
      <w:pPr>
        <w:rPr>
          <w:sz w:val="28"/>
          <w:szCs w:val="28"/>
        </w:rPr>
      </w:pPr>
      <w:r>
        <w:rPr>
          <w:sz w:val="30"/>
          <w:szCs w:val="30"/>
        </w:rPr>
        <w:t>附件3：</w:t>
      </w:r>
    </w:p>
    <w:bookmarkEnd w:id="3"/>
    <w:p>
      <w:pPr>
        <w:spacing w:line="360" w:lineRule="auto"/>
        <w:jc w:val="center"/>
        <w:rPr>
          <w:b/>
          <w:sz w:val="32"/>
          <w:szCs w:val="32"/>
        </w:rPr>
      </w:pPr>
      <w:r>
        <w:rPr>
          <w:b/>
          <w:sz w:val="32"/>
          <w:szCs w:val="32"/>
        </w:rPr>
        <w:t>法人授权委托书</w:t>
      </w:r>
    </w:p>
    <w:p>
      <w:pPr>
        <w:wordWrap w:val="0"/>
        <w:snapToGrid w:val="0"/>
        <w:spacing w:line="360" w:lineRule="auto"/>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pPr>
        <w:snapToGrid w:val="0"/>
        <w:spacing w:line="360" w:lineRule="auto"/>
        <w:ind w:firstLine="480"/>
        <w:rPr>
          <w:sz w:val="24"/>
          <w:u w:val="single"/>
        </w:rPr>
      </w:pPr>
      <w:r>
        <w:rPr>
          <w:sz w:val="24"/>
        </w:rPr>
        <w:t>委托期限：</w:t>
      </w:r>
      <w:r>
        <w:rPr>
          <w:sz w:val="24"/>
          <w:u w:val="single"/>
        </w:rPr>
        <w:t xml:space="preserve">           </w:t>
      </w:r>
    </w:p>
    <w:p>
      <w:pPr>
        <w:snapToGrid w:val="0"/>
        <w:spacing w:line="360" w:lineRule="auto"/>
        <w:ind w:firstLine="480"/>
        <w:rPr>
          <w:sz w:val="24"/>
        </w:rPr>
      </w:pPr>
      <w:r>
        <w:rPr>
          <w:sz w:val="24"/>
        </w:rPr>
        <w:t xml:space="preserve">代理人无权转委托权。  </w:t>
      </w:r>
    </w:p>
    <w:p>
      <w:pPr>
        <w:snapToGrid w:val="0"/>
        <w:spacing w:line="360" w:lineRule="auto"/>
        <w:ind w:firstLine="480"/>
        <w:rPr>
          <w:sz w:val="24"/>
        </w:rPr>
      </w:pPr>
      <w:r>
        <w:rPr>
          <w:sz w:val="24"/>
        </w:rPr>
        <w:t>附：法定代表人身份证明</w:t>
      </w:r>
    </w:p>
    <w:tbl>
      <w:tblPr>
        <w:tblStyle w:val="16"/>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10682"/>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pPr>
              <w:snapToGrid w:val="0"/>
              <w:spacing w:line="360" w:lineRule="auto"/>
              <w:ind w:firstLine="480" w:firstLineChars="20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pPr>
              <w:snapToGrid w:val="0"/>
              <w:spacing w:line="360" w:lineRule="auto"/>
              <w:ind w:firstLine="480"/>
              <w:rPr>
                <w:sz w:val="24"/>
              </w:rPr>
            </w:pPr>
          </w:p>
          <w:p>
            <w:pPr>
              <w:pStyle w:val="6"/>
              <w:rPr>
                <w:rFonts w:ascii="Times New Roman"/>
              </w:rPr>
            </w:pPr>
          </w:p>
          <w:p/>
          <w:p>
            <w:pPr>
              <w:pStyle w:val="6"/>
              <w:rPr>
                <w:rFonts w:ascii="Times New Roman"/>
              </w:rPr>
            </w:pPr>
          </w:p>
        </w:tc>
      </w:tr>
    </w:tbl>
    <w:p>
      <w:pPr>
        <w:spacing w:line="400" w:lineRule="exact"/>
        <w:ind w:firstLine="422" w:firstLineChars="200"/>
        <w:rPr>
          <w:rStyle w:val="32"/>
          <w:szCs w:val="21"/>
        </w:rPr>
      </w:pPr>
      <w:r>
        <w:rPr>
          <w:rStyle w:val="32"/>
          <w:szCs w:val="21"/>
        </w:rPr>
        <w:t>投  标  人：</w:t>
      </w:r>
      <w:r>
        <w:rPr>
          <w:rStyle w:val="32"/>
          <w:szCs w:val="21"/>
          <w:u w:val="single"/>
        </w:rPr>
        <w:t xml:space="preserve">                    </w:t>
      </w:r>
      <w:r>
        <w:rPr>
          <w:rStyle w:val="32"/>
          <w:szCs w:val="21"/>
        </w:rPr>
        <w:t>（盖章）</w:t>
      </w:r>
    </w:p>
    <w:p>
      <w:pPr>
        <w:spacing w:line="400" w:lineRule="exact"/>
        <w:ind w:firstLine="422" w:firstLineChars="200"/>
        <w:rPr>
          <w:rStyle w:val="32"/>
          <w:szCs w:val="21"/>
        </w:rPr>
      </w:pPr>
      <w:r>
        <w:rPr>
          <w:rStyle w:val="32"/>
          <w:szCs w:val="21"/>
        </w:rPr>
        <w:t>法定代表人：</w:t>
      </w:r>
      <w:r>
        <w:rPr>
          <w:rStyle w:val="32"/>
          <w:szCs w:val="21"/>
          <w:u w:val="single"/>
        </w:rPr>
        <w:t xml:space="preserve">                    </w:t>
      </w:r>
      <w:r>
        <w:rPr>
          <w:rStyle w:val="32"/>
          <w:szCs w:val="21"/>
        </w:rPr>
        <w:t>（签字或盖章）</w:t>
      </w:r>
    </w:p>
    <w:p>
      <w:pPr>
        <w:spacing w:line="400" w:lineRule="exact"/>
        <w:ind w:firstLine="422" w:firstLineChars="200"/>
        <w:rPr>
          <w:rStyle w:val="32"/>
          <w:szCs w:val="21"/>
          <w:u w:val="single"/>
        </w:rPr>
      </w:pPr>
      <w:r>
        <w:rPr>
          <w:rStyle w:val="32"/>
          <w:szCs w:val="21"/>
        </w:rPr>
        <w:t>身份证号码：</w:t>
      </w:r>
      <w:r>
        <w:rPr>
          <w:rStyle w:val="32"/>
          <w:szCs w:val="21"/>
          <w:u w:val="single"/>
        </w:rPr>
        <w:t xml:space="preserve">                    </w:t>
      </w:r>
    </w:p>
    <w:p>
      <w:pPr>
        <w:spacing w:line="400" w:lineRule="exact"/>
        <w:ind w:firstLine="422" w:firstLineChars="200"/>
        <w:rPr>
          <w:rStyle w:val="32"/>
          <w:szCs w:val="21"/>
        </w:rPr>
      </w:pPr>
      <w:r>
        <w:rPr>
          <w:rStyle w:val="32"/>
          <w:szCs w:val="21"/>
        </w:rPr>
        <w:t>委托代理人：</w:t>
      </w:r>
      <w:r>
        <w:rPr>
          <w:rStyle w:val="32"/>
          <w:szCs w:val="21"/>
          <w:u w:val="single"/>
        </w:rPr>
        <w:t xml:space="preserve">                    </w:t>
      </w:r>
      <w:r>
        <w:rPr>
          <w:rStyle w:val="32"/>
          <w:szCs w:val="21"/>
        </w:rPr>
        <w:t>（签字或盖章）</w:t>
      </w:r>
    </w:p>
    <w:p>
      <w:pPr>
        <w:spacing w:line="400" w:lineRule="exact"/>
        <w:ind w:firstLine="422" w:firstLineChars="200"/>
        <w:rPr>
          <w:rStyle w:val="32"/>
          <w:szCs w:val="21"/>
          <w:u w:val="single"/>
        </w:rPr>
      </w:pPr>
      <w:r>
        <w:rPr>
          <w:rStyle w:val="32"/>
          <w:szCs w:val="21"/>
        </w:rPr>
        <w:t>身份证号码：</w:t>
      </w:r>
      <w:r>
        <w:rPr>
          <w:rStyle w:val="32"/>
          <w:szCs w:val="21"/>
          <w:u w:val="single"/>
        </w:rPr>
        <w:t xml:space="preserve">                    </w:t>
      </w:r>
    </w:p>
    <w:p>
      <w:pPr>
        <w:spacing w:line="400" w:lineRule="exact"/>
        <w:ind w:firstLine="422" w:firstLineChars="200"/>
        <w:rPr>
          <w:rStyle w:val="32"/>
          <w:szCs w:val="21"/>
        </w:rPr>
      </w:pPr>
      <w:r>
        <w:rPr>
          <w:rStyle w:val="32"/>
          <w:szCs w:val="21"/>
        </w:rPr>
        <w:t>日      期：</w:t>
      </w:r>
      <w:r>
        <w:rPr>
          <w:rStyle w:val="32"/>
          <w:szCs w:val="21"/>
          <w:u w:val="single"/>
        </w:rPr>
        <w:t xml:space="preserve">    </w:t>
      </w:r>
      <w:r>
        <w:rPr>
          <w:rStyle w:val="32"/>
          <w:szCs w:val="21"/>
        </w:rPr>
        <w:t>年</w:t>
      </w:r>
      <w:r>
        <w:rPr>
          <w:rStyle w:val="32"/>
          <w:szCs w:val="21"/>
          <w:u w:val="single"/>
        </w:rPr>
        <w:t xml:space="preserve">    </w:t>
      </w:r>
      <w:r>
        <w:rPr>
          <w:rStyle w:val="32"/>
          <w:szCs w:val="21"/>
        </w:rPr>
        <w:t>月</w:t>
      </w:r>
      <w:r>
        <w:rPr>
          <w:rStyle w:val="32"/>
          <w:szCs w:val="21"/>
          <w:u w:val="single"/>
        </w:rPr>
        <w:t xml:space="preserve">    </w:t>
      </w:r>
      <w:r>
        <w:rPr>
          <w:rStyle w:val="32"/>
          <w:szCs w:val="21"/>
        </w:rPr>
        <w:t>日</w:t>
      </w:r>
    </w:p>
    <w:p>
      <w:pPr>
        <w:pStyle w:val="15"/>
        <w:ind w:left="420" w:firstLine="420"/>
      </w:pPr>
    </w:p>
    <w:p>
      <w:pPr>
        <w:autoSpaceDE w:val="0"/>
        <w:autoSpaceDN w:val="0"/>
        <w:adjustRightInd w:val="0"/>
        <w:snapToGrid w:val="0"/>
      </w:pPr>
      <w:r>
        <w:br w:type="page"/>
      </w:r>
    </w:p>
    <w:p>
      <w:pPr>
        <w:autoSpaceDE w:val="0"/>
        <w:autoSpaceDN w:val="0"/>
        <w:adjustRightInd w:val="0"/>
        <w:snapToGrid w:val="0"/>
        <w:rPr>
          <w:sz w:val="30"/>
          <w:szCs w:val="30"/>
        </w:rPr>
      </w:pPr>
      <w:r>
        <w:rPr>
          <w:rFonts w:hint="eastAsia"/>
          <w:sz w:val="30"/>
          <w:szCs w:val="30"/>
        </w:rPr>
        <w:t>附件</w:t>
      </w:r>
      <w:r>
        <w:rPr>
          <w:sz w:val="30"/>
          <w:szCs w:val="30"/>
        </w:rPr>
        <w:t>4</w:t>
      </w:r>
      <w:r>
        <w:rPr>
          <w:rFonts w:hint="eastAsia"/>
          <w:sz w:val="30"/>
          <w:szCs w:val="30"/>
        </w:rPr>
        <w:t>：</w:t>
      </w:r>
    </w:p>
    <w:p>
      <w:pPr>
        <w:autoSpaceDE w:val="0"/>
        <w:autoSpaceDN w:val="0"/>
        <w:adjustRightInd w:val="0"/>
        <w:snapToGrid w:val="0"/>
        <w:jc w:val="center"/>
        <w:rPr>
          <w:szCs w:val="21"/>
        </w:rPr>
      </w:pPr>
      <w:r>
        <w:rPr>
          <w:rFonts w:hint="eastAsia" w:ascii="黑体" w:hAnsi="黑体" w:eastAsia="黑体" w:cs="黑体"/>
          <w:sz w:val="36"/>
          <w:szCs w:val="36"/>
        </w:rPr>
        <w:t>联合体协议书</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u w:val="single"/>
        </w:rPr>
      </w:pPr>
      <w:r>
        <w:rPr>
          <w:rFonts w:hint="eastAsia" w:asciiTheme="minorEastAsia" w:hAnsiTheme="minorEastAsia" w:eastAsiaTheme="minorEastAsia"/>
          <w:sz w:val="24"/>
          <w:szCs w:val="24"/>
        </w:rPr>
        <w:t>牵</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头</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人（全称）：</w:t>
      </w:r>
      <w:r>
        <w:rPr>
          <w:rFonts w:asciiTheme="minorEastAsia" w:hAnsiTheme="minorEastAsia" w:eastAsiaTheme="minorEastAsia"/>
          <w:sz w:val="24"/>
          <w:szCs w:val="24"/>
          <w:u w:val="single"/>
        </w:rPr>
        <w:t xml:space="preserve">                       </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u w:val="single"/>
        </w:rPr>
      </w:pPr>
      <w:r>
        <w:rPr>
          <w:rFonts w:hint="eastAsia" w:asciiTheme="minorEastAsia" w:hAnsiTheme="minorEastAsia" w:eastAsiaTheme="minorEastAsia"/>
          <w:sz w:val="24"/>
          <w:szCs w:val="24"/>
        </w:rPr>
        <w:t>联合体成员（全称）：</w:t>
      </w:r>
      <w:r>
        <w:rPr>
          <w:rFonts w:asciiTheme="minorEastAsia" w:hAnsiTheme="minorEastAsia" w:eastAsiaTheme="minorEastAsia"/>
          <w:sz w:val="24"/>
          <w:szCs w:val="24"/>
          <w:u w:val="single"/>
        </w:rPr>
        <w:t xml:space="preserve">                       </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u w:val="single"/>
        </w:rPr>
        <w:t>（牵头人名称）</w:t>
      </w:r>
      <w:r>
        <w:rPr>
          <w:rFonts w:hint="eastAsia" w:cs="微软雅黑" w:asciiTheme="minorEastAsia" w:hAnsiTheme="minorEastAsia" w:eastAsiaTheme="minorEastAsia"/>
          <w:color w:val="444444"/>
          <w:sz w:val="24"/>
          <w:szCs w:val="24"/>
          <w:shd w:val="clear" w:color="auto" w:fill="FFFFFF"/>
        </w:rPr>
        <w:t>与</w:t>
      </w:r>
      <w:r>
        <w:rPr>
          <w:rFonts w:hint="eastAsia" w:asciiTheme="minorEastAsia" w:hAnsiTheme="minorEastAsia" w:eastAsiaTheme="minorEastAsia"/>
          <w:sz w:val="24"/>
          <w:szCs w:val="24"/>
          <w:u w:val="single"/>
        </w:rPr>
        <w:t>（联合体成员名称）</w:t>
      </w:r>
      <w:r>
        <w:rPr>
          <w:rFonts w:hint="eastAsia" w:asciiTheme="minorEastAsia" w:hAnsiTheme="minorEastAsia" w:eastAsiaTheme="minorEastAsia"/>
          <w:sz w:val="24"/>
          <w:szCs w:val="24"/>
        </w:rPr>
        <w:t>就</w:t>
      </w:r>
      <w:r>
        <w:rPr>
          <w:rFonts w:hint="eastAsia" w:asciiTheme="minorEastAsia" w:hAnsiTheme="minorEastAsia" w:eastAsiaTheme="minorEastAsia"/>
          <w:sz w:val="24"/>
          <w:szCs w:val="24"/>
          <w:u w:val="single"/>
        </w:rPr>
        <w:t>（项目名称）</w:t>
      </w:r>
      <w:r>
        <w:rPr>
          <w:rFonts w:hint="eastAsia" w:asciiTheme="minorEastAsia" w:hAnsiTheme="minorEastAsia" w:eastAsiaTheme="minorEastAsia"/>
          <w:sz w:val="24"/>
          <w:szCs w:val="24"/>
        </w:rPr>
        <w:t>招标项目投标有关事宜，经各方充分协商一致，达成如下协议：</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一、由</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牵头，</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参加，自愿组成一个联合体共同进行本招标项目的投标工作。</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二、</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为本次投标的联合体牵头人，联合体成员授权牵头人代表联合体参加投标、缴纳投标保证金、签署文件、提交和接受相关资料、信息和指示、通知等，进行合同谈判活动，以及处理与本招标项目有关的一切事宜。</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三、联合体牵头人在本项目中签署的一切文件和处理的一切事宜，联合体各成员均予以承认。联合体中标后，牵头人负责合同实施阶段的全部事宜</w:t>
      </w:r>
      <w:r>
        <w:rPr>
          <w:rFonts w:asciiTheme="minorEastAsia" w:hAnsiTheme="minorEastAsia" w:eastAsiaTheme="minorEastAsia"/>
          <w:sz w:val="24"/>
          <w:szCs w:val="24"/>
        </w:rPr>
        <w:t>(</w:t>
      </w:r>
      <w:r>
        <w:rPr>
          <w:rFonts w:hint="eastAsia" w:asciiTheme="minorEastAsia" w:hAnsiTheme="minorEastAsia" w:eastAsiaTheme="minorEastAsia"/>
          <w:sz w:val="24"/>
          <w:szCs w:val="24"/>
        </w:rPr>
        <w:t>包括合同价款支付等</w:t>
      </w:r>
      <w:r>
        <w:rPr>
          <w:rFonts w:asciiTheme="minorEastAsia" w:hAnsiTheme="minorEastAsia" w:eastAsiaTheme="minorEastAsia"/>
          <w:sz w:val="24"/>
          <w:szCs w:val="24"/>
        </w:rPr>
        <w:t>)</w:t>
      </w:r>
      <w:r>
        <w:rPr>
          <w:rFonts w:hint="eastAsia" w:asciiTheme="minorEastAsia" w:hAnsiTheme="minorEastAsia" w:eastAsiaTheme="minorEastAsia"/>
          <w:sz w:val="24"/>
          <w:szCs w:val="24"/>
        </w:rPr>
        <w:t>。联合体内部的资金结算、拨付由联合体内部协议确定，与招标人无关。</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四、联合体牵头人与招标人签订合同，联合体成员将严格按照招标文件、投标文件和合同的要求全面履行义务，并向招标人承担连带责任。</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五、牵头人负责</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工作，联合体成员负责</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工作。</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六、联合体成员不得再以自己名义在本项目中单独投标。联合投标的项目责任人不能作为其它联合体或单独投标单位的项目组成员。因发生上述问题导致联合体投标成为废标的，联合体的其他方可追究其违约行为。</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七、本协议书自所有成员单位法定代表人签字、加盖单位公章之日起生效。本协议书由委托代理人/授权代表签字的，应附法定代表人签字的授权委托书。</w:t>
      </w:r>
    </w:p>
    <w:p>
      <w:pPr>
        <w:pStyle w:val="13"/>
        <w:shd w:val="clear" w:color="auto" w:fill="FFFFFF"/>
        <w:spacing w:before="0" w:beforeAutospacing="0" w:after="0" w:afterAutospacing="0" w:line="312" w:lineRule="auto"/>
        <w:ind w:firstLine="480" w:firstLineChars="20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rPr>
        <w:t>八、本协议书一式</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份，联合体成员和招标人各执 </w:t>
      </w:r>
      <w:r>
        <w:rPr>
          <w:rFonts w:hint="eastAsia" w:asciiTheme="minorEastAsia" w:hAnsiTheme="minorEastAsia" w:eastAsiaTheme="minorEastAsia"/>
          <w:sz w:val="24"/>
          <w:szCs w:val="24"/>
          <w:u w:val="single"/>
        </w:rPr>
        <w:t xml:space="preserve"> 壹  </w:t>
      </w:r>
      <w:r>
        <w:rPr>
          <w:rFonts w:hint="eastAsia" w:asciiTheme="minorEastAsia" w:hAnsiTheme="minorEastAsia" w:eastAsiaTheme="minorEastAsia"/>
          <w:sz w:val="24"/>
          <w:szCs w:val="24"/>
        </w:rPr>
        <w:t>份。</w:t>
      </w:r>
    </w:p>
    <w:tbl>
      <w:tblPr>
        <w:tblStyle w:val="17"/>
        <w:tblpPr w:leftFromText="180" w:rightFromText="180" w:vertAnchor="text" w:horzAnchor="margin" w:tblpY="5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43"/>
        <w:gridCol w:w="53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501" w:type="pct"/>
          </w:tcPr>
          <w:p>
            <w:pPr>
              <w:pStyle w:val="13"/>
              <w:shd w:val="clear" w:color="auto" w:fill="FFFFFF"/>
              <w:spacing w:before="0" w:beforeAutospacing="0" w:after="0" w:afterAutospacing="0" w:line="360" w:lineRule="auto"/>
              <w:textAlignment w:val="baseline"/>
              <w:rPr>
                <w:rFonts w:ascii="Times New Roman"/>
                <w:sz w:val="24"/>
                <w:szCs w:val="24"/>
              </w:rPr>
            </w:pPr>
            <w:r>
              <w:rPr>
                <w:rFonts w:hint="eastAsia" w:ascii="Times New Roman"/>
                <w:sz w:val="24"/>
                <w:szCs w:val="24"/>
              </w:rPr>
              <w:t>牵头人名称：</w:t>
            </w:r>
          </w:p>
          <w:p>
            <w:pPr>
              <w:pStyle w:val="13"/>
              <w:shd w:val="clear" w:color="auto" w:fill="FFFFFF"/>
              <w:spacing w:before="0" w:beforeAutospacing="0" w:after="0" w:afterAutospacing="0" w:line="360" w:lineRule="auto"/>
              <w:textAlignment w:val="baseline"/>
              <w:rPr>
                <w:rFonts w:ascii="Times New Roman"/>
                <w:sz w:val="24"/>
                <w:szCs w:val="24"/>
              </w:rPr>
            </w:pPr>
            <w:r>
              <w:rPr>
                <w:rFonts w:hint="eastAsia" w:ascii="Times New Roman"/>
                <w:sz w:val="24"/>
                <w:szCs w:val="24"/>
              </w:rPr>
              <w:t>（单位盖章）</w:t>
            </w:r>
          </w:p>
        </w:tc>
        <w:tc>
          <w:tcPr>
            <w:tcW w:w="2499" w:type="pct"/>
          </w:tcPr>
          <w:p>
            <w:pPr>
              <w:pStyle w:val="13"/>
              <w:shd w:val="clear" w:color="auto" w:fill="FFFFFF"/>
              <w:spacing w:before="0" w:beforeAutospacing="0" w:after="0" w:afterAutospacing="0" w:line="360" w:lineRule="auto"/>
              <w:textAlignment w:val="baseline"/>
              <w:rPr>
                <w:rFonts w:ascii="Times New Roman"/>
                <w:sz w:val="24"/>
                <w:szCs w:val="24"/>
              </w:rPr>
            </w:pPr>
            <w:r>
              <w:rPr>
                <w:rFonts w:hint="eastAsia" w:ascii="Times New Roman"/>
                <w:sz w:val="24"/>
                <w:szCs w:val="24"/>
              </w:rPr>
              <w:t>联合体成员名称：</w:t>
            </w:r>
          </w:p>
          <w:p>
            <w:pPr>
              <w:pStyle w:val="13"/>
              <w:shd w:val="clear" w:color="auto" w:fill="FFFFFF"/>
              <w:spacing w:before="0" w:beforeAutospacing="0" w:after="0" w:afterAutospacing="0" w:line="360" w:lineRule="auto"/>
              <w:textAlignment w:val="baseline"/>
              <w:rPr>
                <w:rFonts w:ascii="Times New Roman"/>
                <w:sz w:val="24"/>
                <w:szCs w:val="24"/>
              </w:rPr>
            </w:pPr>
            <w:r>
              <w:rPr>
                <w:rFonts w:hint="eastAsia" w:ascii="Times New Roman"/>
                <w:sz w:val="24"/>
                <w:szCs w:val="24"/>
              </w:rPr>
              <w:t>（单位盖章）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1" w:type="pct"/>
          </w:tcPr>
          <w:p>
            <w:pPr>
              <w:pStyle w:val="13"/>
              <w:shd w:val="clear" w:color="auto" w:fill="FFFFFF"/>
              <w:spacing w:before="0" w:beforeAutospacing="0" w:after="0" w:afterAutospacing="0" w:line="360" w:lineRule="auto"/>
              <w:textAlignment w:val="baseline"/>
              <w:rPr>
                <w:rFonts w:ascii="Times New Roman"/>
                <w:sz w:val="24"/>
                <w:szCs w:val="24"/>
              </w:rPr>
            </w:pPr>
            <w:r>
              <w:rPr>
                <w:rFonts w:hint="eastAsia" w:ascii="Times New Roman"/>
                <w:sz w:val="24"/>
                <w:szCs w:val="24"/>
              </w:rPr>
              <w:t>法定代表人或其授权代表：</w:t>
            </w:r>
          </w:p>
          <w:p>
            <w:pPr>
              <w:pStyle w:val="13"/>
              <w:shd w:val="clear" w:color="auto" w:fill="FFFFFF"/>
              <w:spacing w:before="0" w:beforeAutospacing="0" w:after="0" w:afterAutospacing="0" w:line="360" w:lineRule="auto"/>
              <w:textAlignment w:val="baseline"/>
              <w:rPr>
                <w:rFonts w:ascii="Times New Roman"/>
                <w:sz w:val="24"/>
                <w:szCs w:val="24"/>
              </w:rPr>
            </w:pPr>
            <w:r>
              <w:rPr>
                <w:rFonts w:hint="eastAsia" w:ascii="Times New Roman"/>
                <w:sz w:val="24"/>
                <w:szCs w:val="24"/>
              </w:rPr>
              <w:t>（签字或盖章）</w:t>
            </w:r>
          </w:p>
        </w:tc>
        <w:tc>
          <w:tcPr>
            <w:tcW w:w="2499" w:type="pct"/>
          </w:tcPr>
          <w:p>
            <w:pPr>
              <w:pStyle w:val="13"/>
              <w:spacing w:before="0" w:beforeAutospacing="0" w:after="0" w:afterAutospacing="0" w:line="360" w:lineRule="auto"/>
              <w:textAlignment w:val="baseline"/>
              <w:rPr>
                <w:rFonts w:ascii="Times New Roman"/>
                <w:sz w:val="24"/>
                <w:szCs w:val="24"/>
              </w:rPr>
            </w:pPr>
            <w:r>
              <w:rPr>
                <w:rFonts w:hint="eastAsia" w:ascii="Times New Roman"/>
                <w:sz w:val="24"/>
                <w:szCs w:val="24"/>
              </w:rPr>
              <w:t>法定代表人或其授权代表：</w:t>
            </w:r>
          </w:p>
          <w:p>
            <w:pPr>
              <w:pStyle w:val="13"/>
              <w:spacing w:before="0" w:beforeAutospacing="0" w:after="0" w:afterAutospacing="0" w:line="360" w:lineRule="auto"/>
              <w:textAlignment w:val="baseline"/>
              <w:rPr>
                <w:rFonts w:ascii="Times New Roman"/>
                <w:sz w:val="24"/>
                <w:szCs w:val="24"/>
              </w:rPr>
            </w:pPr>
            <w:r>
              <w:rPr>
                <w:rFonts w:hint="eastAsia" w:ascii="Times New Roman"/>
                <w:sz w:val="24"/>
                <w:szCs w:val="24"/>
              </w:rPr>
              <w:t>（签字或盖章）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1" w:type="pct"/>
          </w:tcPr>
          <w:p>
            <w:pPr>
              <w:pStyle w:val="13"/>
              <w:shd w:val="clear" w:color="auto" w:fill="FFFFFF"/>
              <w:spacing w:before="0" w:beforeAutospacing="0" w:after="0" w:afterAutospacing="0" w:line="360" w:lineRule="auto"/>
              <w:textAlignment w:val="baseline"/>
              <w:rPr>
                <w:rFonts w:ascii="Times New Roman"/>
                <w:sz w:val="24"/>
                <w:szCs w:val="24"/>
              </w:rPr>
            </w:pPr>
            <w:r>
              <w:rPr>
                <w:rFonts w:hint="eastAsia"/>
                <w:sz w:val="24"/>
                <w:szCs w:val="24"/>
              </w:rPr>
              <w:t>签署日期：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tc>
        <w:tc>
          <w:tcPr>
            <w:tcW w:w="2499" w:type="pct"/>
          </w:tcPr>
          <w:p>
            <w:pPr>
              <w:pStyle w:val="13"/>
              <w:spacing w:before="0" w:beforeAutospacing="0" w:after="0" w:afterAutospacing="0" w:line="360" w:lineRule="auto"/>
              <w:textAlignment w:val="baseline"/>
              <w:rPr>
                <w:rFonts w:ascii="Times New Roman"/>
                <w:sz w:val="24"/>
                <w:szCs w:val="24"/>
              </w:rPr>
            </w:pPr>
            <w:r>
              <w:rPr>
                <w:rFonts w:hint="eastAsia"/>
                <w:sz w:val="24"/>
                <w:szCs w:val="24"/>
              </w:rPr>
              <w:t>签署日期：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tc>
      </w:tr>
    </w:tbl>
    <w:p>
      <w:pPr>
        <w:pStyle w:val="2"/>
      </w:pPr>
      <w:r>
        <w:br w:type="page"/>
      </w:r>
    </w:p>
    <w:p>
      <w:pPr>
        <w:rPr>
          <w:sz w:val="30"/>
          <w:szCs w:val="30"/>
        </w:rPr>
      </w:pPr>
      <w:r>
        <w:rPr>
          <w:sz w:val="30"/>
          <w:szCs w:val="30"/>
        </w:rPr>
        <w:t>附件5:</w:t>
      </w:r>
    </w:p>
    <w:p>
      <w:pPr>
        <w:jc w:val="center"/>
        <w:rPr>
          <w:b/>
          <w:bCs/>
          <w:sz w:val="30"/>
          <w:szCs w:val="30"/>
        </w:rPr>
      </w:pPr>
      <w:bookmarkStart w:id="4" w:name="_Toc25980"/>
      <w:bookmarkStart w:id="5" w:name="_Toc9534"/>
      <w:bookmarkStart w:id="6" w:name="_Toc20729"/>
      <w:bookmarkStart w:id="7" w:name="_Toc6557"/>
      <w:bookmarkStart w:id="8" w:name="_Toc3889"/>
      <w:r>
        <w:rPr>
          <w:b/>
          <w:bCs/>
          <w:sz w:val="30"/>
          <w:szCs w:val="30"/>
        </w:rPr>
        <w:t>非生产供应商注册操作手册</w:t>
      </w:r>
      <w:bookmarkEnd w:id="4"/>
      <w:bookmarkEnd w:id="5"/>
      <w:bookmarkEnd w:id="6"/>
      <w:bookmarkEnd w:id="7"/>
      <w:bookmarkEnd w:id="8"/>
    </w:p>
    <w:p>
      <w:pPr>
        <w:snapToGrid w:val="0"/>
        <w:spacing w:line="288" w:lineRule="auto"/>
        <w:rPr>
          <w:b/>
          <w:bCs/>
          <w:color w:val="FF0000"/>
          <w:szCs w:val="21"/>
        </w:rPr>
      </w:pPr>
      <w:r>
        <w:rPr>
          <w:b/>
          <w:bCs/>
          <w:szCs w:val="21"/>
        </w:rPr>
        <w:t>e采通账号注册</w:t>
      </w:r>
    </w:p>
    <w:p>
      <w:pPr>
        <w:snapToGrid w:val="0"/>
        <w:spacing w:before="190" w:beforeLines="50" w:line="288" w:lineRule="auto"/>
        <w:rPr>
          <w:b/>
          <w:bCs/>
          <w:color w:val="FF0000"/>
          <w:szCs w:val="21"/>
        </w:rPr>
      </w:pPr>
      <w:r>
        <w:rPr>
          <w:szCs w:val="21"/>
        </w:rPr>
        <w:t>投标人必须在报名时完成账号注册，</w:t>
      </w:r>
      <w:r>
        <w:rPr>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pPr>
        <w:snapToGrid w:val="0"/>
        <w:spacing w:before="190" w:beforeLines="50" w:line="288" w:lineRule="auto"/>
        <w:rPr>
          <w:b/>
          <w:bCs/>
          <w:szCs w:val="21"/>
        </w:rPr>
      </w:pPr>
      <w:r>
        <w:rPr>
          <w:b/>
          <w:bCs/>
          <w:szCs w:val="21"/>
        </w:rPr>
        <w:t>投标单位名称带有括号的，应确保括号的样式（区分英文或汉字输入法）与银行预留的、e采通注册的完全一致，不一致的请自行在e采通中修改，否则影响后续退保证金及付款。</w:t>
      </w:r>
    </w:p>
    <w:p>
      <w:pPr>
        <w:snapToGrid w:val="0"/>
        <w:spacing w:before="190" w:beforeLines="50" w:line="288" w:lineRule="auto"/>
        <w:rPr>
          <w:b/>
          <w:bCs/>
          <w:color w:val="FF0000"/>
        </w:rPr>
      </w:pPr>
      <w:r>
        <w:rPr>
          <w:b/>
          <w:bCs/>
          <w:color w:val="FF0000"/>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pPr>
        <w:rPr>
          <w:b/>
          <w:bCs/>
          <w:color w:val="C00000"/>
          <w:lang w:bidi="ar"/>
        </w:rPr>
      </w:pPr>
    </w:p>
    <w:p>
      <w:pPr>
        <w:rPr>
          <w:b/>
          <w:bCs/>
          <w:sz w:val="32"/>
          <w:szCs w:val="40"/>
          <w:highlight w:val="yellow"/>
        </w:rPr>
      </w:pPr>
      <w:r>
        <w:rPr>
          <w:b/>
          <w:bCs/>
          <w:sz w:val="32"/>
          <w:szCs w:val="40"/>
          <w:highlight w:val="yellow"/>
          <w:lang w:bidi="ar"/>
        </w:rPr>
        <w:t>供应商注册</w:t>
      </w:r>
    </w:p>
    <w:p>
      <w:pPr>
        <w:rPr>
          <w:b/>
          <w:bCs/>
          <w:color w:val="C00000"/>
        </w:rPr>
      </w:pPr>
      <w:r>
        <w:rPr>
          <w:b/>
          <w:bCs/>
          <w:color w:val="C00000"/>
          <w:lang w:bidi="ar"/>
        </w:rPr>
        <w:t>归口部门选“技术改造部”</w:t>
      </w:r>
    </w:p>
    <w:p>
      <w:r>
        <w:rPr>
          <w:color w:val="000000"/>
          <w:lang w:bidi="ar"/>
        </w:rPr>
        <w:t>浏览器中输入地址</w:t>
      </w:r>
      <w:r>
        <w:rPr>
          <w:rFonts w:eastAsia="Calibri"/>
          <w:color w:val="000000"/>
          <w:lang w:bidi="ar"/>
        </w:rPr>
        <w:t>;</w:t>
      </w:r>
    </w:p>
    <w:p>
      <w:r>
        <w:fldChar w:fldCharType="begin"/>
      </w:r>
      <w:r>
        <w:instrText xml:space="preserve"> HYPERLINK "http://ecaitong.sinotruk.com:8012/" \l "/login normalLink /tdkey d38o9f /tdfe -10 /tdfu http:/ecaitong.sinotruk.com:8012/#/login /tdlt inline" </w:instrText>
      </w:r>
      <w:r>
        <w:fldChar w:fldCharType="separate"/>
      </w:r>
      <w:r>
        <w:rPr>
          <w:rStyle w:val="34"/>
        </w:rPr>
        <w:t>https://ecaitong.sinotruk.com:8012/#/login</w:t>
      </w:r>
      <w:r>
        <w:rPr>
          <w:rStyle w:val="34"/>
        </w:rPr>
        <w:fldChar w:fldCharType="end"/>
      </w:r>
    </w:p>
    <w:p>
      <w:pPr>
        <w:numPr>
          <w:ilvl w:val="0"/>
          <w:numId w:val="2"/>
        </w:numPr>
        <w:rPr>
          <w:color w:val="000000"/>
          <w:lang w:bidi="ar"/>
        </w:rPr>
      </w:pPr>
      <w:r>
        <w:rPr>
          <w:color w:val="000000"/>
          <w:lang w:bidi="ar"/>
        </w:rPr>
        <w:t>点击立即注册</w:t>
      </w:r>
    </w:p>
    <w:p>
      <w:pPr>
        <w:rPr>
          <w:sz w:val="13"/>
          <w:szCs w:val="16"/>
          <w:highlight w:val="red"/>
        </w:rPr>
      </w:pPr>
      <w:r>
        <w:rPr>
          <w:b/>
          <w:bCs/>
          <w:color w:val="C00000"/>
          <w:sz w:val="28"/>
          <w:szCs w:val="36"/>
          <w:highlight w:val="yellow"/>
          <w:lang w:bidi="ar"/>
        </w:rPr>
        <w:t>新用户注册前请务必仔细阅读系统中的供应商用户手册，根据手册提示进行操作，见下图所示</w:t>
      </w:r>
    </w:p>
    <w:p>
      <w:pPr>
        <w:snapToGrid w:val="0"/>
        <w:spacing w:line="312" w:lineRule="auto"/>
      </w:pPr>
      <w:r>
        <w:rPr>
          <w:sz w:val="24"/>
        </w:rPr>
        <w:drawing>
          <wp:inline distT="0" distB="0" distL="114300" distR="114300">
            <wp:extent cx="5605145" cy="2578735"/>
            <wp:effectExtent l="0" t="0" r="3175" b="12065"/>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6"/>
                    <a:stretch>
                      <a:fillRect/>
                    </a:stretch>
                  </pic:blipFill>
                  <pic:spPr>
                    <a:xfrm>
                      <a:off x="0" y="0"/>
                      <a:ext cx="5605145" cy="2578735"/>
                    </a:xfrm>
                    <a:prstGeom prst="rect">
                      <a:avLst/>
                    </a:prstGeom>
                    <a:noFill/>
                    <a:ln w="9525">
                      <a:noFill/>
                    </a:ln>
                  </pic:spPr>
                </pic:pic>
              </a:graphicData>
            </a:graphic>
          </wp:inline>
        </w:drawing>
      </w:r>
    </w:p>
    <w:p>
      <w:r>
        <w:rPr>
          <w:rFonts w:eastAsia="Calibri"/>
          <w:color w:val="000000"/>
          <w:lang w:bidi="ar"/>
        </w:rPr>
        <w:t>2.</w:t>
      </w:r>
      <w:r>
        <w:rPr>
          <w:color w:val="000000"/>
          <w:lang w:bidi="ar"/>
        </w:rPr>
        <w:t>填写手机号码（没有注册过的）</w:t>
      </w:r>
    </w:p>
    <w:p>
      <w:pPr>
        <w:snapToGrid w:val="0"/>
        <w:spacing w:line="312" w:lineRule="auto"/>
      </w:pPr>
      <w:r>
        <w:drawing>
          <wp:inline distT="0" distB="0" distL="114300" distR="114300">
            <wp:extent cx="5758180" cy="2765425"/>
            <wp:effectExtent l="0" t="0" r="2540" b="8255"/>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7"/>
                    <a:stretch>
                      <a:fillRect/>
                    </a:stretch>
                  </pic:blipFill>
                  <pic:spPr>
                    <a:xfrm>
                      <a:off x="0" y="0"/>
                      <a:ext cx="5758180" cy="2765425"/>
                    </a:xfrm>
                    <a:prstGeom prst="rect">
                      <a:avLst/>
                    </a:prstGeom>
                    <a:noFill/>
                    <a:ln>
                      <a:noFill/>
                    </a:ln>
                  </pic:spPr>
                </pic:pic>
              </a:graphicData>
            </a:graphic>
          </wp:inline>
        </w:drawing>
      </w:r>
    </w:p>
    <w:p>
      <w:pPr>
        <w:rPr>
          <w:b/>
          <w:bCs/>
        </w:rPr>
      </w:pPr>
      <w:r>
        <w:rPr>
          <w:rFonts w:eastAsia="Calibri"/>
          <w:b/>
          <w:bCs/>
          <w:color w:val="000000"/>
          <w:lang w:bidi="ar"/>
        </w:rPr>
        <w:t>3.</w:t>
      </w:r>
      <w:r>
        <w:rPr>
          <w:b/>
          <w:bCs/>
          <w:color w:val="000000"/>
          <w:lang w:bidi="ar"/>
        </w:rPr>
        <w:t>注册成功登录这个手机号码的账号进入系统，点击供应商注册</w:t>
      </w:r>
    </w:p>
    <w:p>
      <w:pPr>
        <w:snapToGrid w:val="0"/>
        <w:spacing w:line="312" w:lineRule="auto"/>
      </w:pPr>
      <w:r>
        <w:drawing>
          <wp:inline distT="0" distB="0" distL="114300" distR="114300">
            <wp:extent cx="5760085" cy="2867025"/>
            <wp:effectExtent l="0" t="0" r="635" b="13335"/>
            <wp:docPr id="5" name="图片 5" descr="descript"/>
            <wp:cNvGraphicFramePr/>
            <a:graphic xmlns:a="http://schemas.openxmlformats.org/drawingml/2006/main">
              <a:graphicData uri="http://schemas.openxmlformats.org/drawingml/2006/picture">
                <pic:pic xmlns:pic="http://schemas.openxmlformats.org/drawingml/2006/picture">
                  <pic:nvPicPr>
                    <pic:cNvPr id="5" name="图片 5" descr="descript"/>
                    <pic:cNvPicPr/>
                  </pic:nvPicPr>
                  <pic:blipFill>
                    <a:blip r:embed="rId8"/>
                    <a:stretch>
                      <a:fillRect/>
                    </a:stretch>
                  </pic:blipFill>
                  <pic:spPr>
                    <a:xfrm>
                      <a:off x="0" y="0"/>
                      <a:ext cx="5760085" cy="2867025"/>
                    </a:xfrm>
                    <a:prstGeom prst="rect">
                      <a:avLst/>
                    </a:prstGeom>
                    <a:noFill/>
                    <a:ln>
                      <a:noFill/>
                    </a:ln>
                  </pic:spPr>
                </pic:pic>
              </a:graphicData>
            </a:graphic>
          </wp:inline>
        </w:drawing>
      </w:r>
    </w:p>
    <w:p>
      <w:r>
        <w:rPr>
          <w:rFonts w:eastAsia="Calibri"/>
          <w:color w:val="000000"/>
          <w:lang w:bidi="ar"/>
        </w:rPr>
        <w:t>4.</w:t>
      </w:r>
      <w:r>
        <w:rPr>
          <w:color w:val="000000"/>
          <w:lang w:bidi="ar"/>
        </w:rPr>
        <w:t>点击新增</w:t>
      </w:r>
    </w:p>
    <w:p>
      <w:pPr>
        <w:snapToGrid w:val="0"/>
        <w:spacing w:line="312" w:lineRule="auto"/>
      </w:pPr>
      <w:r>
        <w:drawing>
          <wp:inline distT="0" distB="0" distL="114300" distR="114300">
            <wp:extent cx="5758180" cy="2852420"/>
            <wp:effectExtent l="0" t="0" r="2540" b="1270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9"/>
                    <a:stretch>
                      <a:fillRect/>
                    </a:stretch>
                  </pic:blipFill>
                  <pic:spPr>
                    <a:xfrm>
                      <a:off x="0" y="0"/>
                      <a:ext cx="5758180" cy="2852420"/>
                    </a:xfrm>
                    <a:prstGeom prst="rect">
                      <a:avLst/>
                    </a:prstGeom>
                    <a:noFill/>
                    <a:ln>
                      <a:noFill/>
                    </a:ln>
                  </pic:spPr>
                </pic:pic>
              </a:graphicData>
            </a:graphic>
          </wp:inline>
        </w:drawing>
      </w:r>
    </w:p>
    <w:p>
      <w:r>
        <w:rPr>
          <w:lang w:bidi="ar"/>
        </w:rPr>
        <w:t>5</w:t>
      </w:r>
      <w:r>
        <w:rPr>
          <w:rFonts w:eastAsia="Calibri"/>
          <w:color w:val="000000"/>
          <w:lang w:bidi="ar"/>
        </w:rPr>
        <w:t xml:space="preserve"> </w:t>
      </w:r>
      <w:r>
        <w:rPr>
          <w:color w:val="000000"/>
          <w:lang w:bidi="ar"/>
        </w:rPr>
        <w:t>按要求填写所有信息，注意非生产类要填写合作单位，最后提交审批</w:t>
      </w:r>
    </w:p>
    <w:p>
      <w:pPr>
        <w:rPr>
          <w:color w:val="000000"/>
        </w:rPr>
      </w:pPr>
      <w:r>
        <w:drawing>
          <wp:inline distT="0" distB="0" distL="114300" distR="114300">
            <wp:extent cx="5760085" cy="2807335"/>
            <wp:effectExtent l="0" t="0" r="635" b="12065"/>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10"/>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2540"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11"/>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2540"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11"/>
                    <a:stretch>
                      <a:fillRect/>
                    </a:stretch>
                  </pic:blipFill>
                  <pic:spPr>
                    <a:xfrm>
                      <a:off x="0" y="0"/>
                      <a:ext cx="5758180" cy="2817495"/>
                    </a:xfrm>
                    <a:prstGeom prst="rect">
                      <a:avLst/>
                    </a:prstGeom>
                    <a:noFill/>
                    <a:ln>
                      <a:noFill/>
                    </a:ln>
                  </pic:spPr>
                </pic:pic>
              </a:graphicData>
            </a:graphic>
          </wp:inline>
        </w:drawing>
      </w:r>
    </w:p>
    <w:p/>
    <w:p/>
    <w:p>
      <w:pPr>
        <w:pStyle w:val="4"/>
        <w:widowControl/>
        <w:rPr>
          <w:rFonts w:ascii="Times New Roman" w:hAnsi="Times New Roman" w:cs="Times New Roman"/>
          <w:highlight w:val="yellow"/>
        </w:rPr>
      </w:pPr>
      <w:r>
        <w:rPr>
          <w:rFonts w:ascii="Times New Roman" w:hAnsi="Times New Roman" w:cs="Times New Roman"/>
          <w:highlight w:val="yellow"/>
        </w:rPr>
        <w:t>登录界面</w:t>
      </w:r>
    </w:p>
    <w:p>
      <w:pPr>
        <w:spacing w:line="360" w:lineRule="auto"/>
      </w:pPr>
      <w:r>
        <w:rPr>
          <w:lang w:bidi="ar"/>
        </w:rPr>
        <w:t>1）功能简介</w:t>
      </w:r>
    </w:p>
    <w:p>
      <w:pPr>
        <w:spacing w:line="360" w:lineRule="auto"/>
      </w:pPr>
      <w:r>
        <w:rPr>
          <w:lang w:bidi="ar"/>
        </w:rPr>
        <w:t>此页面用于进行账号登录，找回密码。</w:t>
      </w:r>
    </w:p>
    <w:p>
      <w:pPr>
        <w:numPr>
          <w:ilvl w:val="0"/>
          <w:numId w:val="3"/>
        </w:numPr>
        <w:spacing w:line="360" w:lineRule="auto"/>
      </w:pPr>
      <w:r>
        <w:rPr>
          <w:lang w:bidi="ar"/>
        </w:rPr>
        <w:t>界面如下</w:t>
      </w:r>
    </w:p>
    <w:p>
      <w:r>
        <w:drawing>
          <wp:inline distT="0" distB="0" distL="114300" distR="114300">
            <wp:extent cx="5278120" cy="2660650"/>
            <wp:effectExtent l="0" t="0" r="10160"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12"/>
                    <a:stretch>
                      <a:fillRect/>
                    </a:stretch>
                  </pic:blipFill>
                  <pic:spPr>
                    <a:xfrm>
                      <a:off x="0" y="0"/>
                      <a:ext cx="5278120" cy="2660650"/>
                    </a:xfrm>
                    <a:prstGeom prst="rect">
                      <a:avLst/>
                    </a:prstGeom>
                    <a:noFill/>
                    <a:ln>
                      <a:noFill/>
                    </a:ln>
                  </pic:spPr>
                </pic:pic>
              </a:graphicData>
            </a:graphic>
          </wp:inline>
        </w:drawing>
      </w:r>
    </w:p>
    <w:p>
      <w:pPr>
        <w:pStyle w:val="31"/>
        <w:widowControl/>
        <w:ind w:firstLine="0" w:firstLineChars="0"/>
        <w:rPr>
          <w:kern w:val="2"/>
          <w:sz w:val="21"/>
          <w:szCs w:val="21"/>
        </w:rPr>
      </w:pPr>
      <w:r>
        <w:rPr>
          <w:kern w:val="2"/>
          <w:sz w:val="21"/>
          <w:szCs w:val="21"/>
        </w:rPr>
        <w:t>3）页面规则</w:t>
      </w:r>
    </w:p>
    <w:p>
      <w:pPr>
        <w:pStyle w:val="31"/>
        <w:widowControl/>
        <w:ind w:firstLine="0" w:firstLineChars="0"/>
        <w:rPr>
          <w:kern w:val="2"/>
          <w:sz w:val="21"/>
          <w:szCs w:val="21"/>
        </w:rPr>
      </w:pPr>
      <w:r>
        <w:rPr>
          <w:b/>
          <w:bCs/>
          <w:kern w:val="2"/>
          <w:sz w:val="21"/>
          <w:szCs w:val="21"/>
        </w:rPr>
        <w:t>重置密码：</w:t>
      </w:r>
      <w:r>
        <w:rPr>
          <w:kern w:val="2"/>
          <w:sz w:val="21"/>
          <w:szCs w:val="21"/>
        </w:rPr>
        <w:t>对于新注册的供应商，审批流程结束之后e采通系统会发送短信到注册的收据号上，会告知登录账号和密码，</w:t>
      </w:r>
      <w:r>
        <w:rPr>
          <w:b/>
          <w:bCs/>
          <w:kern w:val="2"/>
          <w:sz w:val="21"/>
          <w:szCs w:val="21"/>
        </w:rPr>
        <w:t>账号为供应商注册完成后发送到手机上的账号密码。</w:t>
      </w:r>
      <w:r>
        <w:rPr>
          <w:kern w:val="2"/>
          <w:sz w:val="21"/>
          <w:szCs w:val="21"/>
        </w:rPr>
        <w:t>登录系统之后，立即绑定手机号，后续所有的密码重置都可以在登录界面点击忘记密码按钮，验证手机号码进行重置！</w:t>
      </w:r>
    </w:p>
    <w:p>
      <w:pPr>
        <w:spacing w:line="360" w:lineRule="auto"/>
      </w:pPr>
      <w:r>
        <w:rPr>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pPr>
        <w:pStyle w:val="4"/>
        <w:widowControl/>
        <w:spacing w:line="360" w:lineRule="auto"/>
        <w:rPr>
          <w:rFonts w:ascii="Times New Roman" w:hAnsi="Times New Roman" w:cs="Times New Roman"/>
          <w:highlight w:val="yellow"/>
        </w:rPr>
      </w:pPr>
      <w:r>
        <w:rPr>
          <w:rFonts w:ascii="Times New Roman" w:hAnsi="Times New Roman" w:cs="Times New Roman"/>
          <w:highlight w:val="yellow"/>
        </w:rPr>
        <w:t>供应商注册注意事项</w:t>
      </w:r>
    </w:p>
    <w:p>
      <w:pPr>
        <w:spacing w:line="360" w:lineRule="auto"/>
      </w:pPr>
      <w:r>
        <w:rPr>
          <w:lang w:bidi="ar"/>
        </w:rPr>
        <w:t>1）功能简介</w:t>
      </w:r>
    </w:p>
    <w:p>
      <w:pPr>
        <w:spacing w:line="360" w:lineRule="auto"/>
      </w:pPr>
      <w:r>
        <w:rPr>
          <w:lang w:bidi="ar"/>
        </w:rPr>
        <w:t>此页面用于进行供应商注册</w:t>
      </w:r>
    </w:p>
    <w:p>
      <w:pPr>
        <w:pStyle w:val="31"/>
        <w:widowControl/>
        <w:ind w:firstLine="0" w:firstLineChars="0"/>
        <w:rPr>
          <w:kern w:val="2"/>
          <w:sz w:val="21"/>
          <w:szCs w:val="21"/>
        </w:rPr>
      </w:pPr>
      <w:r>
        <w:rPr>
          <w:kern w:val="2"/>
          <w:sz w:val="21"/>
          <w:szCs w:val="21"/>
        </w:rPr>
        <w:t>2）界面如下</w:t>
      </w:r>
    </w:p>
    <w:p>
      <w:r>
        <w:drawing>
          <wp:inline distT="0" distB="0" distL="114300" distR="114300">
            <wp:extent cx="5342255" cy="2485390"/>
            <wp:effectExtent l="0" t="0" r="6985" b="13970"/>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3"/>
                    <a:stretch>
                      <a:fillRect/>
                    </a:stretch>
                  </pic:blipFill>
                  <pic:spPr>
                    <a:xfrm>
                      <a:off x="0" y="0"/>
                      <a:ext cx="5342255" cy="2485390"/>
                    </a:xfrm>
                    <a:prstGeom prst="rect">
                      <a:avLst/>
                    </a:prstGeom>
                    <a:noFill/>
                    <a:ln>
                      <a:noFill/>
                    </a:ln>
                  </pic:spPr>
                </pic:pic>
              </a:graphicData>
            </a:graphic>
          </wp:inline>
        </w:drawing>
      </w:r>
    </w:p>
    <w:p>
      <w:pPr>
        <w:pStyle w:val="31"/>
        <w:widowControl/>
        <w:tabs>
          <w:tab w:val="left" w:pos="0"/>
        </w:tabs>
        <w:ind w:firstLine="0" w:firstLineChars="0"/>
        <w:rPr>
          <w:kern w:val="2"/>
          <w:sz w:val="21"/>
          <w:szCs w:val="21"/>
        </w:rPr>
      </w:pPr>
      <w:r>
        <w:rPr>
          <w:kern w:val="2"/>
          <w:sz w:val="21"/>
          <w:szCs w:val="21"/>
        </w:rPr>
        <w:t>3）页面规则</w:t>
      </w:r>
    </w:p>
    <w:p>
      <w:pPr>
        <w:pStyle w:val="31"/>
        <w:widowControl/>
        <w:ind w:firstLine="0" w:firstLineChars="0"/>
        <w:rPr>
          <w:kern w:val="2"/>
          <w:sz w:val="21"/>
          <w:szCs w:val="21"/>
        </w:rPr>
      </w:pPr>
      <w:r>
        <w:rPr>
          <w:kern w:val="2"/>
          <w:sz w:val="21"/>
          <w:szCs w:val="21"/>
        </w:rPr>
        <w:t>点击新增按钮进入注册界面，如果点击提交，系统报错或者系统没反应请先仔细检查自己的填写数据是否完整正确。</w:t>
      </w:r>
    </w:p>
    <w:p>
      <w:pPr>
        <w:spacing w:line="360" w:lineRule="auto"/>
      </w:pPr>
      <w:r>
        <w:rPr>
          <w:lang w:bidi="ar"/>
        </w:rPr>
        <w:t>注册信息的字段：尽量把所有信息都填写完整，</w:t>
      </w:r>
    </w:p>
    <w:p>
      <w:pPr>
        <w:numPr>
          <w:ilvl w:val="0"/>
          <w:numId w:val="4"/>
        </w:numPr>
        <w:spacing w:line="360" w:lineRule="auto"/>
      </w:pPr>
      <w:r>
        <w:rPr>
          <w:lang w:bidi="ar"/>
        </w:rPr>
        <w:t>统一社会信用代码字段，是供应商的唯一标识字段，没有校验规则，如果系统报统一社会信用代码重复则说明此供应商已经在e采通内存在，请咨询对应的采购工程师账号密码。</w:t>
      </w:r>
    </w:p>
    <w:p>
      <w:pPr>
        <w:numPr>
          <w:ilvl w:val="0"/>
          <w:numId w:val="4"/>
        </w:numPr>
        <w:spacing w:line="360" w:lineRule="auto"/>
        <w:rPr>
          <w:b/>
          <w:bCs/>
          <w:color w:val="C00000"/>
        </w:rPr>
      </w:pPr>
      <w:r>
        <w:rPr>
          <w:b/>
          <w:bCs/>
          <w:color w:val="C00000"/>
          <w:lang w:bidi="ar"/>
        </w:rPr>
        <w:t>采购形式编号和投标项目名称、近三年财务指标情况，对于非生产类供应商都是必填项。</w:t>
      </w:r>
    </w:p>
    <w:p>
      <w:pPr>
        <w:numPr>
          <w:ilvl w:val="0"/>
          <w:numId w:val="4"/>
        </w:numPr>
        <w:spacing w:line="360" w:lineRule="auto"/>
      </w:pPr>
      <w:r>
        <w:rPr>
          <w:lang w:bidi="ar"/>
        </w:rPr>
        <w:t>营业执照有效结束日期目前限制在当前日期及之前，应该限制在当前日期之后，最大允许“9999-12-31”，即代表永久有效。</w:t>
      </w:r>
    </w:p>
    <w:p>
      <w:pPr>
        <w:numPr>
          <w:ilvl w:val="0"/>
          <w:numId w:val="4"/>
        </w:numPr>
        <w:spacing w:line="360" w:lineRule="auto"/>
      </w:pPr>
      <w:r>
        <w:rPr>
          <w:lang w:bidi="ar"/>
        </w:rPr>
        <w:t>提交成功之后进入审批流，每个节点都会由1个或多个负责人审批，</w:t>
      </w:r>
      <w:r>
        <w:rPr>
          <w:color w:val="C00000"/>
          <w:em w:val="dot"/>
          <w:lang w:bidi="ar"/>
        </w:rPr>
        <w:t>提交之后需要随时关注审批进度，被驳回的需要修改后重新提交信息。</w:t>
      </w:r>
      <w:r>
        <w:rPr>
          <w:b/>
          <w:bCs/>
          <w:color w:val="C00000"/>
          <w:em w:val="dot"/>
          <w:lang w:bidi="ar"/>
        </w:rPr>
        <w:t>审批流程全部走完结束之后，且有短信通知供应商才算注册成功</w:t>
      </w:r>
      <w:r>
        <w:rPr>
          <w:b/>
          <w:bCs/>
          <w:lang w:bidi="ar"/>
        </w:rPr>
        <w:t>。</w:t>
      </w:r>
    </w:p>
    <w:p>
      <w:pPr>
        <w:widowControl/>
        <w:numPr>
          <w:ilvl w:val="0"/>
          <w:numId w:val="4"/>
        </w:numPr>
        <w:spacing w:line="360" w:lineRule="auto"/>
        <w:jc w:val="left"/>
      </w:pPr>
      <w:r>
        <w:t>点击“查看”按钮可以进行查看注册信息，供应商提交注册之后想查看审批进度，可以点击此按钮。</w:t>
      </w:r>
    </w:p>
    <w:p>
      <w:pPr>
        <w:pStyle w:val="4"/>
        <w:widowControl/>
        <w:rPr>
          <w:rFonts w:ascii="Times New Roman" w:hAnsi="Times New Roman" w:cs="Times New Roman"/>
          <w:highlight w:val="yellow"/>
        </w:rPr>
      </w:pPr>
      <w:r>
        <w:rPr>
          <w:rFonts w:ascii="Times New Roman" w:hAnsi="Times New Roman" w:eastAsia="黑体" w:cs="Times New Roman"/>
          <w:highlight w:val="yellow"/>
        </w:rPr>
        <w:t>供应商应标</w:t>
      </w:r>
    </w:p>
    <w:p>
      <w:pPr>
        <w:rPr>
          <w:szCs w:val="21"/>
        </w:rPr>
      </w:pPr>
      <w:r>
        <w:rPr>
          <w:szCs w:val="21"/>
          <w:lang w:bidi="ar"/>
        </w:rPr>
        <w:t>路径：招投标中心-非生产类招投标-供应商应标</w:t>
      </w:r>
    </w:p>
    <w:p>
      <w:pPr>
        <w:rPr>
          <w:szCs w:val="21"/>
          <w:lang w:bidi="ar"/>
        </w:rPr>
      </w:pPr>
      <w:r>
        <w:rPr>
          <w:szCs w:val="21"/>
          <w:lang w:bidi="ar"/>
        </w:rPr>
        <w:t>e采通发布招标文件后，根据项目编号搜索本项目并点击应标，上传文件之后点击提交。</w:t>
      </w:r>
    </w:p>
    <w:p>
      <w:pPr>
        <w:rPr>
          <w:szCs w:val="21"/>
        </w:rPr>
      </w:pPr>
      <w:r>
        <w:rPr>
          <w:b/>
          <w:bCs/>
          <w:szCs w:val="21"/>
        </w:rPr>
        <w:t>此处应标为线上资格审查环节，不是投标环节，不需要上传投标文件。投标单位应尽快应标以验证e采通账号是否可以正常使用，账号异常的请按下述提示修改账号后提交应标资料，</w:t>
      </w:r>
      <w:r>
        <w:rPr>
          <w:b/>
          <w:bCs/>
          <w:color w:val="FF0000"/>
          <w:szCs w:val="21"/>
        </w:rPr>
        <w:t>应标审核通过后方可进入投标环节，逾期不应标的无法参与投标</w:t>
      </w:r>
      <w:r>
        <w:rPr>
          <w:b/>
          <w:bCs/>
          <w:szCs w:val="21"/>
        </w:rPr>
        <w:t>。</w:t>
      </w:r>
    </w:p>
    <w:p>
      <w:r>
        <w:drawing>
          <wp:inline distT="0" distB="0" distL="114300" distR="114300">
            <wp:extent cx="5393690" cy="2126615"/>
            <wp:effectExtent l="0" t="0" r="127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4"/>
                    <a:stretch>
                      <a:fillRect/>
                    </a:stretch>
                  </pic:blipFill>
                  <pic:spPr>
                    <a:xfrm>
                      <a:off x="0" y="0"/>
                      <a:ext cx="5393690" cy="2126615"/>
                    </a:xfrm>
                    <a:prstGeom prst="rect">
                      <a:avLst/>
                    </a:prstGeom>
                    <a:noFill/>
                    <a:ln>
                      <a:noFill/>
                    </a:ln>
                  </pic:spPr>
                </pic:pic>
              </a:graphicData>
            </a:graphic>
          </wp:inline>
        </w:drawing>
      </w:r>
    </w:p>
    <w:p>
      <w:pPr>
        <w:rPr>
          <w:szCs w:val="21"/>
          <w:lang w:bidi="ar"/>
        </w:rPr>
      </w:pPr>
      <w:r>
        <w:rPr>
          <w:szCs w:val="21"/>
          <w:lang w:bidi="ar"/>
        </w:rPr>
        <w:t>注意：</w:t>
      </w:r>
    </w:p>
    <w:p>
      <w:pPr>
        <w:ind w:firstLine="420" w:firstLineChars="200"/>
        <w:rPr>
          <w:szCs w:val="21"/>
          <w:lang w:bidi="ar"/>
        </w:rPr>
      </w:pPr>
      <w:r>
        <w:rPr>
          <w:szCs w:val="21"/>
          <w:lang w:bidi="ar"/>
        </w:rPr>
        <w:t>此处如果出现“请到供应商基本信息界面，编辑补充提供财务数据再参与招投标！”提示，则说明供应商基本信息缺失财务数据，重汽财务部门和采购中心要求必须提供财务数据才可以参与招标（极特殊情况无法提供财务数据的请与对接的采购工程师沟通）</w:t>
      </w:r>
    </w:p>
    <w:p>
      <w:pPr>
        <w:ind w:firstLine="420" w:firstLineChars="200"/>
        <w:rPr>
          <w:szCs w:val="21"/>
          <w:lang w:bidi="ar"/>
        </w:rPr>
      </w:pPr>
      <w:r>
        <w:rPr>
          <w:szCs w:val="21"/>
          <w:lang w:bidi="ar"/>
        </w:rPr>
        <w:t>补充信息请到供应商中心——供应商变更任务——供应商财务数据变更管理——发起变更，进入信息填写界面，选择“是否提供”，一般选择“能提供”，此处如果选择“否”系统则允许不提供财务数据的情况下参与应标，但是必须要先和采购中心联系，且此时提交的流程财务数据是不显示的且为空的，慎重选择。</w:t>
      </w:r>
    </w:p>
    <w:p>
      <w:pPr>
        <w:ind w:firstLine="420" w:firstLineChars="200"/>
        <w:rPr>
          <w:szCs w:val="21"/>
        </w:rPr>
      </w:pPr>
      <w:r>
        <w:rPr>
          <w:szCs w:val="21"/>
          <w:lang w:bidi="ar"/>
        </w:rPr>
        <w:t>按要求填写财务数据，财务数据除长期借款、短期借款、对外担保金额可以为0其他数据不允许为空，全部信息补充完整（上面其他的名称、地址、等等其他数据不变更不需要填写）之后选择采购工程师提交，经过审批后才可以参与招标。</w:t>
      </w:r>
    </w:p>
    <w:p>
      <w:pPr>
        <w:ind w:firstLine="420" w:firstLineChars="200"/>
        <w:rPr>
          <w:szCs w:val="21"/>
        </w:rPr>
      </w:pPr>
      <w:r>
        <w:rPr>
          <w:szCs w:val="21"/>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r>
        <w:drawing>
          <wp:inline distT="0" distB="0" distL="114300" distR="114300">
            <wp:extent cx="5426075" cy="1813560"/>
            <wp:effectExtent l="0" t="0" r="14605" b="0"/>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15"/>
                    <a:srcRect b="20399"/>
                    <a:stretch>
                      <a:fillRect/>
                    </a:stretch>
                  </pic:blipFill>
                  <pic:spPr>
                    <a:xfrm>
                      <a:off x="0" y="0"/>
                      <a:ext cx="5426075" cy="1814131"/>
                    </a:xfrm>
                    <a:prstGeom prst="rect">
                      <a:avLst/>
                    </a:prstGeom>
                    <a:noFill/>
                    <a:ln>
                      <a:noFill/>
                    </a:ln>
                  </pic:spPr>
                </pic:pic>
              </a:graphicData>
            </a:graphic>
          </wp:inline>
        </w:drawing>
      </w:r>
    </w:p>
    <w:p>
      <w:pPr>
        <w:widowControl/>
        <w:tabs>
          <w:tab w:val="left" w:pos="312"/>
        </w:tabs>
        <w:spacing w:line="360" w:lineRule="auto"/>
        <w:jc w:val="left"/>
        <w:rPr>
          <w:kern w:val="0"/>
          <w:sz w:val="24"/>
          <w:szCs w:val="21"/>
          <w:lang w:bidi="en-US"/>
        </w:rPr>
        <w:sectPr>
          <w:pgSz w:w="11906" w:h="16838"/>
          <w:pgMar w:top="720" w:right="720" w:bottom="720" w:left="720" w:header="227" w:footer="227" w:gutter="0"/>
          <w:cols w:space="720" w:num="1"/>
          <w:docGrid w:type="lines" w:linePitch="381" w:charSpace="0"/>
        </w:sectPr>
      </w:pPr>
      <w:r>
        <w:drawing>
          <wp:inline distT="0" distB="0" distL="114300" distR="114300">
            <wp:extent cx="5331460" cy="2102485"/>
            <wp:effectExtent l="0" t="0" r="2540" b="635"/>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16"/>
                    <a:srcRect b="9529"/>
                    <a:stretch>
                      <a:fillRect/>
                    </a:stretch>
                  </pic:blipFill>
                  <pic:spPr>
                    <a:xfrm>
                      <a:off x="0" y="0"/>
                      <a:ext cx="5331460" cy="2102631"/>
                    </a:xfrm>
                    <a:prstGeom prst="rect">
                      <a:avLst/>
                    </a:prstGeom>
                    <a:noFill/>
                    <a:ln>
                      <a:noFill/>
                    </a:ln>
                  </pic:spPr>
                </pic:pic>
              </a:graphicData>
            </a:graphic>
          </wp:inline>
        </w:drawing>
      </w:r>
    </w:p>
    <w:p>
      <w:pPr>
        <w:rPr>
          <w:rFonts w:hint="eastAsia" w:asciiTheme="majorEastAsia" w:hAnsiTheme="majorEastAsia" w:eastAsiaTheme="majorEastAsia" w:cstheme="majorEastAsia"/>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AMGD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MGDT">
    <w:panose1 w:val="02000400000000000000"/>
    <w:charset w:val="00"/>
    <w:family w:val="auto"/>
    <w:pitch w:val="default"/>
    <w:sig w:usb0="80000003" w:usb1="10000000" w:usb2="00000000" w:usb3="00000000" w:csb0="0000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1">
    <w:nsid w:val="15243912"/>
    <w:multiLevelType w:val="multilevel"/>
    <w:tmpl w:val="15243912"/>
    <w:lvl w:ilvl="0" w:tentative="0">
      <w:start w:val="1"/>
      <w:numFmt w:val="decimal"/>
      <w:suff w:val="nothing"/>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3">
    <w:nsid w:val="7446C7A1"/>
    <w:multiLevelType w:val="singleLevel"/>
    <w:tmpl w:val="7446C7A1"/>
    <w:lvl w:ilvl="0" w:tentative="0">
      <w:start w:val="1"/>
      <w:numFmt w:val="decimal"/>
      <w:lvlText w:val="%1."/>
      <w:lvlJc w:val="left"/>
      <w:pPr>
        <w:tabs>
          <w:tab w:val="left" w:pos="312"/>
        </w:tabs>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zOTMyYjlkZDVlMWM2MGIyNzQ4YmEzOWMxOWZlYTIifQ=="/>
  </w:docVars>
  <w:rsids>
    <w:rsidRoot w:val="00000000"/>
    <w:rsid w:val="00C34400"/>
    <w:rsid w:val="058D5F55"/>
    <w:rsid w:val="1B8D003A"/>
    <w:rsid w:val="22761828"/>
    <w:rsid w:val="29F55728"/>
    <w:rsid w:val="2E813A2E"/>
    <w:rsid w:val="361D5C04"/>
    <w:rsid w:val="3A4B5055"/>
    <w:rsid w:val="44907102"/>
    <w:rsid w:val="45F4643C"/>
    <w:rsid w:val="48EF075C"/>
    <w:rsid w:val="4E6879C7"/>
    <w:rsid w:val="53AC0356"/>
    <w:rsid w:val="62344338"/>
    <w:rsid w:val="72D817AE"/>
    <w:rsid w:val="79404F19"/>
    <w:rsid w:val="7B531B9C"/>
    <w:rsid w:val="7DA4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spacing w:before="240" w:after="60"/>
      <w:outlineLvl w:val="1"/>
    </w:pPr>
    <w:rPr>
      <w:rFonts w:ascii="Cambria" w:hAnsi="Cambria"/>
      <w:b/>
      <w:bCs/>
      <w:i/>
      <w:iCs/>
      <w:sz w:val="28"/>
      <w:szCs w:val="28"/>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rPr>
      <w:rFonts w:eastAsia="楷体_GB2312"/>
      <w:sz w:val="28"/>
      <w:szCs w:val="20"/>
    </w:rPr>
  </w:style>
  <w:style w:type="paragraph" w:styleId="5">
    <w:name w:val="Normal Indent"/>
    <w:basedOn w:val="1"/>
    <w:qFormat/>
    <w:uiPriority w:val="0"/>
    <w:pPr>
      <w:ind w:firstLine="200" w:firstLineChars="200"/>
    </w:pPr>
    <w:rPr>
      <w:kern w:val="0"/>
    </w:rPr>
  </w:style>
  <w:style w:type="paragraph" w:styleId="6">
    <w:name w:val="Document Map"/>
    <w:basedOn w:val="1"/>
    <w:unhideWhenUsed/>
    <w:qFormat/>
    <w:uiPriority w:val="0"/>
    <w:rPr>
      <w:rFonts w:ascii="宋体"/>
      <w:sz w:val="18"/>
      <w:szCs w:val="18"/>
    </w:rPr>
  </w:style>
  <w:style w:type="paragraph" w:styleId="7">
    <w:name w:val="annotation text"/>
    <w:basedOn w:val="1"/>
    <w:qFormat/>
    <w:uiPriority w:val="0"/>
    <w:pPr>
      <w:jc w:val="left"/>
    </w:pPr>
    <w:rPr>
      <w:rFonts w:asciiTheme="minorHAnsi" w:hAnsiTheme="minorHAnsi" w:cstheme="minorBidi"/>
    </w:rPr>
  </w:style>
  <w:style w:type="paragraph" w:styleId="8">
    <w:name w:val="Body Text Indent"/>
    <w:basedOn w:val="1"/>
    <w:next w:val="1"/>
    <w:qFormat/>
    <w:uiPriority w:val="0"/>
    <w:pPr>
      <w:spacing w:after="120"/>
      <w:ind w:left="420" w:leftChars="200"/>
    </w:pPr>
  </w:style>
  <w:style w:type="paragraph" w:styleId="9">
    <w:name w:val="Plain Text"/>
    <w:basedOn w:val="1"/>
    <w:qFormat/>
    <w:uiPriority w:val="0"/>
    <w:rPr>
      <w:rFonts w:ascii="宋体"/>
      <w:szCs w:val="20"/>
    </w:rPr>
  </w:style>
  <w:style w:type="paragraph" w:styleId="10">
    <w:name w:val="footer"/>
    <w:basedOn w:val="1"/>
    <w:link w:val="34"/>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tabs>
        <w:tab w:val="right" w:leader="dot" w:pos="9629"/>
      </w:tabs>
      <w:ind w:left="480" w:leftChars="200"/>
    </w:pPr>
    <w:rPr>
      <w:b/>
    </w:rPr>
  </w:style>
  <w:style w:type="paragraph" w:styleId="13">
    <w:name w:val="Normal (Web)"/>
    <w:basedOn w:val="1"/>
    <w:qFormat/>
    <w:uiPriority w:val="99"/>
    <w:pPr>
      <w:spacing w:before="100" w:beforeAutospacing="1" w:after="100" w:afterAutospacing="1" w:line="320" w:lineRule="atLeast"/>
    </w:pPr>
    <w:rPr>
      <w:rFonts w:ascii="宋体" w:hAnsi="宋体" w:cs="宋体"/>
      <w:sz w:val="18"/>
      <w:szCs w:val="18"/>
    </w:rPr>
  </w:style>
  <w:style w:type="paragraph" w:styleId="14">
    <w:name w:val="annotation subject"/>
    <w:basedOn w:val="7"/>
    <w:next w:val="7"/>
    <w:link w:val="32"/>
    <w:unhideWhenUsed/>
    <w:qFormat/>
    <w:uiPriority w:val="99"/>
    <w:rPr>
      <w:rFonts w:ascii="Times New Roman" w:hAnsi="Times New Roman" w:cs="Times New Roman"/>
      <w:b/>
      <w:bCs/>
    </w:rPr>
  </w:style>
  <w:style w:type="paragraph" w:styleId="15">
    <w:name w:val="Body Text First Indent 2"/>
    <w:basedOn w:val="8"/>
    <w:next w:val="12"/>
    <w:qFormat/>
    <w:uiPriority w:val="0"/>
    <w:pPr>
      <w:spacing w:line="276" w:lineRule="auto"/>
      <w:ind w:left="200" w:firstLine="200" w:firstLineChars="200"/>
      <w:jc w:val="left"/>
    </w:p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FollowedHyperlink"/>
    <w:basedOn w:val="18"/>
    <w:qFormat/>
    <w:uiPriority w:val="0"/>
    <w:rPr>
      <w:color w:val="800080"/>
      <w:u w:val="none"/>
    </w:rPr>
  </w:style>
  <w:style w:type="character" w:styleId="21">
    <w:name w:val="HTML Definition"/>
    <w:basedOn w:val="18"/>
    <w:qFormat/>
    <w:uiPriority w:val="0"/>
  </w:style>
  <w:style w:type="character" w:styleId="22">
    <w:name w:val="HTML Typewriter"/>
    <w:basedOn w:val="18"/>
    <w:qFormat/>
    <w:uiPriority w:val="0"/>
    <w:rPr>
      <w:rFonts w:hint="default" w:ascii="monospace" w:hAnsi="monospace" w:eastAsia="monospace" w:cs="monospace"/>
      <w:sz w:val="20"/>
    </w:rPr>
  </w:style>
  <w:style w:type="character" w:styleId="23">
    <w:name w:val="HTML Acronym"/>
    <w:basedOn w:val="18"/>
    <w:qFormat/>
    <w:uiPriority w:val="0"/>
  </w:style>
  <w:style w:type="character" w:styleId="24">
    <w:name w:val="HTML Variable"/>
    <w:basedOn w:val="18"/>
    <w:qFormat/>
    <w:uiPriority w:val="0"/>
  </w:style>
  <w:style w:type="character" w:styleId="25">
    <w:name w:val="Hyperlink"/>
    <w:basedOn w:val="18"/>
    <w:qFormat/>
    <w:uiPriority w:val="0"/>
    <w:rPr>
      <w:color w:val="0000FF"/>
      <w:u w:val="none"/>
    </w:rPr>
  </w:style>
  <w:style w:type="character" w:styleId="26">
    <w:name w:val="HTML Code"/>
    <w:basedOn w:val="18"/>
    <w:qFormat/>
    <w:uiPriority w:val="0"/>
    <w:rPr>
      <w:rFonts w:hint="default" w:ascii="monospace" w:hAnsi="monospace" w:eastAsia="monospace" w:cs="monospace"/>
      <w:sz w:val="20"/>
    </w:rPr>
  </w:style>
  <w:style w:type="character" w:styleId="27">
    <w:name w:val="HTML Cite"/>
    <w:basedOn w:val="18"/>
    <w:qFormat/>
    <w:uiPriority w:val="0"/>
  </w:style>
  <w:style w:type="character" w:styleId="28">
    <w:name w:val="HTML Keyboard"/>
    <w:basedOn w:val="18"/>
    <w:qFormat/>
    <w:uiPriority w:val="0"/>
    <w:rPr>
      <w:rFonts w:ascii="monospace" w:hAnsi="monospace" w:eastAsia="monospace" w:cs="monospace"/>
      <w:sz w:val="20"/>
    </w:rPr>
  </w:style>
  <w:style w:type="character" w:styleId="29">
    <w:name w:val="HTML Sample"/>
    <w:basedOn w:val="18"/>
    <w:qFormat/>
    <w:uiPriority w:val="0"/>
    <w:rPr>
      <w:rFonts w:hint="default" w:ascii="monospace" w:hAnsi="monospace" w:eastAsia="monospace" w:cs="monospace"/>
    </w:rPr>
  </w:style>
  <w:style w:type="character" w:customStyle="1" w:styleId="30">
    <w:name w:val="NormalCharacter"/>
    <w:basedOn w:val="18"/>
    <w:qFormat/>
    <w:uiPriority w:val="0"/>
  </w:style>
  <w:style w:type="paragraph" w:customStyle="1" w:styleId="31">
    <w:name w:val="列表段落1"/>
    <w:basedOn w:val="1"/>
    <w:qFormat/>
    <w:uiPriority w:val="0"/>
    <w:pPr>
      <w:spacing w:line="360" w:lineRule="auto"/>
      <w:ind w:firstLine="200" w:firstLineChars="200"/>
    </w:pPr>
    <w:rPr>
      <w:color w:val="262626"/>
      <w:kern w:val="0"/>
      <w:sz w:val="20"/>
      <w:szCs w:val="20"/>
    </w:rPr>
  </w:style>
  <w:style w:type="character" w:customStyle="1" w:styleId="32">
    <w:name w:val="批注主题 字符"/>
    <w:basedOn w:val="33"/>
    <w:link w:val="14"/>
    <w:qFormat/>
    <w:uiPriority w:val="99"/>
    <w:rPr>
      <w:rFonts w:ascii="Times New Roman" w:hAnsi="Times New Roman" w:cs="Times New Roman"/>
      <w:b/>
      <w:bCs/>
    </w:rPr>
  </w:style>
  <w:style w:type="character" w:customStyle="1" w:styleId="33">
    <w:name w:val="批注文字 字符"/>
    <w:qFormat/>
    <w:uiPriority w:val="0"/>
    <w:rPr>
      <w:rFonts w:eastAsia="宋体"/>
      <w:szCs w:val="24"/>
    </w:rPr>
  </w:style>
  <w:style w:type="character" w:customStyle="1" w:styleId="34">
    <w:name w:val="页脚 字符"/>
    <w:basedOn w:val="18"/>
    <w:link w:val="10"/>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1428</Words>
  <Characters>1581</Characters>
  <Lines>0</Lines>
  <Paragraphs>0</Paragraphs>
  <TotalTime>0</TotalTime>
  <ScaleCrop>false</ScaleCrop>
  <LinksUpToDate>false</LinksUpToDate>
  <CharactersWithSpaces>1769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张新顺</cp:lastModifiedBy>
  <dcterms:modified xsi:type="dcterms:W3CDTF">2026-09-02T08:09:34Z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KSOTemplateDocerSaveRecord">
    <vt:lpwstr>eyJoZGlkIjoiMjU1MjU2NmRlYWJmZWVkYjQ3ZmQ4OTdkM2JiNmI3ZjUiLCJ1c2VySWQiOiIzODEwMDEwNTMifQ==</vt:lpwstr>
  </property>
  <property fmtid="{D5CDD505-2E9C-101B-9397-08002B2CF9AE}" pid="4" name="ICV">
    <vt:lpwstr>36BA767B9B1647D78DB7367FAC05A487_13</vt:lpwstr>
  </property>
</Properties>
</file>