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widowControl/>
        <w:jc w:val="center"/>
        <w:rPr>
          <w:i w:val="0"/>
          <w:iCs/>
          <w:sz w:val="32"/>
          <w:szCs w:val="32"/>
          <w:lang w:val="en-US"/>
        </w:rPr>
      </w:pPr>
      <w:bookmarkStart w:id="0" w:name="_Toc12866"/>
      <w:r>
        <w:rPr>
          <w:rFonts w:hint="eastAsia" w:cs="宋体"/>
          <w:i w:val="0"/>
          <w:iCs/>
          <w:sz w:val="32"/>
          <w:szCs w:val="32"/>
          <w:lang w:val="en-US" w:eastAsia="zh-CN"/>
        </w:rPr>
        <w:t>出口KD智能制造中心技改项目(中国重汽智能制造中心基建项目）全过程工程造价咨询业务招标公告</w:t>
      </w:r>
      <w:bookmarkEnd w:id="0"/>
    </w:p>
    <w:p w14:paraId="2538CB01">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ZBGL2026070164</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3"/>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2026-07-10</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auto"/>
                <w:kern w:val="0"/>
                <w:sz w:val="24"/>
                <w:szCs w:val="24"/>
                <w:highlight w:val="none"/>
                <w:lang w:val="en-US" w:eastAsia="zh-CN" w:bidi="ar"/>
              </w:rPr>
              <w:t xml:space="preserve">2026-07-15 </w:t>
            </w:r>
          </w:p>
        </w:tc>
      </w:tr>
    </w:tbl>
    <w:p w14:paraId="40D0D37B">
      <w:pPr>
        <w:rPr>
          <w:rFonts w:hint="eastAsia" w:asciiTheme="majorEastAsia" w:hAnsiTheme="majorEastAsia" w:eastAsiaTheme="majorEastAsia" w:cstheme="majorEastAsia"/>
          <w:b/>
          <w:bCs/>
          <w:sz w:val="24"/>
          <w:szCs w:val="24"/>
        </w:rPr>
      </w:pPr>
    </w:p>
    <w:p w14:paraId="3B47EF5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0488AC48">
      <w:pPr>
        <w:spacing w:line="360" w:lineRule="auto"/>
        <w:ind w:firstLine="480" w:firstLineChars="200"/>
        <w:rPr>
          <w:rFonts w:hint="eastAsia" w:ascii="宋体" w:hAnsi="宋体" w:eastAsia="宋体" w:cs="宋体"/>
          <w:sz w:val="24"/>
          <w:u w:val="none"/>
          <w:lang w:eastAsia="zh-CN"/>
        </w:rPr>
      </w:pPr>
      <w:bookmarkStart w:id="2" w:name="_Toc306783553"/>
      <w:r>
        <w:rPr>
          <w:rFonts w:hint="eastAsia" w:ascii="宋体" w:hAnsi="宋体" w:eastAsia="宋体" w:cs="宋体"/>
          <w:sz w:val="24"/>
          <w:u w:val="none"/>
          <w:lang w:val="en-US" w:eastAsia="zh-CN"/>
        </w:rPr>
        <w:t>1</w:t>
      </w:r>
      <w:r>
        <w:rPr>
          <w:rFonts w:hint="eastAsia" w:ascii="宋体" w:hAnsi="宋体" w:eastAsia="宋体" w:cs="宋体"/>
          <w:sz w:val="24"/>
          <w:u w:val="none"/>
          <w:lang w:eastAsia="zh-CN"/>
        </w:rPr>
        <w:t>.1  工程名称：</w:t>
      </w:r>
      <w:r>
        <w:rPr>
          <w:rFonts w:hint="eastAsia" w:ascii="宋体" w:hAnsi="宋体" w:cs="宋体"/>
          <w:color w:val="auto"/>
          <w:sz w:val="24"/>
          <w:szCs w:val="24"/>
          <w:u w:val="single"/>
          <w:lang w:eastAsia="zh-CN" w:bidi="en-US"/>
        </w:rPr>
        <w:t>出口KD智能制造中心技改项目(中国重汽智能制造中心基建项目）</w:t>
      </w:r>
      <w:r>
        <w:rPr>
          <w:rFonts w:hint="eastAsia" w:ascii="宋体" w:hAnsi="宋体" w:eastAsia="宋体" w:cs="宋体"/>
          <w:color w:val="auto"/>
          <w:sz w:val="24"/>
          <w:szCs w:val="24"/>
          <w:u w:val="single"/>
          <w:lang w:eastAsia="zh-CN" w:bidi="en-US"/>
        </w:rPr>
        <w:t>全过程工程造价咨询业务</w:t>
      </w:r>
      <w:r>
        <w:rPr>
          <w:rFonts w:hint="eastAsia" w:ascii="宋体" w:hAnsi="宋体" w:eastAsia="宋体" w:cs="宋体"/>
          <w:sz w:val="24"/>
          <w:u w:val="none"/>
          <w:lang w:eastAsia="zh-CN"/>
        </w:rPr>
        <w:t>；</w:t>
      </w:r>
    </w:p>
    <w:p w14:paraId="40908ABA">
      <w:pPr>
        <w:spacing w:line="360" w:lineRule="auto"/>
        <w:ind w:firstLine="480" w:firstLineChars="200"/>
        <w:rPr>
          <w:rFonts w:hint="eastAsia" w:ascii="宋体" w:hAnsi="宋体" w:eastAsia="宋体" w:cs="宋体"/>
          <w:sz w:val="24"/>
          <w:u w:val="none"/>
          <w:lang w:eastAsia="zh-CN"/>
        </w:rPr>
      </w:pPr>
      <w:r>
        <w:rPr>
          <w:rFonts w:hint="eastAsia" w:ascii="宋体" w:hAnsi="宋体" w:eastAsia="宋体" w:cs="宋体"/>
          <w:sz w:val="24"/>
          <w:u w:val="none"/>
          <w:lang w:val="en-US" w:eastAsia="zh-CN"/>
        </w:rPr>
        <w:t>1</w:t>
      </w:r>
      <w:r>
        <w:rPr>
          <w:rFonts w:hint="eastAsia" w:ascii="宋体" w:hAnsi="宋体" w:eastAsia="宋体" w:cs="宋体"/>
          <w:sz w:val="24"/>
          <w:u w:val="none"/>
          <w:lang w:eastAsia="zh-CN"/>
        </w:rPr>
        <w:t xml:space="preserve">.2  </w:t>
      </w:r>
      <w:r>
        <w:rPr>
          <w:rFonts w:hint="eastAsia" w:ascii="宋体" w:hAnsi="宋体" w:eastAsia="宋体" w:cs="宋体"/>
          <w:sz w:val="24"/>
          <w:u w:val="none"/>
          <w:lang w:val="en-US" w:eastAsia="zh-CN"/>
        </w:rPr>
        <w:t>建设</w:t>
      </w:r>
      <w:r>
        <w:rPr>
          <w:rFonts w:hint="eastAsia" w:ascii="宋体" w:hAnsi="宋体" w:eastAsia="宋体" w:cs="宋体"/>
          <w:sz w:val="24"/>
          <w:u w:val="none"/>
          <w:lang w:eastAsia="zh-CN"/>
        </w:rPr>
        <w:t>地点：</w:t>
      </w:r>
      <w:r>
        <w:rPr>
          <w:rFonts w:hint="default" w:ascii="宋体" w:hAnsi="宋体" w:eastAsia="宋体" w:cs="宋体"/>
          <w:sz w:val="24"/>
          <w:u w:val="single"/>
          <w:lang w:eastAsia="zh-CN"/>
        </w:rPr>
        <w:t>山东省济南市章丘区世纪大道北潘王路</w:t>
      </w:r>
      <w:r>
        <w:rPr>
          <w:rFonts w:hint="default" w:ascii="宋体" w:hAnsi="宋体" w:eastAsia="宋体" w:cs="宋体"/>
          <w:sz w:val="24"/>
          <w:u w:val="none"/>
          <w:lang w:eastAsia="zh-CN"/>
        </w:rPr>
        <w:t>；</w:t>
      </w:r>
    </w:p>
    <w:p w14:paraId="5C26A5C9">
      <w:pPr>
        <w:keepNext w:val="0"/>
        <w:keepLines w:val="0"/>
        <w:widowControl/>
        <w:suppressLineNumbers w:val="0"/>
        <w:spacing w:line="360" w:lineRule="auto"/>
        <w:ind w:firstLine="480"/>
        <w:jc w:val="left"/>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1</w:t>
      </w:r>
      <w:r>
        <w:rPr>
          <w:rFonts w:hint="eastAsia" w:ascii="宋体" w:hAnsi="宋体" w:eastAsia="宋体" w:cs="宋体"/>
          <w:sz w:val="24"/>
          <w:szCs w:val="24"/>
          <w:u w:val="none"/>
        </w:rPr>
        <w:t>.</w:t>
      </w:r>
      <w:bookmarkEnd w:id="2"/>
      <w:r>
        <w:rPr>
          <w:rFonts w:hint="eastAsia" w:ascii="宋体" w:hAnsi="宋体" w:eastAsia="宋体" w:cs="宋体"/>
          <w:sz w:val="24"/>
          <w:szCs w:val="24"/>
          <w:u w:val="none"/>
          <w:lang w:val="en-US" w:eastAsia="zh-CN"/>
        </w:rPr>
        <w:t>3</w:t>
      </w:r>
      <w:r>
        <w:rPr>
          <w:rFonts w:hint="eastAsia" w:ascii="宋体" w:hAnsi="宋体" w:eastAsia="宋体" w:cs="宋体"/>
          <w:sz w:val="24"/>
          <w:szCs w:val="24"/>
          <w:u w:val="none"/>
        </w:rPr>
        <w:t>项目概况：</w:t>
      </w:r>
    </w:p>
    <w:p w14:paraId="344C76F7">
      <w:pPr>
        <w:keepNext w:val="0"/>
        <w:keepLines w:val="0"/>
        <w:widowControl/>
        <w:suppressLineNumbers w:val="0"/>
        <w:spacing w:line="360" w:lineRule="auto"/>
        <w:ind w:firstLine="480"/>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1.3.1项目规模：</w:t>
      </w:r>
      <w:r>
        <w:rPr>
          <w:rFonts w:hint="eastAsia" w:ascii="宋体" w:hAnsi="宋体" w:eastAsia="宋体" w:cs="宋体"/>
          <w:sz w:val="24"/>
          <w:u w:val="single"/>
          <w:lang w:val="en-US" w:eastAsia="zh-CN"/>
        </w:rPr>
        <w:t>项目占地土地面积</w:t>
      </w:r>
      <w:r>
        <w:rPr>
          <w:rFonts w:hint="eastAsia" w:ascii="宋体" w:hAnsi="宋体" w:cs="宋体"/>
          <w:sz w:val="24"/>
          <w:u w:val="single"/>
          <w:lang w:val="en-US" w:eastAsia="zh-CN"/>
        </w:rPr>
        <w:t>约</w:t>
      </w:r>
      <w:r>
        <w:rPr>
          <w:rFonts w:hint="eastAsia" w:ascii="宋体" w:hAnsi="宋体" w:eastAsia="宋体" w:cs="宋体"/>
          <w:sz w:val="24"/>
          <w:u w:val="single"/>
          <w:lang w:val="en-US" w:eastAsia="zh-CN"/>
        </w:rPr>
        <w:t>670825平方米，建安</w:t>
      </w:r>
      <w:r>
        <w:rPr>
          <w:rFonts w:hint="eastAsia" w:ascii="宋体" w:hAnsi="宋体" w:eastAsia="宋体" w:cs="宋体"/>
          <w:sz w:val="24"/>
          <w:szCs w:val="24"/>
          <w:u w:val="single"/>
          <w:lang w:val="en-US" w:eastAsia="zh-CN"/>
        </w:rPr>
        <w:t>投资约</w:t>
      </w:r>
      <w:r>
        <w:rPr>
          <w:rFonts w:hint="eastAsia" w:ascii="宋体" w:hAnsi="宋体" w:cs="宋体"/>
          <w:sz w:val="24"/>
          <w:szCs w:val="24"/>
          <w:u w:val="single"/>
          <w:lang w:val="en-US" w:eastAsia="zh-CN"/>
        </w:rPr>
        <w:t>8</w:t>
      </w:r>
      <w:r>
        <w:rPr>
          <w:rFonts w:hint="eastAsia" w:ascii="宋体" w:hAnsi="宋体" w:eastAsia="宋体" w:cs="宋体"/>
          <w:sz w:val="24"/>
          <w:szCs w:val="24"/>
          <w:u w:val="single"/>
          <w:lang w:val="en-US" w:eastAsia="zh-CN"/>
        </w:rPr>
        <w:t>亿元</w:t>
      </w:r>
      <w:r>
        <w:rPr>
          <w:rFonts w:hint="eastAsia" w:ascii="宋体" w:hAnsi="宋体" w:eastAsia="宋体" w:cs="宋体"/>
          <w:sz w:val="24"/>
          <w:szCs w:val="24"/>
          <w:u w:val="none"/>
          <w:lang w:val="en-US" w:eastAsia="zh-CN"/>
        </w:rPr>
        <w:t>；</w:t>
      </w:r>
    </w:p>
    <w:p w14:paraId="095514C6">
      <w:pPr>
        <w:keepNext w:val="0"/>
        <w:keepLines w:val="0"/>
        <w:widowControl/>
        <w:suppressLineNumbers w:val="0"/>
        <w:spacing w:line="360" w:lineRule="auto"/>
        <w:ind w:firstLine="480"/>
        <w:jc w:val="left"/>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1.3.2项目内容：</w:t>
      </w:r>
    </w:p>
    <w:p w14:paraId="1FE9E992">
      <w:pPr>
        <w:rPr>
          <w:rFonts w:hint="eastAsia" w:ascii="宋体" w:hAnsi="宋体" w:eastAsia="宋体" w:cs="宋体"/>
          <w:color w:val="auto"/>
          <w:kern w:val="0"/>
          <w:sz w:val="24"/>
          <w:szCs w:val="24"/>
          <w:u w:val="single"/>
          <w:lang w:val="en-US" w:eastAsia="zh-CN" w:bidi="ar"/>
        </w:rPr>
      </w:pPr>
      <w:r>
        <w:rPr>
          <w:rFonts w:hint="eastAsia" w:ascii="宋体" w:hAnsi="宋体" w:eastAsia="宋体" w:cs="宋体"/>
          <w:color w:val="auto"/>
          <w:kern w:val="0"/>
          <w:sz w:val="24"/>
          <w:szCs w:val="24"/>
          <w:u w:val="single"/>
          <w:lang w:val="en-US" w:eastAsia="zh-CN" w:bidi="ar"/>
        </w:rPr>
        <w:t>主要建设内容包括不限于：智能制造中心（含展厅、驾驶室装配车间、合装车间、物流区）、车架车间、试制车间、调试车间、质检车间、综合楼（含食堂）等主要建筑单体；门卫室、危废、固废、生活垃圾站、动力站房、油库、充电棚、打码大棚和仓储发交等生产辅助建筑单体，以及试车道、停车场、员工停车场、物流车停车场、园区道路、绿化景观以及跨越潘王路的连廊等配套设施。以上</w:t>
      </w:r>
      <w:r>
        <w:rPr>
          <w:rFonts w:hint="eastAsia" w:ascii="宋体" w:hAnsi="宋体" w:cs="宋体"/>
          <w:color w:val="auto"/>
          <w:kern w:val="0"/>
          <w:sz w:val="24"/>
          <w:szCs w:val="24"/>
          <w:u w:val="single"/>
          <w:lang w:val="en-US" w:eastAsia="zh-CN" w:bidi="ar"/>
        </w:rPr>
        <w:t>内容</w:t>
      </w:r>
      <w:r>
        <w:rPr>
          <w:rFonts w:hint="eastAsia" w:ascii="宋体" w:hAnsi="宋体" w:eastAsia="宋体" w:cs="宋体"/>
          <w:color w:val="auto"/>
          <w:kern w:val="0"/>
          <w:sz w:val="24"/>
          <w:szCs w:val="24"/>
          <w:u w:val="single"/>
          <w:lang w:val="en-US" w:eastAsia="zh-CN" w:bidi="ar"/>
        </w:rPr>
        <w:t>以最终总图确定的内容为准。</w:t>
      </w:r>
    </w:p>
    <w:p w14:paraId="212441D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1</w:t>
      </w:r>
      <w:r>
        <w:rPr>
          <w:rFonts w:hint="eastAsia" w:ascii="宋体" w:hAnsi="宋体" w:eastAsia="宋体" w:cs="宋体"/>
          <w:sz w:val="24"/>
          <w:szCs w:val="24"/>
          <w:u w:val="none"/>
        </w:rPr>
        <w:t>.</w:t>
      </w:r>
      <w:r>
        <w:rPr>
          <w:rFonts w:hint="eastAsia" w:ascii="宋体" w:hAnsi="宋体" w:cs="宋体"/>
          <w:sz w:val="24"/>
          <w:szCs w:val="24"/>
          <w:u w:val="none"/>
          <w:lang w:val="en-US" w:eastAsia="zh-CN"/>
        </w:rPr>
        <w:t>4</w:t>
      </w:r>
      <w:r>
        <w:rPr>
          <w:rFonts w:hint="eastAsia" w:ascii="宋体" w:hAnsi="宋体" w:eastAsia="宋体" w:cs="宋体"/>
          <w:sz w:val="24"/>
          <w:szCs w:val="24"/>
          <w:u w:val="none"/>
        </w:rPr>
        <w:t>招标范围：</w:t>
      </w:r>
    </w:p>
    <w:p w14:paraId="3916688E">
      <w:pPr>
        <w:keepNext w:val="0"/>
        <w:keepLines w:val="0"/>
        <w:pageBreakBefore w:val="0"/>
        <w:widowControl w:val="0"/>
        <w:kinsoku/>
        <w:wordWrap/>
        <w:overflowPunct/>
        <w:topLinePunct w:val="0"/>
        <w:autoSpaceDE/>
        <w:autoSpaceDN/>
        <w:bidi w:val="0"/>
        <w:adjustRightInd w:val="0"/>
        <w:snapToGrid w:val="0"/>
        <w:spacing w:line="360" w:lineRule="auto"/>
        <w:ind w:firstLine="570"/>
        <w:jc w:val="left"/>
        <w:textAlignment w:val="auto"/>
        <w:rPr>
          <w:rFonts w:hint="eastAsia" w:ascii="宋体" w:hAnsi="宋体" w:eastAsia="宋体" w:cs="宋体"/>
          <w:bCs/>
          <w:color w:val="0000FF"/>
          <w:sz w:val="24"/>
          <w:szCs w:val="24"/>
          <w:u w:val="single"/>
          <w:lang w:eastAsia="zh-CN"/>
        </w:rPr>
      </w:pPr>
      <w:r>
        <w:rPr>
          <w:rFonts w:hint="eastAsia" w:ascii="宋体" w:hAnsi="宋体" w:eastAsia="宋体" w:cs="宋体"/>
          <w:b/>
          <w:bCs w:val="0"/>
          <w:color w:val="0000FF"/>
          <w:sz w:val="24"/>
          <w:szCs w:val="24"/>
          <w:u w:val="single"/>
          <w:lang w:val="en-US" w:eastAsia="zh-CN"/>
        </w:rPr>
        <w:t>1.</w:t>
      </w:r>
      <w:r>
        <w:rPr>
          <w:rFonts w:hint="eastAsia" w:ascii="宋体" w:hAnsi="宋体" w:cs="宋体"/>
          <w:b/>
          <w:bCs w:val="0"/>
          <w:color w:val="0000FF"/>
          <w:sz w:val="24"/>
          <w:szCs w:val="24"/>
          <w:u w:val="single"/>
          <w:lang w:val="en-US" w:eastAsia="zh-CN"/>
        </w:rPr>
        <w:t>4</w:t>
      </w:r>
      <w:r>
        <w:rPr>
          <w:rFonts w:hint="eastAsia" w:ascii="宋体" w:hAnsi="宋体" w:eastAsia="宋体" w:cs="宋体"/>
          <w:b/>
          <w:bCs w:val="0"/>
          <w:color w:val="0000FF"/>
          <w:sz w:val="24"/>
          <w:szCs w:val="24"/>
          <w:u w:val="single"/>
          <w:lang w:val="en-US" w:eastAsia="zh-CN"/>
        </w:rPr>
        <w:t>.1招标阶段：</w:t>
      </w:r>
      <w:r>
        <w:rPr>
          <w:rFonts w:hint="eastAsia" w:ascii="宋体" w:hAnsi="宋体" w:cs="宋体"/>
          <w:bCs/>
          <w:color w:val="0000FF"/>
          <w:sz w:val="24"/>
          <w:szCs w:val="24"/>
          <w:u w:val="single"/>
          <w:lang w:val="en-US" w:eastAsia="zh-CN"/>
        </w:rPr>
        <w:t>配合设计概算、勘察现场、招标工程量清单编制、招标控制价编制及备案、中标建议价测算、清标及修正报价复核、拟中标价格审核分析等</w:t>
      </w:r>
      <w:r>
        <w:rPr>
          <w:rFonts w:hint="eastAsia" w:ascii="宋体" w:hAnsi="宋体" w:eastAsia="宋体" w:cs="宋体"/>
          <w:bCs/>
          <w:color w:val="0000FF"/>
          <w:sz w:val="24"/>
          <w:szCs w:val="24"/>
          <w:u w:val="single"/>
          <w:lang w:eastAsia="zh-CN"/>
        </w:rPr>
        <w:t>；</w:t>
      </w:r>
    </w:p>
    <w:p w14:paraId="70E9B7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eastAsia="宋体" w:cs="宋体"/>
          <w:bCs/>
          <w:color w:val="0000FF"/>
          <w:sz w:val="24"/>
          <w:szCs w:val="24"/>
          <w:u w:val="single"/>
          <w:lang w:val="en-US" w:eastAsia="zh-CN"/>
        </w:rPr>
      </w:pPr>
      <w:r>
        <w:rPr>
          <w:rFonts w:hint="eastAsia" w:ascii="宋体" w:hAnsi="宋体" w:cs="宋体"/>
          <w:bCs/>
          <w:color w:val="0000FF"/>
          <w:sz w:val="24"/>
          <w:szCs w:val="24"/>
          <w:u w:val="single"/>
          <w:lang w:val="en-US" w:eastAsia="zh-CN"/>
        </w:rPr>
        <w:t>此部分</w:t>
      </w:r>
      <w:r>
        <w:rPr>
          <w:rFonts w:hint="eastAsia" w:ascii="宋体" w:hAnsi="宋体" w:eastAsia="宋体" w:cs="宋体"/>
          <w:bCs/>
          <w:color w:val="0000FF"/>
          <w:sz w:val="24"/>
          <w:szCs w:val="24"/>
          <w:u w:val="single"/>
        </w:rPr>
        <w:t>服务费</w:t>
      </w:r>
      <w:r>
        <w:rPr>
          <w:rFonts w:hint="eastAsia" w:ascii="宋体" w:hAnsi="宋体" w:cs="宋体"/>
          <w:bCs/>
          <w:color w:val="0000FF"/>
          <w:sz w:val="24"/>
          <w:szCs w:val="24"/>
          <w:u w:val="single"/>
          <w:lang w:val="en-US" w:eastAsia="zh-CN"/>
        </w:rPr>
        <w:t>的投标报价基数为暂定7亿元。</w:t>
      </w:r>
    </w:p>
    <w:p w14:paraId="45B4A91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eastAsia="宋体" w:cs="宋体"/>
          <w:bCs/>
          <w:color w:val="0000FF"/>
          <w:sz w:val="24"/>
          <w:szCs w:val="24"/>
          <w:u w:val="single"/>
          <w:lang w:val="en-US" w:eastAsia="zh-CN"/>
        </w:rPr>
      </w:pPr>
      <w:r>
        <w:rPr>
          <w:rFonts w:hint="eastAsia" w:ascii="宋体" w:hAnsi="宋体" w:cs="宋体"/>
          <w:bCs/>
          <w:color w:val="0000FF"/>
          <w:sz w:val="24"/>
          <w:szCs w:val="24"/>
          <w:u w:val="single"/>
          <w:lang w:val="en-US" w:eastAsia="zh-CN"/>
        </w:rPr>
        <w:t>实际服务费</w:t>
      </w:r>
      <w:r>
        <w:rPr>
          <w:rFonts w:hint="eastAsia" w:ascii="宋体" w:hAnsi="宋体" w:eastAsia="宋体" w:cs="宋体"/>
          <w:bCs/>
          <w:color w:val="0000FF"/>
          <w:sz w:val="24"/>
          <w:szCs w:val="24"/>
          <w:u w:val="single"/>
        </w:rPr>
        <w:t>=施工</w:t>
      </w:r>
      <w:r>
        <w:rPr>
          <w:rFonts w:hint="eastAsia" w:ascii="宋体" w:hAnsi="宋体" w:eastAsia="宋体" w:cs="宋体"/>
          <w:bCs/>
          <w:color w:val="0000FF"/>
          <w:sz w:val="24"/>
          <w:szCs w:val="24"/>
          <w:u w:val="single"/>
          <w:lang w:val="en-US" w:eastAsia="zh-CN"/>
        </w:rPr>
        <w:t>招标</w:t>
      </w:r>
      <w:r>
        <w:rPr>
          <w:rFonts w:hint="eastAsia" w:ascii="宋体" w:hAnsi="宋体" w:eastAsia="宋体" w:cs="宋体"/>
          <w:bCs/>
          <w:color w:val="0000FF"/>
          <w:sz w:val="24"/>
          <w:szCs w:val="24"/>
          <w:u w:val="single"/>
        </w:rPr>
        <w:t>中标金额（含暂列金</w:t>
      </w:r>
      <w:r>
        <w:rPr>
          <w:rFonts w:hint="eastAsia" w:ascii="宋体" w:hAnsi="宋体" w:eastAsia="宋体" w:cs="宋体"/>
          <w:bCs/>
          <w:color w:val="0000FF"/>
          <w:sz w:val="24"/>
          <w:szCs w:val="24"/>
          <w:u w:val="single"/>
          <w:lang w:eastAsia="zh-CN"/>
        </w:rPr>
        <w:t>、</w:t>
      </w:r>
      <w:r>
        <w:rPr>
          <w:rFonts w:hint="eastAsia" w:ascii="宋体" w:hAnsi="宋体" w:eastAsia="宋体" w:cs="宋体"/>
          <w:bCs/>
          <w:color w:val="0000FF"/>
          <w:sz w:val="24"/>
          <w:szCs w:val="24"/>
          <w:u w:val="single"/>
          <w:lang w:val="en-US" w:eastAsia="zh-CN"/>
        </w:rPr>
        <w:t>暂估价</w:t>
      </w:r>
      <w:r>
        <w:rPr>
          <w:rFonts w:hint="eastAsia" w:ascii="宋体" w:hAnsi="宋体" w:eastAsia="宋体" w:cs="宋体"/>
          <w:bCs/>
          <w:color w:val="0000FF"/>
          <w:sz w:val="24"/>
          <w:szCs w:val="24"/>
          <w:u w:val="single"/>
        </w:rPr>
        <w:t>）</w:t>
      </w:r>
      <w:r>
        <w:rPr>
          <w:rFonts w:hint="eastAsia" w:ascii="宋体" w:hAnsi="宋体" w:eastAsia="宋体" w:cs="宋体"/>
          <w:bCs/>
          <w:color w:val="0000FF"/>
          <w:sz w:val="24"/>
          <w:szCs w:val="24"/>
          <w:u w:val="single"/>
          <w:lang w:val="en-US" w:eastAsia="zh-CN"/>
        </w:rPr>
        <w:t>*本次中标费率</w:t>
      </w:r>
      <w:r>
        <w:rPr>
          <w:rFonts w:hint="eastAsia" w:ascii="宋体" w:hAnsi="宋体" w:cs="宋体"/>
          <w:bCs/>
          <w:color w:val="0000FF"/>
          <w:sz w:val="24"/>
          <w:szCs w:val="24"/>
          <w:u w:val="single"/>
          <w:lang w:val="en-US" w:eastAsia="zh-CN"/>
        </w:rPr>
        <w:t>（自主竞报，投标上限0.5‰）</w:t>
      </w:r>
      <w:r>
        <w:rPr>
          <w:rFonts w:hint="eastAsia" w:ascii="宋体" w:hAnsi="宋体" w:eastAsia="宋体" w:cs="宋体"/>
          <w:bCs/>
          <w:color w:val="0000FF"/>
          <w:sz w:val="24"/>
          <w:szCs w:val="24"/>
          <w:u w:val="single"/>
          <w:lang w:val="en-US" w:eastAsia="zh-CN"/>
        </w:rPr>
        <w:t>，控制价备案的费用已包含在中标费率中，不再单独计取。</w:t>
      </w:r>
    </w:p>
    <w:p w14:paraId="3064C721">
      <w:pPr>
        <w:keepNext w:val="0"/>
        <w:keepLines w:val="0"/>
        <w:pageBreakBefore w:val="0"/>
        <w:widowControl w:val="0"/>
        <w:kinsoku/>
        <w:wordWrap/>
        <w:overflowPunct/>
        <w:topLinePunct w:val="0"/>
        <w:autoSpaceDE/>
        <w:autoSpaceDN/>
        <w:bidi w:val="0"/>
        <w:adjustRightInd w:val="0"/>
        <w:snapToGrid w:val="0"/>
        <w:spacing w:line="360" w:lineRule="auto"/>
        <w:ind w:firstLine="570"/>
        <w:jc w:val="left"/>
        <w:textAlignment w:val="auto"/>
        <w:rPr>
          <w:rFonts w:hint="eastAsia" w:ascii="宋体" w:hAnsi="宋体" w:cs="宋体"/>
          <w:bCs/>
          <w:color w:val="0000FF"/>
          <w:sz w:val="24"/>
          <w:szCs w:val="24"/>
          <w:u w:val="single"/>
          <w:lang w:val="en-US" w:eastAsia="zh-CN"/>
        </w:rPr>
      </w:pPr>
      <w:r>
        <w:rPr>
          <w:rFonts w:hint="eastAsia" w:ascii="宋体" w:hAnsi="宋体" w:eastAsia="宋体" w:cs="宋体"/>
          <w:b/>
          <w:bCs w:val="0"/>
          <w:color w:val="0000FF"/>
          <w:sz w:val="24"/>
          <w:szCs w:val="24"/>
          <w:u w:val="single"/>
          <w:lang w:val="en-US" w:eastAsia="zh-CN"/>
        </w:rPr>
        <w:t>1.</w:t>
      </w:r>
      <w:r>
        <w:rPr>
          <w:rFonts w:hint="eastAsia" w:ascii="宋体" w:hAnsi="宋体" w:cs="宋体"/>
          <w:b/>
          <w:bCs w:val="0"/>
          <w:color w:val="0000FF"/>
          <w:sz w:val="24"/>
          <w:szCs w:val="24"/>
          <w:u w:val="single"/>
          <w:lang w:val="en-US" w:eastAsia="zh-CN"/>
        </w:rPr>
        <w:t>4</w:t>
      </w:r>
      <w:r>
        <w:rPr>
          <w:rFonts w:hint="eastAsia" w:ascii="宋体" w:hAnsi="宋体" w:eastAsia="宋体" w:cs="宋体"/>
          <w:b/>
          <w:bCs w:val="0"/>
          <w:color w:val="0000FF"/>
          <w:sz w:val="24"/>
          <w:szCs w:val="24"/>
          <w:u w:val="single"/>
          <w:lang w:val="en-US" w:eastAsia="zh-CN"/>
        </w:rPr>
        <w:t>.</w:t>
      </w:r>
      <w:r>
        <w:rPr>
          <w:rFonts w:hint="eastAsia" w:ascii="宋体" w:hAnsi="宋体" w:cs="宋体"/>
          <w:b/>
          <w:bCs w:val="0"/>
          <w:color w:val="0000FF"/>
          <w:sz w:val="24"/>
          <w:szCs w:val="24"/>
          <w:u w:val="single"/>
          <w:lang w:val="en-US" w:eastAsia="zh-CN"/>
        </w:rPr>
        <w:t>2</w:t>
      </w:r>
      <w:r>
        <w:rPr>
          <w:rFonts w:hint="eastAsia" w:ascii="宋体" w:hAnsi="宋体" w:eastAsia="宋体" w:cs="宋体"/>
          <w:b/>
          <w:bCs w:val="0"/>
          <w:color w:val="0000FF"/>
          <w:sz w:val="24"/>
          <w:szCs w:val="24"/>
          <w:u w:val="single"/>
          <w:lang w:val="en-US" w:eastAsia="zh-CN"/>
        </w:rPr>
        <w:t>施工阶段造价咨询（驻场跟踪服务）：</w:t>
      </w:r>
      <w:r>
        <w:rPr>
          <w:rFonts w:hint="eastAsia" w:ascii="宋体" w:hAnsi="宋体" w:eastAsia="宋体" w:cs="宋体"/>
          <w:b w:val="0"/>
          <w:bCs/>
          <w:color w:val="0000FF"/>
          <w:sz w:val="24"/>
          <w:szCs w:val="24"/>
          <w:u w:val="single"/>
          <w:lang w:val="en-US" w:eastAsia="zh-CN"/>
        </w:rPr>
        <w:t>驻场服务（自进场之日起累计现场服务10个月，超期服务的按</w:t>
      </w:r>
      <w:r>
        <w:rPr>
          <w:rFonts w:hint="eastAsia" w:ascii="宋体" w:hAnsi="宋体" w:cs="宋体"/>
          <w:b w:val="0"/>
          <w:bCs/>
          <w:color w:val="0000FF"/>
          <w:sz w:val="24"/>
          <w:szCs w:val="24"/>
          <w:u w:val="single"/>
          <w:lang w:val="en-US" w:eastAsia="zh-CN"/>
        </w:rPr>
        <w:t xml:space="preserve">（内自主竞报，投标上限1万元）   </w:t>
      </w:r>
      <w:r>
        <w:rPr>
          <w:rFonts w:hint="eastAsia" w:ascii="宋体" w:hAnsi="宋体" w:eastAsia="宋体" w:cs="宋体"/>
          <w:b w:val="0"/>
          <w:bCs/>
          <w:color w:val="0000FF"/>
          <w:sz w:val="24"/>
          <w:szCs w:val="24"/>
          <w:u w:val="single"/>
          <w:lang w:val="en-US" w:eastAsia="zh-CN"/>
        </w:rPr>
        <w:t>万元/</w:t>
      </w:r>
      <w:r>
        <w:rPr>
          <w:rFonts w:hint="eastAsia" w:ascii="宋体" w:hAnsi="宋体" w:cs="宋体"/>
          <w:b w:val="0"/>
          <w:bCs/>
          <w:color w:val="0000FF"/>
          <w:sz w:val="24"/>
          <w:szCs w:val="24"/>
          <w:u w:val="single"/>
          <w:lang w:val="en-US" w:eastAsia="zh-CN"/>
        </w:rPr>
        <w:t>人/</w:t>
      </w:r>
      <w:r>
        <w:rPr>
          <w:rFonts w:hint="eastAsia" w:ascii="宋体" w:hAnsi="宋体" w:eastAsia="宋体" w:cs="宋体"/>
          <w:b w:val="0"/>
          <w:bCs/>
          <w:color w:val="0000FF"/>
          <w:sz w:val="24"/>
          <w:szCs w:val="24"/>
          <w:u w:val="single"/>
          <w:lang w:val="en-US" w:eastAsia="zh-CN"/>
        </w:rPr>
        <w:t>月（30天）追加费用，不足一个月的按天折算）、现场收方收量、过程签证批价等经济资料审核、工程量签证影像资料留存、工程询价批价、形象进度现场核实、产值及进度款审核、甲供材料设备计划审核、设计变更测算、施工动态成本测算、签证、批价、变更等成本台账及经济资料管理等、按期参加项目例会、组织成本例会、项目检查等</w:t>
      </w:r>
      <w:r>
        <w:rPr>
          <w:rFonts w:hint="eastAsia" w:ascii="宋体" w:hAnsi="宋体" w:cs="宋体"/>
          <w:b w:val="0"/>
          <w:bCs/>
          <w:color w:val="0000FF"/>
          <w:sz w:val="24"/>
          <w:szCs w:val="24"/>
          <w:u w:val="single"/>
          <w:lang w:val="en-US" w:eastAsia="zh-CN"/>
        </w:rPr>
        <w:t>；</w:t>
      </w:r>
    </w:p>
    <w:p w14:paraId="1191DC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cs="宋体"/>
          <w:bCs/>
          <w:color w:val="0000FF"/>
          <w:sz w:val="24"/>
          <w:szCs w:val="24"/>
          <w:u w:val="single"/>
          <w:lang w:val="en-US" w:eastAsia="zh-CN"/>
        </w:rPr>
      </w:pPr>
      <w:r>
        <w:rPr>
          <w:rFonts w:hint="eastAsia" w:ascii="宋体" w:hAnsi="宋体" w:cs="宋体"/>
          <w:bCs/>
          <w:color w:val="0000FF"/>
          <w:sz w:val="24"/>
          <w:szCs w:val="24"/>
          <w:u w:val="single"/>
          <w:lang w:val="en-US" w:eastAsia="zh-CN"/>
        </w:rPr>
        <w:t>此部分费率自主竞报（投标上限0.7‰），投标报价取费基数为暂定7亿元，实际待完成所有施工合同（含总包及分包施工合同）结算审计后以累计结算审定值取费，办理咨询费结算。</w:t>
      </w:r>
    </w:p>
    <w:p w14:paraId="77C4AE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宋体" w:hAnsi="宋体" w:eastAsia="宋体" w:cs="宋体"/>
          <w:b/>
          <w:bCs w:val="0"/>
          <w:color w:val="0000FF"/>
          <w:sz w:val="24"/>
          <w:szCs w:val="24"/>
          <w:highlight w:val="none"/>
          <w:u w:val="single"/>
          <w:lang w:val="en-US" w:eastAsia="zh-CN"/>
        </w:rPr>
      </w:pPr>
      <w:r>
        <w:rPr>
          <w:rFonts w:hint="eastAsia" w:ascii="宋体" w:hAnsi="宋体" w:eastAsia="宋体" w:cs="宋体"/>
          <w:bCs/>
          <w:color w:val="0000FF"/>
          <w:sz w:val="24"/>
          <w:szCs w:val="24"/>
          <w:u w:val="single"/>
          <w:lang w:val="en-US" w:eastAsia="zh-CN"/>
        </w:rPr>
        <w:t>1.</w:t>
      </w:r>
      <w:r>
        <w:rPr>
          <w:rFonts w:hint="eastAsia" w:ascii="宋体" w:hAnsi="宋体" w:cs="宋体"/>
          <w:bCs/>
          <w:color w:val="0000FF"/>
          <w:sz w:val="24"/>
          <w:szCs w:val="24"/>
          <w:u w:val="single"/>
          <w:lang w:val="en-US" w:eastAsia="zh-CN"/>
        </w:rPr>
        <w:t>4</w:t>
      </w:r>
      <w:r>
        <w:rPr>
          <w:rFonts w:hint="eastAsia" w:ascii="宋体" w:hAnsi="宋体" w:eastAsia="宋体" w:cs="宋体"/>
          <w:bCs/>
          <w:color w:val="0000FF"/>
          <w:sz w:val="24"/>
          <w:szCs w:val="24"/>
          <w:u w:val="single"/>
          <w:lang w:val="en-US" w:eastAsia="zh-CN"/>
        </w:rPr>
        <w:t>.</w:t>
      </w:r>
      <w:r>
        <w:rPr>
          <w:rFonts w:hint="eastAsia" w:ascii="宋体" w:hAnsi="宋体" w:cs="宋体"/>
          <w:bCs/>
          <w:color w:val="0000FF"/>
          <w:sz w:val="24"/>
          <w:szCs w:val="24"/>
          <w:u w:val="single"/>
          <w:lang w:val="en-US" w:eastAsia="zh-CN"/>
        </w:rPr>
        <w:t>3</w:t>
      </w:r>
      <w:r>
        <w:rPr>
          <w:rFonts w:hint="eastAsia" w:ascii="宋体" w:hAnsi="宋体" w:eastAsia="宋体" w:cs="宋体"/>
          <w:b/>
          <w:bCs w:val="0"/>
          <w:color w:val="0000FF"/>
          <w:sz w:val="24"/>
          <w:szCs w:val="24"/>
          <w:highlight w:val="none"/>
          <w:u w:val="single"/>
          <w:lang w:val="en-US" w:eastAsia="zh-CN"/>
        </w:rPr>
        <w:t>结算</w:t>
      </w:r>
      <w:r>
        <w:rPr>
          <w:rFonts w:hint="eastAsia" w:ascii="宋体" w:hAnsi="宋体" w:cs="宋体"/>
          <w:b/>
          <w:bCs w:val="0"/>
          <w:color w:val="0000FF"/>
          <w:sz w:val="24"/>
          <w:szCs w:val="24"/>
          <w:highlight w:val="none"/>
          <w:u w:val="single"/>
          <w:lang w:val="en-US" w:eastAsia="zh-CN"/>
        </w:rPr>
        <w:t>正式报审前的造价审核</w:t>
      </w:r>
    </w:p>
    <w:p w14:paraId="4D49F3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left"/>
        <w:textAlignment w:val="auto"/>
        <w:rPr>
          <w:rFonts w:hint="eastAsia" w:ascii="宋体" w:hAnsi="宋体" w:cs="宋体"/>
          <w:b w:val="0"/>
          <w:bCs/>
          <w:color w:val="0000FF"/>
          <w:sz w:val="24"/>
          <w:szCs w:val="24"/>
          <w:highlight w:val="none"/>
          <w:u w:val="single"/>
          <w:lang w:val="en-US" w:eastAsia="zh-CN"/>
        </w:rPr>
      </w:pPr>
      <w:r>
        <w:rPr>
          <w:rFonts w:hint="eastAsia" w:ascii="宋体" w:hAnsi="宋体" w:cs="宋体"/>
          <w:b/>
          <w:bCs w:val="0"/>
          <w:color w:val="0000FF"/>
          <w:sz w:val="24"/>
          <w:szCs w:val="24"/>
          <w:highlight w:val="none"/>
          <w:u w:val="single"/>
          <w:lang w:val="en-US" w:eastAsia="zh-CN"/>
        </w:rPr>
        <w:t>工作内容：</w:t>
      </w:r>
      <w:r>
        <w:rPr>
          <w:rFonts w:hint="eastAsia" w:ascii="宋体" w:hAnsi="宋体" w:cs="宋体"/>
          <w:b w:val="0"/>
          <w:bCs/>
          <w:color w:val="0000FF"/>
          <w:sz w:val="24"/>
          <w:szCs w:val="24"/>
          <w:highlight w:val="none"/>
          <w:u w:val="single"/>
          <w:lang w:val="en-US" w:eastAsia="zh-CN"/>
        </w:rPr>
        <w:t>对结算送审资料及结算报审额进行正式报审前的造价审核，确保结算资料真实、完整、规范</w:t>
      </w:r>
      <w:r>
        <w:rPr>
          <w:rFonts w:hint="eastAsia" w:ascii="宋体" w:hAnsi="宋体" w:cs="宋体"/>
          <w:b w:val="0"/>
          <w:bCs/>
          <w:color w:val="0000FF"/>
          <w:sz w:val="24"/>
          <w:szCs w:val="24"/>
          <w:u w:val="single"/>
          <w:lang w:val="en-US" w:eastAsia="zh-CN"/>
        </w:rPr>
        <w:t>，纠正高估冒算、虚列工程量及明显的不合理、错报等问题，目标将最终结算审计报告的审减率控制在5%以内。对第三方</w:t>
      </w:r>
      <w:r>
        <w:rPr>
          <w:rFonts w:hint="eastAsia" w:ascii="宋体" w:hAnsi="宋体" w:eastAsia="宋体" w:cs="宋体"/>
          <w:b w:val="0"/>
          <w:bCs/>
          <w:color w:val="0000FF"/>
          <w:sz w:val="24"/>
          <w:szCs w:val="24"/>
          <w:u w:val="single"/>
        </w:rPr>
        <w:t>出具</w:t>
      </w:r>
      <w:r>
        <w:rPr>
          <w:rFonts w:hint="eastAsia" w:ascii="宋体" w:hAnsi="宋体" w:cs="宋体"/>
          <w:b w:val="0"/>
          <w:bCs/>
          <w:color w:val="0000FF"/>
          <w:sz w:val="24"/>
          <w:szCs w:val="24"/>
          <w:u w:val="single"/>
          <w:lang w:val="en-US" w:eastAsia="zh-CN"/>
        </w:rPr>
        <w:t>的</w:t>
      </w:r>
      <w:r>
        <w:rPr>
          <w:rFonts w:hint="eastAsia" w:ascii="宋体" w:hAnsi="宋体" w:eastAsia="宋体" w:cs="宋体"/>
          <w:b w:val="0"/>
          <w:bCs/>
          <w:color w:val="0000FF"/>
          <w:sz w:val="24"/>
          <w:szCs w:val="24"/>
          <w:u w:val="single"/>
        </w:rPr>
        <w:t>工程竣工结算审计报告</w:t>
      </w:r>
      <w:r>
        <w:rPr>
          <w:rFonts w:hint="eastAsia" w:ascii="宋体" w:hAnsi="宋体" w:cs="宋体"/>
          <w:b w:val="0"/>
          <w:bCs/>
          <w:color w:val="0000FF"/>
          <w:sz w:val="24"/>
          <w:szCs w:val="24"/>
          <w:u w:val="single"/>
          <w:lang w:eastAsia="zh-CN"/>
        </w:rPr>
        <w:t>，</w:t>
      </w:r>
      <w:r>
        <w:rPr>
          <w:rFonts w:hint="eastAsia" w:ascii="宋体" w:hAnsi="宋体" w:cs="宋体"/>
          <w:b w:val="0"/>
          <w:bCs/>
          <w:color w:val="0000FF"/>
          <w:sz w:val="24"/>
          <w:szCs w:val="24"/>
          <w:u w:val="single"/>
          <w:lang w:val="en-US" w:eastAsia="zh-CN"/>
        </w:rPr>
        <w:t>根据招标人</w:t>
      </w:r>
      <w:r>
        <w:rPr>
          <w:rFonts w:hint="eastAsia" w:ascii="宋体" w:hAnsi="宋体" w:cs="宋体"/>
          <w:b w:val="0"/>
          <w:bCs/>
          <w:color w:val="0000FF"/>
          <w:sz w:val="24"/>
          <w:szCs w:val="24"/>
          <w:highlight w:val="none"/>
          <w:u w:val="single"/>
          <w:lang w:val="en-US" w:eastAsia="zh-CN"/>
        </w:rPr>
        <w:t>要求</w:t>
      </w:r>
      <w:r>
        <w:rPr>
          <w:rFonts w:hint="eastAsia" w:ascii="宋体" w:hAnsi="宋体" w:eastAsia="宋体" w:cs="宋体"/>
          <w:b w:val="0"/>
          <w:bCs/>
          <w:color w:val="0000FF"/>
          <w:sz w:val="24"/>
          <w:szCs w:val="24"/>
          <w:highlight w:val="none"/>
          <w:u w:val="single"/>
        </w:rPr>
        <w:t>完成审计报告的造价</w:t>
      </w:r>
      <w:r>
        <w:rPr>
          <w:rFonts w:hint="eastAsia" w:ascii="宋体" w:hAnsi="宋体" w:eastAsia="宋体" w:cs="宋体"/>
          <w:b w:val="0"/>
          <w:bCs/>
          <w:color w:val="0000FF"/>
          <w:sz w:val="24"/>
          <w:szCs w:val="24"/>
          <w:highlight w:val="none"/>
          <w:u w:val="single"/>
          <w:lang w:val="en-US" w:eastAsia="zh-CN"/>
        </w:rPr>
        <w:t>指标</w:t>
      </w:r>
      <w:r>
        <w:rPr>
          <w:rFonts w:hint="eastAsia" w:ascii="宋体" w:hAnsi="宋体" w:eastAsia="宋体" w:cs="宋体"/>
          <w:b w:val="0"/>
          <w:bCs/>
          <w:color w:val="0000FF"/>
          <w:sz w:val="24"/>
          <w:szCs w:val="24"/>
          <w:highlight w:val="none"/>
          <w:u w:val="single"/>
        </w:rPr>
        <w:t>分析</w:t>
      </w:r>
      <w:r>
        <w:rPr>
          <w:rFonts w:hint="eastAsia" w:ascii="宋体" w:hAnsi="宋体" w:eastAsia="宋体" w:cs="宋体"/>
          <w:b w:val="0"/>
          <w:bCs/>
          <w:color w:val="0000FF"/>
          <w:sz w:val="24"/>
          <w:szCs w:val="24"/>
          <w:highlight w:val="none"/>
          <w:u w:val="single"/>
          <w:lang w:eastAsia="zh-CN"/>
        </w:rPr>
        <w:t>。</w:t>
      </w:r>
    </w:p>
    <w:p w14:paraId="5CDB3E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left"/>
        <w:textAlignment w:val="auto"/>
        <w:rPr>
          <w:rFonts w:hint="eastAsia" w:ascii="宋体" w:hAnsi="宋体" w:cs="宋体"/>
          <w:b/>
          <w:bCs w:val="0"/>
          <w:color w:val="0000FF"/>
          <w:sz w:val="24"/>
          <w:szCs w:val="24"/>
          <w:highlight w:val="none"/>
          <w:u w:val="single"/>
          <w:lang w:val="en-US" w:eastAsia="zh-CN"/>
        </w:rPr>
      </w:pPr>
      <w:r>
        <w:rPr>
          <w:rFonts w:hint="eastAsia" w:ascii="宋体" w:hAnsi="宋体" w:cs="宋体"/>
          <w:b/>
          <w:bCs w:val="0"/>
          <w:color w:val="0000FF"/>
          <w:sz w:val="24"/>
          <w:szCs w:val="24"/>
          <w:highlight w:val="none"/>
          <w:u w:val="single"/>
          <w:lang w:val="en-US" w:eastAsia="zh-CN"/>
        </w:rPr>
        <w:t>结算正式报审前的造价审核服务费由两部分组成：</w:t>
      </w:r>
    </w:p>
    <w:p w14:paraId="5AAA94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宋体" w:hAnsi="宋体" w:eastAsia="宋体" w:cs="宋体"/>
          <w:bCs/>
          <w:color w:val="0000FF"/>
          <w:sz w:val="24"/>
          <w:szCs w:val="24"/>
          <w:u w:val="single"/>
          <w:lang w:val="en-US" w:eastAsia="zh-CN"/>
        </w:rPr>
      </w:pPr>
      <w:r>
        <w:rPr>
          <w:rFonts w:hint="eastAsia" w:ascii="宋体" w:hAnsi="宋体" w:eastAsia="宋体" w:cs="宋体"/>
          <w:b w:val="0"/>
          <w:bCs/>
          <w:color w:val="0000FF"/>
          <w:sz w:val="24"/>
          <w:szCs w:val="24"/>
          <w:highlight w:val="none"/>
          <w:u w:val="single"/>
          <w:lang w:val="en-US" w:eastAsia="zh-CN"/>
        </w:rPr>
        <w:t>①</w:t>
      </w:r>
      <w:r>
        <w:rPr>
          <w:rFonts w:hint="eastAsia" w:ascii="宋体" w:hAnsi="宋体" w:cs="宋体"/>
          <w:b w:val="0"/>
          <w:bCs/>
          <w:color w:val="0000FF"/>
          <w:sz w:val="24"/>
          <w:szCs w:val="24"/>
          <w:highlight w:val="none"/>
          <w:u w:val="single"/>
          <w:lang w:val="en-US" w:eastAsia="zh-CN"/>
        </w:rPr>
        <w:t>基本咨询费，费率自主</w:t>
      </w:r>
      <w:r>
        <w:rPr>
          <w:rFonts w:hint="eastAsia" w:ascii="宋体" w:hAnsi="宋体" w:cs="宋体"/>
          <w:bCs/>
          <w:color w:val="0000FF"/>
          <w:sz w:val="24"/>
          <w:szCs w:val="24"/>
          <w:u w:val="single"/>
          <w:lang w:val="en-US" w:eastAsia="zh-CN"/>
        </w:rPr>
        <w:t>竞报（投标上限0.5‰），投标报价取费基数暂定7亿元，实际</w:t>
      </w:r>
      <w:r>
        <w:rPr>
          <w:rFonts w:hint="eastAsia" w:ascii="宋体" w:hAnsi="宋体" w:cs="宋体"/>
          <w:b w:val="0"/>
          <w:bCs/>
          <w:color w:val="0000FF"/>
          <w:sz w:val="24"/>
          <w:szCs w:val="24"/>
          <w:highlight w:val="none"/>
          <w:u w:val="single"/>
          <w:lang w:val="en-US" w:eastAsia="zh-CN"/>
        </w:rPr>
        <w:t>取费基数为造价审核的审后额</w:t>
      </w:r>
      <w:r>
        <w:rPr>
          <w:rFonts w:hint="eastAsia" w:ascii="宋体" w:hAnsi="宋体" w:cs="宋体"/>
          <w:bCs/>
          <w:color w:val="0000FF"/>
          <w:sz w:val="24"/>
          <w:szCs w:val="24"/>
          <w:u w:val="single"/>
          <w:lang w:val="en-US" w:eastAsia="zh-CN"/>
        </w:rPr>
        <w:t>。</w:t>
      </w:r>
    </w:p>
    <w:p w14:paraId="444C61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cs="宋体"/>
          <w:b w:val="0"/>
          <w:bCs/>
          <w:color w:val="0000FF"/>
          <w:sz w:val="24"/>
          <w:szCs w:val="24"/>
          <w:u w:val="single"/>
          <w:lang w:val="en-US" w:eastAsia="zh-CN"/>
        </w:rPr>
      </w:pPr>
      <w:r>
        <w:rPr>
          <w:rFonts w:hint="eastAsia" w:ascii="宋体" w:hAnsi="宋体" w:cs="宋体"/>
          <w:b w:val="0"/>
          <w:bCs/>
          <w:color w:val="0000FF"/>
          <w:sz w:val="24"/>
          <w:szCs w:val="24"/>
          <w:highlight w:val="none"/>
          <w:u w:val="single"/>
          <w:lang w:val="en-US" w:eastAsia="zh-CN"/>
        </w:rPr>
        <w:t>②</w:t>
      </w:r>
      <w:r>
        <w:rPr>
          <w:rFonts w:hint="eastAsia" w:ascii="宋体" w:hAnsi="宋体" w:cs="宋体"/>
          <w:b w:val="0"/>
          <w:bCs/>
          <w:color w:val="0000FF"/>
          <w:sz w:val="24"/>
          <w:szCs w:val="24"/>
          <w:u w:val="single"/>
          <w:lang w:val="en-US" w:eastAsia="zh-CN"/>
        </w:rPr>
        <w:t>正式报审前的造价审核审减5%（（施工单位报审额-审后额）/施工单位报审额）以上按审减额的2%计取报酬，由施工方承担，此项内容不计入本次投标报价总额，其余服务费用均由招标人支付。</w:t>
      </w:r>
    </w:p>
    <w:p w14:paraId="78A3B461">
      <w:pPr>
        <w:keepNext w:val="0"/>
        <w:keepLines w:val="0"/>
        <w:pageBreakBefore w:val="0"/>
        <w:widowControl w:val="0"/>
        <w:kinsoku/>
        <w:wordWrap/>
        <w:overflowPunct/>
        <w:topLinePunct w:val="0"/>
        <w:autoSpaceDE/>
        <w:autoSpaceDN/>
        <w:bidi w:val="0"/>
        <w:adjustRightInd w:val="0"/>
        <w:snapToGrid w:val="0"/>
        <w:spacing w:line="360" w:lineRule="auto"/>
        <w:ind w:firstLine="570"/>
        <w:jc w:val="left"/>
        <w:textAlignment w:val="auto"/>
        <w:rPr>
          <w:rFonts w:hint="eastAsia" w:ascii="宋体" w:hAnsi="宋体" w:eastAsia="宋体" w:cs="宋体"/>
          <w:bCs/>
          <w:color w:val="000000" w:themeColor="text1"/>
          <w:sz w:val="24"/>
          <w:szCs w:val="24"/>
          <w:u w:val="none"/>
          <w:lang w:val="en-US" w:eastAsia="zh-CN"/>
          <w14:textFill>
            <w14:solidFill>
              <w14:schemeClr w14:val="tx1"/>
            </w14:solidFill>
          </w14:textFill>
        </w:rPr>
      </w:pPr>
      <w:r>
        <w:rPr>
          <w:rFonts w:hint="eastAsia" w:ascii="宋体" w:hAnsi="宋体" w:eastAsia="宋体" w:cs="宋体"/>
          <w:bCs/>
          <w:color w:val="000000" w:themeColor="text1"/>
          <w:sz w:val="24"/>
          <w:szCs w:val="24"/>
          <w:u w:val="none"/>
          <w:lang w:val="en-US" w:eastAsia="zh-CN"/>
          <w14:textFill>
            <w14:solidFill>
              <w14:schemeClr w14:val="tx1"/>
            </w14:solidFill>
          </w14:textFill>
        </w:rPr>
        <w:t>1.</w:t>
      </w:r>
      <w:r>
        <w:rPr>
          <w:rFonts w:hint="eastAsia" w:ascii="宋体" w:hAnsi="宋体" w:cs="宋体"/>
          <w:bCs/>
          <w:color w:val="000000" w:themeColor="text1"/>
          <w:sz w:val="24"/>
          <w:szCs w:val="24"/>
          <w:u w:val="none"/>
          <w:lang w:val="en-US" w:eastAsia="zh-CN"/>
          <w14:textFill>
            <w14:solidFill>
              <w14:schemeClr w14:val="tx1"/>
            </w14:solidFill>
          </w14:textFill>
        </w:rPr>
        <w:t>5</w:t>
      </w:r>
      <w:r>
        <w:rPr>
          <w:rFonts w:hint="eastAsia" w:ascii="宋体" w:hAnsi="宋体" w:eastAsia="宋体" w:cs="宋体"/>
          <w:bCs/>
          <w:color w:val="000000" w:themeColor="text1"/>
          <w:sz w:val="24"/>
          <w:szCs w:val="24"/>
          <w:u w:val="none"/>
          <w:lang w:val="en-US" w:eastAsia="zh-CN"/>
          <w14:textFill>
            <w14:solidFill>
              <w14:schemeClr w14:val="tx1"/>
            </w14:solidFill>
          </w14:textFill>
        </w:rPr>
        <w:t>服务期限：</w:t>
      </w:r>
      <w:r>
        <w:rPr>
          <w:rFonts w:hint="eastAsia" w:ascii="宋体" w:hAnsi="宋体" w:eastAsia="宋体" w:cs="宋体"/>
          <w:kern w:val="0"/>
          <w:sz w:val="24"/>
          <w:szCs w:val="24"/>
          <w:u w:val="single"/>
        </w:rPr>
        <w:t>自中标通知之日起至项目完成最终结算付款审核截止</w:t>
      </w:r>
      <w:r>
        <w:rPr>
          <w:rFonts w:hint="eastAsia" w:ascii="宋体" w:hAnsi="宋体" w:eastAsia="宋体" w:cs="宋体"/>
          <w:kern w:val="0"/>
          <w:sz w:val="24"/>
          <w:szCs w:val="24"/>
          <w:u w:val="none"/>
        </w:rPr>
        <w:t>。</w:t>
      </w:r>
    </w:p>
    <w:p w14:paraId="2682CB88">
      <w:pPr>
        <w:keepNext w:val="0"/>
        <w:keepLines w:val="0"/>
        <w:pageBreakBefore w:val="0"/>
        <w:widowControl w:val="0"/>
        <w:kinsoku/>
        <w:wordWrap/>
        <w:overflowPunct/>
        <w:topLinePunct w:val="0"/>
        <w:autoSpaceDE/>
        <w:autoSpaceDN/>
        <w:bidi w:val="0"/>
        <w:adjustRightInd w:val="0"/>
        <w:snapToGrid w:val="0"/>
        <w:spacing w:line="360" w:lineRule="auto"/>
        <w:ind w:firstLine="570"/>
        <w:jc w:val="left"/>
        <w:textAlignment w:val="auto"/>
        <w:rPr>
          <w:rFonts w:hint="eastAsia" w:ascii="宋体" w:hAnsi="宋体" w:eastAsia="宋体" w:cs="宋体"/>
          <w:bCs/>
          <w:color w:val="000000" w:themeColor="text1"/>
          <w:sz w:val="24"/>
          <w:szCs w:val="24"/>
          <w:u w:val="none"/>
          <w:lang w:val="en-US" w:eastAsia="zh-CN"/>
          <w14:textFill>
            <w14:solidFill>
              <w14:schemeClr w14:val="tx1"/>
            </w14:solidFill>
          </w14:textFill>
        </w:rPr>
      </w:pPr>
      <w:r>
        <w:rPr>
          <w:rFonts w:hint="eastAsia" w:ascii="宋体" w:hAnsi="宋体" w:eastAsia="宋体" w:cs="宋体"/>
          <w:bCs/>
          <w:color w:val="000000" w:themeColor="text1"/>
          <w:sz w:val="24"/>
          <w:szCs w:val="24"/>
          <w:u w:val="none"/>
          <w:lang w:val="en-US" w:eastAsia="zh-CN"/>
          <w14:textFill>
            <w14:solidFill>
              <w14:schemeClr w14:val="tx1"/>
            </w14:solidFill>
          </w14:textFill>
        </w:rPr>
        <w:t>1.</w:t>
      </w:r>
      <w:r>
        <w:rPr>
          <w:rFonts w:hint="eastAsia" w:ascii="宋体" w:hAnsi="宋体" w:cs="宋体"/>
          <w:bCs/>
          <w:color w:val="000000" w:themeColor="text1"/>
          <w:sz w:val="24"/>
          <w:szCs w:val="24"/>
          <w:u w:val="none"/>
          <w:lang w:val="en-US" w:eastAsia="zh-CN"/>
          <w14:textFill>
            <w14:solidFill>
              <w14:schemeClr w14:val="tx1"/>
            </w14:solidFill>
          </w14:textFill>
        </w:rPr>
        <w:t>6</w:t>
      </w:r>
      <w:r>
        <w:rPr>
          <w:rFonts w:hint="eastAsia" w:ascii="宋体" w:hAnsi="宋体" w:eastAsia="宋体" w:cs="宋体"/>
          <w:bCs/>
          <w:color w:val="000000" w:themeColor="text1"/>
          <w:sz w:val="24"/>
          <w:szCs w:val="24"/>
          <w:u w:val="none"/>
          <w:lang w:val="en-US" w:eastAsia="zh-CN"/>
          <w14:textFill>
            <w14:solidFill>
              <w14:schemeClr w14:val="tx1"/>
            </w14:solidFill>
          </w14:textFill>
        </w:rPr>
        <w:t>资金来源：</w:t>
      </w:r>
      <w:r>
        <w:rPr>
          <w:rFonts w:hint="eastAsia" w:ascii="宋体" w:hAnsi="宋体" w:eastAsia="宋体" w:cs="宋体"/>
          <w:bCs/>
          <w:color w:val="000000" w:themeColor="text1"/>
          <w:sz w:val="24"/>
          <w:szCs w:val="24"/>
          <w:u w:val="single"/>
          <w:lang w:val="en-US" w:eastAsia="zh-CN"/>
          <w14:textFill>
            <w14:solidFill>
              <w14:schemeClr w14:val="tx1"/>
            </w14:solidFill>
          </w14:textFill>
        </w:rPr>
        <w:t>企业自筹，已落实</w:t>
      </w:r>
      <w:r>
        <w:rPr>
          <w:rFonts w:hint="eastAsia" w:ascii="宋体" w:hAnsi="宋体" w:eastAsia="宋体" w:cs="宋体"/>
          <w:bCs/>
          <w:color w:val="000000" w:themeColor="text1"/>
          <w:sz w:val="24"/>
          <w:szCs w:val="24"/>
          <w:u w:val="none"/>
          <w:lang w:val="en-US" w:eastAsia="zh-CN"/>
          <w14:textFill>
            <w14:solidFill>
              <w14:schemeClr w14:val="tx1"/>
            </w14:solidFill>
          </w14:textFill>
        </w:rPr>
        <w:t>。</w:t>
      </w:r>
    </w:p>
    <w:p w14:paraId="5526E811">
      <w:pPr>
        <w:keepNext w:val="0"/>
        <w:keepLines w:val="0"/>
        <w:pageBreakBefore w:val="0"/>
        <w:widowControl w:val="0"/>
        <w:kinsoku/>
        <w:wordWrap/>
        <w:overflowPunct/>
        <w:topLinePunct w:val="0"/>
        <w:autoSpaceDE/>
        <w:autoSpaceDN/>
        <w:bidi w:val="0"/>
        <w:adjustRightInd w:val="0"/>
        <w:snapToGrid w:val="0"/>
        <w:spacing w:line="360" w:lineRule="auto"/>
        <w:ind w:firstLine="570"/>
        <w:jc w:val="left"/>
        <w:textAlignment w:val="auto"/>
        <w:rPr>
          <w:rFonts w:hint="default" w:ascii="宋体" w:hAnsi="宋体" w:eastAsia="宋体" w:cs="宋体"/>
          <w:color w:val="auto"/>
          <w:kern w:val="0"/>
          <w:sz w:val="24"/>
          <w:szCs w:val="24"/>
          <w:u w:val="single"/>
          <w:lang w:val="en-US" w:eastAsia="zh-CN" w:bidi="ar"/>
        </w:rPr>
      </w:pPr>
      <w:r>
        <w:rPr>
          <w:rFonts w:hint="eastAsia" w:ascii="宋体" w:hAnsi="宋体" w:eastAsia="宋体" w:cs="宋体"/>
          <w:bCs/>
          <w:color w:val="000000" w:themeColor="text1"/>
          <w:sz w:val="24"/>
          <w:szCs w:val="24"/>
          <w:u w:val="none"/>
          <w:lang w:val="en-US" w:eastAsia="zh-CN"/>
          <w14:textFill>
            <w14:solidFill>
              <w14:schemeClr w14:val="tx1"/>
            </w14:solidFill>
          </w14:textFill>
        </w:rPr>
        <w:t>1.7本工程共分：</w:t>
      </w:r>
      <w:r>
        <w:rPr>
          <w:rFonts w:hint="eastAsia" w:ascii="宋体" w:hAnsi="宋体" w:eastAsia="宋体" w:cs="宋体"/>
          <w:bCs/>
          <w:color w:val="000000" w:themeColor="text1"/>
          <w:sz w:val="24"/>
          <w:szCs w:val="24"/>
          <w:u w:val="single"/>
          <w:lang w:val="en-US" w:eastAsia="zh-CN"/>
          <w14:textFill>
            <w14:solidFill>
              <w14:schemeClr w14:val="tx1"/>
            </w14:solidFill>
          </w14:textFill>
        </w:rPr>
        <w:t>一个标段</w:t>
      </w:r>
      <w:r>
        <w:rPr>
          <w:rFonts w:hint="eastAsia" w:ascii="宋体" w:hAnsi="宋体" w:eastAsia="宋体" w:cs="宋体"/>
          <w:bCs/>
          <w:color w:val="000000" w:themeColor="text1"/>
          <w:sz w:val="24"/>
          <w:szCs w:val="24"/>
          <w:u w:val="none"/>
          <w:lang w:val="en-US" w:eastAsia="zh-CN"/>
          <w14:textFill>
            <w14:solidFill>
              <w14:schemeClr w14:val="tx1"/>
            </w14:solidFill>
          </w14:textFill>
        </w:rPr>
        <w:t>。</w:t>
      </w:r>
    </w:p>
    <w:p w14:paraId="7A1685D8">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 xml:space="preserve">出口KD智能制造中心技改项目(中国重汽智能制造中心基建项目）全过程工程造价咨询业务 </w:t>
      </w:r>
    </w:p>
    <w:p w14:paraId="3B4F423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直管单位非生产招标 / 工程建设 / 工程建设</w:t>
      </w:r>
    </w:p>
    <w:p w14:paraId="56C59FD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0F94CFE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043C3B8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(1)投标人需在中国境内注册、具有独立法人资格，且成立五年及以上（含五年，自注册日期开始计算，至开标之日不少于五年），具有有效的统一社会信用代码的营业执照合法证件；</w:t>
      </w:r>
    </w:p>
    <w:p w14:paraId="7CA4245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(2)投标人应实际开展相关造价咨询业务至少五年以上（含五年，自注册日期开始计算，至开标之日不少于五年）；</w:t>
      </w:r>
    </w:p>
    <w:p w14:paraId="4EBE092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(3)投标人注册资本应不少于500万元人民币，营业范围具有工程造价咨询业务，且在设备、人员和技术等方面具备相应的能力；</w:t>
      </w:r>
    </w:p>
    <w:p w14:paraId="6E6850B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(4)造价咨询业务投标项目负责人应具备一级注册造价工程师且十年以上造价业务工作经验；投标项目团队成员均应具备二级及以上注册造价工程师资质，五年以上相关工作经验。项目团队常驻济南办公，且从业人员无违法、违规、违纪、违约等不良行为；</w:t>
      </w:r>
    </w:p>
    <w:p w14:paraId="6E1867F8">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(5) 自2023年7月份至今，承揽过不少于1个建安投资额≥5亿元的工业项目全过程造价咨询相关业绩（时间以合同签订时间为准）；</w:t>
      </w:r>
    </w:p>
    <w:p w14:paraId="29BE583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(6)财务要求：近三年财务状况良好（近三年指2023、2024、2025年）要求包含企业最近半年完税证明、信用证明材料（中国人民银行征信报告）；年度纳税信用评价信息；企业对外担保说明；</w:t>
      </w:r>
    </w:p>
    <w:p w14:paraId="3D0C821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(7)公司信誉良好，无行政处罚及失信记录等信息，无与本项目有关的违法违规等不良行为，无招标违规、谎报年度报告信息、提供虚假资质资料等行为或其他行政处罚记录；</w:t>
      </w:r>
    </w:p>
    <w:p w14:paraId="5A759487">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(8)单位负责人为同一人或者存在控股、管理关系的不同投标人，不得同时报名参加本次招标活动。</w:t>
      </w:r>
    </w:p>
    <w:p w14:paraId="38B4F98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(9)投标人没有被我公司列入黑名单。</w:t>
      </w:r>
      <w:r>
        <w:rPr>
          <w:rFonts w:hint="eastAsia" w:asciiTheme="majorEastAsia" w:hAnsiTheme="majorEastAsia" w:eastAsiaTheme="majorEastAsia" w:cstheme="majorEastAsia"/>
          <w:b w:val="0"/>
          <w:bCs w:val="0"/>
          <w:sz w:val="24"/>
          <w:szCs w:val="24"/>
          <w:highlight w:val="none"/>
          <w:lang w:val="en-US" w:eastAsia="zh-CN"/>
        </w:rPr>
        <w:tab/>
      </w:r>
      <w:r>
        <w:rPr>
          <w:rFonts w:hint="eastAsia" w:asciiTheme="majorEastAsia" w:hAnsiTheme="majorEastAsia" w:eastAsiaTheme="majorEastAsia" w:cstheme="majorEastAsia"/>
          <w:b w:val="0"/>
          <w:bCs w:val="0"/>
          <w:sz w:val="24"/>
          <w:szCs w:val="24"/>
          <w:highlight w:val="none"/>
          <w:lang w:val="en-US" w:eastAsia="zh-CN"/>
        </w:rPr>
        <w:tab/>
      </w:r>
    </w:p>
    <w:p w14:paraId="63F321A3">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(10)投标人的直接或间接股东、法定代表人、董事、监事、高管非重汽员工及其亲属。</w:t>
      </w:r>
    </w:p>
    <w:p w14:paraId="29BE2405">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(11)法律法规对合格投标人的其他要求、规定。</w:t>
      </w:r>
    </w:p>
    <w:p w14:paraId="3661D78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heme="majorEastAsia" w:hAnsiTheme="majorEastAsia" w:eastAsiaTheme="majorEastAsia" w:cstheme="majorEastAsia"/>
          <w:b w:val="0"/>
          <w:bCs w:val="0"/>
          <w:sz w:val="24"/>
          <w:szCs w:val="24"/>
        </w:rPr>
      </w:pPr>
      <w:r>
        <w:rPr>
          <w:rFonts w:hint="eastAsia" w:ascii="宋体" w:hAnsi="宋体" w:cs="宋体"/>
          <w:bCs/>
          <w:color w:val="000000" w:themeColor="text1"/>
          <w:sz w:val="24"/>
          <w:szCs w:val="24"/>
          <w:lang w:val="en-US" w:eastAsia="zh-CN"/>
          <w14:textFill>
            <w14:solidFill>
              <w14:schemeClr w14:val="tx1"/>
            </w14:solidFill>
          </w14:textFill>
        </w:rPr>
        <w:t>投标</w:t>
      </w:r>
      <w:r>
        <w:rPr>
          <w:rFonts w:hint="eastAsia" w:ascii="宋体" w:hAnsi="宋体" w:eastAsia="宋体" w:cs="宋体"/>
          <w:bCs/>
          <w:color w:val="000000" w:themeColor="text1"/>
          <w:sz w:val="24"/>
          <w:szCs w:val="24"/>
          <w14:textFill>
            <w14:solidFill>
              <w14:schemeClr w14:val="tx1"/>
            </w14:solidFill>
          </w14:textFill>
        </w:rPr>
        <w:t>单位</w:t>
      </w:r>
      <w:r>
        <w:rPr>
          <w:rFonts w:hint="eastAsia" w:ascii="宋体" w:hAnsi="宋体" w:eastAsia="宋体" w:cs="宋体"/>
          <w:bCs/>
          <w:color w:val="000000" w:themeColor="text1"/>
          <w:sz w:val="24"/>
          <w:szCs w:val="24"/>
          <w:u w:val="single"/>
          <w14:textFill>
            <w14:solidFill>
              <w14:schemeClr w14:val="tx1"/>
            </w14:solidFill>
          </w14:textFill>
        </w:rPr>
        <w:t xml:space="preserve"> 不可以 </w:t>
      </w:r>
      <w:r>
        <w:rPr>
          <w:rFonts w:hint="eastAsia" w:ascii="宋体" w:hAnsi="宋体" w:eastAsia="宋体" w:cs="宋体"/>
          <w:bCs/>
          <w:color w:val="000000" w:themeColor="text1"/>
          <w:sz w:val="24"/>
          <w:szCs w:val="24"/>
          <w14:textFill>
            <w14:solidFill>
              <w14:schemeClr w14:val="tx1"/>
            </w14:solidFill>
          </w14:textFill>
        </w:rPr>
        <w:t>组成联合体投标</w:t>
      </w:r>
      <w:r>
        <w:rPr>
          <w:rFonts w:hint="eastAsia" w:ascii="宋体" w:hAnsi="宋体" w:cs="宋体"/>
          <w:bCs/>
          <w:color w:val="000000" w:themeColor="text1"/>
          <w:sz w:val="24"/>
          <w:szCs w:val="24"/>
          <w:lang w:val="en-US" w:eastAsia="zh-CN"/>
          <w14:textFill>
            <w14:solidFill>
              <w14:schemeClr w14:val="tx1"/>
            </w14:solidFill>
          </w14:textFill>
        </w:rPr>
        <w:t>且不允许代理商投标</w:t>
      </w:r>
      <w:r>
        <w:rPr>
          <w:rFonts w:hint="eastAsia" w:asciiTheme="majorEastAsia" w:hAnsiTheme="majorEastAsia" w:eastAsiaTheme="majorEastAsia" w:cstheme="majorEastAsia"/>
          <w:b w:val="0"/>
          <w:bCs w:val="0"/>
          <w:sz w:val="24"/>
          <w:szCs w:val="24"/>
          <w:highlight w:val="none"/>
          <w:lang w:val="en-US" w:eastAsia="zh-CN"/>
        </w:rPr>
        <w:t>。</w:t>
      </w:r>
      <w:r>
        <w:rPr>
          <w:rFonts w:hint="eastAsia" w:asciiTheme="majorEastAsia" w:hAnsiTheme="majorEastAsia" w:eastAsiaTheme="majorEastAsia" w:cstheme="majorEastAsia"/>
          <w:b w:val="0"/>
          <w:bCs w:val="0"/>
          <w:sz w:val="24"/>
          <w:szCs w:val="24"/>
        </w:rPr>
        <w:t xml:space="preserve"> </w:t>
      </w:r>
    </w:p>
    <w:p w14:paraId="7559FC11">
      <w:pPr>
        <w:widowControl/>
        <w:spacing w:line="360" w:lineRule="auto"/>
        <w:rPr>
          <w:rFonts w:hint="eastAsia" w:ascii="Times New Roman" w:hAnsi="Times New Roman" w:cs="Times New Roman" w:eastAsiaTheme="minorHAnsi"/>
          <w:b/>
          <w:bCs/>
          <w:color w:val="auto"/>
          <w:sz w:val="24"/>
          <w:szCs w:val="24"/>
          <w:highlight w:val="yellow"/>
          <w:lang w:val="en-US" w:eastAsia="zh-CN" w:bidi="ar"/>
        </w:rPr>
      </w:pPr>
    </w:p>
    <w:p w14:paraId="4AF20A0C">
      <w:pPr>
        <w:widowControl/>
        <w:spacing w:line="360" w:lineRule="auto"/>
        <w:rPr>
          <w:rFonts w:hint="default" w:ascii="Times New Roman" w:hAnsi="Times New Roman" w:cs="Times New Roman" w:eastAsiaTheme="minorHAnsi"/>
          <w:b/>
          <w:bCs/>
          <w:color w:val="auto"/>
          <w:sz w:val="24"/>
          <w:szCs w:val="24"/>
          <w:highlight w:val="yellow"/>
          <w:lang w:val="en-US" w:eastAsia="zh-CN" w:bidi="ar"/>
        </w:rPr>
      </w:pPr>
      <w:r>
        <w:rPr>
          <w:rFonts w:hint="eastAsia" w:ascii="Times New Roman" w:hAnsi="Times New Roman" w:cs="Times New Roman" w:eastAsiaTheme="minorHAnsi"/>
          <w:b/>
          <w:bCs/>
          <w:color w:val="auto"/>
          <w:sz w:val="24"/>
          <w:szCs w:val="24"/>
          <w:highlight w:val="yellow"/>
          <w:lang w:val="en-US" w:eastAsia="zh-CN" w:bidi="ar"/>
        </w:rPr>
        <w:t>应标时上传的供方资质</w:t>
      </w:r>
    </w:p>
    <w:p w14:paraId="788AD0EC">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kern w:val="0"/>
          <w:sz w:val="24"/>
          <w:szCs w:val="21"/>
          <w:lang w:bidi="en-US"/>
        </w:rPr>
      </w:pPr>
      <w:r>
        <w:rPr>
          <w:rFonts w:hint="eastAsia" w:ascii="宋体" w:cs="宋体"/>
          <w:sz w:val="24"/>
          <w:szCs w:val="24"/>
          <w:lang w:bidi="ar"/>
        </w:rPr>
        <w:t>XXX公司XXX项目投标信息明细表（详见本公告</w:t>
      </w:r>
      <w:r>
        <w:rPr>
          <w:rFonts w:hint="eastAsia" w:ascii="宋体" w:cs="宋体"/>
          <w:sz w:val="24"/>
          <w:szCs w:val="24"/>
          <w:highlight w:val="none"/>
          <w:lang w:bidi="ar"/>
        </w:rPr>
        <w:t>附件1，</w:t>
      </w:r>
      <w:r>
        <w:rPr>
          <w:rFonts w:hint="eastAsia" w:ascii="宋体" w:cs="宋体"/>
          <w:b/>
          <w:bCs/>
          <w:sz w:val="24"/>
          <w:szCs w:val="24"/>
          <w:lang w:bidi="ar"/>
        </w:rPr>
        <w:t>注意要求</w:t>
      </w:r>
      <w:r>
        <w:rPr>
          <w:rFonts w:hint="eastAsia" w:ascii="宋体" w:cs="宋体"/>
          <w:b/>
          <w:bCs/>
          <w:color w:val="auto"/>
          <w:sz w:val="24"/>
          <w:szCs w:val="24"/>
          <w:lang w:val="en-US" w:eastAsia="zh-CN" w:bidi="ar"/>
        </w:rPr>
        <w:t>附件1同时单独提供</w:t>
      </w:r>
      <w:r>
        <w:rPr>
          <w:rFonts w:hint="eastAsia" w:ascii="宋体" w:cs="宋体"/>
          <w:b/>
          <w:bCs/>
          <w:color w:val="auto"/>
          <w:sz w:val="24"/>
          <w:szCs w:val="24"/>
          <w:lang w:bidi="ar"/>
        </w:rPr>
        <w:t>EXCEL格式</w:t>
      </w:r>
      <w:r>
        <w:rPr>
          <w:rFonts w:hint="eastAsia" w:ascii="宋体" w:cs="宋体"/>
          <w:b/>
          <w:bCs/>
          <w:color w:val="auto"/>
          <w:sz w:val="24"/>
          <w:szCs w:val="24"/>
          <w:lang w:eastAsia="zh-CN" w:bidi="ar"/>
        </w:rPr>
        <w:t>，</w:t>
      </w:r>
      <w:r>
        <w:rPr>
          <w:rFonts w:hint="eastAsia" w:ascii="宋体" w:cs="宋体"/>
          <w:b/>
          <w:bCs/>
          <w:color w:val="auto"/>
          <w:sz w:val="24"/>
          <w:szCs w:val="24"/>
          <w:lang w:val="en-US" w:eastAsia="zh-CN" w:bidi="ar"/>
        </w:rPr>
        <w:t>与上述PDF扫描件同时发邮箱</w:t>
      </w:r>
      <w:r>
        <w:rPr>
          <w:rFonts w:hint="eastAsia" w:ascii="宋体" w:cs="宋体"/>
          <w:sz w:val="24"/>
          <w:szCs w:val="24"/>
          <w:lang w:bidi="ar"/>
        </w:rPr>
        <w:t>）</w:t>
      </w:r>
    </w:p>
    <w:p w14:paraId="71519FB6">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kern w:val="0"/>
          <w:sz w:val="24"/>
          <w:szCs w:val="21"/>
          <w:highlight w:val="none"/>
          <w:lang w:bidi="en-US"/>
        </w:rPr>
      </w:pPr>
      <w:r>
        <w:rPr>
          <w:rFonts w:hint="eastAsia"/>
          <w:kern w:val="0"/>
          <w:sz w:val="24"/>
          <w:szCs w:val="21"/>
          <w:highlight w:val="none"/>
          <w:lang w:bidi="en-US"/>
        </w:rPr>
        <w:t>营业执照；</w:t>
      </w:r>
    </w:p>
    <w:p w14:paraId="349FA8B2">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kern w:val="0"/>
          <w:sz w:val="24"/>
          <w:szCs w:val="21"/>
          <w:highlight w:val="none"/>
          <w:lang w:bidi="en-US"/>
        </w:rPr>
      </w:pPr>
      <w:r>
        <w:rPr>
          <w:rFonts w:hint="eastAsia"/>
          <w:kern w:val="0"/>
          <w:sz w:val="24"/>
          <w:szCs w:val="21"/>
          <w:highlight w:val="none"/>
          <w:lang w:val="en-US" w:eastAsia="zh-CN" w:bidi="en-US"/>
        </w:rPr>
        <w:t>相关</w:t>
      </w:r>
      <w:r>
        <w:rPr>
          <w:rFonts w:hint="eastAsia"/>
          <w:kern w:val="0"/>
          <w:sz w:val="24"/>
          <w:szCs w:val="21"/>
          <w:highlight w:val="none"/>
          <w:lang w:bidi="en-US"/>
        </w:rPr>
        <w:t>资质证书；</w:t>
      </w:r>
    </w:p>
    <w:p w14:paraId="046C2CA0">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kern w:val="0"/>
          <w:sz w:val="24"/>
          <w:szCs w:val="21"/>
          <w:lang w:bidi="en-US"/>
        </w:rPr>
      </w:pPr>
      <w:r>
        <w:rPr>
          <w:rFonts w:hint="eastAsia" w:ascii="宋体" w:cs="宋体"/>
          <w:sz w:val="24"/>
          <w:szCs w:val="24"/>
          <w:highlight w:val="none"/>
          <w:lang w:bidi="ar"/>
        </w:rPr>
        <w:t>信用中国截图；“中国执行信息公开网”截图</w:t>
      </w:r>
      <w:r>
        <w:rPr>
          <w:rFonts w:hint="eastAsia"/>
          <w:kern w:val="0"/>
          <w:sz w:val="24"/>
          <w:szCs w:val="21"/>
          <w:highlight w:val="none"/>
          <w:lang w:bidi="en-US"/>
        </w:rPr>
        <w:t>；</w:t>
      </w:r>
    </w:p>
    <w:p w14:paraId="069F2FE4">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kern w:val="0"/>
          <w:sz w:val="24"/>
          <w:szCs w:val="21"/>
          <w:lang w:bidi="en-US"/>
        </w:rPr>
      </w:pPr>
      <w:r>
        <w:rPr>
          <w:rFonts w:hint="eastAsia" w:ascii="宋体" w:cs="宋体"/>
          <w:sz w:val="24"/>
          <w:lang w:val="en-US" w:eastAsia="zh-CN" w:bidi="ar"/>
        </w:rPr>
        <w:t>财务部门要求的资料</w:t>
      </w:r>
    </w:p>
    <w:p w14:paraId="21A6E8A2">
      <w:pPr>
        <w:widowControl/>
        <w:numPr>
          <w:ilvl w:val="0"/>
          <w:numId w:val="3"/>
        </w:numPr>
        <w:spacing w:line="360" w:lineRule="auto"/>
        <w:ind w:left="1265" w:leftChars="0" w:hanging="425" w:firstLineChars="0"/>
        <w:jc w:val="left"/>
        <w:rPr>
          <w:rFonts w:hint="eastAsia" w:ascii="宋体" w:cs="宋体"/>
          <w:sz w:val="24"/>
          <w:lang w:bidi="ar"/>
        </w:rPr>
      </w:pPr>
      <w:r>
        <w:rPr>
          <w:rFonts w:hint="eastAsia" w:ascii="宋体" w:cs="宋体"/>
          <w:sz w:val="24"/>
          <w:lang w:bidi="ar"/>
        </w:rPr>
        <w:t>投标单位资产情况汇总表，</w:t>
      </w:r>
      <w:r>
        <w:rPr>
          <w:rFonts w:hint="eastAsia" w:ascii="宋体" w:cs="宋体"/>
          <w:sz w:val="24"/>
          <w:highlight w:val="none"/>
          <w:lang w:val="en-US" w:eastAsia="zh-CN" w:bidi="ar"/>
        </w:rPr>
        <w:t>填写附件2</w:t>
      </w:r>
      <w:r>
        <w:rPr>
          <w:rFonts w:hint="eastAsia" w:ascii="宋体" w:cs="宋体"/>
          <w:sz w:val="24"/>
          <w:highlight w:val="none"/>
          <w:lang w:bidi="ar"/>
        </w:rPr>
        <w:t>。</w:t>
      </w:r>
      <w:r>
        <w:rPr>
          <w:rFonts w:hint="eastAsia" w:ascii="宋体" w:cs="宋体"/>
          <w:sz w:val="24"/>
          <w:lang w:bidi="ar"/>
        </w:rPr>
        <w:t>填写的依据为经审计事务所审计并盖章的企业财务审计报告等相关资料，并将对应年度（202</w:t>
      </w:r>
      <w:r>
        <w:rPr>
          <w:rFonts w:hint="eastAsia" w:ascii="宋体" w:cs="宋体"/>
          <w:sz w:val="24"/>
          <w:lang w:val="en-US" w:eastAsia="zh-CN" w:bidi="ar"/>
        </w:rPr>
        <w:t>3</w:t>
      </w:r>
      <w:r>
        <w:rPr>
          <w:rFonts w:hint="eastAsia" w:ascii="宋体" w:cs="宋体"/>
          <w:sz w:val="24"/>
          <w:lang w:bidi="ar"/>
        </w:rPr>
        <w:t>-202</w:t>
      </w:r>
      <w:r>
        <w:rPr>
          <w:rFonts w:hint="eastAsia" w:ascii="宋体" w:cs="宋体"/>
          <w:sz w:val="24"/>
          <w:lang w:val="en-US" w:eastAsia="zh-CN" w:bidi="ar"/>
        </w:rPr>
        <w:t>5</w:t>
      </w:r>
      <w:r>
        <w:rPr>
          <w:rFonts w:hint="eastAsia" w:ascii="宋体" w:cs="宋体"/>
          <w:sz w:val="24"/>
          <w:lang w:bidi="ar"/>
        </w:rPr>
        <w:t>年，提供最近三年报告）企业财务审计报告扫描件附后</w:t>
      </w:r>
      <w:r>
        <w:rPr>
          <w:rFonts w:hint="eastAsia" w:ascii="宋体" w:cs="宋体"/>
          <w:sz w:val="24"/>
          <w:lang w:eastAsia="zh-CN" w:bidi="ar"/>
        </w:rPr>
        <w:t>，</w:t>
      </w:r>
      <w:r>
        <w:rPr>
          <w:rFonts w:hint="eastAsia" w:ascii="宋体" w:cs="宋体"/>
          <w:b/>
          <w:bCs/>
          <w:sz w:val="24"/>
          <w:lang w:bidi="ar"/>
        </w:rPr>
        <w:t>注意没有投标单位资产情况汇总表或扫描件不清晰无法辨认则会影响报名成功</w:t>
      </w:r>
      <w:r>
        <w:rPr>
          <w:rFonts w:hint="eastAsia"/>
          <w:kern w:val="0"/>
          <w:sz w:val="24"/>
          <w:lang w:bidi="en-US"/>
        </w:rPr>
        <w:t>；</w:t>
      </w:r>
    </w:p>
    <w:p w14:paraId="1E1297B2">
      <w:pPr>
        <w:widowControl/>
        <w:numPr>
          <w:ilvl w:val="0"/>
          <w:numId w:val="3"/>
        </w:numPr>
        <w:spacing w:line="360" w:lineRule="auto"/>
        <w:ind w:left="1265" w:leftChars="0" w:hanging="425" w:firstLineChars="0"/>
        <w:jc w:val="left"/>
        <w:rPr>
          <w:rFonts w:hint="eastAsia" w:ascii="宋体" w:hAnsi="宋体"/>
          <w:kern w:val="0"/>
          <w:sz w:val="24"/>
          <w:lang w:bidi="en-US"/>
        </w:rPr>
      </w:pPr>
      <w:r>
        <w:rPr>
          <w:rFonts w:hint="eastAsia" w:ascii="宋体" w:hAnsi="宋体"/>
          <w:kern w:val="0"/>
          <w:sz w:val="24"/>
          <w:lang w:bidi="en-US"/>
        </w:rPr>
        <w:t>企业最近半年完税证明</w:t>
      </w:r>
      <w:r>
        <w:rPr>
          <w:rFonts w:hint="eastAsia" w:ascii="宋体" w:hAnsi="宋体"/>
          <w:kern w:val="0"/>
          <w:sz w:val="24"/>
          <w:lang w:eastAsia="zh-CN" w:bidi="en-US"/>
        </w:rPr>
        <w:t>；</w:t>
      </w:r>
    </w:p>
    <w:p w14:paraId="22B27AFB">
      <w:pPr>
        <w:widowControl/>
        <w:numPr>
          <w:ilvl w:val="0"/>
          <w:numId w:val="3"/>
        </w:numPr>
        <w:spacing w:line="360" w:lineRule="auto"/>
        <w:ind w:left="1265" w:leftChars="0" w:hanging="425" w:firstLineChars="0"/>
        <w:jc w:val="left"/>
        <w:rPr>
          <w:rFonts w:hint="eastAsia" w:ascii="宋体" w:hAnsi="宋体"/>
          <w:color w:val="auto"/>
          <w:kern w:val="0"/>
          <w:sz w:val="24"/>
          <w:lang w:bidi="en-US"/>
        </w:rPr>
      </w:pPr>
      <w:r>
        <w:rPr>
          <w:rFonts w:hint="eastAsia" w:ascii="宋体" w:hAnsi="宋体"/>
          <w:kern w:val="0"/>
          <w:sz w:val="24"/>
          <w:lang w:val="en-US" w:eastAsia="zh-CN" w:bidi="en-US"/>
        </w:rPr>
        <w:t>企业</w:t>
      </w:r>
      <w:r>
        <w:rPr>
          <w:rFonts w:hint="eastAsia" w:ascii="宋体" w:hAnsi="宋体"/>
          <w:kern w:val="0"/>
          <w:sz w:val="24"/>
          <w:lang w:bidi="en-US"/>
        </w:rPr>
        <w:t>信用证明材料（</w:t>
      </w:r>
      <w:r>
        <w:rPr>
          <w:rFonts w:hint="eastAsia" w:ascii="宋体" w:hAnsi="宋体"/>
          <w:color w:val="auto"/>
          <w:kern w:val="0"/>
          <w:sz w:val="24"/>
          <w:lang w:bidi="en-US"/>
        </w:rPr>
        <w:t>中国人民银行征信报告）</w:t>
      </w:r>
      <w:r>
        <w:rPr>
          <w:rFonts w:hint="eastAsia" w:ascii="宋体" w:hAnsi="宋体"/>
          <w:color w:val="auto"/>
          <w:kern w:val="0"/>
          <w:sz w:val="24"/>
          <w:lang w:val="en-US" w:eastAsia="zh-CN" w:bidi="en-US"/>
        </w:rPr>
        <w:t>，</w:t>
      </w:r>
      <w:r>
        <w:rPr>
          <w:rFonts w:hint="eastAsia" w:ascii="宋体" w:hAnsi="宋体"/>
          <w:color w:val="auto"/>
          <w:kern w:val="0"/>
          <w:sz w:val="24"/>
          <w:lang w:bidi="en-US"/>
        </w:rPr>
        <w:t>征信报告查询网址</w:t>
      </w:r>
      <w:r>
        <w:rPr>
          <w:rFonts w:ascii="宋体" w:hAnsi="宋体" w:cs="宋体"/>
          <w:color w:val="auto"/>
          <w:sz w:val="24"/>
        </w:rPr>
        <w:t>http://www.pbccrc.org.cn/zxzx/qyzx/202201/2a31586ca7d240fb8b64cba4b608085e.shtml</w:t>
      </w:r>
      <w:r>
        <w:rPr>
          <w:rFonts w:hint="eastAsia" w:ascii="宋体" w:hAnsi="宋体" w:cs="宋体"/>
          <w:color w:val="auto"/>
          <w:sz w:val="24"/>
          <w:lang w:eastAsia="zh-CN"/>
        </w:rPr>
        <w:t>；</w:t>
      </w:r>
    </w:p>
    <w:p w14:paraId="2E5F2FCC">
      <w:pPr>
        <w:widowControl/>
        <w:numPr>
          <w:ilvl w:val="0"/>
          <w:numId w:val="3"/>
        </w:numPr>
        <w:spacing w:line="360" w:lineRule="auto"/>
        <w:ind w:left="1265" w:leftChars="0" w:hanging="425" w:firstLineChars="0"/>
        <w:jc w:val="left"/>
        <w:rPr>
          <w:rFonts w:hint="eastAsia" w:ascii="宋体" w:hAnsi="宋体"/>
          <w:kern w:val="0"/>
          <w:sz w:val="24"/>
          <w:lang w:bidi="en-US"/>
        </w:rPr>
      </w:pPr>
      <w:r>
        <w:rPr>
          <w:rFonts w:hint="eastAsia" w:ascii="宋体" w:hAnsi="宋体"/>
          <w:kern w:val="0"/>
          <w:sz w:val="24"/>
          <w:lang w:bidi="en-US"/>
        </w:rPr>
        <w:t>年度纳税信用评价信息</w:t>
      </w:r>
      <w:r>
        <w:rPr>
          <w:rFonts w:hint="eastAsia" w:ascii="宋体" w:hAnsi="宋体"/>
          <w:kern w:val="0"/>
          <w:sz w:val="24"/>
          <w:lang w:eastAsia="zh-CN" w:bidi="en-US"/>
        </w:rPr>
        <w:t>；</w:t>
      </w:r>
    </w:p>
    <w:p w14:paraId="55BCFFF0">
      <w:pPr>
        <w:widowControl/>
        <w:numPr>
          <w:ilvl w:val="0"/>
          <w:numId w:val="3"/>
        </w:numPr>
        <w:spacing w:line="360" w:lineRule="auto"/>
        <w:ind w:left="1265" w:leftChars="0" w:hanging="425" w:firstLineChars="0"/>
        <w:jc w:val="left"/>
        <w:rPr>
          <w:kern w:val="0"/>
          <w:sz w:val="24"/>
          <w:szCs w:val="21"/>
          <w:lang w:bidi="en-US"/>
        </w:rPr>
      </w:pPr>
      <w:r>
        <w:rPr>
          <w:rFonts w:hint="eastAsia" w:ascii="宋体" w:hAnsi="宋体"/>
          <w:kern w:val="0"/>
          <w:sz w:val="24"/>
          <w:lang w:bidi="en-US"/>
        </w:rPr>
        <w:t>企业对外担保说明</w:t>
      </w:r>
      <w:r>
        <w:rPr>
          <w:rFonts w:hint="eastAsia" w:ascii="宋体" w:hAnsi="宋体"/>
          <w:kern w:val="0"/>
          <w:sz w:val="24"/>
          <w:lang w:eastAsia="zh-CN" w:bidi="en-US"/>
        </w:rPr>
        <w:t>；</w:t>
      </w:r>
    </w:p>
    <w:p w14:paraId="3625BABC">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eastAsia" w:ascii="宋体" w:cs="宋体"/>
          <w:sz w:val="24"/>
          <w:lang w:val="en-US" w:eastAsia="zh-CN" w:bidi="ar"/>
        </w:rPr>
      </w:pPr>
      <w:r>
        <w:rPr>
          <w:rFonts w:hint="eastAsia" w:ascii="宋体" w:cs="宋体"/>
          <w:sz w:val="24"/>
          <w:lang w:val="en-US" w:eastAsia="zh-CN" w:bidi="ar"/>
        </w:rPr>
        <w:t>公司信誉良好，无行政处罚及失信记录等信息，无与本项目有关的违法违规等不良行为，无招标违规、谎报年度报告信息、提供虚假资质资料等行为或其他行政处罚记录的承诺文件；</w:t>
      </w:r>
    </w:p>
    <w:p w14:paraId="03A4D2DC">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ascii="宋体"/>
          <w:kern w:val="0"/>
          <w:sz w:val="24"/>
          <w:szCs w:val="21"/>
          <w:highlight w:val="none"/>
          <w:lang w:bidi="en-US"/>
        </w:rPr>
      </w:pPr>
      <w:r>
        <w:rPr>
          <w:rFonts w:hint="eastAsia" w:ascii="宋体" w:hAnsi="宋体" w:cs="宋体"/>
          <w:kern w:val="0"/>
          <w:sz w:val="24"/>
          <w:lang w:eastAsia="zh-CN"/>
        </w:rPr>
        <w:t>投标项目负责人的资格证书、</w:t>
      </w:r>
      <w:r>
        <w:rPr>
          <w:rFonts w:hint="eastAsia" w:ascii="宋体"/>
          <w:kern w:val="0"/>
          <w:sz w:val="24"/>
          <w:szCs w:val="21"/>
          <w:highlight w:val="none"/>
          <w:lang w:bidi="en-US"/>
        </w:rPr>
        <w:t>履历简介、从业业绩。</w:t>
      </w:r>
    </w:p>
    <w:p w14:paraId="23A81254">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bidi="en-US"/>
        </w:rPr>
      </w:pPr>
      <w:r>
        <w:rPr>
          <w:rFonts w:hint="eastAsia" w:ascii="宋体" w:hAnsi="宋体" w:eastAsia="宋体" w:cs="宋体"/>
          <w:kern w:val="0"/>
          <w:sz w:val="24"/>
          <w:szCs w:val="24"/>
          <w:lang w:bidi="en-US"/>
        </w:rPr>
        <w:t>唯一的法人授权委托书</w:t>
      </w:r>
      <w:r>
        <w:rPr>
          <w:rFonts w:hint="eastAsia" w:ascii="宋体" w:hAnsi="宋体" w:eastAsia="宋体" w:cs="宋体"/>
          <w:kern w:val="0"/>
          <w:sz w:val="24"/>
          <w:szCs w:val="24"/>
          <w:lang w:eastAsia="zh-CN" w:bidi="en-US"/>
        </w:rPr>
        <w:t>、</w:t>
      </w:r>
      <w:r>
        <w:rPr>
          <w:rFonts w:hint="eastAsia" w:ascii="宋体" w:hAnsi="宋体" w:eastAsia="宋体" w:cs="宋体"/>
          <w:kern w:val="0"/>
          <w:sz w:val="24"/>
          <w:szCs w:val="24"/>
          <w:lang w:val="en-US" w:eastAsia="zh-CN" w:bidi="en-US"/>
        </w:rPr>
        <w:t>授权人和</w:t>
      </w:r>
      <w:r>
        <w:rPr>
          <w:rFonts w:hint="eastAsia" w:ascii="宋体" w:hAnsi="宋体" w:eastAsia="宋体" w:cs="宋体"/>
          <w:kern w:val="0"/>
          <w:sz w:val="24"/>
          <w:szCs w:val="24"/>
          <w:lang w:bidi="en-US"/>
        </w:rPr>
        <w:t>被授权人身份证、近12个月社保缴纳证明；</w:t>
      </w:r>
    </w:p>
    <w:p w14:paraId="2DE22BC4">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bidi="en-US"/>
        </w:rPr>
      </w:pPr>
      <w:r>
        <w:rPr>
          <w:rFonts w:hint="eastAsia" w:ascii="宋体" w:hAnsi="宋体" w:eastAsia="宋体" w:cs="宋体"/>
          <w:kern w:val="0"/>
          <w:sz w:val="24"/>
          <w:szCs w:val="24"/>
          <w:lang w:bidi="en-US"/>
        </w:rPr>
        <w:t>联系人、联系方式、电子邮箱。</w:t>
      </w:r>
    </w:p>
    <w:p w14:paraId="5853DF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jc w:val="left"/>
        <w:textAlignment w:val="auto"/>
        <w:rPr>
          <w:rFonts w:hint="default" w:ascii="宋体" w:hAnsi="宋体" w:eastAsia="宋体" w:cs="宋体"/>
          <w:color w:val="0000FF"/>
          <w:kern w:val="0"/>
          <w:sz w:val="24"/>
          <w:szCs w:val="24"/>
          <w:lang w:val="en-US" w:eastAsia="zh-CN" w:bidi="en-US"/>
        </w:rPr>
      </w:pPr>
      <w:r>
        <w:rPr>
          <w:rFonts w:hint="eastAsia" w:ascii="宋体" w:hAnsi="宋体" w:cs="宋体"/>
          <w:color w:val="0000FF"/>
          <w:kern w:val="0"/>
          <w:sz w:val="24"/>
          <w:szCs w:val="24"/>
          <w:lang w:val="en-US" w:eastAsia="zh-CN" w:bidi="en-US"/>
        </w:rPr>
        <w:t>说明：除项目业绩及企业简介之外的资质文件全部上传到供方资质处，以上未尽之处可自行添加。</w:t>
      </w:r>
    </w:p>
    <w:p w14:paraId="396F361E">
      <w:pPr>
        <w:widowControl/>
        <w:spacing w:line="360" w:lineRule="auto"/>
        <w:rPr>
          <w:rFonts w:hint="eastAsia" w:ascii="宋体" w:hAnsi="宋体" w:eastAsia="宋体" w:cs="宋体"/>
          <w:kern w:val="0"/>
          <w:sz w:val="24"/>
          <w:szCs w:val="24"/>
          <w:lang w:bidi="en-US"/>
        </w:rPr>
      </w:pPr>
      <w:r>
        <w:rPr>
          <w:rFonts w:hint="eastAsia" w:ascii="Times New Roman" w:hAnsi="Times New Roman" w:cs="Times New Roman" w:eastAsiaTheme="minorHAnsi"/>
          <w:b/>
          <w:bCs/>
          <w:color w:val="auto"/>
          <w:sz w:val="24"/>
          <w:szCs w:val="24"/>
          <w:highlight w:val="yellow"/>
          <w:lang w:val="en-US" w:eastAsia="zh-CN" w:bidi="ar"/>
        </w:rPr>
        <w:t>应标时上传的项目业绩</w:t>
      </w:r>
    </w:p>
    <w:p w14:paraId="0CCDC0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jc w:val="left"/>
        <w:textAlignment w:val="auto"/>
        <w:rPr>
          <w:rFonts w:hint="eastAsia" w:ascii="宋体" w:hAnsi="宋体" w:eastAsia="宋体" w:cs="宋体"/>
          <w:kern w:val="0"/>
          <w:sz w:val="24"/>
          <w:szCs w:val="24"/>
          <w:lang w:bidi="en-US"/>
        </w:rPr>
      </w:pPr>
      <w:r>
        <w:rPr>
          <w:rFonts w:hint="eastAsia"/>
          <w:kern w:val="0"/>
          <w:sz w:val="24"/>
          <w:szCs w:val="21"/>
          <w:lang w:bidi="en-US"/>
        </w:rPr>
        <w:t>类似项目业绩</w:t>
      </w:r>
      <w:r>
        <w:rPr>
          <w:rFonts w:hint="eastAsia"/>
          <w:kern w:val="0"/>
          <w:sz w:val="24"/>
          <w:szCs w:val="21"/>
          <w:lang w:eastAsia="zh-CN" w:bidi="en-US"/>
        </w:rPr>
        <w:t>：</w:t>
      </w:r>
      <w:r>
        <w:rPr>
          <w:rFonts w:hint="eastAsia"/>
          <w:kern w:val="0"/>
          <w:sz w:val="24"/>
          <w:szCs w:val="21"/>
          <w:lang w:bidi="en-US"/>
        </w:rPr>
        <w:t>要求提供合同扫描件</w:t>
      </w:r>
      <w:r>
        <w:rPr>
          <w:rFonts w:hint="eastAsia"/>
          <w:kern w:val="0"/>
          <w:sz w:val="24"/>
          <w:szCs w:val="21"/>
          <w:lang w:eastAsia="zh-CN" w:bidi="en-US"/>
        </w:rPr>
        <w:t>等相关证明材料</w:t>
      </w:r>
      <w:r>
        <w:rPr>
          <w:rFonts w:hint="eastAsia" w:ascii="宋体" w:hAnsi="宋体" w:eastAsia="宋体" w:cs="宋体"/>
          <w:kern w:val="0"/>
          <w:sz w:val="24"/>
          <w:szCs w:val="24"/>
          <w:lang w:bidi="en-US"/>
        </w:rPr>
        <w:t>，数量不限，能报尽报</w:t>
      </w:r>
      <w:r>
        <w:rPr>
          <w:rFonts w:hint="eastAsia" w:ascii="宋体" w:hAnsi="宋体" w:eastAsia="宋体" w:cs="宋体"/>
          <w:kern w:val="0"/>
          <w:sz w:val="24"/>
          <w:szCs w:val="24"/>
          <w:highlight w:val="none"/>
          <w:lang w:bidi="en-US"/>
        </w:rPr>
        <w:t>，</w:t>
      </w:r>
      <w:r>
        <w:rPr>
          <w:rFonts w:hint="eastAsia" w:ascii="宋体" w:hAnsi="宋体" w:eastAsia="宋体" w:cs="宋体"/>
          <w:kern w:val="0"/>
          <w:sz w:val="24"/>
          <w:szCs w:val="24"/>
          <w:highlight w:val="none"/>
          <w:lang w:val="en-US" w:eastAsia="zh-CN" w:bidi="en-US"/>
        </w:rPr>
        <w:t>详见附件格式</w:t>
      </w:r>
      <w:r>
        <w:rPr>
          <w:rFonts w:hint="eastAsia" w:ascii="宋体" w:hAnsi="宋体" w:eastAsia="宋体" w:cs="宋体"/>
          <w:kern w:val="0"/>
          <w:sz w:val="24"/>
          <w:szCs w:val="24"/>
          <w:lang w:bidi="en-US"/>
        </w:rPr>
        <w:t>；</w:t>
      </w:r>
    </w:p>
    <w:p w14:paraId="598FBCAD">
      <w:pPr>
        <w:widowControl/>
        <w:spacing w:line="360" w:lineRule="auto"/>
        <w:rPr>
          <w:rFonts w:hint="default" w:ascii="宋体" w:hAnsi="宋体" w:eastAsia="宋体" w:cs="宋体"/>
          <w:kern w:val="0"/>
          <w:sz w:val="24"/>
          <w:szCs w:val="24"/>
          <w:lang w:val="en-US" w:bidi="en-US"/>
        </w:rPr>
      </w:pPr>
      <w:r>
        <w:rPr>
          <w:rFonts w:hint="eastAsia" w:ascii="Times New Roman" w:hAnsi="Times New Roman" w:cs="Times New Roman" w:eastAsiaTheme="minorHAnsi"/>
          <w:b/>
          <w:bCs/>
          <w:color w:val="auto"/>
          <w:sz w:val="24"/>
          <w:szCs w:val="24"/>
          <w:highlight w:val="yellow"/>
          <w:lang w:val="en-US" w:eastAsia="zh-CN" w:bidi="ar"/>
        </w:rPr>
        <w:t>应标时上传的企业简介</w:t>
      </w:r>
    </w:p>
    <w:p w14:paraId="6C8B2C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jc w:val="left"/>
        <w:textAlignment w:val="auto"/>
        <w:rPr>
          <w:rFonts w:ascii="宋体"/>
          <w:kern w:val="0"/>
          <w:sz w:val="24"/>
          <w:szCs w:val="21"/>
          <w:lang w:bidi="en-US"/>
        </w:rPr>
      </w:pPr>
      <w:r>
        <w:rPr>
          <w:rFonts w:hint="eastAsia"/>
          <w:kern w:val="0"/>
          <w:sz w:val="24"/>
          <w:szCs w:val="21"/>
          <w:lang w:bidi="en-US"/>
        </w:rPr>
        <w:t>公司简介，包括但不限于公司发展史、企业文化、企业性质、规模和实力、营业水平、技术人员情况、</w:t>
      </w:r>
      <w:r>
        <w:rPr>
          <w:rFonts w:hint="eastAsia"/>
          <w:kern w:val="0"/>
          <w:sz w:val="24"/>
          <w:szCs w:val="21"/>
          <w:lang w:val="en-US" w:eastAsia="zh-CN" w:bidi="en-US"/>
        </w:rPr>
        <w:t>承接</w:t>
      </w:r>
      <w:r>
        <w:rPr>
          <w:rFonts w:hint="eastAsia"/>
          <w:kern w:val="0"/>
          <w:sz w:val="24"/>
          <w:szCs w:val="21"/>
          <w:lang w:bidi="en-US"/>
        </w:rPr>
        <w:t>项目情况、企业荣誉及认证、企业优势等。</w:t>
      </w:r>
    </w:p>
    <w:p w14:paraId="22B206D4">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bidi="en-US"/>
        </w:rPr>
      </w:pPr>
    </w:p>
    <w:p w14:paraId="1CBDB373">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sz w:val="24"/>
          <w:szCs w:val="24"/>
          <w:u w:val="single"/>
          <w:shd w:val="solid" w:color="D8D8D8" w:fill="FFFFFF"/>
          <w:lang w:eastAsia="zh-CN" w:bidi="ar"/>
        </w:rPr>
      </w:pPr>
      <w:r>
        <w:rPr>
          <w:rFonts w:hint="eastAsia" w:ascii="宋体" w:hAnsi="宋体" w:eastAsia="宋体" w:cs="宋体"/>
          <w:b/>
          <w:bCs/>
          <w:color w:val="000000"/>
          <w:sz w:val="24"/>
          <w:szCs w:val="24"/>
          <w:u w:val="single"/>
          <w:shd w:val="solid" w:color="D8D8D8" w:fill="FFFFFF"/>
          <w:lang w:bidi="ar"/>
        </w:rPr>
        <w:t>以上报名资料均要加盖公章</w:t>
      </w:r>
      <w:r>
        <w:rPr>
          <w:rFonts w:hint="eastAsia" w:ascii="宋体" w:hAnsi="宋体" w:cs="宋体"/>
          <w:b/>
          <w:bCs/>
          <w:color w:val="000000"/>
          <w:sz w:val="24"/>
          <w:szCs w:val="24"/>
          <w:u w:val="single"/>
          <w:shd w:val="solid" w:color="D8D8D8" w:fill="FFFFFF"/>
          <w:lang w:eastAsia="zh-CN" w:bidi="ar"/>
        </w:rPr>
        <w:t>。</w:t>
      </w:r>
    </w:p>
    <w:p w14:paraId="16324F01">
      <w:pPr>
        <w:ind w:firstLine="481"/>
        <w:rPr>
          <w:rFonts w:hint="eastAsia" w:asciiTheme="majorEastAsia" w:hAnsiTheme="majorEastAsia" w:eastAsiaTheme="majorEastAsia" w:cstheme="majorEastAsia"/>
          <w:b/>
          <w:bCs/>
          <w:sz w:val="24"/>
          <w:szCs w:val="24"/>
          <w:highlight w:val="none"/>
          <w:lang w:val="en-US" w:eastAsia="zh-CN"/>
        </w:rPr>
      </w:pPr>
      <w:r>
        <w:rPr>
          <w:rFonts w:hint="eastAsia" w:ascii="宋体" w:hAnsi="宋体" w:eastAsia="宋体" w:cs="宋体"/>
          <w:b/>
          <w:bCs/>
          <w:color w:val="C00000"/>
          <w:sz w:val="24"/>
          <w:szCs w:val="24"/>
          <w:lang w:val="en-US" w:eastAsia="zh-CN" w:bidi="ar"/>
        </w:rPr>
        <w:t>供应商需同时在阳光采购平台进行注册，并在本公告要求的截止时间前搜索本项目报名</w:t>
      </w:r>
      <w:r>
        <w:rPr>
          <w:rFonts w:hint="eastAsia" w:ascii="宋体" w:hAnsi="宋体" w:cs="宋体"/>
          <w:b/>
          <w:bCs/>
          <w:color w:val="C00000"/>
          <w:sz w:val="24"/>
          <w:szCs w:val="24"/>
          <w:lang w:val="en-US" w:eastAsia="zh-CN" w:bidi="ar"/>
        </w:rPr>
        <w:t>，</w:t>
      </w:r>
      <w:r>
        <w:rPr>
          <w:rFonts w:hint="eastAsia" w:ascii="宋体" w:hAnsi="宋体" w:eastAsia="宋体" w:cs="宋体"/>
          <w:b/>
          <w:bCs/>
          <w:color w:val="C00000"/>
          <w:sz w:val="24"/>
          <w:szCs w:val="24"/>
          <w:lang w:val="en-US" w:eastAsia="zh-CN" w:bidi="ar"/>
        </w:rPr>
        <w:t>阳光采购平台报名成功的为线下报名成功。</w:t>
      </w:r>
    </w:p>
    <w:p w14:paraId="57974D75">
      <w:pPr>
        <w:ind w:firstLine="481"/>
        <w:rPr>
          <w:rFonts w:hint="eastAsia" w:asciiTheme="majorEastAsia" w:hAnsiTheme="majorEastAsia" w:eastAsiaTheme="majorEastAsia" w:cstheme="majorEastAsia"/>
          <w:b/>
          <w:bCs/>
          <w:sz w:val="24"/>
          <w:szCs w:val="24"/>
          <w:highlight w:val="yellow"/>
          <w:lang w:val="en-US" w:eastAsia="zh-CN"/>
        </w:rPr>
      </w:pPr>
      <w:r>
        <w:rPr>
          <w:rFonts w:hint="eastAsia" w:asciiTheme="majorEastAsia" w:hAnsiTheme="majorEastAsia" w:eastAsiaTheme="majorEastAsia" w:cstheme="majorEastAsia"/>
          <w:b/>
          <w:bCs/>
          <w:sz w:val="24"/>
          <w:szCs w:val="24"/>
          <w:highlight w:val="yellow"/>
          <w:lang w:val="en-US" w:eastAsia="zh-CN"/>
        </w:rPr>
        <w:t>应标截止时间：2026年7月15日16时00分00秒</w:t>
      </w:r>
    </w:p>
    <w:p w14:paraId="6F3588E4">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注：请务必在应标截止时间前完成注册及应标操作，注册审核需2-4日，财务数据变更审核需1-2日，应标截止时间精确到秒，逾期将无法应标。请自行掌握时间，避免无法应标。</w:t>
      </w:r>
    </w:p>
    <w:p w14:paraId="416269C8">
      <w:pPr>
        <w:ind w:firstLine="481"/>
        <w:rPr>
          <w:rFonts w:hint="eastAsia" w:asciiTheme="majorEastAsia" w:hAnsiTheme="majorEastAsia" w:eastAsiaTheme="majorEastAsia" w:cstheme="majorEastAsia"/>
          <w:b/>
          <w:bCs/>
          <w:sz w:val="24"/>
          <w:szCs w:val="24"/>
          <w:highlight w:val="none"/>
          <w:lang w:val="en-US" w:eastAsia="zh-CN"/>
        </w:rPr>
      </w:pPr>
    </w:p>
    <w:p w14:paraId="029B8E10">
      <w:pPr>
        <w:pStyle w:val="26"/>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供应商注册</w:t>
      </w:r>
    </w:p>
    <w:p w14:paraId="7D8DF6F7">
      <w:pPr>
        <w:pStyle w:val="26"/>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jc w:val="both"/>
        <w:textAlignment w:val="auto"/>
        <w:rPr>
          <w:rFonts w:ascii="宋体" w:hAnsi="宋体" w:eastAsia="宋体" w:cs="宋体"/>
          <w:sz w:val="24"/>
          <w:szCs w:val="24"/>
        </w:rPr>
      </w:pPr>
      <w:r>
        <w:rPr>
          <w:rFonts w:ascii="宋体" w:hAnsi="宋体" w:eastAsia="宋体" w:cs="宋体"/>
          <w:b/>
          <w:bCs/>
          <w:sz w:val="24"/>
          <w:szCs w:val="24"/>
        </w:rPr>
        <w:t>首次注册供应商</w:t>
      </w:r>
      <w:r>
        <w:rPr>
          <w:rFonts w:ascii="宋体" w:hAnsi="宋体" w:eastAsia="宋体" w:cs="宋体"/>
          <w:sz w:val="24"/>
          <w:szCs w:val="24"/>
        </w:rPr>
        <w:t>：请根据《SRM非生产供应商注册手册》完成平台账号注册。</w:t>
      </w:r>
    </w:p>
    <w:p w14:paraId="03A733F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请按照本公告附件《非生产供应商注册操作手册》及e采通首页《供应商用户手册》提示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完成</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平台注册（网址：https://ecaitong.sinotruk.com:8012/#/login）</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，注册时，供应商属性选择【非生产】、</w:t>
      </w:r>
      <w:r>
        <w:rPr>
          <w:rStyle w:val="21"/>
          <w:rFonts w:hint="eastAsia" w:ascii="宋体" w:hAnsi="宋体" w:eastAsia="宋体" w:cs="宋体"/>
          <w:color w:val="auto"/>
          <w:sz w:val="24"/>
          <w:szCs w:val="24"/>
          <w:highlight w:val="none"/>
          <w:u w:val="none"/>
        </w:rPr>
        <w:t>业务主管部门选择</w:t>
      </w:r>
      <w:r>
        <w:rPr>
          <w:rStyle w:val="21"/>
          <w:rFonts w:hint="eastAsia" w:ascii="宋体" w:hAnsi="宋体" w:eastAsia="宋体" w:cs="宋体"/>
          <w:color w:val="auto"/>
          <w:sz w:val="24"/>
          <w:szCs w:val="24"/>
          <w:highlight w:val="none"/>
          <w:u w:val="none"/>
          <w:lang w:eastAsia="zh-CN"/>
        </w:rPr>
        <w:t>【</w:t>
      </w:r>
      <w:r>
        <w:rPr>
          <w:rStyle w:val="21"/>
          <w:rFonts w:hint="eastAsia" w:ascii="宋体" w:hAnsi="宋体" w:eastAsia="宋体" w:cs="宋体"/>
          <w:color w:val="auto"/>
          <w:sz w:val="24"/>
          <w:szCs w:val="24"/>
          <w:highlight w:val="none"/>
          <w:u w:val="none"/>
        </w:rPr>
        <w:t>技术改造部</w:t>
      </w:r>
      <w:r>
        <w:rPr>
          <w:rStyle w:val="21"/>
          <w:rFonts w:hint="eastAsia" w:ascii="宋体" w:hAnsi="宋体" w:eastAsia="宋体" w:cs="宋体"/>
          <w:color w:val="auto"/>
          <w:sz w:val="24"/>
          <w:szCs w:val="24"/>
          <w:highlight w:val="none"/>
          <w:u w:val="none"/>
          <w:lang w:eastAsia="zh-CN"/>
        </w:rPr>
        <w:t>】、</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管理单位</w:t>
      </w:r>
      <w:r>
        <w:rPr>
          <w:rFonts w:hint="eastAsia" w:ascii="宋体" w:hAnsi="宋体" w:eastAsia="宋体" w:cs="宋体"/>
          <w:bCs/>
          <w:color w:val="000000" w:themeColor="text1"/>
          <w:sz w:val="24"/>
          <w:szCs w:val="24"/>
          <w:lang w:val="en-US" w:eastAsia="zh-CN"/>
          <w14:textFill>
            <w14:solidFill>
              <w14:schemeClr w14:val="tx1"/>
            </w14:solidFill>
          </w14:textFill>
        </w:rPr>
        <w:t>选择【直管单位】、意向配套单位选择【直管单位】；采购形式编号见项目编号；经营概况“是否提供”原则上选择【能提供】，近三年财务数据为必填项，要求如实填写；配套能力的供货类别选择【工程建设-建设工程】；财务状况为必填项，账号信息不允许有任何空格且必须填写对公账号（不按要求填写的将影响投标保证金退还）。</w:t>
      </w:r>
    </w:p>
    <w:p w14:paraId="74FC8861">
      <w:pPr>
        <w:pStyle w:val="26"/>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rPr>
          <w:rFonts w:hint="eastAsia" w:hAnsi="宋体" w:cs="宋体"/>
          <w:sz w:val="24"/>
          <w:szCs w:val="24"/>
          <w:lang w:eastAsia="zh-CN"/>
        </w:rPr>
      </w:pPr>
      <w:r>
        <w:rPr>
          <w:rFonts w:ascii="宋体" w:hAnsi="宋体" w:eastAsia="宋体" w:cs="宋体"/>
          <w:b/>
          <w:bCs/>
          <w:sz w:val="24"/>
          <w:szCs w:val="24"/>
        </w:rPr>
        <w:t>已注册供应商</w:t>
      </w:r>
      <w:r>
        <w:rPr>
          <w:rFonts w:ascii="宋体" w:hAnsi="宋体" w:eastAsia="宋体" w:cs="宋体"/>
          <w:sz w:val="24"/>
          <w:szCs w:val="24"/>
        </w:rPr>
        <w:t>：请登录系统核对系统中</w:t>
      </w:r>
      <w:r>
        <w:rPr>
          <w:rFonts w:ascii="宋体" w:hAnsi="宋体" w:eastAsia="宋体" w:cs="宋体"/>
          <w:sz w:val="24"/>
          <w:szCs w:val="24"/>
          <w:highlight w:val="none"/>
        </w:rPr>
        <w:t>202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ascii="宋体" w:hAnsi="宋体" w:eastAsia="宋体" w:cs="宋体"/>
          <w:sz w:val="24"/>
          <w:szCs w:val="24"/>
          <w:highlight w:val="none"/>
        </w:rPr>
        <w:t>年度财务数据</w:t>
      </w:r>
      <w:r>
        <w:rPr>
          <w:rFonts w:ascii="宋体" w:hAnsi="宋体" w:eastAsia="宋体" w:cs="宋体"/>
          <w:sz w:val="24"/>
          <w:szCs w:val="24"/>
        </w:rPr>
        <w:t>。如尚未填写或信息不全，请参照《SRM非生产供应商注册手册》及时进行补充与更新，确保信息真实、完整。因供应商信息不全或错误导致的报名不成功，由投标人自行承担</w:t>
      </w:r>
      <w:r>
        <w:rPr>
          <w:rFonts w:hint="eastAsia" w:hAnsi="宋体" w:cs="宋体"/>
          <w:sz w:val="24"/>
          <w:szCs w:val="24"/>
          <w:lang w:eastAsia="zh-CN"/>
        </w:rPr>
        <w:t>。</w:t>
      </w:r>
    </w:p>
    <w:p w14:paraId="683AF53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cs="宋体"/>
          <w:b/>
          <w:bCs/>
          <w:sz w:val="24"/>
          <w:lang w:bidi="ar"/>
        </w:rPr>
      </w:pPr>
      <w:r>
        <w:rPr>
          <w:rFonts w:hint="eastAsia" w:ascii="宋体" w:cs="宋体"/>
          <w:b/>
          <w:bCs/>
          <w:sz w:val="24"/>
          <w:lang w:bidi="ar"/>
        </w:rPr>
        <w:t>注意：</w:t>
      </w:r>
      <w:r>
        <w:rPr>
          <w:rFonts w:hint="eastAsia" w:ascii="宋体" w:cs="宋体"/>
          <w:b/>
          <w:bCs/>
          <w:color w:val="auto"/>
          <w:sz w:val="24"/>
          <w:lang w:bidi="ar"/>
        </w:rPr>
        <w:t>数据依据为报名单位提供的</w:t>
      </w:r>
      <w:r>
        <w:rPr>
          <w:rFonts w:hint="eastAsia" w:ascii="宋体" w:cs="宋体"/>
          <w:b/>
          <w:bCs/>
          <w:color w:val="auto"/>
          <w:sz w:val="24"/>
          <w:highlight w:val="yellow"/>
          <w:em w:val="dot"/>
          <w:lang w:bidi="ar"/>
        </w:rPr>
        <w:t>近三年</w:t>
      </w:r>
      <w:r>
        <w:rPr>
          <w:rFonts w:hint="eastAsia" w:ascii="宋体" w:cs="宋体"/>
          <w:b/>
          <w:bCs/>
          <w:color w:val="auto"/>
          <w:sz w:val="24"/>
          <w:highlight w:val="yellow"/>
          <w:em w:val="dot"/>
          <w:lang w:val="en-US" w:eastAsia="zh-CN" w:bidi="ar"/>
        </w:rPr>
        <w:t>（2023-2025年）</w:t>
      </w:r>
      <w:r>
        <w:rPr>
          <w:rFonts w:hint="eastAsia" w:ascii="宋体" w:cs="宋体"/>
          <w:b/>
          <w:bCs/>
          <w:color w:val="auto"/>
          <w:sz w:val="24"/>
          <w:em w:val="dot"/>
          <w:lang w:bidi="ar"/>
        </w:rPr>
        <w:t>财务审计报告数据</w:t>
      </w:r>
      <w:r>
        <w:rPr>
          <w:rFonts w:hint="eastAsia" w:ascii="宋体" w:cs="宋体"/>
          <w:b/>
          <w:bCs/>
          <w:color w:val="auto"/>
          <w:sz w:val="24"/>
          <w:lang w:bidi="ar"/>
        </w:rPr>
        <w:t>，各报名单位务必确</w:t>
      </w:r>
      <w:r>
        <w:rPr>
          <w:rFonts w:hint="eastAsia" w:ascii="宋体" w:cs="宋体"/>
          <w:b/>
          <w:bCs/>
          <w:sz w:val="24"/>
          <w:lang w:bidi="ar"/>
        </w:rPr>
        <w:t>保数据真实及填写格式准确，如有不实之处一经核实将取消报名资格，</w:t>
      </w:r>
      <w:r>
        <w:rPr>
          <w:rFonts w:hint="eastAsia" w:ascii="宋体" w:cs="宋体"/>
          <w:b/>
          <w:bCs/>
          <w:sz w:val="24"/>
          <w:highlight w:val="yellow"/>
          <w:lang w:bidi="ar"/>
        </w:rPr>
        <w:t>e采通</w:t>
      </w:r>
      <w:r>
        <w:rPr>
          <w:rFonts w:hint="eastAsia" w:ascii="宋体" w:cs="宋体"/>
          <w:b/>
          <w:bCs/>
          <w:sz w:val="24"/>
          <w:highlight w:val="yellow"/>
          <w:lang w:val="en-US" w:eastAsia="zh-CN" w:bidi="ar"/>
        </w:rPr>
        <w:t>系统内没有财务数据或未更新到2025年</w:t>
      </w:r>
      <w:r>
        <w:rPr>
          <w:rFonts w:hint="eastAsia" w:ascii="宋体" w:cs="宋体"/>
          <w:b/>
          <w:bCs/>
          <w:sz w:val="24"/>
          <w:highlight w:val="yellow"/>
          <w:lang w:bidi="ar"/>
        </w:rPr>
        <w:t>财务数据的，请</w:t>
      </w:r>
      <w:r>
        <w:rPr>
          <w:rFonts w:hint="eastAsia" w:ascii="宋体" w:cs="宋体"/>
          <w:b/>
          <w:bCs/>
          <w:sz w:val="24"/>
          <w:highlight w:val="yellow"/>
          <w:lang w:val="en-US" w:eastAsia="zh-CN" w:bidi="ar"/>
        </w:rPr>
        <w:t>先更新</w:t>
      </w:r>
      <w:r>
        <w:rPr>
          <w:rFonts w:hint="eastAsia" w:ascii="宋体" w:cs="宋体"/>
          <w:b/>
          <w:bCs/>
          <w:sz w:val="24"/>
          <w:highlight w:val="yellow"/>
          <w:lang w:bidi="ar"/>
        </w:rPr>
        <w:t>补充资料</w:t>
      </w:r>
      <w:r>
        <w:rPr>
          <w:rFonts w:hint="eastAsia" w:ascii="宋体" w:cs="宋体"/>
          <w:b/>
          <w:bCs/>
          <w:sz w:val="24"/>
          <w:highlight w:val="yellow"/>
          <w:lang w:val="en-US" w:eastAsia="zh-CN" w:bidi="ar"/>
        </w:rPr>
        <w:t>再提交应标资料</w:t>
      </w:r>
      <w:r>
        <w:rPr>
          <w:rFonts w:hint="eastAsia" w:ascii="宋体" w:cs="宋体"/>
          <w:b/>
          <w:bCs/>
          <w:sz w:val="24"/>
          <w:highlight w:val="yellow"/>
          <w:lang w:bidi="ar"/>
        </w:rPr>
        <w:t>，</w:t>
      </w:r>
      <w:r>
        <w:rPr>
          <w:rFonts w:hint="eastAsia" w:ascii="宋体" w:cs="宋体"/>
          <w:b/>
          <w:bCs/>
          <w:sz w:val="24"/>
          <w:highlight w:val="yellow"/>
          <w:lang w:val="en-US" w:eastAsia="zh-CN" w:bidi="ar"/>
        </w:rPr>
        <w:t>否则</w:t>
      </w:r>
      <w:r>
        <w:rPr>
          <w:rFonts w:hint="eastAsia" w:ascii="宋体" w:cs="宋体"/>
          <w:b/>
          <w:bCs/>
          <w:sz w:val="24"/>
          <w:highlight w:val="yellow"/>
          <w:lang w:bidi="ar"/>
        </w:rPr>
        <w:t>应标资料</w:t>
      </w:r>
      <w:r>
        <w:rPr>
          <w:rFonts w:hint="eastAsia" w:ascii="宋体" w:cs="宋体"/>
          <w:b/>
          <w:bCs/>
          <w:sz w:val="24"/>
          <w:highlight w:val="yellow"/>
          <w:lang w:val="en-US" w:eastAsia="zh-CN" w:bidi="ar"/>
        </w:rPr>
        <w:t>不合格</w:t>
      </w:r>
      <w:r>
        <w:rPr>
          <w:rFonts w:hint="eastAsia" w:ascii="宋体" w:cs="宋体"/>
          <w:b/>
          <w:bCs/>
          <w:sz w:val="24"/>
          <w:highlight w:val="yellow"/>
          <w:lang w:bidi="ar"/>
        </w:rPr>
        <w:t>并无法参加投标，详见后附说明</w:t>
      </w:r>
      <w:r>
        <w:rPr>
          <w:rFonts w:hint="eastAsia" w:ascii="宋体" w:cs="宋体"/>
          <w:b/>
          <w:bCs/>
          <w:sz w:val="24"/>
          <w:lang w:bidi="ar"/>
        </w:rPr>
        <w:t>。</w:t>
      </w:r>
    </w:p>
    <w:p w14:paraId="6B95A655">
      <w:pPr>
        <w:ind w:firstLine="481"/>
        <w:rPr>
          <w:rFonts w:hint="eastAsia" w:ascii="宋体" w:cs="宋体"/>
          <w:b/>
          <w:bCs/>
          <w:sz w:val="24"/>
          <w:lang w:val="en-US" w:eastAsia="zh-CN" w:bidi="ar"/>
        </w:rPr>
      </w:pPr>
    </w:p>
    <w:p w14:paraId="463C8DEE">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四、采购文件领取 </w:t>
      </w:r>
      <w:r>
        <w:rPr>
          <w:rFonts w:hint="eastAsia" w:asciiTheme="majorEastAsia" w:hAnsiTheme="majorEastAsia" w:eastAsiaTheme="majorEastAsia" w:cstheme="majorEastAsia"/>
          <w:sz w:val="24"/>
          <w:szCs w:val="24"/>
        </w:rPr>
        <w:t xml:space="preserve"> </w:t>
      </w:r>
    </w:p>
    <w:p w14:paraId="01A8CB3D">
      <w:pPr>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highlight w:val="yellow"/>
        </w:rPr>
        <w:t>线</w:t>
      </w:r>
      <w:r>
        <w:rPr>
          <w:rFonts w:hint="eastAsia" w:asciiTheme="majorEastAsia" w:hAnsiTheme="majorEastAsia" w:eastAsiaTheme="majorEastAsia" w:cstheme="majorEastAsia"/>
          <w:sz w:val="24"/>
          <w:szCs w:val="24"/>
          <w:highlight w:val="yellow"/>
          <w:lang w:val="en-US" w:eastAsia="zh-CN"/>
        </w:rPr>
        <w:t>上</w:t>
      </w:r>
      <w:r>
        <w:rPr>
          <w:rFonts w:hint="eastAsia" w:asciiTheme="majorEastAsia" w:hAnsiTheme="majorEastAsia" w:eastAsiaTheme="majorEastAsia" w:cstheme="majorEastAsia"/>
          <w:sz w:val="24"/>
          <w:szCs w:val="24"/>
          <w:highlight w:val="yellow"/>
        </w:rPr>
        <w:t xml:space="preserve"> </w:t>
      </w:r>
    </w:p>
    <w:p w14:paraId="3710A1F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highlight w:val="yellow"/>
        </w:rPr>
        <w:t>202</w:t>
      </w:r>
      <w:r>
        <w:rPr>
          <w:rFonts w:hint="eastAsia" w:asciiTheme="majorEastAsia" w:hAnsiTheme="majorEastAsia" w:eastAsiaTheme="majorEastAsia" w:cstheme="majorEastAsia"/>
          <w:sz w:val="24"/>
          <w:szCs w:val="24"/>
          <w:highlight w:val="yellow"/>
          <w:lang w:val="en-US" w:eastAsia="zh-CN"/>
        </w:rPr>
        <w:t>6</w:t>
      </w:r>
      <w:r>
        <w:rPr>
          <w:rFonts w:hint="eastAsia" w:asciiTheme="majorEastAsia" w:hAnsiTheme="majorEastAsia" w:eastAsiaTheme="majorEastAsia" w:cstheme="majorEastAsia"/>
          <w:sz w:val="24"/>
          <w:szCs w:val="24"/>
          <w:highlight w:val="yellow"/>
        </w:rPr>
        <w:t>-</w:t>
      </w:r>
      <w:r>
        <w:rPr>
          <w:rFonts w:hint="eastAsia" w:asciiTheme="majorEastAsia" w:hAnsiTheme="majorEastAsia" w:eastAsiaTheme="majorEastAsia" w:cstheme="majorEastAsia"/>
          <w:sz w:val="24"/>
          <w:szCs w:val="24"/>
          <w:highlight w:val="yellow"/>
          <w:lang w:val="en-US" w:eastAsia="zh-CN"/>
        </w:rPr>
        <w:t>7</w:t>
      </w:r>
      <w:r>
        <w:rPr>
          <w:rFonts w:hint="eastAsia" w:asciiTheme="majorEastAsia" w:hAnsiTheme="majorEastAsia" w:eastAsiaTheme="majorEastAsia" w:cstheme="majorEastAsia"/>
          <w:sz w:val="24"/>
          <w:szCs w:val="24"/>
          <w:highlight w:val="yellow"/>
        </w:rPr>
        <w:t>-</w:t>
      </w:r>
      <w:r>
        <w:rPr>
          <w:rFonts w:hint="eastAsia" w:asciiTheme="majorEastAsia" w:hAnsiTheme="majorEastAsia" w:eastAsiaTheme="majorEastAsia" w:cstheme="majorEastAsia"/>
          <w:sz w:val="24"/>
          <w:szCs w:val="24"/>
          <w:highlight w:val="yellow"/>
          <w:lang w:val="en-US" w:eastAsia="zh-CN"/>
        </w:rPr>
        <w:t>15</w:t>
      </w:r>
      <w:r>
        <w:rPr>
          <w:rFonts w:hint="eastAsia" w:asciiTheme="majorEastAsia" w:hAnsiTheme="majorEastAsia" w:eastAsiaTheme="majorEastAsia" w:cstheme="majorEastAsia"/>
          <w:sz w:val="24"/>
          <w:szCs w:val="24"/>
          <w:highlight w:val="yellow"/>
        </w:rPr>
        <w:t xml:space="preserve"> 1</w:t>
      </w:r>
      <w:r>
        <w:rPr>
          <w:rFonts w:hint="eastAsia" w:asciiTheme="majorEastAsia" w:hAnsiTheme="majorEastAsia" w:eastAsiaTheme="majorEastAsia" w:cstheme="majorEastAsia"/>
          <w:sz w:val="24"/>
          <w:szCs w:val="24"/>
          <w:highlight w:val="yellow"/>
          <w:lang w:val="en-US" w:eastAsia="zh-CN"/>
        </w:rPr>
        <w:t>6</w:t>
      </w:r>
      <w:r>
        <w:rPr>
          <w:rFonts w:hint="eastAsia" w:asciiTheme="majorEastAsia" w:hAnsiTheme="majorEastAsia" w:eastAsiaTheme="majorEastAsia" w:cstheme="majorEastAsia"/>
          <w:sz w:val="24"/>
          <w:szCs w:val="24"/>
          <w:highlight w:val="yellow"/>
        </w:rPr>
        <w:t>:00:00</w:t>
      </w:r>
      <w:r>
        <w:rPr>
          <w:rFonts w:hint="eastAsia" w:asciiTheme="majorEastAsia" w:hAnsiTheme="majorEastAsia" w:eastAsiaTheme="majorEastAsia" w:cstheme="majorEastAsia"/>
          <w:sz w:val="24"/>
          <w:szCs w:val="24"/>
        </w:rPr>
        <w:t xml:space="preserve"> </w:t>
      </w:r>
    </w:p>
    <w:p w14:paraId="172C669E">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采购文件领取地点：</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（ww.cnhtc.com.cn）-新闻中心-通知公告。</w:t>
      </w:r>
      <w:r>
        <w:rPr>
          <w:rFonts w:hint="eastAsia" w:asciiTheme="majorEastAsia" w:hAnsiTheme="majorEastAsia" w:eastAsiaTheme="majorEastAsia" w:cstheme="majorEastAsia"/>
          <w:sz w:val="24"/>
          <w:szCs w:val="24"/>
        </w:rPr>
        <w:t xml:space="preserve"> </w:t>
      </w:r>
    </w:p>
    <w:p w14:paraId="7A00C32E">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五、响应文件提交 </w:t>
      </w:r>
    </w:p>
    <w:p w14:paraId="1677482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6BBA18F5">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7</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21</w:t>
      </w:r>
      <w:r>
        <w:rPr>
          <w:rFonts w:hint="eastAsia" w:asciiTheme="majorEastAsia" w:hAnsiTheme="majorEastAsia" w:eastAsiaTheme="majorEastAsia" w:cstheme="majorEastAsia"/>
          <w:sz w:val="24"/>
          <w:szCs w:val="24"/>
        </w:rPr>
        <w:t xml:space="preserve"> 09:00:00 </w:t>
      </w:r>
    </w:p>
    <w:p w14:paraId="31FBBF18">
      <w:pPr>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21"/>
          <w:rFonts w:ascii="宋体" w:hAnsi="宋体" w:eastAsia="宋体" w:cs="宋体"/>
          <w:sz w:val="24"/>
          <w:szCs w:val="24"/>
        </w:rPr>
        <w:t>中国重汽e采通</w:t>
      </w:r>
      <w:r>
        <w:rPr>
          <w:rFonts w:ascii="宋体" w:hAnsi="宋体" w:eastAsia="宋体" w:cs="宋体"/>
          <w:sz w:val="24"/>
          <w:szCs w:val="24"/>
        </w:rPr>
        <w:fldChar w:fldCharType="end"/>
      </w:r>
      <w:r>
        <w:rPr>
          <w:rFonts w:hint="eastAsia" w:ascii="宋体" w:hAnsi="宋体" w:eastAsia="宋体" w:cs="宋体"/>
          <w:sz w:val="24"/>
          <w:szCs w:val="24"/>
          <w:lang w:val="en-US" w:eastAsia="zh-CN"/>
        </w:rPr>
        <w:t>-招标中心-</w:t>
      </w:r>
      <w:r>
        <w:rPr>
          <w:rFonts w:hint="default" w:ascii="宋体" w:hAnsi="宋体" w:eastAsia="宋体" w:cs="宋体"/>
          <w:sz w:val="24"/>
          <w:szCs w:val="24"/>
          <w:lang w:val="en-US" w:eastAsia="zh-CN"/>
        </w:rPr>
        <w:t>非生产类招投标</w:t>
      </w:r>
      <w:r>
        <w:rPr>
          <w:rFonts w:hint="eastAsia" w:ascii="宋体" w:hAnsi="宋体" w:eastAsia="宋体" w:cs="宋体"/>
          <w:sz w:val="24"/>
          <w:szCs w:val="24"/>
          <w:lang w:val="en-US" w:eastAsia="zh-CN"/>
        </w:rPr>
        <w:t>-供应商投标</w:t>
      </w:r>
    </w:p>
    <w:p w14:paraId="77F2C3AC">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六、开标时间和地点 </w:t>
      </w:r>
    </w:p>
    <w:p w14:paraId="42BE8D26">
      <w:pPr>
        <w:rPr>
          <w:rFonts w:hint="eastAsia"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w:t>
      </w:r>
      <w:r>
        <w:rPr>
          <w:rFonts w:hint="eastAsia" w:asciiTheme="majorEastAsia" w:hAnsiTheme="majorEastAsia" w:eastAsiaTheme="majorEastAsia" w:cstheme="majorEastAsia"/>
          <w:sz w:val="24"/>
          <w:szCs w:val="24"/>
          <w:lang w:val="en-US" w:eastAsia="zh-CN"/>
        </w:rPr>
        <w:t>07</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21</w:t>
      </w:r>
      <w:r>
        <w:rPr>
          <w:rFonts w:hint="eastAsia" w:asciiTheme="majorEastAsia" w:hAnsiTheme="majorEastAsia" w:eastAsiaTheme="majorEastAsia" w:cstheme="majorEastAsia"/>
          <w:sz w:val="24"/>
          <w:szCs w:val="24"/>
        </w:rPr>
        <w:t xml:space="preserve"> 09:00:00 </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rPr>
        <w:t>暂定，以实际通知为准</w:t>
      </w:r>
      <w:r>
        <w:rPr>
          <w:rFonts w:hint="eastAsia" w:ascii="宋体" w:hAnsi="宋体" w:eastAsia="宋体" w:cs="宋体"/>
          <w:b/>
          <w:bCs/>
          <w:sz w:val="24"/>
          <w:szCs w:val="24"/>
          <w:lang w:eastAsia="zh-CN"/>
        </w:rPr>
        <w:t>）</w:t>
      </w:r>
    </w:p>
    <w:p w14:paraId="24E3BBA0">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宋体" w:hAnsi="宋体" w:eastAsia="宋体" w:cs="宋体"/>
          <w:sz w:val="24"/>
          <w:szCs w:val="24"/>
          <w:lang w:val="en-US" w:eastAsia="zh-CN"/>
        </w:rPr>
        <w:t xml:space="preserve">济南市高新区华奥路777号重汽科技大厦 1307会议室 </w:t>
      </w:r>
    </w:p>
    <w:p w14:paraId="263E755C">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七、发布公告的媒介 </w:t>
      </w:r>
      <w:r>
        <w:rPr>
          <w:rFonts w:hint="eastAsia" w:asciiTheme="majorEastAsia" w:hAnsiTheme="majorEastAsia" w:eastAsiaTheme="majorEastAsia" w:cstheme="majorEastAsia"/>
          <w:sz w:val="24"/>
          <w:szCs w:val="24"/>
        </w:rPr>
        <w:t xml:space="preserve"> </w:t>
      </w:r>
    </w:p>
    <w:p w14:paraId="46D1FF0F">
      <w:pPr>
        <w:ind w:firstLine="480"/>
        <w:rPr>
          <w:rFonts w:hint="eastAsia"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353AB269">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八、联系方式 </w:t>
      </w:r>
    </w:p>
    <w:p w14:paraId="30D1D38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名称：</w:t>
      </w:r>
      <w:r>
        <w:rPr>
          <w:rFonts w:hint="eastAsia" w:ascii="Times New Roman" w:hAnsi="Times New Roman" w:eastAsia="宋体" w:cs="Times New Roman"/>
          <w:color w:val="000000"/>
          <w:sz w:val="24"/>
          <w:szCs w:val="24"/>
          <w:highlight w:val="none"/>
          <w:lang w:eastAsia="zh-CN"/>
        </w:rPr>
        <w:t>中国重汽集团济南动力有限公司</w:t>
      </w:r>
    </w:p>
    <w:p w14:paraId="04D7726E">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地址：山东省济南市历城区华奥路777号中国重型汽车集团有限公司 </w:t>
      </w:r>
    </w:p>
    <w:p w14:paraId="2426AF4E">
      <w:pPr>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商务</w:t>
      </w:r>
      <w:r>
        <w:rPr>
          <w:rFonts w:hint="eastAsia" w:asciiTheme="majorEastAsia" w:hAnsiTheme="majorEastAsia" w:eastAsiaTheme="majorEastAsia" w:cstheme="majorEastAsia"/>
          <w:sz w:val="24"/>
          <w:szCs w:val="24"/>
          <w:highlight w:val="none"/>
        </w:rPr>
        <w:t>联系人：</w:t>
      </w:r>
      <w:r>
        <w:rPr>
          <w:rFonts w:hint="eastAsia" w:asciiTheme="majorEastAsia" w:hAnsiTheme="majorEastAsia" w:eastAsiaTheme="majorEastAsia" w:cstheme="majorEastAsia"/>
          <w:sz w:val="24"/>
          <w:szCs w:val="24"/>
          <w:highlight w:val="none"/>
          <w:lang w:val="en-US" w:eastAsia="zh-CN"/>
        </w:rPr>
        <w:t>黄老师</w:t>
      </w:r>
    </w:p>
    <w:p w14:paraId="50184336">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联系电话：</w:t>
      </w:r>
      <w:r>
        <w:rPr>
          <w:rFonts w:hint="eastAsia" w:asciiTheme="majorEastAsia" w:hAnsiTheme="majorEastAsia" w:eastAsiaTheme="majorEastAsia" w:cstheme="majorEastAsia"/>
          <w:sz w:val="24"/>
          <w:szCs w:val="24"/>
          <w:highlight w:val="none"/>
          <w:lang w:val="en-US" w:eastAsia="zh-CN"/>
        </w:rPr>
        <w:t>17860606327</w:t>
      </w:r>
    </w:p>
    <w:p w14:paraId="2269D2AB">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邮箱：huangjiahao@sinotruk.com</w:t>
      </w:r>
    </w:p>
    <w:p w14:paraId="28A19CDD">
      <w:pPr>
        <w:ind w:firstLine="48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 xml:space="preserve">项目联系人：孙老师 </w:t>
      </w:r>
    </w:p>
    <w:p w14:paraId="7C73F72A">
      <w:pPr>
        <w:ind w:firstLine="480"/>
        <w:rPr>
          <w:rFonts w:hint="default"/>
          <w:highlight w:val="none"/>
          <w:lang w:val="en-US" w:eastAsia="zh-CN"/>
        </w:rPr>
      </w:pPr>
      <w:r>
        <w:rPr>
          <w:rFonts w:hint="eastAsia" w:asciiTheme="majorEastAsia" w:hAnsiTheme="majorEastAsia" w:eastAsiaTheme="majorEastAsia" w:cstheme="majorEastAsia"/>
          <w:sz w:val="24"/>
          <w:szCs w:val="24"/>
          <w:highlight w:val="none"/>
          <w:lang w:val="en-US" w:eastAsia="zh-CN"/>
        </w:rPr>
        <w:t>联系电话：13573163465</w:t>
      </w:r>
    </w:p>
    <w:p w14:paraId="6986140B">
      <w:pPr>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九、其他说明  </w:t>
      </w:r>
    </w:p>
    <w:p w14:paraId="7F352A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供应商需在阳光采购服务平台进行注册，注册后搜索该项目并进行报名。</w:t>
      </w:r>
    </w:p>
    <w:p w14:paraId="5CBCB79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供应商需在重汽官网搜索本项目招标公告，根据要求准备报名资料</w:t>
      </w:r>
    </w:p>
    <w:p w14:paraId="7267786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ajorEastAsia" w:hAnsiTheme="majorEastAsia" w:eastAsiaTheme="majorEastAsia" w:cstheme="majorEastAsia"/>
          <w:sz w:val="24"/>
          <w:szCs w:val="24"/>
          <w:highlight w:val="none"/>
        </w:rPr>
        <w:sectPr>
          <w:footerReference r:id="rId5" w:type="first"/>
          <w:headerReference r:id="rId3" w:type="default"/>
          <w:footerReference r:id="rId4"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654B7DCC">
      <w:pPr>
        <w:rPr>
          <w:rFonts w:hint="eastAsia" w:ascii="宋体" w:hAnsi="宋体"/>
          <w:kern w:val="0"/>
          <w:sz w:val="24"/>
          <w:szCs w:val="21"/>
          <w:lang w:bidi="en-US"/>
        </w:rPr>
      </w:pPr>
      <w:r>
        <w:rPr>
          <w:rFonts w:hint="eastAsia" w:ascii="宋体" w:hAnsi="宋体"/>
          <w:kern w:val="0"/>
          <w:sz w:val="24"/>
          <w:szCs w:val="21"/>
          <w:lang w:bidi="en-US"/>
        </w:rPr>
        <w:t>附件1:</w:t>
      </w:r>
    </w:p>
    <w:p w14:paraId="461136A3">
      <w:pPr>
        <w:jc w:val="center"/>
        <w:rPr>
          <w:rFonts w:hint="eastAsia" w:ascii="Times New Roman" w:hAnsi="Times New Roman" w:eastAsia="宋体" w:cs="Times New Roman"/>
          <w:b/>
          <w:bCs/>
          <w:kern w:val="0"/>
          <w:sz w:val="28"/>
          <w:szCs w:val="22"/>
          <w:lang w:bidi="en-US"/>
        </w:rPr>
      </w:pPr>
      <w:r>
        <w:rPr>
          <w:rFonts w:hint="eastAsia" w:ascii="Times New Roman" w:hAnsi="Times New Roman" w:eastAsia="宋体" w:cs="Times New Roman"/>
          <w:b/>
          <w:bCs/>
          <w:kern w:val="0"/>
          <w:sz w:val="28"/>
          <w:szCs w:val="22"/>
          <w:lang w:bidi="en-US"/>
        </w:rPr>
        <w:t>投标信息明细表</w:t>
      </w:r>
    </w:p>
    <w:tbl>
      <w:tblPr>
        <w:tblStyle w:val="13"/>
        <w:tblW w:w="14963" w:type="dxa"/>
        <w:tblInd w:w="-17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0"/>
        <w:gridCol w:w="1500"/>
        <w:gridCol w:w="925"/>
        <w:gridCol w:w="1088"/>
        <w:gridCol w:w="925"/>
        <w:gridCol w:w="900"/>
        <w:gridCol w:w="825"/>
        <w:gridCol w:w="1112"/>
        <w:gridCol w:w="975"/>
        <w:gridCol w:w="988"/>
        <w:gridCol w:w="950"/>
        <w:gridCol w:w="1000"/>
        <w:gridCol w:w="1086"/>
        <w:gridCol w:w="1110"/>
        <w:gridCol w:w="1029"/>
      </w:tblGrid>
      <w:tr w14:paraId="7531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57DB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B93E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报名单位</w:t>
            </w:r>
          </w:p>
          <w:p w14:paraId="0C013D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A8BA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联系人</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D04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F9E5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邮箱</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7DC3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注册</w:t>
            </w:r>
          </w:p>
          <w:p w14:paraId="7B9034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DDBB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注册地</w:t>
            </w:r>
          </w:p>
        </w:tc>
        <w:tc>
          <w:tcPr>
            <w:tcW w:w="1112" w:type="dxa"/>
            <w:vMerge w:val="restart"/>
            <w:tcBorders>
              <w:top w:val="single" w:color="000000" w:sz="4" w:space="0"/>
              <w:left w:val="single" w:color="000000" w:sz="4" w:space="0"/>
              <w:right w:val="single" w:color="000000" w:sz="4" w:space="0"/>
            </w:tcBorders>
            <w:shd w:val="clear" w:color="auto" w:fill="FFFFFF"/>
            <w:vAlign w:val="center"/>
          </w:tcPr>
          <w:p w14:paraId="58E393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注册资金不低于500万元</w:t>
            </w:r>
          </w:p>
        </w:tc>
        <w:tc>
          <w:tcPr>
            <w:tcW w:w="610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5147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近三年财务状况（收入/资产负债率（  %））</w:t>
            </w:r>
          </w:p>
        </w:tc>
        <w:tc>
          <w:tcPr>
            <w:tcW w:w="1029" w:type="dxa"/>
            <w:vMerge w:val="restart"/>
            <w:tcBorders>
              <w:top w:val="single" w:color="000000" w:sz="4" w:space="0"/>
              <w:left w:val="single" w:color="000000" w:sz="4" w:space="0"/>
              <w:right w:val="single" w:color="000000" w:sz="4" w:space="0"/>
            </w:tcBorders>
            <w:shd w:val="clear" w:color="auto" w:fill="FFFFFF"/>
            <w:vAlign w:val="center"/>
          </w:tcPr>
          <w:p w14:paraId="380AB5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业绩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数量</w:t>
            </w:r>
          </w:p>
        </w:tc>
      </w:tr>
      <w:tr w14:paraId="57D9C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605F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4D6E8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F707C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3C64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50D2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A033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B02B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12" w:type="dxa"/>
            <w:vMerge w:val="continue"/>
            <w:tcBorders>
              <w:left w:val="single" w:color="000000" w:sz="4" w:space="0"/>
              <w:bottom w:val="single" w:color="000000" w:sz="4" w:space="0"/>
              <w:right w:val="single" w:color="000000" w:sz="4" w:space="0"/>
            </w:tcBorders>
            <w:shd w:val="clear" w:color="auto" w:fill="FFFFFF"/>
            <w:vAlign w:val="center"/>
          </w:tcPr>
          <w:p w14:paraId="50814A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FBB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收入（万元）</w:t>
            </w:r>
          </w:p>
        </w:tc>
        <w:tc>
          <w:tcPr>
            <w:tcW w:w="9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E55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资产负债率</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6E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收入（万元）</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A79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资产负债率</w:t>
            </w:r>
          </w:p>
        </w:tc>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AF5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r>
              <w:rPr>
                <w:rFonts w:hint="eastAsia" w:ascii="宋体" w:hAnsi="宋体" w:cs="宋体"/>
                <w:i w:val="0"/>
                <w:iCs w:val="0"/>
                <w:color w:val="000000"/>
                <w:kern w:val="0"/>
                <w:sz w:val="18"/>
                <w:szCs w:val="18"/>
                <w:u w:val="none"/>
                <w:lang w:val="en-US" w:eastAsia="zh-CN" w:bidi="ar"/>
              </w:rPr>
              <w:t>25</w:t>
            </w:r>
            <w:r>
              <w:rPr>
                <w:rFonts w:hint="eastAsia" w:ascii="宋体" w:hAnsi="宋体" w:eastAsia="宋体" w:cs="宋体"/>
                <w:i w:val="0"/>
                <w:iCs w:val="0"/>
                <w:color w:val="000000"/>
                <w:kern w:val="0"/>
                <w:sz w:val="18"/>
                <w:szCs w:val="18"/>
                <w:u w:val="none"/>
                <w:lang w:val="en-US" w:eastAsia="zh-CN" w:bidi="ar"/>
              </w:rPr>
              <w:t>收入（万元）</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B2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资产负债率</w:t>
            </w:r>
          </w:p>
        </w:tc>
        <w:tc>
          <w:tcPr>
            <w:tcW w:w="1029" w:type="dxa"/>
            <w:vMerge w:val="continue"/>
            <w:tcBorders>
              <w:left w:val="single" w:color="000000" w:sz="4" w:space="0"/>
              <w:bottom w:val="single" w:color="000000" w:sz="4" w:space="0"/>
              <w:right w:val="single" w:color="000000" w:sz="4" w:space="0"/>
            </w:tcBorders>
            <w:shd w:val="clear" w:color="auto" w:fill="FFFFFF"/>
            <w:vAlign w:val="center"/>
          </w:tcPr>
          <w:p w14:paraId="0D43E8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p>
        </w:tc>
      </w:tr>
      <w:tr w14:paraId="0FF47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A60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FF31D">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368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5B1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A03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singl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200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5AD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2C0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5DF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47B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B5A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BB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EEE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A09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A8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r>
              <w:rPr>
                <w:rStyle w:val="31"/>
                <w:lang w:val="en-US" w:eastAsia="zh-CN" w:bidi="ar"/>
              </w:rPr>
              <w:t>　</w:t>
            </w:r>
          </w:p>
        </w:tc>
      </w:tr>
      <w:tr w14:paraId="734C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B40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A76CC">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56F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874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A05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singl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D9D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F63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810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7A2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AEC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4AA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4AD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75A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286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D64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14:paraId="18A84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6D0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23163">
            <w:pPr>
              <w:keepNext w:val="0"/>
              <w:keepLines w:val="0"/>
              <w:suppressLineNumbers w:val="0"/>
              <w:spacing w:before="0" w:beforeAutospacing="0" w:after="0" w:afterAutospacing="0"/>
              <w:ind w:left="0" w:right="0"/>
              <w:jc w:val="left"/>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882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C1E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FD8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singl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178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7B7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2E0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37B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A5F8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91D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8E0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47F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D4B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6"/>
                <w:szCs w:val="16"/>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451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bl>
    <w:p w14:paraId="2B32F30D">
      <w:pPr>
        <w:autoSpaceDE w:val="0"/>
        <w:autoSpaceDN w:val="0"/>
        <w:adjustRightInd w:val="0"/>
        <w:snapToGrid w:val="0"/>
        <w:spacing w:line="420" w:lineRule="exact"/>
        <w:jc w:val="left"/>
        <w:rPr>
          <w:rFonts w:hint="eastAsia" w:ascii="宋体" w:cs="宋体"/>
          <w:b/>
          <w:bCs/>
          <w:sz w:val="24"/>
          <w:highlight w:val="yellow"/>
          <w:lang w:bidi="ar"/>
        </w:rPr>
      </w:pPr>
      <w:r>
        <w:rPr>
          <w:rFonts w:hint="eastAsia" w:ascii="宋体" w:cs="宋体"/>
          <w:b/>
          <w:bCs/>
          <w:sz w:val="24"/>
          <w:lang w:bidi="ar"/>
        </w:rPr>
        <w:t>注意：数据依据为报名单位提供的</w:t>
      </w:r>
      <w:r>
        <w:rPr>
          <w:rFonts w:hint="eastAsia" w:ascii="宋体" w:cs="宋体"/>
          <w:b/>
          <w:bCs/>
          <w:color w:val="C00000"/>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w:t>
      </w:r>
      <w:r>
        <w:rPr>
          <w:rFonts w:hint="eastAsia" w:ascii="宋体" w:cs="宋体"/>
          <w:b/>
          <w:bCs/>
          <w:sz w:val="24"/>
          <w:highlight w:val="yellow"/>
          <w:lang w:val="en-US" w:eastAsia="zh-CN" w:bidi="ar"/>
        </w:rPr>
        <w:t>已有</w:t>
      </w:r>
      <w:r>
        <w:rPr>
          <w:rFonts w:hint="eastAsia" w:ascii="宋体" w:cs="宋体"/>
          <w:b/>
          <w:bCs/>
          <w:sz w:val="24"/>
          <w:highlight w:val="yellow"/>
          <w:lang w:bidi="ar"/>
        </w:rPr>
        <w:t>e采通</w:t>
      </w:r>
      <w:r>
        <w:rPr>
          <w:rFonts w:hint="eastAsia" w:ascii="宋体" w:cs="宋体"/>
          <w:b/>
          <w:bCs/>
          <w:sz w:val="24"/>
          <w:highlight w:val="yellow"/>
          <w:lang w:val="en-US" w:eastAsia="zh-CN" w:bidi="ar"/>
        </w:rPr>
        <w:t>账号缺少财务数据的请及时提交供应商变更流程，具体操作</w:t>
      </w:r>
      <w:r>
        <w:rPr>
          <w:rFonts w:hint="eastAsia" w:ascii="宋体" w:cs="宋体"/>
          <w:b/>
          <w:bCs/>
          <w:sz w:val="24"/>
          <w:highlight w:val="yellow"/>
          <w:lang w:bidi="ar"/>
        </w:rPr>
        <w:t>详见</w:t>
      </w:r>
      <w:r>
        <w:rPr>
          <w:rFonts w:hint="eastAsia" w:ascii="宋体" w:cs="宋体"/>
          <w:b/>
          <w:bCs/>
          <w:sz w:val="24"/>
          <w:highlight w:val="yellow"/>
          <w:lang w:val="en-US" w:eastAsia="zh-CN" w:bidi="ar"/>
        </w:rPr>
        <w:t>e采通首页《供应商用户手册》</w:t>
      </w:r>
      <w:r>
        <w:rPr>
          <w:rFonts w:hint="eastAsia" w:ascii="宋体" w:cs="宋体"/>
          <w:b/>
          <w:bCs/>
          <w:sz w:val="24"/>
          <w:highlight w:val="yellow"/>
          <w:lang w:eastAsia="zh-CN" w:bidi="ar"/>
        </w:rPr>
        <w:t>，</w:t>
      </w:r>
      <w:r>
        <w:rPr>
          <w:rFonts w:hint="eastAsia" w:ascii="宋体" w:cs="宋体"/>
          <w:b/>
          <w:bCs/>
          <w:sz w:val="24"/>
          <w:highlight w:val="yellow"/>
          <w:lang w:val="en-US" w:eastAsia="zh-CN" w:bidi="ar"/>
        </w:rPr>
        <w:t>未补充财务数据的投标单位即使提交了应标资料仍视为资格预审不合格，无法参加投标</w:t>
      </w:r>
      <w:r>
        <w:rPr>
          <w:rFonts w:hint="eastAsia" w:ascii="宋体" w:cs="宋体"/>
          <w:b/>
          <w:bCs/>
          <w:sz w:val="24"/>
          <w:highlight w:val="yellow"/>
          <w:lang w:bidi="ar"/>
        </w:rPr>
        <w:t>。</w:t>
      </w:r>
    </w:p>
    <w:p w14:paraId="400F4D29">
      <w:pPr>
        <w:autoSpaceDE w:val="0"/>
        <w:autoSpaceDN w:val="0"/>
        <w:adjustRightInd w:val="0"/>
        <w:snapToGrid w:val="0"/>
        <w:spacing w:line="420" w:lineRule="exact"/>
        <w:jc w:val="left"/>
        <w:rPr>
          <w:rFonts w:hint="eastAsia" w:ascii="宋体" w:cs="宋体"/>
          <w:b/>
          <w:bCs/>
          <w:sz w:val="24"/>
          <w:highlight w:val="yellow"/>
          <w:lang w:bidi="ar"/>
        </w:rPr>
      </w:pPr>
    </w:p>
    <w:p w14:paraId="6B4D374D">
      <w:pPr>
        <w:autoSpaceDE w:val="0"/>
        <w:autoSpaceDN w:val="0"/>
        <w:adjustRightInd w:val="0"/>
        <w:snapToGrid w:val="0"/>
        <w:spacing w:line="420" w:lineRule="exact"/>
        <w:jc w:val="left"/>
        <w:rPr>
          <w:rFonts w:hint="eastAsia" w:ascii="宋体" w:cs="宋体"/>
          <w:b/>
          <w:bCs/>
          <w:sz w:val="24"/>
          <w:highlight w:val="yellow"/>
          <w:lang w:bidi="ar"/>
        </w:rPr>
      </w:pPr>
    </w:p>
    <w:p w14:paraId="3B605551">
      <w:pPr>
        <w:autoSpaceDE w:val="0"/>
        <w:autoSpaceDN w:val="0"/>
        <w:adjustRightInd w:val="0"/>
        <w:snapToGrid w:val="0"/>
        <w:spacing w:line="420" w:lineRule="exact"/>
        <w:jc w:val="left"/>
        <w:rPr>
          <w:rFonts w:hint="eastAsia" w:ascii="宋体" w:cs="宋体"/>
          <w:b/>
          <w:bCs/>
          <w:sz w:val="24"/>
          <w:highlight w:val="yellow"/>
          <w:lang w:bidi="ar"/>
        </w:rPr>
      </w:pPr>
    </w:p>
    <w:p w14:paraId="4B38141A">
      <w:pPr>
        <w:autoSpaceDE w:val="0"/>
        <w:autoSpaceDN w:val="0"/>
        <w:adjustRightInd w:val="0"/>
        <w:snapToGrid w:val="0"/>
        <w:spacing w:line="420" w:lineRule="exact"/>
        <w:jc w:val="left"/>
        <w:rPr>
          <w:rFonts w:hint="eastAsia" w:ascii="宋体" w:cs="宋体"/>
          <w:b/>
          <w:bCs/>
          <w:sz w:val="24"/>
          <w:highlight w:val="yellow"/>
          <w:lang w:bidi="ar"/>
        </w:rPr>
      </w:pPr>
    </w:p>
    <w:p w14:paraId="22170D5B">
      <w:pPr>
        <w:autoSpaceDE w:val="0"/>
        <w:autoSpaceDN w:val="0"/>
        <w:adjustRightInd w:val="0"/>
        <w:snapToGrid w:val="0"/>
        <w:spacing w:line="420" w:lineRule="exact"/>
        <w:jc w:val="left"/>
        <w:rPr>
          <w:rFonts w:hint="eastAsia" w:ascii="宋体" w:cs="宋体"/>
          <w:b/>
          <w:bCs/>
          <w:sz w:val="24"/>
          <w:highlight w:val="yellow"/>
          <w:lang w:bidi="ar"/>
        </w:rPr>
      </w:pPr>
    </w:p>
    <w:p w14:paraId="68D0D606">
      <w:pPr>
        <w:autoSpaceDE w:val="0"/>
        <w:autoSpaceDN w:val="0"/>
        <w:adjustRightInd w:val="0"/>
        <w:snapToGrid w:val="0"/>
        <w:spacing w:line="420" w:lineRule="exact"/>
        <w:jc w:val="left"/>
        <w:rPr>
          <w:rFonts w:hint="eastAsia" w:ascii="宋体" w:cs="宋体"/>
          <w:b/>
          <w:bCs/>
          <w:sz w:val="24"/>
          <w:highlight w:val="yellow"/>
          <w:lang w:bidi="ar"/>
        </w:rPr>
      </w:pPr>
    </w:p>
    <w:p w14:paraId="60B4623F">
      <w:pPr>
        <w:autoSpaceDE w:val="0"/>
        <w:autoSpaceDN w:val="0"/>
        <w:adjustRightInd w:val="0"/>
        <w:snapToGrid w:val="0"/>
        <w:spacing w:line="420" w:lineRule="exact"/>
        <w:jc w:val="left"/>
        <w:rPr>
          <w:rFonts w:hint="eastAsia" w:ascii="宋体" w:cs="宋体"/>
          <w:b/>
          <w:bCs/>
          <w:sz w:val="24"/>
          <w:highlight w:val="yellow"/>
          <w:lang w:bidi="ar"/>
        </w:rPr>
      </w:pPr>
    </w:p>
    <w:p w14:paraId="7EE314BA">
      <w:pPr>
        <w:autoSpaceDE w:val="0"/>
        <w:autoSpaceDN w:val="0"/>
        <w:adjustRightInd w:val="0"/>
        <w:snapToGrid w:val="0"/>
        <w:spacing w:line="420" w:lineRule="exact"/>
        <w:jc w:val="left"/>
        <w:rPr>
          <w:rFonts w:hint="eastAsia" w:ascii="宋体" w:cs="宋体"/>
          <w:b/>
          <w:bCs/>
          <w:sz w:val="24"/>
          <w:highlight w:val="yellow"/>
          <w:lang w:bidi="ar"/>
        </w:rPr>
      </w:pPr>
    </w:p>
    <w:p w14:paraId="0A10BFC4">
      <w:pPr>
        <w:autoSpaceDE w:val="0"/>
        <w:autoSpaceDN w:val="0"/>
        <w:adjustRightInd w:val="0"/>
        <w:snapToGrid w:val="0"/>
        <w:spacing w:line="420" w:lineRule="exact"/>
        <w:jc w:val="left"/>
        <w:rPr>
          <w:rFonts w:hint="eastAsia" w:ascii="宋体" w:cs="宋体"/>
          <w:b/>
          <w:bCs/>
          <w:sz w:val="24"/>
          <w:highlight w:val="yellow"/>
          <w:lang w:bidi="ar"/>
        </w:rPr>
      </w:pPr>
    </w:p>
    <w:p w14:paraId="1221C43C">
      <w:pPr>
        <w:autoSpaceDE w:val="0"/>
        <w:autoSpaceDN w:val="0"/>
        <w:adjustRightInd w:val="0"/>
        <w:snapToGrid w:val="0"/>
        <w:spacing w:line="420" w:lineRule="exact"/>
        <w:jc w:val="left"/>
        <w:rPr>
          <w:rFonts w:hint="eastAsia" w:ascii="宋体" w:cs="宋体"/>
          <w:b/>
          <w:bCs/>
          <w:sz w:val="24"/>
          <w:highlight w:val="yellow"/>
          <w:lang w:bidi="ar"/>
        </w:rPr>
      </w:pPr>
    </w:p>
    <w:p w14:paraId="7E76FECA">
      <w:pPr>
        <w:autoSpaceDE w:val="0"/>
        <w:autoSpaceDN w:val="0"/>
        <w:adjustRightInd w:val="0"/>
        <w:snapToGrid w:val="0"/>
        <w:spacing w:line="420" w:lineRule="exact"/>
        <w:jc w:val="left"/>
        <w:rPr>
          <w:rFonts w:hint="eastAsia" w:ascii="宋体" w:cs="宋体"/>
          <w:b/>
          <w:bCs/>
          <w:sz w:val="24"/>
          <w:highlight w:val="yellow"/>
          <w:lang w:bidi="ar"/>
        </w:rPr>
        <w:sectPr>
          <w:pgSz w:w="16838" w:h="11906" w:orient="landscape"/>
          <w:pgMar w:top="1066" w:right="1043" w:bottom="1066" w:left="1043" w:header="850" w:footer="992" w:gutter="0"/>
          <w:pgNumType w:fmt="numberInDash" w:start="1"/>
          <w:cols w:space="0" w:num="1"/>
          <w:rtlGutter w:val="0"/>
          <w:docGrid w:type="lines" w:linePitch="315" w:charSpace="0"/>
        </w:sectPr>
      </w:pPr>
    </w:p>
    <w:p w14:paraId="7022123F">
      <w:pPr>
        <w:rPr>
          <w:rFonts w:hint="eastAsia" w:ascii="宋体" w:hAnsi="宋体"/>
          <w:kern w:val="0"/>
          <w:sz w:val="24"/>
          <w:szCs w:val="21"/>
          <w:lang w:bidi="en-US"/>
        </w:rPr>
      </w:pPr>
      <w:r>
        <w:rPr>
          <w:rFonts w:hint="eastAsia" w:ascii="宋体" w:hAnsi="宋体"/>
          <w:kern w:val="0"/>
          <w:sz w:val="24"/>
          <w:szCs w:val="21"/>
          <w:lang w:bidi="en-US"/>
        </w:rPr>
        <w:t>附件</w:t>
      </w:r>
      <w:r>
        <w:rPr>
          <w:rFonts w:hint="eastAsia" w:ascii="宋体" w:hAnsi="宋体"/>
          <w:kern w:val="0"/>
          <w:sz w:val="24"/>
          <w:szCs w:val="21"/>
          <w:lang w:val="en-US" w:eastAsia="zh-CN" w:bidi="en-US"/>
        </w:rPr>
        <w:t>2</w:t>
      </w:r>
      <w:r>
        <w:rPr>
          <w:rFonts w:hint="eastAsia" w:ascii="宋体" w:hAnsi="宋体"/>
          <w:kern w:val="0"/>
          <w:sz w:val="24"/>
          <w:szCs w:val="21"/>
          <w:lang w:bidi="en-US"/>
        </w:rPr>
        <w:t>:</w:t>
      </w:r>
    </w:p>
    <w:p w14:paraId="2CBC9B6D">
      <w:pPr>
        <w:adjustRightInd w:val="0"/>
        <w:snapToGrid w:val="0"/>
        <w:spacing w:line="440" w:lineRule="exact"/>
        <w:ind w:firstLine="420" w:firstLineChars="200"/>
        <w:jc w:val="left"/>
        <w:rPr>
          <w:rStyle w:val="32"/>
          <w:rFonts w:ascii="宋体"/>
        </w:rPr>
      </w:pPr>
      <w:r>
        <w:rPr>
          <w:rStyle w:val="32"/>
          <w:rFonts w:hint="eastAsia" w:ascii="宋体"/>
        </w:rPr>
        <w:t>请按以下表格内容如实填写，提供经会计师事务所审计且出具无保留意见的</w:t>
      </w:r>
      <w:r>
        <w:rPr>
          <w:rStyle w:val="32"/>
          <w:rFonts w:hint="eastAsia" w:ascii="宋体"/>
          <w:b/>
          <w:bCs/>
        </w:rPr>
        <w:t>近三年（近三年指202</w:t>
      </w:r>
      <w:r>
        <w:rPr>
          <w:rStyle w:val="32"/>
          <w:rFonts w:hint="eastAsia" w:ascii="宋体"/>
          <w:b/>
          <w:bCs/>
          <w:lang w:val="en-US" w:eastAsia="zh-CN"/>
        </w:rPr>
        <w:t>3-</w:t>
      </w:r>
      <w:r>
        <w:rPr>
          <w:rStyle w:val="32"/>
          <w:rFonts w:hint="eastAsia" w:ascii="宋体"/>
          <w:b/>
          <w:bCs/>
        </w:rPr>
        <w:t>202</w:t>
      </w:r>
      <w:r>
        <w:rPr>
          <w:rStyle w:val="32"/>
          <w:rFonts w:hint="eastAsia" w:ascii="宋体"/>
          <w:b/>
          <w:bCs/>
          <w:lang w:val="en-US" w:eastAsia="zh-CN"/>
        </w:rPr>
        <w:t>5</w:t>
      </w:r>
      <w:r>
        <w:rPr>
          <w:rStyle w:val="32"/>
          <w:rFonts w:hint="eastAsia" w:ascii="宋体"/>
          <w:b/>
          <w:bCs/>
        </w:rPr>
        <w:t>年）的财务审计报告</w:t>
      </w:r>
      <w:r>
        <w:rPr>
          <w:rStyle w:val="32"/>
          <w:rFonts w:hint="eastAsia" w:ascii="宋体"/>
        </w:rPr>
        <w:t>，并</w:t>
      </w:r>
      <w:r>
        <w:rPr>
          <w:rStyle w:val="32"/>
          <w:rFonts w:hint="eastAsia" w:ascii="宋体"/>
          <w:b/>
          <w:bCs/>
        </w:rPr>
        <w:t>加盖公章</w:t>
      </w:r>
      <w:r>
        <w:rPr>
          <w:rStyle w:val="32"/>
          <w:rFonts w:hint="eastAsia" w:ascii="宋体"/>
        </w:rPr>
        <w:t>（包括但不限于报告页、经审计的资产负债表、利润表、现金流量表及报表附注）。如投标人公司没有经审计的财务报告，可提供</w:t>
      </w:r>
      <w:r>
        <w:rPr>
          <w:rStyle w:val="32"/>
          <w:rFonts w:hint="eastAsia" w:ascii="宋体"/>
          <w:b/>
          <w:bCs/>
        </w:rPr>
        <w:t>加盖公章的近三年财务报表</w:t>
      </w:r>
      <w:r>
        <w:rPr>
          <w:rStyle w:val="32"/>
          <w:rFonts w:hint="eastAsia" w:ascii="宋体"/>
        </w:rPr>
        <w:t>，包括但不限于资产负债表、利润表、现金流量表。应提供</w:t>
      </w:r>
      <w:r>
        <w:rPr>
          <w:rStyle w:val="32"/>
          <w:rFonts w:hint="eastAsia" w:ascii="宋体"/>
          <w:b/>
          <w:bCs/>
        </w:rPr>
        <w:t>中文版本</w:t>
      </w:r>
      <w:r>
        <w:rPr>
          <w:rStyle w:val="32"/>
          <w:rFonts w:hint="eastAsia" w:ascii="宋体"/>
        </w:rPr>
        <w:t>的审计报告或财务报表。</w:t>
      </w:r>
      <w:r>
        <w:rPr>
          <w:rStyle w:val="32"/>
          <w:rFonts w:hint="eastAsia" w:ascii="宋体"/>
          <w:b/>
          <w:bCs/>
        </w:rPr>
        <w:t>要求汇总表与财务报告（表）数据必须一致。</w:t>
      </w:r>
    </w:p>
    <w:tbl>
      <w:tblPr>
        <w:tblStyle w:val="13"/>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2"/>
        <w:gridCol w:w="1997"/>
        <w:gridCol w:w="1725"/>
        <w:gridCol w:w="2067"/>
      </w:tblGrid>
      <w:tr w14:paraId="6F78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21" w:type="dxa"/>
            <w:gridSpan w:val="4"/>
            <w:tcBorders>
              <w:top w:val="single" w:color="auto" w:sz="4" w:space="0"/>
              <w:left w:val="single" w:color="auto" w:sz="4" w:space="0"/>
              <w:bottom w:val="single" w:color="auto" w:sz="4" w:space="0"/>
              <w:right w:val="single" w:color="auto" w:sz="4" w:space="0"/>
            </w:tcBorders>
            <w:noWrap/>
            <w:vAlign w:val="center"/>
          </w:tcPr>
          <w:p w14:paraId="1A52FA84">
            <w:pPr>
              <w:keepNext w:val="0"/>
              <w:keepLines w:val="0"/>
              <w:suppressLineNumbers w:val="0"/>
              <w:adjustRightInd w:val="0"/>
              <w:snapToGrid w:val="0"/>
              <w:spacing w:before="0" w:beforeAutospacing="0" w:after="0" w:afterAutospacing="0" w:line="440" w:lineRule="exact"/>
              <w:ind w:left="0" w:right="0" w:firstLine="562"/>
              <w:jc w:val="center"/>
              <w:rPr>
                <w:rStyle w:val="32"/>
                <w:rFonts w:hint="default" w:ascii="宋体"/>
                <w:b/>
                <w:bCs/>
                <w:szCs w:val="20"/>
              </w:rPr>
            </w:pPr>
            <w:r>
              <w:rPr>
                <w:rStyle w:val="32"/>
                <w:rFonts w:hint="eastAsia" w:ascii="宋体"/>
                <w:b/>
                <w:bCs/>
                <w:sz w:val="28"/>
                <w:szCs w:val="36"/>
              </w:rPr>
              <w:t>投标单位资产情况汇总表</w:t>
            </w:r>
          </w:p>
        </w:tc>
      </w:tr>
      <w:tr w14:paraId="752A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060EBF09">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注册资金（万元）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0BCF94A2">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2BA3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06D0CD67">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实收资金（万元）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5500D45C">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4A4B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19111D91">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年度资产情况</w:t>
            </w:r>
          </w:p>
        </w:tc>
        <w:tc>
          <w:tcPr>
            <w:tcW w:w="1997" w:type="dxa"/>
            <w:tcBorders>
              <w:top w:val="single" w:color="auto" w:sz="4" w:space="0"/>
              <w:left w:val="single" w:color="auto" w:sz="4" w:space="0"/>
              <w:bottom w:val="single" w:color="auto" w:sz="4" w:space="0"/>
              <w:right w:val="single" w:color="auto" w:sz="4" w:space="0"/>
            </w:tcBorders>
            <w:noWrap/>
          </w:tcPr>
          <w:p w14:paraId="0C51DD8C">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default" w:ascii="宋体"/>
                <w:szCs w:val="20"/>
              </w:rPr>
              <w:t>202</w:t>
            </w:r>
            <w:r>
              <w:rPr>
                <w:rStyle w:val="32"/>
                <w:rFonts w:hint="eastAsia" w:ascii="宋体"/>
                <w:szCs w:val="20"/>
                <w:lang w:val="en-US" w:eastAsia="zh-CN"/>
              </w:rPr>
              <w:t>3</w:t>
            </w:r>
            <w:r>
              <w:rPr>
                <w:rStyle w:val="32"/>
                <w:rFonts w:hint="eastAsia" w:ascii="宋体"/>
                <w:szCs w:val="20"/>
              </w:rPr>
              <w:t>年</w:t>
            </w:r>
          </w:p>
        </w:tc>
        <w:tc>
          <w:tcPr>
            <w:tcW w:w="1725" w:type="dxa"/>
            <w:tcBorders>
              <w:top w:val="single" w:color="auto" w:sz="4" w:space="0"/>
              <w:left w:val="single" w:color="auto" w:sz="4" w:space="0"/>
              <w:bottom w:val="single" w:color="auto" w:sz="4" w:space="0"/>
              <w:right w:val="single" w:color="auto" w:sz="4" w:space="0"/>
            </w:tcBorders>
            <w:noWrap/>
          </w:tcPr>
          <w:p w14:paraId="5FE942B0">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default" w:ascii="宋体"/>
                <w:szCs w:val="20"/>
              </w:rPr>
              <w:t>202</w:t>
            </w:r>
            <w:r>
              <w:rPr>
                <w:rStyle w:val="32"/>
                <w:rFonts w:hint="eastAsia" w:ascii="宋体"/>
                <w:szCs w:val="20"/>
                <w:lang w:val="en-US" w:eastAsia="zh-CN"/>
              </w:rPr>
              <w:t>4</w:t>
            </w:r>
            <w:r>
              <w:rPr>
                <w:rStyle w:val="32"/>
                <w:rFonts w:hint="eastAsia" w:ascii="宋体"/>
                <w:szCs w:val="20"/>
              </w:rPr>
              <w:t>年</w:t>
            </w:r>
          </w:p>
        </w:tc>
        <w:tc>
          <w:tcPr>
            <w:tcW w:w="2067" w:type="dxa"/>
            <w:tcBorders>
              <w:top w:val="single" w:color="auto" w:sz="4" w:space="0"/>
              <w:left w:val="single" w:color="auto" w:sz="4" w:space="0"/>
              <w:bottom w:val="single" w:color="auto" w:sz="4" w:space="0"/>
              <w:right w:val="single" w:color="auto" w:sz="4" w:space="0"/>
            </w:tcBorders>
            <w:noWrap/>
          </w:tcPr>
          <w:p w14:paraId="06A6381E">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202</w:t>
            </w:r>
            <w:r>
              <w:rPr>
                <w:rStyle w:val="32"/>
                <w:rFonts w:hint="eastAsia" w:ascii="宋体"/>
                <w:szCs w:val="20"/>
                <w:lang w:val="en-US" w:eastAsia="zh-CN"/>
              </w:rPr>
              <w:t>5</w:t>
            </w:r>
            <w:r>
              <w:rPr>
                <w:rStyle w:val="32"/>
                <w:rFonts w:hint="eastAsia" w:ascii="宋体"/>
                <w:szCs w:val="20"/>
              </w:rPr>
              <w:t>年</w:t>
            </w:r>
          </w:p>
        </w:tc>
      </w:tr>
      <w:tr w14:paraId="37ED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06E647A">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流动资产（万元）</w:t>
            </w:r>
          </w:p>
        </w:tc>
        <w:tc>
          <w:tcPr>
            <w:tcW w:w="1997" w:type="dxa"/>
            <w:tcBorders>
              <w:top w:val="single" w:color="auto" w:sz="4" w:space="0"/>
              <w:left w:val="single" w:color="auto" w:sz="4" w:space="0"/>
              <w:bottom w:val="single" w:color="auto" w:sz="4" w:space="0"/>
              <w:right w:val="single" w:color="auto" w:sz="4" w:space="0"/>
            </w:tcBorders>
            <w:noWrap/>
          </w:tcPr>
          <w:p w14:paraId="43051AFC">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044ADC2D">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4B912650">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0AAF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AC23441">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非流动资产（万元）</w:t>
            </w:r>
          </w:p>
        </w:tc>
        <w:tc>
          <w:tcPr>
            <w:tcW w:w="1997" w:type="dxa"/>
            <w:tcBorders>
              <w:top w:val="single" w:color="auto" w:sz="4" w:space="0"/>
              <w:left w:val="single" w:color="auto" w:sz="4" w:space="0"/>
              <w:bottom w:val="single" w:color="auto" w:sz="4" w:space="0"/>
              <w:right w:val="single" w:color="auto" w:sz="4" w:space="0"/>
            </w:tcBorders>
            <w:noWrap/>
          </w:tcPr>
          <w:p w14:paraId="0A14A111">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1B989A0A">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0000AE8A">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19F7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FB27582">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营业收入（万元）</w:t>
            </w:r>
          </w:p>
        </w:tc>
        <w:tc>
          <w:tcPr>
            <w:tcW w:w="1997" w:type="dxa"/>
            <w:tcBorders>
              <w:top w:val="single" w:color="auto" w:sz="4" w:space="0"/>
              <w:left w:val="single" w:color="auto" w:sz="4" w:space="0"/>
              <w:bottom w:val="single" w:color="auto" w:sz="4" w:space="0"/>
              <w:right w:val="single" w:color="auto" w:sz="4" w:space="0"/>
            </w:tcBorders>
            <w:noWrap/>
          </w:tcPr>
          <w:p w14:paraId="3A67C0A2">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666AC496">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2CF959C1">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7360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7B493EA">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年底资产总值（万元）</w:t>
            </w:r>
          </w:p>
        </w:tc>
        <w:tc>
          <w:tcPr>
            <w:tcW w:w="1997" w:type="dxa"/>
            <w:tcBorders>
              <w:top w:val="single" w:color="auto" w:sz="4" w:space="0"/>
              <w:left w:val="single" w:color="auto" w:sz="4" w:space="0"/>
              <w:bottom w:val="single" w:color="auto" w:sz="4" w:space="0"/>
              <w:right w:val="single" w:color="auto" w:sz="4" w:space="0"/>
            </w:tcBorders>
            <w:noWrap/>
          </w:tcPr>
          <w:p w14:paraId="2CE949E8">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2F1B7A95">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038C2387">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3882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1188984">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年底负债总值（万元）</w:t>
            </w:r>
          </w:p>
        </w:tc>
        <w:tc>
          <w:tcPr>
            <w:tcW w:w="1997" w:type="dxa"/>
            <w:tcBorders>
              <w:top w:val="single" w:color="auto" w:sz="4" w:space="0"/>
              <w:left w:val="single" w:color="auto" w:sz="4" w:space="0"/>
              <w:bottom w:val="single" w:color="auto" w:sz="4" w:space="0"/>
              <w:right w:val="single" w:color="auto" w:sz="4" w:space="0"/>
            </w:tcBorders>
            <w:noWrap/>
          </w:tcPr>
          <w:p w14:paraId="42801F23">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1682D1A1">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35750450">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3E32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56EF751">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资产负债率（**.**%）</w:t>
            </w:r>
          </w:p>
        </w:tc>
        <w:tc>
          <w:tcPr>
            <w:tcW w:w="1997" w:type="dxa"/>
            <w:tcBorders>
              <w:top w:val="single" w:color="auto" w:sz="4" w:space="0"/>
              <w:left w:val="single" w:color="auto" w:sz="4" w:space="0"/>
              <w:bottom w:val="single" w:color="auto" w:sz="4" w:space="0"/>
              <w:right w:val="single" w:color="auto" w:sz="4" w:space="0"/>
            </w:tcBorders>
            <w:noWrap/>
          </w:tcPr>
          <w:p w14:paraId="35C9B679">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72B3B7FF">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7637111C">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4E5A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6108BB13">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净利润（万元）</w:t>
            </w:r>
          </w:p>
        </w:tc>
        <w:tc>
          <w:tcPr>
            <w:tcW w:w="1997" w:type="dxa"/>
            <w:tcBorders>
              <w:top w:val="single" w:color="auto" w:sz="4" w:space="0"/>
              <w:left w:val="single" w:color="auto" w:sz="4" w:space="0"/>
              <w:bottom w:val="single" w:color="auto" w:sz="4" w:space="0"/>
              <w:right w:val="single" w:color="auto" w:sz="4" w:space="0"/>
            </w:tcBorders>
            <w:noWrap/>
          </w:tcPr>
          <w:p w14:paraId="335FF130">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76ED1ED8">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4397DB16">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303F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6467D6A">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未分配利润（万元）</w:t>
            </w:r>
          </w:p>
        </w:tc>
        <w:tc>
          <w:tcPr>
            <w:tcW w:w="1997" w:type="dxa"/>
            <w:tcBorders>
              <w:top w:val="single" w:color="auto" w:sz="4" w:space="0"/>
              <w:left w:val="single" w:color="auto" w:sz="4" w:space="0"/>
              <w:bottom w:val="single" w:color="auto" w:sz="4" w:space="0"/>
              <w:right w:val="single" w:color="auto" w:sz="4" w:space="0"/>
            </w:tcBorders>
            <w:noWrap/>
          </w:tcPr>
          <w:p w14:paraId="0C440618">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776B9B7D">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2DCB4E15">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2DCC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72395EA">
            <w:pPr>
              <w:keepNext w:val="0"/>
              <w:keepLines w:val="0"/>
              <w:suppressLineNumbers w:val="0"/>
              <w:spacing w:before="0" w:beforeAutospacing="0" w:after="0" w:afterAutospacing="0" w:line="440" w:lineRule="exact"/>
              <w:ind w:left="0" w:right="0"/>
              <w:jc w:val="center"/>
              <w:rPr>
                <w:rFonts w:hint="default"/>
                <w:szCs w:val="20"/>
              </w:rPr>
            </w:pPr>
            <w:r>
              <w:rPr>
                <w:rFonts w:hint="eastAsia"/>
                <w:szCs w:val="20"/>
              </w:rPr>
              <w:t>营运资金</w:t>
            </w:r>
            <w:r>
              <w:rPr>
                <w:rStyle w:val="32"/>
                <w:rFonts w:hint="eastAsia" w:ascii="宋体"/>
                <w:szCs w:val="20"/>
              </w:rPr>
              <w:t>（万元）</w:t>
            </w:r>
          </w:p>
        </w:tc>
        <w:tc>
          <w:tcPr>
            <w:tcW w:w="1997" w:type="dxa"/>
            <w:tcBorders>
              <w:top w:val="single" w:color="auto" w:sz="4" w:space="0"/>
              <w:left w:val="single" w:color="auto" w:sz="4" w:space="0"/>
              <w:bottom w:val="single" w:color="auto" w:sz="4" w:space="0"/>
              <w:right w:val="single" w:color="auto" w:sz="4" w:space="0"/>
            </w:tcBorders>
            <w:noWrap/>
          </w:tcPr>
          <w:p w14:paraId="62FFD693">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1725" w:type="dxa"/>
            <w:tcBorders>
              <w:top w:val="single" w:color="auto" w:sz="4" w:space="0"/>
              <w:left w:val="single" w:color="auto" w:sz="4" w:space="0"/>
              <w:bottom w:val="single" w:color="auto" w:sz="4" w:space="0"/>
              <w:right w:val="single" w:color="auto" w:sz="4" w:space="0"/>
            </w:tcBorders>
            <w:noWrap/>
          </w:tcPr>
          <w:p w14:paraId="557A8FFD">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018D71FC">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r w14:paraId="6AE9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1B12DE41">
            <w:pPr>
              <w:keepNext w:val="0"/>
              <w:keepLines w:val="0"/>
              <w:suppressLineNumbers w:val="0"/>
              <w:spacing w:before="0" w:beforeAutospacing="0" w:after="0" w:afterAutospacing="0" w:line="440" w:lineRule="exact"/>
              <w:ind w:left="0" w:right="0"/>
              <w:jc w:val="center"/>
              <w:rPr>
                <w:rStyle w:val="32"/>
                <w:rFonts w:hint="default" w:ascii="宋体"/>
                <w:szCs w:val="20"/>
              </w:rPr>
            </w:pPr>
            <w:r>
              <w:rPr>
                <w:rStyle w:val="32"/>
                <w:rFonts w:hint="eastAsia" w:ascii="宋体"/>
                <w:szCs w:val="20"/>
              </w:rPr>
              <w:t>发展能力状况</w:t>
            </w:r>
          </w:p>
          <w:p w14:paraId="2E4D1AE1">
            <w:pPr>
              <w:keepNext w:val="0"/>
              <w:keepLines w:val="0"/>
              <w:suppressLineNumbers w:val="0"/>
              <w:spacing w:before="0" w:beforeAutospacing="0" w:after="0" w:afterAutospacing="0" w:line="440" w:lineRule="exact"/>
              <w:ind w:left="0" w:right="0"/>
              <w:jc w:val="center"/>
              <w:rPr>
                <w:rFonts w:hint="default"/>
                <w:szCs w:val="20"/>
              </w:rPr>
            </w:pPr>
            <w:r>
              <w:rPr>
                <w:rStyle w:val="32"/>
                <w:rFonts w:hint="eastAsia" w:ascii="宋体"/>
                <w:szCs w:val="20"/>
              </w:rPr>
              <w:t>（本年营业收入-上年营业收入）÷上年营业收入</w:t>
            </w:r>
          </w:p>
        </w:tc>
        <w:tc>
          <w:tcPr>
            <w:tcW w:w="1997" w:type="dxa"/>
            <w:tcBorders>
              <w:top w:val="single" w:color="auto" w:sz="4" w:space="0"/>
              <w:left w:val="single" w:color="auto" w:sz="4" w:space="0"/>
              <w:bottom w:val="single" w:color="auto" w:sz="4" w:space="0"/>
              <w:right w:val="single" w:color="auto" w:sz="4" w:space="0"/>
            </w:tcBorders>
            <w:noWrap/>
          </w:tcPr>
          <w:p w14:paraId="748450E0">
            <w:pPr>
              <w:keepNext w:val="0"/>
              <w:keepLines w:val="0"/>
              <w:suppressLineNumbers w:val="0"/>
              <w:spacing w:before="0" w:beforeAutospacing="0" w:after="0" w:afterAutospacing="0" w:line="440" w:lineRule="exact"/>
              <w:ind w:left="0" w:right="0"/>
              <w:jc w:val="center"/>
              <w:rPr>
                <w:rStyle w:val="32"/>
                <w:rFonts w:hint="default"/>
                <w:szCs w:val="20"/>
              </w:rPr>
            </w:pPr>
          </w:p>
        </w:tc>
        <w:tc>
          <w:tcPr>
            <w:tcW w:w="1725" w:type="dxa"/>
            <w:tcBorders>
              <w:top w:val="single" w:color="auto" w:sz="4" w:space="0"/>
              <w:left w:val="single" w:color="auto" w:sz="4" w:space="0"/>
              <w:bottom w:val="single" w:color="auto" w:sz="4" w:space="0"/>
              <w:right w:val="single" w:color="auto" w:sz="4" w:space="0"/>
            </w:tcBorders>
            <w:noWrap/>
          </w:tcPr>
          <w:p w14:paraId="286BD648">
            <w:pPr>
              <w:keepNext w:val="0"/>
              <w:keepLines w:val="0"/>
              <w:suppressLineNumbers w:val="0"/>
              <w:spacing w:before="0" w:beforeAutospacing="0" w:after="0" w:afterAutospacing="0" w:line="440" w:lineRule="exact"/>
              <w:ind w:left="0" w:right="0"/>
              <w:jc w:val="center"/>
              <w:rPr>
                <w:rStyle w:val="32"/>
                <w:rFonts w:hint="default" w:ascii="宋体"/>
                <w:szCs w:val="20"/>
              </w:rPr>
            </w:pPr>
          </w:p>
        </w:tc>
        <w:tc>
          <w:tcPr>
            <w:tcW w:w="2067" w:type="dxa"/>
            <w:tcBorders>
              <w:top w:val="single" w:color="auto" w:sz="4" w:space="0"/>
              <w:left w:val="single" w:color="auto" w:sz="4" w:space="0"/>
              <w:bottom w:val="single" w:color="auto" w:sz="4" w:space="0"/>
              <w:right w:val="single" w:color="auto" w:sz="4" w:space="0"/>
            </w:tcBorders>
            <w:noWrap/>
          </w:tcPr>
          <w:p w14:paraId="6933721D">
            <w:pPr>
              <w:keepNext w:val="0"/>
              <w:keepLines w:val="0"/>
              <w:suppressLineNumbers w:val="0"/>
              <w:spacing w:before="0" w:beforeAutospacing="0" w:after="0" w:afterAutospacing="0" w:line="440" w:lineRule="exact"/>
              <w:ind w:left="0" w:right="0"/>
              <w:jc w:val="center"/>
              <w:rPr>
                <w:rStyle w:val="32"/>
                <w:rFonts w:hint="default" w:ascii="宋体"/>
                <w:szCs w:val="20"/>
              </w:rPr>
            </w:pPr>
          </w:p>
        </w:tc>
      </w:tr>
    </w:tbl>
    <w:p w14:paraId="18222C5D">
      <w:pPr>
        <w:rPr>
          <w:rFonts w:hint="eastAsia" w:ascii="宋体" w:hAnsi="宋体"/>
          <w:kern w:val="0"/>
          <w:sz w:val="24"/>
          <w:szCs w:val="21"/>
          <w:lang w:bidi="en-US"/>
        </w:rPr>
      </w:pPr>
      <w:r>
        <w:rPr>
          <w:rFonts w:hint="eastAsia" w:ascii="宋体" w:hAnsi="宋体"/>
          <w:kern w:val="0"/>
          <w:sz w:val="24"/>
          <w:szCs w:val="21"/>
          <w:lang w:bidi="en-US"/>
        </w:rPr>
        <w:br w:type="page"/>
      </w:r>
    </w:p>
    <w:p w14:paraId="23DD9DD4">
      <w:pPr>
        <w:rPr>
          <w:rFonts w:hint="eastAsia" w:ascii="宋体" w:hAnsi="宋体"/>
          <w:kern w:val="0"/>
          <w:sz w:val="24"/>
          <w:szCs w:val="21"/>
          <w:lang w:bidi="en-US"/>
        </w:rPr>
        <w:sectPr>
          <w:pgSz w:w="11906" w:h="16838"/>
          <w:pgMar w:top="1043" w:right="1066" w:bottom="1043" w:left="1066" w:header="850" w:footer="992" w:gutter="0"/>
          <w:cols w:space="0" w:num="1"/>
          <w:rtlGutter w:val="0"/>
          <w:docGrid w:type="lines" w:linePitch="315" w:charSpace="0"/>
        </w:sectPr>
      </w:pPr>
      <w:bookmarkStart w:id="3" w:name="_Toc136871075"/>
    </w:p>
    <w:p w14:paraId="27E310A0">
      <w:pPr>
        <w:rPr>
          <w:rFonts w:hint="eastAsia" w:ascii="宋体" w:hAnsi="宋体"/>
          <w:kern w:val="0"/>
          <w:sz w:val="24"/>
          <w:szCs w:val="21"/>
          <w:lang w:bidi="en-US"/>
        </w:rPr>
      </w:pPr>
      <w:r>
        <w:rPr>
          <w:rFonts w:hint="eastAsia" w:ascii="宋体" w:hAnsi="宋体"/>
          <w:kern w:val="0"/>
          <w:sz w:val="24"/>
          <w:szCs w:val="21"/>
          <w:lang w:bidi="en-US"/>
        </w:rPr>
        <w:t>附件</w:t>
      </w:r>
      <w:r>
        <w:rPr>
          <w:rFonts w:hint="eastAsia" w:ascii="宋体" w:hAnsi="宋体"/>
          <w:kern w:val="0"/>
          <w:sz w:val="24"/>
          <w:szCs w:val="21"/>
          <w:lang w:val="en-US" w:eastAsia="zh-CN" w:bidi="en-US"/>
        </w:rPr>
        <w:t>3</w:t>
      </w:r>
      <w:r>
        <w:rPr>
          <w:rFonts w:hint="eastAsia" w:ascii="宋体" w:hAnsi="宋体"/>
          <w:kern w:val="0"/>
          <w:sz w:val="24"/>
          <w:szCs w:val="21"/>
          <w:lang w:bidi="en-US"/>
        </w:rPr>
        <w:t>:</w:t>
      </w:r>
    </w:p>
    <w:p w14:paraId="0114EE30">
      <w:pPr>
        <w:jc w:val="center"/>
        <w:rPr>
          <w:rFonts w:hint="eastAsia" w:ascii="宋体" w:hAnsi="宋体"/>
          <w:b/>
          <w:bCs/>
          <w:kern w:val="0"/>
          <w:sz w:val="28"/>
          <w:szCs w:val="22"/>
          <w:lang w:bidi="en-US"/>
        </w:rPr>
      </w:pPr>
      <w:r>
        <w:rPr>
          <w:rFonts w:hint="eastAsia"/>
          <w:b/>
          <w:bCs/>
          <w:kern w:val="0"/>
          <w:sz w:val="28"/>
          <w:szCs w:val="22"/>
          <w:lang w:bidi="en-US"/>
        </w:rPr>
        <w:t>类似工业建筑项目业绩</w:t>
      </w:r>
    </w:p>
    <w:tbl>
      <w:tblPr>
        <w:tblStyle w:val="13"/>
        <w:tblW w:w="14542" w:type="dxa"/>
        <w:tblInd w:w="-1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5"/>
        <w:gridCol w:w="1925"/>
        <w:gridCol w:w="1237"/>
        <w:gridCol w:w="2096"/>
        <w:gridCol w:w="3151"/>
        <w:gridCol w:w="2070"/>
        <w:gridCol w:w="1823"/>
        <w:gridCol w:w="1665"/>
      </w:tblGrid>
      <w:tr w14:paraId="07480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87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Style w:val="33"/>
                <w:lang w:val="en-US" w:eastAsia="zh-CN" w:bidi="ar"/>
              </w:rPr>
              <w:t>序号</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E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r>
              <w:rPr>
                <w:rStyle w:val="34"/>
                <w:rFonts w:eastAsia="宋体"/>
                <w:lang w:val="en-US" w:eastAsia="zh-CN" w:bidi="ar"/>
              </w:rPr>
              <w:t>/</w:t>
            </w:r>
            <w:r>
              <w:rPr>
                <w:rStyle w:val="33"/>
                <w:lang w:val="en-US" w:eastAsia="zh-CN" w:bidi="ar"/>
              </w:rPr>
              <w:t>合同名称</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BE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Style w:val="33"/>
                <w:lang w:val="en-US" w:eastAsia="zh-CN" w:bidi="ar"/>
              </w:rPr>
              <w:t>项目地点</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5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建设单位名称</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CF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施工内容及</w:t>
            </w:r>
            <w:r>
              <w:rPr>
                <w:rFonts w:hint="eastAsia" w:ascii="宋体" w:hAnsi="宋体" w:cs="宋体"/>
                <w:i w:val="0"/>
                <w:iCs w:val="0"/>
                <w:color w:val="000000"/>
                <w:kern w:val="0"/>
                <w:sz w:val="24"/>
                <w:szCs w:val="24"/>
                <w:u w:val="none"/>
                <w:lang w:val="en-US" w:eastAsia="zh-CN" w:bidi="ar"/>
              </w:rPr>
              <w:t>投资</w:t>
            </w:r>
            <w:r>
              <w:rPr>
                <w:rFonts w:hint="eastAsia" w:ascii="宋体" w:hAnsi="宋体" w:eastAsia="宋体" w:cs="宋体"/>
                <w:i w:val="0"/>
                <w:iCs w:val="0"/>
                <w:color w:val="000000"/>
                <w:kern w:val="0"/>
                <w:sz w:val="24"/>
                <w:szCs w:val="24"/>
                <w:u w:val="none"/>
                <w:lang w:val="en-US" w:eastAsia="zh-CN" w:bidi="ar"/>
              </w:rPr>
              <w:t>规模</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72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造价咨询服务合同额</w:t>
            </w: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870A">
            <w:pPr>
              <w:keepNext w:val="0"/>
              <w:keepLines w:val="0"/>
              <w:widowControl/>
              <w:suppressLineNumbers w:val="0"/>
              <w:spacing w:before="0" w:beforeAutospacing="0" w:after="0" w:afterAutospacing="0"/>
              <w:ind w:left="0" w:right="0"/>
              <w:jc w:val="center"/>
              <w:textAlignment w:val="center"/>
              <w:rPr>
                <w:rStyle w:val="33"/>
                <w:lang w:val="en-US" w:eastAsia="zh-CN" w:bidi="ar"/>
              </w:rPr>
            </w:pPr>
            <w:r>
              <w:rPr>
                <w:rStyle w:val="33"/>
                <w:lang w:val="en-US" w:eastAsia="zh-CN" w:bidi="ar"/>
              </w:rPr>
              <w:t>造价咨询</w:t>
            </w:r>
          </w:p>
          <w:p w14:paraId="16E32A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Style w:val="33"/>
                <w:lang w:val="en-US" w:eastAsia="zh-CN" w:bidi="ar"/>
              </w:rPr>
              <w:t>项目负责人</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EF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Style w:val="33"/>
                <w:lang w:val="en-US" w:eastAsia="zh-CN" w:bidi="ar"/>
              </w:rPr>
              <w:t>是否已竣工</w:t>
            </w:r>
          </w:p>
        </w:tc>
      </w:tr>
      <w:tr w14:paraId="23E1F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889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16FA4A">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548768">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4EA7CF">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9DCC9A">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410128">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17BB31">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50D526">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r>
      <w:tr w14:paraId="141A2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AE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AFE0E1">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B5BBCE">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634BDD">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115283">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443904">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0205A7">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2A323C">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r>
      <w:tr w14:paraId="5EF4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438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0DF702">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ACFAE4">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BA6CE3">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F645AF">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31E020">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F4266B">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FD6CB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r>
      <w:tr w14:paraId="72EF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A1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5266BC">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8CA9CE">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5B6B91">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E389D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6CD69F">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1FCC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47967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r>
      <w:tr w14:paraId="5E6B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E26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411D5D">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3E5F6D">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E589A7">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FA38F2">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3B0B95">
            <w:pPr>
              <w:keepNext w:val="0"/>
              <w:keepLines w:val="0"/>
              <w:suppressLineNumbers w:val="0"/>
              <w:spacing w:before="0" w:beforeAutospacing="0" w:after="0" w:afterAutospacing="0"/>
              <w:ind w:left="0" w:right="0"/>
              <w:jc w:val="both"/>
              <w:rPr>
                <w:rFonts w:hint="default" w:ascii="Times New Roman" w:hAnsi="Times New Roman" w:eastAsia="宋体" w:cs="Times New Roman"/>
                <w:i w:val="0"/>
                <w:iCs w:val="0"/>
                <w:color w:val="000000"/>
                <w:sz w:val="24"/>
                <w:szCs w:val="24"/>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6F834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00F57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r>
    </w:tbl>
    <w:p w14:paraId="2105BD6D">
      <w:pPr>
        <w:rPr>
          <w:rFonts w:hint="eastAsia" w:ascii="宋体" w:hAnsi="宋体"/>
          <w:kern w:val="0"/>
          <w:sz w:val="24"/>
          <w:szCs w:val="21"/>
          <w:lang w:bidi="en-US"/>
        </w:rPr>
      </w:pPr>
    </w:p>
    <w:p w14:paraId="5F16A96E">
      <w:pPr>
        <w:rPr>
          <w:rFonts w:hint="eastAsia"/>
          <w:sz w:val="30"/>
          <w:szCs w:val="30"/>
        </w:rPr>
      </w:pPr>
      <w:r>
        <w:rPr>
          <w:rFonts w:hint="eastAsia"/>
          <w:sz w:val="30"/>
          <w:szCs w:val="30"/>
        </w:rPr>
        <w:br w:type="page"/>
      </w:r>
    </w:p>
    <w:p w14:paraId="3FF5B25F">
      <w:pPr>
        <w:autoSpaceDE w:val="0"/>
        <w:autoSpaceDN w:val="0"/>
        <w:rPr>
          <w:rFonts w:hint="eastAsia"/>
          <w:sz w:val="30"/>
          <w:szCs w:val="30"/>
        </w:rPr>
        <w:sectPr>
          <w:pgSz w:w="16838" w:h="11906" w:orient="landscape"/>
          <w:pgMar w:top="1066" w:right="1043" w:bottom="1066" w:left="1043" w:header="850" w:footer="992" w:gutter="0"/>
          <w:cols w:space="0" w:num="1"/>
          <w:rtlGutter w:val="0"/>
          <w:docGrid w:type="lines" w:linePitch="315" w:charSpace="0"/>
        </w:sectPr>
      </w:pPr>
    </w:p>
    <w:p w14:paraId="6CFCF6CD">
      <w:pPr>
        <w:autoSpaceDE w:val="0"/>
        <w:autoSpaceDN w:val="0"/>
        <w:rPr>
          <w:rFonts w:hint="eastAsia" w:ascii="宋体" w:eastAsia="宋体"/>
          <w:sz w:val="28"/>
          <w:szCs w:val="28"/>
          <w:lang w:eastAsia="zh-CN"/>
        </w:rPr>
      </w:pPr>
      <w:r>
        <w:rPr>
          <w:rFonts w:hint="eastAsia"/>
          <w:sz w:val="30"/>
          <w:szCs w:val="30"/>
        </w:rPr>
        <w:t>附件</w:t>
      </w:r>
      <w:r>
        <w:rPr>
          <w:rFonts w:hint="eastAsia"/>
          <w:sz w:val="30"/>
          <w:szCs w:val="30"/>
          <w:lang w:val="en-US" w:eastAsia="zh-CN"/>
        </w:rPr>
        <w:t>4</w:t>
      </w:r>
    </w:p>
    <w:bookmarkEnd w:id="3"/>
    <w:p w14:paraId="0B44E617">
      <w:pPr>
        <w:spacing w:line="360" w:lineRule="auto"/>
        <w:jc w:val="center"/>
        <w:rPr>
          <w:rFonts w:ascii="宋体" w:hAnsi="宋体"/>
          <w:b/>
          <w:sz w:val="32"/>
          <w:szCs w:val="32"/>
        </w:rPr>
      </w:pPr>
      <w:r>
        <w:rPr>
          <w:rFonts w:hint="eastAsia" w:ascii="宋体" w:hAnsi="宋体"/>
          <w:b/>
          <w:sz w:val="32"/>
          <w:szCs w:val="32"/>
        </w:rPr>
        <w:t>法人授权委托书</w:t>
      </w:r>
    </w:p>
    <w:p w14:paraId="7CBC0F2F">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3EB6D13B">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w:t>
      </w:r>
      <w:r>
        <w:rPr>
          <w:rFonts w:ascii="宋体" w:cs="宋体"/>
          <w:sz w:val="24"/>
          <w:u w:val="single"/>
        </w:rPr>
        <w:t xml:space="preserve">                  </w:t>
      </w:r>
      <w:r>
        <w:rPr>
          <w:rFonts w:hint="eastAsia" w:ascii="宋体" w:cs="宋体"/>
          <w:sz w:val="24"/>
          <w:u w:val="single"/>
        </w:rPr>
        <w:t>项目</w:t>
      </w:r>
      <w:r>
        <w:rPr>
          <w:rFonts w:hint="eastAsia" w:ascii="宋体" w:cs="宋体"/>
          <w:sz w:val="24"/>
        </w:rPr>
        <w:t>的投标活动中，以本单位的名义，并代表投标人</w:t>
      </w:r>
      <w:r>
        <w:rPr>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28F6D841">
      <w:pPr>
        <w:snapToGrid w:val="0"/>
        <w:spacing w:line="360" w:lineRule="auto"/>
        <w:ind w:firstLine="480"/>
        <w:rPr>
          <w:rFonts w:ascii="宋体" w:cs="宋体"/>
          <w:sz w:val="24"/>
        </w:rPr>
      </w:pPr>
      <w:r>
        <w:rPr>
          <w:rFonts w:hint="eastAsia" w:ascii="宋体" w:cs="宋体"/>
          <w:sz w:val="24"/>
        </w:rPr>
        <w:t>有效期：</w:t>
      </w:r>
      <w:r>
        <w:rPr>
          <w:rFonts w:hint="eastAsia" w:ascii="宋体" w:cs="宋体"/>
          <w:sz w:val="24"/>
          <w:u w:val="single"/>
        </w:rPr>
        <w:t xml:space="preserve"> </w:t>
      </w:r>
      <w:r>
        <w:rPr>
          <w:rFonts w:ascii="宋体" w:cs="宋体"/>
          <w:sz w:val="24"/>
          <w:u w:val="single"/>
        </w:rPr>
        <w:t xml:space="preserve">        </w:t>
      </w:r>
    </w:p>
    <w:p w14:paraId="06AC5A4A">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13"/>
        <w:tblW w:w="8506" w:type="dxa"/>
        <w:tblInd w:w="-147"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506"/>
      </w:tblGrid>
      <w:tr w14:paraId="388FFBA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356" w:hRule="atLeast"/>
        </w:trPr>
        <w:tc>
          <w:tcPr>
            <w:tcW w:w="8506" w:type="dxa"/>
          </w:tcPr>
          <w:p w14:paraId="58604BC1">
            <w:pPr>
              <w:keepNext w:val="0"/>
              <w:keepLines w:val="0"/>
              <w:suppressLineNumbers w:val="0"/>
              <w:snapToGrid w:val="0"/>
              <w:spacing w:before="0" w:beforeAutospacing="0" w:after="0" w:afterAutospacing="0" w:line="360" w:lineRule="auto"/>
              <w:ind w:left="0" w:right="0" w:firstLine="480" w:firstLineChars="200"/>
              <w:jc w:val="left"/>
              <w:rPr>
                <w:rFonts w:hint="default" w:ascii="宋体" w:cs="宋体"/>
                <w:sz w:val="24"/>
                <w:szCs w:val="20"/>
              </w:rPr>
            </w:pPr>
            <w:r>
              <w:rPr>
                <w:rFonts w:hint="eastAsia" w:ascii="宋体" w:cs="宋体"/>
                <w:sz w:val="24"/>
                <w:szCs w:val="20"/>
              </w:rPr>
              <w:t>（</w:t>
            </w:r>
            <w:r>
              <w:rPr>
                <w:rFonts w:hint="eastAsia" w:ascii="宋体" w:cs="宋体"/>
                <w:b/>
                <w:bCs/>
                <w:sz w:val="24"/>
                <w:szCs w:val="20"/>
              </w:rPr>
              <w:t>法定代表人</w:t>
            </w:r>
            <w:r>
              <w:rPr>
                <w:rFonts w:hint="eastAsia" w:ascii="宋体" w:cs="宋体"/>
                <w:sz w:val="24"/>
                <w:szCs w:val="20"/>
              </w:rPr>
              <w:t>及</w:t>
            </w:r>
            <w:r>
              <w:rPr>
                <w:rFonts w:hint="eastAsia" w:ascii="宋体" w:cs="宋体"/>
                <w:b/>
                <w:bCs/>
                <w:sz w:val="24"/>
                <w:szCs w:val="20"/>
              </w:rPr>
              <w:t>委托代理人</w:t>
            </w:r>
            <w:r>
              <w:rPr>
                <w:rFonts w:hint="eastAsia" w:ascii="宋体" w:cs="宋体"/>
                <w:sz w:val="24"/>
                <w:szCs w:val="20"/>
              </w:rPr>
              <w:t>身份证正、反面复印件）</w:t>
            </w:r>
          </w:p>
          <w:p w14:paraId="5171F36D">
            <w:pPr>
              <w:keepNext w:val="0"/>
              <w:keepLines w:val="0"/>
              <w:suppressLineNumbers w:val="0"/>
              <w:snapToGrid w:val="0"/>
              <w:spacing w:before="0" w:beforeAutospacing="0" w:after="0" w:afterAutospacing="0" w:line="360" w:lineRule="auto"/>
              <w:ind w:left="0" w:right="0" w:firstLine="480"/>
              <w:rPr>
                <w:rFonts w:hint="default" w:ascii="宋体" w:cs="宋体"/>
                <w:sz w:val="24"/>
                <w:szCs w:val="20"/>
              </w:rPr>
            </w:pPr>
          </w:p>
          <w:p w14:paraId="2C705CF0">
            <w:pPr>
              <w:pStyle w:val="10"/>
              <w:keepNext w:val="0"/>
              <w:keepLines w:val="0"/>
              <w:suppressLineNumbers w:val="0"/>
              <w:tabs>
                <w:tab w:val="right" w:leader="dot" w:pos="9629"/>
              </w:tabs>
              <w:spacing w:before="0" w:beforeAutospacing="0" w:after="0" w:afterAutospacing="0"/>
              <w:ind w:left="0" w:right="0"/>
              <w:rPr>
                <w:rFonts w:hint="default"/>
                <w:szCs w:val="20"/>
              </w:rPr>
            </w:pPr>
          </w:p>
          <w:p w14:paraId="39D132BF">
            <w:pPr>
              <w:keepNext w:val="0"/>
              <w:keepLines w:val="0"/>
              <w:suppressLineNumbers w:val="0"/>
              <w:spacing w:before="0" w:beforeAutospacing="0" w:after="0" w:afterAutospacing="0"/>
              <w:ind w:left="0" w:right="0"/>
              <w:rPr>
                <w:rFonts w:hint="default"/>
                <w:szCs w:val="20"/>
              </w:rPr>
            </w:pPr>
          </w:p>
          <w:p w14:paraId="07815C7C">
            <w:pPr>
              <w:pStyle w:val="10"/>
              <w:keepNext w:val="0"/>
              <w:keepLines w:val="0"/>
              <w:suppressLineNumbers w:val="0"/>
              <w:tabs>
                <w:tab w:val="right" w:leader="dot" w:pos="9629"/>
              </w:tabs>
              <w:spacing w:before="0" w:beforeAutospacing="0" w:after="0" w:afterAutospacing="0"/>
              <w:ind w:left="0" w:right="0"/>
              <w:rPr>
                <w:rFonts w:hint="default"/>
                <w:szCs w:val="20"/>
              </w:rPr>
            </w:pPr>
          </w:p>
        </w:tc>
      </w:tr>
    </w:tbl>
    <w:p w14:paraId="4D9214BB">
      <w:pPr>
        <w:snapToGrid w:val="0"/>
        <w:spacing w:line="360" w:lineRule="auto"/>
        <w:rPr>
          <w:rFonts w:ascii="宋体" w:cs="宋体"/>
          <w:sz w:val="24"/>
        </w:rPr>
      </w:pPr>
      <w:r>
        <w:rPr>
          <w:rFonts w:hint="eastAsia" w:ascii="宋体" w:cs="宋体"/>
          <w:sz w:val="24"/>
        </w:rPr>
        <w:t>代理人姓名：</w:t>
      </w:r>
      <w:r>
        <w:rPr>
          <w:rFonts w:hint="eastAsia" w:ascii="宋体" w:cs="宋体"/>
          <w:sz w:val="24"/>
          <w:u w:val="single"/>
        </w:rPr>
        <w:t xml:space="preserve">          </w:t>
      </w:r>
      <w:r>
        <w:rPr>
          <w:rFonts w:hint="eastAsia" w:ascii="宋体" w:cs="宋体"/>
          <w:sz w:val="24"/>
        </w:rPr>
        <w:t xml:space="preserve"> 性别：</w:t>
      </w:r>
      <w:r>
        <w:rPr>
          <w:rFonts w:hint="eastAsia" w:ascii="宋体" w:cs="宋体"/>
          <w:sz w:val="24"/>
          <w:u w:val="single"/>
        </w:rPr>
        <w:t xml:space="preserve"> </w:t>
      </w:r>
      <w:r>
        <w:rPr>
          <w:rFonts w:ascii="宋体" w:cs="宋体"/>
          <w:sz w:val="24"/>
          <w:u w:val="single"/>
        </w:rPr>
        <w:t xml:space="preserve">          </w:t>
      </w:r>
    </w:p>
    <w:p w14:paraId="7AAA3BA3">
      <w:pPr>
        <w:snapToGrid w:val="0"/>
        <w:spacing w:line="360" w:lineRule="auto"/>
        <w:rPr>
          <w:rFonts w:ascii="宋体" w:cs="宋体"/>
          <w:sz w:val="24"/>
        </w:rPr>
      </w:pPr>
      <w:r>
        <w:rPr>
          <w:rFonts w:hint="eastAsia" w:ascii="宋体" w:cs="宋体"/>
          <w:sz w:val="24"/>
        </w:rPr>
        <w:t xml:space="preserve">年龄： </w:t>
      </w:r>
      <w:r>
        <w:rPr>
          <w:rFonts w:hint="eastAsia" w:ascii="宋体" w:cs="宋体"/>
          <w:sz w:val="24"/>
          <w:u w:val="single"/>
        </w:rPr>
        <w:t xml:space="preserve">               </w:t>
      </w:r>
      <w:r>
        <w:rPr>
          <w:rFonts w:hint="eastAsia" w:ascii="宋体" w:cs="宋体"/>
          <w:sz w:val="24"/>
        </w:rPr>
        <w:t xml:space="preserve"> 职务：</w:t>
      </w:r>
      <w:r>
        <w:rPr>
          <w:rFonts w:hint="eastAsia" w:ascii="宋体" w:cs="宋体"/>
          <w:sz w:val="24"/>
          <w:u w:val="single"/>
        </w:rPr>
        <w:t xml:space="preserve">           </w:t>
      </w:r>
      <w:r>
        <w:rPr>
          <w:rFonts w:hint="eastAsia" w:ascii="宋体" w:cs="宋体"/>
          <w:sz w:val="24"/>
        </w:rPr>
        <w:t xml:space="preserve">       </w:t>
      </w:r>
    </w:p>
    <w:p w14:paraId="417A9924">
      <w:pPr>
        <w:snapToGrid w:val="0"/>
        <w:spacing w:line="360" w:lineRule="auto"/>
        <w:rPr>
          <w:rFonts w:ascii="宋体" w:cs="宋体"/>
          <w:sz w:val="24"/>
        </w:rPr>
      </w:pPr>
      <w:r>
        <w:rPr>
          <w:rFonts w:hint="eastAsia" w:ascii="宋体" w:cs="宋体"/>
          <w:sz w:val="24"/>
        </w:rPr>
        <w:t>身份证号：</w:t>
      </w:r>
      <w:r>
        <w:rPr>
          <w:rFonts w:hint="eastAsia" w:ascii="宋体" w:cs="宋体"/>
          <w:sz w:val="24"/>
          <w:u w:val="single"/>
        </w:rPr>
        <w:t xml:space="preserve"> </w:t>
      </w:r>
      <w:r>
        <w:rPr>
          <w:rFonts w:ascii="宋体" w:cs="宋体"/>
          <w:sz w:val="24"/>
          <w:u w:val="single"/>
        </w:rPr>
        <w:t xml:space="preserve">                             </w:t>
      </w:r>
    </w:p>
    <w:p w14:paraId="26ABACF2">
      <w:pPr>
        <w:snapToGrid w:val="0"/>
        <w:spacing w:line="360" w:lineRule="auto"/>
        <w:ind w:firstLine="4920" w:firstLineChars="2050"/>
        <w:rPr>
          <w:rFonts w:ascii="宋体" w:cs="宋体"/>
          <w:sz w:val="24"/>
        </w:rPr>
      </w:pPr>
    </w:p>
    <w:p w14:paraId="4209A061">
      <w:pPr>
        <w:tabs>
          <w:tab w:val="left" w:pos="4395"/>
        </w:tabs>
        <w:snapToGrid w:val="0"/>
        <w:spacing w:line="360" w:lineRule="auto"/>
        <w:ind w:right="240"/>
        <w:jc w:val="left"/>
        <w:rPr>
          <w:rFonts w:ascii="宋体" w:cs="宋体"/>
          <w:sz w:val="24"/>
        </w:rPr>
      </w:pPr>
      <w:r>
        <w:rPr>
          <w:rFonts w:ascii="宋体" w:cs="宋体"/>
          <w:sz w:val="24"/>
        </w:rPr>
        <w:tab/>
      </w:r>
      <w:r>
        <w:rPr>
          <w:rFonts w:hint="eastAsia" w:ascii="宋体" w:cs="宋体"/>
          <w:sz w:val="24"/>
        </w:rPr>
        <w:t xml:space="preserve">投标人（盖章）： </w:t>
      </w:r>
      <w:r>
        <w:rPr>
          <w:rFonts w:ascii="宋体" w:cs="宋体"/>
          <w:sz w:val="24"/>
        </w:rPr>
        <w:t xml:space="preserve">      </w:t>
      </w:r>
    </w:p>
    <w:p w14:paraId="29D44E53">
      <w:pPr>
        <w:pStyle w:val="6"/>
        <w:rPr>
          <w:sz w:val="24"/>
        </w:rPr>
      </w:pPr>
    </w:p>
    <w:p w14:paraId="69DD400D">
      <w:pPr>
        <w:pStyle w:val="6"/>
        <w:tabs>
          <w:tab w:val="left" w:pos="4395"/>
        </w:tabs>
        <w:rPr>
          <w:rFonts w:ascii="宋体" w:hAnsi="宋体" w:eastAsia="宋体"/>
          <w:sz w:val="24"/>
        </w:rPr>
      </w:pPr>
      <w:r>
        <w:rPr>
          <w:rFonts w:ascii="宋体" w:hAnsi="宋体" w:eastAsia="宋体"/>
          <w:sz w:val="24"/>
        </w:rPr>
        <w:tab/>
      </w:r>
      <w:r>
        <w:rPr>
          <w:rFonts w:hint="eastAsia" w:ascii="宋体" w:hAnsi="宋体" w:eastAsia="宋体"/>
          <w:sz w:val="24"/>
        </w:rPr>
        <w:t>法定代表人（签字或盖章）：</w:t>
      </w:r>
    </w:p>
    <w:p w14:paraId="55979125"/>
    <w:p w14:paraId="00312A7A">
      <w:pPr>
        <w:jc w:val="right"/>
        <w:rPr>
          <w:rFonts w:hint="eastAsia" w:ascii="宋体" w:cs="宋体"/>
          <w:sz w:val="24"/>
        </w:rPr>
      </w:pPr>
      <w:r>
        <w:rPr>
          <w:rFonts w:hint="eastAsia" w:ascii="宋体" w:cs="宋体"/>
          <w:sz w:val="24"/>
        </w:rPr>
        <w:t>日期：    年   月   日</w:t>
      </w:r>
    </w:p>
    <w:p w14:paraId="16086655">
      <w:pPr>
        <w:pStyle w:val="12"/>
        <w:snapToGrid w:val="0"/>
        <w:jc w:val="both"/>
        <w:rPr>
          <w:b/>
          <w:bCs w:val="0"/>
          <w:sz w:val="44"/>
          <w:szCs w:val="60"/>
        </w:rPr>
        <w:sectPr>
          <w:pgSz w:w="11906" w:h="16838"/>
          <w:pgMar w:top="1043" w:right="1066" w:bottom="1043" w:left="1066" w:header="850" w:footer="992" w:gutter="0"/>
          <w:pgNumType w:fmt="numberInDash" w:start="1"/>
          <w:cols w:space="0" w:num="1"/>
          <w:rtlGutter w:val="0"/>
          <w:docGrid w:type="lines" w:linePitch="321" w:charSpace="0"/>
        </w:sectPr>
      </w:pPr>
    </w:p>
    <w:p w14:paraId="01A530B6">
      <w:pPr>
        <w:autoSpaceDE w:val="0"/>
        <w:autoSpaceDN w:val="0"/>
        <w:rPr>
          <w:rFonts w:hint="eastAsia" w:eastAsia="宋体"/>
          <w:b/>
          <w:bCs w:val="0"/>
          <w:sz w:val="44"/>
          <w:szCs w:val="60"/>
          <w:lang w:val="en-US" w:eastAsia="zh-CN"/>
        </w:rPr>
      </w:pPr>
      <w:r>
        <w:rPr>
          <w:rFonts w:hint="eastAsia"/>
          <w:sz w:val="30"/>
          <w:szCs w:val="30"/>
        </w:rPr>
        <w:t>附件</w:t>
      </w:r>
      <w:r>
        <w:rPr>
          <w:rFonts w:hint="eastAsia"/>
          <w:sz w:val="30"/>
          <w:szCs w:val="30"/>
          <w:lang w:val="en-US" w:eastAsia="zh-CN"/>
        </w:rPr>
        <w:t>5</w:t>
      </w:r>
    </w:p>
    <w:p w14:paraId="5A18DCE2">
      <w:pPr>
        <w:pStyle w:val="12"/>
        <w:snapToGrid w:val="0"/>
        <w:rPr>
          <w:b/>
          <w:bCs w:val="0"/>
          <w:sz w:val="44"/>
          <w:szCs w:val="60"/>
        </w:rPr>
      </w:pPr>
      <w:r>
        <w:rPr>
          <w:b/>
          <w:bCs w:val="0"/>
          <w:sz w:val="44"/>
          <w:szCs w:val="60"/>
        </w:rPr>
        <w:t>非生产供应商注册操作手册</w:t>
      </w:r>
    </w:p>
    <w:p w14:paraId="48E22165">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09CA57EC">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72E78AEA">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125E80D3">
      <w:pPr>
        <w:snapToGrid w:val="0"/>
        <w:spacing w:line="288" w:lineRule="auto"/>
        <w:rPr>
          <w:rFonts w:hint="eastAsia" w:ascii="宋体" w:hAnsi="宋体" w:cs="宋体"/>
          <w:b/>
          <w:bCs/>
          <w:color w:val="FF0000"/>
          <w:szCs w:val="21"/>
        </w:rPr>
      </w:pPr>
      <w:r>
        <w:rPr>
          <w:rFonts w:hint="eastAsia" w:ascii="宋体" w:hAnsi="宋体" w:cs="宋体"/>
          <w:b/>
          <w:bCs/>
          <w:color w:val="FF0000"/>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0C922FDA">
      <w:pPr>
        <w:rPr>
          <w:rFonts w:ascii="宋体" w:cs="宋体"/>
          <w:b/>
          <w:bCs/>
          <w:color w:val="C00000"/>
          <w:lang w:bidi="ar"/>
        </w:rPr>
      </w:pPr>
    </w:p>
    <w:p w14:paraId="10E9E054">
      <w:pPr>
        <w:rPr>
          <w:rFonts w:ascii="宋体" w:cs="宋体"/>
          <w:b/>
          <w:bCs/>
          <w:color w:val="C00000"/>
          <w:lang w:bidi="ar"/>
        </w:rPr>
      </w:pPr>
    </w:p>
    <w:p w14:paraId="5500AFF5">
      <w:pPr>
        <w:rPr>
          <w:rFonts w:ascii="宋体" w:cs="宋体"/>
          <w:b/>
          <w:bCs/>
          <w:sz w:val="32"/>
          <w:szCs w:val="40"/>
          <w:highlight w:val="yellow"/>
        </w:rPr>
      </w:pPr>
      <w:r>
        <w:rPr>
          <w:rFonts w:hint="eastAsia" w:ascii="宋体" w:cs="宋体"/>
          <w:b/>
          <w:bCs/>
          <w:sz w:val="32"/>
          <w:szCs w:val="40"/>
          <w:highlight w:val="yellow"/>
          <w:lang w:bidi="ar"/>
        </w:rPr>
        <w:t>供应商注册</w:t>
      </w:r>
    </w:p>
    <w:p w14:paraId="619862CE">
      <w:pPr>
        <w:rPr>
          <w:rFonts w:ascii="宋体" w:cs="宋体"/>
          <w:b/>
          <w:bCs/>
          <w:color w:val="C00000"/>
        </w:rPr>
      </w:pPr>
      <w:r>
        <w:rPr>
          <w:rFonts w:hint="eastAsia" w:ascii="宋体" w:cs="宋体"/>
          <w:b/>
          <w:bCs/>
          <w:color w:val="C00000"/>
          <w:lang w:bidi="ar"/>
        </w:rPr>
        <w:t>归口部门选“技术改造部”</w:t>
      </w:r>
    </w:p>
    <w:p w14:paraId="37D437E9">
      <w:r>
        <w:rPr>
          <w:rFonts w:hint="eastAsia" w:ascii="宋体" w:cs="宋体"/>
          <w:color w:val="000000"/>
          <w:lang w:bidi="ar"/>
        </w:rPr>
        <w:t>浏览器中输入地址</w:t>
      </w:r>
      <w:r>
        <w:rPr>
          <w:rFonts w:ascii="Calibri" w:hAnsi="Calibri" w:eastAsia="Calibri" w:cs="Calibri"/>
          <w:color w:val="000000"/>
          <w:lang w:bidi="ar"/>
        </w:rPr>
        <w:t>;</w:t>
      </w:r>
    </w:p>
    <w:p w14:paraId="78C442CF">
      <w:r>
        <w:fldChar w:fldCharType="begin"/>
      </w:r>
      <w:r>
        <w:instrText xml:space="preserve"> HYPERLINK "http://ecaitong.sinotruk.com:8012/" \l "/login normalLink /tdkey d38o9f /tdfe -10 /tdfu http:/ecaitong.sinotruk.com:8012/#/login /tdlt inline" </w:instrText>
      </w:r>
      <w:r>
        <w:fldChar w:fldCharType="separate"/>
      </w:r>
      <w:r>
        <w:rPr>
          <w:rStyle w:val="21"/>
        </w:rPr>
        <w:t>http</w:t>
      </w:r>
      <w:r>
        <w:rPr>
          <w:rStyle w:val="21"/>
          <w:rFonts w:hint="eastAsia"/>
        </w:rPr>
        <w:t>s</w:t>
      </w:r>
      <w:r>
        <w:rPr>
          <w:rStyle w:val="21"/>
        </w:rPr>
        <w:t>://ecaitong.sinotruk.com:8012/#/login</w:t>
      </w:r>
      <w:r>
        <w:rPr>
          <w:rStyle w:val="21"/>
        </w:rPr>
        <w:fldChar w:fldCharType="end"/>
      </w:r>
    </w:p>
    <w:p w14:paraId="1B190F36">
      <w:pPr>
        <w:numPr>
          <w:ilvl w:val="0"/>
          <w:numId w:val="4"/>
        </w:numPr>
        <w:rPr>
          <w:rFonts w:ascii="宋体" w:cs="宋体"/>
          <w:color w:val="000000"/>
          <w:lang w:bidi="ar"/>
        </w:rPr>
      </w:pPr>
      <w:r>
        <w:rPr>
          <w:rFonts w:hint="eastAsia" w:ascii="宋体" w:cs="宋体"/>
          <w:color w:val="000000"/>
          <w:lang w:bidi="ar"/>
        </w:rPr>
        <w:t>点击立即注册</w:t>
      </w:r>
    </w:p>
    <w:p w14:paraId="1FA5FB6F">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47C22B02">
      <w:pPr>
        <w:snapToGrid w:val="0"/>
        <w:spacing w:line="312" w:lineRule="auto"/>
      </w:pPr>
      <w:r>
        <w:rPr>
          <w:rFonts w:ascii="宋体" w:hAnsi="宋体" w:cs="宋体"/>
          <w:sz w:val="24"/>
        </w:rPr>
        <w:drawing>
          <wp:inline distT="0" distB="0" distL="114300" distR="114300">
            <wp:extent cx="5605145" cy="2578735"/>
            <wp:effectExtent l="0" t="0" r="8255" b="12065"/>
            <wp:docPr id="2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IMG_256"/>
                    <pic:cNvPicPr>
                      <a:picLocks noChangeAspect="1"/>
                    </pic:cNvPicPr>
                  </pic:nvPicPr>
                  <pic:blipFill>
                    <a:blip r:embed="rId9"/>
                    <a:stretch>
                      <a:fillRect/>
                    </a:stretch>
                  </pic:blipFill>
                  <pic:spPr>
                    <a:xfrm>
                      <a:off x="0" y="0"/>
                      <a:ext cx="5605145" cy="2578735"/>
                    </a:xfrm>
                    <a:prstGeom prst="rect">
                      <a:avLst/>
                    </a:prstGeom>
                    <a:noFill/>
                    <a:ln>
                      <a:noFill/>
                    </a:ln>
                  </pic:spPr>
                </pic:pic>
              </a:graphicData>
            </a:graphic>
          </wp:inline>
        </w:drawing>
      </w:r>
    </w:p>
    <w:p w14:paraId="153DA199">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3569D73E">
      <w:pPr>
        <w:snapToGrid w:val="0"/>
        <w:spacing w:line="312" w:lineRule="auto"/>
      </w:pPr>
      <w:r>
        <w:drawing>
          <wp:inline distT="0" distB="0" distL="114300" distR="114300">
            <wp:extent cx="5758180" cy="2765425"/>
            <wp:effectExtent l="0" t="0" r="7620" b="3175"/>
            <wp:docPr id="24" name="图片 2" descr="descript"/>
            <wp:cNvGraphicFramePr/>
            <a:graphic xmlns:a="http://schemas.openxmlformats.org/drawingml/2006/main">
              <a:graphicData uri="http://schemas.openxmlformats.org/drawingml/2006/picture">
                <pic:pic xmlns:pic="http://schemas.openxmlformats.org/drawingml/2006/picture">
                  <pic:nvPicPr>
                    <pic:cNvPr id="24" name="图片 2" descr="descript"/>
                    <pic:cNvPicPr/>
                  </pic:nvPicPr>
                  <pic:blipFill>
                    <a:blip r:embed="rId10"/>
                    <a:stretch>
                      <a:fillRect/>
                    </a:stretch>
                  </pic:blipFill>
                  <pic:spPr>
                    <a:xfrm>
                      <a:off x="0" y="0"/>
                      <a:ext cx="5758180" cy="2765425"/>
                    </a:xfrm>
                    <a:prstGeom prst="rect">
                      <a:avLst/>
                    </a:prstGeom>
                    <a:noFill/>
                    <a:ln>
                      <a:noFill/>
                    </a:ln>
                  </pic:spPr>
                </pic:pic>
              </a:graphicData>
            </a:graphic>
          </wp:inline>
        </w:drawing>
      </w:r>
    </w:p>
    <w:p w14:paraId="4CCA3401">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045896AD">
      <w:pPr>
        <w:snapToGrid w:val="0"/>
        <w:spacing w:line="312" w:lineRule="auto"/>
      </w:pPr>
      <w:r>
        <w:drawing>
          <wp:inline distT="0" distB="0" distL="114300" distR="114300">
            <wp:extent cx="5760085" cy="2867025"/>
            <wp:effectExtent l="0" t="0" r="5715" b="3175"/>
            <wp:docPr id="25" name="图片 3" descr="descript"/>
            <wp:cNvGraphicFramePr/>
            <a:graphic xmlns:a="http://schemas.openxmlformats.org/drawingml/2006/main">
              <a:graphicData uri="http://schemas.openxmlformats.org/drawingml/2006/picture">
                <pic:pic xmlns:pic="http://schemas.openxmlformats.org/drawingml/2006/picture">
                  <pic:nvPicPr>
                    <pic:cNvPr id="25" name="图片 3" descr="descript"/>
                    <pic:cNvPicPr/>
                  </pic:nvPicPr>
                  <pic:blipFill>
                    <a:blip r:embed="rId11"/>
                    <a:stretch>
                      <a:fillRect/>
                    </a:stretch>
                  </pic:blipFill>
                  <pic:spPr>
                    <a:xfrm>
                      <a:off x="0" y="0"/>
                      <a:ext cx="5760085" cy="2867025"/>
                    </a:xfrm>
                    <a:prstGeom prst="rect">
                      <a:avLst/>
                    </a:prstGeom>
                    <a:noFill/>
                    <a:ln>
                      <a:noFill/>
                    </a:ln>
                  </pic:spPr>
                </pic:pic>
              </a:graphicData>
            </a:graphic>
          </wp:inline>
        </w:drawing>
      </w:r>
    </w:p>
    <w:p w14:paraId="1A5A0F6A">
      <w:r>
        <w:rPr>
          <w:rFonts w:ascii="Calibri" w:hAnsi="Calibri" w:eastAsia="Calibri" w:cs="Calibri"/>
          <w:color w:val="000000"/>
          <w:lang w:bidi="ar"/>
        </w:rPr>
        <w:t xml:space="preserve">4.     </w:t>
      </w:r>
      <w:r>
        <w:rPr>
          <w:rFonts w:hint="eastAsia" w:ascii="宋体" w:cs="宋体"/>
          <w:color w:val="000000"/>
          <w:lang w:bidi="ar"/>
        </w:rPr>
        <w:t>点击新增</w:t>
      </w:r>
    </w:p>
    <w:p w14:paraId="3B54AE1A">
      <w:pPr>
        <w:snapToGrid w:val="0"/>
        <w:spacing w:line="312" w:lineRule="auto"/>
      </w:pPr>
      <w:r>
        <w:drawing>
          <wp:inline distT="0" distB="0" distL="114300" distR="114300">
            <wp:extent cx="5758180" cy="2852420"/>
            <wp:effectExtent l="0" t="0" r="7620" b="5080"/>
            <wp:docPr id="22" name="图片 4" descr="descript"/>
            <wp:cNvGraphicFramePr/>
            <a:graphic xmlns:a="http://schemas.openxmlformats.org/drawingml/2006/main">
              <a:graphicData uri="http://schemas.openxmlformats.org/drawingml/2006/picture">
                <pic:pic xmlns:pic="http://schemas.openxmlformats.org/drawingml/2006/picture">
                  <pic:nvPicPr>
                    <pic:cNvPr id="22" name="图片 4" descr="descript"/>
                    <pic:cNvPicPr/>
                  </pic:nvPicPr>
                  <pic:blipFill>
                    <a:blip r:embed="rId12"/>
                    <a:stretch>
                      <a:fillRect/>
                    </a:stretch>
                  </pic:blipFill>
                  <pic:spPr>
                    <a:xfrm>
                      <a:off x="0" y="0"/>
                      <a:ext cx="5758180" cy="2852420"/>
                    </a:xfrm>
                    <a:prstGeom prst="rect">
                      <a:avLst/>
                    </a:prstGeom>
                    <a:noFill/>
                    <a:ln>
                      <a:noFill/>
                    </a:ln>
                  </pic:spPr>
                </pic:pic>
              </a:graphicData>
            </a:graphic>
          </wp:inline>
        </w:drawing>
      </w:r>
    </w:p>
    <w:p w14:paraId="3910752C">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6BE268A5">
      <w:pPr>
        <w:rPr>
          <w:rFonts w:ascii="宋体" w:cs="宋体"/>
          <w:color w:val="000000"/>
        </w:rPr>
      </w:pPr>
      <w:r>
        <w:drawing>
          <wp:inline distT="0" distB="0" distL="114300" distR="114300">
            <wp:extent cx="5760085" cy="2807335"/>
            <wp:effectExtent l="0" t="0" r="5715" b="12065"/>
            <wp:docPr id="18" name="图片 5" descr="descript"/>
            <wp:cNvGraphicFramePr/>
            <a:graphic xmlns:a="http://schemas.openxmlformats.org/drawingml/2006/main">
              <a:graphicData uri="http://schemas.openxmlformats.org/drawingml/2006/picture">
                <pic:pic xmlns:pic="http://schemas.openxmlformats.org/drawingml/2006/picture">
                  <pic:nvPicPr>
                    <pic:cNvPr id="18" name="图片 5" descr="descript"/>
                    <pic:cNvPicPr/>
                  </pic:nvPicPr>
                  <pic:blipFill>
                    <a:blip r:embed="rId13"/>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7620" b="1905"/>
            <wp:docPr id="5" name="图片 6" descr="descript"/>
            <wp:cNvGraphicFramePr/>
            <a:graphic xmlns:a="http://schemas.openxmlformats.org/drawingml/2006/main">
              <a:graphicData uri="http://schemas.openxmlformats.org/drawingml/2006/picture">
                <pic:pic xmlns:pic="http://schemas.openxmlformats.org/drawingml/2006/picture">
                  <pic:nvPicPr>
                    <pic:cNvPr id="5" name="图片 6" descr="descript"/>
                    <pic:cNvPicPr/>
                  </pic:nvPicPr>
                  <pic:blipFill>
                    <a:blip r:embed="rId14"/>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7620" b="1905"/>
            <wp:docPr id="20" name="图片 7" descr="descript"/>
            <wp:cNvGraphicFramePr/>
            <a:graphic xmlns:a="http://schemas.openxmlformats.org/drawingml/2006/main">
              <a:graphicData uri="http://schemas.openxmlformats.org/drawingml/2006/picture">
                <pic:pic xmlns:pic="http://schemas.openxmlformats.org/drawingml/2006/picture">
                  <pic:nvPicPr>
                    <pic:cNvPr id="20" name="图片 7" descr="descript"/>
                    <pic:cNvPicPr/>
                  </pic:nvPicPr>
                  <pic:blipFill>
                    <a:blip r:embed="rId14"/>
                    <a:stretch>
                      <a:fillRect/>
                    </a:stretch>
                  </pic:blipFill>
                  <pic:spPr>
                    <a:xfrm>
                      <a:off x="0" y="0"/>
                      <a:ext cx="5758180" cy="2817495"/>
                    </a:xfrm>
                    <a:prstGeom prst="rect">
                      <a:avLst/>
                    </a:prstGeom>
                    <a:noFill/>
                    <a:ln>
                      <a:noFill/>
                    </a:ln>
                  </pic:spPr>
                </pic:pic>
              </a:graphicData>
            </a:graphic>
          </wp:inline>
        </w:drawing>
      </w:r>
    </w:p>
    <w:p w14:paraId="05167122"/>
    <w:p w14:paraId="544D2B1B">
      <w:pPr>
        <w:snapToGrid w:val="0"/>
        <w:spacing w:line="312" w:lineRule="auto"/>
      </w:pPr>
    </w:p>
    <w:p w14:paraId="4F0D3D26"/>
    <w:p w14:paraId="4243247F">
      <w:pPr>
        <w:pStyle w:val="4"/>
        <w:widowControl/>
        <w:rPr>
          <w:rFonts w:ascii="Cambria" w:hAnsi="Cambria" w:cs="Cambria"/>
          <w:highlight w:val="yellow"/>
        </w:rPr>
      </w:pPr>
      <w:r>
        <w:rPr>
          <w:rFonts w:hint="eastAsia" w:ascii="宋体" w:cs="宋体"/>
          <w:highlight w:val="yellow"/>
        </w:rPr>
        <w:t>登录界面</w:t>
      </w:r>
    </w:p>
    <w:p w14:paraId="731250BA">
      <w:pPr>
        <w:spacing w:line="360" w:lineRule="auto"/>
      </w:pPr>
      <w:r>
        <w:rPr>
          <w:lang w:bidi="ar"/>
        </w:rPr>
        <w:t>1</w:t>
      </w:r>
      <w:r>
        <w:rPr>
          <w:rFonts w:hint="eastAsia" w:ascii="宋体" w:cs="宋体"/>
          <w:lang w:bidi="ar"/>
        </w:rPr>
        <w:t>）功能简介</w:t>
      </w:r>
    </w:p>
    <w:p w14:paraId="6188303B">
      <w:pPr>
        <w:spacing w:line="360" w:lineRule="auto"/>
      </w:pPr>
      <w:r>
        <w:rPr>
          <w:rFonts w:hint="eastAsia" w:ascii="宋体" w:cs="宋体"/>
          <w:lang w:bidi="ar"/>
        </w:rPr>
        <w:t>此页面用于进行账号登录，找回密码。</w:t>
      </w:r>
    </w:p>
    <w:p w14:paraId="30B4683F">
      <w:pPr>
        <w:numPr>
          <w:ilvl w:val="0"/>
          <w:numId w:val="5"/>
        </w:numPr>
        <w:spacing w:line="360" w:lineRule="auto"/>
      </w:pPr>
      <w:r>
        <w:rPr>
          <w:rFonts w:hint="eastAsia" w:ascii="宋体" w:cs="宋体"/>
          <w:lang w:bidi="ar"/>
        </w:rPr>
        <w:t>界面如下</w:t>
      </w:r>
    </w:p>
    <w:p w14:paraId="5524D5C1">
      <w:r>
        <w:drawing>
          <wp:inline distT="0" distB="0" distL="114300" distR="114300">
            <wp:extent cx="5278120" cy="2660650"/>
            <wp:effectExtent l="0" t="0" r="5080" b="6350"/>
            <wp:docPr id="21" name="图片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7"/>
                    <pic:cNvPicPr>
                      <a:picLocks noChangeAspect="1"/>
                    </pic:cNvPicPr>
                  </pic:nvPicPr>
                  <pic:blipFill>
                    <a:blip r:embed="rId15"/>
                    <a:stretch>
                      <a:fillRect/>
                    </a:stretch>
                  </pic:blipFill>
                  <pic:spPr>
                    <a:xfrm>
                      <a:off x="0" y="0"/>
                      <a:ext cx="5278120" cy="2660650"/>
                    </a:xfrm>
                    <a:prstGeom prst="rect">
                      <a:avLst/>
                    </a:prstGeom>
                    <a:noFill/>
                    <a:ln>
                      <a:noFill/>
                    </a:ln>
                  </pic:spPr>
                </pic:pic>
              </a:graphicData>
            </a:graphic>
          </wp:inline>
        </w:drawing>
      </w:r>
    </w:p>
    <w:p w14:paraId="245CAA4D">
      <w:pPr>
        <w:pStyle w:val="35"/>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69A40380">
      <w:pPr>
        <w:pStyle w:val="35"/>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w:t>
      </w:r>
      <w:r>
        <w:rPr>
          <w:rFonts w:hint="eastAsia" w:ascii="宋体" w:cs="宋体"/>
          <w:kern w:val="2"/>
          <w:sz w:val="21"/>
          <w:szCs w:val="21"/>
          <w:lang w:val="en-US" w:eastAsia="zh-CN"/>
        </w:rPr>
        <w:t>手机</w:t>
      </w:r>
      <w:r>
        <w:rPr>
          <w:rFonts w:hint="eastAsia" w:ascii="宋体" w:cs="宋体"/>
          <w:kern w:val="2"/>
          <w:sz w:val="21"/>
          <w:szCs w:val="21"/>
        </w:rPr>
        <w:t>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1FE1C1BB">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7F8CEA16">
      <w:pPr>
        <w:pStyle w:val="4"/>
        <w:widowControl/>
        <w:spacing w:line="360" w:lineRule="auto"/>
        <w:rPr>
          <w:rFonts w:ascii="Cambria" w:hAnsi="Cambria" w:cs="Cambria"/>
          <w:highlight w:val="yellow"/>
        </w:rPr>
      </w:pPr>
      <w:r>
        <w:rPr>
          <w:rFonts w:hint="eastAsia" w:ascii="宋体" w:cs="宋体"/>
          <w:highlight w:val="yellow"/>
        </w:rPr>
        <w:t>供应商注册注意事项</w:t>
      </w:r>
    </w:p>
    <w:p w14:paraId="6B9BF65E">
      <w:pPr>
        <w:spacing w:line="360" w:lineRule="auto"/>
      </w:pPr>
      <w:r>
        <w:rPr>
          <w:lang w:bidi="ar"/>
        </w:rPr>
        <w:t>1</w:t>
      </w:r>
      <w:r>
        <w:rPr>
          <w:rFonts w:hint="eastAsia" w:ascii="宋体" w:cs="宋体"/>
          <w:lang w:bidi="ar"/>
        </w:rPr>
        <w:t>）功能简介</w:t>
      </w:r>
    </w:p>
    <w:p w14:paraId="1F1F7C38">
      <w:pPr>
        <w:spacing w:line="360" w:lineRule="auto"/>
      </w:pPr>
      <w:r>
        <w:rPr>
          <w:rFonts w:hint="eastAsia" w:ascii="宋体" w:cs="宋体"/>
          <w:lang w:bidi="ar"/>
        </w:rPr>
        <w:t>此页面用于进行供应商注册</w:t>
      </w:r>
    </w:p>
    <w:p w14:paraId="37638D5F">
      <w:pPr>
        <w:pStyle w:val="35"/>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4E6020EC">
      <w:r>
        <w:drawing>
          <wp:inline distT="0" distB="0" distL="114300" distR="114300">
            <wp:extent cx="5342255" cy="2485390"/>
            <wp:effectExtent l="0" t="0" r="4445" b="3810"/>
            <wp:docPr id="16" name="图片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8"/>
                    <pic:cNvPicPr>
                      <a:picLocks noChangeAspect="1"/>
                    </pic:cNvPicPr>
                  </pic:nvPicPr>
                  <pic:blipFill>
                    <a:blip r:embed="rId16"/>
                    <a:stretch>
                      <a:fillRect/>
                    </a:stretch>
                  </pic:blipFill>
                  <pic:spPr>
                    <a:xfrm>
                      <a:off x="0" y="0"/>
                      <a:ext cx="5342255" cy="2485390"/>
                    </a:xfrm>
                    <a:prstGeom prst="rect">
                      <a:avLst/>
                    </a:prstGeom>
                    <a:noFill/>
                    <a:ln>
                      <a:noFill/>
                    </a:ln>
                  </pic:spPr>
                </pic:pic>
              </a:graphicData>
            </a:graphic>
          </wp:inline>
        </w:drawing>
      </w:r>
    </w:p>
    <w:p w14:paraId="31ABFDBE">
      <w:pPr>
        <w:pStyle w:val="35"/>
        <w:widowControl/>
        <w:tabs>
          <w:tab w:val="left" w:pos="0"/>
        </w:tabs>
        <w:ind w:firstLine="0" w:firstLineChars="0"/>
        <w:rPr>
          <w:kern w:val="2"/>
          <w:sz w:val="21"/>
          <w:szCs w:val="21"/>
        </w:rPr>
      </w:pPr>
      <w:r>
        <w:rPr>
          <w:rFonts w:hint="eastAsia" w:ascii="宋体" w:cs="宋体"/>
          <w:kern w:val="2"/>
          <w:sz w:val="21"/>
          <w:szCs w:val="21"/>
        </w:rPr>
        <w:t>3）页面规则</w:t>
      </w:r>
    </w:p>
    <w:p w14:paraId="55A645C5">
      <w:pPr>
        <w:pStyle w:val="35"/>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4DCB9DC6">
      <w:pPr>
        <w:spacing w:line="360" w:lineRule="auto"/>
      </w:pPr>
      <w:r>
        <w:rPr>
          <w:rFonts w:hint="eastAsia" w:ascii="宋体" w:cs="宋体"/>
          <w:lang w:bidi="ar"/>
        </w:rPr>
        <w:t>注册信息的字段：尽量把所有信息都填写完整，</w:t>
      </w:r>
    </w:p>
    <w:p w14:paraId="4EFFCA1F">
      <w:pPr>
        <w:numPr>
          <w:ilvl w:val="0"/>
          <w:numId w:val="6"/>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34E1266A">
      <w:pPr>
        <w:numPr>
          <w:ilvl w:val="0"/>
          <w:numId w:val="6"/>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3AEE5B39">
      <w:pPr>
        <w:numPr>
          <w:ilvl w:val="0"/>
          <w:numId w:val="6"/>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343D5596">
      <w:pPr>
        <w:numPr>
          <w:ilvl w:val="0"/>
          <w:numId w:val="6"/>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386B9267">
      <w:pPr>
        <w:pStyle w:val="5"/>
        <w:widowControl/>
        <w:numPr>
          <w:ilvl w:val="0"/>
          <w:numId w:val="6"/>
        </w:numPr>
        <w:adjustRightInd/>
        <w:spacing w:line="360" w:lineRule="auto"/>
        <w:jc w:val="left"/>
        <w:textAlignment w:val="auto"/>
      </w:pPr>
      <w:r>
        <w:rPr>
          <w:rFonts w:hint="eastAsia" w:ascii="宋体" w:cs="宋体"/>
          <w:kern w:val="2"/>
        </w:rPr>
        <w:t>点击“查看”按钮可以进行查看注册信息，供应商提交注册之后想查看审批进度，可以点击此按钮。</w:t>
      </w:r>
    </w:p>
    <w:p w14:paraId="00F25EE3">
      <w:pPr>
        <w:pStyle w:val="5"/>
        <w:widowControl/>
        <w:tabs>
          <w:tab w:val="left" w:pos="312"/>
        </w:tabs>
        <w:spacing w:line="360" w:lineRule="auto"/>
        <w:ind w:firstLine="0"/>
        <w:jc w:val="left"/>
        <w:rPr>
          <w:rFonts w:ascii="宋体" w:cs="宋体"/>
          <w:kern w:val="2"/>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74B4419">
      <w:pPr>
        <w:pStyle w:val="5"/>
        <w:widowControl/>
        <w:tabs>
          <w:tab w:val="left" w:pos="312"/>
        </w:tabs>
        <w:spacing w:line="360" w:lineRule="auto"/>
        <w:ind w:firstLine="0"/>
        <w:jc w:val="left"/>
        <w:rPr>
          <w:rFonts w:ascii="宋体" w:cs="宋体"/>
          <w:kern w:val="2"/>
        </w:rPr>
      </w:pPr>
    </w:p>
    <w:p w14:paraId="66B927E0">
      <w:pPr>
        <w:pStyle w:val="4"/>
        <w:widowControl/>
        <w:rPr>
          <w:highlight w:val="yellow"/>
        </w:rPr>
      </w:pPr>
      <w:r>
        <w:rPr>
          <w:rFonts w:hint="eastAsia" w:eastAsia="黑体" w:cs="黑体"/>
          <w:highlight w:val="yellow"/>
        </w:rPr>
        <w:t>供应商应标</w:t>
      </w:r>
    </w:p>
    <w:p w14:paraId="509A9A72">
      <w:pPr>
        <w:rPr>
          <w:rFonts w:ascii="宋体" w:hAnsi="宋体" w:cs="宋体"/>
          <w:sz w:val="28"/>
          <w:szCs w:val="28"/>
        </w:rPr>
      </w:pPr>
      <w:r>
        <w:rPr>
          <w:rFonts w:hint="eastAsia" w:ascii="宋体" w:hAnsi="宋体" w:cs="宋体"/>
          <w:sz w:val="28"/>
          <w:szCs w:val="28"/>
          <w:lang w:bidi="ar"/>
        </w:rPr>
        <w:t>路径：招投标中心-非生产类招投标-供应商应标</w:t>
      </w:r>
    </w:p>
    <w:p w14:paraId="1E047759">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0CB8584D">
      <w:r>
        <w:rPr>
          <w:rFonts w:hint="eastAsia" w:ascii="宋体" w:hAnsi="宋体" w:cs="宋体"/>
          <w:b/>
          <w:bCs/>
          <w:color w:val="FF0000"/>
          <w:sz w:val="24"/>
        </w:rPr>
        <w:t>此处应标为线上资格审查环节，不是投标环节，不需要上传投标文件。</w:t>
      </w:r>
      <w:r>
        <w:rPr>
          <w:rFonts w:hint="eastAsia" w:ascii="宋体" w:hAnsi="宋体" w:cs="宋体"/>
          <w:b/>
          <w:bCs/>
          <w:sz w:val="24"/>
        </w:rPr>
        <w:t>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27EE8797">
      <w:r>
        <w:drawing>
          <wp:inline distT="0" distB="0" distL="114300" distR="114300">
            <wp:extent cx="5393690" cy="2126615"/>
            <wp:effectExtent l="0" t="0" r="3810" b="698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7"/>
                    <a:stretch>
                      <a:fillRect/>
                    </a:stretch>
                  </pic:blipFill>
                  <pic:spPr>
                    <a:xfrm>
                      <a:off x="0" y="0"/>
                      <a:ext cx="5393690" cy="2126615"/>
                    </a:xfrm>
                    <a:prstGeom prst="rect">
                      <a:avLst/>
                    </a:prstGeom>
                    <a:noFill/>
                    <a:ln>
                      <a:noFill/>
                    </a:ln>
                  </pic:spPr>
                </pic:pic>
              </a:graphicData>
            </a:graphic>
          </wp:inline>
        </w:drawing>
      </w:r>
    </w:p>
    <w:p w14:paraId="215BF367">
      <w:pPr>
        <w:rPr>
          <w:rFonts w:cs="宋体"/>
          <w:sz w:val="24"/>
          <w:lang w:bidi="ar"/>
        </w:rPr>
      </w:pPr>
      <w:r>
        <w:rPr>
          <w:rFonts w:hint="eastAsia" w:cs="宋体"/>
          <w:sz w:val="24"/>
          <w:lang w:bidi="ar"/>
        </w:rPr>
        <w:t>注意：</w:t>
      </w:r>
    </w:p>
    <w:p w14:paraId="6AF0847B">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w:t>
      </w:r>
      <w:r>
        <w:rPr>
          <w:rFonts w:hint="eastAsia" w:cs="宋体"/>
          <w:sz w:val="24"/>
          <w:lang w:val="en-US" w:eastAsia="zh-CN" w:bidi="ar"/>
        </w:rPr>
        <w:t>商务联系人</w:t>
      </w:r>
      <w:r>
        <w:rPr>
          <w:rFonts w:hint="eastAsia" w:cs="宋体"/>
          <w:sz w:val="24"/>
          <w:lang w:bidi="ar"/>
        </w:rPr>
        <w:t>）</w:t>
      </w:r>
    </w:p>
    <w:p w14:paraId="75752BF7">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0E51E780">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614C37AE">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0DC3CE22">
      <w:r>
        <w:drawing>
          <wp:inline distT="0" distB="0" distL="114300" distR="114300">
            <wp:extent cx="5426075" cy="2279015"/>
            <wp:effectExtent l="0" t="0" r="9525" b="698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18"/>
                    <a:stretch>
                      <a:fillRect/>
                    </a:stretch>
                  </pic:blipFill>
                  <pic:spPr>
                    <a:xfrm>
                      <a:off x="0" y="0"/>
                      <a:ext cx="5426075" cy="2279015"/>
                    </a:xfrm>
                    <a:prstGeom prst="rect">
                      <a:avLst/>
                    </a:prstGeom>
                    <a:noFill/>
                    <a:ln>
                      <a:noFill/>
                    </a:ln>
                  </pic:spPr>
                </pic:pic>
              </a:graphicData>
            </a:graphic>
          </wp:inline>
        </w:drawing>
      </w:r>
    </w:p>
    <w:p w14:paraId="32E3996E">
      <w:pPr>
        <w:pStyle w:val="5"/>
        <w:widowControl/>
        <w:tabs>
          <w:tab w:val="left" w:pos="312"/>
        </w:tabs>
        <w:spacing w:line="360" w:lineRule="auto"/>
        <w:ind w:firstLine="0"/>
        <w:jc w:val="left"/>
        <w:rPr>
          <w:rFonts w:ascii="宋体" w:cs="宋体"/>
          <w:kern w:val="2"/>
        </w:rPr>
      </w:pPr>
      <w:r>
        <w:drawing>
          <wp:inline distT="0" distB="0" distL="114300" distR="114300">
            <wp:extent cx="5331460" cy="2324100"/>
            <wp:effectExtent l="0" t="0" r="2540" b="0"/>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19"/>
                    <a:stretch>
                      <a:fillRect/>
                    </a:stretch>
                  </pic:blipFill>
                  <pic:spPr>
                    <a:xfrm>
                      <a:off x="0" y="0"/>
                      <a:ext cx="5331460" cy="2324100"/>
                    </a:xfrm>
                    <a:prstGeom prst="rect">
                      <a:avLst/>
                    </a:prstGeom>
                    <a:noFill/>
                    <a:ln>
                      <a:noFill/>
                    </a:ln>
                  </pic:spPr>
                </pic:pic>
              </a:graphicData>
            </a:graphic>
          </wp:inline>
        </w:drawing>
      </w:r>
    </w:p>
    <w:p w14:paraId="1D77AF4A">
      <w:pPr>
        <w:rPr>
          <w:rFonts w:ascii="宋体" w:hAnsi="宋体"/>
          <w:kern w:val="0"/>
          <w:sz w:val="24"/>
          <w:szCs w:val="21"/>
          <w:lang w:bidi="en-US"/>
        </w:rPr>
      </w:pPr>
    </w:p>
    <w:p w14:paraId="6F6F55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4"/>
          <w:szCs w:val="24"/>
          <w:highlight w:val="none"/>
        </w:rPr>
        <w:sectPr>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bookmarkStart w:id="4" w:name="_GoBack"/>
      <w:bookmarkEnd w:id="4"/>
    </w:p>
    <w:p w14:paraId="5B5F13DD">
      <w:pPr>
        <w:rPr>
          <w:rFonts w:hint="eastAsia" w:asciiTheme="majorEastAsia" w:hAnsiTheme="majorEastAsia" w:eastAsiaTheme="majorEastAsia" w:cstheme="majorEastAsia"/>
          <w:sz w:val="24"/>
          <w:szCs w:val="24"/>
        </w:rPr>
      </w:pP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08226">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62F89">
                          <w:pPr>
                            <w:pStyle w:val="8"/>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bC+FRLgIAAFgEAAAOAAAAAAAAAAEAIAAAAB8BAABkcnMvZTJvRG9jLnhtbFBLBQYAAAAA&#10;BgAGAFkBAAC/BQAAAAA=&#10;">
              <v:fill on="f" focussize="0,0"/>
              <v:stroke on="f" weight="0.5pt"/>
              <v:imagedata o:title=""/>
              <o:lock v:ext="edit" aspectratio="f"/>
              <v:textbox inset="0mm,0mm,0mm,0mm" style="mso-fit-shape-to-text:t;">
                <w:txbxContent>
                  <w:p w14:paraId="50562F89">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93D9">
    <w:pPr>
      <w:pStyle w:val="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BE812">
                          <w:pPr>
                            <w:pStyle w:val="8"/>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iCokuAgAAWA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x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tIgqJLgIAAFgEAAAOAAAAAAAAAAEAIAAAAB8BAABkcnMvZTJvRG9jLnhtbFBLBQYAAAAA&#10;BgAGAFkBAAC/BQAAAAA=&#10;">
              <v:fill on="f" focussize="0,0"/>
              <v:stroke on="f" weight="0.5pt"/>
              <v:imagedata o:title=""/>
              <o:lock v:ext="edit" aspectratio="f"/>
              <v:textbox inset="0mm,0mm,0mm,0mm" style="mso-fit-shape-to-text:t;">
                <w:txbxContent>
                  <w:p w14:paraId="7CBBE812">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8"/>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9B14E">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9"/>
    </w:pPr>
  </w:p>
  <w:p w14:paraId="75DC59E1">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EB902"/>
    <w:multiLevelType w:val="singleLevel"/>
    <w:tmpl w:val="EC0EB902"/>
    <w:lvl w:ilvl="0" w:tentative="0">
      <w:start w:val="1"/>
      <w:numFmt w:val="decimal"/>
      <w:lvlText w:val="%1."/>
      <w:lvlJc w:val="left"/>
      <w:pPr>
        <w:ind w:left="845" w:hanging="425"/>
      </w:pPr>
      <w:rPr>
        <w:rFonts w:hint="default"/>
      </w:rPr>
    </w:lvl>
  </w:abstractNum>
  <w:abstractNum w:abstractNumId="1">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2">
    <w:nsid w:val="05ABE10D"/>
    <w:multiLevelType w:val="singleLevel"/>
    <w:tmpl w:val="05ABE10D"/>
    <w:lvl w:ilvl="0" w:tentative="0">
      <w:start w:val="1"/>
      <w:numFmt w:val="decimal"/>
      <w:lvlText w:val="%1)"/>
      <w:lvlJc w:val="left"/>
      <w:pPr>
        <w:ind w:left="1265" w:hanging="425"/>
      </w:pPr>
      <w:rPr>
        <w:rFonts w:hint="default"/>
      </w:rPr>
    </w:lvl>
  </w:abstractNum>
  <w:abstractNum w:abstractNumId="3">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4">
    <w:nsid w:val="656A6EAE"/>
    <w:multiLevelType w:val="multilevel"/>
    <w:tmpl w:val="656A6EAE"/>
    <w:lvl w:ilvl="0" w:tentative="0">
      <w:start w:val="1"/>
      <w:numFmt w:val="chineseCountingThousand"/>
      <w:pStyle w:val="2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7446C7A1"/>
    <w:multiLevelType w:val="singleLevel"/>
    <w:tmpl w:val="7446C7A1"/>
    <w:lvl w:ilvl="0" w:tentative="0">
      <w:start w:val="1"/>
      <w:numFmt w:val="decimal"/>
      <w:lvlText w:val="%1."/>
      <w:lvlJc w:val="left"/>
      <w:pPr>
        <w:tabs>
          <w:tab w:val="left" w:pos="312"/>
        </w:tabs>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535AB"/>
    <w:rsid w:val="08533F2B"/>
    <w:rsid w:val="0F13393B"/>
    <w:rsid w:val="0FD31B95"/>
    <w:rsid w:val="0FF000DD"/>
    <w:rsid w:val="110E3E23"/>
    <w:rsid w:val="13B3194D"/>
    <w:rsid w:val="154F5A12"/>
    <w:rsid w:val="18A24C0F"/>
    <w:rsid w:val="190938C6"/>
    <w:rsid w:val="1C493170"/>
    <w:rsid w:val="1DC97EE6"/>
    <w:rsid w:val="2650632F"/>
    <w:rsid w:val="2C5214AD"/>
    <w:rsid w:val="2C6A480E"/>
    <w:rsid w:val="2C733B26"/>
    <w:rsid w:val="30D23F95"/>
    <w:rsid w:val="3C720E5A"/>
    <w:rsid w:val="44907102"/>
    <w:rsid w:val="45786A34"/>
    <w:rsid w:val="478770AA"/>
    <w:rsid w:val="48EF075C"/>
    <w:rsid w:val="4CE879C1"/>
    <w:rsid w:val="4D4B1038"/>
    <w:rsid w:val="4DA70238"/>
    <w:rsid w:val="51823496"/>
    <w:rsid w:val="51D36E01"/>
    <w:rsid w:val="521423E2"/>
    <w:rsid w:val="526130AB"/>
    <w:rsid w:val="532F31A9"/>
    <w:rsid w:val="56353ACA"/>
    <w:rsid w:val="56355F17"/>
    <w:rsid w:val="56A143BE"/>
    <w:rsid w:val="5A9F6E67"/>
    <w:rsid w:val="5FE14F9B"/>
    <w:rsid w:val="60802E2F"/>
    <w:rsid w:val="64B96D77"/>
    <w:rsid w:val="65CF5CBA"/>
    <w:rsid w:val="734A776C"/>
    <w:rsid w:val="74E336B9"/>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 w:val="14"/>
    </w:rPr>
  </w:style>
  <w:style w:type="paragraph" w:styleId="6">
    <w:name w:val="Body Text"/>
    <w:basedOn w:val="1"/>
    <w:next w:val="1"/>
    <w:qFormat/>
    <w:uiPriority w:val="99"/>
    <w:rPr>
      <w:sz w:val="24"/>
    </w:rPr>
  </w:style>
  <w:style w:type="paragraph" w:styleId="7">
    <w:name w:val="Plain Text"/>
    <w:basedOn w:val="1"/>
    <w:qFormat/>
    <w:uiPriority w:val="0"/>
    <w:rPr>
      <w:rFonts w:ascii="宋体"/>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12">
    <w:name w:val="Title"/>
    <w:basedOn w:val="1"/>
    <w:next w:val="1"/>
    <w:qFormat/>
    <w:uiPriority w:val="0"/>
    <w:pPr>
      <w:spacing w:before="60" w:after="60"/>
      <w:jc w:val="center"/>
      <w:outlineLvl w:val="0"/>
    </w:pPr>
    <w:rPr>
      <w:rFonts w:ascii="Cambria" w:hAnsi="Cambria"/>
      <w:b/>
      <w:bCs/>
      <w:szCs w:val="32"/>
    </w:rPr>
  </w:style>
  <w:style w:type="character" w:styleId="15">
    <w:name w:val="Strong"/>
    <w:basedOn w:val="14"/>
    <w:qFormat/>
    <w:uiPriority w:val="0"/>
    <w:rPr>
      <w:b/>
    </w:rPr>
  </w:style>
  <w:style w:type="character" w:styleId="16">
    <w:name w:val="FollowedHyperlink"/>
    <w:basedOn w:val="14"/>
    <w:qFormat/>
    <w:uiPriority w:val="0"/>
    <w:rPr>
      <w:color w:val="800080"/>
      <w:u w:val="none"/>
    </w:rPr>
  </w:style>
  <w:style w:type="character" w:styleId="17">
    <w:name w:val="HTML Definition"/>
    <w:basedOn w:val="14"/>
    <w:qFormat/>
    <w:uiPriority w:val="0"/>
  </w:style>
  <w:style w:type="character" w:styleId="18">
    <w:name w:val="HTML Typewriter"/>
    <w:basedOn w:val="14"/>
    <w:qFormat/>
    <w:uiPriority w:val="0"/>
    <w:rPr>
      <w:rFonts w:hint="default" w:ascii="monospace" w:hAnsi="monospace" w:eastAsia="monospace" w:cs="monospace"/>
      <w:sz w:val="20"/>
    </w:rPr>
  </w:style>
  <w:style w:type="character" w:styleId="19">
    <w:name w:val="HTML Acronym"/>
    <w:basedOn w:val="14"/>
    <w:qFormat/>
    <w:uiPriority w:val="0"/>
  </w:style>
  <w:style w:type="character" w:styleId="20">
    <w:name w:val="HTML Variable"/>
    <w:basedOn w:val="14"/>
    <w:qFormat/>
    <w:uiPriority w:val="0"/>
  </w:style>
  <w:style w:type="character" w:styleId="21">
    <w:name w:val="Hyperlink"/>
    <w:basedOn w:val="14"/>
    <w:qFormat/>
    <w:uiPriority w:val="0"/>
    <w:rPr>
      <w:color w:val="0000FF"/>
      <w:u w:val="none"/>
    </w:rPr>
  </w:style>
  <w:style w:type="character" w:styleId="22">
    <w:name w:val="HTML Code"/>
    <w:basedOn w:val="14"/>
    <w:qFormat/>
    <w:uiPriority w:val="0"/>
    <w:rPr>
      <w:rFonts w:hint="default" w:ascii="monospace" w:hAnsi="monospace" w:eastAsia="monospace" w:cs="monospace"/>
      <w:sz w:val="20"/>
    </w:rPr>
  </w:style>
  <w:style w:type="character" w:styleId="23">
    <w:name w:val="HTML Cite"/>
    <w:basedOn w:val="14"/>
    <w:qFormat/>
    <w:uiPriority w:val="0"/>
  </w:style>
  <w:style w:type="character" w:styleId="24">
    <w:name w:val="HTML Keyboard"/>
    <w:basedOn w:val="14"/>
    <w:qFormat/>
    <w:uiPriority w:val="0"/>
    <w:rPr>
      <w:rFonts w:ascii="monospace" w:hAnsi="monospace" w:eastAsia="monospace" w:cs="monospace"/>
      <w:sz w:val="20"/>
    </w:rPr>
  </w:style>
  <w:style w:type="character" w:styleId="25">
    <w:name w:val="HTML Sample"/>
    <w:basedOn w:val="14"/>
    <w:qFormat/>
    <w:uiPriority w:val="0"/>
    <w:rPr>
      <w:rFonts w:hint="default" w:ascii="monospace" w:hAnsi="monospace" w:eastAsia="monospace" w:cs="monospace"/>
    </w:rPr>
  </w:style>
  <w:style w:type="paragraph" w:customStyle="1" w:styleId="26">
    <w:name w:val="标书正文"/>
    <w:basedOn w:val="7"/>
    <w:qFormat/>
    <w:uiPriority w:val="9"/>
    <w:pPr>
      <w:spacing w:line="360" w:lineRule="auto"/>
      <w:jc w:val="left"/>
    </w:pPr>
  </w:style>
  <w:style w:type="paragraph" w:customStyle="1" w:styleId="27">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8">
    <w:name w:val="标书正文格式"/>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9">
    <w:name w:val="Table Paragraph"/>
    <w:basedOn w:val="1"/>
    <w:autoRedefine/>
    <w:qFormat/>
    <w:uiPriority w:val="1"/>
    <w:rPr>
      <w:rFonts w:ascii="宋体" w:hAnsi="宋体" w:eastAsia="宋体" w:cs="宋体"/>
    </w:rPr>
  </w:style>
  <w:style w:type="table" w:customStyle="1" w:styleId="30">
    <w:name w:val="Table Normal"/>
    <w:autoRedefine/>
    <w:qFormat/>
    <w:uiPriority w:val="0"/>
    <w:tblPr>
      <w:tblCellMar>
        <w:top w:w="0" w:type="dxa"/>
        <w:left w:w="0" w:type="dxa"/>
        <w:bottom w:w="0" w:type="dxa"/>
        <w:right w:w="0" w:type="dxa"/>
      </w:tblCellMar>
    </w:tblPr>
  </w:style>
  <w:style w:type="character" w:customStyle="1" w:styleId="31">
    <w:name w:val="font01"/>
    <w:basedOn w:val="14"/>
    <w:qFormat/>
    <w:uiPriority w:val="0"/>
    <w:rPr>
      <w:rFonts w:hint="eastAsia" w:ascii="宋体" w:hAnsi="宋体" w:eastAsia="宋体" w:cs="宋体"/>
      <w:color w:val="000000"/>
      <w:sz w:val="24"/>
      <w:szCs w:val="24"/>
      <w:u w:val="none"/>
    </w:rPr>
  </w:style>
  <w:style w:type="character" w:customStyle="1" w:styleId="32">
    <w:name w:val="NormalCharacter"/>
    <w:basedOn w:val="14"/>
    <w:autoRedefine/>
    <w:qFormat/>
    <w:uiPriority w:val="0"/>
  </w:style>
  <w:style w:type="character" w:customStyle="1" w:styleId="33">
    <w:name w:val="font21"/>
    <w:basedOn w:val="14"/>
    <w:autoRedefine/>
    <w:qFormat/>
    <w:uiPriority w:val="0"/>
    <w:rPr>
      <w:rFonts w:hint="eastAsia" w:ascii="宋体" w:hAnsi="宋体" w:eastAsia="宋体" w:cs="宋体"/>
      <w:color w:val="000000"/>
      <w:sz w:val="24"/>
      <w:szCs w:val="24"/>
      <w:u w:val="none"/>
    </w:rPr>
  </w:style>
  <w:style w:type="character" w:customStyle="1" w:styleId="34">
    <w:name w:val="font41"/>
    <w:basedOn w:val="14"/>
    <w:autoRedefine/>
    <w:qFormat/>
    <w:uiPriority w:val="0"/>
    <w:rPr>
      <w:rFonts w:hint="default" w:ascii="Times New Roman" w:hAnsi="Times New Roman" w:cs="Times New Roman"/>
      <w:color w:val="000000"/>
      <w:sz w:val="24"/>
      <w:szCs w:val="24"/>
      <w:u w:val="none"/>
    </w:rPr>
  </w:style>
  <w:style w:type="paragraph" w:customStyle="1" w:styleId="35">
    <w:name w:val="列表段落1"/>
    <w:basedOn w:val="1"/>
    <w:qFormat/>
    <w:uiPriority w:val="0"/>
    <w:pPr>
      <w:spacing w:line="360" w:lineRule="auto"/>
      <w:ind w:firstLine="200" w:firstLineChars="200"/>
    </w:pPr>
    <w:rPr>
      <w:color w:val="262626"/>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5227</Words>
  <Characters>5742</Characters>
  <Lines>0</Lines>
  <Paragraphs>0</Paragraphs>
  <TotalTime>0</TotalTime>
  <ScaleCrop>false</ScaleCrop>
  <LinksUpToDate>false</LinksUpToDate>
  <CharactersWithSpaces>6469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黄嘉豪</cp:lastModifiedBy>
  <dcterms:modified xsi:type="dcterms:W3CDTF">2026-07-10T06:33:23Z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eyJoZGlkIjoiZTZkNDE3ZGE4Mjk4YmFlZDAwMWNlODJlYzdjMzk3YmQiLCJ1c2VySWQiOiIxNzY1NTI5ODQwIn0=</vt:lpwstr>
  </property>
  <property fmtid="{D5CDD505-2E9C-101B-9397-08002B2CF9AE}" pid="4" name="ICV">
    <vt:lpwstr>36BA767B9B1647D78DB7367FAC05A487_13</vt:lpwstr>
  </property>
</Properties>
</file>