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A1B93">
      <w:pPr>
        <w:pStyle w:val="2"/>
        <w:widowControl/>
        <w:jc w:val="center"/>
        <w:rPr>
          <w:i w:val="0"/>
          <w:sz w:val="32"/>
          <w:szCs w:val="32"/>
        </w:rPr>
      </w:pPr>
      <w:bookmarkStart w:id="0" w:name="_Toc12866"/>
      <w:r>
        <w:rPr>
          <w:rFonts w:hint="eastAsia" w:cs="宋体"/>
          <w:i w:val="0"/>
          <w:sz w:val="32"/>
          <w:szCs w:val="32"/>
          <w:lang w:eastAsia="zh-CN"/>
        </w:rPr>
        <w:t>新能源高压零部件源载及环境试验设备项目</w:t>
      </w:r>
      <w:r>
        <w:rPr>
          <w:rFonts w:hint="eastAsia" w:cs="宋体"/>
          <w:i w:val="0"/>
          <w:sz w:val="32"/>
          <w:szCs w:val="32"/>
        </w:rPr>
        <w:t>招标公告</w:t>
      </w:r>
      <w:bookmarkEnd w:id="0"/>
    </w:p>
    <w:p w14:paraId="751C21DF">
      <w:pPr>
        <w:pStyle w:val="2"/>
        <w:widowControl/>
        <w:jc w:val="center"/>
        <w:rPr>
          <w:rFonts w:eastAsia="宋体" w:cs="宋体"/>
          <w:i w:val="0"/>
          <w:sz w:val="22"/>
          <w:szCs w:val="22"/>
        </w:rPr>
      </w:pPr>
      <w:bookmarkStart w:id="1" w:name="_Toc27465"/>
      <w:r>
        <w:rPr>
          <w:rFonts w:hint="eastAsia" w:eastAsia="宋体" w:cs="宋体"/>
          <w:i w:val="0"/>
          <w:sz w:val="22"/>
          <w:szCs w:val="22"/>
        </w:rPr>
        <w:t>招标编号：（</w:t>
      </w:r>
      <w:r>
        <w:rPr>
          <w:rFonts w:hint="eastAsia" w:cs="宋体"/>
          <w:i w:val="0"/>
          <w:sz w:val="22"/>
          <w:szCs w:val="22"/>
          <w:highlight w:val="yellow"/>
        </w:rPr>
        <w:t>ZBGL2026070123</w:t>
      </w:r>
      <w:r>
        <w:rPr>
          <w:rFonts w:hint="eastAsia" w:eastAsia="宋体" w:cs="宋体"/>
          <w:i w:val="0"/>
          <w:sz w:val="22"/>
          <w:szCs w:val="22"/>
        </w:rPr>
        <w:t>）</w:t>
      </w:r>
      <w:bookmarkEnd w:id="1"/>
    </w:p>
    <w:p w14:paraId="76B066A8">
      <w:pPr>
        <w:rPr>
          <w:rFonts w:asciiTheme="majorEastAsia" w:hAnsiTheme="majorEastAsia" w:eastAsiaTheme="majorEastAsia" w:cstheme="majorEastAsia"/>
          <w:b/>
          <w:bCs/>
          <w:sz w:val="24"/>
        </w:rPr>
      </w:pPr>
    </w:p>
    <w:p w14:paraId="7A7A6C95">
      <w:pPr>
        <w:rPr>
          <w:rFonts w:asciiTheme="majorEastAsia" w:hAnsiTheme="majorEastAsia" w:eastAsiaTheme="majorEastAsia" w:cstheme="majorEastAsia"/>
          <w:b/>
          <w:bCs/>
          <w:sz w:val="24"/>
        </w:rPr>
      </w:pPr>
    </w:p>
    <w:tbl>
      <w:tblPr>
        <w:tblStyle w:val="16"/>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9"/>
        <w:gridCol w:w="2444"/>
        <w:gridCol w:w="2200"/>
        <w:gridCol w:w="2444"/>
      </w:tblGrid>
      <w:tr w14:paraId="1D3645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199" w:type="dxa"/>
            <w:shd w:val="clear" w:color="auto" w:fill="DEDEDE"/>
            <w:vAlign w:val="center"/>
          </w:tcPr>
          <w:p w14:paraId="43E6CA86">
            <w:pPr>
              <w:widowControl/>
              <w:snapToGrid w:val="0"/>
              <w:spacing w:line="300" w:lineRule="atLeast"/>
              <w:jc w:val="center"/>
              <w:rPr>
                <w:rFonts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有效起始日期 </w:t>
            </w:r>
          </w:p>
        </w:tc>
        <w:tc>
          <w:tcPr>
            <w:tcW w:w="2444" w:type="dxa"/>
            <w:shd w:val="clear" w:color="auto" w:fill="auto"/>
            <w:tcMar>
              <w:top w:w="150" w:type="dxa"/>
              <w:left w:w="150" w:type="dxa"/>
              <w:bottom w:w="150" w:type="dxa"/>
              <w:right w:w="150" w:type="dxa"/>
            </w:tcMar>
            <w:vAlign w:val="center"/>
          </w:tcPr>
          <w:p w14:paraId="3A404AB0">
            <w:pPr>
              <w:widowControl/>
              <w:spacing w:line="300" w:lineRule="atLeast"/>
              <w:jc w:val="left"/>
              <w:rPr>
                <w:rFonts w:hint="default" w:ascii="微软雅黑" w:hAnsi="微软雅黑" w:eastAsia="微软雅黑" w:cs="微软雅黑"/>
                <w:color w:val="333333"/>
                <w:sz w:val="24"/>
                <w:lang w:val="en-US" w:eastAsia="zh-CN"/>
              </w:rPr>
            </w:pPr>
            <w:r>
              <w:rPr>
                <w:rFonts w:hint="eastAsia" w:ascii="微软雅黑" w:hAnsi="微软雅黑" w:eastAsia="微软雅黑" w:cs="微软雅黑"/>
                <w:color w:val="333333"/>
                <w:kern w:val="0"/>
                <w:sz w:val="24"/>
                <w:lang w:bidi="ar"/>
              </w:rPr>
              <w:t>2026-</w:t>
            </w:r>
            <w:r>
              <w:rPr>
                <w:rFonts w:hint="eastAsia" w:ascii="微软雅黑" w:hAnsi="微软雅黑" w:eastAsia="微软雅黑" w:cs="微软雅黑"/>
                <w:color w:val="333333"/>
                <w:kern w:val="0"/>
                <w:sz w:val="24"/>
                <w:lang w:val="en-US" w:eastAsia="zh-CN" w:bidi="ar"/>
              </w:rPr>
              <w:t>7-7</w:t>
            </w:r>
          </w:p>
        </w:tc>
        <w:tc>
          <w:tcPr>
            <w:tcW w:w="2200" w:type="dxa"/>
            <w:shd w:val="clear" w:color="auto" w:fill="DEDEDE"/>
            <w:vAlign w:val="center"/>
          </w:tcPr>
          <w:p w14:paraId="5A4C3E72">
            <w:pPr>
              <w:widowControl/>
              <w:spacing w:line="300" w:lineRule="atLeast"/>
              <w:jc w:val="center"/>
              <w:rPr>
                <w:rFonts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有效截止日期 </w:t>
            </w:r>
          </w:p>
        </w:tc>
        <w:tc>
          <w:tcPr>
            <w:tcW w:w="2444" w:type="dxa"/>
            <w:shd w:val="clear" w:color="auto" w:fill="auto"/>
            <w:tcMar>
              <w:top w:w="150" w:type="dxa"/>
              <w:left w:w="150" w:type="dxa"/>
              <w:bottom w:w="150" w:type="dxa"/>
              <w:right w:w="150" w:type="dxa"/>
            </w:tcMar>
            <w:vAlign w:val="center"/>
          </w:tcPr>
          <w:p w14:paraId="01D3C422">
            <w:pPr>
              <w:widowControl/>
              <w:spacing w:line="300" w:lineRule="atLeast"/>
              <w:jc w:val="left"/>
              <w:rPr>
                <w:rFonts w:hint="default" w:ascii="微软雅黑" w:hAnsi="微软雅黑" w:eastAsia="微软雅黑" w:cs="微软雅黑"/>
                <w:color w:val="333333"/>
                <w:sz w:val="24"/>
                <w:lang w:val="en-US" w:eastAsia="zh-CN"/>
              </w:rPr>
            </w:pPr>
            <w:r>
              <w:rPr>
                <w:rFonts w:hint="eastAsia" w:ascii="微软雅黑" w:hAnsi="微软雅黑" w:eastAsia="微软雅黑" w:cs="微软雅黑"/>
                <w:color w:val="333333"/>
                <w:kern w:val="0"/>
                <w:sz w:val="24"/>
                <w:lang w:bidi="ar"/>
              </w:rPr>
              <w:t>2026-</w:t>
            </w:r>
            <w:r>
              <w:rPr>
                <w:rFonts w:hint="eastAsia" w:ascii="微软雅黑" w:hAnsi="微软雅黑" w:eastAsia="微软雅黑" w:cs="微软雅黑"/>
                <w:color w:val="333333"/>
                <w:kern w:val="0"/>
                <w:sz w:val="24"/>
                <w:lang w:val="en-US" w:eastAsia="zh-CN" w:bidi="ar"/>
              </w:rPr>
              <w:t>7-14</w:t>
            </w:r>
          </w:p>
        </w:tc>
      </w:tr>
    </w:tbl>
    <w:p w14:paraId="5B9A66F5">
      <w:pPr>
        <w:rPr>
          <w:rFonts w:asciiTheme="majorEastAsia" w:hAnsiTheme="majorEastAsia" w:eastAsiaTheme="majorEastAsia" w:cstheme="majorEastAsia"/>
          <w:b/>
          <w:bCs/>
          <w:sz w:val="24"/>
        </w:rPr>
      </w:pPr>
    </w:p>
    <w:p w14:paraId="4BBC104B">
      <w:pPr>
        <w:numPr>
          <w:ilvl w:val="0"/>
          <w:numId w:val="5"/>
        </w:numPr>
        <w:spacing w:line="44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项目概况  </w:t>
      </w:r>
    </w:p>
    <w:p w14:paraId="39FF50F9">
      <w:pPr>
        <w:pStyle w:val="6"/>
        <w:spacing w:before="0" w:after="0"/>
        <w:jc w:val="center"/>
        <w:rPr>
          <w:rFonts w:ascii="宋体" w:hAnsi="宋体" w:eastAsia="宋体"/>
          <w:sz w:val="21"/>
          <w:szCs w:val="21"/>
        </w:rPr>
      </w:pPr>
      <w:r>
        <w:rPr>
          <w:rFonts w:hint="eastAsia" w:ascii="宋体" w:hAnsi="宋体" w:eastAsia="宋体"/>
          <w:sz w:val="21"/>
          <w:szCs w:val="21"/>
        </w:rPr>
        <w:t>采购货物主要构成一览表</w:t>
      </w:r>
    </w:p>
    <w:tbl>
      <w:tblPr>
        <w:tblStyle w:val="1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988"/>
        <w:gridCol w:w="1760"/>
        <w:gridCol w:w="727"/>
        <w:gridCol w:w="711"/>
        <w:gridCol w:w="2126"/>
      </w:tblGrid>
      <w:tr w14:paraId="5B88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55" w:type="dxa"/>
            <w:vAlign w:val="center"/>
          </w:tcPr>
          <w:p w14:paraId="12D229F7">
            <w:pPr>
              <w:jc w:val="center"/>
              <w:rPr>
                <w:rFonts w:ascii="宋体" w:hAnsi="宋体"/>
                <w:szCs w:val="21"/>
              </w:rPr>
            </w:pPr>
            <w:r>
              <w:rPr>
                <w:rFonts w:hint="eastAsia" w:ascii="宋体" w:hAnsi="宋体"/>
                <w:szCs w:val="21"/>
              </w:rPr>
              <w:t>序号</w:t>
            </w:r>
          </w:p>
        </w:tc>
        <w:tc>
          <w:tcPr>
            <w:tcW w:w="2988" w:type="dxa"/>
            <w:vAlign w:val="center"/>
          </w:tcPr>
          <w:p w14:paraId="23A0A37A">
            <w:pPr>
              <w:jc w:val="center"/>
              <w:rPr>
                <w:rFonts w:ascii="宋体" w:hAnsi="宋体"/>
                <w:szCs w:val="21"/>
              </w:rPr>
            </w:pPr>
            <w:r>
              <w:rPr>
                <w:rFonts w:hint="eastAsia" w:ascii="宋体" w:hAnsi="宋体"/>
                <w:szCs w:val="21"/>
              </w:rPr>
              <w:t>名称</w:t>
            </w:r>
          </w:p>
        </w:tc>
        <w:tc>
          <w:tcPr>
            <w:tcW w:w="1760" w:type="dxa"/>
            <w:vAlign w:val="center"/>
          </w:tcPr>
          <w:p w14:paraId="64AC4261">
            <w:pPr>
              <w:jc w:val="center"/>
              <w:rPr>
                <w:rFonts w:ascii="宋体" w:hAnsi="宋体"/>
                <w:szCs w:val="21"/>
              </w:rPr>
            </w:pPr>
            <w:r>
              <w:rPr>
                <w:rFonts w:hint="eastAsia" w:ascii="宋体" w:hAnsi="宋体"/>
                <w:szCs w:val="21"/>
              </w:rPr>
              <w:t>型号规格</w:t>
            </w:r>
          </w:p>
        </w:tc>
        <w:tc>
          <w:tcPr>
            <w:tcW w:w="727" w:type="dxa"/>
            <w:vAlign w:val="center"/>
          </w:tcPr>
          <w:p w14:paraId="3F7B72E2">
            <w:pPr>
              <w:jc w:val="center"/>
              <w:rPr>
                <w:rFonts w:ascii="宋体" w:hAnsi="宋体"/>
                <w:szCs w:val="21"/>
              </w:rPr>
            </w:pPr>
            <w:r>
              <w:rPr>
                <w:rFonts w:hint="eastAsia" w:ascii="宋体" w:hAnsi="宋体"/>
                <w:szCs w:val="21"/>
              </w:rPr>
              <w:t>单位</w:t>
            </w:r>
          </w:p>
        </w:tc>
        <w:tc>
          <w:tcPr>
            <w:tcW w:w="711" w:type="dxa"/>
            <w:vAlign w:val="center"/>
          </w:tcPr>
          <w:p w14:paraId="7DF3144D">
            <w:pPr>
              <w:jc w:val="center"/>
              <w:rPr>
                <w:rFonts w:ascii="宋体" w:hAnsi="宋体"/>
                <w:szCs w:val="21"/>
              </w:rPr>
            </w:pPr>
            <w:r>
              <w:rPr>
                <w:rFonts w:hint="eastAsia" w:ascii="宋体" w:hAnsi="宋体"/>
                <w:szCs w:val="21"/>
              </w:rPr>
              <w:t>数量</w:t>
            </w:r>
          </w:p>
        </w:tc>
        <w:tc>
          <w:tcPr>
            <w:tcW w:w="2126" w:type="dxa"/>
            <w:vAlign w:val="center"/>
          </w:tcPr>
          <w:p w14:paraId="715EC3C2">
            <w:pPr>
              <w:jc w:val="center"/>
              <w:rPr>
                <w:rFonts w:ascii="宋体" w:hAnsi="宋体"/>
                <w:szCs w:val="21"/>
              </w:rPr>
            </w:pPr>
            <w:r>
              <w:rPr>
                <w:rFonts w:hint="eastAsia" w:ascii="宋体" w:hAnsi="宋体"/>
                <w:szCs w:val="21"/>
              </w:rPr>
              <w:t>安装地点</w:t>
            </w:r>
            <w:r>
              <w:rPr>
                <w:rFonts w:ascii="宋体" w:hAnsi="宋体"/>
                <w:szCs w:val="21"/>
              </w:rPr>
              <w:t>/</w:t>
            </w:r>
            <w:r>
              <w:rPr>
                <w:rFonts w:hint="eastAsia" w:ascii="宋体" w:hAnsi="宋体"/>
                <w:szCs w:val="21"/>
              </w:rPr>
              <w:t>服务对象</w:t>
            </w:r>
          </w:p>
        </w:tc>
      </w:tr>
      <w:tr w14:paraId="19E9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2BD3287B">
            <w:pPr>
              <w:jc w:val="center"/>
              <w:rPr>
                <w:rFonts w:ascii="宋体" w:hAnsi="宋体"/>
                <w:szCs w:val="21"/>
              </w:rPr>
            </w:pPr>
            <w:r>
              <w:rPr>
                <w:rFonts w:ascii="宋体" w:hAnsi="宋体"/>
                <w:szCs w:val="21"/>
              </w:rPr>
              <w:t>1</w:t>
            </w:r>
          </w:p>
        </w:tc>
        <w:tc>
          <w:tcPr>
            <w:tcW w:w="2988" w:type="dxa"/>
            <w:vAlign w:val="center"/>
          </w:tcPr>
          <w:p w14:paraId="5EC4BE2A">
            <w:pPr>
              <w:spacing w:line="240" w:lineRule="auto"/>
              <w:ind w:left="0" w:leftChars="0" w:firstLine="0" w:firstLineChars="0"/>
              <w:jc w:val="center"/>
              <w:rPr>
                <w:rFonts w:ascii="宋体" w:hAnsi="宋体"/>
                <w:szCs w:val="21"/>
              </w:rPr>
            </w:pPr>
            <w:r>
              <w:rPr>
                <w:rFonts w:hint="eastAsia"/>
                <w:sz w:val="21"/>
                <w:szCs w:val="21"/>
                <w:vertAlign w:val="baseline"/>
                <w:lang w:val="en-US" w:eastAsia="zh-CN"/>
              </w:rPr>
              <w:t>高压交流变频电源系统</w:t>
            </w:r>
          </w:p>
        </w:tc>
        <w:tc>
          <w:tcPr>
            <w:tcW w:w="1760" w:type="dxa"/>
            <w:vAlign w:val="center"/>
          </w:tcPr>
          <w:p w14:paraId="3CC03609">
            <w:pPr>
              <w:jc w:val="center"/>
              <w:rPr>
                <w:rFonts w:ascii="宋体" w:hAnsi="宋体"/>
                <w:szCs w:val="21"/>
              </w:rPr>
            </w:pPr>
            <w:r>
              <w:rPr>
                <w:rFonts w:hint="eastAsia" w:ascii="宋体" w:hAnsi="宋体"/>
                <w:szCs w:val="21"/>
              </w:rPr>
              <w:t>见“技术要求”</w:t>
            </w:r>
          </w:p>
        </w:tc>
        <w:tc>
          <w:tcPr>
            <w:tcW w:w="727" w:type="dxa"/>
            <w:vAlign w:val="center"/>
          </w:tcPr>
          <w:p w14:paraId="34E5DCE0">
            <w:pPr>
              <w:jc w:val="center"/>
              <w:rPr>
                <w:rFonts w:ascii="宋体" w:hAnsi="宋体"/>
                <w:szCs w:val="21"/>
              </w:rPr>
            </w:pPr>
            <w:r>
              <w:rPr>
                <w:rFonts w:hint="eastAsia" w:ascii="宋体" w:hAnsi="宋体"/>
                <w:szCs w:val="21"/>
              </w:rPr>
              <w:t>套</w:t>
            </w:r>
          </w:p>
        </w:tc>
        <w:tc>
          <w:tcPr>
            <w:tcW w:w="711" w:type="dxa"/>
            <w:vAlign w:val="center"/>
          </w:tcPr>
          <w:p w14:paraId="71573C89">
            <w:pPr>
              <w:jc w:val="center"/>
              <w:rPr>
                <w:rFonts w:ascii="宋体" w:hAnsi="宋体"/>
                <w:szCs w:val="21"/>
              </w:rPr>
            </w:pPr>
            <w:r>
              <w:rPr>
                <w:rFonts w:ascii="宋体" w:hAnsi="宋体"/>
                <w:szCs w:val="21"/>
              </w:rPr>
              <w:t>1</w:t>
            </w:r>
          </w:p>
        </w:tc>
        <w:tc>
          <w:tcPr>
            <w:tcW w:w="2126" w:type="dxa"/>
            <w:vAlign w:val="center"/>
          </w:tcPr>
          <w:p w14:paraId="3ABA58B1">
            <w:pPr>
              <w:jc w:val="center"/>
              <w:rPr>
                <w:rFonts w:ascii="宋体" w:hAnsi="宋体"/>
                <w:sz w:val="21"/>
                <w:szCs w:val="21"/>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r w14:paraId="3C67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724CEE02">
            <w:pPr>
              <w:jc w:val="center"/>
              <w:rPr>
                <w:rFonts w:ascii="宋体" w:hAnsi="宋体"/>
                <w:szCs w:val="21"/>
              </w:rPr>
            </w:pPr>
            <w:r>
              <w:rPr>
                <w:rFonts w:hint="eastAsia" w:ascii="宋体" w:hAnsi="宋体"/>
                <w:szCs w:val="21"/>
              </w:rPr>
              <w:t>2</w:t>
            </w:r>
          </w:p>
        </w:tc>
        <w:tc>
          <w:tcPr>
            <w:tcW w:w="2988" w:type="dxa"/>
            <w:vAlign w:val="center"/>
          </w:tcPr>
          <w:p w14:paraId="0C53A782">
            <w:pPr>
              <w:spacing w:line="240" w:lineRule="auto"/>
              <w:ind w:left="0" w:leftChars="0" w:firstLine="0" w:firstLineChars="0"/>
              <w:jc w:val="center"/>
              <w:rPr>
                <w:rFonts w:ascii="宋体" w:hAnsi="宋体"/>
                <w:szCs w:val="21"/>
              </w:rPr>
            </w:pPr>
            <w:r>
              <w:rPr>
                <w:rFonts w:hint="eastAsia"/>
                <w:sz w:val="21"/>
                <w:szCs w:val="21"/>
                <w:vertAlign w:val="baseline"/>
                <w:lang w:val="en-US" w:eastAsia="zh-CN"/>
              </w:rPr>
              <w:t>高压直流稳压电源系统</w:t>
            </w:r>
          </w:p>
        </w:tc>
        <w:tc>
          <w:tcPr>
            <w:tcW w:w="1760" w:type="dxa"/>
            <w:vAlign w:val="center"/>
          </w:tcPr>
          <w:p w14:paraId="004DE58C">
            <w:pPr>
              <w:jc w:val="center"/>
              <w:rPr>
                <w:rFonts w:ascii="宋体" w:hAnsi="宋体"/>
                <w:szCs w:val="21"/>
              </w:rPr>
            </w:pPr>
            <w:r>
              <w:rPr>
                <w:rFonts w:hint="eastAsia" w:ascii="宋体" w:hAnsi="宋体"/>
                <w:szCs w:val="21"/>
              </w:rPr>
              <w:t>见“技术要求”</w:t>
            </w:r>
          </w:p>
        </w:tc>
        <w:tc>
          <w:tcPr>
            <w:tcW w:w="727" w:type="dxa"/>
            <w:vAlign w:val="center"/>
          </w:tcPr>
          <w:p w14:paraId="476BCBA1">
            <w:pPr>
              <w:jc w:val="center"/>
              <w:rPr>
                <w:rFonts w:ascii="宋体" w:hAnsi="宋体"/>
                <w:szCs w:val="21"/>
              </w:rPr>
            </w:pPr>
            <w:r>
              <w:rPr>
                <w:rFonts w:hint="eastAsia" w:ascii="宋体" w:hAnsi="宋体"/>
                <w:szCs w:val="21"/>
              </w:rPr>
              <w:t>套</w:t>
            </w:r>
          </w:p>
        </w:tc>
        <w:tc>
          <w:tcPr>
            <w:tcW w:w="711" w:type="dxa"/>
            <w:vAlign w:val="center"/>
          </w:tcPr>
          <w:p w14:paraId="0D6FB9EE">
            <w:pPr>
              <w:jc w:val="center"/>
              <w:rPr>
                <w:rFonts w:ascii="宋体" w:hAnsi="宋体"/>
                <w:szCs w:val="21"/>
              </w:rPr>
            </w:pPr>
            <w:r>
              <w:rPr>
                <w:rFonts w:ascii="宋体" w:hAnsi="宋体"/>
                <w:szCs w:val="21"/>
              </w:rPr>
              <w:t>1</w:t>
            </w:r>
          </w:p>
        </w:tc>
        <w:tc>
          <w:tcPr>
            <w:tcW w:w="2126" w:type="dxa"/>
            <w:vAlign w:val="center"/>
          </w:tcPr>
          <w:p w14:paraId="123CAA8B">
            <w:pPr>
              <w:jc w:val="center"/>
              <w:rPr>
                <w:rFonts w:ascii="宋体" w:hAnsi="宋体" w:cs="宋体"/>
                <w:sz w:val="21"/>
                <w:szCs w:val="21"/>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r w14:paraId="260D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08F7E0E7">
            <w:pPr>
              <w:jc w:val="center"/>
              <w:rPr>
                <w:rFonts w:hint="eastAsia" w:ascii="宋体" w:hAnsi="宋体" w:eastAsia="宋体"/>
                <w:szCs w:val="21"/>
                <w:lang w:val="en-US" w:eastAsia="zh-CN"/>
              </w:rPr>
            </w:pPr>
            <w:r>
              <w:rPr>
                <w:rFonts w:hint="eastAsia" w:ascii="宋体" w:hAnsi="宋体"/>
                <w:szCs w:val="21"/>
                <w:lang w:val="en-US" w:eastAsia="zh-CN"/>
              </w:rPr>
              <w:t>3</w:t>
            </w:r>
          </w:p>
        </w:tc>
        <w:tc>
          <w:tcPr>
            <w:tcW w:w="2988" w:type="dxa"/>
            <w:vAlign w:val="center"/>
          </w:tcPr>
          <w:p w14:paraId="7011EE70">
            <w:pPr>
              <w:spacing w:line="240" w:lineRule="auto"/>
              <w:ind w:left="0" w:leftChars="0" w:firstLine="0" w:firstLineChars="0"/>
              <w:jc w:val="center"/>
              <w:rPr>
                <w:rFonts w:hint="eastAsia" w:ascii="宋体" w:hAnsi="宋体"/>
                <w:szCs w:val="21"/>
              </w:rPr>
            </w:pPr>
            <w:r>
              <w:rPr>
                <w:rFonts w:hint="eastAsia"/>
                <w:sz w:val="21"/>
                <w:szCs w:val="21"/>
                <w:vertAlign w:val="baseline"/>
                <w:lang w:val="en-US" w:eastAsia="zh-CN"/>
              </w:rPr>
              <w:t>双极性直流稳压电源系统</w:t>
            </w:r>
          </w:p>
        </w:tc>
        <w:tc>
          <w:tcPr>
            <w:tcW w:w="1760" w:type="dxa"/>
            <w:vAlign w:val="center"/>
          </w:tcPr>
          <w:p w14:paraId="0BEEA6A4">
            <w:pPr>
              <w:jc w:val="center"/>
              <w:rPr>
                <w:rFonts w:hint="eastAsia" w:ascii="宋体" w:hAnsi="宋体"/>
                <w:szCs w:val="21"/>
              </w:rPr>
            </w:pPr>
            <w:r>
              <w:rPr>
                <w:rFonts w:hint="eastAsia" w:ascii="宋体" w:hAnsi="宋体"/>
                <w:szCs w:val="21"/>
              </w:rPr>
              <w:t>见“技术要求”</w:t>
            </w:r>
          </w:p>
        </w:tc>
        <w:tc>
          <w:tcPr>
            <w:tcW w:w="727" w:type="dxa"/>
            <w:vAlign w:val="center"/>
          </w:tcPr>
          <w:p w14:paraId="7D64D1C1">
            <w:pPr>
              <w:jc w:val="center"/>
              <w:rPr>
                <w:rFonts w:hint="eastAsia" w:ascii="宋体" w:hAnsi="宋体"/>
                <w:szCs w:val="21"/>
              </w:rPr>
            </w:pPr>
            <w:r>
              <w:rPr>
                <w:rFonts w:hint="eastAsia" w:ascii="宋体" w:hAnsi="宋体"/>
                <w:szCs w:val="21"/>
              </w:rPr>
              <w:t>套</w:t>
            </w:r>
          </w:p>
        </w:tc>
        <w:tc>
          <w:tcPr>
            <w:tcW w:w="711" w:type="dxa"/>
            <w:vAlign w:val="center"/>
          </w:tcPr>
          <w:p w14:paraId="67A2F42B">
            <w:pPr>
              <w:jc w:val="center"/>
              <w:rPr>
                <w:rFonts w:hint="eastAsia" w:ascii="宋体" w:hAnsi="宋体" w:eastAsia="宋体"/>
                <w:szCs w:val="21"/>
                <w:lang w:val="en-US" w:eastAsia="zh-CN"/>
              </w:rPr>
            </w:pPr>
            <w:r>
              <w:rPr>
                <w:rFonts w:hint="eastAsia" w:ascii="宋体" w:hAnsi="宋体"/>
                <w:szCs w:val="21"/>
                <w:lang w:val="en-US" w:eastAsia="zh-CN"/>
              </w:rPr>
              <w:t>1</w:t>
            </w:r>
          </w:p>
        </w:tc>
        <w:tc>
          <w:tcPr>
            <w:tcW w:w="2126" w:type="dxa"/>
            <w:vAlign w:val="center"/>
          </w:tcPr>
          <w:p w14:paraId="1ECFBF23">
            <w:pPr>
              <w:jc w:val="center"/>
              <w:rPr>
                <w:rFonts w:hint="eastAsia" w:ascii="宋体" w:hAnsi="宋体" w:cs="宋体"/>
                <w:sz w:val="21"/>
                <w:szCs w:val="21"/>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r w14:paraId="0B76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3A4907E7">
            <w:pPr>
              <w:jc w:val="center"/>
              <w:rPr>
                <w:rFonts w:hint="eastAsia" w:ascii="宋体" w:hAnsi="宋体" w:eastAsia="宋体"/>
                <w:szCs w:val="21"/>
                <w:lang w:val="en-US" w:eastAsia="zh-CN"/>
              </w:rPr>
            </w:pPr>
            <w:r>
              <w:rPr>
                <w:rFonts w:hint="eastAsia" w:ascii="宋体" w:hAnsi="宋体"/>
                <w:szCs w:val="21"/>
                <w:lang w:val="en-US" w:eastAsia="zh-CN"/>
              </w:rPr>
              <w:t>4</w:t>
            </w:r>
          </w:p>
        </w:tc>
        <w:tc>
          <w:tcPr>
            <w:tcW w:w="2988" w:type="dxa"/>
            <w:vAlign w:val="center"/>
          </w:tcPr>
          <w:p w14:paraId="6DE063B4">
            <w:pPr>
              <w:spacing w:line="240" w:lineRule="auto"/>
              <w:ind w:left="0" w:leftChars="0" w:firstLine="0" w:firstLineChars="0"/>
              <w:jc w:val="center"/>
              <w:rPr>
                <w:rFonts w:hint="eastAsia" w:ascii="宋体" w:hAnsi="宋体"/>
                <w:szCs w:val="21"/>
              </w:rPr>
            </w:pPr>
            <w:r>
              <w:rPr>
                <w:rFonts w:hint="eastAsia"/>
                <w:sz w:val="21"/>
                <w:szCs w:val="21"/>
                <w:vertAlign w:val="baseline"/>
                <w:lang w:val="en-US" w:eastAsia="zh-CN"/>
              </w:rPr>
              <w:t>低压稳压电源系统</w:t>
            </w:r>
          </w:p>
        </w:tc>
        <w:tc>
          <w:tcPr>
            <w:tcW w:w="1760" w:type="dxa"/>
            <w:vAlign w:val="center"/>
          </w:tcPr>
          <w:p w14:paraId="6D8410FE">
            <w:pPr>
              <w:jc w:val="center"/>
              <w:rPr>
                <w:rFonts w:hint="eastAsia" w:ascii="宋体" w:hAnsi="宋体"/>
                <w:szCs w:val="21"/>
              </w:rPr>
            </w:pPr>
            <w:r>
              <w:rPr>
                <w:rFonts w:hint="eastAsia" w:ascii="宋体" w:hAnsi="宋体"/>
                <w:szCs w:val="21"/>
              </w:rPr>
              <w:t>见“技术要求”</w:t>
            </w:r>
          </w:p>
        </w:tc>
        <w:tc>
          <w:tcPr>
            <w:tcW w:w="727" w:type="dxa"/>
            <w:vAlign w:val="center"/>
          </w:tcPr>
          <w:p w14:paraId="730EBE3E">
            <w:pPr>
              <w:jc w:val="center"/>
              <w:rPr>
                <w:rFonts w:hint="eastAsia" w:ascii="宋体" w:hAnsi="宋体"/>
                <w:szCs w:val="21"/>
              </w:rPr>
            </w:pPr>
            <w:r>
              <w:rPr>
                <w:rFonts w:hint="eastAsia" w:ascii="宋体" w:hAnsi="宋体"/>
                <w:szCs w:val="21"/>
              </w:rPr>
              <w:t>套</w:t>
            </w:r>
          </w:p>
        </w:tc>
        <w:tc>
          <w:tcPr>
            <w:tcW w:w="711" w:type="dxa"/>
            <w:vAlign w:val="center"/>
          </w:tcPr>
          <w:p w14:paraId="420F0EDB">
            <w:pPr>
              <w:jc w:val="center"/>
              <w:rPr>
                <w:rFonts w:hint="eastAsia" w:ascii="宋体" w:hAnsi="宋体" w:eastAsia="宋体"/>
                <w:szCs w:val="21"/>
                <w:lang w:val="en-US" w:eastAsia="zh-CN"/>
              </w:rPr>
            </w:pPr>
            <w:r>
              <w:rPr>
                <w:rFonts w:hint="eastAsia" w:ascii="宋体" w:hAnsi="宋体"/>
                <w:szCs w:val="21"/>
                <w:lang w:val="en-US" w:eastAsia="zh-CN"/>
              </w:rPr>
              <w:t>1</w:t>
            </w:r>
          </w:p>
        </w:tc>
        <w:tc>
          <w:tcPr>
            <w:tcW w:w="2126" w:type="dxa"/>
            <w:vAlign w:val="center"/>
          </w:tcPr>
          <w:p w14:paraId="1ADA5B7F">
            <w:pPr>
              <w:jc w:val="center"/>
              <w:rPr>
                <w:rFonts w:hint="eastAsia" w:ascii="宋体" w:hAnsi="宋体" w:cs="宋体"/>
                <w:sz w:val="21"/>
                <w:szCs w:val="21"/>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r w14:paraId="7E2A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5C3F00A8">
            <w:pPr>
              <w:jc w:val="center"/>
              <w:rPr>
                <w:rFonts w:hint="default" w:ascii="宋体" w:hAnsi="宋体" w:eastAsia="宋体"/>
                <w:szCs w:val="21"/>
                <w:lang w:val="en-US" w:eastAsia="zh-CN"/>
              </w:rPr>
            </w:pPr>
            <w:r>
              <w:rPr>
                <w:rFonts w:hint="eastAsia" w:ascii="宋体" w:hAnsi="宋体"/>
                <w:szCs w:val="21"/>
                <w:lang w:val="en-US" w:eastAsia="zh-CN"/>
              </w:rPr>
              <w:t>5</w:t>
            </w:r>
          </w:p>
        </w:tc>
        <w:tc>
          <w:tcPr>
            <w:tcW w:w="2988" w:type="dxa"/>
            <w:vAlign w:val="center"/>
          </w:tcPr>
          <w:p w14:paraId="21B9C883">
            <w:pPr>
              <w:spacing w:line="240" w:lineRule="auto"/>
              <w:ind w:left="0" w:leftChars="0" w:firstLine="0" w:firstLineChars="0"/>
              <w:jc w:val="center"/>
              <w:rPr>
                <w:rFonts w:hint="default" w:ascii="宋体" w:hAnsi="宋体"/>
                <w:szCs w:val="21"/>
                <w:lang w:val="en-US"/>
              </w:rPr>
            </w:pPr>
            <w:r>
              <w:rPr>
                <w:rFonts w:hint="eastAsia"/>
                <w:sz w:val="21"/>
                <w:szCs w:val="21"/>
                <w:vertAlign w:val="baseline"/>
                <w:lang w:val="en-US" w:eastAsia="zh-CN"/>
              </w:rPr>
              <w:t>高压零部件温湿度环境仓</w:t>
            </w:r>
          </w:p>
        </w:tc>
        <w:tc>
          <w:tcPr>
            <w:tcW w:w="1760" w:type="dxa"/>
            <w:vAlign w:val="center"/>
          </w:tcPr>
          <w:p w14:paraId="77C7A385">
            <w:pPr>
              <w:jc w:val="center"/>
              <w:rPr>
                <w:rFonts w:hint="eastAsia" w:ascii="宋体" w:hAnsi="宋体"/>
                <w:szCs w:val="21"/>
              </w:rPr>
            </w:pPr>
            <w:r>
              <w:rPr>
                <w:rFonts w:hint="eastAsia" w:ascii="宋体" w:hAnsi="宋体"/>
                <w:szCs w:val="21"/>
              </w:rPr>
              <w:t>见“技术要求”</w:t>
            </w:r>
          </w:p>
        </w:tc>
        <w:tc>
          <w:tcPr>
            <w:tcW w:w="727" w:type="dxa"/>
            <w:vAlign w:val="center"/>
          </w:tcPr>
          <w:p w14:paraId="174BEA72">
            <w:pPr>
              <w:jc w:val="center"/>
              <w:rPr>
                <w:rFonts w:hint="eastAsia" w:ascii="宋体" w:hAnsi="宋体"/>
                <w:szCs w:val="21"/>
              </w:rPr>
            </w:pPr>
            <w:r>
              <w:rPr>
                <w:rFonts w:hint="eastAsia" w:ascii="宋体" w:hAnsi="宋体"/>
                <w:szCs w:val="21"/>
              </w:rPr>
              <w:t>套</w:t>
            </w:r>
          </w:p>
        </w:tc>
        <w:tc>
          <w:tcPr>
            <w:tcW w:w="711" w:type="dxa"/>
            <w:vAlign w:val="center"/>
          </w:tcPr>
          <w:p w14:paraId="0E1CF3BD">
            <w:pPr>
              <w:jc w:val="center"/>
              <w:rPr>
                <w:rFonts w:hint="eastAsia" w:ascii="宋体" w:hAnsi="宋体" w:eastAsia="宋体"/>
                <w:szCs w:val="21"/>
                <w:lang w:val="en-US" w:eastAsia="zh-CN"/>
              </w:rPr>
            </w:pPr>
            <w:r>
              <w:rPr>
                <w:rFonts w:hint="eastAsia" w:ascii="宋体" w:hAnsi="宋体"/>
                <w:szCs w:val="21"/>
                <w:lang w:val="en-US" w:eastAsia="zh-CN"/>
              </w:rPr>
              <w:t>1</w:t>
            </w:r>
          </w:p>
        </w:tc>
        <w:tc>
          <w:tcPr>
            <w:tcW w:w="2126" w:type="dxa"/>
            <w:vAlign w:val="center"/>
          </w:tcPr>
          <w:p w14:paraId="7E34C171">
            <w:pPr>
              <w:jc w:val="center"/>
              <w:rPr>
                <w:rFonts w:hint="eastAsia" w:ascii="宋体" w:hAnsi="宋体" w:cs="宋体"/>
                <w:sz w:val="21"/>
                <w:szCs w:val="21"/>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r w14:paraId="21C0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1E32542D">
            <w:pPr>
              <w:jc w:val="center"/>
              <w:rPr>
                <w:rFonts w:hint="eastAsia" w:ascii="宋体" w:hAnsi="宋体"/>
                <w:szCs w:val="21"/>
                <w:lang w:val="en-US" w:eastAsia="zh-CN"/>
              </w:rPr>
            </w:pPr>
            <w:r>
              <w:rPr>
                <w:rFonts w:hint="eastAsia" w:ascii="宋体" w:hAnsi="宋体"/>
                <w:szCs w:val="21"/>
                <w:lang w:val="en-US" w:eastAsia="zh-CN"/>
              </w:rPr>
              <w:t>6</w:t>
            </w:r>
          </w:p>
        </w:tc>
        <w:tc>
          <w:tcPr>
            <w:tcW w:w="2988" w:type="dxa"/>
            <w:vAlign w:val="center"/>
          </w:tcPr>
          <w:p w14:paraId="12B822AC">
            <w:pPr>
              <w:spacing w:line="240" w:lineRule="auto"/>
              <w:ind w:left="0" w:leftChars="0" w:firstLine="0" w:firstLineChars="0"/>
              <w:jc w:val="center"/>
              <w:rPr>
                <w:rFonts w:hint="eastAsia"/>
                <w:sz w:val="21"/>
                <w:szCs w:val="21"/>
                <w:vertAlign w:val="baseline"/>
                <w:lang w:val="en-US" w:eastAsia="zh-CN"/>
              </w:rPr>
            </w:pPr>
            <w:r>
              <w:rPr>
                <w:rFonts w:hint="eastAsia"/>
                <w:sz w:val="21"/>
                <w:szCs w:val="21"/>
                <w:highlight w:val="none"/>
                <w:vertAlign w:val="baseline"/>
                <w:lang w:val="en-US" w:eastAsia="zh-CN"/>
              </w:rPr>
              <w:t>测控系统</w:t>
            </w:r>
          </w:p>
        </w:tc>
        <w:tc>
          <w:tcPr>
            <w:tcW w:w="1760" w:type="dxa"/>
            <w:vAlign w:val="center"/>
          </w:tcPr>
          <w:p w14:paraId="32F2ACD6">
            <w:pPr>
              <w:jc w:val="center"/>
              <w:rPr>
                <w:rFonts w:hint="eastAsia" w:ascii="宋体" w:hAnsi="宋体"/>
                <w:szCs w:val="21"/>
              </w:rPr>
            </w:pPr>
            <w:r>
              <w:rPr>
                <w:rFonts w:hint="eastAsia" w:ascii="宋体" w:hAnsi="宋体"/>
                <w:szCs w:val="21"/>
              </w:rPr>
              <w:t>见“技术要求”</w:t>
            </w:r>
          </w:p>
        </w:tc>
        <w:tc>
          <w:tcPr>
            <w:tcW w:w="727" w:type="dxa"/>
            <w:vAlign w:val="center"/>
          </w:tcPr>
          <w:p w14:paraId="5B31DE24">
            <w:pPr>
              <w:jc w:val="center"/>
              <w:rPr>
                <w:rFonts w:hint="eastAsia" w:ascii="宋体" w:hAnsi="宋体"/>
                <w:szCs w:val="21"/>
              </w:rPr>
            </w:pPr>
            <w:r>
              <w:rPr>
                <w:rFonts w:hint="eastAsia" w:ascii="宋体" w:hAnsi="宋体"/>
                <w:szCs w:val="21"/>
              </w:rPr>
              <w:t>套</w:t>
            </w:r>
          </w:p>
        </w:tc>
        <w:tc>
          <w:tcPr>
            <w:tcW w:w="711" w:type="dxa"/>
            <w:vAlign w:val="center"/>
          </w:tcPr>
          <w:p w14:paraId="2AA99E5F">
            <w:pPr>
              <w:jc w:val="center"/>
              <w:rPr>
                <w:rFonts w:hint="eastAsia" w:ascii="宋体" w:hAnsi="宋体"/>
                <w:szCs w:val="21"/>
                <w:lang w:val="en-US" w:eastAsia="zh-CN"/>
              </w:rPr>
            </w:pPr>
            <w:r>
              <w:rPr>
                <w:rFonts w:hint="eastAsia" w:ascii="宋体" w:hAnsi="宋体"/>
                <w:szCs w:val="21"/>
                <w:lang w:val="en-US" w:eastAsia="zh-CN"/>
              </w:rPr>
              <w:t>1</w:t>
            </w:r>
          </w:p>
        </w:tc>
        <w:tc>
          <w:tcPr>
            <w:tcW w:w="2126" w:type="dxa"/>
            <w:vAlign w:val="center"/>
          </w:tcPr>
          <w:p w14:paraId="748A80AB">
            <w:pPr>
              <w:jc w:val="center"/>
              <w:rPr>
                <w:rFonts w:hint="eastAsia" w:ascii="宋体" w:hAnsi="宋体"/>
                <w:sz w:val="21"/>
                <w:szCs w:val="21"/>
                <w:u w:val="none"/>
              </w:rPr>
            </w:pPr>
            <w:r>
              <w:rPr>
                <w:rFonts w:hint="eastAsia" w:ascii="宋体" w:hAnsi="宋体"/>
                <w:sz w:val="21"/>
                <w:szCs w:val="21"/>
                <w:u w:val="none"/>
              </w:rPr>
              <w:t>济南市莱芜区口镇重汽</w:t>
            </w:r>
            <w:r>
              <w:rPr>
                <w:rFonts w:hint="eastAsia" w:ascii="宋体" w:hAnsi="宋体" w:cs="宋体"/>
                <w:sz w:val="21"/>
                <w:szCs w:val="21"/>
                <w:u w:val="none"/>
              </w:rPr>
              <w:t>新能源产品试验检测中心</w:t>
            </w:r>
          </w:p>
        </w:tc>
      </w:tr>
    </w:tbl>
    <w:p w14:paraId="34C40C74">
      <w:pPr>
        <w:spacing w:line="440" w:lineRule="exact"/>
        <w:rPr>
          <w:rFonts w:hint="eastAsia" w:asciiTheme="minorEastAsia" w:hAnsiTheme="minorEastAsia" w:eastAsiaTheme="minorEastAsia" w:cstheme="minorEastAsia"/>
          <w:kern w:val="0"/>
          <w:sz w:val="24"/>
          <w:szCs w:val="24"/>
          <w:highlight w:val="none"/>
          <w:u w:val="single"/>
          <w:lang w:val="en-US" w:eastAsia="zh-CN" w:bidi="en-US"/>
        </w:rPr>
      </w:pPr>
    </w:p>
    <w:p w14:paraId="7A1685D8">
      <w:pPr>
        <w:spacing w:line="440" w:lineRule="exac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rPr>
        <w:t xml:space="preserve">二、项目基本情况  </w:t>
      </w:r>
      <w:r>
        <w:rPr>
          <w:rFonts w:hint="eastAsia" w:asciiTheme="majorEastAsia" w:hAnsiTheme="majorEastAsia" w:eastAsiaTheme="majorEastAsia" w:cstheme="majorEastAsia"/>
          <w:b/>
          <w:bCs/>
          <w:sz w:val="24"/>
          <w:szCs w:val="24"/>
        </w:rPr>
        <w:t xml:space="preserve"> </w:t>
      </w:r>
      <w:bookmarkStart w:id="2" w:name="_Toc285809451"/>
      <w:bookmarkEnd w:id="2"/>
      <w:bookmarkStart w:id="3" w:name="_Toc152045514"/>
      <w:bookmarkEnd w:id="3"/>
      <w:bookmarkStart w:id="4" w:name="_Toc152042290"/>
      <w:bookmarkEnd w:id="4"/>
      <w:bookmarkStart w:id="5" w:name="_Toc179632530"/>
      <w:bookmarkEnd w:id="5"/>
      <w:bookmarkStart w:id="6" w:name="_Toc144974482"/>
      <w:bookmarkEnd w:id="6"/>
      <w:r>
        <w:rPr>
          <w:rFonts w:hint="eastAsia" w:asciiTheme="majorEastAsia" w:hAnsiTheme="majorEastAsia" w:eastAsiaTheme="majorEastAsia" w:cstheme="majorEastAsia"/>
          <w:b/>
          <w:bCs/>
          <w:sz w:val="24"/>
          <w:szCs w:val="24"/>
        </w:rPr>
        <w:t xml:space="preserve"> </w:t>
      </w:r>
    </w:p>
    <w:p w14:paraId="7CAB79DB">
      <w:pPr>
        <w:pStyle w:val="41"/>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kern w:val="0"/>
          <w:sz w:val="24"/>
          <w:szCs w:val="24"/>
          <w:highlight w:val="none"/>
          <w:u w:val="single"/>
          <w:lang w:val="en-US" w:eastAsia="zh-CN" w:bidi="en-US"/>
        </w:rPr>
        <w:t>新能源高压零部件源载及环境试验设备项目</w:t>
      </w:r>
    </w:p>
    <w:p w14:paraId="680A0AC8">
      <w:pPr>
        <w:pStyle w:val="41"/>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ajorEastAsia" w:hAnsiTheme="majorEastAsia" w:eastAsiaTheme="majorEastAsia" w:cstheme="majorEastAsia"/>
          <w:sz w:val="24"/>
          <w:szCs w:val="24"/>
          <w:lang w:val="en-US" w:eastAsia="zh-CN"/>
        </w:rPr>
      </w:pPr>
      <w:r>
        <w:rPr>
          <w:rFonts w:hint="eastAsia" w:asciiTheme="minorEastAsia" w:hAnsiTheme="minorEastAsia" w:eastAsiaTheme="minorEastAsia" w:cstheme="minorEastAsia"/>
          <w:kern w:val="0"/>
          <w:sz w:val="24"/>
          <w:szCs w:val="24"/>
          <w:highlight w:val="none"/>
          <w:lang w:bidi="en-US"/>
        </w:rPr>
        <w:t>采购形式编号：</w:t>
      </w:r>
      <w:r>
        <w:rPr>
          <w:rFonts w:hint="eastAsia" w:cs="宋体"/>
          <w:i w:val="0"/>
          <w:sz w:val="22"/>
          <w:szCs w:val="22"/>
          <w:highlight w:val="yellow"/>
        </w:rPr>
        <w:t>ZBGL2026070123</w:t>
      </w:r>
    </w:p>
    <w:p w14:paraId="46ED3285">
      <w:pPr>
        <w:pStyle w:val="41"/>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0" w:firstLineChars="0"/>
        <w:jc w:val="left"/>
        <w:textAlignment w:val="auto"/>
        <w:rPr>
          <w:rFonts w:asciiTheme="majorEastAsia" w:hAnsiTheme="majorEastAsia" w:eastAsiaTheme="majorEastAsia" w:cstheme="majorEastAsia"/>
          <w:sz w:val="24"/>
        </w:rPr>
      </w:pP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固定资产</w:t>
      </w:r>
    </w:p>
    <w:p w14:paraId="528E4001">
      <w:pPr>
        <w:pStyle w:val="41"/>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0" w:firstLineChars="0"/>
        <w:jc w:val="left"/>
        <w:textAlignment w:val="auto"/>
        <w:rPr>
          <w:rFonts w:asciiTheme="majorEastAsia" w:hAnsiTheme="majorEastAsia" w:eastAsiaTheme="majorEastAsia" w:cstheme="majorEastAsia"/>
          <w:sz w:val="24"/>
        </w:rPr>
      </w:pP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572CA0DE">
      <w:pPr>
        <w:spacing w:line="440" w:lineRule="exact"/>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三、供应商资格条件  </w:t>
      </w:r>
    </w:p>
    <w:p w14:paraId="2BCBA58D">
      <w:pPr>
        <w:pStyle w:val="9"/>
        <w:spacing w:line="360" w:lineRule="auto"/>
        <w:ind w:firstLine="235" w:firstLineChars="98"/>
        <w:rPr>
          <w:rFonts w:hint="eastAsia" w:ascii="宋体" w:hAnsi="宋体" w:eastAsia="宋体" w:cs="宋体"/>
          <w:b/>
          <w:color w:val="000000"/>
          <w:sz w:val="24"/>
          <w:szCs w:val="24"/>
        </w:rPr>
      </w:pPr>
      <w:bookmarkStart w:id="7" w:name="_Toc212369516"/>
      <w:r>
        <w:rPr>
          <w:rFonts w:hint="eastAsia" w:ascii="宋体" w:hAnsi="宋体" w:eastAsia="宋体" w:cs="宋体"/>
          <w:color w:val="000000"/>
          <w:sz w:val="24"/>
          <w:szCs w:val="24"/>
        </w:rPr>
        <w:t>（1）拟标投人必须是在中华人民共和国境内注册的独立法人机构，具有独立承担民事责任能力，注册资金不少于</w:t>
      </w:r>
      <w:r>
        <w:rPr>
          <w:rFonts w:hint="eastAsia" w:hAnsi="宋体" w:cs="宋体"/>
          <w:color w:val="000000"/>
          <w:sz w:val="24"/>
          <w:szCs w:val="24"/>
          <w:highlight w:val="yellow"/>
          <w:lang w:val="en-US" w:eastAsia="zh-CN"/>
        </w:rPr>
        <w:t>5</w:t>
      </w:r>
      <w:r>
        <w:rPr>
          <w:rFonts w:hint="eastAsia" w:ascii="宋体" w:hAnsi="宋体" w:eastAsia="宋体" w:cs="宋体"/>
          <w:color w:val="000000"/>
          <w:sz w:val="24"/>
          <w:szCs w:val="24"/>
          <w:highlight w:val="yellow"/>
        </w:rPr>
        <w:t>00万</w:t>
      </w:r>
      <w:r>
        <w:rPr>
          <w:rFonts w:hint="eastAsia" w:ascii="宋体" w:hAnsi="宋体" w:eastAsia="宋体" w:cs="宋体"/>
          <w:color w:val="000000"/>
          <w:sz w:val="24"/>
          <w:szCs w:val="24"/>
        </w:rPr>
        <w:t>人民币（或等值其他货币）；公司成立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9"/>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9"/>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9"/>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9"/>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9"/>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9"/>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9"/>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0AB36E1C">
      <w:pPr>
        <w:pStyle w:val="9"/>
        <w:spacing w:line="360" w:lineRule="auto"/>
        <w:ind w:firstLine="235" w:firstLineChars="98"/>
        <w:rPr>
          <w:rFonts w:ascii="宋体" w:hAnsi="宋体"/>
          <w:b/>
          <w:bCs/>
          <w:sz w:val="24"/>
        </w:rPr>
      </w:pPr>
      <w:r>
        <w:rPr>
          <w:rFonts w:hint="eastAsia" w:ascii="宋体" w:hAnsi="宋体" w:eastAsia="宋体" w:cs="宋体"/>
          <w:color w:val="000000"/>
          <w:sz w:val="24"/>
          <w:szCs w:val="24"/>
        </w:rPr>
        <w:t>（9）本项目不接受代理商投标</w:t>
      </w:r>
      <w:r>
        <w:rPr>
          <w:rFonts w:hint="eastAsia" w:hAnsi="宋体" w:cs="宋体"/>
          <w:color w:val="000000"/>
          <w:sz w:val="24"/>
          <w:szCs w:val="24"/>
          <w:lang w:eastAsia="zh-CN"/>
        </w:rPr>
        <w:t>。</w:t>
      </w:r>
    </w:p>
    <w:p w14:paraId="04E183DE">
      <w:pPr>
        <w:spacing w:line="440" w:lineRule="exact"/>
        <w:rPr>
          <w:rFonts w:ascii="宋体" w:hAnsi="宋体"/>
          <w:b/>
          <w:bCs/>
          <w:sz w:val="24"/>
        </w:rPr>
      </w:pPr>
      <w:r>
        <w:rPr>
          <w:rFonts w:hint="eastAsia" w:ascii="宋体" w:hAnsi="宋体"/>
          <w:b/>
          <w:bCs/>
          <w:sz w:val="24"/>
          <w:highlight w:val="yellow"/>
        </w:rPr>
        <w:t>资格证明文件</w:t>
      </w:r>
      <w:bookmarkEnd w:id="7"/>
    </w:p>
    <w:p w14:paraId="4EB33A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1C2AD2E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7953076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2DA771F2">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eastAsia="宋体" w:cs="宋体"/>
          <w:color w:val="000000"/>
          <w:sz w:val="24"/>
          <w:szCs w:val="24"/>
          <w:highlight w:val="green"/>
        </w:rPr>
        <w:t>对于境外投标人，若没有财务审计报告，需提供资产负债表、利润表、现金流量表（加盖公章版），且未显示异常；</w:t>
      </w:r>
    </w:p>
    <w:p w14:paraId="0ED77DD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52F4597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14C3277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66A5EDB8">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5341276">
      <w:pPr>
        <w:spacing w:line="360" w:lineRule="auto"/>
        <w:ind w:firstLine="480" w:firstLineChars="200"/>
        <w:rPr>
          <w:rFonts w:ascii="宋体" w:hAnsi="宋体" w:eastAsia="宋体" w:cs="宋体"/>
          <w:sz w:val="24"/>
          <w:szCs w:val="24"/>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w:t>
      </w:r>
      <w:r>
        <w:rPr>
          <w:rFonts w:ascii="宋体" w:hAnsi="宋体" w:eastAsia="宋体" w:cs="宋体"/>
          <w:sz w:val="24"/>
          <w:szCs w:val="24"/>
        </w:rPr>
        <w:t>年度纳税信用评价信息（可从电子税务局查询截图，需加盖公章）；</w:t>
      </w:r>
    </w:p>
    <w:p w14:paraId="25EF76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451FB75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6541B3E8">
      <w:pPr>
        <w:spacing w:line="360" w:lineRule="auto"/>
        <w:ind w:firstLine="480" w:firstLineChars="200"/>
        <w:rPr>
          <w:rFonts w:hint="eastAsia" w:hAnsi="宋体" w:eastAsia="宋体" w:cs="宋体"/>
          <w:bCs/>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企业近三年同类项目业绩证明；</w:t>
      </w:r>
    </w:p>
    <w:p w14:paraId="42000129">
      <w:pPr>
        <w:pStyle w:val="9"/>
        <w:spacing w:line="440" w:lineRule="exact"/>
        <w:ind w:firstLine="482" w:firstLineChars="200"/>
        <w:rPr>
          <w:sz w:val="24"/>
          <w:szCs w:val="24"/>
        </w:rPr>
      </w:pPr>
      <w:r>
        <w:rPr>
          <w:rFonts w:hint="eastAsia"/>
          <w:b/>
          <w:bCs/>
          <w:sz w:val="24"/>
          <w:szCs w:val="24"/>
        </w:rPr>
        <w:t>备注：上述资料均须加盖单位公章，以PDF的形式在规定时间内上传至重汽e采通内。</w:t>
      </w:r>
    </w:p>
    <w:p w14:paraId="112AA62D">
      <w:pPr>
        <w:spacing w:line="440" w:lineRule="exact"/>
        <w:ind w:firstLine="481"/>
        <w:rPr>
          <w:rFonts w:asciiTheme="majorEastAsia" w:hAnsiTheme="majorEastAsia" w:eastAsiaTheme="majorEastAsia" w:cstheme="majorEastAsia"/>
          <w:b/>
          <w:bCs/>
          <w:sz w:val="24"/>
        </w:rPr>
      </w:pPr>
    </w:p>
    <w:p w14:paraId="0449AF44">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四、采购文件领取 </w:t>
      </w:r>
      <w:r>
        <w:rPr>
          <w:rFonts w:hint="eastAsia" w:asciiTheme="majorEastAsia" w:hAnsiTheme="majorEastAsia" w:eastAsiaTheme="majorEastAsia" w:cstheme="majorEastAsia"/>
          <w:sz w:val="24"/>
        </w:rPr>
        <w:t xml:space="preserve"> </w:t>
      </w:r>
    </w:p>
    <w:p w14:paraId="0799B15D">
      <w:pPr>
        <w:spacing w:line="440" w:lineRule="exact"/>
        <w:ind w:firstLine="480"/>
        <w:rPr>
          <w:sz w:val="24"/>
        </w:rPr>
      </w:pPr>
      <w:r>
        <w:rPr>
          <w:rFonts w:hint="eastAsia" w:asciiTheme="majorEastAsia" w:hAnsiTheme="majorEastAsia" w:eastAsiaTheme="majorEastAsia" w:cstheme="majorEastAsia"/>
          <w:b/>
          <w:bCs/>
          <w:sz w:val="24"/>
        </w:rPr>
        <w:t>1.采购文件领取方式：</w:t>
      </w:r>
      <w:r>
        <w:rPr>
          <w:rFonts w:hint="eastAsia" w:asciiTheme="majorEastAsia" w:hAnsiTheme="majorEastAsia" w:eastAsiaTheme="majorEastAsia" w:cstheme="majorEastAsia"/>
          <w:sz w:val="24"/>
        </w:rPr>
        <w:t>应标通过后在</w:t>
      </w:r>
      <w:r>
        <w:rPr>
          <w:rFonts w:hint="eastAsia"/>
          <w:sz w:val="24"/>
        </w:rPr>
        <w:t>重汽e采通领取</w:t>
      </w:r>
    </w:p>
    <w:p w14:paraId="002432EF">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w:t>
      </w:r>
      <w:r>
        <w:rPr>
          <w:rFonts w:hint="eastAsia" w:asciiTheme="majorEastAsia" w:hAnsiTheme="majorEastAsia" w:eastAsiaTheme="majorEastAsia" w:cstheme="majorEastAsia"/>
          <w:b/>
          <w:bCs/>
          <w:sz w:val="24"/>
          <w:lang w:val="en-US" w:eastAsia="zh-CN"/>
        </w:rPr>
        <w:t>2</w:t>
      </w:r>
      <w:r>
        <w:rPr>
          <w:rFonts w:hint="eastAsia" w:asciiTheme="majorEastAsia" w:hAnsiTheme="majorEastAsia" w:eastAsiaTheme="majorEastAsia" w:cstheme="majorEastAsia"/>
          <w:b/>
          <w:bCs/>
          <w:sz w:val="24"/>
        </w:rPr>
        <w:t>.采购文件领取截止时间：</w:t>
      </w:r>
      <w:r>
        <w:rPr>
          <w:rFonts w:hint="eastAsia" w:asciiTheme="majorEastAsia" w:hAnsiTheme="majorEastAsia" w:eastAsiaTheme="majorEastAsia" w:cstheme="majorEastAsia"/>
          <w:sz w:val="24"/>
        </w:rPr>
        <w:t>2026-</w:t>
      </w:r>
      <w:r>
        <w:rPr>
          <w:rFonts w:hint="eastAsia" w:asciiTheme="majorEastAsia" w:hAnsiTheme="majorEastAsia" w:eastAsiaTheme="majorEastAsia" w:cstheme="majorEastAsia"/>
          <w:sz w:val="24"/>
          <w:lang w:val="en-US" w:eastAsia="zh-CN"/>
        </w:rPr>
        <w:t>7-14</w:t>
      </w:r>
      <w:r>
        <w:rPr>
          <w:rFonts w:hint="eastAsia" w:asciiTheme="majorEastAsia" w:hAnsiTheme="majorEastAsia" w:eastAsiaTheme="majorEastAsia" w:cstheme="majorEastAsia"/>
          <w:sz w:val="24"/>
        </w:rPr>
        <w:t xml:space="preserve"> 17:00:00 </w:t>
      </w:r>
    </w:p>
    <w:p w14:paraId="1C738C08">
      <w:pPr>
        <w:spacing w:line="440" w:lineRule="exact"/>
        <w:jc w:val="left"/>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 五、响应文件提交 </w:t>
      </w:r>
    </w:p>
    <w:p w14:paraId="0A43F84B">
      <w:pPr>
        <w:spacing w:line="440" w:lineRule="exact"/>
        <w:rPr>
          <w:rFonts w:asciiTheme="majorEastAsia" w:hAnsiTheme="majorEastAsia" w:cstheme="majorEastAsia"/>
          <w:sz w:val="24"/>
        </w:rPr>
      </w:pPr>
      <w:r>
        <w:rPr>
          <w:rFonts w:hint="eastAsia" w:asciiTheme="majorEastAsia" w:hAnsiTheme="majorEastAsia" w:eastAsiaTheme="majorEastAsia" w:cstheme="majorEastAsia"/>
          <w:b/>
          <w:bCs/>
          <w:sz w:val="24"/>
        </w:rPr>
        <w:t xml:space="preserve">    1.递交方式：</w:t>
      </w:r>
      <w:r>
        <w:rPr>
          <w:rFonts w:hint="eastAsia"/>
          <w:sz w:val="24"/>
        </w:rPr>
        <w:t>重汽e采通提交</w:t>
      </w:r>
    </w:p>
    <w:p w14:paraId="0B26C6CC">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2.递交截止时间：</w:t>
      </w:r>
      <w:r>
        <w:rPr>
          <w:rFonts w:hint="eastAsia" w:asciiTheme="majorEastAsia" w:hAnsiTheme="majorEastAsia" w:eastAsiaTheme="majorEastAsia" w:cstheme="majorEastAsia"/>
          <w:sz w:val="24"/>
        </w:rPr>
        <w:t>2026-0</w:t>
      </w:r>
      <w:r>
        <w:rPr>
          <w:rFonts w:hint="eastAsia" w:asciiTheme="majorEastAsia" w:hAnsiTheme="majorEastAsia" w:eastAsiaTheme="majorEastAsia" w:cstheme="majorEastAsia"/>
          <w:sz w:val="24"/>
          <w:lang w:val="en-US" w:eastAsia="zh-CN"/>
        </w:rPr>
        <w:t>7</w:t>
      </w:r>
      <w:r>
        <w:rPr>
          <w:rFonts w:hint="eastAsia" w:asciiTheme="majorEastAsia" w:hAnsiTheme="majorEastAsia" w:eastAsiaTheme="majorEastAsia" w:cstheme="majorEastAsia"/>
          <w:sz w:val="24"/>
        </w:rPr>
        <w:t>-</w:t>
      </w:r>
      <w:r>
        <w:rPr>
          <w:rFonts w:hint="eastAsia" w:asciiTheme="majorEastAsia" w:hAnsiTheme="majorEastAsia" w:eastAsiaTheme="majorEastAsia" w:cstheme="majorEastAsia"/>
          <w:sz w:val="24"/>
          <w:lang w:val="en-US" w:eastAsia="zh-CN"/>
        </w:rPr>
        <w:t>20</w:t>
      </w:r>
      <w:r>
        <w:rPr>
          <w:rFonts w:hint="eastAsia" w:asciiTheme="majorEastAsia" w:hAnsiTheme="majorEastAsia" w:eastAsiaTheme="majorEastAsia" w:cstheme="majorEastAsia"/>
          <w:sz w:val="24"/>
        </w:rPr>
        <w:t xml:space="preserve"> 09:</w:t>
      </w: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 xml:space="preserve">0:00 </w:t>
      </w:r>
    </w:p>
    <w:p w14:paraId="3841EE72">
      <w:pPr>
        <w:spacing w:line="440" w:lineRule="exact"/>
        <w:rPr>
          <w:rFonts w:asciiTheme="majorEastAsia" w:hAnsiTheme="majorEastAsia" w:eastAsiaTheme="majorEastAsia" w:cstheme="majorEastAsia"/>
          <w:b/>
          <w:bCs/>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b/>
          <w:bCs/>
          <w:sz w:val="24"/>
        </w:rPr>
        <w:t>六、开标时间和地点 (暂定，以实际通知为准）</w:t>
      </w:r>
    </w:p>
    <w:p w14:paraId="7747EB93">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1.开标时间：</w:t>
      </w:r>
      <w:r>
        <w:rPr>
          <w:rFonts w:hint="eastAsia" w:asciiTheme="majorEastAsia" w:hAnsiTheme="majorEastAsia" w:eastAsiaTheme="majorEastAsia" w:cstheme="majorEastAsia"/>
          <w:sz w:val="24"/>
        </w:rPr>
        <w:t>2026-0</w:t>
      </w:r>
      <w:r>
        <w:rPr>
          <w:rFonts w:hint="eastAsia" w:asciiTheme="majorEastAsia" w:hAnsiTheme="majorEastAsia" w:eastAsiaTheme="majorEastAsia" w:cstheme="majorEastAsia"/>
          <w:sz w:val="24"/>
          <w:lang w:val="en-US" w:eastAsia="zh-CN"/>
        </w:rPr>
        <w:t>7</w:t>
      </w:r>
      <w:r>
        <w:rPr>
          <w:rFonts w:hint="eastAsia" w:asciiTheme="majorEastAsia" w:hAnsiTheme="majorEastAsia" w:eastAsiaTheme="majorEastAsia" w:cstheme="majorEastAsia"/>
          <w:sz w:val="24"/>
        </w:rPr>
        <w:t>-</w:t>
      </w:r>
      <w:r>
        <w:rPr>
          <w:rFonts w:hint="eastAsia" w:asciiTheme="majorEastAsia" w:hAnsiTheme="majorEastAsia" w:eastAsiaTheme="majorEastAsia" w:cstheme="majorEastAsia"/>
          <w:sz w:val="24"/>
          <w:lang w:val="en-US" w:eastAsia="zh-CN"/>
        </w:rPr>
        <w:t>20</w:t>
      </w:r>
      <w:r>
        <w:rPr>
          <w:rFonts w:hint="eastAsia" w:asciiTheme="majorEastAsia" w:hAnsiTheme="majorEastAsia" w:eastAsiaTheme="majorEastAsia" w:cstheme="majorEastAsia"/>
          <w:sz w:val="24"/>
        </w:rPr>
        <w:t xml:space="preserve"> 09:</w:t>
      </w: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 xml:space="preserve">0:00 </w:t>
      </w:r>
    </w:p>
    <w:p w14:paraId="763E4B57">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2.开标地点：</w:t>
      </w:r>
      <w:r>
        <w:rPr>
          <w:rFonts w:hint="eastAsia" w:ascii="宋体" w:hAnsi="宋体" w:eastAsia="宋体" w:cs="Times New Roman"/>
          <w:color w:val="000000"/>
          <w:sz w:val="24"/>
          <w:highlight w:val="yellow"/>
        </w:rPr>
        <w:t>山东省济南市历城区华奥路</w:t>
      </w:r>
      <w:r>
        <w:rPr>
          <w:rFonts w:ascii="宋体" w:hAnsi="宋体" w:eastAsia="宋体" w:cs="Times New Roman"/>
          <w:color w:val="000000"/>
          <w:sz w:val="24"/>
          <w:highlight w:val="yellow"/>
        </w:rPr>
        <w:t>777</w:t>
      </w:r>
      <w:r>
        <w:rPr>
          <w:rFonts w:hint="eastAsia" w:ascii="宋体" w:hAnsi="宋体" w:eastAsia="宋体" w:cs="Times New Roman"/>
          <w:color w:val="000000"/>
          <w:sz w:val="24"/>
          <w:highlight w:val="yellow"/>
        </w:rPr>
        <w:t>号</w:t>
      </w:r>
    </w:p>
    <w:p w14:paraId="6322F47D">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七、发布公告的媒介  </w:t>
      </w:r>
    </w:p>
    <w:p w14:paraId="5D272933">
      <w:pPr>
        <w:spacing w:line="440" w:lineRule="exact"/>
        <w:rPr>
          <w:rFonts w:asciiTheme="majorEastAsia" w:hAnsiTheme="majorEastAsia" w:eastAsiaTheme="majorEastAsia" w:cstheme="majorEastAsia"/>
          <w:sz w:val="24"/>
          <w:highlight w:val="yellow"/>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highlight w:val="yellow"/>
        </w:rPr>
        <w:t>中国重汽</w:t>
      </w:r>
      <w:r>
        <w:rPr>
          <w:rFonts w:asciiTheme="majorEastAsia" w:hAnsiTheme="majorEastAsia" w:eastAsiaTheme="majorEastAsia" w:cstheme="majorEastAsia"/>
          <w:sz w:val="24"/>
          <w:highlight w:val="yellow"/>
        </w:rPr>
        <w:t>集团官网</w:t>
      </w:r>
      <w:r>
        <w:rPr>
          <w:rFonts w:hint="eastAsia" w:asciiTheme="majorEastAsia" w:hAnsiTheme="majorEastAsia" w:eastAsiaTheme="majorEastAsia" w:cstheme="majorEastAsia"/>
          <w:sz w:val="24"/>
          <w:highlight w:val="yellow"/>
        </w:rPr>
        <w:t>（ww.cnhtc.com.cn）、山东省阳光采购平台</w:t>
      </w:r>
    </w:p>
    <w:p w14:paraId="63DA894D">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八、联系方式 </w:t>
      </w:r>
    </w:p>
    <w:p w14:paraId="64AFEFD9">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1.采购人信息：</w:t>
      </w:r>
      <w:r>
        <w:rPr>
          <w:rFonts w:hint="eastAsia" w:asciiTheme="majorEastAsia" w:hAnsiTheme="majorEastAsia" w:eastAsiaTheme="majorEastAsia" w:cstheme="majorEastAsia"/>
          <w:sz w:val="24"/>
        </w:rPr>
        <w:t xml:space="preserve"> </w:t>
      </w:r>
    </w:p>
    <w:p w14:paraId="4F334365">
      <w:pPr>
        <w:spacing w:line="440" w:lineRule="exact"/>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名称：中国重型汽车集团有限公司 </w:t>
      </w:r>
    </w:p>
    <w:p w14:paraId="5C9A74FF">
      <w:pPr>
        <w:spacing w:line="44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地址：山东省济南市历城区华奥路777号中国重型汽车集团有限公司 </w:t>
      </w:r>
    </w:p>
    <w:p w14:paraId="779AFEFA">
      <w:pPr>
        <w:spacing w:line="440" w:lineRule="exact"/>
        <w:ind w:firstLine="480"/>
        <w:rPr>
          <w:rFonts w:hint="eastAsia" w:asciiTheme="majorEastAsia" w:hAnsiTheme="majorEastAsia" w:eastAsiaTheme="majorEastAsia" w:cstheme="majorEastAsia"/>
          <w:sz w:val="24"/>
        </w:rPr>
      </w:pPr>
    </w:p>
    <w:p w14:paraId="1E1D75EF">
      <w:pPr>
        <w:spacing w:line="360" w:lineRule="auto"/>
        <w:ind w:firstLine="480" w:firstLineChars="200"/>
        <w:rPr>
          <w:rFonts w:hint="eastAsia" w:ascii="宋体" w:hAnsi="宋体" w:eastAsia="宋体" w:cs="宋体"/>
          <w:b w:val="0"/>
          <w:bCs/>
          <w:snapToGrid w:val="0"/>
          <w:kern w:val="0"/>
          <w:sz w:val="24"/>
          <w:szCs w:val="24"/>
          <w:lang w:val="en-US" w:eastAsia="zh-CN"/>
        </w:rPr>
      </w:pPr>
      <w:r>
        <w:rPr>
          <w:rFonts w:hint="eastAsia" w:ascii="宋体" w:hAnsi="宋体" w:eastAsia="宋体" w:cs="宋体"/>
          <w:b w:val="0"/>
          <w:bCs/>
          <w:snapToGrid w:val="0"/>
          <w:kern w:val="0"/>
          <w:sz w:val="24"/>
          <w:szCs w:val="24"/>
        </w:rPr>
        <w:t>商务联系人：</w:t>
      </w:r>
      <w:r>
        <w:rPr>
          <w:rFonts w:hint="eastAsia" w:ascii="宋体" w:hAnsi="宋体" w:eastAsia="宋体" w:cs="宋体"/>
          <w:b w:val="0"/>
          <w:bCs/>
          <w:snapToGrid w:val="0"/>
          <w:kern w:val="0"/>
          <w:sz w:val="24"/>
          <w:szCs w:val="24"/>
          <w:lang w:val="en-US" w:eastAsia="zh-CN"/>
        </w:rPr>
        <w:t>张新顺</w:t>
      </w:r>
    </w:p>
    <w:p w14:paraId="63D78DD3">
      <w:pPr>
        <w:spacing w:line="360" w:lineRule="auto"/>
        <w:ind w:firstLine="480" w:firstLineChars="200"/>
        <w:rPr>
          <w:rFonts w:ascii="宋体" w:hAnsi="宋体" w:eastAsia="宋体" w:cs="宋体"/>
          <w:b w:val="0"/>
          <w:bCs/>
          <w:snapToGrid w:val="0"/>
          <w:kern w:val="0"/>
          <w:sz w:val="24"/>
          <w:szCs w:val="24"/>
        </w:rPr>
      </w:pPr>
      <w:r>
        <w:rPr>
          <w:rFonts w:hint="eastAsia" w:ascii="宋体" w:hAnsi="宋体" w:eastAsia="宋体" w:cs="宋体"/>
          <w:b w:val="0"/>
          <w:bCs/>
          <w:snapToGrid w:val="0"/>
          <w:kern w:val="0"/>
          <w:sz w:val="24"/>
          <w:szCs w:val="24"/>
        </w:rPr>
        <w:t>电话：17860609609</w:t>
      </w:r>
    </w:p>
    <w:p w14:paraId="04750A0D">
      <w:pPr>
        <w:spacing w:line="360" w:lineRule="auto"/>
        <w:ind w:firstLine="480" w:firstLineChars="200"/>
        <w:rPr>
          <w:rFonts w:hint="eastAsia"/>
          <w:b w:val="0"/>
          <w:bCs/>
        </w:rPr>
      </w:pPr>
      <w:r>
        <w:rPr>
          <w:rFonts w:hint="eastAsia" w:ascii="宋体" w:hAnsi="宋体" w:eastAsia="宋体" w:cs="宋体"/>
          <w:b w:val="0"/>
          <w:bCs/>
          <w:snapToGrid w:val="0"/>
          <w:kern w:val="0"/>
          <w:sz w:val="24"/>
          <w:szCs w:val="24"/>
        </w:rPr>
        <w:t>邮箱：</w:t>
      </w:r>
      <w:r>
        <w:rPr>
          <w:rFonts w:hint="eastAsia" w:ascii="宋体" w:hAnsi="宋体" w:eastAsia="宋体" w:cs="宋体"/>
          <w:color w:val="000000"/>
          <w:kern w:val="2"/>
          <w:sz w:val="24"/>
          <w:szCs w:val="24"/>
          <w:lang w:val="en-US" w:eastAsia="zh-CN" w:bidi="ar-SA"/>
        </w:rPr>
        <w:fldChar w:fldCharType="begin"/>
      </w:r>
      <w:r>
        <w:rPr>
          <w:rFonts w:hint="eastAsia" w:ascii="宋体" w:hAnsi="宋体" w:eastAsia="宋体" w:cs="宋体"/>
          <w:color w:val="000000"/>
          <w:kern w:val="2"/>
          <w:sz w:val="24"/>
          <w:szCs w:val="24"/>
          <w:lang w:val="en-US" w:eastAsia="zh-CN" w:bidi="ar-SA"/>
        </w:rPr>
        <w:instrText xml:space="preserve"> HYPERLINK "mailto:zhangxinshun@sinotruk.com" </w:instrText>
      </w:r>
      <w:r>
        <w:rPr>
          <w:rFonts w:hint="eastAsia" w:ascii="宋体" w:hAnsi="宋体" w:eastAsia="宋体" w:cs="宋体"/>
          <w:color w:val="000000"/>
          <w:kern w:val="2"/>
          <w:sz w:val="24"/>
          <w:szCs w:val="24"/>
          <w:lang w:val="en-US" w:eastAsia="zh-CN" w:bidi="ar-SA"/>
        </w:rPr>
        <w:fldChar w:fldCharType="separate"/>
      </w:r>
      <w:r>
        <w:rPr>
          <w:rFonts w:hint="eastAsia" w:ascii="宋体" w:hAnsi="宋体" w:eastAsia="宋体" w:cs="宋体"/>
          <w:color w:val="000000"/>
          <w:kern w:val="2"/>
          <w:sz w:val="24"/>
          <w:szCs w:val="24"/>
          <w:lang w:val="en-US" w:eastAsia="zh-CN" w:bidi="ar-SA"/>
        </w:rPr>
        <w:t>zhangxinshun@sinotruk.com</w:t>
      </w:r>
      <w:r>
        <w:rPr>
          <w:rFonts w:hint="eastAsia" w:ascii="宋体" w:hAnsi="宋体" w:eastAsia="宋体" w:cs="宋体"/>
          <w:color w:val="000000"/>
          <w:kern w:val="2"/>
          <w:sz w:val="24"/>
          <w:szCs w:val="24"/>
          <w:lang w:val="en-US" w:eastAsia="zh-CN" w:bidi="ar-SA"/>
        </w:rPr>
        <w:fldChar w:fldCharType="end"/>
      </w:r>
    </w:p>
    <w:p w14:paraId="6F915198">
      <w:pPr>
        <w:spacing w:line="360" w:lineRule="auto"/>
        <w:ind w:firstLine="420" w:firstLineChars="200"/>
        <w:rPr>
          <w:rFonts w:hint="eastAsia"/>
          <w:b w:val="0"/>
          <w:bCs/>
        </w:rPr>
      </w:pPr>
    </w:p>
    <w:p w14:paraId="3C56BE2B">
      <w:pPr>
        <w:pStyle w:val="36"/>
        <w:ind w:firstLine="480"/>
        <w:rPr>
          <w:rFonts w:hint="default" w:ascii="宋体" w:hAnsi="宋体" w:eastAsia="宋体" w:cs="宋体"/>
          <w:lang w:val="en-US" w:eastAsia="zh-CN"/>
        </w:rPr>
      </w:pPr>
      <w:r>
        <w:rPr>
          <w:rFonts w:hint="eastAsia" w:ascii="宋体" w:hAnsi="宋体" w:eastAsia="宋体" w:cs="宋体"/>
          <w:b w:val="0"/>
          <w:bCs/>
          <w:snapToGrid w:val="0"/>
          <w:kern w:val="0"/>
          <w:sz w:val="24"/>
          <w:szCs w:val="24"/>
        </w:rPr>
        <w:t>技术联系人：</w:t>
      </w:r>
      <w:r>
        <w:rPr>
          <w:rFonts w:hint="eastAsia" w:cs="宋体"/>
          <w:lang w:val="en-US" w:eastAsia="zh-CN"/>
        </w:rPr>
        <w:t>刘东升</w:t>
      </w:r>
      <w:r>
        <w:rPr>
          <w:rFonts w:hint="eastAsia" w:eastAsia="宋体" w:cs="宋体"/>
          <w:lang w:val="en-US" w:eastAsia="zh-CN"/>
        </w:rPr>
        <w:t xml:space="preserve"> </w:t>
      </w:r>
    </w:p>
    <w:p w14:paraId="1792A1F9">
      <w:pPr>
        <w:pStyle w:val="36"/>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 xml:space="preserve"> </w:t>
      </w:r>
      <w:r>
        <w:rPr>
          <w:rFonts w:hint="eastAsia" w:cs="宋体"/>
          <w:lang w:val="en-US" w:eastAsia="zh-CN"/>
        </w:rPr>
        <w:t>13505408802</w:t>
      </w:r>
    </w:p>
    <w:p w14:paraId="1DFD6B82">
      <w:pPr>
        <w:pStyle w:val="36"/>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 xml:space="preserve"> </w:t>
      </w:r>
      <w:r>
        <w:rPr>
          <w:rFonts w:hint="eastAsia" w:cs="宋体"/>
          <w:lang w:val="en-US" w:eastAsia="zh-CN"/>
        </w:rPr>
        <w:t>liudongsheng1@sinotruk.com</w:t>
      </w:r>
    </w:p>
    <w:p w14:paraId="31CA7B0C">
      <w:pPr>
        <w:spacing w:line="440" w:lineRule="exact"/>
        <w:ind w:firstLine="480"/>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九、其他说明  </w:t>
      </w:r>
    </w:p>
    <w:p w14:paraId="66F0FE04">
      <w:pPr>
        <w:spacing w:line="440" w:lineRule="exact"/>
        <w:ind w:firstLine="48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供应商需在重汽官网搜索本项目招标公告，根据要求准备报名资料。</w:t>
      </w:r>
    </w:p>
    <w:p w14:paraId="7A664A63">
      <w:pPr>
        <w:pStyle w:val="37"/>
        <w:ind w:firstLine="480"/>
        <w:rPr>
          <w:rFonts w:hint="eastAsia" w:ascii="宋体" w:hAnsi="宋体" w:eastAsia="宋体" w:cs="宋体"/>
        </w:rPr>
      </w:pPr>
      <w:r>
        <w:br w:type="page"/>
      </w:r>
      <w:r>
        <w:rPr>
          <w:rFonts w:hint="eastAsia" w:ascii="宋体" w:hAnsi="宋体" w:eastAsia="宋体" w:cs="宋体"/>
        </w:rPr>
        <w:t>附件1</w:t>
      </w:r>
      <w:bookmarkStart w:id="8" w:name="_Toc639004"/>
      <w:bookmarkStart w:id="9" w:name="_Toc353881012"/>
      <w:bookmarkStart w:id="10" w:name="_Toc212369550"/>
      <w:bookmarkStart w:id="11" w:name="_Toc25811"/>
      <w:r>
        <w:rPr>
          <w:rFonts w:hint="eastAsia" w:ascii="宋体" w:hAnsi="宋体" w:eastAsia="宋体" w:cs="宋体"/>
        </w:rPr>
        <w:t xml:space="preserve"> 投标函</w:t>
      </w:r>
      <w:bookmarkEnd w:id="8"/>
      <w:bookmarkEnd w:id="9"/>
      <w:bookmarkEnd w:id="10"/>
      <w:bookmarkEnd w:id="11"/>
    </w:p>
    <w:p w14:paraId="0BFA811C">
      <w:pPr>
        <w:pStyle w:val="36"/>
        <w:ind w:firstLine="480"/>
        <w:rPr>
          <w:rFonts w:hint="eastAsia" w:ascii="宋体" w:hAnsi="宋体" w:eastAsia="宋体" w:cs="宋体"/>
        </w:rPr>
      </w:pPr>
      <w:r>
        <w:rPr>
          <w:rFonts w:hint="eastAsia" w:ascii="宋体" w:hAnsi="宋体" w:eastAsia="宋体" w:cs="宋体"/>
        </w:rPr>
        <w:t>致：中国重汽集团济南动力有限公司：</w:t>
      </w:r>
    </w:p>
    <w:p w14:paraId="6FE9A47E">
      <w:pPr>
        <w:pStyle w:val="36"/>
        <w:ind w:firstLine="480"/>
        <w:rPr>
          <w:rFonts w:hint="eastAsia" w:ascii="宋体" w:hAnsi="宋体" w:eastAsia="宋体" w:cs="宋体"/>
        </w:rPr>
      </w:pPr>
      <w:r>
        <w:rPr>
          <w:rFonts w:hint="eastAsia" w:ascii="宋体" w:hAnsi="宋体" w:eastAsia="宋体" w:cs="宋体"/>
        </w:rPr>
        <w:t>根据贵方</w:t>
      </w:r>
      <w:r>
        <w:rPr>
          <w:rFonts w:hint="eastAsia" w:ascii="宋体" w:hAnsi="宋体" w:eastAsia="宋体" w:cs="宋体"/>
          <w:b/>
          <w:bCs/>
          <w:snapToGrid w:val="0"/>
          <w:kern w:val="0"/>
          <w:u w:val="single"/>
        </w:rPr>
        <w:t xml:space="preserve"> </w:t>
      </w:r>
      <w:r>
        <w:rPr>
          <w:rFonts w:hint="eastAsia" w:asciiTheme="minorEastAsia" w:hAnsiTheme="minorEastAsia" w:eastAsiaTheme="minorEastAsia" w:cstheme="minorEastAsia"/>
          <w:kern w:val="0"/>
          <w:sz w:val="24"/>
          <w:szCs w:val="24"/>
          <w:highlight w:val="none"/>
          <w:u w:val="single"/>
          <w:lang w:val="en-US" w:eastAsia="zh-CN" w:bidi="en-US"/>
        </w:rPr>
        <w:t>新能源高压零部件源载及环境试验设备项目</w:t>
      </w:r>
      <w:r>
        <w:rPr>
          <w:rFonts w:hint="eastAsia" w:ascii="宋体" w:hAnsi="宋体" w:eastAsia="宋体" w:cs="宋体"/>
          <w:b/>
          <w:bCs/>
          <w:snapToGrid w:val="0"/>
          <w:kern w:val="0"/>
          <w:u w:val="single"/>
        </w:rPr>
        <w:t xml:space="preserve">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36"/>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36"/>
        <w:ind w:firstLine="480"/>
        <w:rPr>
          <w:rFonts w:hint="eastAsia" w:ascii="宋体" w:hAnsi="宋体" w:eastAsia="宋体" w:cs="宋体"/>
        </w:rPr>
      </w:pPr>
      <w:r>
        <w:rPr>
          <w:rFonts w:hint="eastAsia" w:ascii="宋体" w:hAnsi="宋体" w:eastAsia="宋体" w:cs="宋体"/>
        </w:rPr>
        <w:t>1、投标人已详细审查全部“招标文件”，包括修改文件（如有的话）以及全部参考资料和有关附件，已经了解我方对于招标文件、采购过程、采购结果有依法进行询问、质疑、投诉的权利及相关渠道和要求。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36"/>
        <w:ind w:firstLine="480"/>
        <w:rPr>
          <w:rFonts w:hint="eastAsia" w:ascii="宋体" w:hAnsi="宋体" w:eastAsia="宋体" w:cs="宋体"/>
        </w:rPr>
      </w:pPr>
      <w:r>
        <w:rPr>
          <w:rFonts w:hint="eastAsia" w:ascii="宋体" w:hAnsi="宋体" w:eastAsia="宋体" w:cs="宋体"/>
        </w:rPr>
        <w:t>2、投标人在投标之前已经与贵方进行了充分的沟通，完全理解并接受招标文件的各项规定和要求，对招标文件的合理性、合法性不再有异议。</w:t>
      </w:r>
    </w:p>
    <w:p w14:paraId="3DFF065C">
      <w:pPr>
        <w:pStyle w:val="36"/>
        <w:ind w:firstLine="480"/>
        <w:rPr>
          <w:rFonts w:hint="eastAsia" w:ascii="宋体" w:hAnsi="宋体" w:eastAsia="宋体" w:cs="宋体"/>
        </w:rPr>
      </w:pPr>
      <w:r>
        <w:rPr>
          <w:rFonts w:hint="eastAsia" w:ascii="宋体" w:hAnsi="宋体" w:eastAsia="宋体" w:cs="宋体"/>
        </w:rPr>
        <w:t>3、本投标有效期自开标日起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36"/>
        <w:ind w:firstLine="480"/>
        <w:rPr>
          <w:rFonts w:hint="eastAsia" w:ascii="宋体" w:hAnsi="宋体" w:eastAsia="宋体" w:cs="宋体"/>
        </w:rPr>
      </w:pPr>
      <w:r>
        <w:rPr>
          <w:rFonts w:hint="eastAsia" w:ascii="宋体" w:hAnsi="宋体" w:eastAsia="宋体" w:cs="宋体"/>
        </w:rPr>
        <w:t>4、如中标，本投标文件至本项目合同履行完毕止均保持有效，本投标人将按“招标文件”及政府采购法律、法规的规定履行合同责任和义务。</w:t>
      </w:r>
    </w:p>
    <w:p w14:paraId="566BCA27">
      <w:pPr>
        <w:pStyle w:val="36"/>
        <w:ind w:firstLine="480"/>
        <w:rPr>
          <w:rFonts w:hint="eastAsia" w:ascii="宋体" w:hAnsi="宋体" w:eastAsia="宋体" w:cs="宋体"/>
        </w:rPr>
      </w:pPr>
      <w:r>
        <w:rPr>
          <w:rFonts w:hint="eastAsia" w:ascii="宋体" w:hAnsi="宋体" w:eastAsia="宋体" w:cs="宋体"/>
        </w:rPr>
        <w:t>5、投标人同意按照贵方要求提供与投标有关的一切数据或资料。</w:t>
      </w:r>
    </w:p>
    <w:p w14:paraId="232D26B0">
      <w:pPr>
        <w:pStyle w:val="36"/>
        <w:ind w:firstLine="480"/>
        <w:rPr>
          <w:rFonts w:hint="eastAsia" w:ascii="宋体" w:hAnsi="宋体" w:eastAsia="宋体" w:cs="宋体"/>
        </w:rPr>
      </w:pPr>
      <w:r>
        <w:rPr>
          <w:rFonts w:hint="eastAsia" w:ascii="宋体" w:hAnsi="宋体" w:eastAsia="宋体" w:cs="宋体"/>
        </w:rPr>
        <w:t>6、与本投标有关的一切正式往来信函请寄：</w:t>
      </w:r>
    </w:p>
    <w:p w14:paraId="35B5A303">
      <w:pPr>
        <w:pStyle w:val="36"/>
        <w:ind w:firstLine="480"/>
        <w:rPr>
          <w:rFonts w:hint="eastAsia" w:ascii="宋体" w:hAnsi="宋体" w:eastAsia="宋体" w:cs="宋体"/>
        </w:rPr>
      </w:pPr>
      <w:r>
        <w:rPr>
          <w:rFonts w:hint="eastAsia" w:ascii="宋体" w:hAnsi="宋体" w:eastAsia="宋体" w:cs="宋体"/>
        </w:rPr>
        <w:t xml:space="preserve">地址：                             </w:t>
      </w:r>
    </w:p>
    <w:p w14:paraId="2A26C08B">
      <w:pPr>
        <w:pStyle w:val="36"/>
        <w:ind w:firstLine="480"/>
        <w:rPr>
          <w:rFonts w:hint="eastAsia" w:ascii="宋体" w:hAnsi="宋体" w:eastAsia="宋体" w:cs="宋体"/>
        </w:rPr>
      </w:pPr>
      <w:r>
        <w:rPr>
          <w:rFonts w:hint="eastAsia" w:ascii="宋体" w:hAnsi="宋体" w:eastAsia="宋体" w:cs="宋体"/>
        </w:rPr>
        <w:t xml:space="preserve">邮编：        </w:t>
      </w:r>
    </w:p>
    <w:p w14:paraId="1C0029A4">
      <w:pPr>
        <w:pStyle w:val="36"/>
        <w:ind w:firstLine="480"/>
        <w:rPr>
          <w:rFonts w:hint="eastAsia" w:ascii="宋体" w:hAnsi="宋体" w:eastAsia="宋体" w:cs="宋体"/>
        </w:rPr>
      </w:pPr>
      <w:r>
        <w:rPr>
          <w:rFonts w:hint="eastAsia" w:ascii="宋体" w:hAnsi="宋体" w:eastAsia="宋体" w:cs="宋体"/>
        </w:rPr>
        <w:t xml:space="preserve">电话：        传真：                   </w:t>
      </w:r>
    </w:p>
    <w:p w14:paraId="03E9FD06">
      <w:pPr>
        <w:pStyle w:val="36"/>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36"/>
        <w:ind w:firstLine="480"/>
        <w:rPr>
          <w:rFonts w:hint="eastAsia" w:ascii="宋体" w:hAnsi="宋体" w:eastAsia="宋体" w:cs="宋体"/>
        </w:rPr>
      </w:pPr>
      <w:r>
        <w:rPr>
          <w:rFonts w:hint="eastAsia" w:ascii="宋体" w:hAnsi="宋体" w:eastAsia="宋体" w:cs="宋体"/>
        </w:rPr>
        <w:t xml:space="preserve">开户银行：                   </w:t>
      </w:r>
    </w:p>
    <w:p w14:paraId="3E671578">
      <w:pPr>
        <w:pStyle w:val="36"/>
        <w:ind w:firstLine="480"/>
        <w:rPr>
          <w:rFonts w:hint="eastAsia" w:ascii="宋体" w:hAnsi="宋体" w:eastAsia="宋体" w:cs="宋体"/>
        </w:rPr>
      </w:pPr>
      <w:r>
        <w:rPr>
          <w:rFonts w:hint="eastAsia" w:ascii="宋体" w:hAnsi="宋体" w:eastAsia="宋体" w:cs="宋体"/>
        </w:rPr>
        <w:t>银行帐号：</w:t>
      </w:r>
    </w:p>
    <w:p w14:paraId="14C52E5F">
      <w:pPr>
        <w:pStyle w:val="36"/>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ascii="宋体" w:hAnsi="宋体" w:eastAsia="宋体" w:cs="宋体"/>
        </w:rPr>
        <w:t xml:space="preserve">: </w:t>
      </w:r>
    </w:p>
    <w:p w14:paraId="5EC7870C">
      <w:pPr>
        <w:pStyle w:val="36"/>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36"/>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38"/>
        <w:rPr>
          <w:rFonts w:hint="eastAsia" w:ascii="宋体" w:hAnsi="宋体" w:eastAsia="宋体" w:cs="宋体"/>
        </w:rPr>
        <w:sectPr>
          <w:pgSz w:w="11906" w:h="16838"/>
          <w:pgMar w:top="1588" w:right="1418" w:bottom="1134" w:left="1418" w:header="851" w:footer="992" w:gutter="0"/>
          <w:pgNumType w:fmt="decimal"/>
          <w:cols w:space="720" w:num="1"/>
          <w:titlePg/>
          <w:docGrid w:type="lines" w:linePitch="312" w:charSpace="0"/>
        </w:sectPr>
      </w:pPr>
    </w:p>
    <w:p w14:paraId="4977A874">
      <w:pPr>
        <w:pStyle w:val="37"/>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7"/>
        <w:adjustRightInd w:val="0"/>
        <w:snapToGrid w:val="0"/>
        <w:spacing w:before="93" w:beforeLines="30" w:line="240" w:lineRule="exact"/>
        <w:jc w:val="center"/>
        <w:rPr>
          <w:rFonts w:hint="eastAsia" w:ascii="宋体" w:hAnsi="宋体" w:eastAsia="宋体" w:cs="宋体"/>
          <w:sz w:val="24"/>
        </w:rPr>
      </w:pPr>
    </w:p>
    <w:p w14:paraId="2D492BBE">
      <w:pPr>
        <w:pStyle w:val="36"/>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36"/>
        <w:ind w:firstLine="480"/>
        <w:rPr>
          <w:rFonts w:hint="eastAsia" w:ascii="宋体" w:hAnsi="宋体" w:eastAsia="宋体" w:cs="宋体"/>
        </w:rPr>
      </w:pPr>
      <w:r>
        <w:rPr>
          <w:rFonts w:hint="eastAsia" w:ascii="宋体" w:hAnsi="宋体" w:eastAsia="宋体" w:cs="宋体"/>
        </w:rPr>
        <w:t>全权代表无转委权。特此委托。</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36"/>
        <w:ind w:firstLine="480"/>
        <w:rPr>
          <w:rFonts w:hint="eastAsia" w:ascii="宋体" w:hAnsi="宋体" w:eastAsia="宋体" w:cs="宋体"/>
        </w:rPr>
      </w:pPr>
      <w:r>
        <w:rPr>
          <w:rFonts w:hint="eastAsia" w:ascii="宋体" w:hAnsi="宋体" w:eastAsia="宋体" w:cs="宋体"/>
        </w:rPr>
        <w:t>全权代表姓名：            性别：          年龄：</w:t>
      </w:r>
    </w:p>
    <w:p w14:paraId="3F09C98F">
      <w:pPr>
        <w:pStyle w:val="36"/>
        <w:ind w:firstLine="480"/>
        <w:rPr>
          <w:rFonts w:hint="eastAsia" w:ascii="宋体" w:hAnsi="宋体" w:eastAsia="宋体" w:cs="宋体"/>
        </w:rPr>
      </w:pPr>
      <w:r>
        <w:rPr>
          <w:rFonts w:hint="eastAsia" w:ascii="宋体" w:hAnsi="宋体" w:eastAsia="宋体" w:cs="宋体"/>
        </w:rPr>
        <w:t>单位：                    部门：          职务：</w:t>
      </w:r>
    </w:p>
    <w:p w14:paraId="3AB73E41">
      <w:pPr>
        <w:pStyle w:val="36"/>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36"/>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36"/>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36"/>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decimal"/>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66189A4C">
      <w:pPr>
        <w:spacing w:line="360" w:lineRule="auto"/>
        <w:rPr>
          <w:rFonts w:hint="eastAsia" w:ascii="宋体" w:hAnsi="宋体" w:eastAsia="宋体" w:cs="宋体"/>
          <w:sz w:val="24"/>
          <w:szCs w:val="20"/>
          <w:u w:val="single"/>
          <w:lang w:val="en-US" w:eastAsia="zh-CN"/>
        </w:rPr>
      </w:pPr>
      <w:r>
        <w:rPr>
          <w:rFonts w:hint="eastAsia" w:ascii="宋体" w:hAnsi="宋体" w:eastAsia="宋体" w:cs="宋体"/>
          <w:sz w:val="24"/>
          <w:szCs w:val="20"/>
        </w:rPr>
        <w:t>项目名称：</w:t>
      </w:r>
      <w:r>
        <w:rPr>
          <w:rFonts w:hint="eastAsia" w:ascii="宋体" w:hAnsi="宋体" w:cs="宋体"/>
          <w:sz w:val="24"/>
          <w:szCs w:val="20"/>
          <w:lang w:val="en-US" w:eastAsia="zh-CN"/>
        </w:rPr>
        <w:t xml:space="preserve"> </w:t>
      </w:r>
      <w:r>
        <w:rPr>
          <w:rFonts w:hint="eastAsia" w:ascii="宋体" w:hAnsi="宋体" w:eastAsia="宋体" w:cs="宋体"/>
          <w:sz w:val="24"/>
          <w:szCs w:val="20"/>
          <w:u w:val="single"/>
          <w:lang w:val="en-US" w:eastAsia="zh-CN"/>
        </w:rPr>
        <w:t>新能源高压零部件源载及环境试验设备项目</w:t>
      </w:r>
    </w:p>
    <w:p w14:paraId="4BAB47A3">
      <w:pPr>
        <w:spacing w:line="360" w:lineRule="auto"/>
        <w:rPr>
          <w:rFonts w:hint="eastAsia" w:ascii="宋体" w:hAnsi="宋体" w:eastAsia="宋体" w:cs="宋体"/>
          <w:b/>
          <w:bCs/>
          <w:sz w:val="24"/>
          <w:szCs w:val="20"/>
        </w:rPr>
      </w:pPr>
      <w:bookmarkStart w:id="14" w:name="_GoBack"/>
      <w:bookmarkEnd w:id="14"/>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宋体"/>
          <w:color w:val="000000"/>
          <w:sz w:val="24"/>
          <w:szCs w:val="24"/>
        </w:rPr>
        <w:t xml:space="preserve">日  期：       年    月    </w:t>
      </w:r>
    </w:p>
    <w:p w14:paraId="41E100B5">
      <w:pPr>
        <w:pStyle w:val="3"/>
        <w:spacing w:before="0" w:after="0"/>
        <w:rPr>
          <w:rFonts w:ascii="宋体" w:hAnsi="宋体"/>
          <w:sz w:val="28"/>
          <w:szCs w:val="28"/>
        </w:rPr>
      </w:pPr>
      <w:bookmarkStart w:id="12" w:name="_Toc227745793"/>
      <w:r>
        <w:rPr>
          <w:rFonts w:hint="eastAsia" w:ascii="宋体" w:hAnsi="宋体"/>
          <w:sz w:val="28"/>
          <w:szCs w:val="28"/>
        </w:rPr>
        <w:t>附件13 SRM非生产供应商注册操作手册</w:t>
      </w:r>
      <w:bookmarkEnd w:id="12"/>
    </w:p>
    <w:p w14:paraId="5D07605E">
      <w:pPr>
        <w:adjustRightInd w:val="0"/>
        <w:snapToGrid w:val="0"/>
        <w:jc w:val="left"/>
        <w:rPr>
          <w:rFonts w:ascii="宋体" w:hAnsi="宋体" w:cs="宋体"/>
          <w:sz w:val="24"/>
          <w:szCs w:val="24"/>
        </w:rPr>
      </w:pPr>
    </w:p>
    <w:p w14:paraId="173CB2D0">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27EBE96D">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286A76C1">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372D437B">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9" cstate="print"/>
                    <a:srcRect/>
                    <a:stretch>
                      <a:fillRect/>
                    </a:stretch>
                  </pic:blipFill>
                  <pic:spPr>
                    <a:xfrm>
                      <a:off x="0" y="0"/>
                      <a:ext cx="5760085" cy="2933065"/>
                    </a:xfrm>
                    <a:prstGeom prst="rect">
                      <a:avLst/>
                    </a:prstGeom>
                  </pic:spPr>
                </pic:pic>
              </a:graphicData>
            </a:graphic>
          </wp:inline>
        </w:drawing>
      </w:r>
    </w:p>
    <w:p w14:paraId="5C4728EF">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20E947B1">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0" cstate="print"/>
                    <a:srcRect/>
                    <a:stretch>
                      <a:fillRect/>
                    </a:stretch>
                  </pic:blipFill>
                  <pic:spPr>
                    <a:xfrm>
                      <a:off x="0" y="0"/>
                      <a:ext cx="5760085" cy="2766695"/>
                    </a:xfrm>
                    <a:prstGeom prst="rect">
                      <a:avLst/>
                    </a:prstGeom>
                  </pic:spPr>
                </pic:pic>
              </a:graphicData>
            </a:graphic>
          </wp:inline>
        </w:drawing>
      </w:r>
    </w:p>
    <w:p w14:paraId="3D9D27C5">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B296BCF">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1" cstate="print"/>
                    <a:srcRect/>
                    <a:stretch>
                      <a:fillRect/>
                    </a:stretch>
                  </pic:blipFill>
                  <pic:spPr>
                    <a:xfrm>
                      <a:off x="0" y="0"/>
                      <a:ext cx="5760085" cy="2869565"/>
                    </a:xfrm>
                    <a:prstGeom prst="rect">
                      <a:avLst/>
                    </a:prstGeom>
                  </pic:spPr>
                </pic:pic>
              </a:graphicData>
            </a:graphic>
          </wp:inline>
        </w:drawing>
      </w:r>
    </w:p>
    <w:p w14:paraId="5F61A102">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3A0CB54D">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12" cstate="print"/>
                    <a:srcRect/>
                    <a:stretch>
                      <a:fillRect/>
                    </a:stretch>
                  </pic:blipFill>
                  <pic:spPr>
                    <a:xfrm>
                      <a:off x="0" y="0"/>
                      <a:ext cx="5760085" cy="2853055"/>
                    </a:xfrm>
                    <a:prstGeom prst="rect">
                      <a:avLst/>
                    </a:prstGeom>
                  </pic:spPr>
                </pic:pic>
              </a:graphicData>
            </a:graphic>
          </wp:inline>
        </w:drawing>
      </w:r>
    </w:p>
    <w:p w14:paraId="3408F72C">
      <w:pPr>
        <w:numPr>
          <w:ilvl w:val="0"/>
          <w:numId w:val="7"/>
        </w:numPr>
        <w:spacing w:line="360" w:lineRule="auto"/>
        <w:rPr>
          <w:rFonts w:ascii="宋体" w:hAnsi="宋体" w:cs="宋体"/>
          <w:color w:val="000000"/>
          <w:sz w:val="24"/>
          <w:szCs w:val="28"/>
        </w:rPr>
      </w:pPr>
      <w:r>
        <w:rPr>
          <w:rFonts w:ascii="宋体" w:hAnsi="宋体" w:cs="宋体"/>
          <w:color w:val="000000"/>
          <w:sz w:val="24"/>
          <w:szCs w:val="28"/>
        </w:rPr>
        <w:t>按要求填写所有信息，注意非生产类要填写合作单位，最后提交审批</w:t>
      </w:r>
    </w:p>
    <w:p w14:paraId="69071917">
      <w:pPr>
        <w:pStyle w:val="9"/>
      </w:pPr>
    </w:p>
    <w:p w14:paraId="6A60764F">
      <w:pPr>
        <w:rPr>
          <w:rFonts w:ascii="宋体" w:hAnsi="宋体" w:cs="宋体"/>
          <w:color w:val="000000"/>
        </w:rPr>
      </w:pPr>
    </w:p>
    <w:p w14:paraId="240FD6D7">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13" cstate="print"/>
                    <a:srcRect/>
                    <a:stretch>
                      <a:fillRect/>
                    </a:stretch>
                  </pic:blipFill>
                  <pic:spPr>
                    <a:xfrm>
                      <a:off x="0" y="0"/>
                      <a:ext cx="5760085" cy="2809875"/>
                    </a:xfrm>
                    <a:prstGeom prst="rect">
                      <a:avLst/>
                    </a:prstGeom>
                  </pic:spPr>
                </pic:pic>
              </a:graphicData>
            </a:graphic>
          </wp:inline>
        </w:drawing>
      </w:r>
    </w:p>
    <w:p w14:paraId="0D922CF0">
      <w:pPr>
        <w:pStyle w:val="9"/>
      </w:pPr>
      <w:r>
        <w:drawing>
          <wp:inline distT="0" distB="0" distL="0" distR="0">
            <wp:extent cx="5760085" cy="2820035"/>
            <wp:effectExtent l="0" t="0" r="5715" b="12065"/>
            <wp:docPr id="1031" name="picture" descr="descript"/>
            <wp:cNvGraphicFramePr/>
            <a:graphic xmlns:a="http://schemas.openxmlformats.org/drawingml/2006/main">
              <a:graphicData uri="http://schemas.openxmlformats.org/drawingml/2006/picture">
                <pic:pic xmlns:pic="http://schemas.openxmlformats.org/drawingml/2006/picture">
                  <pic:nvPicPr>
                    <pic:cNvPr id="1031" name="picture" descr="descript"/>
                    <pic:cNvPicPr/>
                  </pic:nvPicPr>
                  <pic:blipFill>
                    <a:blip r:embed="rId14" cstate="print"/>
                    <a:srcRect/>
                    <a:stretch>
                      <a:fillRect/>
                    </a:stretch>
                  </pic:blipFill>
                  <pic:spPr>
                    <a:xfrm>
                      <a:off x="0" y="0"/>
                      <a:ext cx="5760085" cy="2820035"/>
                    </a:xfrm>
                    <a:prstGeom prst="rect">
                      <a:avLst/>
                    </a:prstGeom>
                  </pic:spPr>
                </pic:pic>
              </a:graphicData>
            </a:graphic>
          </wp:inline>
        </w:drawing>
      </w:r>
    </w:p>
    <w:p w14:paraId="2CCDB0AA">
      <w:pPr>
        <w:pStyle w:val="9"/>
      </w:pPr>
    </w:p>
    <w:p w14:paraId="29F50010">
      <w:pPr>
        <w:pStyle w:val="9"/>
      </w:pPr>
    </w:p>
    <w:p w14:paraId="23156C3C">
      <w:pPr>
        <w:rPr>
          <w:rFonts w:ascii="宋体" w:hAnsi="宋体" w:cs="宋体"/>
          <w:b/>
          <w:bCs/>
          <w:color w:val="000000"/>
          <w:sz w:val="24"/>
          <w:szCs w:val="28"/>
        </w:rPr>
      </w:pPr>
      <w:r>
        <w:rPr>
          <w:rFonts w:hint="eastAsia" w:ascii="宋体" w:hAnsi="宋体" w:cs="宋体"/>
          <w:b/>
          <w:bCs/>
          <w:color w:val="000000"/>
          <w:sz w:val="24"/>
          <w:szCs w:val="28"/>
        </w:rPr>
        <w:t>注：</w:t>
      </w:r>
    </w:p>
    <w:p w14:paraId="17891730">
      <w:pPr>
        <w:rPr>
          <w:rFonts w:ascii="宋体" w:hAnsi="宋体" w:cs="宋体"/>
          <w:b/>
          <w:bCs/>
          <w:color w:val="000000"/>
          <w:sz w:val="24"/>
          <w:szCs w:val="28"/>
        </w:rPr>
      </w:pPr>
      <w:r>
        <w:rPr>
          <w:rFonts w:hint="eastAsia" w:ascii="宋体" w:hAnsi="宋体" w:cs="宋体"/>
          <w:b/>
          <w:bCs/>
          <w:color w:val="000000"/>
          <w:sz w:val="24"/>
          <w:szCs w:val="28"/>
        </w:rPr>
        <w:t>1.“项目名称”和“采购形式编号”见招标公告内容。</w:t>
      </w:r>
    </w:p>
    <w:p w14:paraId="372C1BA9">
      <w:pPr>
        <w:pStyle w:val="9"/>
        <w:rPr>
          <w:rFonts w:hAnsi="宋体" w:cs="宋体"/>
          <w:b/>
          <w:bCs/>
          <w:color w:val="000000"/>
          <w:sz w:val="24"/>
          <w:szCs w:val="28"/>
        </w:rPr>
      </w:pPr>
      <w:r>
        <w:rPr>
          <w:rFonts w:hint="eastAsia" w:hAnsi="宋体" w:cs="宋体"/>
          <w:b/>
          <w:bCs/>
          <w:color w:val="000000"/>
          <w:sz w:val="24"/>
          <w:szCs w:val="28"/>
        </w:rPr>
        <w:t>2.配套能力“供货类别”填“</w:t>
      </w:r>
      <w:r>
        <w:rPr>
          <w:rFonts w:hint="eastAsia" w:hAnsi="宋体" w:cs="宋体"/>
          <w:b/>
          <w:bCs/>
          <w:color w:val="000000"/>
          <w:sz w:val="24"/>
          <w:szCs w:val="28"/>
          <w:highlight w:val="yellow"/>
        </w:rPr>
        <w:t>直管单位非生产招标 / 研发试验类设备 / 研发试验类设备（产品试验检测中心）”</w:t>
      </w:r>
      <w:r>
        <w:rPr>
          <w:rFonts w:hint="eastAsia" w:hAnsi="宋体" w:cs="宋体"/>
          <w:b/>
          <w:bCs/>
          <w:color w:val="000000"/>
          <w:sz w:val="24"/>
          <w:szCs w:val="28"/>
        </w:rPr>
        <w:t>，业务主管部门选择“</w:t>
      </w:r>
      <w:r>
        <w:rPr>
          <w:rFonts w:hint="eastAsia" w:hAnsi="宋体" w:cs="宋体"/>
          <w:b/>
          <w:bCs/>
          <w:color w:val="000000"/>
          <w:sz w:val="24"/>
          <w:szCs w:val="28"/>
          <w:highlight w:val="yellow"/>
        </w:rPr>
        <w:t>产品试验检测中心”</w:t>
      </w:r>
      <w:r>
        <w:rPr>
          <w:rFonts w:hint="eastAsia" w:hAnsi="宋体" w:cs="宋体"/>
          <w:b/>
          <w:bCs/>
          <w:color w:val="000000"/>
          <w:sz w:val="24"/>
          <w:szCs w:val="28"/>
        </w:rPr>
        <w:t>。</w:t>
      </w:r>
    </w:p>
    <w:p w14:paraId="251AA1A1">
      <w:pPr>
        <w:pStyle w:val="9"/>
        <w:rPr>
          <w:rFonts w:hAnsi="宋体" w:cs="宋体"/>
          <w:b/>
          <w:bCs/>
          <w:color w:val="000000"/>
          <w:sz w:val="24"/>
          <w:szCs w:val="28"/>
        </w:rPr>
      </w:pPr>
    </w:p>
    <w:p w14:paraId="43CA1AD1">
      <w:pPr>
        <w:pStyle w:val="9"/>
        <w:rPr>
          <w:rFonts w:hAnsi="宋体" w:cs="宋体"/>
          <w:b/>
          <w:bCs/>
          <w:color w:val="000000"/>
          <w:sz w:val="24"/>
          <w:szCs w:val="28"/>
        </w:rPr>
      </w:pPr>
    </w:p>
    <w:p w14:paraId="6C4CA6FB">
      <w:pPr>
        <w:pStyle w:val="9"/>
        <w:sectPr>
          <w:footerReference r:id="rId6" w:type="first"/>
          <w:footerReference r:id="rId5" w:type="default"/>
          <w:pgSz w:w="11906" w:h="16838"/>
          <w:pgMar w:top="1134" w:right="1134" w:bottom="1134" w:left="1134" w:header="851" w:footer="992" w:gutter="0"/>
          <w:cols w:space="720" w:num="1"/>
          <w:titlePg/>
          <w:docGrid w:type="lines" w:linePitch="312" w:charSpace="0"/>
        </w:sectPr>
      </w:pPr>
    </w:p>
    <w:p w14:paraId="5C6EA119">
      <w:pPr>
        <w:pStyle w:val="3"/>
        <w:spacing w:before="0" w:after="0"/>
        <w:rPr>
          <w:rFonts w:ascii="宋体" w:hAnsi="宋体"/>
          <w:sz w:val="28"/>
          <w:szCs w:val="28"/>
        </w:rPr>
      </w:pPr>
      <w:bookmarkStart w:id="13" w:name="_Toc227745794"/>
      <w:r>
        <w:rPr>
          <w:rFonts w:hint="eastAsia" w:ascii="宋体" w:hAnsi="宋体" w:cs="宋体"/>
          <w:sz w:val="28"/>
          <w:szCs w:val="28"/>
        </w:rPr>
        <w:t xml:space="preserve">附件14 </w:t>
      </w:r>
      <w:r>
        <w:rPr>
          <w:rFonts w:hint="eastAsia" w:ascii="宋体" w:hAnsi="宋体"/>
          <w:sz w:val="28"/>
          <w:szCs w:val="28"/>
        </w:rPr>
        <w:t>SRM系统供应商用户手册</w:t>
      </w:r>
      <w:bookmarkEnd w:id="13"/>
    </w:p>
    <w:p w14:paraId="2F57664D">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25"/>
          <w:rFonts w:hint="eastAsia" w:ascii="宋体" w:hAnsi="宋体" w:cs="宋体"/>
          <w:sz w:val="24"/>
          <w:szCs w:val="24"/>
        </w:rPr>
        <w:t>https://ecaitong.sinotruk.com:8012/</w:t>
      </w:r>
      <w:r>
        <w:rPr>
          <w:rStyle w:val="25"/>
          <w:rFonts w:hint="eastAsia" w:ascii="宋体" w:hAnsi="宋体" w:cs="宋体"/>
          <w:sz w:val="24"/>
          <w:szCs w:val="24"/>
        </w:rPr>
        <w:fldChar w:fldCharType="end"/>
      </w:r>
    </w:p>
    <w:p w14:paraId="22BE8301">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14E2D14C">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58F83507">
      <w:pPr>
        <w:spacing w:line="360" w:lineRule="auto"/>
        <w:rPr>
          <w:rFonts w:ascii="宋体" w:hAnsi="宋体" w:cs="宋体"/>
          <w:color w:val="000000"/>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2392608B">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504EF292">
      <w:r>
        <w:drawing>
          <wp:inline distT="0" distB="0" distL="0" distR="0">
            <wp:extent cx="5760085" cy="2269490"/>
            <wp:effectExtent l="0" t="0" r="5715" b="3810"/>
            <wp:docPr id="1032" name="picture" descr="descript"/>
            <wp:cNvGraphicFramePr/>
            <a:graphic xmlns:a="http://schemas.openxmlformats.org/drawingml/2006/main">
              <a:graphicData uri="http://schemas.openxmlformats.org/drawingml/2006/picture">
                <pic:pic xmlns:pic="http://schemas.openxmlformats.org/drawingml/2006/picture">
                  <pic:nvPicPr>
                    <pic:cNvPr id="1032" name="picture" descr="descript"/>
                    <pic:cNvPicPr/>
                  </pic:nvPicPr>
                  <pic:blipFill>
                    <a:blip r:embed="rId15" cstate="print"/>
                    <a:srcRect/>
                    <a:stretch>
                      <a:fillRect/>
                    </a:stretch>
                  </pic:blipFill>
                  <pic:spPr>
                    <a:xfrm>
                      <a:off x="0" y="0"/>
                      <a:ext cx="5760085" cy="2269490"/>
                    </a:xfrm>
                    <a:prstGeom prst="rect">
                      <a:avLst/>
                    </a:prstGeom>
                  </pic:spPr>
                </pic:pic>
              </a:graphicData>
            </a:graphic>
          </wp:inline>
        </w:drawing>
      </w:r>
    </w:p>
    <w:p w14:paraId="79412DD8"/>
    <w:p w14:paraId="53EFCECD">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24C5898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4E4020BA">
      <w:pPr>
        <w:rPr>
          <w:rFonts w:ascii="宋体" w:hAnsi="宋体" w:cs="宋体"/>
          <w:color w:val="000000"/>
        </w:rPr>
      </w:pPr>
      <w:r>
        <w:rPr>
          <w:rFonts w:ascii="宋体" w:hAnsi="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16" cstate="print"/>
                    <a:srcRect/>
                    <a:stretch>
                      <a:fillRect/>
                    </a:stretch>
                  </pic:blipFill>
                  <pic:spPr>
                    <a:xfrm>
                      <a:off x="0" y="0"/>
                      <a:ext cx="5760085" cy="2125345"/>
                    </a:xfrm>
                    <a:prstGeom prst="rect">
                      <a:avLst/>
                    </a:prstGeom>
                  </pic:spPr>
                </pic:pic>
              </a:graphicData>
            </a:graphic>
          </wp:inline>
        </w:drawing>
      </w:r>
    </w:p>
    <w:p w14:paraId="08CDCC99">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31278D5A">
      <w:pPr>
        <w:pStyle w:val="9"/>
      </w:pPr>
      <w:r>
        <w:rPr>
          <w:rFonts w:hint="eastAsia" w:hAnsi="宋体" w:cs="宋体"/>
          <w:b/>
          <w:bCs/>
          <w:color w:val="000000"/>
          <w:sz w:val="24"/>
          <w:szCs w:val="28"/>
          <w:highlight w:val="yellow"/>
        </w:rPr>
        <w:t>注意：系统内的投标报价单位为“万元”，如开标现场发现填错报价，即直接淘汰。</w:t>
      </w:r>
    </w:p>
    <w:p w14:paraId="2FE09CCC">
      <w:pPr>
        <w:ind w:left="425" w:hanging="425"/>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17" cstate="print"/>
                    <a:srcRect/>
                    <a:stretch>
                      <a:fillRect/>
                    </a:stretch>
                  </pic:blipFill>
                  <pic:spPr>
                    <a:xfrm>
                      <a:off x="0" y="0"/>
                      <a:ext cx="5490210" cy="2668905"/>
                    </a:xfrm>
                    <a:prstGeom prst="rect">
                      <a:avLst/>
                    </a:prstGeom>
                  </pic:spPr>
                </pic:pic>
              </a:graphicData>
            </a:graphic>
          </wp:inline>
        </w:drawing>
      </w:r>
    </w:p>
    <w:p w14:paraId="63471EBC">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3BD8207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22D1B744">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00056864">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18" cstate="print"/>
                    <a:srcRect/>
                    <a:stretch>
                      <a:fillRect/>
                    </a:stretch>
                  </pic:blipFill>
                  <pic:spPr>
                    <a:xfrm>
                      <a:off x="0" y="0"/>
                      <a:ext cx="5490210" cy="1992629"/>
                    </a:xfrm>
                    <a:prstGeom prst="rect">
                      <a:avLst/>
                    </a:prstGeom>
                  </pic:spPr>
                </pic:pic>
              </a:graphicData>
            </a:graphic>
          </wp:inline>
        </w:drawing>
      </w:r>
    </w:p>
    <w:p w14:paraId="458CCC6C">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64BA25A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00F4E883">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0D7CAEA1">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6928576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6385BF1E">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44465343">
      <w:pPr>
        <w:ind w:left="425" w:hanging="425"/>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19" cstate="print"/>
                    <a:srcRect/>
                    <a:stretch>
                      <a:fillRect/>
                    </a:stretch>
                  </pic:blipFill>
                  <pic:spPr>
                    <a:xfrm>
                      <a:off x="0" y="0"/>
                      <a:ext cx="5490210" cy="2544445"/>
                    </a:xfrm>
                    <a:prstGeom prst="rect">
                      <a:avLst/>
                    </a:prstGeom>
                  </pic:spPr>
                </pic:pic>
              </a:graphicData>
            </a:graphic>
          </wp:inline>
        </w:drawing>
      </w:r>
    </w:p>
    <w:p w14:paraId="53309345">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89A31A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5010C594">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E97F9F9">
      <w:pPr>
        <w:rPr>
          <w:rFonts w:asciiTheme="majorEastAsia" w:hAnsiTheme="majorEastAsia" w:eastAsiaTheme="majorEastAsia" w:cstheme="majorEastAsia"/>
          <w:sz w:val="24"/>
        </w:rPr>
      </w:pPr>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0" cstate="print"/>
                    <a:srcRect/>
                    <a:stretch>
                      <a:fillRect/>
                    </a:stretch>
                  </pic:blipFill>
                  <pic:spPr>
                    <a:xfrm>
                      <a:off x="0" y="0"/>
                      <a:ext cx="5760085" cy="1956435"/>
                    </a:xfrm>
                    <a:prstGeom prst="rect">
                      <a:avLst/>
                    </a:prstGeom>
                  </pic:spPr>
                </pic:pic>
              </a:graphicData>
            </a:graphic>
          </wp:inline>
        </w:drawing>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9268D">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8C856">
                          <w:pPr>
                            <w:pStyle w:val="11"/>
                          </w:pPr>
                          <w:r>
                            <w:fldChar w:fldCharType="begin"/>
                          </w:r>
                          <w:r>
                            <w:instrText xml:space="preserve"> PAGE  \* MERGEFORMAT </w:instrText>
                          </w:r>
                          <w:r>
                            <w:fldChar w:fldCharType="separate"/>
                          </w:r>
                          <w:r>
                            <w:t>- 0 -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28C8C856">
                    <w:pPr>
                      <w:pStyle w:val="11"/>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FCEC">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CAFB19">
                          <w:pPr>
                            <w:pStyle w:val="11"/>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1CAFB19">
                    <w:pPr>
                      <w:pStyle w:val="11"/>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161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76F168A">
                          <w:pPr>
                            <w:pStyle w:val="11"/>
                            <w:rPr>
                              <w:rStyle w:val="19"/>
                            </w:rPr>
                          </w:pPr>
                          <w:r>
                            <w:fldChar w:fldCharType="begin"/>
                          </w:r>
                          <w:r>
                            <w:rPr>
                              <w:rStyle w:val="19"/>
                            </w:rPr>
                            <w:instrText xml:space="preserve">PAGE  </w:instrText>
                          </w:r>
                          <w:r>
                            <w:fldChar w:fldCharType="separate"/>
                          </w:r>
                          <w:r>
                            <w:rPr>
                              <w:rStyle w:val="19"/>
                            </w:rPr>
                            <w:t>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a0NWJ8cBAACdAwAADgAAAAAAAAABACAAAAAeAQAAZHJzL2Uyb0RvYy54&#10;bWxQSwUGAAAAAAYABgBZAQAAVwUAAAAA&#10;">
              <v:fill on="f" focussize="0,0"/>
              <v:stroke on="f"/>
              <v:imagedata o:title=""/>
              <o:lock v:ext="edit" aspectratio="f"/>
              <v:textbox inset="0mm,0mm,0mm,0mm" style="mso-fit-shape-to-text:t;">
                <w:txbxContent>
                  <w:p w14:paraId="576F168A">
                    <w:pPr>
                      <w:pStyle w:val="11"/>
                      <w:rPr>
                        <w:rStyle w:val="19"/>
                      </w:rPr>
                    </w:pPr>
                    <w:r>
                      <w:fldChar w:fldCharType="begin"/>
                    </w:r>
                    <w:r>
                      <w:rPr>
                        <w:rStyle w:val="19"/>
                      </w:rPr>
                      <w:instrText xml:space="preserve">PAGE  </w:instrText>
                    </w:r>
                    <w:r>
                      <w:fldChar w:fldCharType="separate"/>
                    </w:r>
                    <w:r>
                      <w:rPr>
                        <w:rStyle w:val="19"/>
                      </w:rP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82878"/>
    <w:multiLevelType w:val="multilevel"/>
    <w:tmpl w:val="BF782878"/>
    <w:lvl w:ilvl="0" w:tentative="0">
      <w:start w:val="1"/>
      <w:numFmt w:val="chineseCountingThousand"/>
      <w:pStyle w:val="35"/>
      <w:suff w:val="nothing"/>
      <w:lvlText w:val="%1、"/>
      <w:lvlJc w:val="left"/>
      <w:pPr>
        <w:ind w:left="0" w:firstLine="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D569400B"/>
    <w:multiLevelType w:val="singleLevel"/>
    <w:tmpl w:val="D569400B"/>
    <w:lvl w:ilvl="0" w:tentative="0">
      <w:start w:val="1"/>
      <w:numFmt w:val="decimal"/>
      <w:suff w:val="nothing"/>
      <w:lvlText w:val="%1．"/>
      <w:lvlJc w:val="left"/>
      <w:pPr>
        <w:ind w:left="0" w:firstLine="400"/>
      </w:pPr>
      <w:rPr>
        <w:rFonts w:hint="default"/>
      </w:rPr>
    </w:lvl>
  </w:abstractNum>
  <w:abstractNum w:abstractNumId="2">
    <w:nsid w:val="F8024857"/>
    <w:multiLevelType w:val="singleLevel"/>
    <w:tmpl w:val="F8024857"/>
    <w:lvl w:ilvl="0" w:tentative="0">
      <w:start w:val="1"/>
      <w:numFmt w:val="chineseCounting"/>
      <w:suff w:val="nothing"/>
      <w:lvlText w:val="%1、"/>
      <w:lvlJc w:val="left"/>
      <w:rPr>
        <w:rFonts w:hint="eastAsia"/>
      </w:rPr>
    </w:lvl>
  </w:abstractNum>
  <w:abstractNum w:abstractNumId="3">
    <w:nsid w:val="00000003"/>
    <w:multiLevelType w:val="singleLevel"/>
    <w:tmpl w:val="00000003"/>
    <w:lvl w:ilvl="0" w:tentative="0">
      <w:start w:val="5"/>
      <w:numFmt w:val="decimal"/>
      <w:lvlText w:val="%1."/>
      <w:lvlJc w:val="left"/>
      <w:pPr>
        <w:tabs>
          <w:tab w:val="left" w:pos="312"/>
        </w:tabs>
      </w:pPr>
    </w:lvl>
  </w:abstractNum>
  <w:abstractNum w:abstractNumId="4">
    <w:nsid w:val="06882CE3"/>
    <w:multiLevelType w:val="multilevel"/>
    <w:tmpl w:val="06882CE3"/>
    <w:lvl w:ilvl="0" w:tentative="0">
      <w:start w:val="1"/>
      <w:numFmt w:val="decimal"/>
      <w:pStyle w:val="42"/>
      <w:suff w:val="nothing"/>
      <w:lvlText w:val="（%1）"/>
      <w:lvlJc w:val="left"/>
      <w:pPr>
        <w:ind w:left="1270" w:hanging="420"/>
      </w:pPr>
      <w:rPr>
        <w:b w:val="0"/>
        <w:bCs w:val="0"/>
        <w:i w:val="0"/>
        <w:iCs w:val="0"/>
        <w:caps w:val="0"/>
        <w:smallCaps w:val="0"/>
        <w:strike w:val="0"/>
        <w:dstrike w:val="0"/>
        <w:vanish w:val="0"/>
        <w:spacing w:val="0"/>
        <w:position w:val="0"/>
        <w:u w:val="none"/>
        <w:vertAlign w:val="baseline"/>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5">
    <w:nsid w:val="346C6C97"/>
    <w:multiLevelType w:val="singleLevel"/>
    <w:tmpl w:val="346C6C97"/>
    <w:lvl w:ilvl="0" w:tentative="0">
      <w:start w:val="1"/>
      <w:numFmt w:val="bullet"/>
      <w:pStyle w:val="10"/>
      <w:lvlText w:val=""/>
      <w:lvlJc w:val="left"/>
      <w:pPr>
        <w:tabs>
          <w:tab w:val="left" w:pos="2040"/>
        </w:tabs>
        <w:ind w:left="2040" w:hanging="360"/>
      </w:pPr>
      <w:rPr>
        <w:rFonts w:hint="default" w:ascii="Wingdings" w:hAnsi="Wingdings"/>
      </w:rPr>
    </w:lvl>
  </w:abstractNum>
  <w:abstractNum w:abstractNumId="6">
    <w:nsid w:val="56D20133"/>
    <w:multiLevelType w:val="multilevel"/>
    <w:tmpl w:val="56D20133"/>
    <w:lvl w:ilvl="0" w:tentative="0">
      <w:start w:val="1"/>
      <w:numFmt w:val="chineseCountingThousand"/>
      <w:pStyle w:val="3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num w:numId="1">
    <w:abstractNumId w:val="5"/>
  </w:num>
  <w:num w:numId="2">
    <w:abstractNumId w:val="6"/>
  </w:num>
  <w:num w:numId="3">
    <w:abstractNumId w:val="0"/>
  </w:num>
  <w:num w:numId="4">
    <w:abstractNumId w:val="4"/>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8A2"/>
    <w:rsid w:val="00672889"/>
    <w:rsid w:val="00966038"/>
    <w:rsid w:val="00A62C6C"/>
    <w:rsid w:val="00B818A2"/>
    <w:rsid w:val="00C67386"/>
    <w:rsid w:val="013E40BF"/>
    <w:rsid w:val="025D6B3C"/>
    <w:rsid w:val="029F0E5C"/>
    <w:rsid w:val="03874A2A"/>
    <w:rsid w:val="042D7C0E"/>
    <w:rsid w:val="05072508"/>
    <w:rsid w:val="07E17B6F"/>
    <w:rsid w:val="092F44B4"/>
    <w:rsid w:val="09AF4A6A"/>
    <w:rsid w:val="0AC736EC"/>
    <w:rsid w:val="0F1E7653"/>
    <w:rsid w:val="0FF61F83"/>
    <w:rsid w:val="1299033E"/>
    <w:rsid w:val="12F116C7"/>
    <w:rsid w:val="12F24CD6"/>
    <w:rsid w:val="136F77C2"/>
    <w:rsid w:val="1443382C"/>
    <w:rsid w:val="1490034C"/>
    <w:rsid w:val="15711640"/>
    <w:rsid w:val="169D08E8"/>
    <w:rsid w:val="17084259"/>
    <w:rsid w:val="1A136006"/>
    <w:rsid w:val="21E716D2"/>
    <w:rsid w:val="23AB1BB8"/>
    <w:rsid w:val="27516871"/>
    <w:rsid w:val="2A1B484F"/>
    <w:rsid w:val="32741D04"/>
    <w:rsid w:val="331039D5"/>
    <w:rsid w:val="344305EA"/>
    <w:rsid w:val="34E41B50"/>
    <w:rsid w:val="36632356"/>
    <w:rsid w:val="3726677F"/>
    <w:rsid w:val="373B05AC"/>
    <w:rsid w:val="373C2E22"/>
    <w:rsid w:val="38494C33"/>
    <w:rsid w:val="3D233F03"/>
    <w:rsid w:val="3D7D7D5D"/>
    <w:rsid w:val="3E1622DC"/>
    <w:rsid w:val="3F8C46F6"/>
    <w:rsid w:val="42EE0B0F"/>
    <w:rsid w:val="44907102"/>
    <w:rsid w:val="450C60CA"/>
    <w:rsid w:val="4693636F"/>
    <w:rsid w:val="48EF075C"/>
    <w:rsid w:val="491B57D4"/>
    <w:rsid w:val="4DF3302D"/>
    <w:rsid w:val="4FAC3B7D"/>
    <w:rsid w:val="50CD338E"/>
    <w:rsid w:val="518A658B"/>
    <w:rsid w:val="52EC41E8"/>
    <w:rsid w:val="533B56AA"/>
    <w:rsid w:val="53442BBA"/>
    <w:rsid w:val="534F4F57"/>
    <w:rsid w:val="536F17F8"/>
    <w:rsid w:val="545D2BAA"/>
    <w:rsid w:val="558946E0"/>
    <w:rsid w:val="55FF6EE2"/>
    <w:rsid w:val="591B5C37"/>
    <w:rsid w:val="59CE123B"/>
    <w:rsid w:val="5A813B2C"/>
    <w:rsid w:val="5BCD2243"/>
    <w:rsid w:val="5E6E1B79"/>
    <w:rsid w:val="6217502E"/>
    <w:rsid w:val="66660838"/>
    <w:rsid w:val="6A2E5C0F"/>
    <w:rsid w:val="6D765805"/>
    <w:rsid w:val="6F1C43D6"/>
    <w:rsid w:val="729775F9"/>
    <w:rsid w:val="730C5BD1"/>
    <w:rsid w:val="76202F09"/>
    <w:rsid w:val="78520A07"/>
    <w:rsid w:val="7B4A56E6"/>
    <w:rsid w:val="7C8E41ED"/>
    <w:rsid w:val="7CD508F4"/>
    <w:rsid w:val="7DA44D30"/>
    <w:rsid w:val="7F1C0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8"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rPr>
      <w:sz w:val="21"/>
    </w:rPr>
  </w:style>
  <w:style w:type="paragraph" w:styleId="6">
    <w:name w:val="caption"/>
    <w:basedOn w:val="1"/>
    <w:next w:val="1"/>
    <w:qFormat/>
    <w:uiPriority w:val="0"/>
    <w:pPr>
      <w:spacing w:before="152" w:after="160"/>
    </w:pPr>
    <w:rPr>
      <w:rFonts w:ascii="Arial" w:hAnsi="Arial" w:eastAsia="黑体" w:cs="Arial"/>
      <w:sz w:val="20"/>
    </w:rPr>
  </w:style>
  <w:style w:type="paragraph" w:styleId="7">
    <w:name w:val="Body Text"/>
    <w:basedOn w:val="1"/>
    <w:qFormat/>
    <w:uiPriority w:val="98"/>
    <w:rPr>
      <w:rFonts w:ascii="仿宋_GB2312" w:eastAsia="仿宋_GB2312"/>
      <w:sz w:val="32"/>
    </w:r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szCs w:val="20"/>
    </w:rPr>
  </w:style>
  <w:style w:type="paragraph" w:styleId="10">
    <w:name w:val="List Bullet 5"/>
    <w:basedOn w:val="1"/>
    <w:qFormat/>
    <w:uiPriority w:val="0"/>
    <w:pPr>
      <w:numPr>
        <w:ilvl w:val="0"/>
        <w:numId w:val="1"/>
      </w:numPr>
    </w:p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rPr>
  </w:style>
  <w:style w:type="paragraph" w:styleId="15">
    <w:name w:val="Body Text First Indent 2"/>
    <w:basedOn w:val="8"/>
    <w:next w:val="13"/>
    <w:qFormat/>
    <w:uiPriority w:val="0"/>
    <w:pPr>
      <w:spacing w:line="276" w:lineRule="auto"/>
      <w:ind w:left="200" w:firstLine="200" w:firstLineChars="200"/>
      <w:jc w:val="left"/>
    </w:pPr>
  </w:style>
  <w:style w:type="character" w:styleId="18">
    <w:name w:val="Strong"/>
    <w:basedOn w:val="17"/>
    <w:qFormat/>
    <w:uiPriority w:val="0"/>
    <w:rPr>
      <w:b/>
    </w:rPr>
  </w:style>
  <w:style w:type="character" w:styleId="19">
    <w:name w:val="page number"/>
    <w:basedOn w:val="17"/>
    <w:semiHidden/>
    <w:qFormat/>
    <w:uiPriority w:val="0"/>
  </w:style>
  <w:style w:type="character" w:styleId="20">
    <w:name w:val="FollowedHyperlink"/>
    <w:basedOn w:val="17"/>
    <w:qFormat/>
    <w:uiPriority w:val="0"/>
    <w:rPr>
      <w:color w:val="800080"/>
      <w:u w:val="none"/>
    </w:rPr>
  </w:style>
  <w:style w:type="character" w:styleId="21">
    <w:name w:val="HTML Definition"/>
    <w:basedOn w:val="17"/>
    <w:qFormat/>
    <w:uiPriority w:val="0"/>
  </w:style>
  <w:style w:type="character" w:styleId="22">
    <w:name w:val="HTML Typewriter"/>
    <w:basedOn w:val="17"/>
    <w:qFormat/>
    <w:uiPriority w:val="0"/>
    <w:rPr>
      <w:rFonts w:hint="default" w:ascii="monospace" w:hAnsi="monospace" w:eastAsia="monospace" w:cs="monospace"/>
      <w:sz w:val="20"/>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basedOn w:val="17"/>
    <w:qFormat/>
    <w:uiPriority w:val="0"/>
    <w:rPr>
      <w:color w:val="0000FF"/>
      <w:u w:val="none"/>
    </w:rPr>
  </w:style>
  <w:style w:type="character" w:styleId="26">
    <w:name w:val="HTML Code"/>
    <w:basedOn w:val="17"/>
    <w:qFormat/>
    <w:uiPriority w:val="0"/>
    <w:rPr>
      <w:rFonts w:hint="default" w:ascii="monospace" w:hAnsi="monospace" w:eastAsia="monospace" w:cs="monospace"/>
      <w:sz w:val="20"/>
    </w:rPr>
  </w:style>
  <w:style w:type="character" w:styleId="27">
    <w:name w:val="HTML Cite"/>
    <w:basedOn w:val="17"/>
    <w:qFormat/>
    <w:uiPriority w:val="0"/>
  </w:style>
  <w:style w:type="character" w:styleId="28">
    <w:name w:val="HTML Keyboard"/>
    <w:basedOn w:val="17"/>
    <w:qFormat/>
    <w:uiPriority w:val="0"/>
    <w:rPr>
      <w:rFonts w:ascii="monospace" w:hAnsi="monospace" w:eastAsia="monospace" w:cs="monospace"/>
      <w:sz w:val="20"/>
    </w:rPr>
  </w:style>
  <w:style w:type="character" w:styleId="29">
    <w:name w:val="HTML Sample"/>
    <w:basedOn w:val="17"/>
    <w:qFormat/>
    <w:uiPriority w:val="0"/>
    <w:rPr>
      <w:rFonts w:hint="default" w:ascii="monospace" w:hAnsi="monospace" w:eastAsia="monospace" w:cs="monospace"/>
    </w:rPr>
  </w:style>
  <w:style w:type="paragraph" w:customStyle="1" w:styleId="30">
    <w:name w:val="Default"/>
    <w:qFormat/>
    <w:uiPriority w:val="99"/>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31">
    <w:name w:val="Table Paragraph"/>
    <w:basedOn w:val="1"/>
    <w:qFormat/>
    <w:uiPriority w:val="1"/>
    <w:rPr>
      <w:rFonts w:ascii="宋体" w:hAnsi="宋体" w:eastAsia="宋体" w:cs="宋体"/>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二）级标题"/>
    <w:basedOn w:val="9"/>
    <w:qFormat/>
    <w:uiPriority w:val="2"/>
    <w:pPr>
      <w:numPr>
        <w:ilvl w:val="0"/>
        <w:numId w:val="2"/>
      </w:numPr>
      <w:spacing w:line="360" w:lineRule="auto"/>
      <w:outlineLvl w:val="2"/>
    </w:pPr>
    <w:rPr>
      <w:b/>
    </w:rPr>
  </w:style>
  <w:style w:type="paragraph" w:customStyle="1" w:styleId="34">
    <w:name w:val="标书正文"/>
    <w:basedOn w:val="9"/>
    <w:qFormat/>
    <w:uiPriority w:val="9"/>
    <w:pPr>
      <w:spacing w:line="360" w:lineRule="auto"/>
      <w:jc w:val="left"/>
    </w:pPr>
  </w:style>
  <w:style w:type="paragraph" w:customStyle="1" w:styleId="35">
    <w:name w:val="一级标题"/>
    <w:basedOn w:val="9"/>
    <w:qFormat/>
    <w:uiPriority w:val="0"/>
    <w:pPr>
      <w:numPr>
        <w:ilvl w:val="0"/>
        <w:numId w:val="3"/>
      </w:numPr>
      <w:spacing w:line="360" w:lineRule="auto"/>
      <w:outlineLvl w:val="1"/>
    </w:pPr>
    <w:rPr>
      <w:rFonts w:ascii="黑体" w:eastAsia="黑体"/>
      <w:b/>
      <w:bCs/>
      <w:sz w:val="28"/>
    </w:rPr>
  </w:style>
  <w:style w:type="paragraph" w:customStyle="1" w:styleId="36">
    <w:name w:val="标书正文格式"/>
    <w:basedOn w:val="9"/>
    <w:qFormat/>
    <w:uiPriority w:val="0"/>
    <w:pPr>
      <w:spacing w:line="360" w:lineRule="auto"/>
      <w:ind w:firstLine="200" w:firstLineChars="200"/>
    </w:pPr>
    <w:rPr>
      <w:rFonts w:hAnsi="宋体" w:eastAsiaTheme="minorEastAsia"/>
      <w:color w:val="000000"/>
      <w:sz w:val="24"/>
      <w:szCs w:val="24"/>
    </w:rPr>
  </w:style>
  <w:style w:type="paragraph" w:customStyle="1" w:styleId="37">
    <w:name w:val="标书三级标题"/>
    <w:basedOn w:val="3"/>
    <w:next w:val="36"/>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paragraph" w:customStyle="1" w:styleId="38">
    <w:name w:val="标书二级标题"/>
    <w:basedOn w:val="2"/>
    <w:qFormat/>
    <w:uiPriority w:val="0"/>
    <w:pPr>
      <w:spacing w:before="0" w:after="0" w:line="240" w:lineRule="auto"/>
      <w:jc w:val="left"/>
    </w:pPr>
    <w:rPr>
      <w:rFonts w:ascii="宋体" w:hAnsi="宋体" w:cstheme="minorBidi"/>
      <w:b w:val="0"/>
      <w:sz w:val="28"/>
      <w:szCs w:val="30"/>
      <w:lang w:val="en-US" w:eastAsia="zh-CN"/>
    </w:rPr>
  </w:style>
  <w:style w:type="paragraph" w:customStyle="1" w:styleId="39">
    <w:name w:val="标书表格"/>
    <w:basedOn w:val="1"/>
    <w:qFormat/>
    <w:uiPriority w:val="0"/>
    <w:pPr>
      <w:jc w:val="center"/>
    </w:pPr>
    <w:rPr>
      <w:rFonts w:asciiTheme="minorHAnsi" w:hAnsiTheme="minorHAnsi" w:eastAsiaTheme="minorEastAsia" w:cstheme="minorBidi"/>
      <w:b/>
      <w:szCs w:val="22"/>
    </w:rPr>
  </w:style>
  <w:style w:type="character" w:customStyle="1" w:styleId="40">
    <w:name w:val="NormalCharacter"/>
    <w:basedOn w:val="17"/>
    <w:qFormat/>
    <w:uiPriority w:val="0"/>
  </w:style>
  <w:style w:type="paragraph" w:styleId="41">
    <w:name w:val="List Paragraph"/>
    <w:basedOn w:val="1"/>
    <w:qFormat/>
    <w:uiPriority w:val="34"/>
    <w:pPr>
      <w:ind w:firstLine="420" w:firstLineChars="200"/>
    </w:pPr>
  </w:style>
  <w:style w:type="paragraph" w:customStyle="1" w:styleId="42">
    <w:name w:val="（4）级标题"/>
    <w:basedOn w:val="9"/>
    <w:qFormat/>
    <w:uiPriority w:val="8"/>
    <w:pPr>
      <w:numPr>
        <w:ilvl w:val="0"/>
        <w:numId w:val="4"/>
      </w:numPr>
      <w:spacing w:line="360" w:lineRule="auto"/>
      <w:outlineLvl w:val="4"/>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haep</Company>
  <Pages>12</Pages>
  <Words>3185</Words>
  <Characters>3485</Characters>
  <Lines>23</Lines>
  <Paragraphs>6</Paragraphs>
  <TotalTime>0</TotalTime>
  <ScaleCrop>false</ScaleCrop>
  <LinksUpToDate>false</LinksUpToDate>
  <CharactersWithSpaces>4882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南夕</cp:lastModifiedBy>
  <dcterms:modified xsi:type="dcterms:W3CDTF">2026-07-06T07:27:03Z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eyJoZGlkIjoiMTc1ZDQ3MDAzYTFhNWE5NTU2MTA1MzJlMTZjNTIwZTgiLCJ1c2VySWQiOiI3MTQwODY2MjEifQ==</vt:lpwstr>
  </property>
  <property fmtid="{D5CDD505-2E9C-101B-9397-08002B2CF9AE}" pid="4" name="ICV">
    <vt:lpwstr>153444A142974E3080DB07A433A5F3CF_13</vt:lpwstr>
  </property>
</Properties>
</file>