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4E331">
      <w:pPr>
        <w:pageBreakBefore w:val="0"/>
        <w:kinsoku/>
        <w:wordWrap/>
        <w:overflowPunct/>
        <w:topLinePunct w:val="0"/>
        <w:bidi w:val="0"/>
        <w:spacing w:line="360" w:lineRule="auto"/>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w:t>
      </w:r>
      <w:r>
        <w:rPr>
          <w:rFonts w:hint="eastAsia" w:ascii="宋体" w:hAnsi="宋体" w:cs="宋体"/>
          <w:b/>
          <w:bCs/>
          <w:color w:val="000000"/>
          <w:spacing w:val="-8"/>
          <w:sz w:val="48"/>
          <w:szCs w:val="44"/>
          <w:lang w:val="en-US" w:eastAsia="zh-CN"/>
        </w:rPr>
        <w:t>智能装备</w:t>
      </w:r>
      <w:r>
        <w:rPr>
          <w:rFonts w:hint="eastAsia" w:ascii="宋体" w:hAnsi="宋体" w:eastAsia="宋体" w:cs="宋体"/>
          <w:b/>
          <w:bCs/>
          <w:color w:val="000000"/>
          <w:spacing w:val="-8"/>
          <w:sz w:val="48"/>
          <w:szCs w:val="44"/>
        </w:rPr>
        <w:t>有限公司</w:t>
      </w:r>
    </w:p>
    <w:p w14:paraId="7D712C22">
      <w:pPr>
        <w:pageBreakBefore w:val="0"/>
        <w:kinsoku/>
        <w:wordWrap/>
        <w:overflowPunct/>
        <w:topLinePunct w:val="0"/>
        <w:bidi w:val="0"/>
        <w:spacing w:line="360" w:lineRule="auto"/>
        <w:jc w:val="center"/>
        <w:rPr>
          <w:rFonts w:hint="eastAsia" w:ascii="宋体" w:hAnsi="宋体" w:eastAsia="宋体" w:cs="宋体"/>
          <w:b/>
          <w:bCs/>
          <w:color w:val="000000"/>
          <w:spacing w:val="-8"/>
          <w:sz w:val="48"/>
          <w:szCs w:val="44"/>
        </w:rPr>
      </w:pPr>
    </w:p>
    <w:p w14:paraId="35780E19">
      <w:pPr>
        <w:pageBreakBefore w:val="0"/>
        <w:kinsoku/>
        <w:wordWrap/>
        <w:overflowPunct/>
        <w:topLinePunct w:val="0"/>
        <w:bidi w:val="0"/>
        <w:spacing w:line="360" w:lineRule="auto"/>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济南商用车有限公司</w:t>
      </w:r>
    </w:p>
    <w:p w14:paraId="215CB4C1">
      <w:pPr>
        <w:pageBreakBefore w:val="0"/>
        <w:kinsoku/>
        <w:wordWrap/>
        <w:overflowPunct/>
        <w:topLinePunct w:val="0"/>
        <w:bidi w:val="0"/>
        <w:spacing w:line="360" w:lineRule="auto"/>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全新一代车型器具采购项目</w:t>
      </w:r>
    </w:p>
    <w:p w14:paraId="3BAFF879">
      <w:pPr>
        <w:pageBreakBefore w:val="0"/>
        <w:kinsoku/>
        <w:wordWrap/>
        <w:overflowPunct/>
        <w:topLinePunct w:val="0"/>
        <w:bidi w:val="0"/>
        <w:spacing w:line="360" w:lineRule="auto"/>
        <w:jc w:val="center"/>
        <w:rPr>
          <w:rFonts w:hint="eastAsia" w:ascii="宋体" w:hAnsi="宋体"/>
          <w:b/>
          <w:color w:val="000000"/>
          <w:sz w:val="96"/>
          <w:szCs w:val="96"/>
        </w:rPr>
      </w:pPr>
    </w:p>
    <w:p w14:paraId="15F5B103">
      <w:pPr>
        <w:pageBreakBefore w:val="0"/>
        <w:kinsoku/>
        <w:wordWrap/>
        <w:overflowPunct/>
        <w:topLinePunct w:val="0"/>
        <w:bidi w:val="0"/>
        <w:spacing w:line="360" w:lineRule="auto"/>
        <w:jc w:val="center"/>
        <w:rPr>
          <w:rFonts w:hint="eastAsia" w:ascii="宋体" w:hAnsi="宋体"/>
          <w:b/>
          <w:color w:val="000000"/>
          <w:sz w:val="96"/>
          <w:szCs w:val="96"/>
        </w:rPr>
      </w:pPr>
      <w:r>
        <w:rPr>
          <w:rFonts w:hint="eastAsia" w:ascii="宋体" w:hAnsi="宋体"/>
          <w:b/>
          <w:color w:val="000000"/>
          <w:sz w:val="96"/>
          <w:szCs w:val="96"/>
        </w:rPr>
        <w:t>招</w:t>
      </w:r>
    </w:p>
    <w:p w14:paraId="062EA063">
      <w:pPr>
        <w:pageBreakBefore w:val="0"/>
        <w:kinsoku/>
        <w:wordWrap/>
        <w:overflowPunct/>
        <w:topLinePunct w:val="0"/>
        <w:bidi w:val="0"/>
        <w:spacing w:line="360" w:lineRule="auto"/>
        <w:jc w:val="center"/>
        <w:rPr>
          <w:rFonts w:hint="eastAsia" w:ascii="宋体" w:hAnsi="宋体"/>
          <w:b/>
          <w:color w:val="000000"/>
          <w:sz w:val="96"/>
          <w:szCs w:val="96"/>
        </w:rPr>
      </w:pPr>
      <w:r>
        <w:rPr>
          <w:rFonts w:hint="eastAsia" w:ascii="宋体" w:hAnsi="宋体"/>
          <w:b/>
          <w:color w:val="000000"/>
          <w:sz w:val="96"/>
          <w:szCs w:val="96"/>
        </w:rPr>
        <w:t>标</w:t>
      </w:r>
    </w:p>
    <w:p w14:paraId="3C04ED2F">
      <w:pPr>
        <w:pageBreakBefore w:val="0"/>
        <w:kinsoku/>
        <w:wordWrap/>
        <w:overflowPunct/>
        <w:topLinePunct w:val="0"/>
        <w:bidi w:val="0"/>
        <w:spacing w:line="360" w:lineRule="auto"/>
        <w:jc w:val="center"/>
        <w:rPr>
          <w:rFonts w:hint="default" w:ascii="宋体" w:hAnsi="宋体" w:eastAsia="宋体"/>
          <w:b/>
          <w:color w:val="000000"/>
          <w:sz w:val="96"/>
          <w:szCs w:val="96"/>
          <w:lang w:val="en-US" w:eastAsia="zh-CN"/>
        </w:rPr>
      </w:pPr>
      <w:r>
        <w:rPr>
          <w:rFonts w:hint="eastAsia" w:ascii="宋体" w:hAnsi="宋体"/>
          <w:b/>
          <w:color w:val="000000"/>
          <w:sz w:val="96"/>
          <w:szCs w:val="96"/>
          <w:lang w:val="en-US" w:eastAsia="zh-CN"/>
        </w:rPr>
        <w:t xml:space="preserve">书  </w:t>
      </w:r>
    </w:p>
    <w:p w14:paraId="0B34E3F7">
      <w:pPr>
        <w:pageBreakBefore w:val="0"/>
        <w:kinsoku/>
        <w:wordWrap/>
        <w:overflowPunct/>
        <w:topLinePunct w:val="0"/>
        <w:bidi w:val="0"/>
        <w:spacing w:line="360" w:lineRule="auto"/>
        <w:jc w:val="center"/>
        <w:rPr>
          <w:rFonts w:hint="eastAsia" w:ascii="隶书" w:hAnsi="宋体" w:eastAsia="隶书"/>
          <w:color w:val="000000"/>
          <w:sz w:val="36"/>
          <w:szCs w:val="36"/>
        </w:rPr>
      </w:pPr>
    </w:p>
    <w:p w14:paraId="5B8C8BFF">
      <w:pPr>
        <w:pageBreakBefore w:val="0"/>
        <w:kinsoku/>
        <w:wordWrap/>
        <w:overflowPunct/>
        <w:topLinePunct w:val="0"/>
        <w:bidi w:val="0"/>
        <w:spacing w:before="240" w:line="360" w:lineRule="auto"/>
        <w:jc w:val="center"/>
        <w:rPr>
          <w:rFonts w:hint="eastAsia" w:eastAsia="宋体"/>
          <w:color w:val="000000"/>
          <w:lang w:eastAsia="zh-CN"/>
        </w:rPr>
      </w:pPr>
      <w:r>
        <w:rPr>
          <w:rFonts w:hint="eastAsia" w:ascii="黑体" w:eastAsia="黑体"/>
          <w:b/>
          <w:color w:val="000000"/>
          <w:sz w:val="28"/>
          <w:highlight w:val="none"/>
          <w:lang w:val="en-US" w:eastAsia="zh-CN"/>
        </w:rPr>
        <w:t xml:space="preserve"> </w:t>
      </w:r>
    </w:p>
    <w:p w14:paraId="197575D1">
      <w:pPr>
        <w:pageBreakBefore w:val="0"/>
        <w:kinsoku/>
        <w:wordWrap/>
        <w:overflowPunct/>
        <w:topLinePunct w:val="0"/>
        <w:bidi w:val="0"/>
        <w:spacing w:before="240" w:line="360" w:lineRule="auto"/>
        <w:jc w:val="center"/>
        <w:rPr>
          <w:rFonts w:hint="eastAsia"/>
          <w:color w:val="000000"/>
        </w:rPr>
      </w:pPr>
    </w:p>
    <w:p w14:paraId="782DCF27">
      <w:pPr>
        <w:pageBreakBefore w:val="0"/>
        <w:kinsoku/>
        <w:wordWrap/>
        <w:overflowPunct/>
        <w:topLinePunct w:val="0"/>
        <w:bidi w:val="0"/>
        <w:spacing w:before="240" w:line="360" w:lineRule="auto"/>
        <w:jc w:val="center"/>
        <w:rPr>
          <w:rFonts w:hint="eastAsia"/>
          <w:color w:val="000000"/>
        </w:rPr>
      </w:pPr>
    </w:p>
    <w:p w14:paraId="4511BFFF">
      <w:pPr>
        <w:pageBreakBefore w:val="0"/>
        <w:kinsoku/>
        <w:wordWrap/>
        <w:overflowPunct/>
        <w:topLinePunct w:val="0"/>
        <w:bidi w:val="0"/>
        <w:spacing w:before="240" w:line="360" w:lineRule="auto"/>
        <w:jc w:val="center"/>
        <w:rPr>
          <w:rFonts w:hint="eastAsia"/>
          <w:color w:val="000000"/>
        </w:rPr>
      </w:pPr>
    </w:p>
    <w:p w14:paraId="708C9E37">
      <w:pPr>
        <w:pageBreakBefore w:val="0"/>
        <w:kinsoku/>
        <w:wordWrap/>
        <w:overflowPunct/>
        <w:topLinePunct w:val="0"/>
        <w:bidi w:val="0"/>
        <w:spacing w:before="240" w:line="360" w:lineRule="auto"/>
        <w:jc w:val="both"/>
        <w:rPr>
          <w:rFonts w:hint="eastAsia" w:ascii="隶书" w:hAnsi="宋体" w:eastAsia="隶书"/>
          <w:color w:val="000000"/>
          <w:sz w:val="56"/>
          <w:szCs w:val="48"/>
        </w:rPr>
      </w:pPr>
    </w:p>
    <w:p w14:paraId="04450292">
      <w:pPr>
        <w:pageBreakBefore w:val="0"/>
        <w:kinsoku/>
        <w:wordWrap/>
        <w:overflowPunct/>
        <w:topLinePunct w:val="0"/>
        <w:bidi w:val="0"/>
        <w:spacing w:line="360" w:lineRule="auto"/>
        <w:jc w:val="center"/>
        <w:rPr>
          <w:rFonts w:ascii="黑体" w:eastAsia="黑体"/>
          <w:color w:val="000000"/>
          <w:sz w:val="28"/>
        </w:rPr>
      </w:pPr>
      <w:r>
        <w:rPr>
          <w:rFonts w:hint="eastAsia" w:ascii="黑体" w:eastAsia="黑体"/>
          <w:color w:val="000000"/>
          <w:sz w:val="28"/>
        </w:rPr>
        <w:t>招  标  人：中国重汽集团济南智能装备有限公司</w:t>
      </w:r>
    </w:p>
    <w:p w14:paraId="5F8BCBB6">
      <w:pPr>
        <w:pageBreakBefore w:val="0"/>
        <w:kinsoku/>
        <w:wordWrap/>
        <w:overflowPunct/>
        <w:topLinePunct w:val="0"/>
        <w:bidi w:val="0"/>
        <w:spacing w:line="360" w:lineRule="auto"/>
        <w:jc w:val="center"/>
        <w:rPr>
          <w:rFonts w:ascii="黑体" w:eastAsia="黑体"/>
          <w:sz w:val="28"/>
        </w:rPr>
      </w:pPr>
      <w:r>
        <w:rPr>
          <w:rFonts w:ascii="黑体" w:eastAsia="黑体"/>
          <w:sz w:val="28"/>
        </w:rPr>
        <w:t>202</w:t>
      </w:r>
      <w:r>
        <w:rPr>
          <w:rFonts w:hint="eastAsia" w:ascii="黑体" w:eastAsia="黑体"/>
          <w:sz w:val="28"/>
          <w:lang w:val="en-US" w:eastAsia="zh-CN"/>
        </w:rPr>
        <w:t>6</w:t>
      </w:r>
      <w:r>
        <w:rPr>
          <w:rFonts w:hint="eastAsia" w:ascii="黑体" w:eastAsia="黑体"/>
          <w:sz w:val="28"/>
        </w:rPr>
        <w:t>年</w:t>
      </w:r>
      <w:r>
        <w:rPr>
          <w:rFonts w:hint="eastAsia" w:ascii="黑体" w:eastAsia="黑体"/>
          <w:sz w:val="28"/>
          <w:lang w:val="en-US" w:eastAsia="zh-CN"/>
        </w:rPr>
        <w:t>06</w:t>
      </w:r>
      <w:r>
        <w:rPr>
          <w:rFonts w:hint="eastAsia" w:ascii="黑体" w:eastAsia="黑体"/>
          <w:sz w:val="28"/>
        </w:rPr>
        <w:t>月</w:t>
      </w:r>
    </w:p>
    <w:p w14:paraId="57B6463F">
      <w:pPr>
        <w:pageBreakBefore w:val="0"/>
        <w:kinsoku/>
        <w:wordWrap/>
        <w:overflowPunct/>
        <w:topLinePunct w:val="0"/>
        <w:bidi w:val="0"/>
        <w:spacing w:line="360" w:lineRule="auto"/>
        <w:jc w:val="center"/>
        <w:rPr>
          <w:rFonts w:hint="eastAsia" w:eastAsia="黑体"/>
          <w:b/>
          <w:bCs/>
          <w:sz w:val="28"/>
        </w:rPr>
      </w:pPr>
    </w:p>
    <w:p w14:paraId="7EA6656C">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黑体" w:hAnsi="黑体" w:eastAsia="黑体" w:cs="黑体"/>
          <w:sz w:val="36"/>
          <w:szCs w:val="36"/>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21FA6E4E">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14:paraId="1F4668F6">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一、项目名称</w:t>
      </w:r>
    </w:p>
    <w:p w14:paraId="673AA9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0" w:name="OLE_LINK1"/>
      <w:r>
        <w:rPr>
          <w:rFonts w:hint="eastAsia" w:ascii="宋体" w:hAnsi="宋体" w:eastAsia="宋体" w:cs="宋体"/>
          <w:sz w:val="24"/>
          <w:szCs w:val="24"/>
          <w:highlight w:val="none"/>
        </w:rPr>
        <w:t>项目名称：</w:t>
      </w:r>
      <w:bookmarkEnd w:id="0"/>
      <w:r>
        <w:rPr>
          <w:rFonts w:hint="eastAsia" w:ascii="宋体" w:hAnsi="宋体" w:eastAsia="宋体" w:cs="宋体"/>
          <w:sz w:val="24"/>
          <w:szCs w:val="24"/>
          <w:highlight w:val="none"/>
        </w:rPr>
        <w:t>济南商用车有限公司全新一代车型器具采购项目</w:t>
      </w:r>
    </w:p>
    <w:p w14:paraId="5B858B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项目编号：ZBGL2026060035</w:t>
      </w:r>
    </w:p>
    <w:p w14:paraId="11823DE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二、招标项目内容</w:t>
      </w:r>
    </w:p>
    <w:p w14:paraId="2DFF7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使用地点：中国重汽集团济南商用车有限公司。</w:t>
      </w:r>
    </w:p>
    <w:p w14:paraId="57D67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货物名称及货物数量（器具详细方案见技术</w:t>
      </w:r>
      <w:r>
        <w:rPr>
          <w:rFonts w:hint="eastAsia" w:ascii="宋体" w:hAnsi="宋体" w:cs="宋体"/>
          <w:sz w:val="24"/>
          <w:szCs w:val="24"/>
          <w:highlight w:val="none"/>
          <w:lang w:val="en-US" w:eastAsia="zh-CN"/>
        </w:rPr>
        <w:t>协议书</w:t>
      </w:r>
      <w:r>
        <w:rPr>
          <w:rFonts w:hint="eastAsia" w:ascii="宋体" w:hAnsi="宋体" w:eastAsia="宋体" w:cs="宋体"/>
          <w:sz w:val="24"/>
          <w:szCs w:val="24"/>
          <w:highlight w:val="none"/>
        </w:rPr>
        <w:t>）</w:t>
      </w:r>
      <w:bookmarkStart w:id="22" w:name="_GoBack"/>
      <w:bookmarkEnd w:id="22"/>
    </w:p>
    <w:p w14:paraId="612557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192"/>
        <w:gridCol w:w="1104"/>
        <w:gridCol w:w="1984"/>
      </w:tblGrid>
      <w:tr w14:paraId="0D0E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bottom"/>
          </w:tcPr>
          <w:p w14:paraId="0C8FDD39">
            <w:pPr>
              <w:pageBreakBefore w:val="0"/>
              <w:kinsoku/>
              <w:wordWrap/>
              <w:overflowPunct/>
              <w:topLinePunct w:val="0"/>
              <w:bidi w:val="0"/>
              <w:spacing w:line="360" w:lineRule="auto"/>
              <w:jc w:val="center"/>
              <w:rPr>
                <w:rFonts w:hint="eastAsia"/>
                <w:sz w:val="24"/>
                <w:szCs w:val="24"/>
              </w:rPr>
            </w:pPr>
            <w:r>
              <w:rPr>
                <w:rFonts w:hint="eastAsia"/>
                <w:sz w:val="24"/>
                <w:szCs w:val="24"/>
              </w:rPr>
              <w:t>序号</w:t>
            </w:r>
          </w:p>
        </w:tc>
        <w:tc>
          <w:tcPr>
            <w:tcW w:w="3192" w:type="dxa"/>
            <w:noWrap w:val="0"/>
            <w:vAlign w:val="center"/>
          </w:tcPr>
          <w:p w14:paraId="5FADBA1C">
            <w:pPr>
              <w:pageBreakBefore w:val="0"/>
              <w:kinsoku/>
              <w:wordWrap/>
              <w:overflowPunct/>
              <w:topLinePunct w:val="0"/>
              <w:bidi w:val="0"/>
              <w:spacing w:line="360" w:lineRule="auto"/>
              <w:jc w:val="center"/>
              <w:rPr>
                <w:rFonts w:hint="eastAsia"/>
                <w:sz w:val="24"/>
                <w:szCs w:val="24"/>
              </w:rPr>
            </w:pPr>
            <w:r>
              <w:rPr>
                <w:rFonts w:hint="eastAsia"/>
                <w:sz w:val="24"/>
                <w:szCs w:val="24"/>
              </w:rPr>
              <w:t>器具名称</w:t>
            </w:r>
          </w:p>
        </w:tc>
        <w:tc>
          <w:tcPr>
            <w:tcW w:w="1104" w:type="dxa"/>
            <w:noWrap w:val="0"/>
            <w:vAlign w:val="center"/>
          </w:tcPr>
          <w:p w14:paraId="60E766B1">
            <w:pPr>
              <w:pageBreakBefore w:val="0"/>
              <w:kinsoku/>
              <w:wordWrap/>
              <w:overflowPunct/>
              <w:topLinePunct w:val="0"/>
              <w:bidi w:val="0"/>
              <w:spacing w:line="360" w:lineRule="auto"/>
              <w:jc w:val="center"/>
              <w:rPr>
                <w:rFonts w:hint="eastAsia"/>
                <w:sz w:val="24"/>
                <w:szCs w:val="24"/>
              </w:rPr>
            </w:pPr>
            <w:r>
              <w:rPr>
                <w:rFonts w:hint="eastAsia"/>
                <w:sz w:val="24"/>
                <w:szCs w:val="24"/>
              </w:rPr>
              <w:t>数量</w:t>
            </w:r>
          </w:p>
        </w:tc>
        <w:tc>
          <w:tcPr>
            <w:tcW w:w="1984" w:type="dxa"/>
            <w:noWrap w:val="0"/>
            <w:vAlign w:val="center"/>
          </w:tcPr>
          <w:p w14:paraId="0D635076">
            <w:pPr>
              <w:pageBreakBefore w:val="0"/>
              <w:kinsoku/>
              <w:wordWrap/>
              <w:overflowPunct/>
              <w:topLinePunct w:val="0"/>
              <w:bidi w:val="0"/>
              <w:spacing w:line="360" w:lineRule="auto"/>
              <w:jc w:val="center"/>
              <w:rPr>
                <w:rFonts w:hint="eastAsia"/>
                <w:sz w:val="24"/>
                <w:szCs w:val="24"/>
              </w:rPr>
            </w:pPr>
            <w:r>
              <w:rPr>
                <w:rFonts w:hint="eastAsia"/>
                <w:sz w:val="24"/>
                <w:szCs w:val="24"/>
              </w:rPr>
              <w:t>备注</w:t>
            </w:r>
          </w:p>
        </w:tc>
      </w:tr>
      <w:tr w14:paraId="10F1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509ABA19">
            <w:pPr>
              <w:pageBreakBefore w:val="0"/>
              <w:kinsoku/>
              <w:wordWrap/>
              <w:overflowPunct/>
              <w:topLinePunct w:val="0"/>
              <w:bidi w:val="0"/>
              <w:spacing w:line="360" w:lineRule="auto"/>
              <w:jc w:val="center"/>
              <w:rPr>
                <w:rFonts w:hint="eastAsia"/>
              </w:rPr>
            </w:pPr>
            <w:r>
              <w:rPr>
                <w:rFonts w:hint="eastAsia"/>
              </w:rPr>
              <w:t>1</w:t>
            </w:r>
          </w:p>
        </w:tc>
        <w:tc>
          <w:tcPr>
            <w:tcW w:w="3192" w:type="dxa"/>
            <w:noWrap w:val="0"/>
            <w:vAlign w:val="center"/>
          </w:tcPr>
          <w:p w14:paraId="266F0B1D">
            <w:pPr>
              <w:pageBreakBefore w:val="0"/>
              <w:kinsoku/>
              <w:wordWrap/>
              <w:overflowPunct/>
              <w:topLinePunct w:val="0"/>
              <w:bidi w:val="0"/>
              <w:spacing w:line="360" w:lineRule="auto"/>
              <w:jc w:val="center"/>
              <w:rPr>
                <w:rFonts w:hint="eastAsia"/>
              </w:rPr>
            </w:pPr>
            <w:r>
              <w:rPr>
                <w:rFonts w:hint="eastAsia"/>
              </w:rPr>
              <w:t>挡板器具</w:t>
            </w:r>
          </w:p>
        </w:tc>
        <w:tc>
          <w:tcPr>
            <w:tcW w:w="1104" w:type="dxa"/>
            <w:noWrap w:val="0"/>
            <w:vAlign w:val="center"/>
          </w:tcPr>
          <w:p w14:paraId="49554E73">
            <w:pPr>
              <w:pageBreakBefore w:val="0"/>
              <w:kinsoku/>
              <w:wordWrap/>
              <w:overflowPunct/>
              <w:topLinePunct w:val="0"/>
              <w:bidi w:val="0"/>
              <w:spacing w:line="360" w:lineRule="auto"/>
              <w:jc w:val="center"/>
              <w:rPr>
                <w:rFonts w:hint="eastAsia"/>
              </w:rPr>
            </w:pPr>
            <w:r>
              <w:rPr>
                <w:rFonts w:hint="eastAsia"/>
              </w:rPr>
              <w:t>4</w:t>
            </w:r>
          </w:p>
        </w:tc>
        <w:tc>
          <w:tcPr>
            <w:tcW w:w="1984" w:type="dxa"/>
            <w:noWrap w:val="0"/>
            <w:vAlign w:val="center"/>
          </w:tcPr>
          <w:p w14:paraId="5F19236E">
            <w:pPr>
              <w:pageBreakBefore w:val="0"/>
              <w:kinsoku/>
              <w:wordWrap/>
              <w:overflowPunct/>
              <w:topLinePunct w:val="0"/>
              <w:bidi w:val="0"/>
              <w:spacing w:line="360" w:lineRule="auto"/>
              <w:jc w:val="center"/>
              <w:rPr>
                <w:rFonts w:hint="eastAsia"/>
              </w:rPr>
            </w:pPr>
            <w:r>
              <w:rPr>
                <w:rFonts w:hint="eastAsia"/>
              </w:rPr>
              <w:t>按图制作</w:t>
            </w:r>
          </w:p>
        </w:tc>
      </w:tr>
      <w:tr w14:paraId="219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68F36F6E">
            <w:pPr>
              <w:pageBreakBefore w:val="0"/>
              <w:kinsoku/>
              <w:wordWrap/>
              <w:overflowPunct/>
              <w:topLinePunct w:val="0"/>
              <w:bidi w:val="0"/>
              <w:spacing w:line="360" w:lineRule="auto"/>
              <w:jc w:val="center"/>
              <w:rPr>
                <w:rFonts w:hint="eastAsia"/>
              </w:rPr>
            </w:pPr>
            <w:r>
              <w:rPr>
                <w:rFonts w:hint="eastAsia"/>
              </w:rPr>
              <w:t>2</w:t>
            </w:r>
          </w:p>
        </w:tc>
        <w:tc>
          <w:tcPr>
            <w:tcW w:w="3192" w:type="dxa"/>
            <w:noWrap w:val="0"/>
            <w:vAlign w:val="center"/>
          </w:tcPr>
          <w:p w14:paraId="5027F6CC">
            <w:pPr>
              <w:pageBreakBefore w:val="0"/>
              <w:kinsoku/>
              <w:wordWrap/>
              <w:overflowPunct/>
              <w:topLinePunct w:val="0"/>
              <w:bidi w:val="0"/>
              <w:spacing w:line="360" w:lineRule="auto"/>
              <w:jc w:val="center"/>
              <w:rPr>
                <w:rFonts w:hint="eastAsia"/>
              </w:rPr>
            </w:pPr>
            <w:r>
              <w:rPr>
                <w:rFonts w:hint="eastAsia"/>
              </w:rPr>
              <w:t>后悬置上支架焊接总成器具</w:t>
            </w:r>
          </w:p>
        </w:tc>
        <w:tc>
          <w:tcPr>
            <w:tcW w:w="1104" w:type="dxa"/>
            <w:noWrap w:val="0"/>
            <w:vAlign w:val="center"/>
          </w:tcPr>
          <w:p w14:paraId="5C347C4E">
            <w:pPr>
              <w:pageBreakBefore w:val="0"/>
              <w:kinsoku/>
              <w:wordWrap/>
              <w:overflowPunct/>
              <w:topLinePunct w:val="0"/>
              <w:bidi w:val="0"/>
              <w:spacing w:line="360" w:lineRule="auto"/>
              <w:jc w:val="center"/>
              <w:rPr>
                <w:rFonts w:hint="eastAsia"/>
              </w:rPr>
            </w:pPr>
            <w:r>
              <w:rPr>
                <w:rFonts w:hint="eastAsia"/>
              </w:rPr>
              <w:t>4</w:t>
            </w:r>
          </w:p>
        </w:tc>
        <w:tc>
          <w:tcPr>
            <w:tcW w:w="1984" w:type="dxa"/>
            <w:noWrap w:val="0"/>
            <w:vAlign w:val="center"/>
          </w:tcPr>
          <w:p w14:paraId="2CE7B1A3">
            <w:pPr>
              <w:pageBreakBefore w:val="0"/>
              <w:kinsoku/>
              <w:wordWrap/>
              <w:overflowPunct/>
              <w:topLinePunct w:val="0"/>
              <w:bidi w:val="0"/>
              <w:spacing w:line="360" w:lineRule="auto"/>
              <w:jc w:val="center"/>
              <w:rPr>
                <w:rFonts w:hint="eastAsia"/>
              </w:rPr>
            </w:pPr>
            <w:r>
              <w:rPr>
                <w:rFonts w:hint="eastAsia"/>
              </w:rPr>
              <w:t>按图制作</w:t>
            </w:r>
          </w:p>
        </w:tc>
      </w:tr>
      <w:tr w14:paraId="12DE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2039BDFF">
            <w:pPr>
              <w:pageBreakBefore w:val="0"/>
              <w:kinsoku/>
              <w:wordWrap/>
              <w:overflowPunct/>
              <w:topLinePunct w:val="0"/>
              <w:bidi w:val="0"/>
              <w:spacing w:line="360" w:lineRule="auto"/>
              <w:jc w:val="center"/>
              <w:rPr>
                <w:rFonts w:hint="eastAsia"/>
              </w:rPr>
            </w:pPr>
            <w:r>
              <w:rPr>
                <w:rFonts w:hint="eastAsia"/>
              </w:rPr>
              <w:t>3</w:t>
            </w:r>
          </w:p>
        </w:tc>
        <w:tc>
          <w:tcPr>
            <w:tcW w:w="3192" w:type="dxa"/>
            <w:noWrap w:val="0"/>
            <w:vAlign w:val="center"/>
          </w:tcPr>
          <w:p w14:paraId="7E331ABB">
            <w:pPr>
              <w:pageBreakBefore w:val="0"/>
              <w:kinsoku/>
              <w:wordWrap/>
              <w:overflowPunct/>
              <w:topLinePunct w:val="0"/>
              <w:bidi w:val="0"/>
              <w:spacing w:line="360" w:lineRule="auto"/>
              <w:jc w:val="center"/>
              <w:rPr>
                <w:rFonts w:hint="eastAsia"/>
              </w:rPr>
            </w:pPr>
            <w:r>
              <w:rPr>
                <w:rFonts w:hint="eastAsia"/>
              </w:rPr>
              <w:t>仪表台管梁总成器具</w:t>
            </w:r>
          </w:p>
        </w:tc>
        <w:tc>
          <w:tcPr>
            <w:tcW w:w="1104" w:type="dxa"/>
            <w:noWrap w:val="0"/>
            <w:vAlign w:val="center"/>
          </w:tcPr>
          <w:p w14:paraId="31C31CB8">
            <w:pPr>
              <w:pageBreakBefore w:val="0"/>
              <w:kinsoku/>
              <w:wordWrap/>
              <w:overflowPunct/>
              <w:topLinePunct w:val="0"/>
              <w:bidi w:val="0"/>
              <w:spacing w:line="360" w:lineRule="auto"/>
              <w:jc w:val="center"/>
              <w:rPr>
                <w:rFonts w:hint="eastAsia"/>
              </w:rPr>
            </w:pPr>
            <w:r>
              <w:rPr>
                <w:rFonts w:hint="eastAsia"/>
              </w:rPr>
              <w:t>8</w:t>
            </w:r>
          </w:p>
        </w:tc>
        <w:tc>
          <w:tcPr>
            <w:tcW w:w="1984" w:type="dxa"/>
            <w:noWrap w:val="0"/>
            <w:vAlign w:val="center"/>
          </w:tcPr>
          <w:p w14:paraId="4E845EB8">
            <w:pPr>
              <w:pageBreakBefore w:val="0"/>
              <w:kinsoku/>
              <w:wordWrap/>
              <w:overflowPunct/>
              <w:topLinePunct w:val="0"/>
              <w:bidi w:val="0"/>
              <w:spacing w:line="360" w:lineRule="auto"/>
              <w:jc w:val="center"/>
              <w:rPr>
                <w:rFonts w:hint="eastAsia"/>
              </w:rPr>
            </w:pPr>
            <w:r>
              <w:rPr>
                <w:rFonts w:hint="eastAsia"/>
              </w:rPr>
              <w:t>按图制作</w:t>
            </w:r>
          </w:p>
        </w:tc>
      </w:tr>
      <w:tr w14:paraId="537A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3658E2D8">
            <w:pPr>
              <w:pageBreakBefore w:val="0"/>
              <w:kinsoku/>
              <w:wordWrap/>
              <w:overflowPunct/>
              <w:topLinePunct w:val="0"/>
              <w:bidi w:val="0"/>
              <w:spacing w:line="360" w:lineRule="auto"/>
              <w:jc w:val="center"/>
              <w:rPr>
                <w:rFonts w:hint="eastAsia"/>
              </w:rPr>
            </w:pPr>
            <w:r>
              <w:rPr>
                <w:rFonts w:hint="eastAsia"/>
              </w:rPr>
              <w:t>4</w:t>
            </w:r>
          </w:p>
        </w:tc>
        <w:tc>
          <w:tcPr>
            <w:tcW w:w="3192" w:type="dxa"/>
            <w:noWrap w:val="0"/>
            <w:vAlign w:val="center"/>
          </w:tcPr>
          <w:p w14:paraId="6562FD60">
            <w:pPr>
              <w:pageBreakBefore w:val="0"/>
              <w:kinsoku/>
              <w:wordWrap/>
              <w:overflowPunct/>
              <w:topLinePunct w:val="0"/>
              <w:bidi w:val="0"/>
              <w:spacing w:line="360" w:lineRule="auto"/>
              <w:jc w:val="center"/>
              <w:rPr>
                <w:rFonts w:hint="eastAsia"/>
              </w:rPr>
            </w:pPr>
            <w:r>
              <w:rPr>
                <w:rFonts w:hint="eastAsia"/>
              </w:rPr>
              <w:t>翼子板前段支架器具</w:t>
            </w:r>
          </w:p>
        </w:tc>
        <w:tc>
          <w:tcPr>
            <w:tcW w:w="1104" w:type="dxa"/>
            <w:noWrap w:val="0"/>
            <w:vAlign w:val="center"/>
          </w:tcPr>
          <w:p w14:paraId="46CFD9B9">
            <w:pPr>
              <w:pageBreakBefore w:val="0"/>
              <w:kinsoku/>
              <w:wordWrap/>
              <w:overflowPunct/>
              <w:topLinePunct w:val="0"/>
              <w:bidi w:val="0"/>
              <w:spacing w:line="360" w:lineRule="auto"/>
              <w:jc w:val="center"/>
              <w:rPr>
                <w:rFonts w:hint="eastAsia"/>
              </w:rPr>
            </w:pPr>
            <w:r>
              <w:rPr>
                <w:rFonts w:hint="eastAsia"/>
              </w:rPr>
              <w:t>9</w:t>
            </w:r>
          </w:p>
        </w:tc>
        <w:tc>
          <w:tcPr>
            <w:tcW w:w="1984" w:type="dxa"/>
            <w:noWrap w:val="0"/>
            <w:vAlign w:val="center"/>
          </w:tcPr>
          <w:p w14:paraId="23F9C037">
            <w:pPr>
              <w:pageBreakBefore w:val="0"/>
              <w:kinsoku/>
              <w:wordWrap/>
              <w:overflowPunct/>
              <w:topLinePunct w:val="0"/>
              <w:bidi w:val="0"/>
              <w:spacing w:line="360" w:lineRule="auto"/>
              <w:jc w:val="center"/>
              <w:rPr>
                <w:rFonts w:hint="eastAsia"/>
              </w:rPr>
            </w:pPr>
            <w:r>
              <w:rPr>
                <w:rFonts w:hint="eastAsia"/>
              </w:rPr>
              <w:t>按图制作</w:t>
            </w:r>
          </w:p>
        </w:tc>
      </w:tr>
      <w:tr w14:paraId="0C3D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3DD8720F">
            <w:pPr>
              <w:pageBreakBefore w:val="0"/>
              <w:kinsoku/>
              <w:wordWrap/>
              <w:overflowPunct/>
              <w:topLinePunct w:val="0"/>
              <w:bidi w:val="0"/>
              <w:spacing w:line="360" w:lineRule="auto"/>
              <w:jc w:val="center"/>
              <w:rPr>
                <w:rFonts w:hint="eastAsia"/>
              </w:rPr>
            </w:pPr>
            <w:r>
              <w:rPr>
                <w:rFonts w:hint="eastAsia"/>
              </w:rPr>
              <w:t>5</w:t>
            </w:r>
          </w:p>
        </w:tc>
        <w:tc>
          <w:tcPr>
            <w:tcW w:w="3192" w:type="dxa"/>
            <w:noWrap w:val="0"/>
            <w:vAlign w:val="center"/>
          </w:tcPr>
          <w:p w14:paraId="3838EBFF">
            <w:pPr>
              <w:pageBreakBefore w:val="0"/>
              <w:kinsoku/>
              <w:wordWrap/>
              <w:overflowPunct/>
              <w:topLinePunct w:val="0"/>
              <w:bidi w:val="0"/>
              <w:spacing w:line="360" w:lineRule="auto"/>
              <w:jc w:val="center"/>
              <w:rPr>
                <w:rFonts w:hint="eastAsia"/>
              </w:rPr>
            </w:pPr>
            <w:r>
              <w:rPr>
                <w:rFonts w:hint="eastAsia"/>
              </w:rPr>
              <w:t>前悬上支架器具</w:t>
            </w:r>
          </w:p>
        </w:tc>
        <w:tc>
          <w:tcPr>
            <w:tcW w:w="1104" w:type="dxa"/>
            <w:noWrap w:val="0"/>
            <w:vAlign w:val="center"/>
          </w:tcPr>
          <w:p w14:paraId="4016B386">
            <w:pPr>
              <w:pageBreakBefore w:val="0"/>
              <w:kinsoku/>
              <w:wordWrap/>
              <w:overflowPunct/>
              <w:topLinePunct w:val="0"/>
              <w:bidi w:val="0"/>
              <w:spacing w:line="360" w:lineRule="auto"/>
              <w:jc w:val="center"/>
              <w:rPr>
                <w:rFonts w:hint="eastAsia"/>
              </w:rPr>
            </w:pPr>
            <w:r>
              <w:rPr>
                <w:rFonts w:hint="eastAsia"/>
              </w:rPr>
              <w:t>12</w:t>
            </w:r>
          </w:p>
        </w:tc>
        <w:tc>
          <w:tcPr>
            <w:tcW w:w="1984" w:type="dxa"/>
            <w:noWrap w:val="0"/>
            <w:vAlign w:val="center"/>
          </w:tcPr>
          <w:p w14:paraId="1B0558E0">
            <w:pPr>
              <w:pageBreakBefore w:val="0"/>
              <w:kinsoku/>
              <w:wordWrap/>
              <w:overflowPunct/>
              <w:topLinePunct w:val="0"/>
              <w:bidi w:val="0"/>
              <w:spacing w:line="360" w:lineRule="auto"/>
              <w:jc w:val="center"/>
              <w:rPr>
                <w:rFonts w:hint="eastAsia"/>
              </w:rPr>
            </w:pPr>
            <w:r>
              <w:rPr>
                <w:rFonts w:hint="eastAsia"/>
              </w:rPr>
              <w:t>按图制作</w:t>
            </w:r>
          </w:p>
        </w:tc>
      </w:tr>
      <w:tr w14:paraId="32E1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18D63C22">
            <w:pPr>
              <w:pageBreakBefore w:val="0"/>
              <w:kinsoku/>
              <w:wordWrap/>
              <w:overflowPunct/>
              <w:topLinePunct w:val="0"/>
              <w:bidi w:val="0"/>
              <w:spacing w:line="360" w:lineRule="auto"/>
              <w:jc w:val="center"/>
              <w:rPr>
                <w:rFonts w:hint="eastAsia"/>
              </w:rPr>
            </w:pPr>
            <w:r>
              <w:rPr>
                <w:rFonts w:hint="eastAsia"/>
              </w:rPr>
              <w:t>6</w:t>
            </w:r>
          </w:p>
        </w:tc>
        <w:tc>
          <w:tcPr>
            <w:tcW w:w="3192" w:type="dxa"/>
            <w:noWrap w:val="0"/>
            <w:vAlign w:val="center"/>
          </w:tcPr>
          <w:p w14:paraId="75E6E00A">
            <w:pPr>
              <w:pageBreakBefore w:val="0"/>
              <w:kinsoku/>
              <w:wordWrap/>
              <w:overflowPunct/>
              <w:topLinePunct w:val="0"/>
              <w:bidi w:val="0"/>
              <w:spacing w:line="360" w:lineRule="auto"/>
              <w:jc w:val="center"/>
              <w:rPr>
                <w:rFonts w:hint="eastAsia"/>
              </w:rPr>
            </w:pPr>
            <w:r>
              <w:rPr>
                <w:rFonts w:hint="eastAsia"/>
              </w:rPr>
              <w:t>侧导流支架器具</w:t>
            </w:r>
          </w:p>
        </w:tc>
        <w:tc>
          <w:tcPr>
            <w:tcW w:w="1104" w:type="dxa"/>
            <w:noWrap w:val="0"/>
            <w:vAlign w:val="center"/>
          </w:tcPr>
          <w:p w14:paraId="519367A7">
            <w:pPr>
              <w:pageBreakBefore w:val="0"/>
              <w:kinsoku/>
              <w:wordWrap/>
              <w:overflowPunct/>
              <w:topLinePunct w:val="0"/>
              <w:bidi w:val="0"/>
              <w:spacing w:line="360" w:lineRule="auto"/>
              <w:jc w:val="center"/>
              <w:rPr>
                <w:rFonts w:hint="eastAsia"/>
              </w:rPr>
            </w:pPr>
            <w:r>
              <w:rPr>
                <w:rFonts w:hint="eastAsia"/>
              </w:rPr>
              <w:t>4</w:t>
            </w:r>
          </w:p>
        </w:tc>
        <w:tc>
          <w:tcPr>
            <w:tcW w:w="1984" w:type="dxa"/>
            <w:noWrap w:val="0"/>
            <w:vAlign w:val="center"/>
          </w:tcPr>
          <w:p w14:paraId="5B512BE7">
            <w:pPr>
              <w:pageBreakBefore w:val="0"/>
              <w:kinsoku/>
              <w:wordWrap/>
              <w:overflowPunct/>
              <w:topLinePunct w:val="0"/>
              <w:bidi w:val="0"/>
              <w:spacing w:line="360" w:lineRule="auto"/>
              <w:jc w:val="center"/>
              <w:rPr>
                <w:rFonts w:hint="eastAsia"/>
              </w:rPr>
            </w:pPr>
            <w:r>
              <w:rPr>
                <w:rFonts w:hint="eastAsia"/>
              </w:rPr>
              <w:t>按图制作</w:t>
            </w:r>
          </w:p>
        </w:tc>
      </w:tr>
      <w:tr w14:paraId="19CC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604D32ED">
            <w:pPr>
              <w:pageBreakBefore w:val="0"/>
              <w:kinsoku/>
              <w:wordWrap/>
              <w:overflowPunct/>
              <w:topLinePunct w:val="0"/>
              <w:bidi w:val="0"/>
              <w:spacing w:line="360" w:lineRule="auto"/>
              <w:jc w:val="center"/>
              <w:rPr>
                <w:rFonts w:hint="eastAsia"/>
              </w:rPr>
            </w:pPr>
            <w:r>
              <w:rPr>
                <w:rFonts w:hint="eastAsia"/>
              </w:rPr>
              <w:t>7</w:t>
            </w:r>
          </w:p>
        </w:tc>
        <w:tc>
          <w:tcPr>
            <w:tcW w:w="3192" w:type="dxa"/>
            <w:noWrap w:val="0"/>
            <w:vAlign w:val="center"/>
          </w:tcPr>
          <w:p w14:paraId="770A3BAF">
            <w:pPr>
              <w:pageBreakBefore w:val="0"/>
              <w:kinsoku/>
              <w:wordWrap/>
              <w:overflowPunct/>
              <w:topLinePunct w:val="0"/>
              <w:bidi w:val="0"/>
              <w:spacing w:line="360" w:lineRule="auto"/>
              <w:jc w:val="center"/>
              <w:rPr>
                <w:rFonts w:hint="eastAsia"/>
              </w:rPr>
            </w:pPr>
            <w:r>
              <w:rPr>
                <w:rFonts w:hint="eastAsia"/>
              </w:rPr>
              <w:t>新一代工具箱盖总成器具</w:t>
            </w:r>
          </w:p>
        </w:tc>
        <w:tc>
          <w:tcPr>
            <w:tcW w:w="1104" w:type="dxa"/>
            <w:noWrap w:val="0"/>
            <w:vAlign w:val="center"/>
          </w:tcPr>
          <w:p w14:paraId="65171CB4">
            <w:pPr>
              <w:pageBreakBefore w:val="0"/>
              <w:kinsoku/>
              <w:wordWrap/>
              <w:overflowPunct/>
              <w:topLinePunct w:val="0"/>
              <w:bidi w:val="0"/>
              <w:spacing w:line="360" w:lineRule="auto"/>
              <w:jc w:val="center"/>
              <w:rPr>
                <w:rFonts w:hint="eastAsia"/>
              </w:rPr>
            </w:pPr>
            <w:r>
              <w:rPr>
                <w:rFonts w:hint="eastAsia"/>
              </w:rPr>
              <w:t>10</w:t>
            </w:r>
          </w:p>
        </w:tc>
        <w:tc>
          <w:tcPr>
            <w:tcW w:w="1984" w:type="dxa"/>
            <w:noWrap w:val="0"/>
            <w:vAlign w:val="center"/>
          </w:tcPr>
          <w:p w14:paraId="0D164FEE">
            <w:pPr>
              <w:pageBreakBefore w:val="0"/>
              <w:kinsoku/>
              <w:wordWrap/>
              <w:overflowPunct/>
              <w:topLinePunct w:val="0"/>
              <w:bidi w:val="0"/>
              <w:spacing w:line="360" w:lineRule="auto"/>
              <w:jc w:val="center"/>
              <w:rPr>
                <w:rFonts w:hint="eastAsia"/>
              </w:rPr>
            </w:pPr>
            <w:r>
              <w:rPr>
                <w:rFonts w:hint="eastAsia"/>
              </w:rPr>
              <w:t>按图制作</w:t>
            </w:r>
          </w:p>
        </w:tc>
      </w:tr>
      <w:tr w14:paraId="5594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12F786DE">
            <w:pPr>
              <w:pageBreakBefore w:val="0"/>
              <w:kinsoku/>
              <w:wordWrap/>
              <w:overflowPunct/>
              <w:topLinePunct w:val="0"/>
              <w:bidi w:val="0"/>
              <w:spacing w:line="360" w:lineRule="auto"/>
              <w:jc w:val="center"/>
              <w:rPr>
                <w:rFonts w:hint="eastAsia"/>
              </w:rPr>
            </w:pPr>
            <w:r>
              <w:rPr>
                <w:rFonts w:hint="eastAsia"/>
              </w:rPr>
              <w:t>8</w:t>
            </w:r>
          </w:p>
        </w:tc>
        <w:tc>
          <w:tcPr>
            <w:tcW w:w="3192" w:type="dxa"/>
            <w:noWrap w:val="0"/>
            <w:vAlign w:val="center"/>
          </w:tcPr>
          <w:p w14:paraId="5EDC8EAB">
            <w:pPr>
              <w:pageBreakBefore w:val="0"/>
              <w:kinsoku/>
              <w:wordWrap/>
              <w:overflowPunct/>
              <w:topLinePunct w:val="0"/>
              <w:bidi w:val="0"/>
              <w:spacing w:line="360" w:lineRule="auto"/>
              <w:jc w:val="center"/>
              <w:rPr>
                <w:rFonts w:hint="eastAsia"/>
              </w:rPr>
            </w:pPr>
            <w:r>
              <w:rPr>
                <w:rFonts w:hint="eastAsia"/>
              </w:rPr>
              <w:t>新一代驾驶室总成器具</w:t>
            </w:r>
          </w:p>
        </w:tc>
        <w:tc>
          <w:tcPr>
            <w:tcW w:w="1104" w:type="dxa"/>
            <w:noWrap w:val="0"/>
            <w:vAlign w:val="center"/>
          </w:tcPr>
          <w:p w14:paraId="64B9405D">
            <w:pPr>
              <w:pageBreakBefore w:val="0"/>
              <w:kinsoku/>
              <w:wordWrap/>
              <w:overflowPunct/>
              <w:topLinePunct w:val="0"/>
              <w:bidi w:val="0"/>
              <w:spacing w:line="360" w:lineRule="auto"/>
              <w:jc w:val="center"/>
              <w:rPr>
                <w:rFonts w:hint="eastAsia"/>
              </w:rPr>
            </w:pPr>
            <w:r>
              <w:rPr>
                <w:rFonts w:hint="eastAsia"/>
              </w:rPr>
              <w:t>50</w:t>
            </w:r>
          </w:p>
        </w:tc>
        <w:tc>
          <w:tcPr>
            <w:tcW w:w="1984" w:type="dxa"/>
            <w:noWrap w:val="0"/>
            <w:vAlign w:val="center"/>
          </w:tcPr>
          <w:p w14:paraId="5E65F476">
            <w:pPr>
              <w:pageBreakBefore w:val="0"/>
              <w:kinsoku/>
              <w:wordWrap/>
              <w:overflowPunct/>
              <w:topLinePunct w:val="0"/>
              <w:bidi w:val="0"/>
              <w:spacing w:line="360" w:lineRule="auto"/>
              <w:jc w:val="center"/>
              <w:rPr>
                <w:rFonts w:hint="eastAsia"/>
              </w:rPr>
            </w:pPr>
            <w:r>
              <w:rPr>
                <w:rFonts w:hint="eastAsia"/>
              </w:rPr>
              <w:t>按图制作</w:t>
            </w:r>
          </w:p>
        </w:tc>
      </w:tr>
      <w:tr w14:paraId="4124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64C3270B">
            <w:pPr>
              <w:pageBreakBefore w:val="0"/>
              <w:kinsoku/>
              <w:wordWrap/>
              <w:overflowPunct/>
              <w:topLinePunct w:val="0"/>
              <w:bidi w:val="0"/>
              <w:spacing w:line="360" w:lineRule="auto"/>
              <w:jc w:val="center"/>
              <w:rPr>
                <w:rFonts w:hint="eastAsia"/>
              </w:rPr>
            </w:pPr>
            <w:r>
              <w:rPr>
                <w:rFonts w:hint="eastAsia"/>
              </w:rPr>
              <w:t>9</w:t>
            </w:r>
          </w:p>
        </w:tc>
        <w:tc>
          <w:tcPr>
            <w:tcW w:w="3192" w:type="dxa"/>
            <w:noWrap w:val="0"/>
            <w:vAlign w:val="center"/>
          </w:tcPr>
          <w:p w14:paraId="47110492">
            <w:pPr>
              <w:pageBreakBefore w:val="0"/>
              <w:kinsoku/>
              <w:wordWrap/>
              <w:overflowPunct/>
              <w:topLinePunct w:val="0"/>
              <w:bidi w:val="0"/>
              <w:spacing w:line="360" w:lineRule="auto"/>
              <w:jc w:val="center"/>
              <w:rPr>
                <w:rFonts w:hint="eastAsia"/>
              </w:rPr>
            </w:pPr>
            <w:r>
              <w:rPr>
                <w:rFonts w:hint="eastAsia"/>
              </w:rPr>
              <w:t>座椅横梁器具</w:t>
            </w:r>
          </w:p>
        </w:tc>
        <w:tc>
          <w:tcPr>
            <w:tcW w:w="1104" w:type="dxa"/>
            <w:noWrap w:val="0"/>
            <w:vAlign w:val="center"/>
          </w:tcPr>
          <w:p w14:paraId="5AE16599">
            <w:pPr>
              <w:pageBreakBefore w:val="0"/>
              <w:kinsoku/>
              <w:wordWrap/>
              <w:overflowPunct/>
              <w:topLinePunct w:val="0"/>
              <w:bidi w:val="0"/>
              <w:spacing w:line="360" w:lineRule="auto"/>
              <w:jc w:val="center"/>
              <w:rPr>
                <w:rFonts w:hint="eastAsia"/>
              </w:rPr>
            </w:pPr>
            <w:r>
              <w:rPr>
                <w:rFonts w:hint="eastAsia"/>
              </w:rPr>
              <w:t>16</w:t>
            </w:r>
          </w:p>
        </w:tc>
        <w:tc>
          <w:tcPr>
            <w:tcW w:w="1984" w:type="dxa"/>
            <w:noWrap w:val="0"/>
            <w:vAlign w:val="center"/>
          </w:tcPr>
          <w:p w14:paraId="0CA9D06B">
            <w:pPr>
              <w:pageBreakBefore w:val="0"/>
              <w:kinsoku/>
              <w:wordWrap/>
              <w:overflowPunct/>
              <w:topLinePunct w:val="0"/>
              <w:bidi w:val="0"/>
              <w:spacing w:line="360" w:lineRule="auto"/>
              <w:jc w:val="center"/>
              <w:rPr>
                <w:rFonts w:hint="eastAsia"/>
              </w:rPr>
            </w:pPr>
            <w:r>
              <w:rPr>
                <w:rFonts w:hint="eastAsia"/>
              </w:rPr>
              <w:t>按图制作</w:t>
            </w:r>
          </w:p>
        </w:tc>
      </w:tr>
      <w:tr w14:paraId="0E09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715750D3">
            <w:pPr>
              <w:pageBreakBefore w:val="0"/>
              <w:kinsoku/>
              <w:wordWrap/>
              <w:overflowPunct/>
              <w:topLinePunct w:val="0"/>
              <w:bidi w:val="0"/>
              <w:spacing w:line="360" w:lineRule="auto"/>
              <w:jc w:val="center"/>
              <w:rPr>
                <w:rFonts w:hint="eastAsia"/>
              </w:rPr>
            </w:pPr>
            <w:r>
              <w:rPr>
                <w:rFonts w:hint="eastAsia"/>
              </w:rPr>
              <w:t>10</w:t>
            </w:r>
          </w:p>
        </w:tc>
        <w:tc>
          <w:tcPr>
            <w:tcW w:w="3192" w:type="dxa"/>
            <w:noWrap w:val="0"/>
            <w:vAlign w:val="center"/>
          </w:tcPr>
          <w:p w14:paraId="367866C0">
            <w:pPr>
              <w:pageBreakBefore w:val="0"/>
              <w:kinsoku/>
              <w:wordWrap/>
              <w:overflowPunct/>
              <w:topLinePunct w:val="0"/>
              <w:bidi w:val="0"/>
              <w:spacing w:line="360" w:lineRule="auto"/>
              <w:jc w:val="center"/>
              <w:rPr>
                <w:rFonts w:hint="eastAsia"/>
              </w:rPr>
            </w:pPr>
            <w:r>
              <w:rPr>
                <w:rFonts w:hint="eastAsia"/>
              </w:rPr>
              <w:t>前围模块外板器具</w:t>
            </w:r>
          </w:p>
        </w:tc>
        <w:tc>
          <w:tcPr>
            <w:tcW w:w="1104" w:type="dxa"/>
            <w:noWrap w:val="0"/>
            <w:vAlign w:val="center"/>
          </w:tcPr>
          <w:p w14:paraId="7C625001">
            <w:pPr>
              <w:pageBreakBefore w:val="0"/>
              <w:kinsoku/>
              <w:wordWrap/>
              <w:overflowPunct/>
              <w:topLinePunct w:val="0"/>
              <w:bidi w:val="0"/>
              <w:spacing w:line="360" w:lineRule="auto"/>
              <w:jc w:val="center"/>
              <w:rPr>
                <w:rFonts w:hint="eastAsia"/>
              </w:rPr>
            </w:pPr>
            <w:r>
              <w:rPr>
                <w:rFonts w:hint="eastAsia"/>
              </w:rPr>
              <w:t>16</w:t>
            </w:r>
          </w:p>
        </w:tc>
        <w:tc>
          <w:tcPr>
            <w:tcW w:w="1984" w:type="dxa"/>
            <w:noWrap w:val="0"/>
            <w:vAlign w:val="center"/>
          </w:tcPr>
          <w:p w14:paraId="4A3EB292">
            <w:pPr>
              <w:pageBreakBefore w:val="0"/>
              <w:kinsoku/>
              <w:wordWrap/>
              <w:overflowPunct/>
              <w:topLinePunct w:val="0"/>
              <w:bidi w:val="0"/>
              <w:spacing w:line="360" w:lineRule="auto"/>
              <w:jc w:val="center"/>
              <w:rPr>
                <w:rFonts w:hint="eastAsia"/>
              </w:rPr>
            </w:pPr>
            <w:r>
              <w:rPr>
                <w:rFonts w:hint="eastAsia"/>
              </w:rPr>
              <w:t>按图制作</w:t>
            </w:r>
          </w:p>
        </w:tc>
      </w:tr>
      <w:tr w14:paraId="7712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564D9F54">
            <w:pPr>
              <w:pageBreakBefore w:val="0"/>
              <w:kinsoku/>
              <w:wordWrap/>
              <w:overflowPunct/>
              <w:topLinePunct w:val="0"/>
              <w:bidi w:val="0"/>
              <w:spacing w:line="360" w:lineRule="auto"/>
              <w:jc w:val="center"/>
              <w:rPr>
                <w:rFonts w:hint="eastAsia"/>
              </w:rPr>
            </w:pPr>
            <w:r>
              <w:rPr>
                <w:rFonts w:hint="eastAsia"/>
              </w:rPr>
              <w:t>11</w:t>
            </w:r>
          </w:p>
        </w:tc>
        <w:tc>
          <w:tcPr>
            <w:tcW w:w="3192" w:type="dxa"/>
            <w:noWrap w:val="0"/>
            <w:vAlign w:val="center"/>
          </w:tcPr>
          <w:p w14:paraId="342BFF8E">
            <w:pPr>
              <w:pageBreakBefore w:val="0"/>
              <w:kinsoku/>
              <w:wordWrap/>
              <w:overflowPunct/>
              <w:topLinePunct w:val="0"/>
              <w:bidi w:val="0"/>
              <w:spacing w:line="360" w:lineRule="auto"/>
              <w:jc w:val="center"/>
              <w:rPr>
                <w:rFonts w:hint="eastAsia"/>
              </w:rPr>
            </w:pPr>
            <w:r>
              <w:rPr>
                <w:rFonts w:hint="eastAsia"/>
              </w:rPr>
              <w:t>前围模块内板器具</w:t>
            </w:r>
          </w:p>
        </w:tc>
        <w:tc>
          <w:tcPr>
            <w:tcW w:w="1104" w:type="dxa"/>
            <w:noWrap w:val="0"/>
            <w:vAlign w:val="center"/>
          </w:tcPr>
          <w:p w14:paraId="6EE7B8FC">
            <w:pPr>
              <w:pageBreakBefore w:val="0"/>
              <w:kinsoku/>
              <w:wordWrap/>
              <w:overflowPunct/>
              <w:topLinePunct w:val="0"/>
              <w:bidi w:val="0"/>
              <w:spacing w:line="360" w:lineRule="auto"/>
              <w:jc w:val="center"/>
              <w:rPr>
                <w:rFonts w:hint="eastAsia"/>
              </w:rPr>
            </w:pPr>
            <w:r>
              <w:rPr>
                <w:rFonts w:hint="eastAsia"/>
              </w:rPr>
              <w:t>16</w:t>
            </w:r>
          </w:p>
        </w:tc>
        <w:tc>
          <w:tcPr>
            <w:tcW w:w="1984" w:type="dxa"/>
            <w:noWrap w:val="0"/>
            <w:vAlign w:val="center"/>
          </w:tcPr>
          <w:p w14:paraId="6D370D19">
            <w:pPr>
              <w:pageBreakBefore w:val="0"/>
              <w:kinsoku/>
              <w:wordWrap/>
              <w:overflowPunct/>
              <w:topLinePunct w:val="0"/>
              <w:bidi w:val="0"/>
              <w:spacing w:line="360" w:lineRule="auto"/>
              <w:jc w:val="center"/>
              <w:rPr>
                <w:rFonts w:hint="eastAsia"/>
              </w:rPr>
            </w:pPr>
            <w:r>
              <w:rPr>
                <w:rFonts w:hint="eastAsia"/>
              </w:rPr>
              <w:t>按图制作</w:t>
            </w:r>
          </w:p>
        </w:tc>
      </w:tr>
      <w:tr w14:paraId="3ECD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38B0A810">
            <w:pPr>
              <w:pageBreakBefore w:val="0"/>
              <w:kinsoku/>
              <w:wordWrap/>
              <w:overflowPunct/>
              <w:topLinePunct w:val="0"/>
              <w:bidi w:val="0"/>
              <w:spacing w:line="360" w:lineRule="auto"/>
              <w:jc w:val="center"/>
              <w:rPr>
                <w:rFonts w:hint="eastAsia"/>
              </w:rPr>
            </w:pPr>
            <w:r>
              <w:rPr>
                <w:rFonts w:hint="eastAsia"/>
              </w:rPr>
              <w:t>12</w:t>
            </w:r>
          </w:p>
        </w:tc>
        <w:tc>
          <w:tcPr>
            <w:tcW w:w="3192" w:type="dxa"/>
            <w:noWrap w:val="0"/>
            <w:vAlign w:val="center"/>
          </w:tcPr>
          <w:p w14:paraId="160BF13A">
            <w:pPr>
              <w:pageBreakBefore w:val="0"/>
              <w:kinsoku/>
              <w:wordWrap/>
              <w:overflowPunct/>
              <w:topLinePunct w:val="0"/>
              <w:bidi w:val="0"/>
              <w:spacing w:line="360" w:lineRule="auto"/>
              <w:jc w:val="center"/>
              <w:rPr>
                <w:rFonts w:hint="eastAsia"/>
              </w:rPr>
            </w:pPr>
            <w:r>
              <w:rPr>
                <w:rFonts w:hint="eastAsia"/>
              </w:rPr>
              <w:t>前围外板器具</w:t>
            </w:r>
          </w:p>
        </w:tc>
        <w:tc>
          <w:tcPr>
            <w:tcW w:w="1104" w:type="dxa"/>
            <w:noWrap w:val="0"/>
            <w:vAlign w:val="center"/>
          </w:tcPr>
          <w:p w14:paraId="491D22F3">
            <w:pPr>
              <w:pageBreakBefore w:val="0"/>
              <w:kinsoku/>
              <w:wordWrap/>
              <w:overflowPunct/>
              <w:topLinePunct w:val="0"/>
              <w:bidi w:val="0"/>
              <w:spacing w:line="360" w:lineRule="auto"/>
              <w:jc w:val="center"/>
              <w:rPr>
                <w:rFonts w:hint="eastAsia"/>
              </w:rPr>
            </w:pPr>
            <w:r>
              <w:rPr>
                <w:rFonts w:hint="eastAsia"/>
              </w:rPr>
              <w:t>10</w:t>
            </w:r>
          </w:p>
        </w:tc>
        <w:tc>
          <w:tcPr>
            <w:tcW w:w="1984" w:type="dxa"/>
            <w:noWrap w:val="0"/>
            <w:vAlign w:val="center"/>
          </w:tcPr>
          <w:p w14:paraId="6884ABDC">
            <w:pPr>
              <w:pageBreakBefore w:val="0"/>
              <w:kinsoku/>
              <w:wordWrap/>
              <w:overflowPunct/>
              <w:topLinePunct w:val="0"/>
              <w:bidi w:val="0"/>
              <w:spacing w:line="360" w:lineRule="auto"/>
              <w:jc w:val="center"/>
              <w:rPr>
                <w:rFonts w:hint="eastAsia"/>
              </w:rPr>
            </w:pPr>
            <w:r>
              <w:rPr>
                <w:rFonts w:hint="eastAsia"/>
              </w:rPr>
              <w:t>按图制作</w:t>
            </w:r>
          </w:p>
        </w:tc>
      </w:tr>
      <w:tr w14:paraId="4B9E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4B4C12EF">
            <w:pPr>
              <w:pageBreakBefore w:val="0"/>
              <w:kinsoku/>
              <w:wordWrap/>
              <w:overflowPunct/>
              <w:topLinePunct w:val="0"/>
              <w:bidi w:val="0"/>
              <w:spacing w:line="360" w:lineRule="auto"/>
              <w:jc w:val="center"/>
              <w:rPr>
                <w:rFonts w:hint="eastAsia"/>
              </w:rPr>
            </w:pPr>
            <w:r>
              <w:rPr>
                <w:rFonts w:hint="eastAsia"/>
              </w:rPr>
              <w:t>13</w:t>
            </w:r>
          </w:p>
        </w:tc>
        <w:tc>
          <w:tcPr>
            <w:tcW w:w="3192" w:type="dxa"/>
            <w:noWrap w:val="0"/>
            <w:vAlign w:val="center"/>
          </w:tcPr>
          <w:p w14:paraId="11BEC696">
            <w:pPr>
              <w:pageBreakBefore w:val="0"/>
              <w:kinsoku/>
              <w:wordWrap/>
              <w:overflowPunct/>
              <w:topLinePunct w:val="0"/>
              <w:bidi w:val="0"/>
              <w:spacing w:line="360" w:lineRule="auto"/>
              <w:jc w:val="center"/>
              <w:rPr>
                <w:rFonts w:hint="eastAsia"/>
              </w:rPr>
            </w:pPr>
            <w:r>
              <w:rPr>
                <w:rFonts w:hint="eastAsia"/>
              </w:rPr>
              <w:t>左侧围外板器具</w:t>
            </w:r>
          </w:p>
        </w:tc>
        <w:tc>
          <w:tcPr>
            <w:tcW w:w="1104" w:type="dxa"/>
            <w:noWrap w:val="0"/>
            <w:vAlign w:val="center"/>
          </w:tcPr>
          <w:p w14:paraId="58D3C9E4">
            <w:pPr>
              <w:pageBreakBefore w:val="0"/>
              <w:kinsoku/>
              <w:wordWrap/>
              <w:overflowPunct/>
              <w:topLinePunct w:val="0"/>
              <w:bidi w:val="0"/>
              <w:spacing w:line="360" w:lineRule="auto"/>
              <w:jc w:val="center"/>
              <w:rPr>
                <w:rFonts w:hint="eastAsia"/>
              </w:rPr>
            </w:pPr>
            <w:r>
              <w:rPr>
                <w:rFonts w:hint="eastAsia"/>
              </w:rPr>
              <w:t>10</w:t>
            </w:r>
          </w:p>
        </w:tc>
        <w:tc>
          <w:tcPr>
            <w:tcW w:w="1984" w:type="dxa"/>
            <w:noWrap w:val="0"/>
            <w:vAlign w:val="center"/>
          </w:tcPr>
          <w:p w14:paraId="3B3FC141">
            <w:pPr>
              <w:pageBreakBefore w:val="0"/>
              <w:kinsoku/>
              <w:wordWrap/>
              <w:overflowPunct/>
              <w:topLinePunct w:val="0"/>
              <w:bidi w:val="0"/>
              <w:spacing w:line="360" w:lineRule="auto"/>
              <w:jc w:val="center"/>
              <w:rPr>
                <w:rFonts w:hint="eastAsia"/>
              </w:rPr>
            </w:pPr>
            <w:r>
              <w:rPr>
                <w:rFonts w:hint="eastAsia"/>
              </w:rPr>
              <w:t>复制</w:t>
            </w:r>
          </w:p>
        </w:tc>
      </w:tr>
      <w:tr w14:paraId="153B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01C88EDD">
            <w:pPr>
              <w:pageBreakBefore w:val="0"/>
              <w:kinsoku/>
              <w:wordWrap/>
              <w:overflowPunct/>
              <w:topLinePunct w:val="0"/>
              <w:bidi w:val="0"/>
              <w:spacing w:line="360" w:lineRule="auto"/>
              <w:jc w:val="center"/>
              <w:rPr>
                <w:rFonts w:hint="eastAsia"/>
              </w:rPr>
            </w:pPr>
            <w:r>
              <w:rPr>
                <w:rFonts w:hint="eastAsia"/>
              </w:rPr>
              <w:t>14</w:t>
            </w:r>
          </w:p>
        </w:tc>
        <w:tc>
          <w:tcPr>
            <w:tcW w:w="3192" w:type="dxa"/>
            <w:noWrap w:val="0"/>
            <w:vAlign w:val="center"/>
          </w:tcPr>
          <w:p w14:paraId="3A442965">
            <w:pPr>
              <w:pageBreakBefore w:val="0"/>
              <w:kinsoku/>
              <w:wordWrap/>
              <w:overflowPunct/>
              <w:topLinePunct w:val="0"/>
              <w:bidi w:val="0"/>
              <w:spacing w:line="360" w:lineRule="auto"/>
              <w:jc w:val="center"/>
              <w:rPr>
                <w:rFonts w:hint="eastAsia"/>
              </w:rPr>
            </w:pPr>
            <w:r>
              <w:rPr>
                <w:rFonts w:hint="eastAsia"/>
              </w:rPr>
              <w:t>右侧围外板器具</w:t>
            </w:r>
          </w:p>
        </w:tc>
        <w:tc>
          <w:tcPr>
            <w:tcW w:w="1104" w:type="dxa"/>
            <w:noWrap w:val="0"/>
            <w:vAlign w:val="center"/>
          </w:tcPr>
          <w:p w14:paraId="2903FF21">
            <w:pPr>
              <w:pageBreakBefore w:val="0"/>
              <w:kinsoku/>
              <w:wordWrap/>
              <w:overflowPunct/>
              <w:topLinePunct w:val="0"/>
              <w:bidi w:val="0"/>
              <w:spacing w:line="360" w:lineRule="auto"/>
              <w:jc w:val="center"/>
              <w:rPr>
                <w:rFonts w:hint="eastAsia"/>
              </w:rPr>
            </w:pPr>
            <w:r>
              <w:rPr>
                <w:rFonts w:hint="eastAsia"/>
              </w:rPr>
              <w:t>10</w:t>
            </w:r>
          </w:p>
        </w:tc>
        <w:tc>
          <w:tcPr>
            <w:tcW w:w="1984" w:type="dxa"/>
            <w:noWrap w:val="0"/>
            <w:vAlign w:val="center"/>
          </w:tcPr>
          <w:p w14:paraId="48381684">
            <w:pPr>
              <w:pageBreakBefore w:val="0"/>
              <w:kinsoku/>
              <w:wordWrap/>
              <w:overflowPunct/>
              <w:topLinePunct w:val="0"/>
              <w:bidi w:val="0"/>
              <w:spacing w:line="360" w:lineRule="auto"/>
              <w:jc w:val="center"/>
              <w:rPr>
                <w:rFonts w:hint="eastAsia"/>
              </w:rPr>
            </w:pPr>
            <w:r>
              <w:rPr>
                <w:rFonts w:hint="eastAsia"/>
              </w:rPr>
              <w:t>复制</w:t>
            </w:r>
          </w:p>
        </w:tc>
      </w:tr>
      <w:tr w14:paraId="67BB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03" w:type="dxa"/>
            <w:noWrap w:val="0"/>
            <w:vAlign w:val="center"/>
          </w:tcPr>
          <w:p w14:paraId="1F034979">
            <w:pPr>
              <w:pageBreakBefore w:val="0"/>
              <w:kinsoku/>
              <w:wordWrap/>
              <w:overflowPunct/>
              <w:topLinePunct w:val="0"/>
              <w:bidi w:val="0"/>
              <w:spacing w:line="360" w:lineRule="auto"/>
              <w:jc w:val="center"/>
              <w:rPr>
                <w:rFonts w:hint="eastAsia"/>
              </w:rPr>
            </w:pPr>
            <w:r>
              <w:rPr>
                <w:rFonts w:hint="eastAsia"/>
              </w:rPr>
              <w:t>15</w:t>
            </w:r>
          </w:p>
        </w:tc>
        <w:tc>
          <w:tcPr>
            <w:tcW w:w="3192" w:type="dxa"/>
            <w:noWrap w:val="0"/>
            <w:vAlign w:val="center"/>
          </w:tcPr>
          <w:p w14:paraId="4354F1D8">
            <w:pPr>
              <w:pageBreakBefore w:val="0"/>
              <w:kinsoku/>
              <w:wordWrap/>
              <w:overflowPunct/>
              <w:topLinePunct w:val="0"/>
              <w:bidi w:val="0"/>
              <w:spacing w:line="360" w:lineRule="auto"/>
              <w:jc w:val="center"/>
              <w:rPr>
                <w:rFonts w:hint="eastAsia"/>
              </w:rPr>
            </w:pPr>
            <w:r>
              <w:rPr>
                <w:rFonts w:hint="eastAsia"/>
              </w:rPr>
              <w:t>车门焊接总成器具</w:t>
            </w:r>
          </w:p>
        </w:tc>
        <w:tc>
          <w:tcPr>
            <w:tcW w:w="1104" w:type="dxa"/>
            <w:noWrap w:val="0"/>
            <w:vAlign w:val="center"/>
          </w:tcPr>
          <w:p w14:paraId="3A32F2E3">
            <w:pPr>
              <w:pageBreakBefore w:val="0"/>
              <w:kinsoku/>
              <w:wordWrap/>
              <w:overflowPunct/>
              <w:topLinePunct w:val="0"/>
              <w:bidi w:val="0"/>
              <w:spacing w:line="360" w:lineRule="auto"/>
              <w:jc w:val="center"/>
              <w:rPr>
                <w:rFonts w:hint="eastAsia"/>
              </w:rPr>
            </w:pPr>
            <w:r>
              <w:rPr>
                <w:rFonts w:hint="eastAsia"/>
              </w:rPr>
              <w:t>4</w:t>
            </w:r>
          </w:p>
        </w:tc>
        <w:tc>
          <w:tcPr>
            <w:tcW w:w="1984" w:type="dxa"/>
            <w:noWrap w:val="0"/>
            <w:vAlign w:val="center"/>
          </w:tcPr>
          <w:p w14:paraId="70C4D8AC">
            <w:pPr>
              <w:pageBreakBefore w:val="0"/>
              <w:kinsoku/>
              <w:wordWrap/>
              <w:overflowPunct/>
              <w:topLinePunct w:val="0"/>
              <w:bidi w:val="0"/>
              <w:spacing w:line="360" w:lineRule="auto"/>
              <w:jc w:val="center"/>
              <w:rPr>
                <w:rFonts w:hint="eastAsia"/>
              </w:rPr>
            </w:pPr>
            <w:r>
              <w:rPr>
                <w:rFonts w:hint="eastAsia"/>
              </w:rPr>
              <w:t>按图制作</w:t>
            </w:r>
          </w:p>
        </w:tc>
      </w:tr>
      <w:tr w14:paraId="31EB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995" w:type="dxa"/>
            <w:gridSpan w:val="2"/>
            <w:noWrap w:val="0"/>
            <w:vAlign w:val="center"/>
          </w:tcPr>
          <w:p w14:paraId="1AFED80E">
            <w:pPr>
              <w:pageBreakBefore w:val="0"/>
              <w:kinsoku/>
              <w:wordWrap/>
              <w:overflowPunct/>
              <w:topLinePunct w:val="0"/>
              <w:bidi w:val="0"/>
              <w:spacing w:line="360" w:lineRule="auto"/>
              <w:jc w:val="center"/>
              <w:rPr>
                <w:rFonts w:hint="eastAsia"/>
              </w:rPr>
            </w:pPr>
            <w:r>
              <w:rPr>
                <w:rFonts w:hint="eastAsia"/>
              </w:rPr>
              <w:t>合计</w:t>
            </w:r>
          </w:p>
        </w:tc>
        <w:tc>
          <w:tcPr>
            <w:tcW w:w="1104" w:type="dxa"/>
            <w:noWrap w:val="0"/>
            <w:vAlign w:val="center"/>
          </w:tcPr>
          <w:p w14:paraId="4A64B902">
            <w:pPr>
              <w:pageBreakBefore w:val="0"/>
              <w:kinsoku/>
              <w:wordWrap/>
              <w:overflowPunct/>
              <w:topLinePunct w:val="0"/>
              <w:bidi w:val="0"/>
              <w:spacing w:line="360" w:lineRule="auto"/>
              <w:jc w:val="center"/>
              <w:rPr>
                <w:rFonts w:hint="eastAsia"/>
              </w:rPr>
            </w:pPr>
            <w:r>
              <w:rPr>
                <w:rFonts w:hint="eastAsia"/>
              </w:rPr>
              <w:t>183</w:t>
            </w:r>
          </w:p>
        </w:tc>
        <w:tc>
          <w:tcPr>
            <w:tcW w:w="1984" w:type="dxa"/>
            <w:noWrap w:val="0"/>
            <w:vAlign w:val="center"/>
          </w:tcPr>
          <w:p w14:paraId="35A2E3CA">
            <w:pPr>
              <w:pageBreakBefore w:val="0"/>
              <w:kinsoku/>
              <w:wordWrap/>
              <w:overflowPunct/>
              <w:topLinePunct w:val="0"/>
              <w:bidi w:val="0"/>
              <w:spacing w:line="360" w:lineRule="auto"/>
              <w:jc w:val="center"/>
              <w:rPr>
                <w:rFonts w:hint="eastAsia"/>
              </w:rPr>
            </w:pPr>
          </w:p>
        </w:tc>
      </w:tr>
    </w:tbl>
    <w:p w14:paraId="6D82CB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1A087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（1）本表所列采购器具仅为工位器具供货明细，应配套供货以及招标人所列服务，请投标人认真阅读招标文件相关内容。若有异议，不管是多么微小，都应在投标文件“商务偏离”章节中予以详细说明。</w:t>
      </w:r>
    </w:p>
    <w:p w14:paraId="2BA827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（2）投标人需提供工位器具制造、运输、质量保证和售后维护、维修等服务；</w:t>
      </w:r>
    </w:p>
    <w:p w14:paraId="278CB8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（3）投标限价：人民币68.</w:t>
      </w:r>
      <w:r>
        <w:rPr>
          <w:rFonts w:hint="eastAsia" w:ascii="宋体" w:hAnsi="宋体" w:cs="宋体"/>
          <w:sz w:val="24"/>
          <w:szCs w:val="24"/>
          <w:highlight w:val="yellow"/>
          <w:lang w:val="en-US" w:eastAsia="zh-CN"/>
        </w:rPr>
        <w:t>7</w:t>
      </w:r>
      <w:r>
        <w:rPr>
          <w:rFonts w:hint="eastAsia" w:ascii="宋体" w:hAnsi="宋体" w:eastAsia="宋体" w:cs="宋体"/>
          <w:sz w:val="24"/>
          <w:szCs w:val="24"/>
          <w:highlight w:val="yellow"/>
        </w:rPr>
        <w:t>万元</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含税</w:t>
      </w:r>
      <w:r>
        <w:rPr>
          <w:rFonts w:hint="eastAsia" w:ascii="宋体" w:hAnsi="宋体" w:cs="宋体"/>
          <w:sz w:val="24"/>
          <w:szCs w:val="24"/>
          <w:highlight w:val="yellow"/>
          <w:lang w:eastAsia="zh-CN"/>
        </w:rPr>
        <w:t>）</w:t>
      </w:r>
      <w:r>
        <w:rPr>
          <w:rFonts w:hint="eastAsia" w:ascii="宋体" w:hAnsi="宋体" w:eastAsia="宋体" w:cs="宋体"/>
          <w:sz w:val="24"/>
          <w:szCs w:val="24"/>
          <w:highlight w:val="yellow"/>
        </w:rPr>
        <w:t>，超过投标限价无法投标。</w:t>
      </w:r>
    </w:p>
    <w:p w14:paraId="4AC314A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三、招标形式</w:t>
      </w:r>
    </w:p>
    <w:p w14:paraId="64E34A4E">
      <w:pPr>
        <w:pStyle w:val="4"/>
        <w:keepNext/>
        <w:keepLines/>
        <w:pageBreakBefore w:val="0"/>
        <w:widowControl w:val="0"/>
        <w:kinsoku/>
        <w:wordWrap/>
        <w:overflowPunct/>
        <w:topLinePunct w:val="0"/>
        <w:autoSpaceDE/>
        <w:autoSpaceDN/>
        <w:bidi w:val="0"/>
        <w:adjustRightInd w:val="0"/>
        <w:snapToGrid/>
        <w:spacing w:before="0" w:after="0" w:line="360" w:lineRule="auto"/>
        <w:ind w:firstLine="480" w:firstLineChars="200"/>
        <w:textAlignment w:val="baseline"/>
        <w:rPr>
          <w:rFonts w:hint="eastAsia" w:hAnsi="宋体" w:cs="宋体"/>
          <w:b w:val="0"/>
          <w:bCs w:val="0"/>
          <w:kern w:val="2"/>
          <w:sz w:val="24"/>
          <w:szCs w:val="24"/>
          <w:lang w:val="en-US" w:eastAsia="zh-CN" w:bidi="ar-SA"/>
        </w:rPr>
      </w:pPr>
      <w:r>
        <w:rPr>
          <w:rFonts w:hint="eastAsia" w:hAnsi="宋体" w:cs="宋体"/>
          <w:b w:val="0"/>
          <w:bCs w:val="0"/>
          <w:kern w:val="2"/>
          <w:sz w:val="24"/>
          <w:szCs w:val="24"/>
          <w:lang w:val="en-US" w:eastAsia="zh-CN" w:bidi="ar-SA"/>
        </w:rPr>
        <w:t>公开招标。</w:t>
      </w:r>
    </w:p>
    <w:p w14:paraId="3B2618F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四、议程安排</w:t>
      </w:r>
    </w:p>
    <w:p w14:paraId="7F021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yellow"/>
        </w:rPr>
      </w:pPr>
      <w:r>
        <w:rPr>
          <w:rFonts w:hint="eastAsia" w:ascii="宋体" w:hAnsi="宋体" w:eastAsia="宋体" w:cs="宋体"/>
          <w:sz w:val="24"/>
          <w:szCs w:val="24"/>
        </w:rPr>
        <w:t>1、</w:t>
      </w:r>
      <w:r>
        <w:rPr>
          <w:rFonts w:hint="eastAsia" w:ascii="宋体" w:hAnsi="宋体" w:eastAsia="宋体" w:cs="宋体"/>
          <w:b/>
          <w:bCs/>
          <w:sz w:val="24"/>
          <w:szCs w:val="24"/>
          <w:highlight w:val="yellow"/>
        </w:rPr>
        <w:t>公告开始时间：202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08</w:t>
      </w:r>
      <w:r>
        <w:rPr>
          <w:rFonts w:hint="eastAsia" w:ascii="宋体" w:hAnsi="宋体" w:eastAsia="宋体" w:cs="宋体"/>
          <w:b/>
          <w:bCs/>
          <w:sz w:val="24"/>
          <w:szCs w:val="24"/>
          <w:highlight w:val="yellow"/>
        </w:rPr>
        <w:t>日。</w:t>
      </w:r>
    </w:p>
    <w:p w14:paraId="0C5F9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14:paraId="54E27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14:paraId="7C0997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商务</w:t>
      </w:r>
      <w:r>
        <w:rPr>
          <w:rFonts w:hint="eastAsia" w:ascii="宋体" w:hAnsi="宋体" w:eastAsia="宋体" w:cs="宋体"/>
          <w:sz w:val="24"/>
          <w:szCs w:val="24"/>
          <w:highlight w:val="none"/>
        </w:rPr>
        <w:t>联系人：</w:t>
      </w:r>
      <w:r>
        <w:rPr>
          <w:rFonts w:hint="eastAsia" w:ascii="宋体" w:hAnsi="宋体" w:cs="宋体"/>
          <w:sz w:val="24"/>
          <w:szCs w:val="24"/>
          <w:highlight w:val="none"/>
          <w:lang w:val="en-US" w:eastAsia="zh-CN"/>
        </w:rPr>
        <w:t>林老师 13969010803；庄老师 15066686588</w:t>
      </w:r>
    </w:p>
    <w:p w14:paraId="2C86D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技术联系人：姜老师 18615620105；李老师 13969137946</w:t>
      </w:r>
    </w:p>
    <w:p w14:paraId="197B20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14:paraId="18AC2D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报名方式：投标方需按照附件《非生产供应商注册操作手册》完成重汽e采通平台注册（网址：https://ecaitong.sinotruk.com:8012/#/login）,在报名截止时间前在重汽e采通上完成应标。</w:t>
      </w:r>
    </w:p>
    <w:p w14:paraId="1F52BF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投标人应提前登录中国重汽e采通进行注册备案，备案成功后在中国重汽e采通查看标书文件，不开通e采通将无法进行招投标。</w:t>
      </w:r>
    </w:p>
    <w:p w14:paraId="4D304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2F00CD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cs="宋体"/>
          <w:b/>
          <w:bCs/>
          <w:sz w:val="24"/>
          <w:szCs w:val="24"/>
          <w:highlight w:val="yellow"/>
          <w:lang w:val="en-US" w:eastAsia="zh-CN"/>
        </w:rPr>
        <w:t>应标</w:t>
      </w:r>
      <w:r>
        <w:rPr>
          <w:rFonts w:hint="eastAsia" w:ascii="宋体" w:hAnsi="宋体" w:eastAsia="宋体" w:cs="宋体"/>
          <w:b/>
          <w:bCs/>
          <w:sz w:val="24"/>
          <w:szCs w:val="24"/>
          <w:highlight w:val="yellow"/>
        </w:rPr>
        <w:t>截止时间：202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17</w:t>
      </w:r>
      <w:r>
        <w:rPr>
          <w:rFonts w:hint="eastAsia" w:ascii="宋体" w:hAnsi="宋体" w:eastAsia="宋体" w:cs="宋体"/>
          <w:b/>
          <w:bCs/>
          <w:sz w:val="24"/>
          <w:szCs w:val="24"/>
          <w:highlight w:val="yellow"/>
        </w:rPr>
        <w:t>日。</w:t>
      </w:r>
    </w:p>
    <w:p w14:paraId="4619A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cs="宋体"/>
          <w:sz w:val="24"/>
          <w:szCs w:val="24"/>
          <w:highlight w:val="none"/>
          <w:lang w:val="en-US" w:eastAsia="zh-CN"/>
        </w:rPr>
        <w:t>林老师13969010803</w:t>
      </w:r>
      <w:r>
        <w:rPr>
          <w:rFonts w:hint="eastAsia" w:ascii="宋体" w:hAnsi="宋体" w:eastAsia="宋体" w:cs="宋体"/>
          <w:sz w:val="24"/>
          <w:szCs w:val="24"/>
          <w:highlight w:val="none"/>
        </w:rPr>
        <w:t>。</w:t>
      </w:r>
    </w:p>
    <w:p w14:paraId="7767E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14:paraId="00C461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在e采通上传标书要求的资质文件、技术标文件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商务标文件。</w:t>
      </w:r>
    </w:p>
    <w:p w14:paraId="29E941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22</w:t>
      </w:r>
      <w:r>
        <w:rPr>
          <w:rFonts w:hint="eastAsia" w:ascii="宋体" w:hAnsi="宋体" w:eastAsia="宋体" w:cs="宋体"/>
          <w:b/>
          <w:bCs/>
          <w:sz w:val="24"/>
          <w:szCs w:val="24"/>
          <w:highlight w:val="yellow"/>
        </w:rPr>
        <w:t>日</w:t>
      </w:r>
      <w:r>
        <w:rPr>
          <w:rFonts w:hint="eastAsia" w:ascii="宋体" w:hAnsi="宋体" w:eastAsia="宋体" w:cs="宋体"/>
          <w:sz w:val="24"/>
          <w:szCs w:val="24"/>
          <w:highlight w:val="yellow"/>
        </w:rPr>
        <w:t>。</w:t>
      </w:r>
    </w:p>
    <w:p w14:paraId="3D111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14:paraId="0C2549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p>
    <w:p w14:paraId="1684A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24</w:t>
      </w:r>
      <w:r>
        <w:rPr>
          <w:rFonts w:hint="eastAsia" w:ascii="宋体" w:hAnsi="宋体" w:eastAsia="宋体" w:cs="宋体"/>
          <w:b/>
          <w:bCs/>
          <w:sz w:val="24"/>
          <w:szCs w:val="24"/>
          <w:highlight w:val="yellow"/>
        </w:rPr>
        <w:t>日上午</w:t>
      </w:r>
      <w:r>
        <w:rPr>
          <w:rFonts w:hint="eastAsia" w:ascii="宋体" w:hAnsi="宋体" w:eastAsia="宋体" w:cs="宋体"/>
          <w:b/>
          <w:bCs/>
          <w:sz w:val="24"/>
          <w:szCs w:val="24"/>
          <w:highlight w:val="yellow"/>
          <w:lang w:val="en-US" w:eastAsia="zh-CN"/>
        </w:rPr>
        <w:t>9:</w:t>
      </w:r>
      <w:r>
        <w:rPr>
          <w:rFonts w:hint="eastAsia" w:ascii="宋体" w:hAnsi="宋体" w:cs="宋体"/>
          <w:b/>
          <w:bCs/>
          <w:sz w:val="24"/>
          <w:szCs w:val="24"/>
          <w:highlight w:val="yellow"/>
          <w:lang w:val="en-US" w:eastAsia="zh-CN"/>
        </w:rPr>
        <w:t>0</w:t>
      </w:r>
      <w:r>
        <w:rPr>
          <w:rFonts w:hint="eastAsia" w:ascii="宋体" w:hAnsi="宋体" w:eastAsia="宋体" w:cs="宋体"/>
          <w:b/>
          <w:bCs/>
          <w:sz w:val="24"/>
          <w:szCs w:val="24"/>
          <w:highlight w:val="yellow"/>
          <w:lang w:val="en-US" w:eastAsia="zh-CN"/>
        </w:rPr>
        <w:t>0</w:t>
      </w:r>
      <w:r>
        <w:rPr>
          <w:rFonts w:hint="eastAsia" w:ascii="宋体" w:hAnsi="宋体" w:eastAsia="宋体" w:cs="宋体"/>
          <w:b/>
          <w:bCs/>
          <w:sz w:val="24"/>
          <w:szCs w:val="24"/>
          <w:highlight w:val="yellow"/>
        </w:rPr>
        <w:t>（若有变动另行通知）。</w:t>
      </w:r>
    </w:p>
    <w:p w14:paraId="6F83FB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开标地点：</w:t>
      </w:r>
      <w:r>
        <w:rPr>
          <w:rFonts w:ascii="宋体" w:hAnsi="宋体" w:eastAsia="宋体" w:cs="宋体"/>
          <w:b/>
          <w:bCs/>
          <w:sz w:val="24"/>
          <w:szCs w:val="24"/>
          <w:highlight w:val="yellow"/>
        </w:rPr>
        <w:t>济南市</w:t>
      </w:r>
      <w:r>
        <w:rPr>
          <w:rFonts w:hint="eastAsia" w:ascii="宋体" w:hAnsi="宋体" w:cs="宋体"/>
          <w:b/>
          <w:bCs/>
          <w:sz w:val="24"/>
          <w:szCs w:val="24"/>
          <w:highlight w:val="yellow"/>
          <w:lang w:val="en-US" w:eastAsia="zh-CN"/>
        </w:rPr>
        <w:t>市中区党家庄镇南首</w:t>
      </w:r>
      <w:r>
        <w:rPr>
          <w:rFonts w:ascii="宋体" w:hAnsi="宋体" w:eastAsia="宋体" w:cs="宋体"/>
          <w:b/>
          <w:bCs/>
          <w:sz w:val="24"/>
          <w:szCs w:val="24"/>
          <w:highlight w:val="yellow"/>
        </w:rPr>
        <w:t>济南卡车制造公司</w:t>
      </w:r>
      <w:r>
        <w:rPr>
          <w:rFonts w:hint="eastAsia" w:ascii="宋体" w:hAnsi="宋体" w:cs="宋体"/>
          <w:b/>
          <w:bCs/>
          <w:sz w:val="24"/>
          <w:szCs w:val="24"/>
          <w:highlight w:val="yellow"/>
          <w:lang w:val="en-US" w:eastAsia="zh-CN"/>
        </w:rPr>
        <w:t>原桥箱</w:t>
      </w:r>
      <w:r>
        <w:rPr>
          <w:rFonts w:ascii="宋体" w:hAnsi="宋体" w:eastAsia="宋体" w:cs="宋体"/>
          <w:b/>
          <w:bCs/>
          <w:sz w:val="24"/>
          <w:szCs w:val="24"/>
          <w:highlight w:val="yellow"/>
        </w:rPr>
        <w:t>办公楼二楼</w:t>
      </w:r>
      <w:r>
        <w:rPr>
          <w:rFonts w:hint="eastAsia" w:ascii="宋体" w:hAnsi="宋体" w:cs="宋体"/>
          <w:b/>
          <w:bCs/>
          <w:sz w:val="24"/>
          <w:szCs w:val="24"/>
          <w:highlight w:val="yellow"/>
          <w:lang w:val="en-US" w:eastAsia="zh-CN"/>
        </w:rPr>
        <w:t>227号南邻会议室</w:t>
      </w:r>
      <w:r>
        <w:rPr>
          <w:rFonts w:ascii="宋体" w:hAnsi="宋体" w:eastAsia="宋体" w:cs="宋体"/>
          <w:b/>
          <w:bCs/>
          <w:sz w:val="24"/>
          <w:szCs w:val="24"/>
          <w:highlight w:val="yellow"/>
        </w:rPr>
        <w:t>（若有变动另行通知）。</w:t>
      </w:r>
    </w:p>
    <w:p w14:paraId="2C7BF82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五、获取招标文件</w:t>
      </w:r>
    </w:p>
    <w:p w14:paraId="7061960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获取方式：</w:t>
      </w:r>
      <w:r>
        <w:rPr>
          <w:rFonts w:hint="eastAsia" w:ascii="宋体" w:hAnsi="宋体" w:eastAsia="宋体" w:cs="宋体"/>
          <w:sz w:val="24"/>
          <w:szCs w:val="24"/>
          <w:highlight w:val="yellow"/>
        </w:rPr>
        <w:t>投标方在中国重汽e采通自行下载招标公告。</w:t>
      </w:r>
    </w:p>
    <w:p w14:paraId="7C0749D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六、投标须知</w:t>
      </w:r>
    </w:p>
    <w:p w14:paraId="24ECC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14:paraId="4A586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14:paraId="0DAA47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cs="宋体"/>
          <w:sz w:val="24"/>
          <w:szCs w:val="24"/>
          <w:highlight w:val="none"/>
          <w:lang w:val="en-US" w:eastAsia="zh-CN"/>
        </w:rPr>
        <w:t>元</w:t>
      </w:r>
      <w:r>
        <w:rPr>
          <w:rFonts w:hint="eastAsia" w:ascii="宋体" w:hAnsi="宋体" w:eastAsia="宋体" w:cs="宋体"/>
          <w:sz w:val="24"/>
          <w:szCs w:val="24"/>
          <w:highlight w:val="none"/>
        </w:rPr>
        <w:t>；</w:t>
      </w:r>
      <w:r>
        <w:rPr>
          <w:rFonts w:hint="eastAsia" w:ascii="宋体" w:hAnsi="宋体" w:eastAsia="宋体" w:cs="宋体"/>
          <w:sz w:val="24"/>
          <w:szCs w:val="24"/>
        </w:rPr>
        <w:t>经营范围满足招标项目需求；</w:t>
      </w:r>
    </w:p>
    <w:p w14:paraId="45AAAC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14:paraId="46450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14:paraId="14CDBA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14:paraId="6417EF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14:paraId="7A00D8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14:paraId="1C7FB7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14:paraId="49555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14:paraId="40E11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14:paraId="45283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14:paraId="1CA68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14:paraId="7200A4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14:paraId="07D4C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14:paraId="471A98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w:t>
      </w:r>
      <w:r>
        <w:rPr>
          <w:rFonts w:hint="eastAsia" w:ascii="宋体" w:hAnsi="宋体" w:cs="宋体"/>
          <w:sz w:val="24"/>
          <w:szCs w:val="24"/>
          <w:lang w:eastAsia="zh-CN"/>
        </w:rPr>
        <w:t>、</w:t>
      </w:r>
      <w:r>
        <w:rPr>
          <w:rFonts w:hint="eastAsia" w:ascii="宋体" w:hAnsi="宋体" w:eastAsia="宋体" w:cs="宋体"/>
          <w:sz w:val="24"/>
          <w:szCs w:val="24"/>
        </w:rPr>
        <w:t>“裁判文书网”等信息平台中，无行政处罚及失信记录等信息；</w:t>
      </w:r>
    </w:p>
    <w:p w14:paraId="7461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14:paraId="2289FA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14:paraId="22838D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14:paraId="3C3CCE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67762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14:paraId="46637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14:paraId="66E3C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14:paraId="3B5DF5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w:t>
      </w:r>
      <w:r>
        <w:rPr>
          <w:rFonts w:hint="eastAsia" w:ascii="宋体" w:hAnsi="宋体" w:eastAsia="宋体" w:cs="宋体"/>
          <w:b/>
          <w:bCs/>
          <w:sz w:val="24"/>
          <w:szCs w:val="24"/>
          <w:highlight w:val="none"/>
        </w:rPr>
        <w:t>万元（人民币）</w:t>
      </w:r>
      <w:r>
        <w:rPr>
          <w:rFonts w:hint="eastAsia" w:ascii="宋体" w:hAnsi="宋体" w:eastAsia="宋体" w:cs="宋体"/>
          <w:sz w:val="24"/>
          <w:szCs w:val="24"/>
        </w:rPr>
        <w:t>，</w:t>
      </w:r>
      <w:r>
        <w:rPr>
          <w:rFonts w:hint="eastAsia" w:ascii="宋体" w:hAnsi="宋体" w:eastAsia="宋体" w:cs="宋体"/>
          <w:b/>
          <w:bCs/>
          <w:sz w:val="24"/>
          <w:szCs w:val="24"/>
        </w:rPr>
        <w:t>明确不含税金额、含税金额、税率。</w:t>
      </w:r>
    </w:p>
    <w:p w14:paraId="00FCF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14:paraId="26257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14:paraId="52B81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）合同价款的结算方式</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半年期商业汇票（包括银行承兑汇票和商业承兑汇票）</w:t>
      </w:r>
      <w:r>
        <w:rPr>
          <w:rFonts w:hint="eastAsia" w:ascii="宋体" w:hAnsi="宋体" w:cs="宋体"/>
          <w:b/>
          <w:bCs/>
          <w:sz w:val="24"/>
          <w:szCs w:val="24"/>
          <w:highlight w:val="none"/>
          <w:lang w:eastAsia="zh-CN"/>
        </w:rPr>
        <w:t>。</w:t>
      </w:r>
    </w:p>
    <w:p w14:paraId="1ABDA94B">
      <w:pPr>
        <w:pStyle w:val="10"/>
        <w:pageBreakBefore w:val="0"/>
        <w:kinsoku/>
        <w:wordWrap/>
        <w:overflowPunct/>
        <w:topLinePunct w:val="0"/>
        <w:bidi w:val="0"/>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合同价款的支付：</w:t>
      </w:r>
      <w:r>
        <w:rPr>
          <w:rFonts w:hint="eastAsia" w:ascii="宋体" w:hAnsi="宋体" w:eastAsia="宋体" w:cs="宋体"/>
          <w:kern w:val="2"/>
          <w:sz w:val="24"/>
          <w:szCs w:val="24"/>
          <w:lang w:val="en-US" w:eastAsia="zh-CN" w:bidi="ar-SA"/>
        </w:rPr>
        <w:t>a)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 90%的价款。</w:t>
      </w:r>
    </w:p>
    <w:p w14:paraId="3D71FA26">
      <w:pPr>
        <w:pStyle w:val="10"/>
        <w:pageBreakBefore w:val="0"/>
        <w:widowControl/>
        <w:kinsoku/>
        <w:wordWrap/>
        <w:overflowPunct/>
        <w:topLinePunct w:val="0"/>
        <w:bidi w:val="0"/>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 金额为合同总价格100%的增值税发票（适应税率）（正本一份，复印件二份）。</w:t>
      </w:r>
    </w:p>
    <w:p w14:paraId="083340A0">
      <w:pPr>
        <w:pStyle w:val="10"/>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 该项目经相关机构最终验收、备案证书或资料文件的复印件一式五份。【特殊项目才需要】</w:t>
      </w:r>
    </w:p>
    <w:p w14:paraId="502C89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剩余合同总金额的约10%作为质量保证金，待该合同标的质量保证期满，经项目招标单位出具证明和必要的手续，委托方在按照规定账期内支付给承揽方该合同价格的约10%尾款（如有问题，应扣除相应部分款项）。</w:t>
      </w:r>
    </w:p>
    <w:p w14:paraId="7475F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highlight w:val="none"/>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14:paraId="4A78E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14:paraId="768E4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14:paraId="76073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14:paraId="670998A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bCs/>
          <w:sz w:val="24"/>
          <w:szCs w:val="24"/>
          <w:highlight w:val="yellow"/>
        </w:rPr>
        <w:t>（1）</w:t>
      </w:r>
      <w:r>
        <w:rPr>
          <w:b/>
          <w:bCs w:val="0"/>
          <w:sz w:val="24"/>
          <w:szCs w:val="24"/>
          <w:highlight w:val="yellow"/>
        </w:rPr>
        <w:t>投标人需要于</w:t>
      </w:r>
      <w:r>
        <w:rPr>
          <w:rFonts w:hint="eastAsia"/>
          <w:b/>
          <w:bCs w:val="0"/>
          <w:sz w:val="24"/>
          <w:szCs w:val="24"/>
          <w:highlight w:val="yellow"/>
        </w:rPr>
        <w:t>开标前三天</w:t>
      </w:r>
      <w:r>
        <w:rPr>
          <w:b/>
          <w:bCs w:val="0"/>
          <w:sz w:val="24"/>
          <w:szCs w:val="24"/>
          <w:highlight w:val="yellow"/>
        </w:rPr>
        <w:t>交纳投标保证金</w:t>
      </w:r>
      <w:r>
        <w:rPr>
          <w:rFonts w:hint="eastAsia"/>
          <w:b/>
          <w:bCs w:val="0"/>
          <w:sz w:val="24"/>
          <w:szCs w:val="24"/>
          <w:highlight w:val="yellow"/>
          <w:lang w:val="en-US" w:eastAsia="zh-CN"/>
        </w:rPr>
        <w:t>10000</w:t>
      </w:r>
      <w:r>
        <w:rPr>
          <w:b/>
          <w:bCs w:val="0"/>
          <w:sz w:val="24"/>
          <w:szCs w:val="24"/>
          <w:highlight w:val="yellow"/>
        </w:rPr>
        <w:t>元</w:t>
      </w:r>
      <w:r>
        <w:rPr>
          <w:rFonts w:hint="eastAsia"/>
          <w:b/>
          <w:bCs w:val="0"/>
          <w:sz w:val="24"/>
          <w:szCs w:val="24"/>
          <w:highlight w:val="yellow"/>
        </w:rPr>
        <w:t>。</w:t>
      </w:r>
    </w:p>
    <w:p w14:paraId="0948007F">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投标保证金帐户如下：</w:t>
      </w:r>
    </w:p>
    <w:p w14:paraId="43BFE757">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银行账号：</w:t>
      </w:r>
      <w:r>
        <w:rPr>
          <w:rFonts w:hint="eastAsia" w:ascii="宋体" w:hAnsi="宋体" w:eastAsia="宋体" w:cs="宋体"/>
          <w:b/>
          <w:bCs/>
          <w:color w:val="auto"/>
          <w:sz w:val="24"/>
          <w:szCs w:val="24"/>
          <w:highlight w:val="yellow"/>
        </w:rPr>
        <w:t>74150078801200001692</w:t>
      </w:r>
    </w:p>
    <w:p w14:paraId="791E58E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sz w:val="24"/>
          <w:szCs w:val="24"/>
          <w:highlight w:val="yellow"/>
          <w:lang w:val="en-US" w:eastAsia="zh-CN"/>
        </w:rPr>
      </w:pPr>
      <w:r>
        <w:rPr>
          <w:rFonts w:hint="eastAsia" w:ascii="宋体" w:hAnsi="宋体" w:eastAsia="宋体" w:cs="宋体"/>
          <w:b/>
          <w:sz w:val="24"/>
          <w:szCs w:val="24"/>
          <w:highlight w:val="yellow"/>
        </w:rPr>
        <w:t>账户名称：</w:t>
      </w:r>
      <w:r>
        <w:rPr>
          <w:rFonts w:hint="eastAsia" w:ascii="宋体" w:hAnsi="宋体" w:eastAsia="宋体" w:cs="宋体"/>
          <w:b/>
          <w:bCs/>
          <w:color w:val="auto"/>
          <w:sz w:val="24"/>
          <w:szCs w:val="24"/>
          <w:highlight w:val="yellow"/>
        </w:rPr>
        <w:t>中国重汽集团济南智能装备有限公司</w:t>
      </w:r>
      <w:r>
        <w:rPr>
          <w:rFonts w:hint="eastAsia" w:hAnsi="宋体" w:cs="宋体"/>
          <w:b/>
          <w:bCs/>
          <w:color w:val="auto"/>
          <w:sz w:val="24"/>
          <w:szCs w:val="24"/>
          <w:highlight w:val="yellow"/>
          <w:lang w:val="en-US" w:eastAsia="zh-CN"/>
        </w:rPr>
        <w:t>(制造加工)</w:t>
      </w:r>
    </w:p>
    <w:p w14:paraId="1B41C0F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yellow"/>
          <w:lang w:eastAsia="zh-CN"/>
        </w:rPr>
      </w:pPr>
      <w:r>
        <w:rPr>
          <w:rFonts w:hint="eastAsia" w:ascii="宋体" w:hAnsi="宋体" w:eastAsia="宋体" w:cs="宋体"/>
          <w:b/>
          <w:sz w:val="24"/>
          <w:szCs w:val="24"/>
          <w:highlight w:val="yellow"/>
        </w:rPr>
        <w:t>开户行名称：</w:t>
      </w:r>
      <w:r>
        <w:rPr>
          <w:rFonts w:hint="eastAsia" w:ascii="宋体" w:hAnsi="宋体" w:eastAsia="宋体" w:cs="宋体"/>
          <w:b/>
          <w:bCs/>
          <w:color w:val="auto"/>
          <w:sz w:val="24"/>
          <w:szCs w:val="24"/>
          <w:highlight w:val="yellow"/>
        </w:rPr>
        <w:t>上海浦东发展银行股份有限公司济南奥体支行</w:t>
      </w:r>
    </w:p>
    <w:p w14:paraId="44BD6EDE">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应备注“济南商用车有限公司全新一代车型器具采购项目投标保证金”。</w:t>
      </w:r>
    </w:p>
    <w:p w14:paraId="57EF896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14:paraId="61A0566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1E33E9E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bCs w:val="0"/>
          <w:sz w:val="24"/>
          <w:szCs w:val="24"/>
        </w:rPr>
        <w:t>发生以下情况时，招标人</w:t>
      </w:r>
      <w:r>
        <w:rPr>
          <w:rFonts w:hint="eastAsia" w:ascii="宋体" w:hAnsi="宋体" w:eastAsia="宋体" w:cs="宋体"/>
          <w:b/>
          <w:bCs w:val="0"/>
          <w:sz w:val="24"/>
          <w:szCs w:val="24"/>
          <w:lang w:val="en-US" w:eastAsia="zh-CN"/>
        </w:rPr>
        <w:t>有权不予返还收保证金</w:t>
      </w:r>
      <w:r>
        <w:rPr>
          <w:rFonts w:hint="eastAsia" w:ascii="宋体" w:hAnsi="宋体" w:eastAsia="宋体" w:cs="宋体"/>
          <w:b/>
          <w:bCs w:val="0"/>
          <w:sz w:val="24"/>
          <w:szCs w:val="24"/>
        </w:rPr>
        <w:t>：</w:t>
      </w:r>
    </w:p>
    <w:p w14:paraId="73DF73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a</w:t>
      </w:r>
      <w:r>
        <w:rPr>
          <w:rFonts w:hint="eastAsia" w:ascii="宋体" w:hAnsi="宋体" w:eastAsia="宋体" w:cs="宋体"/>
          <w:bCs/>
          <w:sz w:val="24"/>
          <w:szCs w:val="24"/>
          <w:lang w:val="en-US" w:eastAsia="zh-CN"/>
        </w:rPr>
        <w:t xml:space="preserve">)供应商在提交响应文件截止时间后撤回响应文件的； </w:t>
      </w:r>
    </w:p>
    <w:p w14:paraId="3E50247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b</w:t>
      </w:r>
      <w:r>
        <w:rPr>
          <w:rFonts w:hint="eastAsia" w:ascii="宋体" w:hAnsi="宋体" w:eastAsia="宋体" w:cs="宋体"/>
          <w:bCs/>
          <w:sz w:val="24"/>
          <w:szCs w:val="24"/>
          <w:lang w:val="en-US" w:eastAsia="zh-CN"/>
        </w:rPr>
        <w:t xml:space="preserve">)供应商在响应文件中提供虚假材料的； </w:t>
      </w:r>
    </w:p>
    <w:p w14:paraId="1CD18EF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c</w:t>
      </w:r>
      <w:r>
        <w:rPr>
          <w:rFonts w:hint="eastAsia" w:ascii="宋体" w:hAnsi="宋体" w:eastAsia="宋体" w:cs="宋体"/>
          <w:bCs/>
          <w:sz w:val="24"/>
          <w:szCs w:val="24"/>
          <w:lang w:val="en-US" w:eastAsia="zh-CN"/>
        </w:rPr>
        <w:t xml:space="preserve">)除因不可抗力或谈判文件、询价通知书认可的情形以外，成交供应商不与采购 </w:t>
      </w:r>
    </w:p>
    <w:p w14:paraId="3B6182A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人签订合同的； </w:t>
      </w:r>
    </w:p>
    <w:p w14:paraId="49A9496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d</w:t>
      </w:r>
      <w:r>
        <w:rPr>
          <w:rFonts w:hint="eastAsia" w:ascii="宋体" w:hAnsi="宋体" w:eastAsia="宋体" w:cs="宋体"/>
          <w:bCs/>
          <w:sz w:val="24"/>
          <w:szCs w:val="24"/>
          <w:lang w:val="en-US" w:eastAsia="zh-CN"/>
        </w:rPr>
        <w:t xml:space="preserve">)投标人与招标人、其他投标人恶意串通、围标、陪标的； </w:t>
      </w:r>
    </w:p>
    <w:p w14:paraId="7C7D69B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e</w:t>
      </w:r>
      <w:r>
        <w:rPr>
          <w:rFonts w:hint="eastAsia" w:ascii="宋体" w:hAnsi="宋体" w:eastAsia="宋体" w:cs="宋体"/>
          <w:bCs/>
          <w:sz w:val="24"/>
          <w:szCs w:val="24"/>
          <w:lang w:val="en-US" w:eastAsia="zh-CN"/>
        </w:rPr>
        <w:t xml:space="preserve">)供应商有违约违规行为或被投诉、举报的，在调查处理期间，保证金暂不退还， </w:t>
      </w:r>
    </w:p>
    <w:p w14:paraId="3D3C2227">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待调查处理结束后按有关规定处理。 </w:t>
      </w:r>
    </w:p>
    <w:p w14:paraId="6B893D3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f</w:t>
      </w:r>
      <w:r>
        <w:rPr>
          <w:rFonts w:hint="eastAsia" w:ascii="宋体" w:hAnsi="宋体" w:eastAsia="宋体" w:cs="宋体"/>
          <w:bCs/>
          <w:sz w:val="24"/>
          <w:szCs w:val="24"/>
          <w:lang w:val="en-US" w:eastAsia="zh-CN"/>
        </w:rPr>
        <w:t xml:space="preserve">)截至开标前 3 天，投标人无正当理由、未以书面形式向招标人递交说明而在投 </w:t>
      </w:r>
    </w:p>
    <w:p w14:paraId="50CBB921">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标截止日不来投标的。 </w:t>
      </w:r>
    </w:p>
    <w:p w14:paraId="7D7B0C6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g</w:t>
      </w:r>
      <w:r>
        <w:rPr>
          <w:rFonts w:hint="eastAsia" w:ascii="宋体" w:hAnsi="宋体" w:eastAsia="宋体" w:cs="宋体"/>
          <w:bCs/>
          <w:sz w:val="24"/>
          <w:szCs w:val="24"/>
          <w:lang w:val="en-US" w:eastAsia="zh-CN"/>
        </w:rPr>
        <w:t xml:space="preserve">)自中标通知书发出之日起 30 日内，中标人无正当理由投标人无正当签订合同 </w:t>
      </w:r>
    </w:p>
    <w:p w14:paraId="1A1D6FD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的； </w:t>
      </w:r>
    </w:p>
    <w:p w14:paraId="0374B83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h</w:t>
      </w:r>
      <w:r>
        <w:rPr>
          <w:rFonts w:hint="eastAsia" w:ascii="宋体" w:hAnsi="宋体" w:eastAsia="宋体" w:cs="宋体"/>
          <w:bCs/>
          <w:sz w:val="24"/>
          <w:szCs w:val="24"/>
          <w:lang w:val="en-US" w:eastAsia="zh-CN"/>
        </w:rPr>
        <w:t>)采购文件规定的其他情形；</w:t>
      </w:r>
    </w:p>
    <w:p w14:paraId="1F9F443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r>
        <w:rPr>
          <w:rFonts w:hint="eastAsia" w:hAnsi="宋体" w:cs="宋体"/>
          <w:bCs/>
          <w:sz w:val="24"/>
          <w:szCs w:val="24"/>
          <w:lang w:eastAsia="zh-CN"/>
        </w:rPr>
        <w:t>；</w:t>
      </w:r>
      <w:r>
        <w:rPr>
          <w:rFonts w:hint="eastAsia" w:ascii="宋体" w:hAnsi="宋体" w:eastAsia="宋体" w:cs="宋体"/>
          <w:bCs/>
          <w:sz w:val="24"/>
          <w:szCs w:val="24"/>
        </w:rPr>
        <w:t>中标人</w:t>
      </w:r>
      <w:r>
        <w:rPr>
          <w:rFonts w:hint="eastAsia" w:ascii="宋体" w:hAnsi="宋体" w:eastAsia="宋体" w:cs="宋体"/>
          <w:bCs/>
          <w:kern w:val="2"/>
          <w:sz w:val="24"/>
          <w:szCs w:val="24"/>
          <w:lang w:val="en-US" w:eastAsia="zh-CN" w:bidi="ar-SA"/>
        </w:rPr>
        <w:t>在采购合同签订后一个付款周期内退还中标（成交）人的投标保证金、或根据合同中的约定将投标保证金转为履约保证金。</w:t>
      </w:r>
    </w:p>
    <w:p w14:paraId="7A8FF89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4187D78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黑体" w:hAnsi="黑体" w:eastAsia="黑体" w:cs="黑体"/>
          <w:b/>
          <w:bCs/>
          <w:sz w:val="28"/>
          <w:szCs w:val="28"/>
          <w:lang w:val="en-US" w:eastAsia="zh-CN"/>
        </w:rPr>
        <w:t>七、评标</w:t>
      </w:r>
    </w:p>
    <w:p w14:paraId="7B03D772">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评标方法</w:t>
      </w:r>
    </w:p>
    <w:p w14:paraId="2C26595B">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b w:val="0"/>
          <w:bCs w:val="0"/>
          <w:sz w:val="24"/>
          <w:szCs w:val="24"/>
        </w:rPr>
      </w:pPr>
      <w:r>
        <w:rPr>
          <w:rFonts w:hint="eastAsia"/>
          <w:b w:val="0"/>
          <w:bCs w:val="0"/>
          <w:sz w:val="24"/>
          <w:szCs w:val="24"/>
        </w:rPr>
        <w:t>根据报价情况同时结合项目需求，依据本招标书列示的相关规则，按需确定中标候选人及中标项目，</w:t>
      </w:r>
      <w:r>
        <w:rPr>
          <w:highlight w:val="yellow"/>
        </w:rPr>
        <w:t>原则上按照经评审的合理最低投标价选择中标厂家</w:t>
      </w:r>
      <w:r>
        <w:rPr>
          <w:rFonts w:hint="eastAsia"/>
          <w:b w:val="0"/>
          <w:bCs w:val="0"/>
          <w:sz w:val="24"/>
          <w:szCs w:val="24"/>
        </w:rPr>
        <w:t>，对未中标人不做任何解释。</w:t>
      </w:r>
      <w:bookmarkStart w:id="3" w:name="OLE_LINK4"/>
      <w:r>
        <w:rPr>
          <w:b w:val="0"/>
          <w:bCs w:val="0"/>
          <w:sz w:val="24"/>
          <w:szCs w:val="24"/>
        </w:rPr>
        <w:t>自评标开始，直至签订合同为止，凡属于对投标文件的审查、澄清、评价和比较有关的资料，与评标有关的其他任何情况均需保密。</w:t>
      </w:r>
    </w:p>
    <w:p w14:paraId="520D2E5A">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2、技术标评分标准</w:t>
      </w:r>
    </w:p>
    <w:p w14:paraId="26452A80">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技术标评分标准</w:t>
      </w:r>
    </w:p>
    <w:tbl>
      <w:tblPr>
        <w:tblStyle w:val="24"/>
        <w:tblW w:w="5000" w:type="pct"/>
        <w:tblInd w:w="0" w:type="dxa"/>
        <w:tblLayout w:type="fixed"/>
        <w:tblCellMar>
          <w:top w:w="0" w:type="dxa"/>
          <w:left w:w="0" w:type="dxa"/>
          <w:bottom w:w="0" w:type="dxa"/>
          <w:right w:w="0" w:type="dxa"/>
        </w:tblCellMar>
      </w:tblPr>
      <w:tblGrid>
        <w:gridCol w:w="392"/>
        <w:gridCol w:w="528"/>
        <w:gridCol w:w="751"/>
        <w:gridCol w:w="932"/>
        <w:gridCol w:w="6491"/>
      </w:tblGrid>
      <w:tr w14:paraId="02C48958">
        <w:tblPrEx>
          <w:tblCellMar>
            <w:top w:w="0" w:type="dxa"/>
            <w:left w:w="0" w:type="dxa"/>
            <w:bottom w:w="0" w:type="dxa"/>
            <w:right w:w="0" w:type="dxa"/>
          </w:tblCellMar>
        </w:tblPrEx>
        <w:trPr>
          <w:cantSplit/>
          <w:trHeight w:val="793" w:hRule="atLeast"/>
        </w:trPr>
        <w:tc>
          <w:tcPr>
            <w:tcW w:w="215"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2C0780E">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评标</w:t>
            </w:r>
          </w:p>
          <w:p w14:paraId="4B8E6F77">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因素</w:t>
            </w:r>
          </w:p>
        </w:tc>
        <w:tc>
          <w:tcPr>
            <w:tcW w:w="29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6CFEDA59">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总分</w:t>
            </w:r>
          </w:p>
        </w:tc>
        <w:tc>
          <w:tcPr>
            <w:tcW w:w="412"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6065343A">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评价内容</w:t>
            </w:r>
          </w:p>
        </w:tc>
        <w:tc>
          <w:tcPr>
            <w:tcW w:w="512"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2FA44BF1">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最高</w:t>
            </w:r>
          </w:p>
          <w:p w14:paraId="3A27913F">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得分</w:t>
            </w:r>
          </w:p>
        </w:tc>
        <w:tc>
          <w:tcPr>
            <w:tcW w:w="3568"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4E8C380">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评分标准</w:t>
            </w:r>
          </w:p>
        </w:tc>
      </w:tr>
      <w:tr w14:paraId="748ED667">
        <w:tblPrEx>
          <w:tblCellMar>
            <w:top w:w="0" w:type="dxa"/>
            <w:left w:w="0" w:type="dxa"/>
            <w:bottom w:w="0" w:type="dxa"/>
            <w:right w:w="0" w:type="dxa"/>
          </w:tblCellMar>
        </w:tblPrEx>
        <w:trPr>
          <w:cantSplit/>
          <w:trHeight w:val="1894" w:hRule="atLeast"/>
        </w:trPr>
        <w:tc>
          <w:tcPr>
            <w:tcW w:w="215"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987648D">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技术标</w:t>
            </w:r>
          </w:p>
        </w:tc>
        <w:tc>
          <w:tcPr>
            <w:tcW w:w="290"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E8A72F6">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100</w:t>
            </w: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8A73A36">
            <w:pPr>
              <w:pageBreakBefore w:val="0"/>
              <w:widowControl/>
              <w:kinsoku/>
              <w:wordWrap/>
              <w:overflowPunct/>
              <w:topLinePunct w:val="0"/>
              <w:bidi w:val="0"/>
              <w:spacing w:line="360" w:lineRule="auto"/>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技术质量保证能力</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3D2BC81">
            <w:pPr>
              <w:pageBreakBefore w:val="0"/>
              <w:kinsoku/>
              <w:wordWrap/>
              <w:overflowPunct/>
              <w:topLinePunct w:val="0"/>
              <w:bidi w:val="0"/>
              <w:spacing w:line="360" w:lineRule="auto"/>
              <w:jc w:val="center"/>
              <w:rPr>
                <w:rFonts w:hint="default" w:ascii="宋体" w:hAnsi="Courier New" w:eastAsia="宋体" w:cs="Times New Roman"/>
                <w:kern w:val="2"/>
                <w:sz w:val="24"/>
                <w:szCs w:val="24"/>
                <w:lang w:val="en-US" w:eastAsia="zh-CN" w:bidi="ar-SA"/>
              </w:rPr>
            </w:pPr>
            <w:r>
              <w:rPr>
                <w:rFonts w:hint="eastAsia" w:ascii="宋体" w:hAnsi="Courier New" w:cs="Times New Roman"/>
                <w:kern w:val="2"/>
                <w:sz w:val="24"/>
                <w:szCs w:val="24"/>
                <w:lang w:val="en-US" w:eastAsia="zh-CN" w:bidi="ar-SA"/>
              </w:rPr>
              <w:t>45</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C3D6B3B">
            <w:pPr>
              <w:pageBreakBefore w:val="0"/>
              <w:widowControl/>
              <w:numPr>
                <w:ilvl w:val="0"/>
                <w:numId w:val="0"/>
              </w:numPr>
              <w:shd w:val="clear" w:color="auto" w:fill="FFFFFF"/>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投标人应提供质量体系认证情况、技术人员及设备情况、质量保证措施等证明技术质量保证能力。</w:t>
            </w:r>
          </w:p>
          <w:p w14:paraId="0A80CCCD">
            <w:pPr>
              <w:pageBreakBefore w:val="0"/>
              <w:widowControl/>
              <w:numPr>
                <w:ilvl w:val="0"/>
                <w:numId w:val="1"/>
              </w:numPr>
              <w:shd w:val="clear" w:color="auto" w:fill="FFFFFF"/>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投标人提供质量认证证书，设备能力较高，技术先进，并列出较多具备相关资质与经验的人员，得30-</w:t>
            </w:r>
            <w:r>
              <w:rPr>
                <w:rFonts w:hint="eastAsia" w:ascii="宋体" w:hAnsi="Courier New" w:cs="Times New Roman"/>
                <w:kern w:val="2"/>
                <w:sz w:val="24"/>
                <w:szCs w:val="24"/>
                <w:lang w:val="en-US" w:eastAsia="zh-CN" w:bidi="ar-SA"/>
              </w:rPr>
              <w:t>45</w:t>
            </w:r>
            <w:r>
              <w:rPr>
                <w:rFonts w:hint="eastAsia" w:ascii="宋体" w:hAnsi="Courier New" w:eastAsia="宋体" w:cs="Times New Roman"/>
                <w:kern w:val="2"/>
                <w:sz w:val="24"/>
                <w:szCs w:val="24"/>
                <w:lang w:val="en-US" w:eastAsia="zh-CN" w:bidi="ar-SA"/>
              </w:rPr>
              <w:t>分；</w:t>
            </w:r>
          </w:p>
          <w:p w14:paraId="5B544C10">
            <w:pPr>
              <w:pageBreakBefore w:val="0"/>
              <w:widowControl/>
              <w:shd w:val="clear" w:color="auto" w:fill="FFFFFF"/>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2、投标人未提供质量认证证书，设备能力较高，并列出具备相关资质与经验的人员，得10-30分；</w:t>
            </w:r>
          </w:p>
          <w:p w14:paraId="7CE93D2D">
            <w:pPr>
              <w:pageBreakBefore w:val="0"/>
              <w:widowControl/>
              <w:kinsoku/>
              <w:wordWrap/>
              <w:overflowPunct/>
              <w:topLinePunct w:val="0"/>
              <w:bidi w:val="0"/>
              <w:spacing w:line="360" w:lineRule="auto"/>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3、投标人未提供质量认证证书，设备能力较低，未列出较多具备相关资质与经验的人员得0分。</w:t>
            </w:r>
          </w:p>
          <w:p w14:paraId="52B75544">
            <w:pPr>
              <w:pageBreakBefore w:val="0"/>
              <w:widowControl/>
              <w:kinsoku/>
              <w:wordWrap/>
              <w:overflowPunct/>
              <w:topLinePunct w:val="0"/>
              <w:bidi w:val="0"/>
              <w:spacing w:line="360" w:lineRule="auto"/>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注：资质文件需有相关资质证明，原件或复印件。</w:t>
            </w:r>
          </w:p>
        </w:tc>
      </w:tr>
      <w:tr w14:paraId="16680E35">
        <w:tblPrEx>
          <w:tblCellMar>
            <w:top w:w="0" w:type="dxa"/>
            <w:left w:w="0" w:type="dxa"/>
            <w:bottom w:w="0" w:type="dxa"/>
            <w:right w:w="0" w:type="dxa"/>
          </w:tblCellMar>
        </w:tblPrEx>
        <w:trPr>
          <w:cantSplit/>
          <w:trHeight w:val="23"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50F1BC9">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BD2E921">
            <w:pPr>
              <w:pageBreakBefore w:val="0"/>
              <w:kinsoku/>
              <w:wordWrap/>
              <w:overflowPunct/>
              <w:topLinePunct w:val="0"/>
              <w:bidi w:val="0"/>
              <w:spacing w:line="360" w:lineRule="auto"/>
              <w:rPr>
                <w:rFonts w:hint="eastAsia" w:ascii="宋体" w:hAnsi="Courier New" w:eastAsia="宋体" w:cs="Times New Roman"/>
                <w:kern w:val="2"/>
                <w:sz w:val="24"/>
                <w:szCs w:val="24"/>
                <w:lang w:val="en-US" w:eastAsia="zh-CN" w:bidi="ar-SA"/>
              </w:rPr>
            </w:pP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10DDE8D">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供货能力</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E8D04C1">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30</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9385DC0">
            <w:pPr>
              <w:pageBreakBefore w:val="0"/>
              <w:widowControl/>
              <w:kinsoku/>
              <w:wordWrap/>
              <w:overflowPunct/>
              <w:topLinePunct w:val="0"/>
              <w:bidi w:val="0"/>
              <w:spacing w:line="360" w:lineRule="auto"/>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具有相应人员、设备及资质</w:t>
            </w:r>
            <w:r>
              <w:rPr>
                <w:rFonts w:hint="eastAsia" w:ascii="宋体" w:hAnsi="Courier New" w:cs="Times New Roman"/>
                <w:kern w:val="2"/>
                <w:sz w:val="24"/>
                <w:szCs w:val="24"/>
                <w:lang w:val="en-US" w:eastAsia="zh-CN" w:bidi="ar-SA"/>
              </w:rPr>
              <w:t>、</w:t>
            </w:r>
            <w:r>
              <w:rPr>
                <w:rFonts w:hint="eastAsia" w:ascii="宋体" w:hAnsi="宋体" w:eastAsia="宋体" w:cs="宋体"/>
                <w:sz w:val="24"/>
                <w:szCs w:val="24"/>
              </w:rPr>
              <w:t>满足标书</w:t>
            </w:r>
            <w:r>
              <w:rPr>
                <w:rFonts w:hint="eastAsia" w:hAnsi="宋体" w:eastAsia="宋体" w:cs="宋体"/>
                <w:sz w:val="24"/>
                <w:szCs w:val="24"/>
                <w:lang w:val="en-US" w:eastAsia="zh-CN"/>
              </w:rPr>
              <w:t>交货期</w:t>
            </w:r>
            <w:r>
              <w:rPr>
                <w:rFonts w:hint="eastAsia" w:ascii="宋体" w:hAnsi="宋体" w:eastAsia="宋体" w:cs="宋体"/>
                <w:sz w:val="24"/>
                <w:szCs w:val="24"/>
              </w:rPr>
              <w:t>要求</w:t>
            </w:r>
            <w:r>
              <w:rPr>
                <w:rFonts w:hint="eastAsia" w:ascii="宋体" w:hAnsi="Courier New" w:eastAsia="宋体" w:cs="Times New Roman"/>
                <w:kern w:val="2"/>
                <w:sz w:val="24"/>
                <w:szCs w:val="24"/>
                <w:lang w:val="en-US" w:eastAsia="zh-CN" w:bidi="ar-SA"/>
              </w:rPr>
              <w:t>，得20分，具有应对招标方紧急采购需求的能力，每条加5分，最高不超过10分。</w:t>
            </w:r>
          </w:p>
        </w:tc>
      </w:tr>
      <w:tr w14:paraId="776E7F83">
        <w:tblPrEx>
          <w:tblCellMar>
            <w:top w:w="0" w:type="dxa"/>
            <w:left w:w="0" w:type="dxa"/>
            <w:bottom w:w="0" w:type="dxa"/>
            <w:right w:w="0" w:type="dxa"/>
          </w:tblCellMar>
        </w:tblPrEx>
        <w:trPr>
          <w:cantSplit/>
          <w:trHeight w:val="23"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1EF88E6">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31B7339">
            <w:pPr>
              <w:pageBreakBefore w:val="0"/>
              <w:kinsoku/>
              <w:wordWrap/>
              <w:overflowPunct/>
              <w:topLinePunct w:val="0"/>
              <w:bidi w:val="0"/>
              <w:spacing w:line="360" w:lineRule="auto"/>
              <w:rPr>
                <w:rFonts w:hint="eastAsia" w:ascii="宋体" w:hAnsi="Courier New" w:eastAsia="宋体" w:cs="Times New Roman"/>
                <w:kern w:val="2"/>
                <w:sz w:val="24"/>
                <w:szCs w:val="24"/>
                <w:lang w:val="en-US" w:eastAsia="zh-CN" w:bidi="ar-SA"/>
              </w:rPr>
            </w:pPr>
          </w:p>
        </w:tc>
        <w:tc>
          <w:tcPr>
            <w:tcW w:w="75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F0D9575">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合作案例</w:t>
            </w:r>
          </w:p>
        </w:tc>
        <w:tc>
          <w:tcPr>
            <w:tcW w:w="932"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7FA577F">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w:t>
            </w:r>
            <w:r>
              <w:rPr>
                <w:rFonts w:hint="eastAsia" w:ascii="宋体" w:hAnsi="Courier New" w:cs="Times New Roman"/>
                <w:kern w:val="2"/>
                <w:sz w:val="24"/>
                <w:szCs w:val="24"/>
                <w:lang w:val="en-US" w:eastAsia="zh-CN" w:bidi="ar-SA"/>
              </w:rPr>
              <w:t>5</w:t>
            </w:r>
          </w:p>
        </w:tc>
        <w:tc>
          <w:tcPr>
            <w:tcW w:w="64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B37A75B">
            <w:pPr>
              <w:pageBreakBefore w:val="0"/>
              <w:widowControl/>
              <w:kinsoku/>
              <w:wordWrap/>
              <w:overflowPunct/>
              <w:topLinePunct w:val="0"/>
              <w:bidi w:val="0"/>
              <w:spacing w:line="360" w:lineRule="auto"/>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3年内工装方面合作成功案例，以提供合同有效页复印件为准，1个案例赋5分，本项总分不超过1</w:t>
            </w:r>
            <w:r>
              <w:rPr>
                <w:rFonts w:hint="eastAsia" w:ascii="宋体" w:hAnsi="Courier New" w:cs="Times New Roman"/>
                <w:kern w:val="2"/>
                <w:sz w:val="24"/>
                <w:szCs w:val="24"/>
                <w:lang w:val="en-US" w:eastAsia="zh-CN" w:bidi="ar-SA"/>
              </w:rPr>
              <w:t>5</w:t>
            </w:r>
            <w:r>
              <w:rPr>
                <w:rFonts w:hint="eastAsia" w:ascii="宋体" w:hAnsi="Courier New" w:eastAsia="宋体" w:cs="Times New Roman"/>
                <w:kern w:val="2"/>
                <w:sz w:val="24"/>
                <w:szCs w:val="24"/>
                <w:lang w:val="en-US" w:eastAsia="zh-CN" w:bidi="ar-SA"/>
              </w:rPr>
              <w:t>分。</w:t>
            </w:r>
          </w:p>
        </w:tc>
      </w:tr>
      <w:tr w14:paraId="616FFD0E">
        <w:tblPrEx>
          <w:tblCellMar>
            <w:top w:w="0" w:type="dxa"/>
            <w:left w:w="0" w:type="dxa"/>
            <w:bottom w:w="0" w:type="dxa"/>
            <w:right w:w="0" w:type="dxa"/>
          </w:tblCellMar>
        </w:tblPrEx>
        <w:trPr>
          <w:cantSplit/>
          <w:trHeight w:val="819"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2A9E55F">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3C28B43">
            <w:pPr>
              <w:pageBreakBefore w:val="0"/>
              <w:kinsoku/>
              <w:wordWrap/>
              <w:overflowPunct/>
              <w:topLinePunct w:val="0"/>
              <w:bidi w:val="0"/>
              <w:spacing w:line="360" w:lineRule="auto"/>
              <w:rPr>
                <w:rFonts w:hint="eastAsia" w:ascii="宋体" w:hAnsi="Courier New" w:eastAsia="宋体" w:cs="Times New Roman"/>
                <w:kern w:val="2"/>
                <w:sz w:val="24"/>
                <w:szCs w:val="24"/>
                <w:lang w:val="en-US" w:eastAsia="zh-CN" w:bidi="ar-SA"/>
              </w:rPr>
            </w:pP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1A359DD">
            <w:pPr>
              <w:pageBreakBefore w:val="0"/>
              <w:kinsoku/>
              <w:wordWrap/>
              <w:overflowPunct/>
              <w:topLinePunct w:val="0"/>
              <w:bidi w:val="0"/>
              <w:spacing w:line="360" w:lineRule="auto"/>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质保期</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582996F">
            <w:pPr>
              <w:pageBreakBefore w:val="0"/>
              <w:kinsoku/>
              <w:wordWrap/>
              <w:overflowPunct/>
              <w:topLinePunct w:val="0"/>
              <w:bidi w:val="0"/>
              <w:spacing w:line="360" w:lineRule="auto"/>
              <w:jc w:val="center"/>
              <w:rPr>
                <w:rFonts w:hint="default"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w:t>
            </w:r>
            <w:r>
              <w:rPr>
                <w:rFonts w:hint="eastAsia" w:ascii="宋体" w:hAnsi="Courier New" w:cs="Times New Roman"/>
                <w:kern w:val="2"/>
                <w:sz w:val="24"/>
                <w:szCs w:val="24"/>
                <w:lang w:val="en-US" w:eastAsia="zh-CN" w:bidi="ar-SA"/>
              </w:rPr>
              <w:t>0</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D5C3CB3">
            <w:pPr>
              <w:pageBreakBefore w:val="0"/>
              <w:widowControl/>
              <w:kinsoku/>
              <w:wordWrap/>
              <w:overflowPunct/>
              <w:topLinePunct w:val="0"/>
              <w:bidi w:val="0"/>
              <w:spacing w:line="360" w:lineRule="auto"/>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质保1年得5分，质保1.5年-2年（不含2年）得10分此项最高不超过10分。</w:t>
            </w:r>
          </w:p>
        </w:tc>
      </w:tr>
      <w:tr w14:paraId="796B18CA">
        <w:tblPrEx>
          <w:tblCellMar>
            <w:top w:w="0" w:type="dxa"/>
            <w:left w:w="0" w:type="dxa"/>
            <w:bottom w:w="0" w:type="dxa"/>
            <w:right w:w="0" w:type="dxa"/>
          </w:tblCellMar>
        </w:tblPrEx>
        <w:trPr>
          <w:cantSplit/>
          <w:trHeight w:val="986" w:hRule="atLeast"/>
        </w:trPr>
        <w:tc>
          <w:tcPr>
            <w:tcW w:w="5000" w:type="pct"/>
            <w:gridSpan w:val="5"/>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FB48C50">
            <w:pPr>
              <w:pageBreakBefore w:val="0"/>
              <w:widowControl/>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备注：</w:t>
            </w:r>
          </w:p>
          <w:p w14:paraId="5F7AD9CC">
            <w:pPr>
              <w:pageBreakBefore w:val="0"/>
              <w:widowControl/>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1、通过初审者为有效投标。</w:t>
            </w:r>
          </w:p>
          <w:p w14:paraId="748B14C4">
            <w:pPr>
              <w:pageBreakBefore w:val="0"/>
              <w:widowControl/>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2、评委打分不得超过得分界限。</w:t>
            </w:r>
          </w:p>
          <w:p w14:paraId="1062769B">
            <w:pPr>
              <w:pageBreakBefore w:val="0"/>
              <w:widowControl/>
              <w:kinsoku/>
              <w:wordWrap/>
              <w:overflowPunct/>
              <w:topLinePunct w:val="0"/>
              <w:bidi w:val="0"/>
              <w:spacing w:line="360" w:lineRule="auto"/>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投标方提交的投标文件和资料必须真实有效。合同签订前，招标方有权组织联合小组（财务、技术、设备、质量等）到中标候选人实地审核，如发现投标文件和资料有弄虚作假，招标方有权取消其中标候选人资格。</w:t>
            </w:r>
          </w:p>
        </w:tc>
      </w:tr>
    </w:tbl>
    <w:p w14:paraId="2625D709">
      <w:pPr>
        <w:pageBreakBefore w:val="0"/>
        <w:kinsoku/>
        <w:wordWrap/>
        <w:overflowPunct/>
        <w:topLinePunct w:val="0"/>
        <w:bidi w:val="0"/>
        <w:spacing w:line="360" w:lineRule="auto"/>
        <w:rPr>
          <w:lang w:val="en-US" w:eastAsia="zh-CN"/>
        </w:rPr>
      </w:pPr>
    </w:p>
    <w:bookmarkEnd w:id="3"/>
    <w:p w14:paraId="7F1273C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黑体" w:hAnsi="黑体" w:eastAsia="黑体" w:cs="黑体"/>
          <w:b/>
          <w:bCs/>
          <w:sz w:val="28"/>
          <w:szCs w:val="28"/>
          <w:lang w:val="en-US" w:eastAsia="zh-CN"/>
        </w:rPr>
        <w:t>八、协议签订</w:t>
      </w:r>
    </w:p>
    <w:p w14:paraId="5B2FB70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E78770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537903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14:paraId="3395B91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6C1B148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236CE09B">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14:paraId="46104F0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黑体" w:hAnsi="黑体" w:eastAsia="黑体" w:cs="黑体"/>
          <w:b/>
          <w:bCs/>
          <w:sz w:val="28"/>
          <w:szCs w:val="28"/>
          <w:lang w:val="en-US" w:eastAsia="zh-CN"/>
        </w:rPr>
        <w:t>九、废标及终止招标</w:t>
      </w:r>
    </w:p>
    <w:p w14:paraId="3F99201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BF0EF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14:paraId="7AFD065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14:paraId="6F6936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14:paraId="5DABC79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14:paraId="1693E40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14:paraId="6C26B5E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14:paraId="5E625D1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14:paraId="6FE48F8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14:paraId="0C79ADD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14:paraId="552B3E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14:paraId="1006B8A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14:paraId="3C392C7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14:paraId="2E2224E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14:paraId="54670CF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14:paraId="21E3369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14:paraId="510D267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14:paraId="73E9FAF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14:paraId="6696C9E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十、中标人瑕疵滞后发现的处理原则</w:t>
      </w:r>
    </w:p>
    <w:p w14:paraId="10428316">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205D8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十一、交货</w:t>
      </w:r>
    </w:p>
    <w:p w14:paraId="20F41975">
      <w:pPr>
        <w:pageBreakBefore w:val="0"/>
        <w:kinsoku/>
        <w:wordWrap/>
        <w:overflowPunct/>
        <w:topLinePunct w:val="0"/>
        <w:bidi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交货期：从招标人发出要货通知后，中标单位须在</w:t>
      </w:r>
      <w:r>
        <w:rPr>
          <w:rFonts w:hint="eastAsia" w:ascii="宋体" w:hAnsi="宋体" w:cs="宋体"/>
          <w:kern w:val="2"/>
          <w:sz w:val="24"/>
          <w:szCs w:val="24"/>
          <w:highlight w:val="yellow"/>
          <w:lang w:val="en-US" w:eastAsia="zh-CN" w:bidi="ar-SA"/>
        </w:rPr>
        <w:t>40个自然日</w:t>
      </w:r>
      <w:r>
        <w:rPr>
          <w:rFonts w:hint="eastAsia" w:ascii="宋体" w:hAnsi="宋体" w:eastAsia="宋体" w:cs="宋体"/>
          <w:kern w:val="2"/>
          <w:sz w:val="24"/>
          <w:szCs w:val="24"/>
          <w:highlight w:val="yellow"/>
          <w:lang w:val="en-US" w:eastAsia="zh-CN" w:bidi="ar-SA"/>
        </w:rPr>
        <w:t>内</w:t>
      </w:r>
      <w:r>
        <w:rPr>
          <w:rFonts w:hint="eastAsia" w:ascii="宋体" w:hAnsi="宋体" w:eastAsia="宋体" w:cs="宋体"/>
          <w:kern w:val="2"/>
          <w:sz w:val="24"/>
          <w:szCs w:val="24"/>
          <w:highlight w:val="none"/>
          <w:lang w:val="en-US" w:eastAsia="zh-CN" w:bidi="ar-SA"/>
        </w:rPr>
        <w:t>将货物送到指定地</w:t>
      </w:r>
      <w:r>
        <w:rPr>
          <w:rFonts w:hint="eastAsia" w:ascii="宋体" w:hAnsi="宋体" w:cs="宋体"/>
          <w:kern w:val="2"/>
          <w:sz w:val="24"/>
          <w:szCs w:val="24"/>
          <w:highlight w:val="none"/>
          <w:lang w:val="en-US" w:eastAsia="zh-CN" w:bidi="ar-SA"/>
        </w:rPr>
        <w:t>点。</w:t>
      </w:r>
    </w:p>
    <w:p w14:paraId="50BAB8D7">
      <w:pPr>
        <w:pStyle w:val="12"/>
        <w:pageBreakBefore w:val="0"/>
        <w:kinsoku/>
        <w:wordWrap/>
        <w:overflowPunct/>
        <w:topLinePunct w:val="0"/>
        <w:bidi w:val="0"/>
        <w:spacing w:line="360" w:lineRule="auto"/>
        <w:ind w:firstLine="480" w:firstLineChars="200"/>
        <w:rPr>
          <w:sz w:val="24"/>
          <w:szCs w:val="24"/>
          <w:highlight w:val="none"/>
        </w:rPr>
      </w:pPr>
      <w:r>
        <w:rPr>
          <w:rFonts w:hint="eastAsia"/>
          <w:sz w:val="24"/>
          <w:szCs w:val="24"/>
          <w:highlight w:val="none"/>
        </w:rPr>
        <w:t>2、</w:t>
      </w:r>
      <w:r>
        <w:rPr>
          <w:rFonts w:hint="eastAsia"/>
          <w:sz w:val="24"/>
          <w:szCs w:val="24"/>
          <w:highlight w:val="none"/>
          <w:lang w:val="en-US" w:eastAsia="zh-CN"/>
        </w:rPr>
        <w:t>交货</w:t>
      </w:r>
      <w:r>
        <w:rPr>
          <w:rFonts w:hint="eastAsia"/>
          <w:sz w:val="24"/>
          <w:szCs w:val="24"/>
          <w:highlight w:val="none"/>
        </w:rPr>
        <w:t>地点：中国重汽集团济南商用车有限公司或招标人指定地点。</w:t>
      </w:r>
    </w:p>
    <w:p w14:paraId="40B2B5CD">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3、交货验收方式详见《技术协议书》。</w:t>
      </w:r>
    </w:p>
    <w:p w14:paraId="6B58564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十二、技术协议书</w:t>
      </w:r>
    </w:p>
    <w:p w14:paraId="486120FE">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14:paraId="50B882E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十三、本次招标最终解释权归中国重汽集团济南智能装备有限公司所有。</w:t>
      </w:r>
    </w:p>
    <w:p w14:paraId="06D7AF78">
      <w:pPr>
        <w:pageBreakBefore w:val="0"/>
        <w:kinsoku/>
        <w:wordWrap/>
        <w:overflowPunct/>
        <w:topLinePunct w:val="0"/>
        <w:bidi w:val="0"/>
        <w:spacing w:line="360" w:lineRule="auto"/>
        <w:rPr>
          <w:rFonts w:eastAsia="黑体"/>
          <w:b/>
          <w:bCs/>
          <w:sz w:val="28"/>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7B5E695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14:paraId="46B5B33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一、投标文件签署</w:t>
      </w:r>
    </w:p>
    <w:p w14:paraId="4E0E91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36150F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14:paraId="46284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14:paraId="6B804C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14:paraId="2728BC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14:paraId="0F30C3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二、投标文件的组成</w:t>
      </w:r>
    </w:p>
    <w:p w14:paraId="539DA17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14:paraId="7FACC7A9">
      <w:pPr>
        <w:pStyle w:val="12"/>
        <w:pageBreakBefore w:val="0"/>
        <w:kinsoku/>
        <w:wordWrap/>
        <w:overflowPunct/>
        <w:topLinePunct w:val="0"/>
        <w:bidi w:val="0"/>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资质文件</w:t>
      </w:r>
      <w:r>
        <w:rPr>
          <w:rFonts w:hint="eastAsia" w:ascii="宋体" w:hAnsi="宋体" w:eastAsia="宋体" w:cs="宋体"/>
          <w:b/>
          <w:sz w:val="24"/>
          <w:szCs w:val="24"/>
          <w:highlight w:val="none"/>
        </w:rPr>
        <w:t>：</w:t>
      </w:r>
      <w:r>
        <w:rPr>
          <w:rFonts w:hint="eastAsia" w:ascii="宋体" w:hAnsi="宋体" w:eastAsia="宋体" w:cs="宋体"/>
          <w:sz w:val="24"/>
          <w:szCs w:val="24"/>
        </w:rPr>
        <w:t>内容包括：</w:t>
      </w:r>
    </w:p>
    <w:p w14:paraId="767614D3">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14:paraId="1E1BAD8E">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14:paraId="14FE2ED0">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36B0412">
      <w:pPr>
        <w:pageBreakBefore w:val="0"/>
        <w:kinsoku/>
        <w:wordWrap/>
        <w:overflowPunct/>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14:paraId="6B619D69">
      <w:pPr>
        <w:pageBreakBefore w:val="0"/>
        <w:kinsoku/>
        <w:wordWrap/>
        <w:overflowPunct/>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14:paraId="68AD59E5">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14:paraId="166B7C90">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14:paraId="6EC5A539">
      <w:pPr>
        <w:pageBreakBefore w:val="0"/>
        <w:kinsoku/>
        <w:wordWrap/>
        <w:overflowPunct/>
        <w:topLinePunct w:val="0"/>
        <w:bidi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14:paraId="54D01F37">
      <w:pPr>
        <w:pageBreakBefore w:val="0"/>
        <w:kinsoku/>
        <w:wordWrap/>
        <w:overflowPunct/>
        <w:topLinePunct w:val="0"/>
        <w:bidi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14:paraId="42AE0D41">
      <w:pPr>
        <w:pageBreakBefore w:val="0"/>
        <w:kinsoku/>
        <w:wordWrap/>
        <w:overflowPunct/>
        <w:topLinePunct w:val="0"/>
        <w:bidi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14:paraId="3F888A95">
      <w:pPr>
        <w:pageBreakBefore w:val="0"/>
        <w:kinsoku/>
        <w:wordWrap/>
        <w:overflowPunct/>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14:paraId="13857EF6">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hAnsi="宋体" w:eastAsia="宋体" w:cs="宋体"/>
          <w:b/>
          <w:bCs/>
          <w:sz w:val="24"/>
          <w:szCs w:val="24"/>
          <w:lang w:val="en-US" w:eastAsia="zh-CN"/>
        </w:rPr>
        <w:t>2)</w:t>
      </w:r>
      <w:r>
        <w:rPr>
          <w:rFonts w:hint="eastAsia" w:ascii="宋体" w:hAnsi="宋体" w:eastAsia="宋体" w:cs="宋体"/>
          <w:b/>
          <w:sz w:val="24"/>
          <w:szCs w:val="24"/>
          <w:highlight w:val="none"/>
        </w:rPr>
        <w:t>技术标书：</w:t>
      </w:r>
      <w:r>
        <w:rPr>
          <w:rFonts w:hint="eastAsia" w:ascii="宋体" w:hAnsi="宋体" w:eastAsia="宋体" w:cs="宋体"/>
          <w:sz w:val="24"/>
          <w:szCs w:val="24"/>
          <w:highlight w:val="none"/>
        </w:rPr>
        <w:t>内容包括但不限于：</w:t>
      </w:r>
    </w:p>
    <w:p w14:paraId="30B55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）技术偏离表；</w:t>
      </w:r>
    </w:p>
    <w:p w14:paraId="20B02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）近三年同类项目业绩一览表及完整、有效的合同复印件。</w:t>
      </w:r>
    </w:p>
    <w:p w14:paraId="3AC18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）相关人员、设备及资质，具有应对招标人紧急采购需求的能力等相关证明文件；</w:t>
      </w:r>
    </w:p>
    <w:p w14:paraId="3AF26C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lang w:val="en-US" w:eastAsia="zh-CN"/>
        </w:rPr>
        <w:t>4</w:t>
      </w:r>
      <w:r>
        <w:rPr>
          <w:rFonts w:hint="eastAsia" w:ascii="宋体" w:hAnsi="宋体" w:eastAsia="宋体" w:cs="宋体"/>
          <w:sz w:val="24"/>
          <w:szCs w:val="24"/>
        </w:rPr>
        <w:t>）可提供的增值服务，如免费的驻厂服务及技术支持、免费更换配件、以旧换新等</w:t>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p>
    <w:p w14:paraId="27A15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）第三方出具的产品性能检验检测报告复印件，加盖公章；</w:t>
      </w:r>
    </w:p>
    <w:p w14:paraId="1B809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）投标人的产品优势，在其他项目中的案例照片等；</w:t>
      </w:r>
    </w:p>
    <w:p w14:paraId="5D67C9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）投标人需提交的其他资料。</w:t>
      </w:r>
    </w:p>
    <w:p w14:paraId="110FC919">
      <w:pPr>
        <w:pStyle w:val="12"/>
        <w:pageBreakBefore w:val="0"/>
        <w:kinsoku/>
        <w:wordWrap/>
        <w:overflowPunct/>
        <w:topLinePunct w:val="0"/>
        <w:bidi w:val="0"/>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14:paraId="33DF6324">
      <w:pPr>
        <w:pStyle w:val="12"/>
        <w:pageBreakBefore w:val="0"/>
        <w:kinsoku/>
        <w:wordWrap/>
        <w:overflowPunct/>
        <w:topLinePunct w:val="0"/>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（1）开标一览表</w:t>
      </w:r>
      <w:r>
        <w:rPr>
          <w:rFonts w:hint="eastAsia" w:hAnsi="宋体" w:cs="宋体"/>
          <w:sz w:val="24"/>
          <w:szCs w:val="24"/>
          <w:lang w:val="en-US" w:eastAsia="zh-CN"/>
        </w:rPr>
        <w:t>;</w:t>
      </w:r>
    </w:p>
    <w:p w14:paraId="6B118841">
      <w:pPr>
        <w:pStyle w:val="12"/>
        <w:pageBreakBefore w:val="0"/>
        <w:kinsoku/>
        <w:wordWrap/>
        <w:overflowPunct/>
        <w:topLinePunct w:val="0"/>
        <w:bidi w:val="0"/>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14:paraId="7DEFE7D7">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w:t>
      </w:r>
    </w:p>
    <w:p w14:paraId="7DAEBC42">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w:t>
      </w:r>
    </w:p>
    <w:p w14:paraId="34B7ECAC">
      <w:pPr>
        <w:pageBreakBefore w:val="0"/>
        <w:kinsoku/>
        <w:wordWrap/>
        <w:overflowPunct/>
        <w:topLinePunct w:val="0"/>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Cs/>
          <w:sz w:val="24"/>
          <w:szCs w:val="24"/>
        </w:rPr>
        <w:t>采购分项目报价单</w:t>
      </w:r>
      <w:r>
        <w:rPr>
          <w:rFonts w:hint="eastAsia" w:ascii="宋体" w:hAnsi="宋体" w:eastAsia="宋体" w:cs="宋体"/>
          <w:sz w:val="24"/>
          <w:szCs w:val="24"/>
          <w:lang w:eastAsia="zh-CN"/>
        </w:rPr>
        <w:t>；</w:t>
      </w:r>
    </w:p>
    <w:p w14:paraId="6A9A3343">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w:t>
      </w:r>
    </w:p>
    <w:p w14:paraId="5B645097">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w:t>
      </w:r>
    </w:p>
    <w:p w14:paraId="448C126C">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14:paraId="248106A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三、投标文件格式要求</w:t>
      </w:r>
    </w:p>
    <w:p w14:paraId="6F8FF877">
      <w:pPr>
        <w:pStyle w:val="12"/>
        <w:pageBreakBefore w:val="0"/>
        <w:kinsoku/>
        <w:wordWrap/>
        <w:overflowPunct/>
        <w:topLinePunct w:val="0"/>
        <w:bidi w:val="0"/>
        <w:spacing w:line="360" w:lineRule="auto"/>
        <w:ind w:firstLine="480" w:firstLineChars="200"/>
        <w:rPr>
          <w:rFonts w:hint="eastAsia" w:hAnsi="宋体"/>
        </w:rPr>
        <w:sectPr>
          <w:headerReference r:id="rId7" w:type="default"/>
          <w:pgSz w:w="11907" w:h="16840"/>
          <w:pgMar w:top="1701" w:right="1871" w:bottom="1588" w:left="1871" w:header="851" w:footer="851" w:gutter="0"/>
          <w:pgBorders>
            <w:top w:val="none" w:sz="0" w:space="0"/>
            <w:left w:val="none" w:sz="0" w:space="0"/>
            <w:bottom w:val="none" w:sz="0" w:space="0"/>
            <w:right w:val="none" w:sz="0" w:space="0"/>
          </w:pgBorders>
          <w:pgNumType w:fmt="numberInDash"/>
          <w:cols w:space="720" w:num="1"/>
        </w:sectPr>
      </w:pPr>
      <w:r>
        <w:rPr>
          <w:rFonts w:hint="eastAsia" w:hAnsi="宋体"/>
          <w:sz w:val="24"/>
          <w:szCs w:val="24"/>
        </w:rPr>
        <w:t>详见附件</w:t>
      </w:r>
      <w:r>
        <w:rPr>
          <w:rFonts w:hint="eastAsia" w:hAnsi="宋体"/>
        </w:rPr>
        <w:t>。</w:t>
      </w:r>
    </w:p>
    <w:p w14:paraId="49F98DA3">
      <w:pPr>
        <w:pageBreakBefore w:val="0"/>
        <w:widowControl/>
        <w:kinsoku/>
        <w:wordWrap/>
        <w:overflowPunct/>
        <w:topLinePunct w:val="0"/>
        <w:bidi w:val="0"/>
        <w:spacing w:line="360" w:lineRule="auto"/>
        <w:jc w:val="left"/>
        <w:rPr>
          <w:rFonts w:eastAsia="黑体"/>
          <w:b/>
          <w:bCs/>
          <w:sz w:val="28"/>
        </w:rPr>
      </w:pPr>
      <w:r>
        <w:rPr>
          <w:rFonts w:hint="eastAsia" w:eastAsia="黑体"/>
          <w:b/>
          <w:bCs/>
          <w:sz w:val="28"/>
          <w:lang w:val="en-US" w:eastAsia="zh-CN"/>
        </w:rPr>
        <w:t>附件</w:t>
      </w:r>
      <w:r>
        <w:rPr>
          <w:rFonts w:eastAsia="黑体"/>
          <w:b/>
          <w:bCs/>
          <w:sz w:val="28"/>
        </w:rPr>
        <w:t>1</w:t>
      </w:r>
    </w:p>
    <w:p w14:paraId="329AF86B">
      <w:pPr>
        <w:pStyle w:val="4"/>
        <w:pageBreakBefore w:val="0"/>
        <w:kinsoku/>
        <w:wordWrap/>
        <w:overflowPunct/>
        <w:topLinePunct w:val="0"/>
        <w:bidi w:val="0"/>
        <w:spacing w:before="0" w:after="0" w:line="360" w:lineRule="auto"/>
        <w:jc w:val="center"/>
        <w:rPr>
          <w:color w:val="000000"/>
        </w:rPr>
      </w:pPr>
      <w:bookmarkStart w:id="4" w:name="_Toc47195365"/>
      <w:bookmarkStart w:id="5" w:name="_Toc45980797"/>
      <w:r>
        <w:rPr>
          <w:rFonts w:hint="eastAsia"/>
          <w:color w:val="000000"/>
        </w:rPr>
        <w:t>投标函</w:t>
      </w:r>
      <w:bookmarkEnd w:id="4"/>
      <w:bookmarkEnd w:id="5"/>
    </w:p>
    <w:p w14:paraId="563E5B1F">
      <w:pPr>
        <w:pageBreakBefore w:val="0"/>
        <w:kinsoku/>
        <w:wordWrap/>
        <w:overflowPunct/>
        <w:topLinePunct w:val="0"/>
        <w:bidi w:val="0"/>
        <w:spacing w:line="360" w:lineRule="auto"/>
        <w:rPr>
          <w:rFonts w:hint="eastAsia" w:ascii="宋体" w:hAnsi="宋体" w:cs="宋体" w:eastAsiaTheme="minorEastAsia"/>
          <w:color w:val="000000"/>
          <w:sz w:val="24"/>
          <w:szCs w:val="24"/>
          <w:u w:val="single"/>
          <w:lang w:eastAsia="zh-CN"/>
        </w:rPr>
      </w:pPr>
      <w:r>
        <w:rPr>
          <w:rFonts w:hint="eastAsia" w:ascii="宋体" w:hAnsi="宋体" w:eastAsia="宋体" w:cs="宋体"/>
          <w:color w:val="000000"/>
          <w:sz w:val="24"/>
          <w:szCs w:val="24"/>
        </w:rPr>
        <w:t>致</w:t>
      </w:r>
      <w:r>
        <w:rPr>
          <w:rFonts w:hint="eastAsia" w:asciiTheme="minorEastAsia" w:hAnsiTheme="minorEastAsia" w:eastAsiaTheme="minorEastAsia" w:cstheme="minorEastAsia"/>
          <w:sz w:val="24"/>
          <w:szCs w:val="24"/>
          <w:u w:val="single"/>
        </w:rPr>
        <w:t>中国重汽集团济南</w:t>
      </w:r>
      <w:r>
        <w:rPr>
          <w:rFonts w:hint="eastAsia" w:asciiTheme="minorEastAsia" w:hAnsiTheme="minorEastAsia" w:eastAsiaTheme="minorEastAsia" w:cstheme="minorEastAsia"/>
          <w:sz w:val="24"/>
          <w:szCs w:val="24"/>
          <w:u w:val="single"/>
          <w:lang w:val="en-US" w:eastAsia="zh-CN"/>
        </w:rPr>
        <w:t>智能装备</w:t>
      </w:r>
      <w:r>
        <w:rPr>
          <w:rFonts w:hint="eastAsia" w:asciiTheme="minorEastAsia" w:hAnsiTheme="minorEastAsia" w:eastAsiaTheme="minorEastAsia" w:cstheme="minorEastAsia"/>
          <w:sz w:val="24"/>
          <w:szCs w:val="24"/>
          <w:u w:val="single"/>
        </w:rPr>
        <w:t>有限公司</w:t>
      </w:r>
      <w:r>
        <w:rPr>
          <w:rFonts w:hint="eastAsia" w:asciiTheme="minorEastAsia" w:hAnsiTheme="minorEastAsia" w:eastAsiaTheme="minorEastAsia" w:cstheme="minorEastAsia"/>
          <w:sz w:val="24"/>
          <w:szCs w:val="24"/>
          <w:u w:val="none"/>
          <w:lang w:eastAsia="zh-CN"/>
        </w:rPr>
        <w:t>：</w:t>
      </w:r>
    </w:p>
    <w:p w14:paraId="57C065D2">
      <w:pPr>
        <w:pageBreakBefore w:val="0"/>
        <w:kinsoku/>
        <w:wordWrap/>
        <w:overflowPunct/>
        <w:topLinePunct w:val="0"/>
        <w:bidi w:val="0"/>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7E0A0D74">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14:paraId="14DA9224">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14:paraId="760EADA7">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14:paraId="3BA1D809">
      <w:pPr>
        <w:pageBreakBefore w:val="0"/>
        <w:kinsoku/>
        <w:wordWrap/>
        <w:overflowPunct/>
        <w:topLinePunct w:val="0"/>
        <w:bidi w:val="0"/>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14:paraId="198C36BC">
      <w:pPr>
        <w:pageBreakBefore w:val="0"/>
        <w:kinsoku/>
        <w:wordWrap/>
        <w:overflowPunct/>
        <w:topLinePunct w:val="0"/>
        <w:bidi w:val="0"/>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14:paraId="5E3656B5">
      <w:pPr>
        <w:pageBreakBefore w:val="0"/>
        <w:kinsoku/>
        <w:wordWrap/>
        <w:overflowPunct/>
        <w:topLinePunct w:val="0"/>
        <w:bidi w:val="0"/>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14:paraId="1FFB944A">
      <w:pPr>
        <w:pageBreakBefore w:val="0"/>
        <w:kinsoku/>
        <w:wordWrap/>
        <w:overflowPunct/>
        <w:topLinePunct w:val="0"/>
        <w:bidi w:val="0"/>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14:paraId="6ABF8783">
      <w:pPr>
        <w:pageBreakBefore w:val="0"/>
        <w:kinsoku/>
        <w:wordWrap/>
        <w:overflowPunct/>
        <w:topLinePunct w:val="0"/>
        <w:bidi w:val="0"/>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14:paraId="0A8268EC">
      <w:pPr>
        <w:pageBreakBefore w:val="0"/>
        <w:kinsoku/>
        <w:wordWrap/>
        <w:overflowPunct/>
        <w:topLinePunct w:val="0"/>
        <w:bidi w:val="0"/>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14:paraId="28371F0E">
      <w:pPr>
        <w:pageBreakBefore w:val="0"/>
        <w:kinsoku/>
        <w:wordWrap/>
        <w:overflowPunct/>
        <w:topLinePunct w:val="0"/>
        <w:bidi w:val="0"/>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14:paraId="6F805A28">
      <w:pPr>
        <w:pageBreakBefore w:val="0"/>
        <w:kinsoku/>
        <w:wordWrap/>
        <w:overflowPunct/>
        <w:topLinePunct w:val="0"/>
        <w:bidi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14:paraId="703925E9">
      <w:pPr>
        <w:pageBreakBefore w:val="0"/>
        <w:kinsoku/>
        <w:wordWrap/>
        <w:overflowPunct/>
        <w:topLinePunct w:val="0"/>
        <w:bidi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14:paraId="7D7871B9">
      <w:pPr>
        <w:pageBreakBefore w:val="0"/>
        <w:kinsoku/>
        <w:wordWrap/>
        <w:overflowPunct/>
        <w:topLinePunct w:val="0"/>
        <w:bidi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4389FAB">
      <w:pPr>
        <w:pageBreakBefore w:val="0"/>
        <w:kinsoku/>
        <w:wordWrap/>
        <w:overflowPunct/>
        <w:topLinePunct w:val="0"/>
        <w:bidi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14:paraId="57CA600D">
      <w:pPr>
        <w:pageBreakBefore w:val="0"/>
        <w:kinsoku/>
        <w:wordWrap/>
        <w:overflowPunct/>
        <w:topLinePunct w:val="0"/>
        <w:bidi w:val="0"/>
        <w:spacing w:line="360" w:lineRule="auto"/>
        <w:ind w:firstLine="3960"/>
        <w:rPr>
          <w:rFonts w:hint="eastAsia" w:ascii="宋体" w:hAnsi="宋体" w:eastAsia="宋体" w:cs="宋体"/>
          <w:color w:val="000000"/>
          <w:sz w:val="24"/>
          <w:szCs w:val="24"/>
        </w:rPr>
      </w:pPr>
    </w:p>
    <w:p w14:paraId="733336F0">
      <w:pPr>
        <w:pageBreakBefore w:val="0"/>
        <w:kinsoku/>
        <w:wordWrap/>
        <w:overflowPunct/>
        <w:topLinePunct w:val="0"/>
        <w:bidi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14:paraId="754822D9">
      <w:pPr>
        <w:pageBreakBefore w:val="0"/>
        <w:kinsoku/>
        <w:wordWrap/>
        <w:overflowPunct/>
        <w:topLinePunct w:val="0"/>
        <w:bidi w:val="0"/>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14:paraId="5A4548BB">
      <w:pPr>
        <w:pageBreakBefore w:val="0"/>
        <w:kinsoku/>
        <w:wordWrap/>
        <w:overflowPunct/>
        <w:topLinePunct w:val="0"/>
        <w:bidi w:val="0"/>
        <w:spacing w:line="360" w:lineRule="auto"/>
        <w:rPr>
          <w:rFonts w:hint="eastAsia" w:eastAsia="黑体"/>
          <w:b/>
          <w:bCs/>
          <w:sz w:val="28"/>
        </w:rPr>
      </w:pPr>
      <w:r>
        <w:rPr>
          <w:rFonts w:hint="eastAsia" w:eastAsia="黑体"/>
          <w:b/>
          <w:bCs/>
          <w:sz w:val="28"/>
          <w:lang w:val="en-US" w:eastAsia="zh-CN"/>
        </w:rPr>
        <w:t>附件</w:t>
      </w:r>
      <w:r>
        <w:rPr>
          <w:rFonts w:hint="eastAsia" w:eastAsia="黑体"/>
          <w:b/>
          <w:bCs/>
          <w:sz w:val="28"/>
        </w:rPr>
        <w:t>2</w:t>
      </w:r>
    </w:p>
    <w:p w14:paraId="7747153D">
      <w:pPr>
        <w:pageBreakBefore w:val="0"/>
        <w:kinsoku/>
        <w:wordWrap/>
        <w:overflowPunct/>
        <w:topLinePunct w:val="0"/>
        <w:bidi w:val="0"/>
        <w:spacing w:line="360" w:lineRule="auto"/>
        <w:rPr>
          <w:rFonts w:eastAsia="黑体"/>
          <w:b/>
          <w:bCs/>
          <w:sz w:val="28"/>
        </w:rPr>
      </w:pPr>
      <w:r>
        <w:rPr>
          <w:rFonts w:hint="eastAsia" w:eastAsia="黑体"/>
          <w:b/>
          <w:bCs/>
          <w:sz w:val="28"/>
        </w:rPr>
        <w:t>《开标一览表》请单独封存，以备唱标使用。</w:t>
      </w:r>
    </w:p>
    <w:p w14:paraId="14D847F7">
      <w:pPr>
        <w:pageBreakBefore w:val="0"/>
        <w:kinsoku/>
        <w:wordWrap/>
        <w:overflowPunct/>
        <w:topLinePunct w:val="0"/>
        <w:bidi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tbl>
      <w:tblPr>
        <w:tblStyle w:val="24"/>
        <w:tblW w:w="9688" w:type="dxa"/>
        <w:tblInd w:w="-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0"/>
        <w:gridCol w:w="1926"/>
        <w:gridCol w:w="1422"/>
        <w:gridCol w:w="1968"/>
        <w:gridCol w:w="1752"/>
        <w:gridCol w:w="830"/>
        <w:gridCol w:w="1010"/>
      </w:tblGrid>
      <w:tr w14:paraId="4E63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780" w:type="dxa"/>
            <w:tcBorders>
              <w:top w:val="single" w:color="000000" w:sz="4" w:space="0"/>
              <w:left w:val="single" w:color="000000" w:sz="4" w:space="0"/>
              <w:bottom w:val="single" w:color="000000" w:sz="4" w:space="0"/>
              <w:right w:val="single" w:color="000000" w:sz="4" w:space="0"/>
            </w:tcBorders>
            <w:noWrap/>
            <w:vAlign w:val="center"/>
          </w:tcPr>
          <w:p w14:paraId="18F6EE40">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926" w:type="dxa"/>
            <w:tcBorders>
              <w:top w:val="single" w:color="000000" w:sz="4" w:space="0"/>
              <w:left w:val="single" w:color="000000" w:sz="4" w:space="0"/>
              <w:bottom w:val="single" w:color="000000" w:sz="4" w:space="0"/>
              <w:right w:val="single" w:color="000000" w:sz="4" w:space="0"/>
            </w:tcBorders>
            <w:noWrap/>
            <w:vAlign w:val="center"/>
          </w:tcPr>
          <w:p w14:paraId="2BDD1E0F">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货物名称</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3478C4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拟需求数量</w:t>
            </w:r>
          </w:p>
          <w:p w14:paraId="71C798FC">
            <w:pPr>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w:t>
            </w:r>
            <w:r>
              <w:rPr>
                <w:rFonts w:hint="eastAsia" w:ascii="宋体" w:hAnsi="宋体" w:cs="宋体"/>
                <w:b/>
                <w:bCs/>
                <w:i w:val="0"/>
                <w:iCs w:val="0"/>
                <w:color w:val="000000"/>
                <w:kern w:val="0"/>
                <w:sz w:val="18"/>
                <w:szCs w:val="18"/>
                <w:u w:val="none"/>
                <w:lang w:val="en-US" w:eastAsia="zh-CN" w:bidi="ar"/>
              </w:rPr>
              <w:t>单位：</w:t>
            </w:r>
            <w:r>
              <w:rPr>
                <w:rFonts w:hint="eastAsia" w:ascii="宋体" w:hAnsi="宋体" w:eastAsia="宋体" w:cs="宋体"/>
                <w:b/>
                <w:bCs/>
                <w:i w:val="0"/>
                <w:iCs w:val="0"/>
                <w:color w:val="000000"/>
                <w:kern w:val="0"/>
                <w:sz w:val="18"/>
                <w:szCs w:val="18"/>
                <w:u w:val="none"/>
                <w:lang w:val="en-US" w:eastAsia="zh-CN" w:bidi="ar"/>
              </w:rPr>
              <w:t>个，</w:t>
            </w:r>
          </w:p>
          <w:p w14:paraId="6C3259ED">
            <w:pPr>
              <w:jc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以实际采购数量为准）</w:t>
            </w:r>
          </w:p>
        </w:tc>
        <w:tc>
          <w:tcPr>
            <w:tcW w:w="1968" w:type="dxa"/>
            <w:tcBorders>
              <w:top w:val="single" w:color="000000" w:sz="4" w:space="0"/>
              <w:left w:val="single" w:color="000000" w:sz="4" w:space="0"/>
              <w:bottom w:val="single" w:color="000000" w:sz="4" w:space="0"/>
              <w:right w:val="single" w:color="000000" w:sz="4" w:space="0"/>
            </w:tcBorders>
            <w:noWrap/>
            <w:vAlign w:val="center"/>
          </w:tcPr>
          <w:p w14:paraId="41350741">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投标总价</w:t>
            </w:r>
          </w:p>
          <w:p w14:paraId="0AA04469">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（万元，不含税）</w:t>
            </w:r>
          </w:p>
        </w:tc>
        <w:tc>
          <w:tcPr>
            <w:tcW w:w="1752" w:type="dxa"/>
            <w:tcBorders>
              <w:top w:val="single" w:color="000000" w:sz="4" w:space="0"/>
              <w:left w:val="single" w:color="000000" w:sz="4" w:space="0"/>
              <w:bottom w:val="single" w:color="000000" w:sz="4" w:space="0"/>
              <w:right w:val="single" w:color="000000" w:sz="4" w:space="0"/>
            </w:tcBorders>
            <w:noWrap/>
            <w:vAlign w:val="center"/>
          </w:tcPr>
          <w:p w14:paraId="28E8748B">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投标总价</w:t>
            </w:r>
          </w:p>
          <w:p w14:paraId="7F338D0B">
            <w:pPr>
              <w:pageBreakBefore w:val="0"/>
              <w:kinsoku/>
              <w:wordWrap/>
              <w:overflowPunct/>
              <w:topLinePunct w:val="0"/>
              <w:bidi w:val="0"/>
              <w:spacing w:line="360" w:lineRule="auto"/>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（万元，含税）</w:t>
            </w:r>
          </w:p>
        </w:tc>
        <w:tc>
          <w:tcPr>
            <w:tcW w:w="830" w:type="dxa"/>
            <w:tcBorders>
              <w:top w:val="single" w:color="000000" w:sz="4" w:space="0"/>
              <w:left w:val="single" w:color="000000" w:sz="4" w:space="0"/>
              <w:bottom w:val="single" w:color="000000" w:sz="4" w:space="0"/>
              <w:right w:val="single" w:color="000000" w:sz="4" w:space="0"/>
            </w:tcBorders>
            <w:noWrap/>
            <w:vAlign w:val="center"/>
          </w:tcPr>
          <w:p w14:paraId="336BABE8">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税率</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547358E0">
            <w:pPr>
              <w:keepNext w:val="0"/>
              <w:keepLines w:val="0"/>
              <w:pageBreakBefore w:val="0"/>
              <w:widowControl/>
              <w:suppressLineNumbers w:val="0"/>
              <w:kinsoku/>
              <w:wordWrap/>
              <w:overflowPunct/>
              <w:topLinePunct w:val="0"/>
              <w:bidi w:val="0"/>
              <w:spacing w:line="360" w:lineRule="auto"/>
              <w:jc w:val="center"/>
              <w:textAlignment w:val="center"/>
              <w:rPr>
                <w:rFonts w:hint="default"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质保期</w:t>
            </w:r>
          </w:p>
        </w:tc>
      </w:tr>
      <w:tr w14:paraId="36F54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8" w:hRule="atLeast"/>
        </w:trPr>
        <w:tc>
          <w:tcPr>
            <w:tcW w:w="780" w:type="dxa"/>
            <w:tcBorders>
              <w:top w:val="single" w:color="000000" w:sz="4" w:space="0"/>
              <w:left w:val="single" w:color="000000" w:sz="4" w:space="0"/>
              <w:bottom w:val="single" w:color="000000" w:sz="4" w:space="0"/>
              <w:right w:val="single" w:color="000000" w:sz="4" w:space="0"/>
            </w:tcBorders>
            <w:noWrap/>
            <w:vAlign w:val="center"/>
          </w:tcPr>
          <w:p w14:paraId="6CC3012E">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val="0"/>
                <w:bCs w:val="0"/>
                <w:i w:val="0"/>
                <w:iCs w:val="0"/>
                <w:color w:val="000000"/>
                <w:sz w:val="21"/>
                <w:szCs w:val="21"/>
                <w:u w:val="none"/>
              </w:rPr>
            </w:pPr>
            <w:r>
              <w:rPr>
                <w:b w:val="0"/>
                <w:bCs/>
                <w:sz w:val="21"/>
                <w:szCs w:val="21"/>
              </w:rPr>
              <w:t>1</w:t>
            </w:r>
          </w:p>
        </w:tc>
        <w:tc>
          <w:tcPr>
            <w:tcW w:w="1926" w:type="dxa"/>
            <w:tcBorders>
              <w:top w:val="single" w:color="000000" w:sz="4" w:space="0"/>
              <w:left w:val="single" w:color="000000" w:sz="4" w:space="0"/>
              <w:bottom w:val="single" w:color="000000" w:sz="4" w:space="0"/>
              <w:right w:val="single" w:color="000000" w:sz="4" w:space="0"/>
            </w:tcBorders>
            <w:noWrap/>
            <w:vAlign w:val="center"/>
          </w:tcPr>
          <w:p w14:paraId="69E529A2">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val="0"/>
                <w:bCs w:val="0"/>
                <w:i w:val="0"/>
                <w:iCs w:val="0"/>
                <w:color w:val="000000"/>
                <w:kern w:val="0"/>
                <w:sz w:val="21"/>
                <w:szCs w:val="21"/>
                <w:u w:val="none"/>
                <w:lang w:val="en-US" w:eastAsia="zh-CN" w:bidi="ar"/>
              </w:rPr>
            </w:pPr>
            <w:r>
              <w:rPr>
                <w:rFonts w:hint="eastAsia"/>
                <w:b w:val="0"/>
                <w:bCs/>
                <w:sz w:val="21"/>
                <w:szCs w:val="21"/>
              </w:rPr>
              <w:t>全新一代车型器具采购项目</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726E0DBA">
            <w:pPr>
              <w:keepNext w:val="0"/>
              <w:keepLines w:val="0"/>
              <w:pageBreakBefore w:val="0"/>
              <w:widowControl/>
              <w:suppressLineNumbers w:val="0"/>
              <w:kinsoku/>
              <w:wordWrap/>
              <w:overflowPunct/>
              <w:topLinePunct w:val="0"/>
              <w:bidi w:val="0"/>
              <w:spacing w:line="360" w:lineRule="auto"/>
              <w:jc w:val="center"/>
              <w:textAlignment w:val="center"/>
              <w:rPr>
                <w:rFonts w:hint="default" w:asciiTheme="minorEastAsia" w:hAnsiTheme="minorEastAsia" w:eastAsiaTheme="minorEastAsia" w:cstheme="minorEastAsia"/>
                <w:b w:val="0"/>
                <w:bCs w:val="0"/>
                <w:i w:val="0"/>
                <w:iCs w:val="0"/>
                <w:color w:val="000000"/>
                <w:sz w:val="21"/>
                <w:szCs w:val="21"/>
                <w:u w:val="none"/>
                <w:lang w:val="en-US" w:eastAsia="zh-CN"/>
              </w:rPr>
            </w:pPr>
            <w:r>
              <w:rPr>
                <w:rFonts w:hint="eastAsia" w:asciiTheme="minorEastAsia" w:hAnsiTheme="minorEastAsia" w:eastAsiaTheme="minorEastAsia" w:cstheme="minorEastAsia"/>
                <w:b w:val="0"/>
                <w:bCs w:val="0"/>
                <w:i w:val="0"/>
                <w:iCs w:val="0"/>
                <w:color w:val="000000"/>
                <w:sz w:val="21"/>
                <w:szCs w:val="21"/>
                <w:u w:val="none"/>
                <w:lang w:val="en-US" w:eastAsia="zh-CN"/>
              </w:rPr>
              <w:t>183</w:t>
            </w:r>
          </w:p>
        </w:tc>
        <w:tc>
          <w:tcPr>
            <w:tcW w:w="1968" w:type="dxa"/>
            <w:tcBorders>
              <w:top w:val="single" w:color="000000" w:sz="4" w:space="0"/>
              <w:left w:val="single" w:color="000000" w:sz="4" w:space="0"/>
              <w:bottom w:val="single" w:color="000000" w:sz="4" w:space="0"/>
              <w:right w:val="single" w:color="000000" w:sz="4" w:space="0"/>
            </w:tcBorders>
            <w:noWrap/>
            <w:vAlign w:val="center"/>
          </w:tcPr>
          <w:p w14:paraId="1D60D6BD">
            <w:pPr>
              <w:pageBreakBefore w:val="0"/>
              <w:kinsoku/>
              <w:wordWrap/>
              <w:overflowPunct/>
              <w:topLinePunct w:val="0"/>
              <w:bidi w:val="0"/>
              <w:spacing w:line="36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1752" w:type="dxa"/>
            <w:tcBorders>
              <w:top w:val="single" w:color="000000" w:sz="4" w:space="0"/>
              <w:left w:val="single" w:color="000000" w:sz="4" w:space="0"/>
              <w:bottom w:val="single" w:color="000000" w:sz="4" w:space="0"/>
              <w:right w:val="single" w:color="000000" w:sz="4" w:space="0"/>
            </w:tcBorders>
            <w:noWrap/>
            <w:vAlign w:val="center"/>
          </w:tcPr>
          <w:p w14:paraId="15796525">
            <w:pPr>
              <w:pageBreakBefore w:val="0"/>
              <w:kinsoku/>
              <w:wordWrap/>
              <w:overflowPunct/>
              <w:topLinePunct w:val="0"/>
              <w:bidi w:val="0"/>
              <w:spacing w:line="360" w:lineRule="auto"/>
              <w:jc w:val="center"/>
              <w:rPr>
                <w:rFonts w:hint="eastAsia" w:asciiTheme="minorEastAsia" w:hAnsiTheme="minorEastAsia" w:eastAsiaTheme="minorEastAsia" w:cstheme="minorEastAsia"/>
                <w:b w:val="0"/>
                <w:bCs w:val="0"/>
                <w:i w:val="0"/>
                <w:iCs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noWrap/>
            <w:vAlign w:val="center"/>
          </w:tcPr>
          <w:p w14:paraId="3FC4DFBE">
            <w:pPr>
              <w:keepNext w:val="0"/>
              <w:keepLines w:val="0"/>
              <w:pageBreakBefore w:val="0"/>
              <w:widowControl/>
              <w:suppressLineNumbers w:val="0"/>
              <w:kinsoku/>
              <w:wordWrap/>
              <w:overflowPunct/>
              <w:topLinePunct w:val="0"/>
              <w:bidi w:val="0"/>
              <w:spacing w:line="360" w:lineRule="auto"/>
              <w:jc w:val="center"/>
              <w:textAlignment w:val="center"/>
              <w:rPr>
                <w:rFonts w:hint="default" w:asciiTheme="minorEastAsia" w:hAnsiTheme="minorEastAsia" w:eastAsiaTheme="minorEastAsia" w:cstheme="minorEastAsia"/>
                <w:b w:val="0"/>
                <w:bCs w:val="0"/>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i w:val="0"/>
                <w:iCs w:val="0"/>
                <w:color w:val="000000"/>
                <w:kern w:val="0"/>
                <w:sz w:val="21"/>
                <w:szCs w:val="21"/>
                <w:u w:val="none"/>
                <w:lang w:val="en-US" w:eastAsia="zh-CN" w:bidi="ar"/>
              </w:rPr>
              <w:t>13%</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0161318F">
            <w:pPr>
              <w:keepNext w:val="0"/>
              <w:keepLines w:val="0"/>
              <w:pageBreakBefore w:val="0"/>
              <w:widowControl/>
              <w:suppressLineNumbers w:val="0"/>
              <w:kinsoku/>
              <w:wordWrap/>
              <w:overflowPunct/>
              <w:topLinePunct w:val="0"/>
              <w:bidi w:val="0"/>
              <w:spacing w:line="360" w:lineRule="auto"/>
              <w:jc w:val="center"/>
              <w:textAlignment w:val="center"/>
              <w:rPr>
                <w:rFonts w:hint="eastAsia" w:asciiTheme="minorEastAsia" w:hAnsiTheme="minorEastAsia" w:eastAsiaTheme="minorEastAsia" w:cstheme="minorEastAsia"/>
                <w:b w:val="0"/>
                <w:bCs w:val="0"/>
                <w:i w:val="0"/>
                <w:iCs w:val="0"/>
                <w:color w:val="000000"/>
                <w:kern w:val="0"/>
                <w:sz w:val="21"/>
                <w:szCs w:val="21"/>
                <w:u w:val="none"/>
                <w:lang w:val="en-US" w:eastAsia="zh-CN" w:bidi="ar"/>
              </w:rPr>
            </w:pPr>
          </w:p>
        </w:tc>
      </w:tr>
    </w:tbl>
    <w:p w14:paraId="44C14B6B">
      <w:pPr>
        <w:pageBreakBefore w:val="0"/>
        <w:kinsoku/>
        <w:wordWrap/>
        <w:overflowPunct/>
        <w:topLinePunct w:val="0"/>
        <w:bidi w:val="0"/>
        <w:spacing w:line="360" w:lineRule="auto"/>
        <w:ind w:firstLine="482" w:firstLineChars="200"/>
        <w:rPr>
          <w:rFonts w:hint="eastAsia" w:asciiTheme="minorEastAsia" w:hAnsiTheme="minorEastAsia" w:eastAsiaTheme="minorEastAsia" w:cstheme="minorEastAsia"/>
          <w:b/>
          <w:sz w:val="24"/>
          <w:szCs w:val="24"/>
        </w:rPr>
      </w:pPr>
    </w:p>
    <w:p w14:paraId="725B38A4">
      <w:pPr>
        <w:pageBreakBefore w:val="0"/>
        <w:kinsoku/>
        <w:wordWrap/>
        <w:overflowPunct/>
        <w:topLinePunct w:val="0"/>
        <w:bidi w:val="0"/>
        <w:spacing w:line="360" w:lineRule="auto"/>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注：1、本表除附在投标文件中外，还应一式一份单独密封，以便唱标。</w:t>
      </w:r>
    </w:p>
    <w:p w14:paraId="39DABEB8">
      <w:pPr>
        <w:pageBreakBefore w:val="0"/>
        <w:kinsoku/>
        <w:wordWrap/>
        <w:overflowPunct/>
        <w:topLinePunct w:val="0"/>
        <w:bidi w:val="0"/>
        <w:spacing w:line="360" w:lineRule="auto"/>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2、此表中的报价必须与相应的报价明细表中的报价一致。</w:t>
      </w:r>
    </w:p>
    <w:p w14:paraId="5F54F375">
      <w:pPr>
        <w:pageBreakBefore w:val="0"/>
        <w:kinsoku/>
        <w:wordWrap/>
        <w:overflowPunct/>
        <w:topLinePunct w:val="0"/>
        <w:bidi w:val="0"/>
        <w:spacing w:line="360" w:lineRule="auto"/>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3、投标总价为各投标物品的合计单项价之和，包含必要的标识费用等。</w:t>
      </w:r>
    </w:p>
    <w:p w14:paraId="33CB5345">
      <w:pPr>
        <w:pageBreakBefore w:val="0"/>
        <w:kinsoku/>
        <w:wordWrap/>
        <w:overflowPunct/>
        <w:topLinePunct w:val="0"/>
        <w:bidi w:val="0"/>
        <w:spacing w:line="360" w:lineRule="auto"/>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4、技术要求必须符合</w:t>
      </w:r>
      <w:r>
        <w:rPr>
          <w:rFonts w:hint="eastAsia" w:asciiTheme="minorEastAsia" w:hAnsiTheme="minorEastAsia" w:eastAsiaTheme="minorEastAsia" w:cstheme="minorEastAsia"/>
          <w:b/>
          <w:sz w:val="24"/>
          <w:szCs w:val="24"/>
          <w:lang w:eastAsia="zh-CN"/>
        </w:rPr>
        <w:t>技术协议书</w:t>
      </w:r>
      <w:r>
        <w:rPr>
          <w:rFonts w:hint="eastAsia" w:asciiTheme="minorEastAsia" w:hAnsiTheme="minorEastAsia" w:eastAsiaTheme="minorEastAsia" w:cstheme="minorEastAsia"/>
          <w:b/>
          <w:sz w:val="24"/>
          <w:szCs w:val="24"/>
        </w:rPr>
        <w:t>的相关要求。</w:t>
      </w:r>
    </w:p>
    <w:p w14:paraId="30655982">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p>
    <w:p w14:paraId="5BF2B479">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投标人:(盖章)</w:t>
      </w:r>
    </w:p>
    <w:p w14:paraId="371A122E">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p>
    <w:p w14:paraId="5565D74C">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法定代表人（委托代理人）：（签字）</w:t>
      </w:r>
    </w:p>
    <w:p w14:paraId="406D46F2">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p>
    <w:p w14:paraId="51A0D2AC">
      <w:pPr>
        <w:pageBreakBefore w:val="0"/>
        <w:kinsoku/>
        <w:wordWrap/>
        <w:overflowPunct/>
        <w:topLinePunct w:val="0"/>
        <w:bidi w:val="0"/>
        <w:spacing w:line="360" w:lineRule="auto"/>
        <w:rPr>
          <w:rFonts w:ascii="宋体" w:hAnsi="宋体"/>
        </w:rPr>
      </w:pPr>
      <w:r>
        <w:rPr>
          <w:rFonts w:hint="eastAsia" w:asciiTheme="minorEastAsia" w:hAnsiTheme="minorEastAsia" w:eastAsiaTheme="minorEastAsia" w:cstheme="minorEastAsia"/>
          <w:sz w:val="24"/>
          <w:szCs w:val="24"/>
        </w:rPr>
        <w:t xml:space="preserve">日  期： 年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月   日</w:t>
      </w:r>
    </w:p>
    <w:p w14:paraId="1A031261">
      <w:pPr>
        <w:pageBreakBefore w:val="0"/>
        <w:kinsoku/>
        <w:wordWrap/>
        <w:overflowPunct/>
        <w:topLinePunct w:val="0"/>
        <w:bidi w:val="0"/>
        <w:spacing w:line="360" w:lineRule="auto"/>
        <w:rPr>
          <w:rFonts w:eastAsia="黑体"/>
          <w:b/>
          <w:bCs/>
          <w:sz w:val="28"/>
        </w:rPr>
      </w:pPr>
    </w:p>
    <w:p w14:paraId="551CCCAA">
      <w:pPr>
        <w:pageBreakBefore w:val="0"/>
        <w:kinsoku/>
        <w:wordWrap/>
        <w:overflowPunct/>
        <w:topLinePunct w:val="0"/>
        <w:bidi w:val="0"/>
        <w:spacing w:line="360" w:lineRule="auto"/>
        <w:jc w:val="center"/>
        <w:rPr>
          <w:rFonts w:hint="eastAsia" w:ascii="宋体" w:hAnsi="宋体" w:eastAsia="宋体" w:cs="宋体"/>
          <w:b/>
          <w:bCs/>
          <w:sz w:val="32"/>
          <w:szCs w:val="32"/>
        </w:rPr>
      </w:pPr>
    </w:p>
    <w:p w14:paraId="381BA04F">
      <w:pPr>
        <w:pageBreakBefore w:val="0"/>
        <w:kinsoku/>
        <w:wordWrap/>
        <w:overflowPunct/>
        <w:topLinePunct w:val="0"/>
        <w:bidi w:val="0"/>
        <w:spacing w:line="360" w:lineRule="auto"/>
        <w:jc w:val="center"/>
        <w:rPr>
          <w:rFonts w:hint="eastAsia" w:ascii="宋体" w:hAnsi="宋体" w:eastAsia="宋体" w:cs="宋体"/>
          <w:b/>
          <w:bCs/>
          <w:sz w:val="32"/>
          <w:szCs w:val="32"/>
        </w:rPr>
      </w:pPr>
    </w:p>
    <w:p w14:paraId="6AA082C5">
      <w:pPr>
        <w:pageBreakBefore w:val="0"/>
        <w:kinsoku/>
        <w:wordWrap/>
        <w:overflowPunct/>
        <w:topLinePunct w:val="0"/>
        <w:bidi w:val="0"/>
        <w:spacing w:line="360" w:lineRule="auto"/>
        <w:jc w:val="center"/>
        <w:rPr>
          <w:rFonts w:hint="eastAsia" w:ascii="宋体" w:hAnsi="宋体" w:eastAsia="宋体" w:cs="宋体"/>
          <w:b/>
          <w:bCs/>
          <w:sz w:val="32"/>
          <w:szCs w:val="32"/>
        </w:rPr>
      </w:pPr>
    </w:p>
    <w:p w14:paraId="6AB91B74">
      <w:pPr>
        <w:pageBreakBefore w:val="0"/>
        <w:kinsoku/>
        <w:wordWrap/>
        <w:overflowPunct/>
        <w:topLinePunct w:val="0"/>
        <w:bidi w:val="0"/>
        <w:spacing w:line="360" w:lineRule="auto"/>
        <w:jc w:val="center"/>
        <w:rPr>
          <w:rFonts w:hint="eastAsia" w:ascii="宋体" w:hAnsi="宋体" w:eastAsia="宋体" w:cs="宋体"/>
          <w:b/>
          <w:bCs/>
          <w:sz w:val="32"/>
          <w:szCs w:val="32"/>
        </w:rPr>
      </w:pPr>
    </w:p>
    <w:p w14:paraId="6065BC79">
      <w:pPr>
        <w:pageBreakBefore w:val="0"/>
        <w:kinsoku/>
        <w:wordWrap/>
        <w:overflowPunct/>
        <w:topLinePunct w:val="0"/>
        <w:bidi w:val="0"/>
        <w:spacing w:line="360" w:lineRule="auto"/>
        <w:jc w:val="center"/>
        <w:rPr>
          <w:rFonts w:hint="eastAsia" w:ascii="宋体" w:hAnsi="宋体" w:eastAsia="宋体" w:cs="宋体"/>
          <w:b/>
          <w:bCs/>
          <w:sz w:val="32"/>
          <w:szCs w:val="32"/>
        </w:rPr>
      </w:pPr>
    </w:p>
    <w:p w14:paraId="4BFBB9C6">
      <w:pPr>
        <w:pageBreakBefore w:val="0"/>
        <w:kinsoku/>
        <w:wordWrap/>
        <w:overflowPunct/>
        <w:topLinePunct w:val="0"/>
        <w:bidi w:val="0"/>
        <w:spacing w:line="360" w:lineRule="auto"/>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3CFCA3B4">
      <w:pPr>
        <w:pageBreakBefore w:val="0"/>
        <w:widowControl/>
        <w:tabs>
          <w:tab w:val="left" w:pos="1427"/>
        </w:tabs>
        <w:kinsoku/>
        <w:wordWrap/>
        <w:overflowPunct/>
        <w:topLinePunct w:val="0"/>
        <w:bidi w:val="0"/>
        <w:spacing w:line="360" w:lineRule="auto"/>
        <w:jc w:val="left"/>
        <w:rPr>
          <w:rFonts w:hint="eastAsia" w:eastAsia="黑体"/>
          <w:b/>
          <w:bCs/>
          <w:sz w:val="28"/>
          <w:highlight w:val="none"/>
          <w:lang w:eastAsia="zh-CN"/>
        </w:rPr>
      </w:pPr>
      <w:r>
        <w:rPr>
          <w:rFonts w:hint="eastAsia" w:eastAsia="黑体"/>
          <w:b/>
          <w:bCs/>
          <w:sz w:val="28"/>
          <w:highlight w:val="none"/>
          <w:lang w:val="en-US" w:eastAsia="zh-CN"/>
        </w:rPr>
        <w:t>附件3</w:t>
      </w:r>
      <w:r>
        <w:rPr>
          <w:rFonts w:hint="eastAsia" w:eastAsia="黑体"/>
          <w:b/>
          <w:bCs/>
          <w:sz w:val="28"/>
          <w:highlight w:val="none"/>
          <w:lang w:val="en-US" w:eastAsia="zh-CN"/>
        </w:rPr>
        <w:tab/>
      </w:r>
    </w:p>
    <w:p w14:paraId="2072A476">
      <w:pPr>
        <w:pageBreakBefore w:val="0"/>
        <w:kinsoku/>
        <w:wordWrap/>
        <w:overflowPunct/>
        <w:topLinePunct w:val="0"/>
        <w:bidi w:val="0"/>
        <w:spacing w:line="360" w:lineRule="auto"/>
        <w:jc w:val="cente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rPr>
        <w:t>投标分项报价表</w:t>
      </w:r>
    </w:p>
    <w:tbl>
      <w:tblPr>
        <w:tblStyle w:val="24"/>
        <w:tblW w:w="4695"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58"/>
        <w:gridCol w:w="2634"/>
        <w:gridCol w:w="1776"/>
        <w:gridCol w:w="1440"/>
        <w:gridCol w:w="1278"/>
        <w:gridCol w:w="934"/>
      </w:tblGrid>
      <w:tr w14:paraId="4988E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6" w:hRule="atLeast"/>
          <w:jc w:val="center"/>
        </w:trPr>
        <w:tc>
          <w:tcPr>
            <w:tcW w:w="658" w:type="dxa"/>
            <w:tcBorders>
              <w:tl2br w:val="nil"/>
              <w:tr2bl w:val="nil"/>
            </w:tcBorders>
            <w:noWrap/>
            <w:vAlign w:val="center"/>
          </w:tcPr>
          <w:p w14:paraId="253B9F01">
            <w:pPr>
              <w:pageBreakBefore w:val="0"/>
              <w:widowControl/>
              <w:kinsoku/>
              <w:wordWrap/>
              <w:overflowPunct/>
              <w:topLinePunct w:val="0"/>
              <w:bidi w:val="0"/>
              <w:spacing w:line="360" w:lineRule="auto"/>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2634" w:type="dxa"/>
            <w:tcBorders>
              <w:tl2br w:val="nil"/>
              <w:tr2bl w:val="nil"/>
            </w:tcBorders>
            <w:noWrap w:val="0"/>
            <w:vAlign w:val="center"/>
          </w:tcPr>
          <w:p w14:paraId="69F2F1C9">
            <w:pPr>
              <w:pageBreakBefore w:val="0"/>
              <w:widowControl/>
              <w:kinsoku/>
              <w:wordWrap/>
              <w:overflowPunct/>
              <w:topLinePunct w:val="0"/>
              <w:bidi w:val="0"/>
              <w:spacing w:line="360" w:lineRule="auto"/>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器具名称</w:t>
            </w:r>
          </w:p>
        </w:tc>
        <w:tc>
          <w:tcPr>
            <w:tcW w:w="1776" w:type="dxa"/>
            <w:tcBorders>
              <w:tl2br w:val="nil"/>
              <w:tr2bl w:val="nil"/>
            </w:tcBorders>
            <w:noWrap w:val="0"/>
            <w:vAlign w:val="center"/>
          </w:tcPr>
          <w:p w14:paraId="250EF6F5">
            <w:pPr>
              <w:jc w:val="center"/>
              <w:rPr>
                <w:rFonts w:hint="eastAsia"/>
                <w:b/>
                <w:bCs/>
                <w:sz w:val="18"/>
                <w:szCs w:val="18"/>
              </w:rPr>
            </w:pPr>
            <w:r>
              <w:rPr>
                <w:rFonts w:hint="eastAsia"/>
                <w:b/>
                <w:bCs/>
                <w:sz w:val="18"/>
                <w:szCs w:val="18"/>
              </w:rPr>
              <w:t>拟需求数量</w:t>
            </w:r>
          </w:p>
          <w:p w14:paraId="5C6BE5BC">
            <w:pPr>
              <w:jc w:val="center"/>
              <w:rPr>
                <w:rFonts w:hint="eastAsia"/>
                <w:b/>
                <w:bCs/>
                <w:sz w:val="18"/>
                <w:szCs w:val="18"/>
              </w:rPr>
            </w:pPr>
            <w:r>
              <w:rPr>
                <w:rFonts w:hint="eastAsia"/>
                <w:b/>
                <w:bCs/>
                <w:sz w:val="18"/>
                <w:szCs w:val="18"/>
              </w:rPr>
              <w:t>（单位：个，以实际</w:t>
            </w:r>
          </w:p>
          <w:p w14:paraId="73F66309">
            <w:pPr>
              <w:jc w:val="center"/>
              <w:rPr>
                <w:rFonts w:hint="eastAsia" w:ascii="宋体" w:hAnsi="宋体" w:eastAsia="宋体" w:cs="宋体"/>
                <w:b/>
                <w:bCs/>
                <w:color w:val="000000"/>
                <w:sz w:val="20"/>
                <w:szCs w:val="20"/>
                <w:lang w:val="en-US" w:eastAsia="zh-CN"/>
              </w:rPr>
            </w:pPr>
            <w:r>
              <w:rPr>
                <w:rFonts w:hint="eastAsia"/>
                <w:b/>
                <w:bCs/>
                <w:sz w:val="18"/>
                <w:szCs w:val="18"/>
              </w:rPr>
              <w:t>采购数量为准）</w:t>
            </w:r>
          </w:p>
        </w:tc>
        <w:tc>
          <w:tcPr>
            <w:tcW w:w="1440" w:type="dxa"/>
            <w:tcBorders>
              <w:tl2br w:val="nil"/>
              <w:tr2bl w:val="nil"/>
            </w:tcBorders>
            <w:noWrap w:val="0"/>
            <w:vAlign w:val="center"/>
          </w:tcPr>
          <w:p w14:paraId="6B45F6A6">
            <w:pPr>
              <w:pageBreakBefore w:val="0"/>
              <w:widowControl/>
              <w:kinsoku/>
              <w:wordWrap/>
              <w:overflowPunct/>
              <w:topLinePunct w:val="0"/>
              <w:bidi w:val="0"/>
              <w:spacing w:line="360" w:lineRule="auto"/>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到货单价</w:t>
            </w:r>
          </w:p>
          <w:p w14:paraId="3769516E">
            <w:pPr>
              <w:pageBreakBefore w:val="0"/>
              <w:widowControl/>
              <w:kinsoku/>
              <w:wordWrap/>
              <w:overflowPunct/>
              <w:topLinePunct w:val="0"/>
              <w:bidi w:val="0"/>
              <w:spacing w:line="360" w:lineRule="auto"/>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w:t>
            </w:r>
            <w:r>
              <w:rPr>
                <w:rFonts w:hint="eastAsia" w:ascii="宋体" w:hAnsi="宋体" w:cs="宋体"/>
                <w:b/>
                <w:bCs/>
                <w:color w:val="000000"/>
                <w:kern w:val="0"/>
                <w:sz w:val="20"/>
                <w:szCs w:val="20"/>
                <w:highlight w:val="yellow"/>
                <w:lang w:bidi="ar"/>
              </w:rPr>
              <w:t>元，不含税</w:t>
            </w:r>
            <w:r>
              <w:rPr>
                <w:rFonts w:hint="eastAsia" w:ascii="宋体" w:hAnsi="宋体" w:cs="宋体"/>
                <w:b/>
                <w:bCs/>
                <w:color w:val="000000"/>
                <w:kern w:val="0"/>
                <w:sz w:val="20"/>
                <w:szCs w:val="20"/>
                <w:lang w:bidi="ar"/>
              </w:rPr>
              <w:t>）</w:t>
            </w:r>
          </w:p>
        </w:tc>
        <w:tc>
          <w:tcPr>
            <w:tcW w:w="1278" w:type="dxa"/>
            <w:tcBorders>
              <w:tl2br w:val="nil"/>
              <w:tr2bl w:val="nil"/>
            </w:tcBorders>
            <w:noWrap w:val="0"/>
            <w:vAlign w:val="center"/>
          </w:tcPr>
          <w:p w14:paraId="3A904F64">
            <w:pPr>
              <w:pageBreakBefore w:val="0"/>
              <w:widowControl/>
              <w:kinsoku/>
              <w:wordWrap/>
              <w:overflowPunct/>
              <w:topLinePunct w:val="0"/>
              <w:bidi w:val="0"/>
              <w:spacing w:line="360" w:lineRule="auto"/>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到货单价</w:t>
            </w:r>
            <w:r>
              <w:rPr>
                <w:rFonts w:hint="eastAsia" w:ascii="宋体" w:hAnsi="宋体" w:cs="宋体"/>
                <w:b/>
                <w:bCs/>
                <w:color w:val="000000"/>
                <w:kern w:val="0"/>
                <w:sz w:val="20"/>
                <w:szCs w:val="20"/>
                <w:highlight w:val="yellow"/>
                <w:lang w:bidi="ar"/>
              </w:rPr>
              <w:t>（元，含税）</w:t>
            </w:r>
          </w:p>
        </w:tc>
        <w:tc>
          <w:tcPr>
            <w:tcW w:w="934" w:type="dxa"/>
            <w:tcBorders>
              <w:tl2br w:val="nil"/>
              <w:tr2bl w:val="nil"/>
            </w:tcBorders>
            <w:noWrap w:val="0"/>
            <w:vAlign w:val="center"/>
          </w:tcPr>
          <w:p w14:paraId="41037D17">
            <w:pPr>
              <w:pageBreakBefore w:val="0"/>
              <w:widowControl/>
              <w:kinsoku/>
              <w:wordWrap/>
              <w:overflowPunct/>
              <w:topLinePunct w:val="0"/>
              <w:bidi w:val="0"/>
              <w:spacing w:line="360" w:lineRule="auto"/>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税率</w:t>
            </w:r>
          </w:p>
        </w:tc>
      </w:tr>
      <w:tr w14:paraId="0D373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2BF87073">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w:t>
            </w:r>
          </w:p>
        </w:tc>
        <w:tc>
          <w:tcPr>
            <w:tcW w:w="2634" w:type="dxa"/>
            <w:tcBorders>
              <w:tl2br w:val="nil"/>
              <w:tr2bl w:val="nil"/>
            </w:tcBorders>
            <w:noWrap w:val="0"/>
            <w:vAlign w:val="top"/>
          </w:tcPr>
          <w:p w14:paraId="37B28CD2">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挡板器具</w:t>
            </w:r>
          </w:p>
        </w:tc>
        <w:tc>
          <w:tcPr>
            <w:tcW w:w="1776" w:type="dxa"/>
            <w:tcBorders>
              <w:tl2br w:val="nil"/>
              <w:tr2bl w:val="nil"/>
            </w:tcBorders>
            <w:noWrap/>
            <w:vAlign w:val="top"/>
          </w:tcPr>
          <w:p w14:paraId="4071F171">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w:t>
            </w:r>
          </w:p>
        </w:tc>
        <w:tc>
          <w:tcPr>
            <w:tcW w:w="1440" w:type="dxa"/>
            <w:tcBorders>
              <w:tl2br w:val="nil"/>
              <w:tr2bl w:val="nil"/>
            </w:tcBorders>
            <w:noWrap/>
            <w:vAlign w:val="center"/>
          </w:tcPr>
          <w:p w14:paraId="20B703FC">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43FE48F5">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1FC52047">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lang w:val="en-US" w:eastAsia="zh-CN"/>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45169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19AD0000">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2</w:t>
            </w:r>
          </w:p>
        </w:tc>
        <w:tc>
          <w:tcPr>
            <w:tcW w:w="2634" w:type="dxa"/>
            <w:tcBorders>
              <w:tl2br w:val="nil"/>
              <w:tr2bl w:val="nil"/>
            </w:tcBorders>
            <w:noWrap w:val="0"/>
            <w:vAlign w:val="top"/>
          </w:tcPr>
          <w:p w14:paraId="12BEB0FB">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后悬置上支架焊接总成器具</w:t>
            </w:r>
          </w:p>
        </w:tc>
        <w:tc>
          <w:tcPr>
            <w:tcW w:w="1776" w:type="dxa"/>
            <w:tcBorders>
              <w:tl2br w:val="nil"/>
              <w:tr2bl w:val="nil"/>
            </w:tcBorders>
            <w:noWrap/>
            <w:vAlign w:val="top"/>
          </w:tcPr>
          <w:p w14:paraId="2EFA9D87">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w:t>
            </w:r>
          </w:p>
        </w:tc>
        <w:tc>
          <w:tcPr>
            <w:tcW w:w="1440" w:type="dxa"/>
            <w:tcBorders>
              <w:tl2br w:val="nil"/>
              <w:tr2bl w:val="nil"/>
            </w:tcBorders>
            <w:noWrap/>
            <w:vAlign w:val="center"/>
          </w:tcPr>
          <w:p w14:paraId="29D82FB1">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0E351E6E">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3BDE6594">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1F8F7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2D60C723">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3</w:t>
            </w:r>
          </w:p>
        </w:tc>
        <w:tc>
          <w:tcPr>
            <w:tcW w:w="2634" w:type="dxa"/>
            <w:tcBorders>
              <w:tl2br w:val="nil"/>
              <w:tr2bl w:val="nil"/>
            </w:tcBorders>
            <w:noWrap w:val="0"/>
            <w:vAlign w:val="top"/>
          </w:tcPr>
          <w:p w14:paraId="5D657123">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仪表台管梁总成器具</w:t>
            </w:r>
          </w:p>
        </w:tc>
        <w:tc>
          <w:tcPr>
            <w:tcW w:w="1776" w:type="dxa"/>
            <w:tcBorders>
              <w:tl2br w:val="nil"/>
              <w:tr2bl w:val="nil"/>
            </w:tcBorders>
            <w:noWrap/>
            <w:vAlign w:val="top"/>
          </w:tcPr>
          <w:p w14:paraId="35FB558F">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8</w:t>
            </w:r>
          </w:p>
        </w:tc>
        <w:tc>
          <w:tcPr>
            <w:tcW w:w="1440" w:type="dxa"/>
            <w:tcBorders>
              <w:tl2br w:val="nil"/>
              <w:tr2bl w:val="nil"/>
            </w:tcBorders>
            <w:noWrap/>
            <w:vAlign w:val="center"/>
          </w:tcPr>
          <w:p w14:paraId="75BE8A3F">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1B7BE589">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5EDABB21">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5BB70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49C18C23">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4</w:t>
            </w:r>
          </w:p>
        </w:tc>
        <w:tc>
          <w:tcPr>
            <w:tcW w:w="2634" w:type="dxa"/>
            <w:tcBorders>
              <w:tl2br w:val="nil"/>
              <w:tr2bl w:val="nil"/>
            </w:tcBorders>
            <w:noWrap w:val="0"/>
            <w:vAlign w:val="top"/>
          </w:tcPr>
          <w:p w14:paraId="5E7F93A5">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翼子板前段支架器具</w:t>
            </w:r>
          </w:p>
        </w:tc>
        <w:tc>
          <w:tcPr>
            <w:tcW w:w="1776" w:type="dxa"/>
            <w:tcBorders>
              <w:tl2br w:val="nil"/>
              <w:tr2bl w:val="nil"/>
            </w:tcBorders>
            <w:noWrap/>
            <w:vAlign w:val="top"/>
          </w:tcPr>
          <w:p w14:paraId="7204D7E3">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9</w:t>
            </w:r>
          </w:p>
        </w:tc>
        <w:tc>
          <w:tcPr>
            <w:tcW w:w="1440" w:type="dxa"/>
            <w:tcBorders>
              <w:tl2br w:val="nil"/>
              <w:tr2bl w:val="nil"/>
            </w:tcBorders>
            <w:noWrap/>
            <w:vAlign w:val="center"/>
          </w:tcPr>
          <w:p w14:paraId="672E551F">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0F1A1B73">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47C433B5">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00602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004E20BA">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5</w:t>
            </w:r>
          </w:p>
        </w:tc>
        <w:tc>
          <w:tcPr>
            <w:tcW w:w="2634" w:type="dxa"/>
            <w:tcBorders>
              <w:tl2br w:val="nil"/>
              <w:tr2bl w:val="nil"/>
            </w:tcBorders>
            <w:noWrap w:val="0"/>
            <w:vAlign w:val="top"/>
          </w:tcPr>
          <w:p w14:paraId="00ABBABF">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前悬上支架器具</w:t>
            </w:r>
          </w:p>
        </w:tc>
        <w:tc>
          <w:tcPr>
            <w:tcW w:w="1776" w:type="dxa"/>
            <w:tcBorders>
              <w:tl2br w:val="nil"/>
              <w:tr2bl w:val="nil"/>
            </w:tcBorders>
            <w:noWrap/>
            <w:vAlign w:val="top"/>
          </w:tcPr>
          <w:p w14:paraId="2A165943">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w:t>
            </w:r>
          </w:p>
        </w:tc>
        <w:tc>
          <w:tcPr>
            <w:tcW w:w="1440" w:type="dxa"/>
            <w:tcBorders>
              <w:tl2br w:val="nil"/>
              <w:tr2bl w:val="nil"/>
            </w:tcBorders>
            <w:noWrap/>
            <w:vAlign w:val="center"/>
          </w:tcPr>
          <w:p w14:paraId="2E33F519">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24A4C2B6">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66330DDF">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189FA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192B076E">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6</w:t>
            </w:r>
          </w:p>
        </w:tc>
        <w:tc>
          <w:tcPr>
            <w:tcW w:w="2634" w:type="dxa"/>
            <w:tcBorders>
              <w:tl2br w:val="nil"/>
              <w:tr2bl w:val="nil"/>
            </w:tcBorders>
            <w:noWrap w:val="0"/>
            <w:vAlign w:val="top"/>
          </w:tcPr>
          <w:p w14:paraId="5B7F166C">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侧导流支架器具</w:t>
            </w:r>
          </w:p>
        </w:tc>
        <w:tc>
          <w:tcPr>
            <w:tcW w:w="1776" w:type="dxa"/>
            <w:tcBorders>
              <w:tl2br w:val="nil"/>
              <w:tr2bl w:val="nil"/>
            </w:tcBorders>
            <w:noWrap/>
            <w:vAlign w:val="top"/>
          </w:tcPr>
          <w:p w14:paraId="11B0491E">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w:t>
            </w:r>
          </w:p>
        </w:tc>
        <w:tc>
          <w:tcPr>
            <w:tcW w:w="1440" w:type="dxa"/>
            <w:tcBorders>
              <w:tl2br w:val="nil"/>
              <w:tr2bl w:val="nil"/>
            </w:tcBorders>
            <w:noWrap/>
            <w:vAlign w:val="center"/>
          </w:tcPr>
          <w:p w14:paraId="4D59A003">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755CBF03">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15660B38">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4EAC5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00B376E7">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7</w:t>
            </w:r>
          </w:p>
        </w:tc>
        <w:tc>
          <w:tcPr>
            <w:tcW w:w="2634" w:type="dxa"/>
            <w:tcBorders>
              <w:tl2br w:val="nil"/>
              <w:tr2bl w:val="nil"/>
            </w:tcBorders>
            <w:noWrap w:val="0"/>
            <w:vAlign w:val="top"/>
          </w:tcPr>
          <w:p w14:paraId="0207E1AA">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新一代工具箱盖总成器具</w:t>
            </w:r>
          </w:p>
        </w:tc>
        <w:tc>
          <w:tcPr>
            <w:tcW w:w="1776" w:type="dxa"/>
            <w:tcBorders>
              <w:tl2br w:val="nil"/>
              <w:tr2bl w:val="nil"/>
            </w:tcBorders>
            <w:noWrap/>
            <w:vAlign w:val="top"/>
          </w:tcPr>
          <w:p w14:paraId="3C1E9CD2">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1440" w:type="dxa"/>
            <w:tcBorders>
              <w:tl2br w:val="nil"/>
              <w:tr2bl w:val="nil"/>
            </w:tcBorders>
            <w:noWrap/>
            <w:vAlign w:val="center"/>
          </w:tcPr>
          <w:p w14:paraId="53145ABA">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6CB2E366">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74FFAEA8">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54DF0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7BFCDFC8">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8</w:t>
            </w:r>
          </w:p>
        </w:tc>
        <w:tc>
          <w:tcPr>
            <w:tcW w:w="2634" w:type="dxa"/>
            <w:tcBorders>
              <w:tl2br w:val="nil"/>
              <w:tr2bl w:val="nil"/>
            </w:tcBorders>
            <w:noWrap w:val="0"/>
            <w:vAlign w:val="top"/>
          </w:tcPr>
          <w:p w14:paraId="34216B16">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新一代驾驶室总成器具</w:t>
            </w:r>
          </w:p>
        </w:tc>
        <w:tc>
          <w:tcPr>
            <w:tcW w:w="1776" w:type="dxa"/>
            <w:tcBorders>
              <w:tl2br w:val="nil"/>
              <w:tr2bl w:val="nil"/>
            </w:tcBorders>
            <w:noWrap/>
            <w:vAlign w:val="top"/>
          </w:tcPr>
          <w:p w14:paraId="4702F626">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w:t>
            </w:r>
          </w:p>
        </w:tc>
        <w:tc>
          <w:tcPr>
            <w:tcW w:w="1440" w:type="dxa"/>
            <w:tcBorders>
              <w:tl2br w:val="nil"/>
              <w:tr2bl w:val="nil"/>
            </w:tcBorders>
            <w:noWrap/>
            <w:vAlign w:val="center"/>
          </w:tcPr>
          <w:p w14:paraId="4B35D1EB">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3C905C4E">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26BD84D8">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46EC5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50E1A315">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9</w:t>
            </w:r>
          </w:p>
        </w:tc>
        <w:tc>
          <w:tcPr>
            <w:tcW w:w="2634" w:type="dxa"/>
            <w:tcBorders>
              <w:tl2br w:val="nil"/>
              <w:tr2bl w:val="nil"/>
            </w:tcBorders>
            <w:noWrap w:val="0"/>
            <w:vAlign w:val="top"/>
          </w:tcPr>
          <w:p w14:paraId="488B24F2">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座椅横梁器具</w:t>
            </w:r>
          </w:p>
        </w:tc>
        <w:tc>
          <w:tcPr>
            <w:tcW w:w="1776" w:type="dxa"/>
            <w:tcBorders>
              <w:tl2br w:val="nil"/>
              <w:tr2bl w:val="nil"/>
            </w:tcBorders>
            <w:noWrap/>
            <w:vAlign w:val="top"/>
          </w:tcPr>
          <w:p w14:paraId="62FC8F16">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16</w:t>
            </w:r>
          </w:p>
        </w:tc>
        <w:tc>
          <w:tcPr>
            <w:tcW w:w="1440" w:type="dxa"/>
            <w:tcBorders>
              <w:tl2br w:val="nil"/>
              <w:tr2bl w:val="nil"/>
            </w:tcBorders>
            <w:noWrap/>
            <w:vAlign w:val="center"/>
          </w:tcPr>
          <w:p w14:paraId="79C28EC7">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09746239">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7497B2F1">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501F1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3CBBB36F">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10</w:t>
            </w:r>
          </w:p>
        </w:tc>
        <w:tc>
          <w:tcPr>
            <w:tcW w:w="2634" w:type="dxa"/>
            <w:tcBorders>
              <w:tl2br w:val="nil"/>
              <w:tr2bl w:val="nil"/>
            </w:tcBorders>
            <w:noWrap w:val="0"/>
            <w:vAlign w:val="top"/>
          </w:tcPr>
          <w:p w14:paraId="18B5F6E8">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前围模块外板器具</w:t>
            </w:r>
          </w:p>
        </w:tc>
        <w:tc>
          <w:tcPr>
            <w:tcW w:w="1776" w:type="dxa"/>
            <w:tcBorders>
              <w:tl2br w:val="nil"/>
              <w:tr2bl w:val="nil"/>
            </w:tcBorders>
            <w:noWrap/>
            <w:vAlign w:val="top"/>
          </w:tcPr>
          <w:p w14:paraId="61A58C89">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16</w:t>
            </w:r>
          </w:p>
        </w:tc>
        <w:tc>
          <w:tcPr>
            <w:tcW w:w="1440" w:type="dxa"/>
            <w:tcBorders>
              <w:tl2br w:val="nil"/>
              <w:tr2bl w:val="nil"/>
            </w:tcBorders>
            <w:noWrap/>
            <w:vAlign w:val="center"/>
          </w:tcPr>
          <w:p w14:paraId="09B56456">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6CFC6B96">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6D7872D3">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6A9A7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78520E93">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11</w:t>
            </w:r>
          </w:p>
        </w:tc>
        <w:tc>
          <w:tcPr>
            <w:tcW w:w="2634" w:type="dxa"/>
            <w:tcBorders>
              <w:tl2br w:val="nil"/>
              <w:tr2bl w:val="nil"/>
            </w:tcBorders>
            <w:noWrap w:val="0"/>
            <w:vAlign w:val="top"/>
          </w:tcPr>
          <w:p w14:paraId="06FE630E">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前围模块内板器具</w:t>
            </w:r>
          </w:p>
        </w:tc>
        <w:tc>
          <w:tcPr>
            <w:tcW w:w="1776" w:type="dxa"/>
            <w:tcBorders>
              <w:tl2br w:val="nil"/>
              <w:tr2bl w:val="nil"/>
            </w:tcBorders>
            <w:noWrap/>
            <w:vAlign w:val="top"/>
          </w:tcPr>
          <w:p w14:paraId="3752364E">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16</w:t>
            </w:r>
          </w:p>
        </w:tc>
        <w:tc>
          <w:tcPr>
            <w:tcW w:w="1440" w:type="dxa"/>
            <w:tcBorders>
              <w:tl2br w:val="nil"/>
              <w:tr2bl w:val="nil"/>
            </w:tcBorders>
            <w:noWrap/>
            <w:vAlign w:val="center"/>
          </w:tcPr>
          <w:p w14:paraId="6079D1B0">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747EA324">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4303FA8A">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1C7D3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03AA780D">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12</w:t>
            </w:r>
          </w:p>
        </w:tc>
        <w:tc>
          <w:tcPr>
            <w:tcW w:w="2634" w:type="dxa"/>
            <w:tcBorders>
              <w:tl2br w:val="nil"/>
              <w:tr2bl w:val="nil"/>
            </w:tcBorders>
            <w:noWrap w:val="0"/>
            <w:vAlign w:val="top"/>
          </w:tcPr>
          <w:p w14:paraId="6C630BD5">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前围外板器具</w:t>
            </w:r>
          </w:p>
        </w:tc>
        <w:tc>
          <w:tcPr>
            <w:tcW w:w="1776" w:type="dxa"/>
            <w:tcBorders>
              <w:tl2br w:val="nil"/>
              <w:tr2bl w:val="nil"/>
            </w:tcBorders>
            <w:noWrap/>
            <w:vAlign w:val="top"/>
          </w:tcPr>
          <w:p w14:paraId="18B66381">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1440" w:type="dxa"/>
            <w:tcBorders>
              <w:tl2br w:val="nil"/>
              <w:tr2bl w:val="nil"/>
            </w:tcBorders>
            <w:noWrap/>
            <w:vAlign w:val="center"/>
          </w:tcPr>
          <w:p w14:paraId="7349788B">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304B7E29">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3B74D080">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47E9EE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5D21907D">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13</w:t>
            </w:r>
          </w:p>
        </w:tc>
        <w:tc>
          <w:tcPr>
            <w:tcW w:w="2634" w:type="dxa"/>
            <w:tcBorders>
              <w:tl2br w:val="nil"/>
              <w:tr2bl w:val="nil"/>
            </w:tcBorders>
            <w:noWrap w:val="0"/>
            <w:vAlign w:val="top"/>
          </w:tcPr>
          <w:p w14:paraId="59B69DC2">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左侧围外板器具</w:t>
            </w:r>
          </w:p>
        </w:tc>
        <w:tc>
          <w:tcPr>
            <w:tcW w:w="1776" w:type="dxa"/>
            <w:tcBorders>
              <w:tl2br w:val="nil"/>
              <w:tr2bl w:val="nil"/>
            </w:tcBorders>
            <w:noWrap/>
            <w:vAlign w:val="top"/>
          </w:tcPr>
          <w:p w14:paraId="0E4DBA0F">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1440" w:type="dxa"/>
            <w:tcBorders>
              <w:tl2br w:val="nil"/>
              <w:tr2bl w:val="nil"/>
            </w:tcBorders>
            <w:noWrap/>
            <w:vAlign w:val="center"/>
          </w:tcPr>
          <w:p w14:paraId="5733BD80">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688F5C9B">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17D0DF26">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79966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3306143E">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14</w:t>
            </w:r>
          </w:p>
        </w:tc>
        <w:tc>
          <w:tcPr>
            <w:tcW w:w="2634" w:type="dxa"/>
            <w:tcBorders>
              <w:tl2br w:val="nil"/>
              <w:tr2bl w:val="nil"/>
            </w:tcBorders>
            <w:noWrap w:val="0"/>
            <w:vAlign w:val="top"/>
          </w:tcPr>
          <w:p w14:paraId="6EC3FAB7">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右侧围外板器具</w:t>
            </w:r>
          </w:p>
        </w:tc>
        <w:tc>
          <w:tcPr>
            <w:tcW w:w="1776" w:type="dxa"/>
            <w:tcBorders>
              <w:tl2br w:val="nil"/>
              <w:tr2bl w:val="nil"/>
            </w:tcBorders>
            <w:noWrap/>
            <w:vAlign w:val="top"/>
          </w:tcPr>
          <w:p w14:paraId="27CCFA72">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w:t>
            </w:r>
          </w:p>
        </w:tc>
        <w:tc>
          <w:tcPr>
            <w:tcW w:w="1440" w:type="dxa"/>
            <w:tcBorders>
              <w:tl2br w:val="nil"/>
              <w:tr2bl w:val="nil"/>
            </w:tcBorders>
            <w:noWrap/>
            <w:vAlign w:val="center"/>
          </w:tcPr>
          <w:p w14:paraId="6ECC0345">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63189592">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12C55591">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247FA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58" w:type="dxa"/>
            <w:tcBorders>
              <w:tl2br w:val="nil"/>
              <w:tr2bl w:val="nil"/>
            </w:tcBorders>
            <w:noWrap w:val="0"/>
            <w:vAlign w:val="center"/>
          </w:tcPr>
          <w:p w14:paraId="5B0A2164">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15</w:t>
            </w:r>
          </w:p>
        </w:tc>
        <w:tc>
          <w:tcPr>
            <w:tcW w:w="2634" w:type="dxa"/>
            <w:tcBorders>
              <w:tl2br w:val="nil"/>
              <w:tr2bl w:val="nil"/>
            </w:tcBorders>
            <w:noWrap w:val="0"/>
            <w:vAlign w:val="top"/>
          </w:tcPr>
          <w:p w14:paraId="528C92E4">
            <w:pPr>
              <w:pageBreakBefore w:val="0"/>
              <w:kinsoku/>
              <w:wordWrap/>
              <w:overflowPunct/>
              <w:topLinePunct w:val="0"/>
              <w:bidi w:val="0"/>
              <w:spacing w:line="360" w:lineRule="auto"/>
              <w:rPr>
                <w:rFonts w:hint="eastAsia" w:ascii="宋体" w:hAnsi="宋体" w:eastAsia="宋体" w:cs="宋体"/>
                <w:sz w:val="20"/>
                <w:szCs w:val="20"/>
              </w:rPr>
            </w:pPr>
            <w:r>
              <w:rPr>
                <w:rFonts w:hint="eastAsia" w:ascii="宋体" w:hAnsi="宋体" w:eastAsia="宋体" w:cs="宋体"/>
                <w:sz w:val="20"/>
                <w:szCs w:val="20"/>
              </w:rPr>
              <w:t>车门焊接总成器具</w:t>
            </w:r>
          </w:p>
        </w:tc>
        <w:tc>
          <w:tcPr>
            <w:tcW w:w="1776" w:type="dxa"/>
            <w:tcBorders>
              <w:tl2br w:val="nil"/>
              <w:tr2bl w:val="nil"/>
            </w:tcBorders>
            <w:noWrap/>
            <w:vAlign w:val="top"/>
          </w:tcPr>
          <w:p w14:paraId="2CA5986B">
            <w:pPr>
              <w:pageBreakBefore w:val="0"/>
              <w:kinsoku/>
              <w:wordWrap/>
              <w:overflowPunct/>
              <w:topLinePunct w:val="0"/>
              <w:bidi w:val="0"/>
              <w:spacing w:line="36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w:t>
            </w:r>
          </w:p>
        </w:tc>
        <w:tc>
          <w:tcPr>
            <w:tcW w:w="1440" w:type="dxa"/>
            <w:tcBorders>
              <w:tl2br w:val="nil"/>
              <w:tr2bl w:val="nil"/>
            </w:tcBorders>
            <w:noWrap/>
            <w:vAlign w:val="center"/>
          </w:tcPr>
          <w:p w14:paraId="684BFE55">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1278" w:type="dxa"/>
            <w:tcBorders>
              <w:tl2br w:val="nil"/>
              <w:tr2bl w:val="nil"/>
            </w:tcBorders>
            <w:noWrap/>
            <w:vAlign w:val="center"/>
          </w:tcPr>
          <w:p w14:paraId="33E1A9E0">
            <w:pPr>
              <w:pageBreakBefore w:val="0"/>
              <w:kinsoku/>
              <w:wordWrap/>
              <w:overflowPunct/>
              <w:topLinePunct w:val="0"/>
              <w:bidi w:val="0"/>
              <w:spacing w:line="360" w:lineRule="auto"/>
              <w:jc w:val="left"/>
              <w:rPr>
                <w:rFonts w:hint="eastAsia" w:ascii="宋体" w:hAnsi="宋体" w:eastAsia="宋体" w:cs="宋体"/>
                <w:color w:val="000000"/>
                <w:sz w:val="20"/>
                <w:szCs w:val="20"/>
              </w:rPr>
            </w:pPr>
          </w:p>
        </w:tc>
        <w:tc>
          <w:tcPr>
            <w:tcW w:w="934" w:type="dxa"/>
            <w:tcBorders>
              <w:tl2br w:val="nil"/>
              <w:tr2bl w:val="nil"/>
            </w:tcBorders>
            <w:noWrap/>
            <w:vAlign w:val="center"/>
          </w:tcPr>
          <w:p w14:paraId="3930CAE2">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eastAsia" w:cs="Times New Roman"/>
                <w:color w:val="000000"/>
                <w:sz w:val="20"/>
                <w:szCs w:val="20"/>
                <w:lang w:val="en-US" w:eastAsia="zh-CN"/>
              </w:rPr>
              <w:t>13</w:t>
            </w:r>
            <w:r>
              <w:rPr>
                <w:rFonts w:hint="default" w:ascii="Times New Roman" w:hAnsi="Times New Roman" w:cs="Times New Roman"/>
                <w:color w:val="000000"/>
                <w:sz w:val="20"/>
                <w:szCs w:val="20"/>
                <w:lang w:val="en-US" w:eastAsia="zh-CN"/>
              </w:rPr>
              <w:t>%</w:t>
            </w:r>
          </w:p>
        </w:tc>
      </w:tr>
      <w:tr w14:paraId="6B605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292" w:type="dxa"/>
            <w:gridSpan w:val="2"/>
            <w:tcBorders>
              <w:tl2br w:val="nil"/>
              <w:tr2bl w:val="nil"/>
            </w:tcBorders>
            <w:noWrap w:val="0"/>
            <w:vAlign w:val="center"/>
          </w:tcPr>
          <w:p w14:paraId="4FBC324A">
            <w:pPr>
              <w:pageBreakBefore w:val="0"/>
              <w:widowControl/>
              <w:kinsoku/>
              <w:wordWrap/>
              <w:overflowPunct/>
              <w:topLinePunct w:val="0"/>
              <w:bidi w:val="0"/>
              <w:spacing w:line="36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合计</w:t>
            </w:r>
          </w:p>
        </w:tc>
        <w:tc>
          <w:tcPr>
            <w:tcW w:w="1776" w:type="dxa"/>
            <w:tcBorders>
              <w:tl2br w:val="nil"/>
              <w:tr2bl w:val="nil"/>
            </w:tcBorders>
            <w:noWrap/>
            <w:vAlign w:val="center"/>
          </w:tcPr>
          <w:p w14:paraId="3A502549">
            <w:pPr>
              <w:pageBreakBefore w:val="0"/>
              <w:widowControl/>
              <w:kinsoku/>
              <w:wordWrap/>
              <w:overflowPunct/>
              <w:topLinePunct w:val="0"/>
              <w:bidi w:val="0"/>
              <w:spacing w:line="360" w:lineRule="auto"/>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kern w:val="0"/>
                <w:sz w:val="20"/>
                <w:szCs w:val="20"/>
                <w:lang w:bidi="ar"/>
              </w:rPr>
              <w:t>183</w:t>
            </w:r>
          </w:p>
        </w:tc>
        <w:tc>
          <w:tcPr>
            <w:tcW w:w="1440" w:type="dxa"/>
            <w:tcBorders>
              <w:tl2br w:val="nil"/>
              <w:tr2bl w:val="nil"/>
            </w:tcBorders>
            <w:noWrap/>
            <w:vAlign w:val="center"/>
          </w:tcPr>
          <w:p w14:paraId="2F509A5A">
            <w:pPr>
              <w:pageBreakBefore w:val="0"/>
              <w:kinsoku/>
              <w:wordWrap/>
              <w:overflowPunct/>
              <w:topLinePunct w:val="0"/>
              <w:bidi w:val="0"/>
              <w:spacing w:line="360" w:lineRule="auto"/>
              <w:jc w:val="center"/>
              <w:rPr>
                <w:rFonts w:hint="eastAsia" w:ascii="宋体" w:hAnsi="宋体" w:eastAsia="宋体" w:cs="宋体"/>
                <w:color w:val="000000"/>
                <w:sz w:val="20"/>
                <w:szCs w:val="20"/>
              </w:rPr>
            </w:pPr>
            <w:r>
              <w:rPr>
                <w:rFonts w:hint="eastAsia" w:ascii="宋体" w:hAnsi="宋体" w:eastAsia="宋体" w:cs="宋体"/>
                <w:color w:val="000000"/>
                <w:sz w:val="20"/>
                <w:szCs w:val="20"/>
              </w:rPr>
              <w:t>/</w:t>
            </w:r>
          </w:p>
        </w:tc>
        <w:tc>
          <w:tcPr>
            <w:tcW w:w="1278" w:type="dxa"/>
            <w:tcBorders>
              <w:tl2br w:val="nil"/>
              <w:tr2bl w:val="nil"/>
            </w:tcBorders>
            <w:noWrap/>
            <w:vAlign w:val="center"/>
          </w:tcPr>
          <w:p w14:paraId="716CB429">
            <w:pPr>
              <w:pageBreakBefore w:val="0"/>
              <w:kinsoku/>
              <w:wordWrap/>
              <w:overflowPunct/>
              <w:topLinePunct w:val="0"/>
              <w:bidi w:val="0"/>
              <w:spacing w:line="360" w:lineRule="auto"/>
              <w:jc w:val="center"/>
              <w:rPr>
                <w:rFonts w:hint="eastAsia" w:ascii="宋体" w:hAnsi="宋体" w:eastAsia="宋体" w:cs="宋体"/>
                <w:color w:val="000000"/>
                <w:sz w:val="20"/>
                <w:szCs w:val="20"/>
              </w:rPr>
            </w:pPr>
            <w:r>
              <w:rPr>
                <w:rFonts w:hint="eastAsia" w:ascii="宋体" w:hAnsi="宋体" w:eastAsia="宋体" w:cs="宋体"/>
                <w:color w:val="000000"/>
                <w:sz w:val="20"/>
                <w:szCs w:val="20"/>
              </w:rPr>
              <w:t>/</w:t>
            </w:r>
          </w:p>
        </w:tc>
        <w:tc>
          <w:tcPr>
            <w:tcW w:w="934" w:type="dxa"/>
            <w:tcBorders>
              <w:tl2br w:val="nil"/>
              <w:tr2bl w:val="nil"/>
            </w:tcBorders>
            <w:noWrap/>
            <w:vAlign w:val="center"/>
          </w:tcPr>
          <w:p w14:paraId="737A962F">
            <w:pPr>
              <w:pageBreakBefore w:val="0"/>
              <w:widowControl/>
              <w:kinsoku/>
              <w:wordWrap/>
              <w:overflowPunct/>
              <w:topLinePunct w:val="0"/>
              <w:bidi w:val="0"/>
              <w:spacing w:line="360" w:lineRule="auto"/>
              <w:jc w:val="center"/>
              <w:textAlignment w:val="center"/>
              <w:rPr>
                <w:rFonts w:hint="eastAsia" w:ascii="宋体" w:hAnsi="宋体" w:eastAsia="宋体" w:cs="宋体"/>
                <w:color w:val="000000"/>
                <w:sz w:val="20"/>
                <w:szCs w:val="20"/>
              </w:rPr>
            </w:pPr>
          </w:p>
        </w:tc>
      </w:tr>
    </w:tbl>
    <w:p w14:paraId="5657F852">
      <w:pPr>
        <w:pageBreakBefore w:val="0"/>
        <w:kinsoku/>
        <w:wordWrap/>
        <w:overflowPunct/>
        <w:topLinePunct w:val="0"/>
        <w:bidi w:val="0"/>
        <w:spacing w:line="360" w:lineRule="auto"/>
        <w:rPr>
          <w:rFonts w:hint="eastAsia" w:asciiTheme="minorEastAsia" w:hAnsiTheme="minorEastAsia" w:eastAsiaTheme="minorEastAsia" w:cstheme="minorEastAsia"/>
          <w:sz w:val="24"/>
          <w:szCs w:val="24"/>
          <w:highlight w:val="none"/>
        </w:rPr>
      </w:pPr>
    </w:p>
    <w:p w14:paraId="31072C55">
      <w:pPr>
        <w:pageBreakBefore w:val="0"/>
        <w:kinsoku/>
        <w:wordWrap/>
        <w:overflowPunct/>
        <w:topLinePunct w:val="0"/>
        <w:bidi w:val="0"/>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投标人名称：                   授权代表签字：            日期：</w:t>
      </w:r>
    </w:p>
    <w:p w14:paraId="0D79B9C6">
      <w:pPr>
        <w:pageBreakBefore w:val="0"/>
        <w:kinsoku/>
        <w:wordWrap/>
        <w:overflowPunct/>
        <w:topLinePunct w:val="0"/>
        <w:bidi w:val="0"/>
        <w:spacing w:line="360" w:lineRule="auto"/>
        <w:rPr>
          <w:rFonts w:hint="eastAsia" w:asciiTheme="minorEastAsia" w:hAnsiTheme="minorEastAsia" w:eastAsiaTheme="minorEastAsia" w:cstheme="minorEastAsia"/>
          <w:sz w:val="24"/>
          <w:szCs w:val="24"/>
          <w:highlight w:val="none"/>
        </w:rPr>
      </w:pPr>
    </w:p>
    <w:p w14:paraId="6270F2C2">
      <w:pPr>
        <w:pageBreakBefore w:val="0"/>
        <w:kinsoku/>
        <w:wordWrap/>
        <w:overflowPunct/>
        <w:topLinePunct w:val="0"/>
        <w:bidi w:val="0"/>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注：</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投标总价为各投标物品的合计单项价之和，包含必要的标识费用等。</w:t>
      </w:r>
    </w:p>
    <w:p w14:paraId="4CE2C178">
      <w:pPr>
        <w:pageBreakBefore w:val="0"/>
        <w:numPr>
          <w:ilvl w:val="0"/>
          <w:numId w:val="0"/>
        </w:numPr>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本表用于开标宣读用，请单独封存。</w:t>
      </w:r>
    </w:p>
    <w:p w14:paraId="2195A8E8">
      <w:pPr>
        <w:pageBreakBefore w:val="0"/>
        <w:numPr>
          <w:ilvl w:val="0"/>
          <w:numId w:val="0"/>
        </w:numPr>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技术要求必须符合</w:t>
      </w:r>
      <w:r>
        <w:rPr>
          <w:rFonts w:hint="eastAsia" w:asciiTheme="minorEastAsia" w:hAnsiTheme="minorEastAsia" w:eastAsiaTheme="minorEastAsia" w:cstheme="minorEastAsia"/>
          <w:sz w:val="24"/>
          <w:szCs w:val="24"/>
          <w:highlight w:val="none"/>
          <w:lang w:eastAsia="zh-CN"/>
        </w:rPr>
        <w:t>技术协议书</w:t>
      </w:r>
      <w:r>
        <w:rPr>
          <w:rFonts w:hint="eastAsia" w:asciiTheme="minorEastAsia" w:hAnsiTheme="minorEastAsia" w:eastAsiaTheme="minorEastAsia" w:cstheme="minorEastAsia"/>
          <w:sz w:val="24"/>
          <w:szCs w:val="24"/>
          <w:highlight w:val="none"/>
        </w:rPr>
        <w:t>的相关要求。</w:t>
      </w:r>
    </w:p>
    <w:p w14:paraId="4520B704">
      <w:pPr>
        <w:pageBreakBefore w:val="0"/>
        <w:numPr>
          <w:ilvl w:val="0"/>
          <w:numId w:val="0"/>
        </w:numPr>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4、以上均为拟需求数量，实际需求量以实际采购量为准。</w:t>
      </w:r>
    </w:p>
    <w:p w14:paraId="7F8DBD6A">
      <w:pPr>
        <w:pageBreakBefore w:val="0"/>
        <w:numPr>
          <w:ilvl w:val="0"/>
          <w:numId w:val="0"/>
        </w:numPr>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yellow"/>
          <w:lang w:val="en-US" w:eastAsia="zh-CN"/>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B6F3209">
      <w:pPr>
        <w:pageBreakBefore w:val="0"/>
        <w:kinsoku/>
        <w:wordWrap/>
        <w:overflowPunct/>
        <w:topLinePunct w:val="0"/>
        <w:bidi w:val="0"/>
        <w:snapToGrid w:val="0"/>
        <w:spacing w:line="360"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14:paraId="6752203F">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13DA8747">
            <w:pPr>
              <w:pageBreakBefore w:val="0"/>
              <w:widowControl/>
              <w:kinsoku/>
              <w:wordWrap/>
              <w:overflowPunct/>
              <w:topLinePunct w:val="0"/>
              <w:bidi w:val="0"/>
              <w:snapToGrid w:val="0"/>
              <w:spacing w:line="360"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采购分项目报价单</w:t>
            </w:r>
          </w:p>
        </w:tc>
      </w:tr>
      <w:tr w14:paraId="03819587">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6FCBBC9D">
            <w:pPr>
              <w:pageBreakBefore w:val="0"/>
              <w:widowControl/>
              <w:kinsoku/>
              <w:wordWrap/>
              <w:overflowPunct/>
              <w:topLinePunct w:val="0"/>
              <w:bidi w:val="0"/>
              <w:snapToGrid w:val="0"/>
              <w:spacing w:line="240"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7753558F">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38E0FE9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14:paraId="53FB762B">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30882AE5">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4E94A217">
        <w:tblPrEx>
          <w:tblCellMar>
            <w:top w:w="0" w:type="dxa"/>
            <w:left w:w="108" w:type="dxa"/>
            <w:bottom w:w="0" w:type="dxa"/>
            <w:right w:w="108" w:type="dxa"/>
          </w:tblCellMar>
        </w:tblPrEx>
        <w:trPr>
          <w:trHeight w:val="228"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78D8A1A6">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0C61E26A">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1BCE894">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514C7F77">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1BE6B4C1">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2254368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54DB0555">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D9CD853">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34DA2D0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0E66A0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3B1BBD3A">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4F2B56C0">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582EC2B8">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4C171332">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38F799A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C855076">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B6D88B8">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3C7093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01D8085">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4E5C63B6">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0D6F0907">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7A4241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0FC03EFC">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0BAA7456">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0E7D9D7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2D4384EA">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10AB49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E592333">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2A997F81">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08F858F8">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4146B9B5">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7AA559AE">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47D130F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5A686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645CC">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092E45A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1D5D46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A6B8591">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25B591A6">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91F2E77">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10FFF2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792E1808">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67C037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F56801C">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D72DF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607072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7916F2EA">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4B6074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CA42BD9">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EA01E30">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FB62B80">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B5BF7AE">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3DF52">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53B65DCC">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5B0943E5">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32381D6D">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2B5E4ED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BF3E112">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CE2EBF6">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4AD12DA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52684BD0">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57504C25">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0A3C6C9">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82C627E">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5CCB9CCD">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28E85AB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381561B">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5C8E74C6">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D9033E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0158A102">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19202C7E">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80F3AB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594CD9">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592B5C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051284C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F757DF">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4968A51">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7CC06CA">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65E424DE">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6EF3AE49">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820D1C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117B09F6">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6DB6408C">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4D581B0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27F7E4C">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336D7846">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21C5B68">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75BF0657">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1F4116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CC5D53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39EEBCF2">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0A31845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46DF7979">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F9D778">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62D84DB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2C9AA1C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1B24BD6">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54B0638">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2679752E">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E1B5F9A">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3B42139B">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835933A">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553F41B1">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6F304C4E">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203BA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4996808">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45E6C317">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C2096A1">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15BE03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5EADBC9">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C61802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B21B189">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A83954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4A62D7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74A5431">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252B439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9B66940">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FCB974D">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4AEBA61">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540552C">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3402D6">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9BEFFFD">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3782234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3570E161">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2BA71C4A">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5F639DC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68CBE9E">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6AF2A45">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590BE8C">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F0560A">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396E1B3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6C0609B">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2A20247">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7C13BE5">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4686CC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C048D2C">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13A63500">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6F54440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3F62364">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14:paraId="27C219EB">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14:paraId="7285AFF2">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000E4C5D">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14:paraId="328B506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71D54B">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14:paraId="1A6267BD">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E05C213">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17910F7">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4B21467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C7DFD72">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14:paraId="160177B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14CC17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EF68E6D">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720547E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7F29052">
            <w:pPr>
              <w:pageBreakBefore w:val="0"/>
              <w:widowControl/>
              <w:kinsoku/>
              <w:wordWrap/>
              <w:overflowPunct/>
              <w:topLinePunct w:val="0"/>
              <w:bidi w:val="0"/>
              <w:snapToGrid w:val="0"/>
              <w:spacing w:line="240"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14:paraId="6D377CCF">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52C645E4">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772575F8">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5D9EEB0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8EBD6C">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C7978FB">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r w14:paraId="163CEEF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EFF28F3">
            <w:pPr>
              <w:pageBreakBefore w:val="0"/>
              <w:widowControl/>
              <w:kinsoku/>
              <w:wordWrap/>
              <w:overflowPunct/>
              <w:topLinePunct w:val="0"/>
              <w:bidi w:val="0"/>
              <w:snapToGrid w:val="0"/>
              <w:spacing w:line="240"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1D79D12">
            <w:pPr>
              <w:pageBreakBefore w:val="0"/>
              <w:widowControl/>
              <w:kinsoku/>
              <w:wordWrap/>
              <w:overflowPunct/>
              <w:topLinePunct w:val="0"/>
              <w:bidi w:val="0"/>
              <w:snapToGrid w:val="0"/>
              <w:spacing w:line="240" w:lineRule="auto"/>
              <w:contextualSpacing/>
              <w:jc w:val="center"/>
              <w:rPr>
                <w:rFonts w:hint="eastAsia" w:ascii="宋体" w:hAnsi="宋体" w:eastAsia="宋体" w:cs="宋体"/>
                <w:color w:val="000000"/>
                <w:kern w:val="0"/>
                <w:sz w:val="24"/>
                <w:szCs w:val="24"/>
                <w:lang w:eastAsia="zh-CN"/>
              </w:rPr>
            </w:pPr>
          </w:p>
        </w:tc>
      </w:tr>
    </w:tbl>
    <w:p w14:paraId="203296DE">
      <w:pPr>
        <w:pageBreakBefore w:val="0"/>
        <w:kinsoku/>
        <w:wordWrap/>
        <w:overflowPunct/>
        <w:topLinePunct w:val="0"/>
        <w:bidi w:val="0"/>
        <w:snapToGrid w:val="0"/>
        <w:spacing w:line="360" w:lineRule="auto"/>
        <w:contextualSpacing/>
        <w:rPr>
          <w:rFonts w:hint="eastAsia" w:ascii="宋体" w:hAnsi="宋体"/>
          <w:b/>
          <w:bCs/>
          <w:sz w:val="24"/>
          <w:szCs w:val="24"/>
        </w:rPr>
      </w:pPr>
    </w:p>
    <w:p w14:paraId="600DC625">
      <w:pPr>
        <w:pageBreakBefore w:val="0"/>
        <w:kinsoku/>
        <w:wordWrap/>
        <w:overflowPunct/>
        <w:topLinePunct w:val="0"/>
        <w:bidi w:val="0"/>
        <w:snapToGrid w:val="0"/>
        <w:spacing w:line="360"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w:t>
      </w:r>
      <w:r>
        <w:rPr>
          <w:rFonts w:hint="eastAsia" w:ascii="宋体" w:hAnsi="宋体"/>
          <w:b/>
          <w:bCs/>
          <w:sz w:val="24"/>
          <w:szCs w:val="24"/>
          <w:lang w:val="en-US" w:eastAsia="zh-CN"/>
        </w:rPr>
        <w:t>货物均需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14:paraId="38D0250E">
      <w:pPr>
        <w:pageBreakBefore w:val="0"/>
        <w:kinsoku/>
        <w:wordWrap/>
        <w:overflowPunct/>
        <w:topLinePunct w:val="0"/>
        <w:bidi w:val="0"/>
        <w:snapToGrid w:val="0"/>
        <w:spacing w:line="360" w:lineRule="auto"/>
        <w:contextualSpacing/>
        <w:rPr>
          <w:rFonts w:hint="eastAsia" w:eastAsia="黑体"/>
          <w:b/>
          <w:bCs/>
          <w:sz w:val="28"/>
          <w:lang w:val="en-US" w:eastAsia="zh-CN"/>
        </w:rPr>
      </w:pPr>
    </w:p>
    <w:p w14:paraId="2B8931C5">
      <w:pPr>
        <w:pageBreakBefore w:val="0"/>
        <w:kinsoku/>
        <w:wordWrap/>
        <w:overflowPunct/>
        <w:topLinePunct w:val="0"/>
        <w:bidi w:val="0"/>
        <w:snapToGrid w:val="0"/>
        <w:spacing w:line="360" w:lineRule="auto"/>
        <w:contextualSpacing/>
        <w:rPr>
          <w:rFonts w:hint="eastAsia" w:eastAsia="黑体"/>
          <w:b/>
          <w:bCs/>
          <w:sz w:val="28"/>
          <w:lang w:val="en-US" w:eastAsia="zh-CN"/>
        </w:rPr>
      </w:pPr>
    </w:p>
    <w:p w14:paraId="769B8938">
      <w:pPr>
        <w:pageBreakBefore w:val="0"/>
        <w:kinsoku/>
        <w:wordWrap/>
        <w:overflowPunct/>
        <w:topLinePunct w:val="0"/>
        <w:bidi w:val="0"/>
        <w:snapToGrid w:val="0"/>
        <w:spacing w:line="360" w:lineRule="auto"/>
        <w:contextualSpacing/>
        <w:rPr>
          <w:rFonts w:hint="eastAsia" w:eastAsia="黑体"/>
          <w:b/>
          <w:bCs/>
          <w:sz w:val="28"/>
          <w:lang w:eastAsia="zh-CN"/>
        </w:rPr>
      </w:pPr>
      <w:r>
        <w:rPr>
          <w:rFonts w:hint="eastAsia" w:eastAsia="黑体"/>
          <w:b/>
          <w:bCs/>
          <w:sz w:val="28"/>
          <w:lang w:val="en-US" w:eastAsia="zh-CN"/>
        </w:rPr>
        <w:t>附件5</w:t>
      </w:r>
    </w:p>
    <w:p w14:paraId="6BD8AB48">
      <w:pPr>
        <w:pageBreakBefore w:val="0"/>
        <w:kinsoku/>
        <w:wordWrap/>
        <w:overflowPunct/>
        <w:topLinePunct w:val="0"/>
        <w:bidi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偏 离 表</w:t>
      </w:r>
    </w:p>
    <w:p w14:paraId="1DE75B57">
      <w:pPr>
        <w:pageBreakBefore w:val="0"/>
        <w:kinsoku/>
        <w:wordWrap/>
        <w:overflowPunct/>
        <w:topLinePunct w:val="0"/>
        <w:bidi w:val="0"/>
        <w:spacing w:line="360" w:lineRule="auto"/>
        <w:ind w:left="420"/>
        <w:rPr>
          <w:rFonts w:hint="eastAsia" w:ascii="宋体" w:hAnsi="宋体" w:eastAsia="宋体" w:cs="宋体"/>
          <w:b/>
          <w:bCs/>
          <w:sz w:val="24"/>
          <w:szCs w:val="24"/>
        </w:rPr>
      </w:pPr>
      <w:r>
        <w:rPr>
          <w:rFonts w:hint="eastAsia" w:ascii="宋体" w:hAnsi="宋体" w:cs="宋体"/>
          <w:sz w:val="24"/>
          <w:szCs w:val="24"/>
        </w:rPr>
        <w:t>招标项目名称：</w:t>
      </w:r>
      <w:r>
        <w:rPr>
          <w:rFonts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招标编号：</w:t>
      </w:r>
      <w:r>
        <w:rPr>
          <w:rFonts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ascii="宋体" w:hAnsi="宋体" w:cs="宋体"/>
          <w:sz w:val="24"/>
          <w:szCs w:val="24"/>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6E11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404712E4">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14:paraId="20D881C1">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14:paraId="1D30BB41">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偏离内容</w:t>
            </w:r>
          </w:p>
        </w:tc>
      </w:tr>
      <w:tr w14:paraId="0232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85B4EF5">
            <w:pPr>
              <w:pageBreakBefore w:val="0"/>
              <w:kinsoku/>
              <w:wordWrap/>
              <w:overflowPunct/>
              <w:topLinePunct w:val="0"/>
              <w:bidi w:val="0"/>
              <w:spacing w:line="360" w:lineRule="auto"/>
              <w:rPr>
                <w:rFonts w:hint="eastAsia" w:ascii="宋体" w:hAnsi="宋体" w:eastAsia="宋体" w:cs="宋体"/>
                <w:sz w:val="24"/>
                <w:szCs w:val="24"/>
              </w:rPr>
            </w:pPr>
          </w:p>
        </w:tc>
        <w:tc>
          <w:tcPr>
            <w:tcW w:w="1080" w:type="dxa"/>
            <w:noWrap w:val="0"/>
            <w:vAlign w:val="center"/>
          </w:tcPr>
          <w:p w14:paraId="51FC5D49">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14:paraId="312ED1E3">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14:paraId="689D1BC3">
            <w:pPr>
              <w:pageBreakBefore w:val="0"/>
              <w:kinsoku/>
              <w:wordWrap/>
              <w:overflowPunct/>
              <w:topLinePunct w:val="0"/>
              <w:bidi w:val="0"/>
              <w:spacing w:line="360" w:lineRule="auto"/>
              <w:jc w:val="center"/>
              <w:rPr>
                <w:rFonts w:hint="eastAsia" w:ascii="宋体" w:hAnsi="宋体" w:eastAsia="宋体" w:cs="宋体"/>
                <w:sz w:val="24"/>
                <w:szCs w:val="24"/>
              </w:rPr>
            </w:pPr>
          </w:p>
        </w:tc>
      </w:tr>
      <w:tr w14:paraId="4485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D60C26">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14:paraId="4E86763B">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30A2FFBD">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66377842">
            <w:pPr>
              <w:pageBreakBefore w:val="0"/>
              <w:kinsoku/>
              <w:wordWrap/>
              <w:overflowPunct/>
              <w:topLinePunct w:val="0"/>
              <w:bidi w:val="0"/>
              <w:spacing w:line="360" w:lineRule="auto"/>
              <w:rPr>
                <w:rFonts w:hint="eastAsia" w:ascii="宋体" w:hAnsi="宋体" w:eastAsia="宋体" w:cs="宋体"/>
                <w:sz w:val="24"/>
                <w:szCs w:val="24"/>
              </w:rPr>
            </w:pPr>
          </w:p>
        </w:tc>
      </w:tr>
      <w:tr w14:paraId="789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AFAB7D">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14:paraId="38116BF8">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5C1C5E6F">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10867BDC">
            <w:pPr>
              <w:pageBreakBefore w:val="0"/>
              <w:kinsoku/>
              <w:wordWrap/>
              <w:overflowPunct/>
              <w:topLinePunct w:val="0"/>
              <w:bidi w:val="0"/>
              <w:spacing w:line="360" w:lineRule="auto"/>
              <w:rPr>
                <w:rFonts w:hint="eastAsia" w:ascii="宋体" w:hAnsi="宋体" w:eastAsia="宋体" w:cs="宋体"/>
                <w:sz w:val="24"/>
                <w:szCs w:val="24"/>
              </w:rPr>
            </w:pPr>
          </w:p>
        </w:tc>
      </w:tr>
      <w:tr w14:paraId="297F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72179F8">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14:paraId="31BBDB64">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732F1D09">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36F3E89F">
            <w:pPr>
              <w:pageBreakBefore w:val="0"/>
              <w:kinsoku/>
              <w:wordWrap/>
              <w:overflowPunct/>
              <w:topLinePunct w:val="0"/>
              <w:bidi w:val="0"/>
              <w:spacing w:line="360" w:lineRule="auto"/>
              <w:rPr>
                <w:rFonts w:hint="eastAsia" w:ascii="宋体" w:hAnsi="宋体" w:eastAsia="宋体" w:cs="宋体"/>
                <w:sz w:val="24"/>
                <w:szCs w:val="24"/>
              </w:rPr>
            </w:pPr>
          </w:p>
        </w:tc>
      </w:tr>
      <w:tr w14:paraId="1A42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BA5B91">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14:paraId="7FF73E6C">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08AB6AFF">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589C58B2">
            <w:pPr>
              <w:pageBreakBefore w:val="0"/>
              <w:kinsoku/>
              <w:wordWrap/>
              <w:overflowPunct/>
              <w:topLinePunct w:val="0"/>
              <w:bidi w:val="0"/>
              <w:spacing w:line="360" w:lineRule="auto"/>
              <w:rPr>
                <w:rFonts w:hint="eastAsia" w:ascii="宋体" w:hAnsi="宋体" w:eastAsia="宋体" w:cs="宋体"/>
                <w:sz w:val="24"/>
                <w:szCs w:val="24"/>
              </w:rPr>
            </w:pPr>
          </w:p>
        </w:tc>
      </w:tr>
      <w:tr w14:paraId="4D12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D5CB24">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14:paraId="66892EA9">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363E981F">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1B3FEDE4">
            <w:pPr>
              <w:pageBreakBefore w:val="0"/>
              <w:kinsoku/>
              <w:wordWrap/>
              <w:overflowPunct/>
              <w:topLinePunct w:val="0"/>
              <w:bidi w:val="0"/>
              <w:spacing w:line="360" w:lineRule="auto"/>
              <w:rPr>
                <w:rFonts w:hint="eastAsia" w:ascii="宋体" w:hAnsi="宋体" w:eastAsia="宋体" w:cs="宋体"/>
                <w:sz w:val="24"/>
                <w:szCs w:val="24"/>
              </w:rPr>
            </w:pPr>
          </w:p>
        </w:tc>
      </w:tr>
      <w:tr w14:paraId="0809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A3EFB4">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14:paraId="34A863FA">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5113F39C">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0CF670CD">
            <w:pPr>
              <w:pageBreakBefore w:val="0"/>
              <w:kinsoku/>
              <w:wordWrap/>
              <w:overflowPunct/>
              <w:topLinePunct w:val="0"/>
              <w:bidi w:val="0"/>
              <w:spacing w:line="360" w:lineRule="auto"/>
              <w:rPr>
                <w:rFonts w:hint="eastAsia" w:ascii="宋体" w:hAnsi="宋体" w:eastAsia="宋体" w:cs="宋体"/>
                <w:sz w:val="24"/>
                <w:szCs w:val="24"/>
              </w:rPr>
            </w:pPr>
          </w:p>
        </w:tc>
      </w:tr>
      <w:tr w14:paraId="5A47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56F1CA8">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14:paraId="65A921B8">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47093583">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2AA71E8F">
            <w:pPr>
              <w:pageBreakBefore w:val="0"/>
              <w:kinsoku/>
              <w:wordWrap/>
              <w:overflowPunct/>
              <w:topLinePunct w:val="0"/>
              <w:bidi w:val="0"/>
              <w:spacing w:line="360" w:lineRule="auto"/>
              <w:rPr>
                <w:rFonts w:hint="eastAsia" w:ascii="宋体" w:hAnsi="宋体" w:eastAsia="宋体" w:cs="宋体"/>
                <w:sz w:val="24"/>
                <w:szCs w:val="24"/>
              </w:rPr>
            </w:pPr>
          </w:p>
        </w:tc>
      </w:tr>
      <w:tr w14:paraId="4127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7A16E28">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14:paraId="0E15AF67">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6EFF8A7F">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6764E4BF">
            <w:pPr>
              <w:pageBreakBefore w:val="0"/>
              <w:kinsoku/>
              <w:wordWrap/>
              <w:overflowPunct/>
              <w:topLinePunct w:val="0"/>
              <w:bidi w:val="0"/>
              <w:spacing w:line="360" w:lineRule="auto"/>
              <w:rPr>
                <w:rFonts w:hint="eastAsia" w:ascii="宋体" w:hAnsi="宋体" w:eastAsia="宋体" w:cs="宋体"/>
                <w:sz w:val="24"/>
                <w:szCs w:val="24"/>
              </w:rPr>
            </w:pPr>
          </w:p>
        </w:tc>
      </w:tr>
      <w:tr w14:paraId="11B0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F18BD7">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14:paraId="3B08BCC4">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6523E4E4">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49BAC003">
            <w:pPr>
              <w:pageBreakBefore w:val="0"/>
              <w:kinsoku/>
              <w:wordWrap/>
              <w:overflowPunct/>
              <w:topLinePunct w:val="0"/>
              <w:bidi w:val="0"/>
              <w:spacing w:line="360" w:lineRule="auto"/>
              <w:rPr>
                <w:rFonts w:hint="eastAsia" w:ascii="宋体" w:hAnsi="宋体" w:eastAsia="宋体" w:cs="宋体"/>
                <w:sz w:val="24"/>
                <w:szCs w:val="24"/>
              </w:rPr>
            </w:pPr>
          </w:p>
        </w:tc>
      </w:tr>
      <w:tr w14:paraId="28E1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22C16D">
            <w:pPr>
              <w:pageBreakBefore w:val="0"/>
              <w:kinsoku/>
              <w:wordWrap/>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14:paraId="0D65DE27">
            <w:pPr>
              <w:pageBreakBefore w:val="0"/>
              <w:kinsoku/>
              <w:wordWrap/>
              <w:overflowPunct/>
              <w:topLinePunct w:val="0"/>
              <w:bidi w:val="0"/>
              <w:spacing w:line="360" w:lineRule="auto"/>
              <w:rPr>
                <w:rFonts w:hint="eastAsia" w:ascii="宋体" w:hAnsi="宋体" w:eastAsia="宋体" w:cs="宋体"/>
                <w:sz w:val="24"/>
                <w:szCs w:val="24"/>
              </w:rPr>
            </w:pPr>
          </w:p>
        </w:tc>
        <w:tc>
          <w:tcPr>
            <w:tcW w:w="3060" w:type="dxa"/>
            <w:noWrap w:val="0"/>
            <w:vAlign w:val="center"/>
          </w:tcPr>
          <w:p w14:paraId="0175F045">
            <w:pPr>
              <w:pageBreakBefore w:val="0"/>
              <w:kinsoku/>
              <w:wordWrap/>
              <w:overflowPunct/>
              <w:topLinePunct w:val="0"/>
              <w:bidi w:val="0"/>
              <w:spacing w:line="360" w:lineRule="auto"/>
              <w:rPr>
                <w:rFonts w:hint="eastAsia" w:ascii="宋体" w:hAnsi="宋体" w:eastAsia="宋体" w:cs="宋体"/>
                <w:sz w:val="24"/>
                <w:szCs w:val="24"/>
              </w:rPr>
            </w:pPr>
          </w:p>
        </w:tc>
        <w:tc>
          <w:tcPr>
            <w:tcW w:w="3554" w:type="dxa"/>
            <w:noWrap w:val="0"/>
            <w:vAlign w:val="center"/>
          </w:tcPr>
          <w:p w14:paraId="3ECB0CA5">
            <w:pPr>
              <w:pageBreakBefore w:val="0"/>
              <w:kinsoku/>
              <w:wordWrap/>
              <w:overflowPunct/>
              <w:topLinePunct w:val="0"/>
              <w:bidi w:val="0"/>
              <w:spacing w:line="360" w:lineRule="auto"/>
              <w:rPr>
                <w:rFonts w:hint="eastAsia" w:ascii="宋体" w:hAnsi="宋体" w:eastAsia="宋体" w:cs="宋体"/>
                <w:sz w:val="24"/>
                <w:szCs w:val="24"/>
              </w:rPr>
            </w:pPr>
          </w:p>
        </w:tc>
      </w:tr>
    </w:tbl>
    <w:p w14:paraId="5ACA9427">
      <w:pPr>
        <w:pageBreakBefore w:val="0"/>
        <w:kinsoku/>
        <w:wordWrap/>
        <w:overflowPunct/>
        <w:topLinePunct w:val="0"/>
        <w:bidi w:val="0"/>
        <w:spacing w:line="360" w:lineRule="auto"/>
        <w:rPr>
          <w:rFonts w:hint="eastAsia" w:ascii="宋体" w:hAnsi="宋体" w:eastAsia="宋体" w:cs="宋体"/>
          <w:b/>
          <w:sz w:val="24"/>
          <w:szCs w:val="24"/>
        </w:rPr>
      </w:pPr>
      <w:r>
        <w:rPr>
          <w:rFonts w:hint="eastAsia" w:ascii="宋体" w:hAnsi="宋体" w:eastAsia="宋体" w:cs="宋体"/>
          <w:b/>
          <w:sz w:val="24"/>
          <w:szCs w:val="24"/>
        </w:rPr>
        <w:t>注：</w:t>
      </w:r>
    </w:p>
    <w:p w14:paraId="1260125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4"/>
          <w:szCs w:val="24"/>
          <w:highlight w:val="none"/>
        </w:rPr>
      </w:pPr>
      <w:r>
        <w:rPr>
          <w:rFonts w:hint="eastAsia" w:ascii="宋体" w:hAnsi="宋体"/>
          <w:sz w:val="24"/>
          <w:szCs w:val="24"/>
          <w:highlight w:val="none"/>
          <w:lang w:val="en-US" w:eastAsia="zh-CN"/>
        </w:rPr>
        <w:t>1、</w:t>
      </w:r>
      <w:r>
        <w:rPr>
          <w:rFonts w:hint="eastAsia" w:ascii="宋体" w:hAnsi="宋体"/>
          <w:sz w:val="24"/>
          <w:szCs w:val="24"/>
          <w:highlight w:val="none"/>
        </w:rPr>
        <w:t>对招标文件的主要商务要求（如交货期、付款方式、履约保证、质保期等）须逐条作出响应，而不应以“全部符合”等字样来响应。</w:t>
      </w:r>
    </w:p>
    <w:p w14:paraId="3FB3810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2、其他商务偏离也须在上表中逐条列明。</w:t>
      </w:r>
    </w:p>
    <w:p w14:paraId="66737A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3、如投标文件不符合上述要求，投标人将承担其投标被拒绝的风险。</w:t>
      </w:r>
    </w:p>
    <w:p w14:paraId="1B9C39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4、即使投标人进行了描述，也要提报该表，无该表则被视为“无偏离”。如无偏离注明“无”字。</w:t>
      </w:r>
    </w:p>
    <w:p w14:paraId="5960A842">
      <w:pPr>
        <w:pageBreakBefore w:val="0"/>
        <w:kinsoku/>
        <w:wordWrap/>
        <w:overflowPunct/>
        <w:topLinePunct w:val="0"/>
        <w:bidi w:val="0"/>
        <w:spacing w:line="360" w:lineRule="auto"/>
        <w:rPr>
          <w:rFonts w:hint="eastAsia" w:ascii="宋体" w:hAnsi="宋体"/>
          <w:sz w:val="24"/>
          <w:szCs w:val="24"/>
          <w:highlight w:val="none"/>
          <w:lang w:val="en-US" w:eastAsia="zh-CN"/>
        </w:rPr>
      </w:pPr>
    </w:p>
    <w:p w14:paraId="1A7F24CB">
      <w:pPr>
        <w:pStyle w:val="12"/>
        <w:pageBreakBefore w:val="0"/>
        <w:kinsoku/>
        <w:wordWrap/>
        <w:overflowPunct/>
        <w:topLinePunct w:val="0"/>
        <w:bidi w:val="0"/>
        <w:spacing w:line="360" w:lineRule="auto"/>
        <w:rPr>
          <w:rFonts w:eastAsia="黑体"/>
          <w:b/>
          <w:bCs/>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cs="宋体"/>
          <w:sz w:val="24"/>
          <w:szCs w:val="24"/>
        </w:rPr>
        <w:t>投标人代表</w:t>
      </w:r>
      <w:r>
        <w:rPr>
          <w:rFonts w:hint="eastAsia" w:ascii="宋体" w:hAnsi="宋体" w:cs="宋体"/>
          <w:sz w:val="24"/>
          <w:szCs w:val="24"/>
          <w:lang w:eastAsia="zh-CN"/>
        </w:rPr>
        <w:t>（</w:t>
      </w:r>
      <w:r>
        <w:rPr>
          <w:rFonts w:hint="eastAsia" w:ascii="宋体" w:hAnsi="宋体" w:cs="宋体"/>
          <w:sz w:val="24"/>
          <w:szCs w:val="24"/>
        </w:rPr>
        <w:t>签字</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eastAsia="zh-CN"/>
        </w:rPr>
        <w:t>日期：</w:t>
      </w:r>
    </w:p>
    <w:p w14:paraId="12C174D2">
      <w:pPr>
        <w:pStyle w:val="12"/>
        <w:pageBreakBefore w:val="0"/>
        <w:kinsoku/>
        <w:wordWrap/>
        <w:overflowPunct/>
        <w:topLinePunct w:val="0"/>
        <w:bidi w:val="0"/>
        <w:spacing w:line="360" w:lineRule="auto"/>
        <w:rPr>
          <w:rFonts w:hint="eastAsia" w:eastAsia="黑体"/>
          <w:b/>
          <w:bCs/>
          <w:sz w:val="28"/>
          <w:lang w:eastAsia="zh-CN"/>
        </w:rPr>
      </w:pPr>
      <w:r>
        <w:rPr>
          <w:rFonts w:hint="eastAsia" w:eastAsia="黑体"/>
          <w:b/>
          <w:bCs/>
          <w:sz w:val="28"/>
          <w:lang w:val="en-US" w:eastAsia="zh-CN"/>
        </w:rPr>
        <w:t>附件6</w:t>
      </w:r>
    </w:p>
    <w:p w14:paraId="0D660997">
      <w:pPr>
        <w:pStyle w:val="12"/>
        <w:pageBreakBefore w:val="0"/>
        <w:kinsoku/>
        <w:wordWrap/>
        <w:overflowPunct/>
        <w:topLinePunct w:val="0"/>
        <w:bidi w:val="0"/>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14:paraId="422D21B0">
      <w:pPr>
        <w:pageBreakBefore w:val="0"/>
        <w:kinsoku/>
        <w:wordWrap/>
        <w:overflowPunct/>
        <w:topLinePunct w:val="0"/>
        <w:bidi w:val="0"/>
        <w:spacing w:line="360" w:lineRule="auto"/>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14:paraId="77B96135">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79AA23D">
            <w:pPr>
              <w:pageBreakBefore w:val="0"/>
              <w:widowControl/>
              <w:kinsoku/>
              <w:wordWrap/>
              <w:overflowPunct/>
              <w:topLinePunct w:val="0"/>
              <w:bidi w:val="0"/>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68BBABB4">
            <w:pPr>
              <w:pageBreakBefore w:val="0"/>
              <w:widowControl/>
              <w:kinsoku/>
              <w:wordWrap/>
              <w:overflowPunct/>
              <w:topLinePunct w:val="0"/>
              <w:bidi w:val="0"/>
              <w:spacing w:line="360" w:lineRule="auto"/>
              <w:jc w:val="center"/>
              <w:rPr>
                <w:rFonts w:hint="default" w:ascii="宋体" w:hAnsi="宋体" w:eastAsia="宋体" w:cs="宋体"/>
                <w:color w:val="000000"/>
                <w:kern w:val="0"/>
                <w:sz w:val="24"/>
                <w:szCs w:val="24"/>
                <w:lang w:val="en-US" w:eastAsia="zh-CN"/>
              </w:rPr>
            </w:pPr>
          </w:p>
        </w:tc>
      </w:tr>
      <w:tr w14:paraId="52B9FB73">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0613D94">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B91690B">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r>
      <w:tr w14:paraId="2284FD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51C68319">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1C87280B">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r>
      <w:tr w14:paraId="2D4C0E12">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70FE01D7">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14:paraId="1C602356">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59CE18FE">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14:paraId="28C01DB9">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r>
      <w:tr w14:paraId="252DAC95">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7A2D26A2">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14:paraId="4479CFC9">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1EBD2B32">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14:paraId="341728AF">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r>
      <w:tr w14:paraId="59A058DF">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EC9D248">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1EC979EA">
            <w:pPr>
              <w:pageBreakBefore w:val="0"/>
              <w:widowControl/>
              <w:kinsoku/>
              <w:wordWrap/>
              <w:overflowPunct/>
              <w:topLinePunct w:val="0"/>
              <w:bidi w:val="0"/>
              <w:spacing w:line="360" w:lineRule="auto"/>
              <w:jc w:val="center"/>
              <w:rPr>
                <w:rFonts w:hint="eastAsia" w:ascii="宋体" w:hAnsi="宋体" w:eastAsia="宋体" w:cs="宋体"/>
                <w:color w:val="000000"/>
                <w:kern w:val="0"/>
                <w:sz w:val="24"/>
                <w:szCs w:val="24"/>
                <w:lang w:eastAsia="zh-CN"/>
              </w:rPr>
            </w:pPr>
          </w:p>
        </w:tc>
      </w:tr>
      <w:tr w14:paraId="348D6CB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1A5DA290">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4F0F5AB">
            <w:pPr>
              <w:pageBreakBefore w:val="0"/>
              <w:widowControl/>
              <w:kinsoku/>
              <w:wordWrap/>
              <w:overflowPunct/>
              <w:topLinePunct w:val="0"/>
              <w:bidi w:val="0"/>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097CE88E">
      <w:pPr>
        <w:pageBreakBefore w:val="0"/>
        <w:kinsoku/>
        <w:wordWrap/>
        <w:overflowPunct/>
        <w:topLinePunct w:val="0"/>
        <w:bidi w:val="0"/>
        <w:spacing w:line="360" w:lineRule="auto"/>
        <w:ind w:left="413" w:right="69" w:rightChars="33" w:hanging="472" w:hangingChars="196"/>
        <w:rPr>
          <w:rFonts w:ascii="宋体" w:hAnsi="宋体"/>
          <w:b/>
          <w:sz w:val="24"/>
          <w:szCs w:val="24"/>
        </w:rPr>
      </w:pPr>
    </w:p>
    <w:p w14:paraId="7A159112">
      <w:pPr>
        <w:pageBreakBefore w:val="0"/>
        <w:kinsoku/>
        <w:wordWrap/>
        <w:overflowPunct/>
        <w:topLinePunct w:val="0"/>
        <w:bidi w:val="0"/>
        <w:spacing w:line="360" w:lineRule="auto"/>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6A540244">
      <w:pPr>
        <w:pageBreakBefore w:val="0"/>
        <w:kinsoku/>
        <w:wordWrap/>
        <w:overflowPunct/>
        <w:topLinePunct w:val="0"/>
        <w:bidi w:val="0"/>
        <w:spacing w:line="360" w:lineRule="auto"/>
        <w:rPr>
          <w:rFonts w:eastAsia="黑体"/>
          <w:b/>
          <w:bCs/>
          <w:sz w:val="24"/>
          <w:szCs w:val="24"/>
        </w:rPr>
      </w:pPr>
    </w:p>
    <w:p w14:paraId="68150E31">
      <w:pPr>
        <w:pageBreakBefore w:val="0"/>
        <w:kinsoku/>
        <w:wordWrap/>
        <w:overflowPunct/>
        <w:topLinePunct w:val="0"/>
        <w:bidi w:val="0"/>
        <w:spacing w:line="360" w:lineRule="auto"/>
        <w:rPr>
          <w:rFonts w:ascii="宋体" w:hAnsi="宋体"/>
          <w:sz w:val="24"/>
          <w:szCs w:val="24"/>
        </w:rPr>
      </w:pPr>
      <w:r>
        <w:rPr>
          <w:rFonts w:hint="eastAsia" w:ascii="宋体" w:hAnsi="宋体"/>
          <w:sz w:val="24"/>
          <w:szCs w:val="24"/>
        </w:rPr>
        <w:t>投标人名称：                   授权代表签字：            日期：</w:t>
      </w:r>
    </w:p>
    <w:p w14:paraId="2D662733">
      <w:pPr>
        <w:pageBreakBefore w:val="0"/>
        <w:kinsoku/>
        <w:wordWrap/>
        <w:overflowPunct/>
        <w:topLinePunct w:val="0"/>
        <w:bidi w:val="0"/>
        <w:spacing w:line="360" w:lineRule="auto"/>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DE0208B">
      <w:pPr>
        <w:pageBreakBefore w:val="0"/>
        <w:kinsoku/>
        <w:wordWrap/>
        <w:overflowPunct/>
        <w:topLinePunct w:val="0"/>
        <w:bidi w:val="0"/>
        <w:spacing w:line="360" w:lineRule="auto"/>
        <w:rPr>
          <w:rFonts w:hint="eastAsia" w:eastAsia="黑体"/>
          <w:b/>
          <w:bCs/>
          <w:sz w:val="28"/>
          <w:lang w:eastAsia="zh-CN"/>
        </w:rPr>
      </w:pPr>
      <w:r>
        <w:rPr>
          <w:rFonts w:hint="eastAsia" w:eastAsia="黑体"/>
          <w:b/>
          <w:bCs/>
          <w:sz w:val="28"/>
          <w:lang w:val="en-US" w:eastAsia="zh-CN"/>
        </w:rPr>
        <w:t>附件7</w:t>
      </w:r>
    </w:p>
    <w:p w14:paraId="3FCE6715">
      <w:pPr>
        <w:pageBreakBefore w:val="0"/>
        <w:kinsoku/>
        <w:wordWrap/>
        <w:overflowPunct/>
        <w:topLinePunct w:val="0"/>
        <w:bidi w:val="0"/>
        <w:spacing w:line="360" w:lineRule="auto"/>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407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14:paraId="3A9DD0A5">
            <w:pPr>
              <w:pageBreakBefore w:val="0"/>
              <w:kinsoku/>
              <w:wordWrap/>
              <w:overflowPunct/>
              <w:topLinePunct w:val="0"/>
              <w:bidi w:val="0"/>
              <w:spacing w:line="360" w:lineRule="auto"/>
              <w:ind w:firstLine="480" w:firstLineChars="200"/>
              <w:jc w:val="center"/>
              <w:rPr>
                <w:rFonts w:ascii="宋体" w:hAnsi="Courier New"/>
                <w:sz w:val="24"/>
                <w:szCs w:val="24"/>
              </w:rPr>
            </w:pPr>
            <w:r>
              <w:rPr>
                <w:rFonts w:hint="eastAsia"/>
                <w:sz w:val="24"/>
                <w:szCs w:val="24"/>
              </w:rPr>
              <w:t>格式自拟</w:t>
            </w:r>
          </w:p>
        </w:tc>
      </w:tr>
    </w:tbl>
    <w:p w14:paraId="4B4AF79C">
      <w:pPr>
        <w:pageBreakBefore w:val="0"/>
        <w:kinsoku/>
        <w:wordWrap/>
        <w:overflowPunct/>
        <w:topLinePunct w:val="0"/>
        <w:bidi w:val="0"/>
        <w:spacing w:line="360" w:lineRule="auto"/>
        <w:ind w:firstLine="240" w:firstLineChars="100"/>
        <w:rPr>
          <w:rFonts w:ascii="宋体" w:hAnsi="宋体"/>
          <w:sz w:val="24"/>
          <w:szCs w:val="24"/>
        </w:rPr>
      </w:pPr>
      <w:r>
        <w:rPr>
          <w:rFonts w:hint="eastAsia" w:ascii="宋体" w:hAnsi="宋体"/>
          <w:sz w:val="24"/>
          <w:szCs w:val="24"/>
        </w:rPr>
        <w:t>投标人名称：                   授权代表签字：            日期：</w:t>
      </w:r>
    </w:p>
    <w:p w14:paraId="3F1DBD45">
      <w:pPr>
        <w:pageBreakBefore w:val="0"/>
        <w:kinsoku/>
        <w:wordWrap/>
        <w:overflowPunct/>
        <w:topLinePunct w:val="0"/>
        <w:bidi w:val="0"/>
        <w:spacing w:line="360" w:lineRule="auto"/>
        <w:rPr>
          <w:rFonts w:ascii="宋体" w:hAnsi="宋体"/>
          <w:b/>
          <w:sz w:val="24"/>
          <w:szCs w:val="24"/>
        </w:rPr>
      </w:pPr>
    </w:p>
    <w:p w14:paraId="3B9F75CB">
      <w:pPr>
        <w:pageBreakBefore w:val="0"/>
        <w:widowControl/>
        <w:kinsoku/>
        <w:wordWrap/>
        <w:overflowPunct/>
        <w:topLinePunct w:val="0"/>
        <w:bidi w:val="0"/>
        <w:spacing w:line="360" w:lineRule="auto"/>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14:paraId="0623A5CF">
      <w:pPr>
        <w:pageBreakBefore w:val="0"/>
        <w:kinsoku/>
        <w:wordWrap/>
        <w:overflowPunct/>
        <w:topLinePunct w:val="0"/>
        <w:bidi w:val="0"/>
        <w:spacing w:line="360" w:lineRule="auto"/>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1E56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3437C19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单位名称</w:t>
            </w:r>
          </w:p>
        </w:tc>
        <w:tc>
          <w:tcPr>
            <w:tcW w:w="3719" w:type="dxa"/>
            <w:gridSpan w:val="3"/>
            <w:noWrap w:val="0"/>
            <w:vAlign w:val="center"/>
          </w:tcPr>
          <w:p w14:paraId="304216D1">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063" w:type="dxa"/>
            <w:noWrap w:val="0"/>
            <w:vAlign w:val="center"/>
          </w:tcPr>
          <w:p w14:paraId="1C11CB0C">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所属行业</w:t>
            </w:r>
          </w:p>
        </w:tc>
        <w:tc>
          <w:tcPr>
            <w:tcW w:w="1062" w:type="dxa"/>
            <w:noWrap w:val="0"/>
            <w:vAlign w:val="center"/>
          </w:tcPr>
          <w:p w14:paraId="36558E86">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797" w:type="dxa"/>
            <w:noWrap w:val="0"/>
            <w:vAlign w:val="center"/>
          </w:tcPr>
          <w:p w14:paraId="4F9E027D">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929" w:type="dxa"/>
            <w:gridSpan w:val="2"/>
            <w:noWrap w:val="0"/>
            <w:vAlign w:val="center"/>
          </w:tcPr>
          <w:p w14:paraId="62325C30">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741F5E6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w:t>
            </w:r>
          </w:p>
        </w:tc>
        <w:tc>
          <w:tcPr>
            <w:tcW w:w="1118" w:type="dxa"/>
            <w:noWrap w:val="0"/>
            <w:vAlign w:val="center"/>
          </w:tcPr>
          <w:p w14:paraId="5DC96B6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r>
      <w:tr w14:paraId="63F0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7305525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w:t>
            </w:r>
          </w:p>
        </w:tc>
        <w:tc>
          <w:tcPr>
            <w:tcW w:w="3719" w:type="dxa"/>
            <w:gridSpan w:val="3"/>
            <w:noWrap w:val="0"/>
            <w:vAlign w:val="center"/>
          </w:tcPr>
          <w:p w14:paraId="34DE46A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69AE66F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单位类型</w:t>
            </w:r>
          </w:p>
        </w:tc>
        <w:tc>
          <w:tcPr>
            <w:tcW w:w="1062" w:type="dxa"/>
            <w:noWrap w:val="0"/>
            <w:vAlign w:val="center"/>
          </w:tcPr>
          <w:p w14:paraId="5325C443">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797" w:type="dxa"/>
            <w:noWrap w:val="0"/>
            <w:vAlign w:val="center"/>
          </w:tcPr>
          <w:p w14:paraId="3DE00CAB">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传真</w:t>
            </w:r>
          </w:p>
        </w:tc>
        <w:tc>
          <w:tcPr>
            <w:tcW w:w="929" w:type="dxa"/>
            <w:gridSpan w:val="2"/>
            <w:noWrap w:val="0"/>
            <w:vAlign w:val="center"/>
          </w:tcPr>
          <w:p w14:paraId="060D0C56">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495B0CB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被授权人</w:t>
            </w:r>
          </w:p>
        </w:tc>
        <w:tc>
          <w:tcPr>
            <w:tcW w:w="1118" w:type="dxa"/>
            <w:noWrap w:val="0"/>
            <w:vAlign w:val="center"/>
          </w:tcPr>
          <w:p w14:paraId="2E3E8BD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r>
      <w:tr w14:paraId="77AA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31F0E0E6">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一、从事本投标项目经验及企业概况</w:t>
            </w:r>
          </w:p>
        </w:tc>
        <w:tc>
          <w:tcPr>
            <w:tcW w:w="3985" w:type="dxa"/>
            <w:gridSpan w:val="3"/>
            <w:noWrap w:val="0"/>
            <w:vAlign w:val="center"/>
          </w:tcPr>
          <w:p w14:paraId="7CEA0F9F">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062" w:type="dxa"/>
            <w:noWrap w:val="0"/>
            <w:vAlign w:val="center"/>
          </w:tcPr>
          <w:p w14:paraId="51698C4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w:t>
            </w:r>
          </w:p>
          <w:p w14:paraId="37BDC41B">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声明</w:t>
            </w:r>
          </w:p>
        </w:tc>
        <w:tc>
          <w:tcPr>
            <w:tcW w:w="3907" w:type="dxa"/>
            <w:gridSpan w:val="5"/>
            <w:noWrap w:val="0"/>
            <w:vAlign w:val="center"/>
          </w:tcPr>
          <w:p w14:paraId="40C78BD4">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1.本声明中提供的情况和内容及我方提供的资格证明文件内容完全是真实的。</w:t>
            </w:r>
          </w:p>
          <w:p w14:paraId="7020C06D">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2.我方承担因发标人查知因我方材料不实而造成本次招标失败的所有损失。</w:t>
            </w:r>
          </w:p>
        </w:tc>
      </w:tr>
      <w:tr w14:paraId="0BA0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176A080D">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二、单位概况</w:t>
            </w:r>
          </w:p>
        </w:tc>
        <w:tc>
          <w:tcPr>
            <w:tcW w:w="2523" w:type="dxa"/>
            <w:gridSpan w:val="3"/>
            <w:noWrap w:val="0"/>
            <w:vAlign w:val="center"/>
          </w:tcPr>
          <w:p w14:paraId="36FEDF4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注册资金：         万元</w:t>
            </w:r>
          </w:p>
        </w:tc>
        <w:tc>
          <w:tcPr>
            <w:tcW w:w="1462" w:type="dxa"/>
            <w:noWrap w:val="0"/>
            <w:vAlign w:val="center"/>
          </w:tcPr>
          <w:p w14:paraId="4EB97A50">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职工人数</w:t>
            </w:r>
          </w:p>
        </w:tc>
        <w:tc>
          <w:tcPr>
            <w:tcW w:w="1063" w:type="dxa"/>
            <w:noWrap w:val="0"/>
            <w:vAlign w:val="center"/>
          </w:tcPr>
          <w:p w14:paraId="41E00A88">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c>
          <w:tcPr>
            <w:tcW w:w="1062" w:type="dxa"/>
            <w:vMerge w:val="restart"/>
            <w:noWrap w:val="0"/>
            <w:vAlign w:val="center"/>
          </w:tcPr>
          <w:p w14:paraId="3D5D4688">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上年主要经济指标</w:t>
            </w:r>
          </w:p>
        </w:tc>
        <w:tc>
          <w:tcPr>
            <w:tcW w:w="1726" w:type="dxa"/>
            <w:gridSpan w:val="3"/>
            <w:vMerge w:val="restart"/>
            <w:noWrap w:val="0"/>
            <w:vAlign w:val="center"/>
          </w:tcPr>
          <w:p w14:paraId="5A4A0A55">
            <w:pPr>
              <w:pageBreakBefore w:val="0"/>
              <w:kinsoku/>
              <w:wordWrap/>
              <w:overflowPunct/>
              <w:topLinePunct w:val="0"/>
              <w:bidi w:val="0"/>
              <w:spacing w:line="240" w:lineRule="auto"/>
              <w:ind w:left="1155" w:hanging="1155" w:hangingChars="5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营业总额：  </w:t>
            </w:r>
          </w:p>
          <w:p w14:paraId="0DD53096">
            <w:pPr>
              <w:pageBreakBefore w:val="0"/>
              <w:kinsoku/>
              <w:wordWrap/>
              <w:overflowPunct/>
              <w:topLinePunct w:val="0"/>
              <w:bidi w:val="0"/>
              <w:spacing w:line="240" w:lineRule="auto"/>
              <w:ind w:left="1050" w:leftChars="50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万元</w:t>
            </w:r>
          </w:p>
        </w:tc>
        <w:tc>
          <w:tcPr>
            <w:tcW w:w="1063" w:type="dxa"/>
            <w:noWrap w:val="0"/>
            <w:vAlign w:val="center"/>
          </w:tcPr>
          <w:p w14:paraId="51B8B39C">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主营收入</w:t>
            </w:r>
          </w:p>
        </w:tc>
        <w:tc>
          <w:tcPr>
            <w:tcW w:w="1118" w:type="dxa"/>
            <w:noWrap w:val="0"/>
            <w:vAlign w:val="center"/>
          </w:tcPr>
          <w:p w14:paraId="4701FA0F">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r>
      <w:tr w14:paraId="1924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765CBD86">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noWrap w:val="0"/>
            <w:vAlign w:val="center"/>
          </w:tcPr>
          <w:p w14:paraId="719B61F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实收资本：         万元</w:t>
            </w:r>
          </w:p>
        </w:tc>
        <w:tc>
          <w:tcPr>
            <w:tcW w:w="1462" w:type="dxa"/>
            <w:noWrap w:val="0"/>
            <w:vAlign w:val="center"/>
          </w:tcPr>
          <w:p w14:paraId="5E3CFF4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16A4B582">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p>
        </w:tc>
        <w:tc>
          <w:tcPr>
            <w:tcW w:w="1062" w:type="dxa"/>
            <w:vMerge w:val="continue"/>
            <w:noWrap w:val="0"/>
            <w:vAlign w:val="top"/>
          </w:tcPr>
          <w:p w14:paraId="73D55436">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726" w:type="dxa"/>
            <w:gridSpan w:val="3"/>
            <w:vMerge w:val="continue"/>
            <w:noWrap w:val="0"/>
            <w:vAlign w:val="center"/>
          </w:tcPr>
          <w:p w14:paraId="38A2444E">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063" w:type="dxa"/>
            <w:noWrap w:val="0"/>
            <w:vAlign w:val="center"/>
          </w:tcPr>
          <w:p w14:paraId="232269A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w:t>
            </w:r>
          </w:p>
        </w:tc>
        <w:tc>
          <w:tcPr>
            <w:tcW w:w="1118" w:type="dxa"/>
            <w:noWrap w:val="0"/>
            <w:vAlign w:val="center"/>
          </w:tcPr>
          <w:p w14:paraId="7B02840D">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r>
      <w:tr w14:paraId="75EA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62D70F44">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063" w:type="dxa"/>
            <w:gridSpan w:val="2"/>
            <w:vMerge w:val="restart"/>
            <w:noWrap w:val="0"/>
            <w:vAlign w:val="center"/>
          </w:tcPr>
          <w:p w14:paraId="113C5623">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固定资产</w:t>
            </w:r>
          </w:p>
        </w:tc>
        <w:tc>
          <w:tcPr>
            <w:tcW w:w="1460" w:type="dxa"/>
            <w:noWrap w:val="0"/>
            <w:vAlign w:val="center"/>
          </w:tcPr>
          <w:p w14:paraId="472A236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原值     万元</w:t>
            </w:r>
          </w:p>
        </w:tc>
        <w:tc>
          <w:tcPr>
            <w:tcW w:w="1462" w:type="dxa"/>
            <w:noWrap w:val="0"/>
            <w:vAlign w:val="center"/>
          </w:tcPr>
          <w:p w14:paraId="37D56B33">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长期负债</w:t>
            </w:r>
          </w:p>
        </w:tc>
        <w:tc>
          <w:tcPr>
            <w:tcW w:w="1063" w:type="dxa"/>
            <w:noWrap w:val="0"/>
            <w:vAlign w:val="center"/>
          </w:tcPr>
          <w:p w14:paraId="31D5A7EC">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c>
          <w:tcPr>
            <w:tcW w:w="1062" w:type="dxa"/>
            <w:noWrap w:val="0"/>
            <w:vAlign w:val="top"/>
          </w:tcPr>
          <w:p w14:paraId="3F433771">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vMerge w:val="restart"/>
            <w:noWrap w:val="0"/>
            <w:vAlign w:val="center"/>
          </w:tcPr>
          <w:p w14:paraId="7F0C1573">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w:t>
            </w:r>
          </w:p>
          <w:p w14:paraId="2422F9A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营业项目</w:t>
            </w:r>
          </w:p>
        </w:tc>
        <w:tc>
          <w:tcPr>
            <w:tcW w:w="3110" w:type="dxa"/>
            <w:gridSpan w:val="4"/>
            <w:noWrap w:val="0"/>
            <w:vAlign w:val="center"/>
          </w:tcPr>
          <w:p w14:paraId="645DD515">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14:paraId="78D4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362CF6D8">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063" w:type="dxa"/>
            <w:gridSpan w:val="2"/>
            <w:vMerge w:val="continue"/>
            <w:noWrap w:val="0"/>
            <w:vAlign w:val="center"/>
          </w:tcPr>
          <w:p w14:paraId="02CEA6D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0" w:type="dxa"/>
            <w:noWrap w:val="0"/>
            <w:vAlign w:val="center"/>
          </w:tcPr>
          <w:p w14:paraId="7A40221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净值     万元</w:t>
            </w:r>
          </w:p>
        </w:tc>
        <w:tc>
          <w:tcPr>
            <w:tcW w:w="1462" w:type="dxa"/>
            <w:noWrap w:val="0"/>
            <w:vAlign w:val="center"/>
          </w:tcPr>
          <w:p w14:paraId="67164BB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流动负债</w:t>
            </w:r>
          </w:p>
        </w:tc>
        <w:tc>
          <w:tcPr>
            <w:tcW w:w="1063" w:type="dxa"/>
            <w:noWrap w:val="0"/>
            <w:vAlign w:val="center"/>
          </w:tcPr>
          <w:p w14:paraId="269120C7">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c>
          <w:tcPr>
            <w:tcW w:w="1062" w:type="dxa"/>
            <w:noWrap w:val="0"/>
            <w:vAlign w:val="top"/>
          </w:tcPr>
          <w:p w14:paraId="597EF632">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vMerge w:val="continue"/>
            <w:noWrap w:val="0"/>
            <w:vAlign w:val="top"/>
          </w:tcPr>
          <w:p w14:paraId="58E1740F">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3110" w:type="dxa"/>
            <w:gridSpan w:val="4"/>
            <w:noWrap w:val="0"/>
            <w:vAlign w:val="center"/>
          </w:tcPr>
          <w:p w14:paraId="7270017B">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F8F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34BBC3F1">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vMerge w:val="restart"/>
            <w:noWrap w:val="0"/>
            <w:vAlign w:val="center"/>
          </w:tcPr>
          <w:p w14:paraId="41BBD47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462" w:type="dxa"/>
            <w:noWrap w:val="0"/>
            <w:vAlign w:val="center"/>
          </w:tcPr>
          <w:p w14:paraId="52CDBB82">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BED0283">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noWrap w:val="0"/>
            <w:vAlign w:val="top"/>
          </w:tcPr>
          <w:p w14:paraId="333F1CDB">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vMerge w:val="continue"/>
            <w:noWrap w:val="0"/>
            <w:vAlign w:val="top"/>
          </w:tcPr>
          <w:p w14:paraId="278145EC">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3110" w:type="dxa"/>
            <w:gridSpan w:val="4"/>
            <w:noWrap w:val="0"/>
            <w:vAlign w:val="center"/>
          </w:tcPr>
          <w:p w14:paraId="46E2AD88">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09D3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72B8DCD4">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7F4C52D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2" w:type="dxa"/>
            <w:noWrap w:val="0"/>
            <w:vAlign w:val="center"/>
          </w:tcPr>
          <w:p w14:paraId="21C43ED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378DBE28">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noWrap w:val="0"/>
            <w:vAlign w:val="top"/>
          </w:tcPr>
          <w:p w14:paraId="684ECF13">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vMerge w:val="continue"/>
            <w:noWrap w:val="0"/>
            <w:vAlign w:val="top"/>
          </w:tcPr>
          <w:p w14:paraId="43113BC3">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3110" w:type="dxa"/>
            <w:gridSpan w:val="4"/>
            <w:noWrap w:val="0"/>
            <w:vAlign w:val="center"/>
          </w:tcPr>
          <w:p w14:paraId="3228CDF0">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420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6C517C94">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427BDF4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2" w:type="dxa"/>
            <w:noWrap w:val="0"/>
            <w:vAlign w:val="center"/>
          </w:tcPr>
          <w:p w14:paraId="2AD43A78">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97EBBDC">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restart"/>
            <w:noWrap w:val="0"/>
            <w:vAlign w:val="top"/>
          </w:tcPr>
          <w:p w14:paraId="2E86D7EE">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p w14:paraId="570F0A32">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p w14:paraId="06D3BFBD">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p w14:paraId="0A08A04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人员</w:t>
            </w:r>
          </w:p>
        </w:tc>
        <w:tc>
          <w:tcPr>
            <w:tcW w:w="797" w:type="dxa"/>
            <w:noWrap w:val="0"/>
            <w:vAlign w:val="top"/>
          </w:tcPr>
          <w:p w14:paraId="021488D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管理人员</w:t>
            </w:r>
          </w:p>
        </w:tc>
        <w:tc>
          <w:tcPr>
            <w:tcW w:w="3110" w:type="dxa"/>
            <w:gridSpan w:val="4"/>
            <w:noWrap w:val="0"/>
            <w:vAlign w:val="center"/>
          </w:tcPr>
          <w:p w14:paraId="0DEED851">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人</w:t>
            </w:r>
          </w:p>
        </w:tc>
      </w:tr>
      <w:tr w14:paraId="4C4E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1CAF368A">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535FFF0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2" w:type="dxa"/>
            <w:noWrap w:val="0"/>
            <w:vAlign w:val="center"/>
          </w:tcPr>
          <w:p w14:paraId="5CA738E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67B3CC42">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continue"/>
            <w:noWrap w:val="0"/>
            <w:vAlign w:val="top"/>
          </w:tcPr>
          <w:p w14:paraId="7D11B118">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noWrap w:val="0"/>
            <w:vAlign w:val="top"/>
          </w:tcPr>
          <w:p w14:paraId="41FEEC4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包装技术人员</w:t>
            </w:r>
          </w:p>
        </w:tc>
        <w:tc>
          <w:tcPr>
            <w:tcW w:w="3110" w:type="dxa"/>
            <w:gridSpan w:val="4"/>
            <w:noWrap w:val="0"/>
            <w:vAlign w:val="center"/>
          </w:tcPr>
          <w:p w14:paraId="145F389A">
            <w:pPr>
              <w:pageBreakBefore w:val="0"/>
              <w:kinsoku/>
              <w:wordWrap/>
              <w:overflowPunct/>
              <w:topLinePunct w:val="0"/>
              <w:bidi w:val="0"/>
              <w:spacing w:line="240" w:lineRule="auto"/>
              <w:ind w:firstLine="1050" w:firstLineChars="5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r>
      <w:tr w14:paraId="4F59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558B477C">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15FAEC4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2" w:type="dxa"/>
            <w:noWrap w:val="0"/>
            <w:vAlign w:val="center"/>
          </w:tcPr>
          <w:p w14:paraId="5CB32B64">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F35EEDF">
            <w:pPr>
              <w:pageBreakBefore w:val="0"/>
              <w:kinsoku/>
              <w:wordWrap/>
              <w:overflowPunct/>
              <w:topLinePunct w:val="0"/>
              <w:bidi w:val="0"/>
              <w:spacing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continue"/>
            <w:noWrap w:val="0"/>
            <w:vAlign w:val="top"/>
          </w:tcPr>
          <w:p w14:paraId="42F2A227">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797" w:type="dxa"/>
            <w:noWrap w:val="0"/>
            <w:vAlign w:val="top"/>
          </w:tcPr>
          <w:p w14:paraId="56D5883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作业工人</w:t>
            </w:r>
          </w:p>
        </w:tc>
        <w:tc>
          <w:tcPr>
            <w:tcW w:w="3110" w:type="dxa"/>
            <w:gridSpan w:val="4"/>
            <w:noWrap w:val="0"/>
            <w:vAlign w:val="center"/>
          </w:tcPr>
          <w:p w14:paraId="66C0AE19">
            <w:pPr>
              <w:pageBreakBefore w:val="0"/>
              <w:kinsoku/>
              <w:wordWrap/>
              <w:overflowPunct/>
              <w:topLinePunct w:val="0"/>
              <w:bidi w:val="0"/>
              <w:spacing w:line="240" w:lineRule="auto"/>
              <w:ind w:firstLine="1050" w:firstLineChars="5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r>
      <w:tr w14:paraId="0CE9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3FA59FC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三、主要产能</w:t>
            </w:r>
          </w:p>
        </w:tc>
        <w:tc>
          <w:tcPr>
            <w:tcW w:w="1063" w:type="dxa"/>
            <w:gridSpan w:val="2"/>
            <w:noWrap w:val="0"/>
            <w:vAlign w:val="center"/>
          </w:tcPr>
          <w:p w14:paraId="1D1EA5DD">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产品类型</w:t>
            </w:r>
          </w:p>
        </w:tc>
        <w:tc>
          <w:tcPr>
            <w:tcW w:w="1460" w:type="dxa"/>
            <w:noWrap w:val="0"/>
            <w:vAlign w:val="center"/>
          </w:tcPr>
          <w:p w14:paraId="35CADD0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月产能力</w:t>
            </w:r>
          </w:p>
        </w:tc>
        <w:tc>
          <w:tcPr>
            <w:tcW w:w="1462" w:type="dxa"/>
            <w:noWrap w:val="0"/>
            <w:vAlign w:val="center"/>
          </w:tcPr>
          <w:p w14:paraId="36117C48">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0CCD1F3B">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062" w:type="dxa"/>
            <w:vMerge w:val="restart"/>
            <w:noWrap w:val="0"/>
            <w:vAlign w:val="center"/>
          </w:tcPr>
          <w:p w14:paraId="41EA1A5D">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w:t>
            </w:r>
          </w:p>
          <w:p w14:paraId="5F6A6AFF">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既往业绩</w:t>
            </w:r>
          </w:p>
        </w:tc>
        <w:tc>
          <w:tcPr>
            <w:tcW w:w="1594" w:type="dxa"/>
            <w:gridSpan w:val="2"/>
            <w:noWrap w:val="0"/>
            <w:vAlign w:val="center"/>
          </w:tcPr>
          <w:p w14:paraId="20E5705B">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主要合作客户</w:t>
            </w:r>
          </w:p>
        </w:tc>
        <w:tc>
          <w:tcPr>
            <w:tcW w:w="2313" w:type="dxa"/>
            <w:gridSpan w:val="3"/>
            <w:noWrap w:val="0"/>
            <w:vAlign w:val="center"/>
          </w:tcPr>
          <w:p w14:paraId="21DC2D4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合作产品及数量</w:t>
            </w:r>
          </w:p>
        </w:tc>
      </w:tr>
      <w:tr w14:paraId="6BBB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16A39E7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gridSpan w:val="2"/>
            <w:noWrap w:val="0"/>
            <w:vAlign w:val="center"/>
          </w:tcPr>
          <w:p w14:paraId="33923D29">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0" w:type="dxa"/>
            <w:noWrap w:val="0"/>
            <w:vAlign w:val="center"/>
          </w:tcPr>
          <w:p w14:paraId="7AD33F1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462" w:type="dxa"/>
            <w:noWrap w:val="0"/>
            <w:vAlign w:val="center"/>
          </w:tcPr>
          <w:p w14:paraId="3CAE57D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1063" w:type="dxa"/>
            <w:noWrap w:val="0"/>
            <w:vAlign w:val="center"/>
          </w:tcPr>
          <w:p w14:paraId="3A84474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062" w:type="dxa"/>
            <w:vMerge w:val="continue"/>
            <w:noWrap w:val="0"/>
            <w:vAlign w:val="top"/>
          </w:tcPr>
          <w:p w14:paraId="3917B6E3">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594" w:type="dxa"/>
            <w:gridSpan w:val="2"/>
            <w:noWrap w:val="0"/>
            <w:vAlign w:val="center"/>
          </w:tcPr>
          <w:p w14:paraId="77468928">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2313" w:type="dxa"/>
            <w:gridSpan w:val="3"/>
            <w:noWrap w:val="0"/>
            <w:vAlign w:val="center"/>
          </w:tcPr>
          <w:p w14:paraId="1E14EA65">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r>
      <w:tr w14:paraId="011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7E62ACED">
            <w:pPr>
              <w:pageBreakBefore w:val="0"/>
              <w:kinsoku/>
              <w:wordWrap/>
              <w:overflowPunct/>
              <w:topLinePunct w:val="0"/>
              <w:bidi w:val="0"/>
              <w:spacing w:line="240" w:lineRule="auto"/>
              <w:rPr>
                <w:rFonts w:hint="eastAsia" w:asciiTheme="minorEastAsia" w:hAnsiTheme="minorEastAsia" w:eastAsiaTheme="minorEastAsia" w:cstheme="minorEastAsia"/>
                <w:sz w:val="21"/>
                <w:szCs w:val="21"/>
                <w:highlight w:val="yellow"/>
              </w:rPr>
            </w:pPr>
          </w:p>
        </w:tc>
        <w:tc>
          <w:tcPr>
            <w:tcW w:w="1063" w:type="dxa"/>
            <w:gridSpan w:val="2"/>
            <w:noWrap w:val="0"/>
            <w:vAlign w:val="center"/>
          </w:tcPr>
          <w:p w14:paraId="0D25098E">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460" w:type="dxa"/>
            <w:noWrap w:val="0"/>
            <w:vAlign w:val="center"/>
          </w:tcPr>
          <w:p w14:paraId="1C93E67A">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462" w:type="dxa"/>
            <w:noWrap w:val="0"/>
            <w:vAlign w:val="center"/>
          </w:tcPr>
          <w:p w14:paraId="5767A79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063" w:type="dxa"/>
            <w:noWrap w:val="0"/>
            <w:vAlign w:val="center"/>
          </w:tcPr>
          <w:p w14:paraId="3800FBA1">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highlight w:val="yellow"/>
              </w:rPr>
            </w:pPr>
          </w:p>
        </w:tc>
        <w:tc>
          <w:tcPr>
            <w:tcW w:w="1062" w:type="dxa"/>
            <w:vMerge w:val="continue"/>
            <w:noWrap w:val="0"/>
            <w:vAlign w:val="top"/>
          </w:tcPr>
          <w:p w14:paraId="39D59B1A">
            <w:pPr>
              <w:pageBreakBefore w:val="0"/>
              <w:kinsoku/>
              <w:wordWrap/>
              <w:overflowPunct/>
              <w:topLinePunct w:val="0"/>
              <w:bidi w:val="0"/>
              <w:spacing w:line="240" w:lineRule="auto"/>
              <w:rPr>
                <w:rFonts w:hint="eastAsia" w:asciiTheme="minorEastAsia" w:hAnsiTheme="minorEastAsia" w:eastAsiaTheme="minorEastAsia" w:cstheme="minorEastAsia"/>
                <w:sz w:val="21"/>
                <w:szCs w:val="21"/>
              </w:rPr>
            </w:pPr>
          </w:p>
        </w:tc>
        <w:tc>
          <w:tcPr>
            <w:tcW w:w="1594" w:type="dxa"/>
            <w:gridSpan w:val="2"/>
            <w:noWrap w:val="0"/>
            <w:vAlign w:val="center"/>
          </w:tcPr>
          <w:p w14:paraId="1E5530FC">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c>
          <w:tcPr>
            <w:tcW w:w="2313" w:type="dxa"/>
            <w:gridSpan w:val="3"/>
            <w:noWrap w:val="0"/>
            <w:vAlign w:val="center"/>
          </w:tcPr>
          <w:p w14:paraId="4E97C02F">
            <w:pPr>
              <w:pageBreakBefore w:val="0"/>
              <w:kinsoku/>
              <w:wordWrap/>
              <w:overflowPunct/>
              <w:topLinePunct w:val="0"/>
              <w:bidi w:val="0"/>
              <w:spacing w:line="240" w:lineRule="auto"/>
              <w:jc w:val="center"/>
              <w:rPr>
                <w:rFonts w:hint="eastAsia" w:asciiTheme="minorEastAsia" w:hAnsiTheme="minorEastAsia" w:eastAsiaTheme="minorEastAsia" w:cstheme="minorEastAsia"/>
                <w:sz w:val="21"/>
                <w:szCs w:val="21"/>
              </w:rPr>
            </w:pPr>
          </w:p>
        </w:tc>
      </w:tr>
    </w:tbl>
    <w:p w14:paraId="7A00FB6E">
      <w:pPr>
        <w:pageBreakBefore w:val="0"/>
        <w:kinsoku/>
        <w:wordWrap/>
        <w:overflowPunct/>
        <w:topLinePunct w:val="0"/>
        <w:bidi w:val="0"/>
        <w:spacing w:line="360" w:lineRule="auto"/>
        <w:rPr>
          <w:rFonts w:hint="eastAsia" w:asciiTheme="minorEastAsia" w:hAnsiTheme="minorEastAsia" w:eastAsiaTheme="minorEastAsia" w:cstheme="minorEastAsia"/>
          <w:color w:val="FF0000"/>
          <w:sz w:val="21"/>
          <w:szCs w:val="21"/>
        </w:rPr>
      </w:pPr>
    </w:p>
    <w:p w14:paraId="253C83D7">
      <w:pPr>
        <w:pStyle w:val="12"/>
        <w:pageBreakBefore w:val="0"/>
        <w:kinsoku/>
        <w:wordWrap/>
        <w:overflowPunct/>
        <w:topLinePunct w:val="0"/>
        <w:bidi w:val="0"/>
        <w:spacing w:line="360" w:lineRule="auto"/>
        <w:ind w:firstLine="210" w:firstLineChars="1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投标人名称（盖章）：              法定代表人或授权代表签字：</w:t>
      </w:r>
    </w:p>
    <w:p w14:paraId="522879D5">
      <w:pPr>
        <w:pStyle w:val="12"/>
        <w:pageBreakBefore w:val="0"/>
        <w:kinsoku/>
        <w:wordWrap/>
        <w:overflowPunct/>
        <w:topLinePunct w:val="0"/>
        <w:bidi w:val="0"/>
        <w:spacing w:line="360" w:lineRule="auto"/>
        <w:ind w:left="650" w:leftChars="115" w:hanging="409" w:hangingChars="1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注：</w:t>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投标人为满足本招标项目之需，需实际配置的、包含但不限于上述设备、人员及其他条目；</w:t>
      </w:r>
    </w:p>
    <w:p w14:paraId="625F28B0">
      <w:pPr>
        <w:pStyle w:val="12"/>
        <w:pageBreakBefore w:val="0"/>
        <w:kinsoku/>
        <w:wordWrap/>
        <w:overflowPunct/>
        <w:topLinePunct w:val="0"/>
        <w:bidi w:val="0"/>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投标人可在上表内容基础上，酌情自行增加相关条目，以便更好的满足项目开展之需要。</w:t>
      </w:r>
    </w:p>
    <w:p w14:paraId="100E3453">
      <w:pPr>
        <w:pageBreakBefore w:val="0"/>
        <w:widowControl/>
        <w:kinsoku/>
        <w:wordWrap/>
        <w:overflowPunct/>
        <w:topLinePunct w:val="0"/>
        <w:bidi w:val="0"/>
        <w:spacing w:line="360" w:lineRule="auto"/>
        <w:jc w:val="left"/>
        <w:rPr>
          <w:rFonts w:hint="eastAsia" w:asciiTheme="minorEastAsia" w:hAnsiTheme="minorEastAsia" w:eastAsiaTheme="minorEastAsia" w:cstheme="minorEastAsia"/>
          <w:b/>
          <w:bCs/>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2C705DEC">
      <w:pPr>
        <w:pageBreakBefore w:val="0"/>
        <w:widowControl/>
        <w:kinsoku/>
        <w:wordWrap/>
        <w:overflowPunct/>
        <w:topLinePunct w:val="0"/>
        <w:bidi w:val="0"/>
        <w:spacing w:line="360" w:lineRule="auto"/>
        <w:jc w:val="left"/>
        <w:rPr>
          <w:rFonts w:hint="eastAsia" w:asciiTheme="minorEastAsia" w:hAnsiTheme="minorEastAsia" w:eastAsiaTheme="minorEastAsia" w:cstheme="minorEastAsia"/>
          <w:b/>
          <w:bCs/>
          <w:sz w:val="28"/>
          <w:szCs w:val="28"/>
          <w:lang w:eastAsia="zh-CN"/>
        </w:rPr>
      </w:pPr>
      <w:r>
        <w:rPr>
          <w:rFonts w:hint="eastAsia" w:ascii="黑体" w:hAnsi="黑体" w:eastAsia="黑体" w:cs="黑体"/>
          <w:b/>
          <w:bCs/>
          <w:sz w:val="28"/>
          <w:szCs w:val="28"/>
          <w:lang w:val="en-US" w:eastAsia="zh-CN"/>
        </w:rPr>
        <w:t>附件</w:t>
      </w:r>
      <w:r>
        <w:rPr>
          <w:rFonts w:hint="eastAsia" w:asciiTheme="minorEastAsia" w:hAnsiTheme="minorEastAsia" w:eastAsiaTheme="minorEastAsia" w:cstheme="minorEastAsia"/>
          <w:b/>
          <w:bCs/>
          <w:sz w:val="28"/>
          <w:szCs w:val="28"/>
        </w:rPr>
        <w:t xml:space="preserve"> </w:t>
      </w:r>
      <w:r>
        <w:rPr>
          <w:rFonts w:hint="default" w:ascii="Times New Roman" w:hAnsi="Times New Roman" w:cs="Times New Roman" w:eastAsiaTheme="minorEastAsia"/>
          <w:b/>
          <w:bCs/>
          <w:sz w:val="28"/>
          <w:szCs w:val="28"/>
          <w:lang w:val="en-US" w:eastAsia="zh-CN"/>
        </w:rPr>
        <w:t>9</w:t>
      </w:r>
    </w:p>
    <w:p w14:paraId="0D6C5584">
      <w:pPr>
        <w:pageBreakBefore w:val="0"/>
        <w:kinsoku/>
        <w:wordWrap/>
        <w:overflowPunct/>
        <w:topLinePunct w:val="0"/>
        <w:bidi w:val="0"/>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法人授权委托书</w:t>
      </w:r>
    </w:p>
    <w:p w14:paraId="153A70A1">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p>
    <w:p w14:paraId="1B1981E3">
      <w:pPr>
        <w:pageBreakBefore w:val="0"/>
        <w:kinsoku/>
        <w:wordWrap/>
        <w:overflowPunct/>
        <w:topLinePunct w:val="0"/>
        <w:bidi w:val="0"/>
        <w:spacing w:line="360" w:lineRule="auto"/>
        <w:rPr>
          <w:rFonts w:hint="eastAsia" w:asciiTheme="minorEastAsia" w:hAnsiTheme="minorEastAsia" w:eastAsiaTheme="minorEastAsia" w:cstheme="minorEastAsia"/>
          <w:sz w:val="24"/>
          <w:szCs w:val="24"/>
          <w:u w:val="single"/>
        </w:rPr>
      </w:pPr>
      <w:r>
        <w:rPr>
          <w:rFonts w:hint="eastAsia" w:ascii="宋体" w:hAnsi="宋体" w:eastAsia="宋体" w:cs="宋体"/>
          <w:color w:val="000000"/>
          <w:sz w:val="24"/>
          <w:szCs w:val="24"/>
        </w:rPr>
        <w:t>致</w:t>
      </w:r>
      <w:r>
        <w:rPr>
          <w:rFonts w:hint="eastAsia" w:asciiTheme="minorEastAsia" w:hAnsiTheme="minorEastAsia" w:eastAsiaTheme="minorEastAsia" w:cstheme="minorEastAsia"/>
          <w:sz w:val="24"/>
          <w:szCs w:val="24"/>
          <w:u w:val="single"/>
        </w:rPr>
        <w:t>中国重汽集团济南</w:t>
      </w:r>
      <w:r>
        <w:rPr>
          <w:rFonts w:hint="eastAsia" w:asciiTheme="minorEastAsia" w:hAnsiTheme="minorEastAsia" w:eastAsiaTheme="minorEastAsia" w:cstheme="minorEastAsia"/>
          <w:sz w:val="24"/>
          <w:szCs w:val="24"/>
          <w:u w:val="single"/>
          <w:lang w:val="en-US" w:eastAsia="zh-CN"/>
        </w:rPr>
        <w:t>智能装备</w:t>
      </w:r>
      <w:r>
        <w:rPr>
          <w:rFonts w:hint="eastAsia" w:asciiTheme="minorEastAsia" w:hAnsiTheme="minorEastAsia" w:eastAsiaTheme="minorEastAsia" w:cstheme="minorEastAsia"/>
          <w:sz w:val="24"/>
          <w:szCs w:val="24"/>
          <w:u w:val="single"/>
        </w:rPr>
        <w:t>有限公司</w:t>
      </w:r>
      <w:r>
        <w:rPr>
          <w:rFonts w:hint="eastAsia" w:asciiTheme="minorEastAsia" w:hAnsiTheme="minorEastAsia" w:eastAsiaTheme="minorEastAsia" w:cstheme="minorEastAsia"/>
          <w:sz w:val="24"/>
          <w:szCs w:val="24"/>
          <w:u w:val="none"/>
          <w:lang w:eastAsia="zh-CN"/>
        </w:rPr>
        <w:t>：</w:t>
      </w:r>
    </w:p>
    <w:p w14:paraId="1507DB85">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本授权委托书声明：我</w:t>
      </w:r>
      <w:r>
        <w:rPr>
          <w:rFonts w:hint="eastAsia" w:asciiTheme="minorEastAsia" w:hAnsiTheme="minorEastAsia" w:eastAsiaTheme="minorEastAsia" w:cstheme="minorEastAsia"/>
          <w:kern w:val="0"/>
          <w:sz w:val="24"/>
          <w:szCs w:val="24"/>
          <w:u w:val="single"/>
        </w:rPr>
        <w:t xml:space="preserve">（法人姓名）       </w:t>
      </w:r>
      <w:r>
        <w:rPr>
          <w:rFonts w:hint="eastAsia" w:asciiTheme="minorEastAsia" w:hAnsiTheme="minorEastAsia" w:eastAsiaTheme="minorEastAsia" w:cstheme="minorEastAsia"/>
          <w:kern w:val="0"/>
          <w:sz w:val="24"/>
          <w:szCs w:val="24"/>
        </w:rPr>
        <w:t>系</w:t>
      </w:r>
      <w:r>
        <w:rPr>
          <w:rFonts w:hint="eastAsia" w:asciiTheme="minorEastAsia" w:hAnsiTheme="minorEastAsia" w:eastAsiaTheme="minorEastAsia" w:cstheme="minorEastAsia"/>
          <w:sz w:val="24"/>
          <w:szCs w:val="24"/>
          <w:u w:val="single"/>
        </w:rPr>
        <w:t>（投标人名称）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的法定代表人，现授权委托</w:t>
      </w:r>
      <w:r>
        <w:rPr>
          <w:rFonts w:hint="eastAsia" w:asciiTheme="minorEastAsia" w:hAnsiTheme="minorEastAsia" w:eastAsiaTheme="minorEastAsia" w:cstheme="minorEastAsia"/>
          <w:sz w:val="24"/>
          <w:szCs w:val="24"/>
          <w:u w:val="single"/>
        </w:rPr>
        <w:t>（投标人名称）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w:t>
      </w:r>
      <w:r>
        <w:rPr>
          <w:rFonts w:hint="eastAsia" w:asciiTheme="minorEastAsia" w:hAnsiTheme="minorEastAsia" w:eastAsiaTheme="minorEastAsia" w:cstheme="minorEastAsia"/>
          <w:kern w:val="0"/>
          <w:sz w:val="24"/>
          <w:szCs w:val="24"/>
          <w:u w:val="single"/>
        </w:rPr>
        <w:t xml:space="preserve"> （授权委托代理人姓名）        </w:t>
      </w:r>
      <w:r>
        <w:rPr>
          <w:rFonts w:hint="eastAsia" w:asciiTheme="minorEastAsia" w:hAnsiTheme="minorEastAsia" w:eastAsiaTheme="minorEastAsia" w:cstheme="minorEastAsia"/>
          <w:kern w:val="0"/>
          <w:sz w:val="24"/>
          <w:szCs w:val="24"/>
        </w:rPr>
        <w:t>为我公司参加贵方组织的</w:t>
      </w:r>
      <w:r>
        <w:rPr>
          <w:rFonts w:hint="eastAsia" w:asciiTheme="minorEastAsia" w:hAnsiTheme="minorEastAsia" w:eastAsiaTheme="minorEastAsia" w:cstheme="minorEastAsia"/>
          <w:kern w:val="0"/>
          <w:sz w:val="24"/>
          <w:szCs w:val="24"/>
          <w:u w:val="single"/>
          <w:lang w:eastAsia="zh-CN"/>
        </w:rPr>
        <w:t>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2ACA4D">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委托期限：</w:t>
      </w:r>
      <w:r>
        <w:rPr>
          <w:rFonts w:hint="eastAsia" w:asciiTheme="minorEastAsia" w:hAnsiTheme="minorEastAsia" w:eastAsiaTheme="minorEastAsia" w:cstheme="minorEastAsia"/>
          <w:kern w:val="0"/>
          <w:sz w:val="24"/>
          <w:szCs w:val="24"/>
          <w:u w:val="single"/>
        </w:rPr>
        <w:t>202</w:t>
      </w:r>
      <w:r>
        <w:rPr>
          <w:rFonts w:hint="eastAsia" w:asciiTheme="minorEastAsia" w:hAnsiTheme="minorEastAsia" w:eastAsiaTheme="minorEastAsia" w:cstheme="minorEastAsia"/>
          <w:kern w:val="0"/>
          <w:sz w:val="24"/>
          <w:szCs w:val="24"/>
          <w:u w:val="single"/>
          <w:lang w:val="en-US" w:eastAsia="zh-CN"/>
        </w:rPr>
        <w:t>6</w:t>
      </w:r>
      <w:r>
        <w:rPr>
          <w:rFonts w:hint="eastAsia" w:asciiTheme="minorEastAsia" w:hAnsiTheme="minorEastAsia" w:eastAsiaTheme="minorEastAsia" w:cstheme="minorEastAsia"/>
          <w:kern w:val="0"/>
          <w:sz w:val="24"/>
          <w:szCs w:val="24"/>
          <w:u w:val="single"/>
        </w:rPr>
        <w:t>年 X 月 X 日至 202</w:t>
      </w:r>
      <w:r>
        <w:rPr>
          <w:rFonts w:hint="eastAsia" w:asciiTheme="minorEastAsia" w:hAnsiTheme="minorEastAsia" w:eastAsiaTheme="minorEastAsia" w:cstheme="minorEastAsia"/>
          <w:kern w:val="0"/>
          <w:sz w:val="24"/>
          <w:szCs w:val="24"/>
          <w:u w:val="single"/>
          <w:lang w:val="en-US" w:eastAsia="zh-CN"/>
        </w:rPr>
        <w:t>6</w:t>
      </w:r>
      <w:r>
        <w:rPr>
          <w:rFonts w:hint="eastAsia" w:asciiTheme="minorEastAsia" w:hAnsiTheme="minorEastAsia" w:eastAsiaTheme="minorEastAsia" w:cstheme="minorEastAsia"/>
          <w:kern w:val="0"/>
          <w:sz w:val="24"/>
          <w:szCs w:val="24"/>
          <w:u w:val="single"/>
        </w:rPr>
        <w:t>年 X 月 X 日</w:t>
      </w:r>
    </w:p>
    <w:p w14:paraId="1A99858C">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代理人无转委托权，特此委托。</w:t>
      </w:r>
    </w:p>
    <w:p w14:paraId="1BFBB094">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代理人姓名：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性别：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年龄： </w:t>
      </w:r>
      <w:r>
        <w:rPr>
          <w:rFonts w:hint="eastAsia" w:asciiTheme="minorEastAsia" w:hAnsiTheme="minorEastAsia" w:eastAsiaTheme="minorEastAsia" w:cstheme="minorEastAsia"/>
          <w:kern w:val="0"/>
          <w:sz w:val="24"/>
          <w:szCs w:val="24"/>
          <w:u w:val="single"/>
        </w:rPr>
        <w:t xml:space="preserve">      </w:t>
      </w:r>
    </w:p>
    <w:p w14:paraId="7EC8D929">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身份证号码：</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职务：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w:t>
      </w:r>
    </w:p>
    <w:p w14:paraId="5F757478">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投标人名称：（盖单位公章）</w:t>
      </w:r>
    </w:p>
    <w:p w14:paraId="06C1A54F">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法定代表人：（签字）</w:t>
      </w:r>
    </w:p>
    <w:p w14:paraId="05513F37">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p>
    <w:p w14:paraId="75126B38">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kern w:val="0"/>
          <w:sz w:val="24"/>
          <w:szCs w:val="24"/>
        </w:rPr>
      </w:pPr>
    </w:p>
    <w:p w14:paraId="2CC348B0">
      <w:pPr>
        <w:pageBreakBefore w:val="0"/>
        <w:kinsoku/>
        <w:wordWrap/>
        <w:overflowPunct/>
        <w:topLinePunct w:val="0"/>
        <w:bidi w:val="0"/>
        <w:adjustRightInd w:val="0"/>
        <w:spacing w:line="360" w:lineRule="auto"/>
        <w:jc w:val="left"/>
        <w:textAlignment w:val="baseline"/>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附被授权人有效的身份证正反两面复印件</w:t>
      </w:r>
    </w:p>
    <w:p w14:paraId="0BD494AD">
      <w:pPr>
        <w:pageBreakBefore w:val="0"/>
        <w:kinsoku/>
        <w:wordWrap/>
        <w:overflowPunct/>
        <w:topLinePunct w:val="0"/>
        <w:bidi w:val="0"/>
        <w:spacing w:line="360" w:lineRule="auto"/>
        <w:rPr>
          <w:rFonts w:ascii="宋体"/>
          <w:kern w:val="0"/>
          <w:szCs w:val="21"/>
        </w:rPr>
      </w:pPr>
    </w:p>
    <w:p w14:paraId="7ED85D4D">
      <w:pPr>
        <w:pageBreakBefore w:val="0"/>
        <w:kinsoku/>
        <w:wordWrap/>
        <w:overflowPunct/>
        <w:topLinePunct w:val="0"/>
        <w:bidi w:val="0"/>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7C5C1710">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0288;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7C5C1710">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06959088">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59264;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06959088">
                      <w:pPr>
                        <w:jc w:val="center"/>
                      </w:pPr>
                      <w:r>
                        <w:rPr>
                          <w:rFonts w:hint="eastAsia"/>
                        </w:rPr>
                        <w:t>身份证正面</w:t>
                      </w:r>
                    </w:p>
                  </w:txbxContent>
                </v:textbox>
              </v:rect>
            </w:pict>
          </mc:Fallback>
        </mc:AlternateContent>
      </w:r>
    </w:p>
    <w:p w14:paraId="71A1116C">
      <w:pPr>
        <w:pageBreakBefore w:val="0"/>
        <w:kinsoku/>
        <w:wordWrap/>
        <w:overflowPunct/>
        <w:topLinePunct w:val="0"/>
        <w:bidi w:val="0"/>
        <w:spacing w:line="360" w:lineRule="auto"/>
        <w:rPr>
          <w:rFonts w:eastAsia="仿宋_GB2312"/>
          <w:sz w:val="24"/>
          <w:szCs w:val="24"/>
        </w:rPr>
      </w:pPr>
    </w:p>
    <w:p w14:paraId="1D3E1220">
      <w:pPr>
        <w:pageBreakBefore w:val="0"/>
        <w:kinsoku/>
        <w:wordWrap/>
        <w:overflowPunct/>
        <w:topLinePunct w:val="0"/>
        <w:bidi w:val="0"/>
        <w:spacing w:line="360" w:lineRule="auto"/>
        <w:rPr>
          <w:rFonts w:eastAsia="仿宋_GB2312"/>
          <w:sz w:val="24"/>
          <w:szCs w:val="24"/>
        </w:rPr>
      </w:pPr>
    </w:p>
    <w:p w14:paraId="4463E1A3">
      <w:pPr>
        <w:pageBreakBefore w:val="0"/>
        <w:kinsoku/>
        <w:wordWrap/>
        <w:overflowPunct/>
        <w:topLinePunct w:val="0"/>
        <w:bidi w:val="0"/>
        <w:spacing w:line="360" w:lineRule="auto"/>
        <w:rPr>
          <w:rFonts w:eastAsia="仿宋_GB2312"/>
          <w:sz w:val="24"/>
          <w:szCs w:val="24"/>
        </w:rPr>
      </w:pPr>
    </w:p>
    <w:p w14:paraId="3982A1C3">
      <w:pPr>
        <w:pageBreakBefore w:val="0"/>
        <w:kinsoku/>
        <w:wordWrap/>
        <w:overflowPunct/>
        <w:topLinePunct w:val="0"/>
        <w:bidi w:val="0"/>
        <w:spacing w:line="360" w:lineRule="auto"/>
        <w:jc w:val="left"/>
        <w:rPr>
          <w:rFonts w:eastAsia="仿宋_GB2312"/>
          <w:sz w:val="24"/>
          <w:szCs w:val="24"/>
        </w:rPr>
      </w:pPr>
    </w:p>
    <w:p w14:paraId="397E3B11">
      <w:pPr>
        <w:pageBreakBefore w:val="0"/>
        <w:kinsoku/>
        <w:wordWrap/>
        <w:overflowPunct/>
        <w:topLinePunct w:val="0"/>
        <w:bidi w:val="0"/>
        <w:spacing w:line="360" w:lineRule="auto"/>
        <w:rPr>
          <w:rFonts w:ascii="宋体"/>
          <w:kern w:val="0"/>
          <w:szCs w:val="21"/>
        </w:rPr>
      </w:pPr>
    </w:p>
    <w:p w14:paraId="65338342">
      <w:pPr>
        <w:pageBreakBefore w:val="0"/>
        <w:kinsoku/>
        <w:wordWrap/>
        <w:overflowPunct/>
        <w:topLinePunct w:val="0"/>
        <w:bidi w:val="0"/>
        <w:spacing w:line="360" w:lineRule="auto"/>
        <w:rPr>
          <w:rFonts w:ascii="宋体"/>
          <w:kern w:val="0"/>
          <w:szCs w:val="21"/>
        </w:rPr>
      </w:pPr>
    </w:p>
    <w:p w14:paraId="128847F8">
      <w:pPr>
        <w:pageBreakBefore w:val="0"/>
        <w:widowControl/>
        <w:kinsoku/>
        <w:wordWrap/>
        <w:overflowPunct/>
        <w:topLinePunct w:val="0"/>
        <w:bidi w:val="0"/>
        <w:spacing w:line="360" w:lineRule="auto"/>
        <w:jc w:val="left"/>
        <w:rPr>
          <w:rFonts w:eastAsia="黑体"/>
          <w:b/>
          <w:bCs/>
          <w:sz w:val="28"/>
        </w:rPr>
      </w:pPr>
    </w:p>
    <w:p w14:paraId="4A9E2271">
      <w:pPr>
        <w:pageBreakBefore w:val="0"/>
        <w:widowControl/>
        <w:kinsoku/>
        <w:wordWrap/>
        <w:overflowPunct/>
        <w:topLinePunct w:val="0"/>
        <w:bidi w:val="0"/>
        <w:spacing w:line="360" w:lineRule="auto"/>
        <w:jc w:val="left"/>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3302AC2C">
      <w:pPr>
        <w:pageBreakBefore w:val="0"/>
        <w:widowControl/>
        <w:kinsoku/>
        <w:wordWrap/>
        <w:overflowPunct/>
        <w:topLinePunct w:val="0"/>
        <w:bidi w:val="0"/>
        <w:spacing w:line="360" w:lineRule="auto"/>
        <w:jc w:val="left"/>
        <w:rPr>
          <w:rFonts w:hint="default" w:eastAsia="黑体"/>
          <w:b/>
          <w:bCs/>
          <w:sz w:val="28"/>
          <w:lang w:val="en-US" w:eastAsia="zh-CN"/>
        </w:rPr>
      </w:pPr>
      <w:r>
        <w:rPr>
          <w:rFonts w:hint="eastAsia" w:eastAsia="黑体"/>
          <w:b/>
          <w:bCs/>
          <w:sz w:val="28"/>
          <w:lang w:val="en-US" w:eastAsia="zh-CN"/>
        </w:rPr>
        <w:t>附件10</w:t>
      </w:r>
    </w:p>
    <w:p w14:paraId="25023A21">
      <w:pPr>
        <w:pageBreakBefore w:val="0"/>
        <w:kinsoku/>
        <w:wordWrap/>
        <w:overflowPunct/>
        <w:topLinePunct w:val="0"/>
        <w:bidi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14:paraId="1637819D">
      <w:pPr>
        <w:pageBreakBefore w:val="0"/>
        <w:kinsoku/>
        <w:wordWrap/>
        <w:overflowPunct/>
        <w:topLinePunct w:val="0"/>
        <w:bidi w:val="0"/>
        <w:spacing w:line="360" w:lineRule="auto"/>
        <w:jc w:val="center"/>
        <w:rPr>
          <w:rFonts w:ascii="宋体" w:hAnsi="宋体"/>
          <w:sz w:val="24"/>
        </w:rPr>
      </w:pPr>
      <w:r>
        <w:rPr>
          <w:rFonts w:hint="eastAsia" w:ascii="宋体" w:hAnsi="宋体"/>
          <w:sz w:val="24"/>
        </w:rPr>
        <w:t>（经营资质证明等）</w:t>
      </w:r>
    </w:p>
    <w:p w14:paraId="69DD64EC">
      <w:pPr>
        <w:pageBreakBefore w:val="0"/>
        <w:kinsoku/>
        <w:wordWrap/>
        <w:overflowPunct/>
        <w:topLinePunct w:val="0"/>
        <w:bidi w:val="0"/>
        <w:spacing w:line="360" w:lineRule="auto"/>
        <w:jc w:val="center"/>
        <w:rPr>
          <w:rFonts w:ascii="宋体" w:hAnsi="宋体"/>
          <w:sz w:val="24"/>
        </w:rPr>
      </w:pPr>
    </w:p>
    <w:p w14:paraId="14790294">
      <w:pPr>
        <w:pageBreakBefore w:val="0"/>
        <w:kinsoku/>
        <w:wordWrap/>
        <w:overflowPunct/>
        <w:topLinePunct w:val="0"/>
        <w:bidi w:val="0"/>
        <w:spacing w:line="360" w:lineRule="auto"/>
        <w:jc w:val="center"/>
        <w:rPr>
          <w:rFonts w:ascii="宋体" w:hAnsi="宋体"/>
          <w:sz w:val="24"/>
        </w:rPr>
      </w:pPr>
    </w:p>
    <w:p w14:paraId="4A235799">
      <w:pPr>
        <w:pageBreakBefore w:val="0"/>
        <w:kinsoku/>
        <w:wordWrap/>
        <w:overflowPunct/>
        <w:topLinePunct w:val="0"/>
        <w:bidi w:val="0"/>
        <w:spacing w:line="360" w:lineRule="auto"/>
        <w:jc w:val="center"/>
        <w:rPr>
          <w:rFonts w:ascii="宋体" w:hAnsi="宋体"/>
          <w:sz w:val="24"/>
        </w:rPr>
      </w:pPr>
    </w:p>
    <w:p w14:paraId="54F2E11B">
      <w:pPr>
        <w:pageBreakBefore w:val="0"/>
        <w:kinsoku/>
        <w:wordWrap/>
        <w:overflowPunct/>
        <w:topLinePunct w:val="0"/>
        <w:bidi w:val="0"/>
        <w:spacing w:line="360" w:lineRule="auto"/>
        <w:jc w:val="center"/>
        <w:rPr>
          <w:rFonts w:ascii="宋体" w:hAnsi="宋体"/>
          <w:sz w:val="24"/>
        </w:rPr>
      </w:pPr>
    </w:p>
    <w:p w14:paraId="0905DEAF">
      <w:pPr>
        <w:pageBreakBefore w:val="0"/>
        <w:kinsoku/>
        <w:wordWrap/>
        <w:overflowPunct/>
        <w:topLinePunct w:val="0"/>
        <w:bidi w:val="0"/>
        <w:spacing w:line="360" w:lineRule="auto"/>
        <w:jc w:val="center"/>
        <w:rPr>
          <w:rFonts w:ascii="宋体" w:hAnsi="宋体"/>
          <w:sz w:val="24"/>
        </w:rPr>
      </w:pPr>
    </w:p>
    <w:p w14:paraId="067995F8">
      <w:pPr>
        <w:pageBreakBefore w:val="0"/>
        <w:kinsoku/>
        <w:wordWrap/>
        <w:overflowPunct/>
        <w:topLinePunct w:val="0"/>
        <w:bidi w:val="0"/>
        <w:spacing w:line="360" w:lineRule="auto"/>
        <w:jc w:val="center"/>
        <w:rPr>
          <w:rFonts w:ascii="宋体" w:hAnsi="宋体"/>
          <w:sz w:val="24"/>
        </w:rPr>
      </w:pPr>
    </w:p>
    <w:p w14:paraId="7D9F87C8">
      <w:pPr>
        <w:pageBreakBefore w:val="0"/>
        <w:kinsoku/>
        <w:wordWrap/>
        <w:overflowPunct/>
        <w:topLinePunct w:val="0"/>
        <w:bidi w:val="0"/>
        <w:spacing w:line="360" w:lineRule="auto"/>
        <w:jc w:val="center"/>
        <w:rPr>
          <w:rFonts w:ascii="宋体" w:hAnsi="宋体"/>
          <w:sz w:val="24"/>
        </w:rPr>
      </w:pPr>
    </w:p>
    <w:p w14:paraId="3E6DF70E">
      <w:pPr>
        <w:pageBreakBefore w:val="0"/>
        <w:kinsoku/>
        <w:wordWrap/>
        <w:overflowPunct/>
        <w:topLinePunct w:val="0"/>
        <w:bidi w:val="0"/>
        <w:spacing w:line="360" w:lineRule="auto"/>
        <w:jc w:val="center"/>
        <w:rPr>
          <w:rFonts w:hint="eastAsia" w:ascii="宋体" w:hAnsi="宋体"/>
          <w:sz w:val="24"/>
        </w:rPr>
      </w:pPr>
    </w:p>
    <w:p w14:paraId="2A26719D">
      <w:pPr>
        <w:pageBreakBefore w:val="0"/>
        <w:kinsoku/>
        <w:wordWrap/>
        <w:overflowPunct/>
        <w:topLinePunct w:val="0"/>
        <w:bidi w:val="0"/>
        <w:spacing w:line="360" w:lineRule="auto"/>
        <w:jc w:val="center"/>
        <w:rPr>
          <w:rFonts w:ascii="宋体" w:hAnsi="宋体"/>
          <w:sz w:val="24"/>
        </w:rPr>
      </w:pPr>
    </w:p>
    <w:p w14:paraId="0172BBB2">
      <w:pPr>
        <w:pageBreakBefore w:val="0"/>
        <w:kinsoku/>
        <w:wordWrap/>
        <w:overflowPunct/>
        <w:topLinePunct w:val="0"/>
        <w:bidi w:val="0"/>
        <w:spacing w:line="360" w:lineRule="auto"/>
        <w:jc w:val="center"/>
        <w:rPr>
          <w:rFonts w:ascii="宋体" w:hAnsi="宋体"/>
          <w:sz w:val="24"/>
        </w:rPr>
      </w:pPr>
    </w:p>
    <w:p w14:paraId="3EF9B94F">
      <w:pPr>
        <w:pageBreakBefore w:val="0"/>
        <w:kinsoku/>
        <w:wordWrap/>
        <w:overflowPunct/>
        <w:topLinePunct w:val="0"/>
        <w:bidi w:val="0"/>
        <w:spacing w:line="360" w:lineRule="auto"/>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E561FC0">
      <w:pPr>
        <w:pageBreakBefore w:val="0"/>
        <w:kinsoku/>
        <w:wordWrap/>
        <w:overflowPunct/>
        <w:topLinePunct w:val="0"/>
        <w:bidi w:val="0"/>
        <w:spacing w:line="360" w:lineRule="auto"/>
        <w:jc w:val="center"/>
        <w:rPr>
          <w:rFonts w:ascii="仿宋_GB2312" w:hAnsi="宋体" w:eastAsia="仿宋_GB2312"/>
          <w:sz w:val="24"/>
        </w:rPr>
      </w:pPr>
    </w:p>
    <w:p w14:paraId="027875C1">
      <w:pPr>
        <w:pageBreakBefore w:val="0"/>
        <w:kinsoku/>
        <w:wordWrap/>
        <w:overflowPunct/>
        <w:topLinePunct w:val="0"/>
        <w:bidi w:val="0"/>
        <w:spacing w:line="360" w:lineRule="auto"/>
        <w:rPr>
          <w:rFonts w:eastAsia="黑体"/>
          <w:b/>
          <w:bCs/>
          <w:sz w:val="28"/>
        </w:rPr>
      </w:pPr>
    </w:p>
    <w:p w14:paraId="02C592AA">
      <w:pPr>
        <w:pageBreakBefore w:val="0"/>
        <w:kinsoku/>
        <w:wordWrap/>
        <w:overflowPunct/>
        <w:topLinePunct w:val="0"/>
        <w:bidi w:val="0"/>
        <w:spacing w:line="360" w:lineRule="auto"/>
        <w:rPr>
          <w:rFonts w:eastAsia="黑体"/>
          <w:b/>
          <w:bCs/>
          <w:sz w:val="28"/>
        </w:rPr>
      </w:pPr>
    </w:p>
    <w:p w14:paraId="2E5F5492">
      <w:pPr>
        <w:pageBreakBefore w:val="0"/>
        <w:kinsoku/>
        <w:wordWrap/>
        <w:overflowPunct/>
        <w:topLinePunct w:val="0"/>
        <w:bidi w:val="0"/>
        <w:spacing w:line="360" w:lineRule="auto"/>
        <w:rPr>
          <w:rFonts w:eastAsia="黑体"/>
          <w:b/>
          <w:bCs/>
          <w:sz w:val="28"/>
        </w:rPr>
      </w:pPr>
    </w:p>
    <w:p w14:paraId="32BF243E">
      <w:pPr>
        <w:pageBreakBefore w:val="0"/>
        <w:kinsoku/>
        <w:wordWrap/>
        <w:overflowPunct/>
        <w:topLinePunct w:val="0"/>
        <w:bidi w:val="0"/>
        <w:spacing w:line="360" w:lineRule="auto"/>
        <w:rPr>
          <w:rFonts w:eastAsia="黑体"/>
          <w:b/>
          <w:bCs/>
          <w:sz w:val="28"/>
        </w:rPr>
      </w:pPr>
    </w:p>
    <w:p w14:paraId="25B2E901">
      <w:pPr>
        <w:pageBreakBefore w:val="0"/>
        <w:kinsoku/>
        <w:wordWrap/>
        <w:overflowPunct/>
        <w:topLinePunct w:val="0"/>
        <w:bidi w:val="0"/>
        <w:spacing w:line="360" w:lineRule="auto"/>
        <w:rPr>
          <w:rFonts w:eastAsia="黑体"/>
          <w:b/>
          <w:bCs/>
          <w:sz w:val="28"/>
        </w:rPr>
      </w:pPr>
    </w:p>
    <w:p w14:paraId="47432967">
      <w:pPr>
        <w:pageBreakBefore w:val="0"/>
        <w:kinsoku/>
        <w:wordWrap/>
        <w:overflowPunct/>
        <w:topLinePunct w:val="0"/>
        <w:bidi w:val="0"/>
        <w:spacing w:line="360" w:lineRule="auto"/>
        <w:rPr>
          <w:rFonts w:eastAsia="黑体"/>
          <w:b/>
          <w:bCs/>
          <w:sz w:val="28"/>
        </w:rPr>
      </w:pPr>
    </w:p>
    <w:p w14:paraId="694CD2CB">
      <w:pPr>
        <w:pageBreakBefore w:val="0"/>
        <w:kinsoku/>
        <w:wordWrap/>
        <w:overflowPunct/>
        <w:topLinePunct w:val="0"/>
        <w:bidi w:val="0"/>
        <w:spacing w:line="360" w:lineRule="auto"/>
        <w:rPr>
          <w:rFonts w:eastAsia="黑体"/>
          <w:b/>
          <w:bCs/>
          <w:sz w:val="28"/>
        </w:rPr>
      </w:pPr>
    </w:p>
    <w:p w14:paraId="3048EFD5">
      <w:pPr>
        <w:pageBreakBefore w:val="0"/>
        <w:kinsoku/>
        <w:wordWrap/>
        <w:overflowPunct/>
        <w:topLinePunct w:val="0"/>
        <w:bidi w:val="0"/>
        <w:spacing w:line="360" w:lineRule="auto"/>
        <w:rPr>
          <w:rFonts w:eastAsia="黑体"/>
          <w:b/>
          <w:bCs/>
          <w:sz w:val="28"/>
        </w:rPr>
      </w:pPr>
    </w:p>
    <w:p w14:paraId="231FF6D9">
      <w:pPr>
        <w:pageBreakBefore w:val="0"/>
        <w:kinsoku/>
        <w:wordWrap/>
        <w:overflowPunct/>
        <w:topLinePunct w:val="0"/>
        <w:bidi w:val="0"/>
        <w:spacing w:line="360" w:lineRule="auto"/>
        <w:rPr>
          <w:rFonts w:eastAsia="黑体"/>
          <w:b/>
          <w:bCs/>
          <w:sz w:val="28"/>
        </w:rPr>
      </w:pPr>
    </w:p>
    <w:p w14:paraId="2A58D180">
      <w:pPr>
        <w:pageBreakBefore w:val="0"/>
        <w:kinsoku/>
        <w:wordWrap/>
        <w:overflowPunct/>
        <w:topLinePunct w:val="0"/>
        <w:bidi w:val="0"/>
        <w:spacing w:line="360" w:lineRule="auto"/>
        <w:rPr>
          <w:rFonts w:eastAsia="黑体"/>
          <w:b/>
          <w:bCs/>
          <w:sz w:val="28"/>
        </w:rPr>
      </w:pPr>
    </w:p>
    <w:p w14:paraId="4796E9B6">
      <w:pPr>
        <w:pageBreakBefore w:val="0"/>
        <w:kinsoku/>
        <w:wordWrap/>
        <w:overflowPunct/>
        <w:topLinePunct w:val="0"/>
        <w:bidi w:val="0"/>
        <w:spacing w:line="360" w:lineRule="auto"/>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8A80A7E">
      <w:pPr>
        <w:pageBreakBefore w:val="0"/>
        <w:kinsoku/>
        <w:wordWrap/>
        <w:overflowPunct/>
        <w:topLinePunct w:val="0"/>
        <w:bidi w:val="0"/>
        <w:spacing w:line="360" w:lineRule="auto"/>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14:paraId="583C2F7B">
      <w:pPr>
        <w:pageBreakBefore w:val="0"/>
        <w:kinsoku/>
        <w:wordWrap/>
        <w:overflowPunct/>
        <w:topLinePunct w:val="0"/>
        <w:bidi w:val="0"/>
        <w:spacing w:line="360" w:lineRule="auto"/>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4A59D84C">
      <w:pPr>
        <w:pageBreakBefore w:val="0"/>
        <w:kinsoku/>
        <w:wordWrap/>
        <w:overflowPunct/>
        <w:topLinePunct w:val="0"/>
        <w:bidi w:val="0"/>
        <w:spacing w:line="360" w:lineRule="auto"/>
        <w:rPr>
          <w:rFonts w:hint="eastAsia" w:ascii="宋体" w:hAnsi="宋体"/>
          <w:sz w:val="24"/>
          <w:szCs w:val="24"/>
        </w:rPr>
      </w:pPr>
    </w:p>
    <w:p w14:paraId="3CCE623B">
      <w:pPr>
        <w:pageBreakBefore w:val="0"/>
        <w:kinsoku/>
        <w:wordWrap/>
        <w:overflowPunct/>
        <w:topLinePunct w:val="0"/>
        <w:bidi w:val="0"/>
        <w:spacing w:line="360" w:lineRule="auto"/>
        <w:rPr>
          <w:rFonts w:hint="eastAsia" w:ascii="宋体" w:hAnsi="宋体"/>
          <w:sz w:val="24"/>
          <w:szCs w:val="24"/>
        </w:rPr>
      </w:pPr>
      <w:r>
        <w:rPr>
          <w:rFonts w:hint="eastAsia" w:ascii="宋体" w:hAnsi="宋体"/>
          <w:sz w:val="24"/>
          <w:szCs w:val="24"/>
        </w:rPr>
        <w:t>日期：  年   月   日</w:t>
      </w:r>
    </w:p>
    <w:p w14:paraId="54EA425B">
      <w:pPr>
        <w:pageBreakBefore w:val="0"/>
        <w:kinsoku/>
        <w:wordWrap/>
        <w:overflowPunct/>
        <w:topLinePunct w:val="0"/>
        <w:bidi w:val="0"/>
        <w:spacing w:line="360" w:lineRule="auto"/>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0B5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39671C69">
            <w:pPr>
              <w:pageBreakBefore w:val="0"/>
              <w:kinsoku/>
              <w:wordWrap/>
              <w:overflowPunct/>
              <w:topLinePunct w:val="0"/>
              <w:bidi w:val="0"/>
              <w:spacing w:line="360" w:lineRule="auto"/>
              <w:jc w:val="center"/>
              <w:rPr>
                <w:rFonts w:hint="eastAsia" w:ascii="黑体" w:hAnsi="黑体" w:eastAsia="黑体"/>
                <w:sz w:val="36"/>
              </w:rPr>
            </w:pPr>
            <w:r>
              <w:rPr>
                <w:rFonts w:hint="eastAsia" w:ascii="黑体" w:hAnsi="黑体" w:eastAsia="黑体"/>
                <w:sz w:val="36"/>
              </w:rPr>
              <w:t>投标人承诺</w:t>
            </w:r>
          </w:p>
          <w:p w14:paraId="2F773B6A">
            <w:pPr>
              <w:pStyle w:val="12"/>
              <w:pageBreakBefore w:val="0"/>
              <w:kinsoku/>
              <w:wordWrap/>
              <w:overflowPunct/>
              <w:topLinePunct w:val="0"/>
              <w:bidi w:val="0"/>
              <w:spacing w:line="360" w:lineRule="auto"/>
              <w:ind w:firstLine="560" w:firstLineChars="200"/>
              <w:rPr>
                <w:rFonts w:ascii="仿宋_GB2312" w:hAnsi="宋体" w:eastAsia="仿宋_GB2312"/>
                <w:sz w:val="28"/>
              </w:rPr>
            </w:pPr>
          </w:p>
          <w:p w14:paraId="754EB959">
            <w:pPr>
              <w:pStyle w:val="12"/>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14:paraId="17307251">
            <w:pPr>
              <w:pageBreakBefore w:val="0"/>
              <w:kinsoku/>
              <w:wordWrap/>
              <w:overflowPunct/>
              <w:topLinePunct w:val="0"/>
              <w:bidi w:val="0"/>
              <w:spacing w:line="360" w:lineRule="auto"/>
              <w:rPr>
                <w:rFonts w:hint="eastAsia" w:ascii="仿宋_GB2312" w:hAnsi="宋体" w:eastAsia="仿宋_GB2312"/>
                <w:sz w:val="24"/>
              </w:rPr>
            </w:pPr>
          </w:p>
        </w:tc>
      </w:tr>
    </w:tbl>
    <w:p w14:paraId="134585ED">
      <w:pPr>
        <w:pageBreakBefore w:val="0"/>
        <w:kinsoku/>
        <w:wordWrap/>
        <w:overflowPunct/>
        <w:topLinePunct w:val="0"/>
        <w:bidi w:val="0"/>
        <w:spacing w:line="360" w:lineRule="auto"/>
        <w:rPr>
          <w:rFonts w:hint="eastAsia" w:ascii="仿宋_GB2312" w:hAnsi="宋体" w:eastAsia="仿宋_GB2312"/>
          <w:sz w:val="24"/>
        </w:rPr>
      </w:pPr>
    </w:p>
    <w:p w14:paraId="1912D943">
      <w:pPr>
        <w:pageBreakBefore w:val="0"/>
        <w:kinsoku/>
        <w:wordWrap/>
        <w:overflowPunct/>
        <w:topLinePunct w:val="0"/>
        <w:bidi w:val="0"/>
        <w:spacing w:line="360" w:lineRule="auto"/>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A911EFC">
      <w:pPr>
        <w:pageBreakBefore w:val="0"/>
        <w:kinsoku/>
        <w:wordWrap/>
        <w:overflowPunct/>
        <w:topLinePunct w:val="0"/>
        <w:bidi w:val="0"/>
        <w:spacing w:line="360" w:lineRule="auto"/>
        <w:rPr>
          <w:rFonts w:hint="eastAsia" w:ascii="宋体" w:hAnsi="宋体" w:eastAsia="宋体" w:cs="宋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DFCE4B5">
      <w:pPr>
        <w:pageBreakBefore w:val="0"/>
        <w:kinsoku/>
        <w:wordWrap/>
        <w:overflowPunct/>
        <w:topLinePunct w:val="0"/>
        <w:bidi w:val="0"/>
        <w:spacing w:line="360" w:lineRule="auto"/>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14:paraId="229611D4">
      <w:pPr>
        <w:pageBreakBefore w:val="0"/>
        <w:kinsoku/>
        <w:wordWrap/>
        <w:overflowPunct/>
        <w:topLinePunct w:val="0"/>
        <w:bidi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14:paraId="7650CAC1">
      <w:pPr>
        <w:pageBreakBefore w:val="0"/>
        <w:kinsoku/>
        <w:wordWrap/>
        <w:overflowPunct/>
        <w:topLinePunct w:val="0"/>
        <w:bidi w:val="0"/>
        <w:spacing w:line="360" w:lineRule="auto"/>
        <w:jc w:val="center"/>
        <w:rPr>
          <w:rFonts w:ascii="宋体" w:hAnsi="宋体"/>
          <w:sz w:val="24"/>
        </w:rPr>
      </w:pPr>
      <w:r>
        <w:rPr>
          <w:rFonts w:hint="eastAsia" w:ascii="宋体" w:hAnsi="宋体"/>
          <w:sz w:val="24"/>
        </w:rPr>
        <w:t>（如有则附）</w:t>
      </w:r>
    </w:p>
    <w:p w14:paraId="73BBD22D">
      <w:pPr>
        <w:pageBreakBefore w:val="0"/>
        <w:kinsoku/>
        <w:wordWrap/>
        <w:overflowPunct/>
        <w:topLinePunct w:val="0"/>
        <w:bidi w:val="0"/>
        <w:spacing w:line="360" w:lineRule="auto"/>
        <w:jc w:val="center"/>
        <w:rPr>
          <w:rFonts w:ascii="宋体" w:hAnsi="宋体"/>
          <w:sz w:val="24"/>
        </w:rPr>
      </w:pPr>
    </w:p>
    <w:p w14:paraId="5958782C">
      <w:pPr>
        <w:pageBreakBefore w:val="0"/>
        <w:kinsoku/>
        <w:wordWrap/>
        <w:overflowPunct/>
        <w:topLinePunct w:val="0"/>
        <w:bidi w:val="0"/>
        <w:spacing w:line="360" w:lineRule="auto"/>
        <w:jc w:val="center"/>
        <w:rPr>
          <w:rFonts w:ascii="宋体" w:hAnsi="宋体"/>
          <w:sz w:val="24"/>
        </w:rPr>
      </w:pPr>
    </w:p>
    <w:p w14:paraId="4A6CA4BA">
      <w:pPr>
        <w:pageBreakBefore w:val="0"/>
        <w:kinsoku/>
        <w:wordWrap/>
        <w:overflowPunct/>
        <w:topLinePunct w:val="0"/>
        <w:bidi w:val="0"/>
        <w:spacing w:line="360" w:lineRule="auto"/>
        <w:jc w:val="center"/>
        <w:rPr>
          <w:rFonts w:ascii="宋体" w:hAnsi="宋体"/>
          <w:sz w:val="24"/>
        </w:rPr>
      </w:pPr>
    </w:p>
    <w:p w14:paraId="471170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商务要求 </w:t>
      </w:r>
    </w:p>
    <w:p w14:paraId="4309BF4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一、商务组成文件</w:t>
      </w:r>
    </w:p>
    <w:p w14:paraId="2408EAB7">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14:paraId="74451B87">
      <w:pPr>
        <w:pageBreakBefore w:val="0"/>
        <w:kinsoku/>
        <w:wordWrap/>
        <w:overflowPunct/>
        <w:topLinePunct w:val="0"/>
        <w:bidi w:val="0"/>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1、商务文件基本内容</w:t>
      </w:r>
    </w:p>
    <w:p w14:paraId="138ECCD2">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a)开标一览表</w:t>
      </w:r>
    </w:p>
    <w:p w14:paraId="36B4A587">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b)商务条款偏离表</w:t>
      </w:r>
    </w:p>
    <w:p w14:paraId="1E544131">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d)售后服务及相关承诺</w:t>
      </w:r>
      <w:r>
        <w:rPr>
          <w:rFonts w:hint="eastAsia" w:asciiTheme="minorEastAsia" w:hAnsiTheme="minorEastAsia" w:eastAsiaTheme="minorEastAsia" w:cstheme="minorEastAsia"/>
          <w:color w:val="000000"/>
          <w:kern w:val="0"/>
          <w:sz w:val="24"/>
          <w:szCs w:val="24"/>
        </w:rPr>
        <w:t>类</w:t>
      </w:r>
    </w:p>
    <w:p w14:paraId="2583E777">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e)投标人认为需提供的其它文件和证书</w:t>
      </w:r>
    </w:p>
    <w:p w14:paraId="5EDD725E">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f)营业执照、</w:t>
      </w:r>
      <w:r>
        <w:rPr>
          <w:rFonts w:hint="eastAsia" w:asciiTheme="minorEastAsia" w:hAnsiTheme="minorEastAsia" w:eastAsiaTheme="minorEastAsia" w:cstheme="minorEastAsia"/>
          <w:bCs/>
          <w:sz w:val="24"/>
          <w:szCs w:val="24"/>
        </w:rPr>
        <w:t>提供与资质文件相同类似业绩表</w:t>
      </w:r>
    </w:p>
    <w:p w14:paraId="20FA8995">
      <w:pPr>
        <w:pageBreakBefore w:val="0"/>
        <w:kinsoku/>
        <w:wordWrap/>
        <w:overflowPunct/>
        <w:topLinePunct w:val="0"/>
        <w:bidi w:val="0"/>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0E72E4E6">
      <w:pPr>
        <w:pageBreakBefore w:val="0"/>
        <w:kinsoku/>
        <w:wordWrap/>
        <w:overflowPunct/>
        <w:topLinePunct w:val="0"/>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2ACF64D4">
      <w:pPr>
        <w:pageBreakBefore w:val="0"/>
        <w:kinsoku/>
        <w:wordWrap/>
        <w:overflowPunct/>
        <w:topLinePunct w:val="0"/>
        <w:bidi w:val="0"/>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投标人提供的以上材料必须真实有效，任何一项的虚假将导致其投标文件被拒绝。</w:t>
      </w:r>
    </w:p>
    <w:p w14:paraId="14497F87">
      <w:pPr>
        <w:pageBreakBefore w:val="0"/>
        <w:kinsoku/>
        <w:wordWrap/>
        <w:overflowPunct/>
        <w:topLinePunct w:val="0"/>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投标人参与</w:t>
      </w:r>
      <w:r>
        <w:rPr>
          <w:rFonts w:hint="eastAsia" w:asciiTheme="minorEastAsia" w:hAnsiTheme="minorEastAsia" w:eastAsiaTheme="minorEastAsia" w:cstheme="minorEastAsia"/>
          <w:b/>
          <w:bCs/>
          <w:sz w:val="24"/>
          <w:szCs w:val="24"/>
          <w:lang w:val="en-US" w:eastAsia="zh-CN"/>
        </w:rPr>
        <w:t>中国</w:t>
      </w:r>
      <w:r>
        <w:rPr>
          <w:rFonts w:hint="eastAsia" w:asciiTheme="minorEastAsia" w:hAnsiTheme="minorEastAsia" w:eastAsiaTheme="minorEastAsia" w:cstheme="minorEastAsia"/>
          <w:b/>
          <w:bCs/>
          <w:sz w:val="24"/>
          <w:szCs w:val="24"/>
        </w:rPr>
        <w:t>重汽</w:t>
      </w:r>
      <w:r>
        <w:rPr>
          <w:rFonts w:hint="eastAsia" w:asciiTheme="minorEastAsia" w:hAnsiTheme="minorEastAsia" w:eastAsiaTheme="minorEastAsia" w:cstheme="minorEastAsia"/>
          <w:b/>
          <w:bCs/>
          <w:sz w:val="24"/>
          <w:szCs w:val="24"/>
          <w:lang w:val="en-US" w:eastAsia="zh-CN"/>
        </w:rPr>
        <w:t>集团济南</w:t>
      </w:r>
      <w:r>
        <w:rPr>
          <w:rFonts w:hint="eastAsia" w:asciiTheme="minorEastAsia" w:hAnsiTheme="minorEastAsia" w:eastAsiaTheme="minorEastAsia" w:cstheme="minorEastAsia"/>
          <w:b/>
          <w:bCs/>
          <w:sz w:val="24"/>
          <w:szCs w:val="24"/>
          <w:lang w:eastAsia="zh-CN"/>
        </w:rPr>
        <w:t>智能装备</w:t>
      </w:r>
      <w:r>
        <w:rPr>
          <w:rFonts w:hint="eastAsia" w:asciiTheme="minorEastAsia" w:hAnsiTheme="minorEastAsia" w:eastAsiaTheme="minorEastAsia" w:cstheme="minorEastAsia"/>
          <w:b/>
          <w:bCs/>
          <w:sz w:val="24"/>
          <w:szCs w:val="24"/>
          <w:lang w:val="en-US" w:eastAsia="zh-CN"/>
        </w:rPr>
        <w:t>有限</w:t>
      </w:r>
      <w:r>
        <w:rPr>
          <w:rFonts w:hint="eastAsia" w:asciiTheme="minorEastAsia" w:hAnsiTheme="minorEastAsia" w:eastAsiaTheme="minorEastAsia" w:cstheme="minorEastAsia"/>
          <w:b/>
          <w:bCs/>
          <w:sz w:val="24"/>
          <w:szCs w:val="24"/>
        </w:rPr>
        <w:t>公司招标项目时根据甲方要求提交资质原件待审。</w:t>
      </w:r>
    </w:p>
    <w:p w14:paraId="4BC6FA29">
      <w:pPr>
        <w:pageBreakBefore w:val="0"/>
        <w:kinsoku/>
        <w:wordWrap/>
        <w:overflowPunct/>
        <w:topLinePunct w:val="0"/>
        <w:bidi w:val="0"/>
        <w:adjustRightInd w:val="0"/>
        <w:snapToGrid w:val="0"/>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4、商务文件至少应对招标设备（或材料）“商务偏离”做出有无说明，若有，应予以详细填写和说明。</w:t>
      </w:r>
    </w:p>
    <w:p w14:paraId="6C4D746D">
      <w:pPr>
        <w:pageBreakBefore w:val="0"/>
        <w:kinsoku/>
        <w:wordWrap/>
        <w:overflowPunct/>
        <w:topLinePunct w:val="0"/>
        <w:bidi w:val="0"/>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5、投标文件不得涂改和增删，如有修改错漏的地方，必须由法人代表或授权代表签字或盖章。</w:t>
      </w:r>
    </w:p>
    <w:p w14:paraId="6BDF3A1E">
      <w:pPr>
        <w:pageBreakBefore w:val="0"/>
        <w:kinsoku/>
        <w:wordWrap/>
        <w:overflowPunct/>
        <w:topLinePunct w:val="0"/>
        <w:bidi w:val="0"/>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6、投标文件因字迹潦草或表达不清所引起的后果由投标人负责。</w:t>
      </w:r>
    </w:p>
    <w:p w14:paraId="0AFF420F">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二、价格与支付</w:t>
      </w:r>
    </w:p>
    <w:p w14:paraId="4765D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SA"/>
        </w:rPr>
        <w:t>1、报价</w:t>
      </w:r>
      <w:r>
        <w:rPr>
          <w:rFonts w:hint="eastAsia" w:asciiTheme="minorEastAsia" w:hAnsiTheme="minorEastAsia" w:eastAsiaTheme="minorEastAsia" w:cstheme="minorEastAsia"/>
          <w:color w:val="auto"/>
          <w:sz w:val="24"/>
          <w:szCs w:val="24"/>
        </w:rPr>
        <w:t>：报价包含未税价格、税率、及含税合计金额及提供具体的报价分解表（后有附表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
          <w:bCs/>
          <w:sz w:val="24"/>
          <w:szCs w:val="24"/>
        </w:rPr>
        <w:t>开标一览表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投标分项报价表</w:t>
      </w:r>
      <w:r>
        <w:rPr>
          <w:rFonts w:hint="eastAsia" w:asciiTheme="minorEastAsia" w:hAnsiTheme="minorEastAsia" w:eastAsiaTheme="minorEastAsia" w:cstheme="minorEastAsia"/>
          <w:b/>
          <w:bCs/>
          <w:sz w:val="24"/>
          <w:szCs w:val="24"/>
          <w:lang w:eastAsia="zh-CN"/>
        </w:rPr>
        <w:t>）</w:t>
      </w:r>
    </w:p>
    <w:p w14:paraId="6F43F39E">
      <w:pPr>
        <w:pStyle w:val="68"/>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color w:val="auto"/>
          <w:sz w:val="24"/>
          <w:szCs w:val="24"/>
        </w:rPr>
        <w:t>2、付款结算方法：</w:t>
      </w:r>
      <w:r>
        <w:rPr>
          <w:rFonts w:hint="eastAsia" w:asciiTheme="minorEastAsia" w:hAnsiTheme="minorEastAsia" w:eastAsiaTheme="minorEastAsia" w:cstheme="minorEastAsia"/>
          <w:b/>
          <w:bCs/>
          <w:color w:val="auto"/>
          <w:sz w:val="24"/>
          <w:szCs w:val="24"/>
          <w:u w:val="single"/>
        </w:rPr>
        <w:t>半年期商业汇票 （包括银行承兑汇票和商业承兑汇票）</w:t>
      </w:r>
      <w:r>
        <w:rPr>
          <w:rFonts w:hint="eastAsia" w:asciiTheme="minorEastAsia" w:hAnsiTheme="minorEastAsia" w:eastAsiaTheme="minorEastAsia" w:cstheme="minorEastAsia"/>
          <w:b/>
          <w:bCs/>
          <w:color w:val="auto"/>
          <w:sz w:val="24"/>
          <w:szCs w:val="24"/>
        </w:rPr>
        <w:t>。</w:t>
      </w:r>
    </w:p>
    <w:p w14:paraId="7AE976F6">
      <w:pPr>
        <w:pStyle w:val="10"/>
        <w:pageBreakBefore w:val="0"/>
        <w:kinsoku/>
        <w:wordWrap/>
        <w:overflowPunct/>
        <w:topLinePunct w:val="0"/>
        <w:bidi w:val="0"/>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a)在合同约定维保期内全部实施完毕无质量问题，经检验、调试及至少30天试运行、最终验收合格后供方提交下列单据经需方审核无误后，委托方根据济南</w:t>
      </w:r>
      <w:r>
        <w:rPr>
          <w:rFonts w:hint="eastAsia" w:asciiTheme="minorEastAsia" w:hAnsiTheme="minorEastAsia" w:eastAsiaTheme="minorEastAsia" w:cstheme="minorEastAsia"/>
          <w:color w:val="auto"/>
          <w:sz w:val="24"/>
          <w:szCs w:val="24"/>
          <w:lang w:val="en-US" w:eastAsia="zh-CN"/>
        </w:rPr>
        <w:t>智能装备有限</w:t>
      </w:r>
      <w:r>
        <w:rPr>
          <w:rFonts w:hint="eastAsia" w:asciiTheme="minorEastAsia" w:hAnsiTheme="minorEastAsia" w:eastAsiaTheme="minorEastAsia" w:cstheme="minorEastAsia"/>
          <w:color w:val="auto"/>
          <w:sz w:val="24"/>
          <w:szCs w:val="24"/>
        </w:rPr>
        <w:t>公司财务管理流程，按照规定挂账后</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0天账期，账期满后提交资金计划后付给承揽方合同价格约</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9</w:t>
      </w:r>
      <w:r>
        <w:rPr>
          <w:rFonts w:hint="eastAsia" w:asciiTheme="minorEastAsia" w:hAnsiTheme="minorEastAsia" w:eastAsiaTheme="minorEastAsia" w:cstheme="minorEastAsia"/>
          <w:color w:val="auto"/>
          <w:sz w:val="24"/>
          <w:szCs w:val="24"/>
          <w:u w:val="single"/>
        </w:rPr>
        <w:t>0%</w:t>
      </w:r>
      <w:r>
        <w:rPr>
          <w:rFonts w:hint="eastAsia" w:asciiTheme="minorEastAsia" w:hAnsiTheme="minorEastAsia" w:eastAsiaTheme="minorEastAsia" w:cstheme="minorEastAsia"/>
          <w:color w:val="auto"/>
          <w:sz w:val="24"/>
          <w:szCs w:val="24"/>
        </w:rPr>
        <w:t>的价款。</w:t>
      </w:r>
    </w:p>
    <w:p w14:paraId="0DBE86E6">
      <w:pPr>
        <w:pStyle w:val="10"/>
        <w:pageBreakBefore w:val="0"/>
        <w:widowControl/>
        <w:kinsoku/>
        <w:wordWrap/>
        <w:overflowPunct/>
        <w:topLinePunct w:val="0"/>
        <w:bidi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 金额为合同总价格100%的增值税发票（适应税率）（正本一份，复印件二份）。</w:t>
      </w:r>
    </w:p>
    <w:p w14:paraId="029BBF97">
      <w:pPr>
        <w:pStyle w:val="10"/>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 该项目经相关机构最终验收、备案证书或资料文件的复印件一式五份。【特殊项目才需要】</w:t>
      </w:r>
    </w:p>
    <w:p w14:paraId="0E63424D">
      <w:pPr>
        <w:pageBreakBefore w:val="0"/>
        <w:kinsoku/>
        <w:wordWrap/>
        <w:overflowPunct/>
        <w:topLinePunct w:val="0"/>
        <w:bidi w:val="0"/>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b)剩余合同总金额的约</w:t>
      </w:r>
      <w:r>
        <w:rPr>
          <w:rFonts w:hint="eastAsia" w:asciiTheme="minorEastAsia" w:hAnsiTheme="minorEastAsia" w:eastAsiaTheme="minorEastAsia" w:cstheme="minorEastAsia"/>
          <w:color w:val="auto"/>
          <w:sz w:val="24"/>
          <w:szCs w:val="24"/>
          <w:u w:val="single"/>
        </w:rPr>
        <w:t>10%</w:t>
      </w:r>
      <w:r>
        <w:rPr>
          <w:rFonts w:hint="eastAsia" w:asciiTheme="minorEastAsia" w:hAnsiTheme="minorEastAsia" w:eastAsiaTheme="minorEastAsia" w:cstheme="minorEastAsia"/>
          <w:color w:val="auto"/>
          <w:sz w:val="24"/>
          <w:szCs w:val="24"/>
        </w:rPr>
        <w:t>作为质量保证金，待该合同标的质量保证期满，经项目招标单位出具证明和必要的手续，委托方在按照规定账期内支付给承揽方该合同价格的约10%尾款（如有问题，应扣除相应部分款项）。</w:t>
      </w:r>
    </w:p>
    <w:p w14:paraId="7E327532">
      <w:pPr>
        <w:pageBreakBefore w:val="0"/>
        <w:kinsoku/>
        <w:wordWrap/>
        <w:overflowPunct/>
        <w:topLinePunct w:val="0"/>
        <w:bidi w:val="0"/>
        <w:snapToGrid w:val="0"/>
        <w:spacing w:line="360" w:lineRule="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color w:val="FF0000"/>
          <w:sz w:val="24"/>
          <w:szCs w:val="24"/>
          <w:highlight w:val="none"/>
          <w:shd w:val="clear" w:color="auto" w:fill="auto"/>
          <w:lang w:val="en-US" w:eastAsia="zh-CN"/>
        </w:rPr>
        <w:t>付款方式和付款比例不允许偏离</w:t>
      </w:r>
    </w:p>
    <w:p w14:paraId="593058BD">
      <w:pPr>
        <w:pageBreakBefore w:val="0"/>
        <w:kinsoku/>
        <w:wordWrap/>
        <w:overflowPunct/>
        <w:topLinePunct w:val="0"/>
        <w:bidi w:val="0"/>
        <w:snapToGrid w:val="0"/>
        <w:spacing w:line="360" w:lineRule="auto"/>
        <w:ind w:firstLine="480" w:firstLineChars="200"/>
        <w:rPr>
          <w:rFonts w:hint="eastAsia" w:asciiTheme="minorEastAsia" w:hAnsiTheme="minorEastAsia" w:eastAsiaTheme="minorEastAsia" w:cstheme="minorEastAsia"/>
          <w:color w:val="auto"/>
          <w:sz w:val="24"/>
          <w:szCs w:val="24"/>
          <w:highlight w:val="yellow"/>
          <w:lang w:val="en-US" w:eastAsia="zh-CN"/>
        </w:rPr>
      </w:pPr>
      <w:r>
        <w:rPr>
          <w:rFonts w:hint="eastAsia" w:asciiTheme="minorEastAsia" w:hAnsiTheme="minorEastAsia" w:eastAsiaTheme="minorEastAsia" w:cstheme="minorEastAsia"/>
          <w:color w:val="auto"/>
          <w:sz w:val="24"/>
          <w:szCs w:val="24"/>
          <w:highlight w:val="yellow"/>
          <w:lang w:val="en-US" w:eastAsia="zh-CN"/>
        </w:rPr>
        <w:t>3、合同有效期：12个月（2026年06月24日-2027年06月23日）。</w:t>
      </w:r>
    </w:p>
    <w:p w14:paraId="15508D08">
      <w:pPr>
        <w:pageBreakBefore w:val="0"/>
        <w:kinsoku/>
        <w:wordWrap/>
        <w:overflowPunct/>
        <w:topLinePunct w:val="0"/>
        <w:bidi w:val="0"/>
        <w:snapToGrid w:val="0"/>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质量保证期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自需方对</w:t>
      </w:r>
      <w:r>
        <w:rPr>
          <w:rFonts w:hint="eastAsia" w:asciiTheme="minorEastAsia" w:hAnsiTheme="minorEastAsia" w:eastAsiaTheme="minorEastAsia" w:cstheme="minorEastAsia"/>
          <w:color w:val="auto"/>
          <w:sz w:val="24"/>
          <w:szCs w:val="24"/>
          <w:lang w:val="en-US" w:eastAsia="zh-CN"/>
        </w:rPr>
        <w:t>工装</w:t>
      </w:r>
      <w:r>
        <w:rPr>
          <w:rFonts w:hint="eastAsia" w:asciiTheme="minorEastAsia" w:hAnsiTheme="minorEastAsia" w:eastAsiaTheme="minorEastAsia" w:cstheme="minorEastAsia"/>
          <w:color w:val="auto"/>
          <w:sz w:val="24"/>
          <w:szCs w:val="24"/>
        </w:rPr>
        <w:t>器具验收合格之日起12个月。</w:t>
      </w:r>
    </w:p>
    <w:p w14:paraId="1322545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三、转包及分包</w:t>
      </w:r>
    </w:p>
    <w:p w14:paraId="3651AF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1、本项目严禁转包行为，如发现转包行为，招标人可终止合同，投标方将承担一切损失及相关法律责任。</w:t>
      </w:r>
    </w:p>
    <w:p w14:paraId="42E01FF6">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2、严格限制分包。中标后不准分包，否则招标人可终止合同，投标方将承担一切损失及相关法律责任。</w:t>
      </w:r>
    </w:p>
    <w:p w14:paraId="0BE79DD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四、现场踏勘</w:t>
      </w:r>
    </w:p>
    <w:p w14:paraId="11FD66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7F9278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p>
    <w:p w14:paraId="1A324410">
      <w:pPr>
        <w:pageBreakBefore w:val="0"/>
        <w:numPr>
          <w:ins w:id="0" w:author="JonMMx 2000" w:date=""/>
        </w:numPr>
        <w:kinsoku/>
        <w:wordWrap/>
        <w:overflowPunct/>
        <w:topLinePunct w:val="0"/>
        <w:bidi w:val="0"/>
        <w:spacing w:line="360" w:lineRule="auto"/>
        <w:jc w:val="center"/>
        <w:rPr>
          <w:rFonts w:eastAsia="黑体"/>
          <w:b/>
          <w:bCs/>
          <w:sz w:val="36"/>
          <w:szCs w:val="36"/>
        </w:rPr>
      </w:pPr>
    </w:p>
    <w:p w14:paraId="52FDA4AD">
      <w:pPr>
        <w:pageBreakBefore w:val="0"/>
        <w:numPr>
          <w:ins w:id="1" w:author="JonMMx 2000" w:date=""/>
        </w:numPr>
        <w:kinsoku/>
        <w:wordWrap/>
        <w:overflowPunct/>
        <w:topLinePunct w:val="0"/>
        <w:bidi w:val="0"/>
        <w:spacing w:line="360" w:lineRule="auto"/>
        <w:jc w:val="center"/>
        <w:rPr>
          <w:rFonts w:eastAsia="黑体"/>
          <w:b/>
          <w:bCs/>
          <w:sz w:val="36"/>
          <w:szCs w:val="36"/>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1CCD7A7A">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highlight w:val="none"/>
        </w:rPr>
      </w:pPr>
      <w:r>
        <w:rPr>
          <w:rFonts w:hint="eastAsia" w:ascii="黑体" w:hAnsi="黑体" w:eastAsia="黑体" w:cs="黑体"/>
          <w:sz w:val="36"/>
          <w:szCs w:val="36"/>
          <w:highlight w:val="none"/>
        </w:rPr>
        <w:t>第四章  技术协议书</w:t>
      </w:r>
    </w:p>
    <w:p w14:paraId="7BAADBF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ascii="宋体" w:hAnsi="宋体" w:cs="宋体"/>
          <w:b w:val="0"/>
          <w:sz w:val="24"/>
          <w:szCs w:val="21"/>
        </w:rPr>
      </w:pPr>
      <w:bookmarkStart w:id="6" w:name="_Toc50970647"/>
      <w:bookmarkStart w:id="7" w:name="_Toc159998024"/>
      <w:r>
        <w:rPr>
          <w:rFonts w:hint="eastAsia" w:ascii="黑体" w:hAnsi="黑体" w:eastAsia="黑体" w:cs="黑体"/>
          <w:b/>
          <w:bCs/>
          <w:sz w:val="28"/>
          <w:szCs w:val="28"/>
          <w:lang w:val="en-US" w:eastAsia="zh-CN"/>
        </w:rPr>
        <w:t>一、招标基本要求</w:t>
      </w:r>
      <w:bookmarkEnd w:id="6"/>
    </w:p>
    <w:p w14:paraId="5A26DC31">
      <w:pPr>
        <w:pageBreakBefore w:val="0"/>
        <w:kinsoku/>
        <w:wordWrap/>
        <w:overflowPunct/>
        <w:topLinePunct w:val="0"/>
        <w:bidi w:val="0"/>
        <w:snapToGrid w:val="0"/>
        <w:spacing w:line="360" w:lineRule="auto"/>
        <w:ind w:firstLine="480" w:firstLineChars="200"/>
        <w:contextualSpacing/>
        <w:rPr>
          <w:rFonts w:hint="eastAsia" w:ascii="黑体" w:hAnsi="黑体" w:eastAsia="黑体" w:cs="黑体"/>
          <w:b/>
          <w:bCs/>
          <w:sz w:val="28"/>
          <w:szCs w:val="28"/>
          <w:lang w:val="en-US" w:eastAsia="zh-CN"/>
        </w:rPr>
      </w:pPr>
      <w:bookmarkStart w:id="8" w:name="_Toc50970649"/>
      <w:r>
        <w:rPr>
          <w:rFonts w:hint="eastAsia" w:ascii="宋体" w:hAnsi="宋体"/>
          <w:sz w:val="24"/>
          <w:szCs w:val="24"/>
          <w:highlight w:val="none"/>
        </w:rPr>
        <w:t>器具符合《生产用零部件包装技术条件</w:t>
      </w:r>
      <w:r>
        <w:rPr>
          <w:rFonts w:ascii="宋体" w:hAnsi="宋体"/>
          <w:sz w:val="24"/>
          <w:szCs w:val="24"/>
          <w:highlight w:val="none"/>
        </w:rPr>
        <w:t>》。</w:t>
      </w:r>
      <w:r>
        <w:rPr>
          <w:rFonts w:hint="eastAsia" w:ascii="宋体" w:hAnsi="宋体"/>
          <w:sz w:val="24"/>
          <w:szCs w:val="24"/>
          <w:highlight w:val="none"/>
        </w:rPr>
        <w:t>本项目器具主材为</w:t>
      </w:r>
      <w:r>
        <w:rPr>
          <w:rFonts w:ascii="宋体" w:hAnsi="宋体"/>
          <w:sz w:val="24"/>
          <w:szCs w:val="24"/>
          <w:highlight w:val="none"/>
        </w:rPr>
        <w:t>50</w:t>
      </w:r>
      <w:r>
        <w:rPr>
          <w:rFonts w:hint="eastAsia" w:ascii="宋体" w:hAnsi="宋体"/>
          <w:sz w:val="24"/>
          <w:szCs w:val="24"/>
          <w:highlight w:val="none"/>
        </w:rPr>
        <w:t>mm</w:t>
      </w:r>
      <w:r>
        <w:rPr>
          <w:rFonts w:ascii="宋体" w:hAnsi="宋体"/>
          <w:sz w:val="24"/>
          <w:szCs w:val="24"/>
          <w:highlight w:val="none"/>
        </w:rPr>
        <w:t>*50</w:t>
      </w:r>
      <w:r>
        <w:rPr>
          <w:rFonts w:hint="eastAsia" w:ascii="宋体" w:hAnsi="宋体"/>
          <w:sz w:val="24"/>
          <w:szCs w:val="24"/>
          <w:highlight w:val="none"/>
        </w:rPr>
        <w:t>mm</w:t>
      </w:r>
      <w:r>
        <w:rPr>
          <w:rFonts w:ascii="宋体" w:hAnsi="宋体"/>
          <w:sz w:val="24"/>
          <w:szCs w:val="24"/>
          <w:highlight w:val="none"/>
        </w:rPr>
        <w:t>*3</w:t>
      </w:r>
      <w:r>
        <w:rPr>
          <w:rFonts w:hint="eastAsia" w:ascii="宋体" w:hAnsi="宋体"/>
          <w:sz w:val="24"/>
          <w:szCs w:val="24"/>
          <w:highlight w:val="none"/>
        </w:rPr>
        <w:t>mm</w:t>
      </w:r>
      <w:r>
        <w:rPr>
          <w:rFonts w:hint="eastAsia" w:ascii="宋体" w:hAnsi="宋体"/>
          <w:sz w:val="24"/>
          <w:szCs w:val="24"/>
          <w:highlight w:val="none"/>
          <w:lang w:val="en-US" w:eastAsia="zh-CN"/>
        </w:rPr>
        <w:t xml:space="preserve"> </w:t>
      </w:r>
      <w:r>
        <w:rPr>
          <w:rFonts w:hint="eastAsia" w:ascii="宋体" w:hAnsi="宋体"/>
          <w:sz w:val="24"/>
          <w:szCs w:val="24"/>
          <w:highlight w:val="none"/>
        </w:rPr>
        <w:t>Q235、 4</w:t>
      </w:r>
      <w:r>
        <w:rPr>
          <w:rFonts w:ascii="宋体" w:hAnsi="宋体"/>
          <w:sz w:val="24"/>
          <w:szCs w:val="24"/>
          <w:highlight w:val="none"/>
        </w:rPr>
        <w:t>0</w:t>
      </w:r>
      <w:r>
        <w:rPr>
          <w:rFonts w:hint="eastAsia" w:ascii="宋体" w:hAnsi="宋体"/>
          <w:sz w:val="24"/>
          <w:szCs w:val="24"/>
          <w:highlight w:val="none"/>
        </w:rPr>
        <w:t>mm</w:t>
      </w:r>
      <w:r>
        <w:rPr>
          <w:rFonts w:ascii="宋体" w:hAnsi="宋体"/>
          <w:sz w:val="24"/>
          <w:szCs w:val="24"/>
          <w:highlight w:val="none"/>
        </w:rPr>
        <w:t>*40</w:t>
      </w:r>
      <w:r>
        <w:rPr>
          <w:rFonts w:hint="eastAsia" w:ascii="宋体" w:hAnsi="宋体"/>
          <w:sz w:val="24"/>
          <w:szCs w:val="24"/>
          <w:highlight w:val="none"/>
        </w:rPr>
        <w:t>mm</w:t>
      </w:r>
      <w:r>
        <w:rPr>
          <w:rFonts w:ascii="宋体" w:hAnsi="宋体"/>
          <w:sz w:val="24"/>
          <w:szCs w:val="24"/>
          <w:highlight w:val="none"/>
        </w:rPr>
        <w:t>*3</w:t>
      </w:r>
      <w:r>
        <w:rPr>
          <w:rFonts w:hint="eastAsia" w:ascii="宋体" w:hAnsi="宋体"/>
          <w:sz w:val="24"/>
          <w:szCs w:val="24"/>
          <w:highlight w:val="none"/>
          <w:lang w:val="en-US" w:eastAsia="zh-CN"/>
        </w:rPr>
        <w:t xml:space="preserve"> </w:t>
      </w:r>
      <w:r>
        <w:rPr>
          <w:rFonts w:hint="eastAsia" w:ascii="宋体" w:hAnsi="宋体"/>
          <w:sz w:val="24"/>
          <w:szCs w:val="24"/>
          <w:highlight w:val="none"/>
        </w:rPr>
        <w:t>Q235方管以及4</w:t>
      </w:r>
      <w:r>
        <w:rPr>
          <w:rFonts w:ascii="宋体" w:hAnsi="宋体"/>
          <w:sz w:val="24"/>
          <w:szCs w:val="24"/>
          <w:highlight w:val="none"/>
        </w:rPr>
        <w:t>0</w:t>
      </w:r>
      <w:r>
        <w:rPr>
          <w:rFonts w:hint="eastAsia" w:ascii="宋体" w:hAnsi="宋体"/>
          <w:sz w:val="24"/>
          <w:szCs w:val="24"/>
          <w:highlight w:val="none"/>
        </w:rPr>
        <w:t>mm</w:t>
      </w:r>
      <w:r>
        <w:rPr>
          <w:rFonts w:ascii="宋体" w:hAnsi="宋体"/>
          <w:sz w:val="24"/>
          <w:szCs w:val="24"/>
          <w:highlight w:val="none"/>
        </w:rPr>
        <w:t>*40</w:t>
      </w:r>
      <w:r>
        <w:rPr>
          <w:rFonts w:hint="eastAsia" w:ascii="宋体" w:hAnsi="宋体"/>
          <w:sz w:val="24"/>
          <w:szCs w:val="24"/>
          <w:highlight w:val="none"/>
        </w:rPr>
        <w:t>mm</w:t>
      </w:r>
      <w:r>
        <w:rPr>
          <w:rFonts w:ascii="宋体" w:hAnsi="宋体"/>
          <w:sz w:val="24"/>
          <w:szCs w:val="24"/>
          <w:highlight w:val="none"/>
        </w:rPr>
        <w:t>*2</w:t>
      </w:r>
      <w:r>
        <w:rPr>
          <w:rFonts w:hint="eastAsia" w:ascii="宋体" w:hAnsi="宋体"/>
          <w:sz w:val="24"/>
          <w:szCs w:val="24"/>
          <w:highlight w:val="none"/>
        </w:rPr>
        <w:t>mm</w:t>
      </w:r>
      <w:r>
        <w:rPr>
          <w:rFonts w:hint="eastAsia" w:ascii="宋体" w:hAnsi="宋体"/>
          <w:sz w:val="24"/>
          <w:szCs w:val="24"/>
          <w:highlight w:val="none"/>
          <w:lang w:val="en-US" w:eastAsia="zh-CN"/>
        </w:rPr>
        <w:t xml:space="preserve"> </w:t>
      </w:r>
      <w:r>
        <w:rPr>
          <w:rFonts w:ascii="宋体" w:hAnsi="宋体"/>
          <w:sz w:val="24"/>
          <w:szCs w:val="24"/>
          <w:highlight w:val="none"/>
        </w:rPr>
        <w:t>304</w:t>
      </w:r>
      <w:r>
        <w:rPr>
          <w:rFonts w:hint="eastAsia" w:ascii="宋体" w:hAnsi="宋体"/>
          <w:sz w:val="24"/>
          <w:szCs w:val="24"/>
          <w:highlight w:val="none"/>
        </w:rPr>
        <w:t>不锈钢管（详见器具方案）</w:t>
      </w:r>
    </w:p>
    <w:p w14:paraId="24054B1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ascii="宋体" w:hAnsi="宋体" w:cs="宋体"/>
          <w:sz w:val="24"/>
          <w:szCs w:val="21"/>
        </w:rPr>
      </w:pPr>
      <w:r>
        <w:rPr>
          <w:rFonts w:hint="eastAsia" w:ascii="黑体" w:hAnsi="黑体" w:eastAsia="黑体" w:cs="黑体"/>
          <w:b/>
          <w:bCs/>
          <w:sz w:val="28"/>
          <w:szCs w:val="28"/>
          <w:lang w:val="en-US" w:eastAsia="zh-CN"/>
        </w:rPr>
        <w:t>二、项目“货物”详细要求及主要技术参数</w:t>
      </w:r>
      <w:bookmarkEnd w:id="8"/>
    </w:p>
    <w:p w14:paraId="2DF4CBE3">
      <w:pPr>
        <w:pageBreakBefore w:val="0"/>
        <w:kinsoku/>
        <w:wordWrap/>
        <w:overflowPunct/>
        <w:topLinePunct w:val="0"/>
        <w:bidi w:val="0"/>
        <w:snapToGrid w:val="0"/>
        <w:spacing w:line="360" w:lineRule="auto"/>
        <w:contextualSpacing/>
        <w:rPr>
          <w:rFonts w:ascii="宋体" w:hAnsi="宋体" w:cs="宋体"/>
          <w:b/>
          <w:sz w:val="24"/>
          <w:szCs w:val="24"/>
        </w:rPr>
      </w:pPr>
      <w:r>
        <w:rPr>
          <w:rFonts w:hint="eastAsia" w:ascii="宋体" w:hAnsi="宋体" w:cs="宋体"/>
          <w:b/>
          <w:sz w:val="24"/>
          <w:szCs w:val="24"/>
        </w:rPr>
        <w:t>专用器具要求</w:t>
      </w:r>
    </w:p>
    <w:p w14:paraId="4882A5F5">
      <w:pPr>
        <w:pageBreakBefore w:val="0"/>
        <w:kinsoku/>
        <w:wordWrap/>
        <w:overflowPunct/>
        <w:topLinePunct w:val="0"/>
        <w:bidi w:val="0"/>
        <w:snapToGrid w:val="0"/>
        <w:spacing w:line="360" w:lineRule="auto"/>
        <w:ind w:firstLine="540"/>
        <w:contextualSpacing/>
        <w:rPr>
          <w:rFonts w:ascii="宋体" w:hAnsi="宋体" w:cs="宋体"/>
          <w:sz w:val="24"/>
          <w:szCs w:val="24"/>
        </w:rPr>
      </w:pPr>
      <w:r>
        <w:rPr>
          <w:rFonts w:hint="eastAsia" w:ascii="宋体" w:hAnsi="宋体" w:cs="宋体"/>
          <w:sz w:val="24"/>
          <w:szCs w:val="24"/>
        </w:rPr>
        <w:t>（1）工位器具由器具本体部分、组配件（脚轮、牵引钩、牵引座、护铲等）和防护定位部分（衬垫、支承、定位块等）构成。所有工位器具均应配备标签贴板、护铲、</w:t>
      </w:r>
      <w:r>
        <w:rPr>
          <w:rFonts w:ascii="宋体" w:hAnsi="宋体" w:cs="宋体"/>
          <w:sz w:val="24"/>
          <w:szCs w:val="24"/>
        </w:rPr>
        <w:t>标识牌</w:t>
      </w:r>
      <w:r>
        <w:rPr>
          <w:rFonts w:hint="eastAsia" w:ascii="宋体" w:hAnsi="宋体" w:cs="宋体"/>
          <w:sz w:val="24"/>
          <w:szCs w:val="24"/>
        </w:rPr>
        <w:t>，根据需要配备脚轮、牵引钩、牵引座。</w:t>
      </w:r>
    </w:p>
    <w:p w14:paraId="4A0980F8">
      <w:pPr>
        <w:pageBreakBefore w:val="0"/>
        <w:kinsoku/>
        <w:wordWrap/>
        <w:overflowPunct/>
        <w:topLinePunct w:val="0"/>
        <w:bidi w:val="0"/>
        <w:snapToGrid w:val="0"/>
        <w:spacing w:line="360" w:lineRule="auto"/>
        <w:ind w:firstLine="540"/>
        <w:contextualSpacing/>
        <w:rPr>
          <w:rFonts w:ascii="宋体" w:hAnsi="宋体" w:cs="宋体"/>
          <w:sz w:val="24"/>
          <w:szCs w:val="24"/>
        </w:rPr>
      </w:pPr>
      <w:r>
        <w:rPr>
          <w:rFonts w:hint="eastAsia" w:ascii="宋体" w:hAnsi="宋体" w:cs="宋体"/>
          <w:sz w:val="24"/>
          <w:szCs w:val="24"/>
        </w:rPr>
        <w:t>标签贴板原则上位于料架正面左上角和右侧面右上角；规格为 335mm×2550mm×6mm，安装板外平面与工位器具立柱外平面内移 15mm。底板和面板均采用厚度 1mm 厚铁板。</w:t>
      </w:r>
    </w:p>
    <w:p w14:paraId="3771D3EC">
      <w:pPr>
        <w:pageBreakBefore w:val="0"/>
        <w:kinsoku/>
        <w:wordWrap/>
        <w:overflowPunct/>
        <w:topLinePunct w:val="0"/>
        <w:bidi w:val="0"/>
        <w:snapToGrid w:val="0"/>
        <w:spacing w:line="360" w:lineRule="auto"/>
        <w:ind w:firstLine="540"/>
        <w:contextualSpacing/>
        <w:rPr>
          <w:rFonts w:ascii="宋体" w:hAnsi="宋体" w:cs="宋体"/>
          <w:sz w:val="24"/>
          <w:szCs w:val="24"/>
        </w:rPr>
      </w:pPr>
      <w:r>
        <w:rPr>
          <w:rFonts w:hint="eastAsia" w:ascii="宋体" w:hAnsi="宋体" w:cs="宋体"/>
          <w:sz w:val="24"/>
          <w:szCs w:val="24"/>
        </w:rPr>
        <w:t>器具需要在右前及左后立柱外侧安装RFID标签（商用车提供）</w:t>
      </w:r>
    </w:p>
    <w:p w14:paraId="290CFBD3">
      <w:pPr>
        <w:pageBreakBefore w:val="0"/>
        <w:kinsoku/>
        <w:wordWrap/>
        <w:overflowPunct/>
        <w:topLinePunct w:val="0"/>
        <w:bidi w:val="0"/>
        <w:snapToGrid w:val="0"/>
        <w:spacing w:line="360" w:lineRule="auto"/>
        <w:ind w:firstLine="540"/>
        <w:contextualSpacing/>
        <w:rPr>
          <w:rFonts w:ascii="宋体" w:hAnsi="宋体" w:cs="宋体"/>
          <w:szCs w:val="21"/>
        </w:rPr>
      </w:pPr>
      <w:r>
        <w:rPr>
          <w:rFonts w:ascii="宋体" w:hAnsi="宋体"/>
        </w:rPr>
        <w:drawing>
          <wp:anchor distT="0" distB="0" distL="114300" distR="114300" simplePos="0" relativeHeight="251662336" behindDoc="0" locked="0" layoutInCell="1" allowOverlap="1">
            <wp:simplePos x="0" y="0"/>
            <wp:positionH relativeFrom="margin">
              <wp:align>right</wp:align>
            </wp:positionH>
            <wp:positionV relativeFrom="paragraph">
              <wp:posOffset>193040</wp:posOffset>
            </wp:positionV>
            <wp:extent cx="2543175" cy="2228215"/>
            <wp:effectExtent l="0" t="0" r="1905"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543175" cy="2228215"/>
                    </a:xfrm>
                    <a:prstGeom prst="rect">
                      <a:avLst/>
                    </a:prstGeom>
                    <a:noFill/>
                    <a:ln>
                      <a:noFill/>
                    </a:ln>
                  </pic:spPr>
                </pic:pic>
              </a:graphicData>
            </a:graphic>
          </wp:anchor>
        </w:drawing>
      </w:r>
      <w:r>
        <w:rPr>
          <w:rFonts w:ascii="宋体" w:hAnsi="宋体"/>
        </w:rPr>
        <w:drawing>
          <wp:inline distT="0" distB="0" distL="114300" distR="114300">
            <wp:extent cx="2647950" cy="2345055"/>
            <wp:effectExtent l="0" t="0" r="3810"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1"/>
                    <a:stretch>
                      <a:fillRect/>
                    </a:stretch>
                  </pic:blipFill>
                  <pic:spPr>
                    <a:xfrm>
                      <a:off x="0" y="0"/>
                      <a:ext cx="2647950" cy="2345055"/>
                    </a:xfrm>
                    <a:prstGeom prst="rect">
                      <a:avLst/>
                    </a:prstGeom>
                    <a:noFill/>
                    <a:ln>
                      <a:noFill/>
                    </a:ln>
                  </pic:spPr>
                </pic:pic>
              </a:graphicData>
            </a:graphic>
          </wp:inline>
        </w:drawing>
      </w:r>
      <w:r>
        <w:rPr>
          <w:rFonts w:ascii="宋体" w:hAnsi="宋体"/>
        </w:rPr>
        <w:t xml:space="preserve"> </w:t>
      </w:r>
    </w:p>
    <w:p w14:paraId="0DEEF335">
      <w:pPr>
        <w:pageBreakBefore w:val="0"/>
        <w:kinsoku/>
        <w:wordWrap/>
        <w:overflowPunct/>
        <w:topLinePunct w:val="0"/>
        <w:bidi w:val="0"/>
        <w:snapToGrid w:val="0"/>
        <w:spacing w:line="360" w:lineRule="auto"/>
        <w:ind w:firstLine="420" w:firstLineChars="200"/>
        <w:contextualSpacing/>
        <w:rPr>
          <w:rFonts w:ascii="宋体" w:hAnsi="宋体" w:cs="宋体"/>
          <w:szCs w:val="21"/>
        </w:rPr>
      </w:pPr>
      <w:r>
        <w:drawing>
          <wp:inline distT="0" distB="0" distL="114300" distR="114300">
            <wp:extent cx="5274310" cy="2354580"/>
            <wp:effectExtent l="0" t="0" r="1397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5274310" cy="2354580"/>
                    </a:xfrm>
                    <a:prstGeom prst="rect">
                      <a:avLst/>
                    </a:prstGeom>
                    <a:noFill/>
                    <a:ln>
                      <a:noFill/>
                    </a:ln>
                  </pic:spPr>
                </pic:pic>
              </a:graphicData>
            </a:graphic>
          </wp:inline>
        </w:drawing>
      </w:r>
    </w:p>
    <w:p w14:paraId="36730F4C">
      <w:pPr>
        <w:pageBreakBefore w:val="0"/>
        <w:kinsoku/>
        <w:wordWrap/>
        <w:overflowPunct/>
        <w:topLinePunct w:val="0"/>
        <w:bidi w:val="0"/>
        <w:snapToGrid w:val="0"/>
        <w:spacing w:line="360" w:lineRule="auto"/>
        <w:ind w:firstLine="480" w:firstLineChars="200"/>
        <w:contextualSpacing/>
        <w:rPr>
          <w:rFonts w:ascii="宋体" w:hAnsi="宋体" w:cs="宋体"/>
          <w:sz w:val="24"/>
          <w:szCs w:val="24"/>
        </w:rPr>
      </w:pPr>
      <w:r>
        <w:rPr>
          <w:rFonts w:hint="eastAsia" w:ascii="宋体" w:hAnsi="宋体" w:cs="宋体"/>
          <w:sz w:val="24"/>
          <w:szCs w:val="24"/>
        </w:rPr>
        <w:t>（2）尺寸：专用器具尺寸以实物及图纸为准。</w:t>
      </w:r>
    </w:p>
    <w:p w14:paraId="3707566A">
      <w:pPr>
        <w:pageBreakBefore w:val="0"/>
        <w:kinsoku/>
        <w:wordWrap/>
        <w:overflowPunct/>
        <w:topLinePunct w:val="0"/>
        <w:bidi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（3）器具本体：专用工位器具主体框架金属材料原则上采用</w:t>
      </w:r>
      <w:r>
        <w:rPr>
          <w:rFonts w:ascii="宋体" w:hAnsi="宋体"/>
          <w:sz w:val="24"/>
          <w:szCs w:val="24"/>
          <w:highlight w:val="none"/>
        </w:rPr>
        <w:t>50</w:t>
      </w:r>
      <w:r>
        <w:rPr>
          <w:rFonts w:hint="eastAsia" w:ascii="宋体" w:hAnsi="宋体"/>
          <w:sz w:val="24"/>
          <w:szCs w:val="24"/>
          <w:highlight w:val="none"/>
        </w:rPr>
        <w:t>mm</w:t>
      </w:r>
      <w:r>
        <w:rPr>
          <w:rFonts w:ascii="宋体" w:hAnsi="宋体"/>
          <w:sz w:val="24"/>
          <w:szCs w:val="24"/>
          <w:highlight w:val="none"/>
        </w:rPr>
        <w:t>*50</w:t>
      </w:r>
      <w:r>
        <w:rPr>
          <w:rFonts w:hint="eastAsia" w:ascii="宋体" w:hAnsi="宋体"/>
          <w:sz w:val="24"/>
          <w:szCs w:val="24"/>
          <w:highlight w:val="none"/>
        </w:rPr>
        <w:t>mm</w:t>
      </w:r>
      <w:r>
        <w:rPr>
          <w:rFonts w:ascii="宋体" w:hAnsi="宋体"/>
          <w:sz w:val="24"/>
          <w:szCs w:val="24"/>
          <w:highlight w:val="none"/>
        </w:rPr>
        <w:t>*3</w:t>
      </w:r>
      <w:r>
        <w:rPr>
          <w:rFonts w:hint="eastAsia" w:ascii="宋体" w:hAnsi="宋体"/>
          <w:sz w:val="24"/>
          <w:szCs w:val="24"/>
          <w:highlight w:val="none"/>
        </w:rPr>
        <w:t>mm</w:t>
      </w:r>
      <w:r>
        <w:rPr>
          <w:rFonts w:hint="eastAsia" w:ascii="宋体" w:hAnsi="宋体"/>
          <w:sz w:val="24"/>
          <w:szCs w:val="24"/>
          <w:highlight w:val="none"/>
          <w:lang w:val="en-US" w:eastAsia="zh-CN"/>
        </w:rPr>
        <w:t xml:space="preserve"> </w:t>
      </w:r>
      <w:r>
        <w:rPr>
          <w:rFonts w:hint="eastAsia" w:ascii="宋体" w:hAnsi="宋体"/>
          <w:sz w:val="24"/>
          <w:szCs w:val="24"/>
          <w:highlight w:val="none"/>
        </w:rPr>
        <w:t>Q235、 4</w:t>
      </w:r>
      <w:r>
        <w:rPr>
          <w:rFonts w:ascii="宋体" w:hAnsi="宋体"/>
          <w:sz w:val="24"/>
          <w:szCs w:val="24"/>
          <w:highlight w:val="none"/>
        </w:rPr>
        <w:t>0</w:t>
      </w:r>
      <w:r>
        <w:rPr>
          <w:rFonts w:hint="eastAsia" w:ascii="宋体" w:hAnsi="宋体"/>
          <w:sz w:val="24"/>
          <w:szCs w:val="24"/>
          <w:highlight w:val="none"/>
        </w:rPr>
        <w:t>mm</w:t>
      </w:r>
      <w:r>
        <w:rPr>
          <w:rFonts w:ascii="宋体" w:hAnsi="宋体"/>
          <w:sz w:val="24"/>
          <w:szCs w:val="24"/>
          <w:highlight w:val="none"/>
        </w:rPr>
        <w:t>*40</w:t>
      </w:r>
      <w:r>
        <w:rPr>
          <w:rFonts w:hint="eastAsia" w:ascii="宋体" w:hAnsi="宋体"/>
          <w:sz w:val="24"/>
          <w:szCs w:val="24"/>
          <w:highlight w:val="none"/>
        </w:rPr>
        <w:t>mm</w:t>
      </w:r>
      <w:r>
        <w:rPr>
          <w:rFonts w:ascii="宋体" w:hAnsi="宋体"/>
          <w:sz w:val="24"/>
          <w:szCs w:val="24"/>
          <w:highlight w:val="none"/>
        </w:rPr>
        <w:t>*3</w:t>
      </w:r>
      <w:r>
        <w:rPr>
          <w:rFonts w:hint="eastAsia" w:ascii="宋体" w:hAnsi="宋体"/>
          <w:sz w:val="24"/>
          <w:szCs w:val="24"/>
          <w:highlight w:val="none"/>
          <w:lang w:val="en-US" w:eastAsia="zh-CN"/>
        </w:rPr>
        <w:t xml:space="preserve"> </w:t>
      </w:r>
      <w:r>
        <w:rPr>
          <w:rFonts w:hint="eastAsia" w:ascii="宋体" w:hAnsi="宋体"/>
          <w:sz w:val="24"/>
          <w:szCs w:val="24"/>
          <w:highlight w:val="none"/>
        </w:rPr>
        <w:t>Q235方管以及4</w:t>
      </w:r>
      <w:r>
        <w:rPr>
          <w:rFonts w:ascii="宋体" w:hAnsi="宋体"/>
          <w:sz w:val="24"/>
          <w:szCs w:val="24"/>
          <w:highlight w:val="none"/>
        </w:rPr>
        <w:t>0</w:t>
      </w:r>
      <w:r>
        <w:rPr>
          <w:rFonts w:hint="eastAsia" w:ascii="宋体" w:hAnsi="宋体"/>
          <w:sz w:val="24"/>
          <w:szCs w:val="24"/>
          <w:highlight w:val="none"/>
        </w:rPr>
        <w:t>mm</w:t>
      </w:r>
      <w:r>
        <w:rPr>
          <w:rFonts w:ascii="宋体" w:hAnsi="宋体"/>
          <w:sz w:val="24"/>
          <w:szCs w:val="24"/>
          <w:highlight w:val="none"/>
        </w:rPr>
        <w:t>*40</w:t>
      </w:r>
      <w:r>
        <w:rPr>
          <w:rFonts w:hint="eastAsia" w:ascii="宋体" w:hAnsi="宋体"/>
          <w:sz w:val="24"/>
          <w:szCs w:val="24"/>
          <w:highlight w:val="none"/>
        </w:rPr>
        <w:t>mm</w:t>
      </w:r>
      <w:r>
        <w:rPr>
          <w:rFonts w:ascii="宋体" w:hAnsi="宋体"/>
          <w:sz w:val="24"/>
          <w:szCs w:val="24"/>
          <w:highlight w:val="none"/>
        </w:rPr>
        <w:t>*2</w:t>
      </w:r>
      <w:r>
        <w:rPr>
          <w:rFonts w:hint="eastAsia" w:ascii="宋体" w:hAnsi="宋体"/>
          <w:sz w:val="24"/>
          <w:szCs w:val="24"/>
          <w:highlight w:val="none"/>
        </w:rPr>
        <w:t>mm</w:t>
      </w:r>
      <w:r>
        <w:rPr>
          <w:rFonts w:hint="eastAsia" w:ascii="宋体" w:hAnsi="宋体"/>
          <w:sz w:val="24"/>
          <w:szCs w:val="24"/>
          <w:highlight w:val="none"/>
          <w:lang w:val="en-US" w:eastAsia="zh-CN"/>
        </w:rPr>
        <w:t xml:space="preserve"> </w:t>
      </w:r>
      <w:r>
        <w:rPr>
          <w:rFonts w:ascii="宋体" w:hAnsi="宋体"/>
          <w:sz w:val="24"/>
          <w:szCs w:val="24"/>
          <w:highlight w:val="none"/>
        </w:rPr>
        <w:t>304</w:t>
      </w:r>
      <w:r>
        <w:rPr>
          <w:rFonts w:hint="eastAsia" w:ascii="宋体" w:hAnsi="宋体"/>
          <w:sz w:val="24"/>
          <w:szCs w:val="24"/>
          <w:highlight w:val="none"/>
        </w:rPr>
        <w:t>不锈钢管</w:t>
      </w:r>
    </w:p>
    <w:p w14:paraId="26414BC1">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）焊接要求</w:t>
      </w:r>
    </w:p>
    <w:p w14:paraId="5973843C">
      <w:pPr>
        <w:pageBreakBefore w:val="0"/>
        <w:kinsoku/>
        <w:wordWrap/>
        <w:overflowPunct/>
        <w:topLinePunct w:val="0"/>
        <w:bidi w:val="0"/>
        <w:snapToGrid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•四面</w:t>
      </w:r>
      <w:r>
        <w:rPr>
          <w:rFonts w:ascii="宋体" w:hAnsi="宋体" w:cs="宋体"/>
          <w:kern w:val="0"/>
          <w:sz w:val="24"/>
          <w:szCs w:val="24"/>
        </w:rPr>
        <w:t>满焊</w:t>
      </w:r>
      <w:r>
        <w:rPr>
          <w:rFonts w:hint="eastAsia" w:ascii="宋体" w:hAnsi="宋体" w:cs="宋体"/>
          <w:kern w:val="0"/>
          <w:sz w:val="24"/>
          <w:szCs w:val="24"/>
        </w:rPr>
        <w:t>，</w:t>
      </w:r>
      <w:r>
        <w:rPr>
          <w:rFonts w:ascii="宋体" w:hAnsi="宋体" w:cs="宋体"/>
          <w:kern w:val="0"/>
          <w:sz w:val="24"/>
          <w:szCs w:val="24"/>
        </w:rPr>
        <w:t>接口平齐</w:t>
      </w:r>
      <w:r>
        <w:rPr>
          <w:rFonts w:hint="eastAsia" w:ascii="宋体" w:hAnsi="宋体" w:cs="宋体"/>
          <w:kern w:val="0"/>
          <w:sz w:val="24"/>
          <w:szCs w:val="24"/>
        </w:rPr>
        <w:t>，</w:t>
      </w:r>
      <w:r>
        <w:rPr>
          <w:rFonts w:hint="eastAsia" w:ascii="宋体" w:hAnsi="宋体"/>
          <w:sz w:val="24"/>
          <w:szCs w:val="24"/>
        </w:rPr>
        <w:t>四个脚轮上侧方框采用4</w:t>
      </w:r>
      <w:r>
        <w:rPr>
          <w:rFonts w:ascii="宋体" w:hAnsi="宋体"/>
          <w:sz w:val="24"/>
          <w:szCs w:val="24"/>
        </w:rPr>
        <w:t>5</w:t>
      </w:r>
      <w:r>
        <w:rPr>
          <w:rFonts w:hint="eastAsia" w:ascii="宋体" w:hAnsi="宋体"/>
          <w:sz w:val="24"/>
          <w:szCs w:val="24"/>
        </w:rPr>
        <w:t>度角切割下料焊接</w:t>
      </w:r>
      <w:r>
        <w:rPr>
          <w:rFonts w:ascii="宋体" w:hAnsi="宋体" w:cs="宋体"/>
          <w:kern w:val="0"/>
          <w:sz w:val="24"/>
          <w:szCs w:val="24"/>
        </w:rPr>
        <w:t>；</w:t>
      </w:r>
    </w:p>
    <w:p w14:paraId="546D11E4">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•焊前应做好焊接件的清理工作，用喷砂或其它机械方法去除焊接件表面的铁锈、油污、液体、气割熔渣、毛刺及倒角等；</w:t>
      </w:r>
    </w:p>
    <w:p w14:paraId="3C846F09">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•焊后应清理焊渣、焊瘤、飞溅物等，接口要打磨平直圆滑；</w:t>
      </w:r>
    </w:p>
    <w:p w14:paraId="68F843DB">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•焊缝不允许有焊瘤、裂纹、焊穿、漏焊等缺陷。方管焊接不能留断口，防止空气、水分等进入锈蚀内部；焊缝处无色差</w:t>
      </w:r>
    </w:p>
    <w:p w14:paraId="67033638">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）装配要求</w:t>
      </w:r>
    </w:p>
    <w:p w14:paraId="6A9749A6">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•进行总装配的零部件、标准件、外购件、外协件应该是经过检验或确认合格的件。</w:t>
      </w:r>
    </w:p>
    <w:p w14:paraId="399169A8">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•所有联接件、紧固件必须联接可靠，不得松脱。活动联接必须转动灵活，无卡滞。</w:t>
      </w:r>
    </w:p>
    <w:p w14:paraId="79EF60B6">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•活动联接必须转动灵活，无卡滞；图样未规定润滑要求的，轴与轴套转动处须加注清洁润滑脂。</w:t>
      </w:r>
    </w:p>
    <w:p w14:paraId="5CEC7935">
      <w:pPr>
        <w:pStyle w:val="81"/>
        <w:pageBreakBefore w:val="0"/>
        <w:kinsoku/>
        <w:wordWrap/>
        <w:overflowPunct/>
        <w:topLinePunct w:val="0"/>
        <w:bidi w:val="0"/>
        <w:snapToGrid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•铆接件应牢固、可靠，铆钉头与零部件表面应贴合紧密，所有铆钉应无歪斜、压伤、松动和头部残缺等现象，抽心铆钉伸出长度L≥3mm。</w:t>
      </w:r>
    </w:p>
    <w:p w14:paraId="4FBBFA25">
      <w:pPr>
        <w:pStyle w:val="81"/>
        <w:pageBreakBefore w:val="0"/>
        <w:kinsoku/>
        <w:wordWrap/>
        <w:overflowPunct/>
        <w:topLinePunct w:val="0"/>
        <w:bidi w:val="0"/>
        <w:snapToGrid w:val="0"/>
        <w:spacing w:line="360" w:lineRule="auto"/>
        <w:ind w:firstLine="480"/>
        <w:contextualSpacing/>
        <w:rPr>
          <w:rFonts w:hint="eastAsia" w:ascii="黑体" w:hAnsi="黑体" w:eastAsia="黑体" w:cs="黑体"/>
          <w:b/>
          <w:bCs/>
          <w:sz w:val="28"/>
          <w:szCs w:val="28"/>
          <w:lang w:val="en-US" w:eastAsia="zh-CN"/>
        </w:rPr>
      </w:pPr>
      <w:r>
        <w:rPr>
          <w:rFonts w:hint="eastAsia" w:ascii="宋体" w:hAnsi="宋体" w:cs="宋体"/>
          <w:kern w:val="0"/>
          <w:sz w:val="24"/>
          <w:szCs w:val="24"/>
        </w:rPr>
        <w:t>•凡图样有粘结要求的，粘结前必须对被粘结的金属（或非金属）表面进行除锈、除污、除油，达到黏结要求。</w:t>
      </w:r>
      <w:bookmarkStart w:id="9" w:name="_Toc44953433"/>
      <w:bookmarkStart w:id="10" w:name="_Toc50970650"/>
    </w:p>
    <w:p w14:paraId="7ECFE42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ascii="宋体" w:hAnsi="宋体"/>
          <w:b w:val="0"/>
          <w:sz w:val="32"/>
          <w:szCs w:val="32"/>
        </w:rPr>
      </w:pPr>
      <w:r>
        <w:rPr>
          <w:rFonts w:hint="eastAsia" w:ascii="黑体" w:hAnsi="黑体" w:eastAsia="黑体" w:cs="黑体"/>
          <w:b/>
          <w:bCs/>
          <w:sz w:val="28"/>
          <w:szCs w:val="28"/>
          <w:lang w:val="en-US" w:eastAsia="zh-CN"/>
        </w:rPr>
        <w:t>三、供货范围及要求</w:t>
      </w:r>
      <w:bookmarkEnd w:id="9"/>
      <w:bookmarkEnd w:id="10"/>
    </w:p>
    <w:p w14:paraId="5FA9168C">
      <w:pPr>
        <w:pageBreakBefore w:val="0"/>
        <w:kinsoku/>
        <w:wordWrap/>
        <w:overflowPunct/>
        <w:topLinePunct w:val="0"/>
        <w:bidi w:val="0"/>
        <w:snapToGrid w:val="0"/>
        <w:spacing w:line="360" w:lineRule="auto"/>
        <w:contextualSpacing/>
        <w:rPr>
          <w:rFonts w:ascii="宋体" w:hAnsi="宋体"/>
          <w:b/>
          <w:bCs/>
          <w:sz w:val="24"/>
          <w:szCs w:val="24"/>
        </w:rPr>
      </w:pPr>
      <w:r>
        <w:rPr>
          <w:rFonts w:hint="eastAsia" w:ascii="宋体" w:hAnsi="宋体"/>
          <w:b/>
          <w:bCs/>
          <w:sz w:val="24"/>
          <w:szCs w:val="24"/>
        </w:rPr>
        <w:t>1.供货地点</w:t>
      </w:r>
    </w:p>
    <w:p w14:paraId="0FCDAEE6">
      <w:pPr>
        <w:pageBreakBefore w:val="0"/>
        <w:kinsoku/>
        <w:wordWrap/>
        <w:overflowPunct/>
        <w:topLinePunct w:val="0"/>
        <w:bidi w:val="0"/>
        <w:snapToGrid w:val="0"/>
        <w:spacing w:line="360" w:lineRule="auto"/>
        <w:ind w:firstLine="480" w:firstLineChars="200"/>
        <w:contextualSpacing/>
        <w:rPr>
          <w:rFonts w:ascii="宋体" w:hAnsi="宋体"/>
          <w:sz w:val="24"/>
          <w:szCs w:val="24"/>
          <w:u w:val="single"/>
        </w:rPr>
      </w:pPr>
      <w:r>
        <w:rPr>
          <w:rFonts w:hint="eastAsia" w:ascii="宋体" w:hAnsi="宋体"/>
          <w:sz w:val="24"/>
          <w:szCs w:val="24"/>
          <w:u w:val="none"/>
        </w:rPr>
        <w:t>中国重汽集团济南商用车有限公司或招标人指定地点。</w:t>
      </w:r>
    </w:p>
    <w:p w14:paraId="671A814E">
      <w:pPr>
        <w:pageBreakBefore w:val="0"/>
        <w:kinsoku/>
        <w:wordWrap/>
        <w:overflowPunct/>
        <w:topLinePunct w:val="0"/>
        <w:bidi w:val="0"/>
        <w:snapToGrid w:val="0"/>
        <w:spacing w:line="360" w:lineRule="auto"/>
        <w:contextualSpacing/>
        <w:rPr>
          <w:rFonts w:ascii="宋体" w:hAnsi="宋体"/>
          <w:sz w:val="24"/>
          <w:szCs w:val="24"/>
        </w:rPr>
      </w:pPr>
      <w:r>
        <w:rPr>
          <w:rFonts w:hint="eastAsia" w:ascii="宋体" w:hAnsi="宋体"/>
          <w:b/>
          <w:bCs/>
          <w:sz w:val="24"/>
          <w:szCs w:val="24"/>
        </w:rPr>
        <w:t>2.供货时间</w:t>
      </w:r>
    </w:p>
    <w:p w14:paraId="34C4C0B7">
      <w:pPr>
        <w:pageBreakBefore w:val="0"/>
        <w:kinsoku/>
        <w:wordWrap/>
        <w:overflowPunct/>
        <w:topLinePunct w:val="0"/>
        <w:bidi w:val="0"/>
        <w:snapToGrid w:val="0"/>
        <w:spacing w:line="360" w:lineRule="auto"/>
        <w:ind w:firstLine="480" w:firstLineChars="200"/>
        <w:contextualSpacing/>
        <w:rPr>
          <w:rFonts w:ascii="宋体" w:hAnsi="宋体"/>
          <w:sz w:val="24"/>
          <w:szCs w:val="24"/>
        </w:rPr>
      </w:pPr>
      <w:r>
        <w:rPr>
          <w:rFonts w:hint="eastAsia" w:ascii="宋体" w:hAnsi="宋体"/>
          <w:sz w:val="24"/>
          <w:szCs w:val="24"/>
        </w:rPr>
        <w:t>通知中标后</w:t>
      </w:r>
      <w:r>
        <w:rPr>
          <w:rFonts w:hint="eastAsia" w:ascii="宋体" w:hAnsi="宋体"/>
          <w:sz w:val="24"/>
          <w:szCs w:val="24"/>
          <w:lang w:val="en-US" w:eastAsia="zh-CN"/>
        </w:rPr>
        <w:t>40</w:t>
      </w:r>
      <w:r>
        <w:rPr>
          <w:rFonts w:hint="eastAsia" w:ascii="宋体" w:hAnsi="宋体"/>
          <w:sz w:val="24"/>
          <w:szCs w:val="24"/>
        </w:rPr>
        <w:t>个自然日</w:t>
      </w:r>
      <w:r>
        <w:rPr>
          <w:rFonts w:hint="eastAsia" w:ascii="宋体" w:hAnsi="宋体"/>
          <w:sz w:val="24"/>
          <w:szCs w:val="24"/>
          <w:lang w:val="en-US" w:eastAsia="zh-CN"/>
        </w:rPr>
        <w:t>内</w:t>
      </w:r>
      <w:r>
        <w:rPr>
          <w:rFonts w:ascii="宋体" w:hAnsi="宋体"/>
          <w:sz w:val="24"/>
          <w:szCs w:val="24"/>
        </w:rPr>
        <w:t>。</w:t>
      </w:r>
    </w:p>
    <w:p w14:paraId="0C5A286F">
      <w:pPr>
        <w:pageBreakBefore w:val="0"/>
        <w:kinsoku/>
        <w:wordWrap/>
        <w:overflowPunct/>
        <w:topLinePunct w:val="0"/>
        <w:bidi w:val="0"/>
        <w:snapToGrid w:val="0"/>
        <w:spacing w:line="360" w:lineRule="auto"/>
        <w:contextualSpacing/>
        <w:rPr>
          <w:rFonts w:ascii="宋体" w:hAnsi="宋体"/>
          <w:b/>
          <w:sz w:val="24"/>
          <w:szCs w:val="24"/>
        </w:rPr>
      </w:pPr>
      <w:r>
        <w:rPr>
          <w:rFonts w:hint="eastAsia" w:ascii="宋体" w:hAnsi="宋体"/>
          <w:b/>
          <w:sz w:val="24"/>
          <w:szCs w:val="24"/>
        </w:rPr>
        <w:t>3、项目整体要求</w:t>
      </w:r>
    </w:p>
    <w:p w14:paraId="15B4479E">
      <w:pPr>
        <w:pageBreakBefore w:val="0"/>
        <w:kinsoku/>
        <w:wordWrap/>
        <w:overflowPunct/>
        <w:topLinePunct w:val="0"/>
        <w:bidi w:val="0"/>
        <w:snapToGrid w:val="0"/>
        <w:spacing w:line="360" w:lineRule="auto"/>
        <w:ind w:right="2" w:firstLine="480" w:firstLineChars="200"/>
        <w:contextualSpacing/>
        <w:rPr>
          <w:rFonts w:ascii="宋体" w:hAnsi="宋体"/>
          <w:b/>
          <w:color w:val="000000"/>
          <w:sz w:val="24"/>
          <w:szCs w:val="24"/>
        </w:rPr>
      </w:pPr>
      <w:r>
        <w:rPr>
          <w:rFonts w:hint="eastAsia" w:ascii="宋体" w:hAnsi="宋体"/>
          <w:color w:val="000000"/>
          <w:sz w:val="24"/>
          <w:szCs w:val="24"/>
        </w:rPr>
        <w:t>3.1招标人提供数模文件或到中国重汽济南商用车有限公司进行产品样件</w:t>
      </w:r>
      <w:r>
        <w:rPr>
          <w:rFonts w:ascii="宋体" w:hAnsi="宋体"/>
          <w:color w:val="000000"/>
          <w:sz w:val="24"/>
          <w:szCs w:val="24"/>
        </w:rPr>
        <w:t>测量</w:t>
      </w:r>
      <w:r>
        <w:rPr>
          <w:rFonts w:hint="eastAsia" w:ascii="宋体" w:hAnsi="宋体"/>
          <w:color w:val="000000"/>
          <w:sz w:val="24"/>
          <w:szCs w:val="24"/>
        </w:rPr>
        <w:t>。</w:t>
      </w:r>
      <w:r>
        <w:rPr>
          <w:rFonts w:ascii="宋体" w:hAnsi="宋体"/>
          <w:b/>
          <w:color w:val="000000"/>
          <w:sz w:val="24"/>
          <w:szCs w:val="24"/>
        </w:rPr>
        <w:t xml:space="preserve"> </w:t>
      </w:r>
    </w:p>
    <w:p w14:paraId="678ABE5D">
      <w:pPr>
        <w:pageBreakBefore w:val="0"/>
        <w:kinsoku/>
        <w:wordWrap/>
        <w:overflowPunct/>
        <w:topLinePunct w:val="0"/>
        <w:bidi w:val="0"/>
        <w:snapToGrid w:val="0"/>
        <w:spacing w:line="360" w:lineRule="auto"/>
        <w:ind w:right="2" w:firstLine="480" w:firstLineChars="200"/>
        <w:contextualSpacing/>
        <w:rPr>
          <w:rFonts w:ascii="宋体" w:hAnsi="宋体"/>
          <w:color w:val="000000"/>
          <w:sz w:val="24"/>
          <w:szCs w:val="24"/>
        </w:rPr>
      </w:pPr>
      <w:r>
        <w:rPr>
          <w:rFonts w:hint="eastAsia" w:ascii="宋体" w:hAnsi="宋体"/>
          <w:color w:val="000000"/>
          <w:sz w:val="24"/>
          <w:szCs w:val="24"/>
        </w:rPr>
        <w:t>3.2</w:t>
      </w:r>
      <w:r>
        <w:rPr>
          <w:rFonts w:hint="eastAsia" w:ascii="宋体" w:hAnsi="宋体"/>
          <w:sz w:val="24"/>
          <w:szCs w:val="24"/>
        </w:rPr>
        <w:t>通知中标后2个自然日内，</w:t>
      </w:r>
      <w:r>
        <w:rPr>
          <w:rFonts w:hint="eastAsia" w:ascii="宋体" w:hAnsi="宋体"/>
          <w:color w:val="000000"/>
          <w:sz w:val="24"/>
          <w:szCs w:val="24"/>
        </w:rPr>
        <w:t>投标人需完成详细进度计划，并提交至招标人进行审核；</w:t>
      </w:r>
    </w:p>
    <w:p w14:paraId="4E0B5DD2">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3.3投标人每周一提交上周工作进度报告，详细说明该周工作完成的情况并附上相应的器具制作进展图片。</w:t>
      </w:r>
    </w:p>
    <w:p w14:paraId="753126CD">
      <w:pPr>
        <w:pageBreakBefore w:val="0"/>
        <w:kinsoku/>
        <w:wordWrap/>
        <w:overflowPunct/>
        <w:topLinePunct w:val="0"/>
        <w:bidi w:val="0"/>
        <w:snapToGrid w:val="0"/>
        <w:spacing w:line="360" w:lineRule="auto"/>
        <w:ind w:right="2" w:firstLine="480" w:firstLineChars="200"/>
        <w:contextualSpacing/>
        <w:rPr>
          <w:rFonts w:ascii="宋体" w:hAnsi="宋体"/>
          <w:color w:val="000000"/>
          <w:sz w:val="24"/>
          <w:szCs w:val="24"/>
        </w:rPr>
      </w:pPr>
      <w:r>
        <w:rPr>
          <w:rFonts w:hint="eastAsia" w:ascii="宋体" w:hAnsi="宋体"/>
          <w:color w:val="000000"/>
          <w:sz w:val="24"/>
          <w:szCs w:val="24"/>
        </w:rPr>
        <w:t>3.4推进计划要受控，招标人有权根据项目推进进度确定、</w:t>
      </w:r>
      <w:r>
        <w:rPr>
          <w:rFonts w:ascii="宋体" w:hAnsi="宋体"/>
          <w:color w:val="000000"/>
          <w:sz w:val="24"/>
          <w:szCs w:val="24"/>
        </w:rPr>
        <w:t>修改</w:t>
      </w:r>
      <w:r>
        <w:rPr>
          <w:rFonts w:hint="eastAsia" w:ascii="宋体" w:hAnsi="宋体"/>
          <w:color w:val="000000"/>
          <w:sz w:val="24"/>
          <w:szCs w:val="24"/>
        </w:rPr>
        <w:t>先期采购品种、数量、交货地点。</w:t>
      </w:r>
      <w:bookmarkStart w:id="11" w:name="_Toc44953434"/>
    </w:p>
    <w:p w14:paraId="1D433CC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bookmarkStart w:id="12" w:name="_Toc50970651"/>
      <w:r>
        <w:rPr>
          <w:rFonts w:hint="eastAsia" w:ascii="黑体" w:hAnsi="黑体" w:eastAsia="黑体" w:cs="黑体"/>
          <w:b/>
          <w:bCs/>
          <w:sz w:val="28"/>
          <w:szCs w:val="28"/>
          <w:lang w:val="en-US" w:eastAsia="zh-CN"/>
        </w:rPr>
        <w:t>四、服务范围及要求</w:t>
      </w:r>
      <w:bookmarkEnd w:id="11"/>
      <w:bookmarkEnd w:id="12"/>
    </w:p>
    <w:p w14:paraId="3D81736C">
      <w:pPr>
        <w:pageBreakBefore w:val="0"/>
        <w:kinsoku/>
        <w:wordWrap/>
        <w:overflowPunct/>
        <w:topLinePunct w:val="0"/>
        <w:bidi w:val="0"/>
        <w:snapToGrid w:val="0"/>
        <w:spacing w:line="360" w:lineRule="auto"/>
        <w:ind w:right="2" w:firstLine="482" w:firstLineChars="200"/>
        <w:contextualSpacing/>
        <w:rPr>
          <w:rFonts w:ascii="宋体" w:hAnsi="宋体"/>
          <w:b/>
          <w:sz w:val="24"/>
          <w:szCs w:val="24"/>
        </w:rPr>
      </w:pPr>
      <w:bookmarkStart w:id="13" w:name="_Toc519526980"/>
      <w:r>
        <w:rPr>
          <w:rFonts w:ascii="宋体" w:hAnsi="宋体"/>
          <w:b/>
          <w:sz w:val="24"/>
          <w:szCs w:val="24"/>
        </w:rPr>
        <w:t>1</w:t>
      </w:r>
      <w:r>
        <w:rPr>
          <w:rFonts w:hint="eastAsia" w:ascii="宋体" w:hAnsi="宋体"/>
          <w:b/>
          <w:sz w:val="24"/>
          <w:szCs w:val="24"/>
        </w:rPr>
        <w:t>.器具制作</w:t>
      </w:r>
      <w:bookmarkEnd w:id="13"/>
    </w:p>
    <w:p w14:paraId="2A3DEEF3">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（1）图纸评审、会签完成后，投标人可进行器具实物制作（通用器具</w:t>
      </w:r>
      <w:r>
        <w:rPr>
          <w:rFonts w:ascii="宋体" w:hAnsi="宋体"/>
          <w:sz w:val="24"/>
          <w:szCs w:val="24"/>
        </w:rPr>
        <w:t>不需要</w:t>
      </w:r>
      <w:r>
        <w:rPr>
          <w:rFonts w:hint="eastAsia" w:ascii="宋体" w:hAnsi="宋体"/>
          <w:sz w:val="24"/>
          <w:szCs w:val="24"/>
        </w:rPr>
        <w:t>会签，</w:t>
      </w:r>
      <w:r>
        <w:rPr>
          <w:rFonts w:ascii="宋体" w:hAnsi="宋体"/>
          <w:sz w:val="24"/>
          <w:szCs w:val="24"/>
        </w:rPr>
        <w:t>可直接制作</w:t>
      </w:r>
      <w:r>
        <w:rPr>
          <w:rFonts w:hint="eastAsia" w:ascii="宋体" w:hAnsi="宋体"/>
          <w:sz w:val="24"/>
          <w:szCs w:val="24"/>
        </w:rPr>
        <w:t>），每一种器具首个样件投标人必须及时交付至招标人进行评审确认，评审内容包括：器具的质量、规格、性能、外观是否满足技术协议、合同规定的要求。评审会签确认合格后，投标人可进行批量制作。</w:t>
      </w:r>
    </w:p>
    <w:p w14:paraId="501412F0">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（2）投标人在设计、制作过程中发现与招标人要求不符或确实达不到要求的及其它存在的技术问题，应及时以书面形式通知招标人。</w:t>
      </w:r>
    </w:p>
    <w:p w14:paraId="00211F4F">
      <w:pPr>
        <w:pageBreakBefore w:val="0"/>
        <w:kinsoku/>
        <w:wordWrap/>
        <w:overflowPunct/>
        <w:topLinePunct w:val="0"/>
        <w:bidi w:val="0"/>
        <w:snapToGrid w:val="0"/>
        <w:spacing w:line="360" w:lineRule="auto"/>
        <w:ind w:right="2" w:firstLine="482" w:firstLineChars="200"/>
        <w:contextualSpacing/>
        <w:rPr>
          <w:rFonts w:ascii="宋体" w:hAnsi="宋体"/>
          <w:b/>
          <w:sz w:val="24"/>
          <w:szCs w:val="24"/>
        </w:rPr>
      </w:pPr>
      <w:bookmarkStart w:id="14" w:name="_Toc519526981"/>
      <w:r>
        <w:rPr>
          <w:rFonts w:ascii="宋体" w:hAnsi="宋体"/>
          <w:b/>
          <w:sz w:val="24"/>
          <w:szCs w:val="24"/>
        </w:rPr>
        <w:t>2</w:t>
      </w:r>
      <w:r>
        <w:rPr>
          <w:rFonts w:hint="eastAsia" w:ascii="宋体" w:hAnsi="宋体"/>
          <w:b/>
          <w:sz w:val="24"/>
          <w:szCs w:val="24"/>
        </w:rPr>
        <w:t>.器具运输</w:t>
      </w:r>
      <w:bookmarkEnd w:id="14"/>
    </w:p>
    <w:p w14:paraId="14111F3E">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（1）清单：投标人需提供发货总清单方便招标人核对，提供分箱发货清单方便核对；提供到货验收单以便记录货物状态。</w:t>
      </w:r>
    </w:p>
    <w:p w14:paraId="01B6850F">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（2）投标人应考虑所运输器具、工装稳固牢靠，长途运输，防潮、防雨、防锈、防震、防粗暴装卸，能整体吊装和叉运，确保安全及完整；包装箱体积要符合道路运输要求。</w:t>
      </w:r>
    </w:p>
    <w:p w14:paraId="1704D37B">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（3）投标人负责将产品安全运至合同中指定的交货地点并负责与装卸搬运相关的一切事项。投标人应选择符合合同目的的运输方式，并提前两个工作日告知招标人预计到达时间。</w:t>
      </w:r>
    </w:p>
    <w:p w14:paraId="658B57AD">
      <w:pPr>
        <w:pageBreakBefore w:val="0"/>
        <w:kinsoku/>
        <w:wordWrap/>
        <w:overflowPunct/>
        <w:topLinePunct w:val="0"/>
        <w:bidi w:val="0"/>
        <w:snapToGrid w:val="0"/>
        <w:spacing w:line="360" w:lineRule="auto"/>
        <w:ind w:right="2" w:firstLine="482" w:firstLineChars="200"/>
        <w:contextualSpacing/>
        <w:rPr>
          <w:rFonts w:ascii="宋体" w:hAnsi="宋体"/>
          <w:b/>
          <w:sz w:val="24"/>
          <w:szCs w:val="24"/>
        </w:rPr>
      </w:pPr>
      <w:bookmarkStart w:id="15" w:name="_Toc519526982"/>
      <w:r>
        <w:rPr>
          <w:rFonts w:ascii="宋体" w:hAnsi="宋体"/>
          <w:b/>
          <w:sz w:val="24"/>
          <w:szCs w:val="24"/>
        </w:rPr>
        <w:t>3</w:t>
      </w:r>
      <w:r>
        <w:rPr>
          <w:rFonts w:hint="eastAsia" w:ascii="宋体" w:hAnsi="宋体"/>
          <w:b/>
          <w:sz w:val="24"/>
          <w:szCs w:val="24"/>
        </w:rPr>
        <w:t>.器具交货</w:t>
      </w:r>
      <w:bookmarkEnd w:id="15"/>
    </w:p>
    <w:p w14:paraId="3F409608">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（1）招标人、投标人双方代表共同目检器具外观、清点器具数量是否与发货单一致，填入《到货验收单》。</w:t>
      </w:r>
    </w:p>
    <w:p w14:paraId="3C5412DC">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（2）器具质量和数量的检查按发运清单核对并记入《到货验收单》。</w:t>
      </w:r>
    </w:p>
    <w:p w14:paraId="482C0547">
      <w:pPr>
        <w:pageBreakBefore w:val="0"/>
        <w:kinsoku/>
        <w:wordWrap/>
        <w:overflowPunct/>
        <w:topLinePunct w:val="0"/>
        <w:bidi w:val="0"/>
        <w:snapToGrid w:val="0"/>
        <w:spacing w:line="360" w:lineRule="auto"/>
        <w:ind w:firstLine="480" w:firstLineChars="200"/>
        <w:contextualSpacing/>
        <w:rPr>
          <w:rFonts w:ascii="宋体" w:hAnsi="宋体"/>
          <w:sz w:val="24"/>
          <w:szCs w:val="24"/>
        </w:rPr>
      </w:pPr>
      <w:r>
        <w:rPr>
          <w:rFonts w:hint="eastAsia" w:ascii="宋体" w:hAnsi="宋体"/>
          <w:sz w:val="24"/>
          <w:szCs w:val="24"/>
        </w:rPr>
        <w:t>（3）专用工位器具需提供作业指导文件。</w:t>
      </w:r>
    </w:p>
    <w:p w14:paraId="33805E65">
      <w:pPr>
        <w:pageBreakBefore w:val="0"/>
        <w:kinsoku/>
        <w:wordWrap/>
        <w:overflowPunct/>
        <w:topLinePunct w:val="0"/>
        <w:bidi w:val="0"/>
        <w:snapToGrid w:val="0"/>
        <w:spacing w:line="360" w:lineRule="auto"/>
        <w:ind w:right="2" w:firstLine="482" w:firstLineChars="200"/>
        <w:contextualSpacing/>
        <w:rPr>
          <w:rFonts w:ascii="宋体" w:hAnsi="宋体"/>
          <w:b/>
          <w:sz w:val="24"/>
          <w:szCs w:val="24"/>
        </w:rPr>
      </w:pPr>
      <w:r>
        <w:rPr>
          <w:rFonts w:ascii="宋体" w:hAnsi="宋体"/>
          <w:b/>
          <w:sz w:val="24"/>
          <w:szCs w:val="24"/>
        </w:rPr>
        <w:t>4</w:t>
      </w:r>
      <w:r>
        <w:rPr>
          <w:rFonts w:hint="eastAsia" w:ascii="宋体" w:hAnsi="宋体"/>
          <w:b/>
          <w:sz w:val="24"/>
          <w:szCs w:val="24"/>
        </w:rPr>
        <w:t>.器具评审验收</w:t>
      </w:r>
    </w:p>
    <w:p w14:paraId="38C20E0A">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（1）投标人以书面信函通知招标人，验收前三天书面提交工位器具的最终版清单。经招标人确认达到预验收条件后即通知投标人组织人员验收，招标人派相应人员参加。</w:t>
      </w:r>
    </w:p>
    <w:p w14:paraId="6E0D9B59">
      <w:pPr>
        <w:pageBreakBefore w:val="0"/>
        <w:kinsoku/>
        <w:wordWrap/>
        <w:overflowPunct/>
        <w:topLinePunct w:val="0"/>
        <w:bidi w:val="0"/>
        <w:snapToGrid w:val="0"/>
        <w:spacing w:line="360" w:lineRule="auto"/>
        <w:ind w:firstLine="480" w:firstLineChars="200"/>
        <w:contextualSpacing/>
        <w:rPr>
          <w:rFonts w:ascii="宋体" w:hAnsi="宋体"/>
          <w:sz w:val="24"/>
          <w:szCs w:val="24"/>
          <w:u w:val="single"/>
        </w:rPr>
      </w:pPr>
      <w:r>
        <w:rPr>
          <w:rFonts w:hint="eastAsia" w:ascii="宋体" w:hAnsi="宋体"/>
          <w:sz w:val="24"/>
          <w:szCs w:val="24"/>
        </w:rPr>
        <w:t>（2）验收地点：中国重汽集团济南商用车有限公司或招标人指定地点。</w:t>
      </w:r>
    </w:p>
    <w:p w14:paraId="253E2DF5">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（3）验收内容：验收以技术协议及合同（含变更）、图纸方案、投标文件（含询标答疑）、会签纪要等文件为依据进行。主要</w:t>
      </w:r>
      <w:r>
        <w:rPr>
          <w:rFonts w:ascii="宋体" w:hAnsi="宋体"/>
          <w:sz w:val="24"/>
          <w:szCs w:val="24"/>
        </w:rPr>
        <w:t>验收内容</w:t>
      </w:r>
      <w:r>
        <w:rPr>
          <w:rFonts w:hint="eastAsia" w:ascii="宋体" w:hAnsi="宋体"/>
          <w:sz w:val="24"/>
          <w:szCs w:val="24"/>
        </w:rPr>
        <w:t>：工位器具种类、结构</w:t>
      </w:r>
      <w:r>
        <w:rPr>
          <w:rFonts w:ascii="宋体" w:hAnsi="宋体"/>
          <w:sz w:val="24"/>
          <w:szCs w:val="24"/>
        </w:rPr>
        <w:t>、</w:t>
      </w:r>
      <w:r>
        <w:rPr>
          <w:rFonts w:hint="eastAsia" w:ascii="宋体" w:hAnsi="宋体"/>
          <w:sz w:val="24"/>
          <w:szCs w:val="24"/>
        </w:rPr>
        <w:t>数量、主要</w:t>
      </w:r>
      <w:r>
        <w:rPr>
          <w:rFonts w:ascii="宋体" w:hAnsi="宋体"/>
          <w:sz w:val="24"/>
          <w:szCs w:val="24"/>
        </w:rPr>
        <w:t>零部件、重量、质量、</w:t>
      </w:r>
      <w:r>
        <w:rPr>
          <w:rFonts w:hint="eastAsia" w:ascii="宋体" w:hAnsi="宋体"/>
          <w:sz w:val="24"/>
          <w:szCs w:val="24"/>
        </w:rPr>
        <w:t>焊接</w:t>
      </w:r>
      <w:r>
        <w:rPr>
          <w:rFonts w:ascii="宋体" w:hAnsi="宋体"/>
          <w:sz w:val="24"/>
          <w:szCs w:val="24"/>
        </w:rPr>
        <w:t>、装配、喷涂</w:t>
      </w:r>
      <w:r>
        <w:rPr>
          <w:rFonts w:hint="eastAsia" w:ascii="宋体" w:hAnsi="宋体"/>
          <w:sz w:val="24"/>
          <w:szCs w:val="24"/>
        </w:rPr>
        <w:t>等</w:t>
      </w:r>
      <w:r>
        <w:rPr>
          <w:rFonts w:ascii="宋体" w:hAnsi="宋体"/>
          <w:sz w:val="24"/>
          <w:szCs w:val="24"/>
        </w:rPr>
        <w:t>。</w:t>
      </w:r>
    </w:p>
    <w:p w14:paraId="63ABA1D6">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（4）投标人提供相应的验收用的检测工量具和仪器，器具预验收后，由双方授权代表签署预验收报告书。</w:t>
      </w:r>
    </w:p>
    <w:p w14:paraId="10F38843">
      <w:pPr>
        <w:pageBreakBefore w:val="0"/>
        <w:kinsoku/>
        <w:wordWrap/>
        <w:overflowPunct/>
        <w:topLinePunct w:val="0"/>
        <w:bidi w:val="0"/>
        <w:snapToGrid w:val="0"/>
        <w:spacing w:line="360" w:lineRule="auto"/>
        <w:ind w:right="2" w:firstLine="482" w:firstLineChars="200"/>
        <w:contextualSpacing/>
        <w:rPr>
          <w:rFonts w:ascii="宋体" w:hAnsi="宋体"/>
          <w:b/>
          <w:sz w:val="24"/>
          <w:szCs w:val="24"/>
        </w:rPr>
      </w:pPr>
      <w:bookmarkStart w:id="16" w:name="_Toc519526988"/>
      <w:bookmarkStart w:id="17" w:name="_Toc26857"/>
      <w:bookmarkStart w:id="18" w:name="_Toc12351"/>
      <w:bookmarkStart w:id="19" w:name="_Toc339268557"/>
      <w:r>
        <w:rPr>
          <w:rFonts w:ascii="宋体" w:hAnsi="宋体"/>
          <w:b/>
          <w:sz w:val="24"/>
          <w:szCs w:val="24"/>
        </w:rPr>
        <w:t>5</w:t>
      </w:r>
      <w:r>
        <w:rPr>
          <w:rFonts w:hint="eastAsia" w:ascii="宋体" w:hAnsi="宋体"/>
          <w:b/>
          <w:sz w:val="24"/>
          <w:szCs w:val="24"/>
        </w:rPr>
        <w:t>.质保及售后服务</w:t>
      </w:r>
      <w:bookmarkEnd w:id="16"/>
      <w:bookmarkEnd w:id="17"/>
    </w:p>
    <w:p w14:paraId="00D24E5F">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（1）投标人在招标人现场调试阶段，须协助招标人技术及物流人员进行器具的使用指导及问题解决。</w:t>
      </w:r>
    </w:p>
    <w:p w14:paraId="13301F18">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（2）</w:t>
      </w:r>
      <w:r>
        <w:rPr>
          <w:rFonts w:ascii="宋体" w:hAnsi="宋体"/>
          <w:sz w:val="24"/>
          <w:szCs w:val="24"/>
        </w:rPr>
        <w:t>工位器具质保期为</w:t>
      </w:r>
      <w:r>
        <w:rPr>
          <w:rFonts w:hint="eastAsia" w:ascii="宋体" w:hAnsi="宋体"/>
          <w:sz w:val="24"/>
          <w:szCs w:val="24"/>
        </w:rPr>
        <w:t>1年</w:t>
      </w:r>
      <w:r>
        <w:rPr>
          <w:rFonts w:ascii="宋体" w:hAnsi="宋体"/>
          <w:sz w:val="24"/>
          <w:szCs w:val="24"/>
        </w:rPr>
        <w:t>。</w:t>
      </w:r>
    </w:p>
    <w:p w14:paraId="59773CE3">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（3）投标人</w:t>
      </w:r>
      <w:r>
        <w:rPr>
          <w:rFonts w:ascii="宋体" w:hAnsi="宋体"/>
          <w:sz w:val="24"/>
          <w:szCs w:val="24"/>
        </w:rPr>
        <w:t>按照合同约定对质保期内的易损件</w:t>
      </w:r>
      <w:r>
        <w:rPr>
          <w:rFonts w:hint="eastAsia" w:ascii="宋体" w:hAnsi="宋体"/>
          <w:sz w:val="24"/>
          <w:szCs w:val="24"/>
        </w:rPr>
        <w:t>、</w:t>
      </w:r>
      <w:r>
        <w:rPr>
          <w:rFonts w:ascii="宋体" w:hAnsi="宋体"/>
          <w:sz w:val="24"/>
          <w:szCs w:val="24"/>
        </w:rPr>
        <w:t>质保许诺</w:t>
      </w:r>
      <w:r>
        <w:rPr>
          <w:rFonts w:hint="eastAsia" w:ascii="宋体" w:hAnsi="宋体"/>
          <w:sz w:val="24"/>
          <w:szCs w:val="24"/>
        </w:rPr>
        <w:t>进行无偿维修</w:t>
      </w:r>
      <w:bookmarkEnd w:id="18"/>
      <w:bookmarkEnd w:id="19"/>
      <w:r>
        <w:rPr>
          <w:rFonts w:hint="eastAsia" w:ascii="宋体" w:hAnsi="宋体"/>
          <w:sz w:val="24"/>
          <w:szCs w:val="24"/>
        </w:rPr>
        <w:t>、</w:t>
      </w:r>
      <w:r>
        <w:rPr>
          <w:rFonts w:ascii="宋体" w:hAnsi="宋体"/>
          <w:sz w:val="24"/>
          <w:szCs w:val="24"/>
        </w:rPr>
        <w:t>维护</w:t>
      </w:r>
      <w:r>
        <w:rPr>
          <w:rFonts w:hint="eastAsia" w:ascii="宋体" w:hAnsi="宋体"/>
          <w:sz w:val="24"/>
          <w:szCs w:val="24"/>
        </w:rPr>
        <w:t>、更换，并提供相应购买发票，不能</w:t>
      </w:r>
      <w:r>
        <w:rPr>
          <w:rFonts w:ascii="宋体" w:hAnsi="宋体"/>
          <w:sz w:val="24"/>
          <w:szCs w:val="24"/>
        </w:rPr>
        <w:t>影响招标人使用</w:t>
      </w:r>
      <w:r>
        <w:rPr>
          <w:rFonts w:hint="eastAsia" w:ascii="宋体" w:hAnsi="宋体"/>
          <w:sz w:val="24"/>
          <w:szCs w:val="24"/>
        </w:rPr>
        <w:t>；投标人</w:t>
      </w:r>
      <w:r>
        <w:rPr>
          <w:rFonts w:ascii="宋体" w:hAnsi="宋体"/>
          <w:sz w:val="24"/>
          <w:szCs w:val="24"/>
        </w:rPr>
        <w:t>在</w:t>
      </w:r>
      <w:r>
        <w:rPr>
          <w:rFonts w:hint="eastAsia" w:ascii="宋体" w:hAnsi="宋体"/>
          <w:sz w:val="24"/>
          <w:szCs w:val="24"/>
        </w:rPr>
        <w:t>质保期内至少做</w:t>
      </w:r>
      <w:r>
        <w:rPr>
          <w:rFonts w:ascii="宋体" w:hAnsi="宋体"/>
          <w:sz w:val="24"/>
          <w:szCs w:val="24"/>
        </w:rPr>
        <w:t>一次</w:t>
      </w:r>
      <w:r>
        <w:rPr>
          <w:rFonts w:hint="eastAsia" w:ascii="宋体" w:hAnsi="宋体"/>
          <w:sz w:val="24"/>
          <w:szCs w:val="24"/>
        </w:rPr>
        <w:t>维护处理</w:t>
      </w:r>
      <w:r>
        <w:rPr>
          <w:rFonts w:ascii="宋体" w:hAnsi="宋体"/>
          <w:sz w:val="24"/>
          <w:szCs w:val="24"/>
        </w:rPr>
        <w:t>达到目视化要求</w:t>
      </w:r>
      <w:r>
        <w:rPr>
          <w:rFonts w:hint="eastAsia" w:ascii="宋体" w:hAnsi="宋体"/>
          <w:sz w:val="24"/>
          <w:szCs w:val="24"/>
        </w:rPr>
        <w:t>；</w:t>
      </w:r>
      <w:r>
        <w:rPr>
          <w:rFonts w:ascii="宋体" w:hAnsi="宋体"/>
          <w:sz w:val="24"/>
          <w:szCs w:val="24"/>
        </w:rPr>
        <w:t xml:space="preserve"> </w:t>
      </w:r>
    </w:p>
    <w:p w14:paraId="226CC0AC">
      <w:pPr>
        <w:pageBreakBefore w:val="0"/>
        <w:kinsoku/>
        <w:wordWrap/>
        <w:overflowPunct/>
        <w:topLinePunct w:val="0"/>
        <w:bidi w:val="0"/>
        <w:snapToGrid w:val="0"/>
        <w:spacing w:line="360" w:lineRule="auto"/>
        <w:ind w:right="2" w:firstLine="480" w:firstLineChars="200"/>
        <w:contextualSpacing/>
        <w:rPr>
          <w:rFonts w:ascii="宋体" w:hAnsi="宋体"/>
          <w:sz w:val="24"/>
          <w:szCs w:val="24"/>
        </w:rPr>
      </w:pPr>
      <w:r>
        <w:rPr>
          <w:rFonts w:hint="eastAsia" w:ascii="宋体" w:hAnsi="宋体"/>
          <w:sz w:val="24"/>
          <w:szCs w:val="24"/>
        </w:rPr>
        <w:t>（4）质保期外，投标人有义务解答招标人所提出的技术问题并提供技术支持，可提供优质的售后服务及优惠的备件服务。</w:t>
      </w:r>
      <w:bookmarkStart w:id="20" w:name="_Toc24066"/>
    </w:p>
    <w:bookmarkEnd w:id="7"/>
    <w:bookmarkEnd w:id="20"/>
    <w:p w14:paraId="44420CB0">
      <w:pPr>
        <w:pageBreakBefore w:val="0"/>
        <w:kinsoku/>
        <w:wordWrap/>
        <w:overflowPunct/>
        <w:topLinePunct w:val="0"/>
        <w:bidi w:val="0"/>
        <w:snapToGrid w:val="0"/>
        <w:spacing w:line="360" w:lineRule="auto"/>
        <w:contextualSpacing/>
        <w:rPr>
          <w:rFonts w:ascii="宋体" w:hAnsi="宋体"/>
          <w:sz w:val="24"/>
          <w:szCs w:val="24"/>
        </w:rPr>
      </w:pPr>
    </w:p>
    <w:p w14:paraId="49C6F8B1">
      <w:pPr>
        <w:pageBreakBefore w:val="0"/>
        <w:kinsoku/>
        <w:wordWrap/>
        <w:overflowPunct/>
        <w:topLinePunct w:val="0"/>
        <w:bidi w:val="0"/>
        <w:snapToGrid w:val="0"/>
        <w:spacing w:line="360" w:lineRule="auto"/>
        <w:contextualSpacing/>
        <w:rPr>
          <w:sz w:val="24"/>
          <w:szCs w:val="24"/>
        </w:rPr>
      </w:pPr>
      <w:r>
        <w:rPr>
          <w:rFonts w:hint="eastAsia"/>
          <w:sz w:val="24"/>
          <w:szCs w:val="24"/>
        </w:rPr>
        <w:t>附件：参考方案</w:t>
      </w:r>
    </w:p>
    <w:p w14:paraId="442161A7">
      <w:pPr>
        <w:pageBreakBefore w:val="0"/>
        <w:widowControl/>
        <w:kinsoku/>
        <w:wordWrap/>
        <w:overflowPunct/>
        <w:topLinePunct w:val="0"/>
        <w:bidi w:val="0"/>
        <w:spacing w:line="360" w:lineRule="auto"/>
      </w:pPr>
    </w:p>
    <w:p w14:paraId="5EA5CF6C">
      <w:pPr>
        <w:pageBreakBefore w:val="0"/>
        <w:kinsoku/>
        <w:wordWrap/>
        <w:overflowPunct/>
        <w:topLinePunct w:val="0"/>
        <w:bidi w:val="0"/>
        <w:snapToGrid w:val="0"/>
        <w:spacing w:line="360" w:lineRule="auto"/>
        <w:contextualSpacing/>
      </w:pPr>
    </w:p>
    <w:p w14:paraId="7FAB803C">
      <w:pPr>
        <w:pageBreakBefore w:val="0"/>
        <w:kinsoku/>
        <w:wordWrap/>
        <w:overflowPunct/>
        <w:topLinePunct w:val="0"/>
        <w:bidi w:val="0"/>
        <w:snapToGrid w:val="0"/>
        <w:spacing w:line="360" w:lineRule="auto"/>
        <w:contextualSpacing/>
      </w:pPr>
    </w:p>
    <w:p w14:paraId="56985787">
      <w:pPr>
        <w:pageBreakBefore w:val="0"/>
        <w:widowControl/>
        <w:kinsoku/>
        <w:wordWrap/>
        <w:overflowPunct/>
        <w:topLinePunct w:val="0"/>
        <w:bidi w:val="0"/>
        <w:spacing w:line="360" w:lineRule="auto"/>
      </w:pPr>
      <w:r>
        <w:br w:type="page"/>
      </w:r>
      <w:r>
        <w:rPr>
          <w:rFonts w:hint="eastAsia"/>
          <w:sz w:val="24"/>
          <w:szCs w:val="24"/>
        </w:rPr>
        <w:t>附：器具方案</w:t>
      </w:r>
    </w:p>
    <w:p w14:paraId="10678C09">
      <w:pPr>
        <w:pageBreakBefore w:val="0"/>
        <w:kinsoku/>
        <w:wordWrap/>
        <w:overflowPunct/>
        <w:topLinePunct w:val="0"/>
        <w:bidi w:val="0"/>
        <w:snapToGrid w:val="0"/>
        <w:spacing w:line="360" w:lineRule="auto"/>
        <w:contextualSpacing/>
      </w:pPr>
      <w:r>
        <w:drawing>
          <wp:inline distT="0" distB="0" distL="114300" distR="114300">
            <wp:extent cx="5495925" cy="2833370"/>
            <wp:effectExtent l="0" t="0" r="5715" b="127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3"/>
                    <a:stretch>
                      <a:fillRect/>
                    </a:stretch>
                  </pic:blipFill>
                  <pic:spPr>
                    <a:xfrm>
                      <a:off x="0" y="0"/>
                      <a:ext cx="5495925" cy="2833370"/>
                    </a:xfrm>
                    <a:prstGeom prst="rect">
                      <a:avLst/>
                    </a:prstGeom>
                    <a:noFill/>
                    <a:ln>
                      <a:noFill/>
                    </a:ln>
                  </pic:spPr>
                </pic:pic>
              </a:graphicData>
            </a:graphic>
          </wp:inline>
        </w:drawing>
      </w:r>
    </w:p>
    <w:p w14:paraId="3E2E8322">
      <w:pPr>
        <w:pageBreakBefore w:val="0"/>
        <w:kinsoku/>
        <w:wordWrap/>
        <w:overflowPunct/>
        <w:topLinePunct w:val="0"/>
        <w:bidi w:val="0"/>
        <w:snapToGrid w:val="0"/>
        <w:spacing w:line="360" w:lineRule="auto"/>
        <w:contextualSpacing/>
      </w:pPr>
      <w:r>
        <w:drawing>
          <wp:inline distT="0" distB="0" distL="114300" distR="114300">
            <wp:extent cx="5427980" cy="2808605"/>
            <wp:effectExtent l="0" t="0" r="1270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427980" cy="2808605"/>
                    </a:xfrm>
                    <a:prstGeom prst="rect">
                      <a:avLst/>
                    </a:prstGeom>
                    <a:noFill/>
                    <a:ln>
                      <a:noFill/>
                    </a:ln>
                  </pic:spPr>
                </pic:pic>
              </a:graphicData>
            </a:graphic>
          </wp:inline>
        </w:drawing>
      </w:r>
    </w:p>
    <w:p w14:paraId="3084C4DB">
      <w:pPr>
        <w:pageBreakBefore w:val="0"/>
        <w:kinsoku/>
        <w:wordWrap/>
        <w:overflowPunct/>
        <w:topLinePunct w:val="0"/>
        <w:bidi w:val="0"/>
        <w:snapToGrid w:val="0"/>
        <w:spacing w:line="360" w:lineRule="auto"/>
        <w:contextualSpacing/>
      </w:pPr>
      <w:r>
        <w:drawing>
          <wp:inline distT="0" distB="0" distL="114300" distR="114300">
            <wp:extent cx="5427980" cy="2828290"/>
            <wp:effectExtent l="0" t="0" r="12700" b="635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5"/>
                    <a:stretch>
                      <a:fillRect/>
                    </a:stretch>
                  </pic:blipFill>
                  <pic:spPr>
                    <a:xfrm>
                      <a:off x="0" y="0"/>
                      <a:ext cx="5427980" cy="2828290"/>
                    </a:xfrm>
                    <a:prstGeom prst="rect">
                      <a:avLst/>
                    </a:prstGeom>
                    <a:noFill/>
                    <a:ln>
                      <a:noFill/>
                    </a:ln>
                  </pic:spPr>
                </pic:pic>
              </a:graphicData>
            </a:graphic>
          </wp:inline>
        </w:drawing>
      </w:r>
    </w:p>
    <w:p w14:paraId="33491248">
      <w:pPr>
        <w:pageBreakBefore w:val="0"/>
        <w:widowControl/>
        <w:kinsoku/>
        <w:wordWrap/>
        <w:overflowPunct/>
        <w:topLinePunct w:val="0"/>
        <w:bidi w:val="0"/>
        <w:spacing w:line="360" w:lineRule="auto"/>
      </w:pPr>
      <w:r>
        <w:br w:type="page"/>
      </w:r>
      <w:r>
        <w:drawing>
          <wp:inline distT="0" distB="0" distL="114300" distR="114300">
            <wp:extent cx="5760720" cy="3043555"/>
            <wp:effectExtent l="0" t="0" r="0"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6"/>
                    <a:stretch>
                      <a:fillRect/>
                    </a:stretch>
                  </pic:blipFill>
                  <pic:spPr>
                    <a:xfrm>
                      <a:off x="0" y="0"/>
                      <a:ext cx="5760720" cy="3043555"/>
                    </a:xfrm>
                    <a:prstGeom prst="rect">
                      <a:avLst/>
                    </a:prstGeom>
                    <a:noFill/>
                    <a:ln>
                      <a:noFill/>
                    </a:ln>
                  </pic:spPr>
                </pic:pic>
              </a:graphicData>
            </a:graphic>
          </wp:inline>
        </w:drawing>
      </w:r>
    </w:p>
    <w:p w14:paraId="358C51D3">
      <w:pPr>
        <w:pageBreakBefore w:val="0"/>
        <w:kinsoku/>
        <w:wordWrap/>
        <w:overflowPunct/>
        <w:topLinePunct w:val="0"/>
        <w:bidi w:val="0"/>
        <w:snapToGrid w:val="0"/>
        <w:spacing w:line="360" w:lineRule="auto"/>
        <w:contextualSpacing/>
      </w:pPr>
      <w:r>
        <w:drawing>
          <wp:inline distT="0" distB="0" distL="114300" distR="114300">
            <wp:extent cx="5324475" cy="2710180"/>
            <wp:effectExtent l="0" t="0" r="9525" b="254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7"/>
                    <a:stretch>
                      <a:fillRect/>
                    </a:stretch>
                  </pic:blipFill>
                  <pic:spPr>
                    <a:xfrm>
                      <a:off x="0" y="0"/>
                      <a:ext cx="5324475" cy="2710180"/>
                    </a:xfrm>
                    <a:prstGeom prst="rect">
                      <a:avLst/>
                    </a:prstGeom>
                    <a:noFill/>
                    <a:ln>
                      <a:noFill/>
                    </a:ln>
                  </pic:spPr>
                </pic:pic>
              </a:graphicData>
            </a:graphic>
          </wp:inline>
        </w:drawing>
      </w:r>
    </w:p>
    <w:p w14:paraId="1C5FEB77">
      <w:pPr>
        <w:pageBreakBefore w:val="0"/>
        <w:kinsoku/>
        <w:wordWrap/>
        <w:overflowPunct/>
        <w:topLinePunct w:val="0"/>
        <w:bidi w:val="0"/>
        <w:snapToGrid w:val="0"/>
        <w:spacing w:line="360" w:lineRule="auto"/>
        <w:contextualSpacing/>
      </w:pPr>
      <w:r>
        <w:drawing>
          <wp:inline distT="0" distB="0" distL="114300" distR="114300">
            <wp:extent cx="5400675" cy="2757170"/>
            <wp:effectExtent l="0" t="0" r="9525" b="127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8"/>
                    <a:stretch>
                      <a:fillRect/>
                    </a:stretch>
                  </pic:blipFill>
                  <pic:spPr>
                    <a:xfrm>
                      <a:off x="0" y="0"/>
                      <a:ext cx="5400675" cy="2757170"/>
                    </a:xfrm>
                    <a:prstGeom prst="rect">
                      <a:avLst/>
                    </a:prstGeom>
                    <a:noFill/>
                    <a:ln>
                      <a:noFill/>
                    </a:ln>
                  </pic:spPr>
                </pic:pic>
              </a:graphicData>
            </a:graphic>
          </wp:inline>
        </w:drawing>
      </w:r>
    </w:p>
    <w:p w14:paraId="0B7895E1">
      <w:pPr>
        <w:pageBreakBefore w:val="0"/>
        <w:kinsoku/>
        <w:wordWrap/>
        <w:overflowPunct/>
        <w:topLinePunct w:val="0"/>
        <w:bidi w:val="0"/>
        <w:snapToGrid w:val="0"/>
        <w:spacing w:line="360" w:lineRule="auto"/>
        <w:contextualSpacing/>
      </w:pPr>
    </w:p>
    <w:p w14:paraId="18D0D45A">
      <w:pPr>
        <w:pageBreakBefore w:val="0"/>
        <w:widowControl/>
        <w:kinsoku/>
        <w:wordWrap/>
        <w:overflowPunct/>
        <w:topLinePunct w:val="0"/>
        <w:bidi w:val="0"/>
        <w:spacing w:line="360" w:lineRule="auto"/>
      </w:pPr>
      <w:r>
        <w:br w:type="page"/>
      </w:r>
      <w:r>
        <w:drawing>
          <wp:inline distT="0" distB="0" distL="114300" distR="114300">
            <wp:extent cx="5299075" cy="2729865"/>
            <wp:effectExtent l="0" t="0" r="4445" b="1333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9"/>
                    <a:stretch>
                      <a:fillRect/>
                    </a:stretch>
                  </pic:blipFill>
                  <pic:spPr>
                    <a:xfrm>
                      <a:off x="0" y="0"/>
                      <a:ext cx="5299075" cy="2729865"/>
                    </a:xfrm>
                    <a:prstGeom prst="rect">
                      <a:avLst/>
                    </a:prstGeom>
                    <a:noFill/>
                    <a:ln>
                      <a:noFill/>
                    </a:ln>
                  </pic:spPr>
                </pic:pic>
              </a:graphicData>
            </a:graphic>
          </wp:inline>
        </w:drawing>
      </w:r>
    </w:p>
    <w:p w14:paraId="3B56BDAD">
      <w:pPr>
        <w:pageBreakBefore w:val="0"/>
        <w:kinsoku/>
        <w:wordWrap/>
        <w:overflowPunct/>
        <w:topLinePunct w:val="0"/>
        <w:bidi w:val="0"/>
        <w:snapToGrid w:val="0"/>
        <w:spacing w:line="360" w:lineRule="auto"/>
        <w:contextualSpacing/>
      </w:pPr>
      <w:r>
        <w:drawing>
          <wp:inline distT="0" distB="0" distL="114300" distR="114300">
            <wp:extent cx="5327650" cy="2765425"/>
            <wp:effectExtent l="0" t="0" r="6350"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0"/>
                    <a:stretch>
                      <a:fillRect/>
                    </a:stretch>
                  </pic:blipFill>
                  <pic:spPr>
                    <a:xfrm>
                      <a:off x="0" y="0"/>
                      <a:ext cx="5327650" cy="2765425"/>
                    </a:xfrm>
                    <a:prstGeom prst="rect">
                      <a:avLst/>
                    </a:prstGeom>
                    <a:noFill/>
                    <a:ln>
                      <a:noFill/>
                    </a:ln>
                  </pic:spPr>
                </pic:pic>
              </a:graphicData>
            </a:graphic>
          </wp:inline>
        </w:drawing>
      </w:r>
    </w:p>
    <w:p w14:paraId="7D978DE3">
      <w:pPr>
        <w:pageBreakBefore w:val="0"/>
        <w:kinsoku/>
        <w:wordWrap/>
        <w:overflowPunct/>
        <w:topLinePunct w:val="0"/>
        <w:bidi w:val="0"/>
        <w:snapToGrid w:val="0"/>
        <w:spacing w:line="360" w:lineRule="auto"/>
        <w:contextualSpacing/>
      </w:pPr>
      <w:r>
        <w:drawing>
          <wp:inline distT="0" distB="0" distL="114300" distR="114300">
            <wp:extent cx="5761355" cy="2952750"/>
            <wp:effectExtent l="0" t="0" r="14605" b="381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1"/>
                    <a:stretch>
                      <a:fillRect/>
                    </a:stretch>
                  </pic:blipFill>
                  <pic:spPr>
                    <a:xfrm>
                      <a:off x="0" y="0"/>
                      <a:ext cx="5761355" cy="2952750"/>
                    </a:xfrm>
                    <a:prstGeom prst="rect">
                      <a:avLst/>
                    </a:prstGeom>
                    <a:noFill/>
                    <a:ln>
                      <a:noFill/>
                    </a:ln>
                  </pic:spPr>
                </pic:pic>
              </a:graphicData>
            </a:graphic>
          </wp:inline>
        </w:drawing>
      </w:r>
    </w:p>
    <w:p w14:paraId="2FB05695">
      <w:pPr>
        <w:pageBreakBefore w:val="0"/>
        <w:widowControl/>
        <w:kinsoku/>
        <w:wordWrap/>
        <w:overflowPunct/>
        <w:topLinePunct w:val="0"/>
        <w:bidi w:val="0"/>
        <w:spacing w:line="360" w:lineRule="auto"/>
      </w:pPr>
      <w:r>
        <w:br w:type="page"/>
      </w:r>
      <w:r>
        <w:drawing>
          <wp:inline distT="0" distB="0" distL="114300" distR="114300">
            <wp:extent cx="5400040" cy="2767330"/>
            <wp:effectExtent l="0" t="0" r="10160" b="635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2"/>
                    <a:stretch>
                      <a:fillRect/>
                    </a:stretch>
                  </pic:blipFill>
                  <pic:spPr>
                    <a:xfrm>
                      <a:off x="0" y="0"/>
                      <a:ext cx="5400040" cy="2767330"/>
                    </a:xfrm>
                    <a:prstGeom prst="rect">
                      <a:avLst/>
                    </a:prstGeom>
                    <a:noFill/>
                    <a:ln>
                      <a:noFill/>
                    </a:ln>
                  </pic:spPr>
                </pic:pic>
              </a:graphicData>
            </a:graphic>
          </wp:inline>
        </w:drawing>
      </w:r>
    </w:p>
    <w:p w14:paraId="55C79432">
      <w:pPr>
        <w:pageBreakBefore w:val="0"/>
        <w:kinsoku/>
        <w:wordWrap/>
        <w:overflowPunct/>
        <w:topLinePunct w:val="0"/>
        <w:bidi w:val="0"/>
        <w:snapToGrid w:val="0"/>
        <w:spacing w:line="360" w:lineRule="auto"/>
        <w:contextualSpacing/>
      </w:pPr>
      <w:r>
        <w:drawing>
          <wp:inline distT="0" distB="0" distL="114300" distR="114300">
            <wp:extent cx="5371465" cy="2720975"/>
            <wp:effectExtent l="0" t="0" r="8255"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3"/>
                    <a:stretch>
                      <a:fillRect/>
                    </a:stretch>
                  </pic:blipFill>
                  <pic:spPr>
                    <a:xfrm>
                      <a:off x="0" y="0"/>
                      <a:ext cx="5371465" cy="2720975"/>
                    </a:xfrm>
                    <a:prstGeom prst="rect">
                      <a:avLst/>
                    </a:prstGeom>
                    <a:noFill/>
                    <a:ln>
                      <a:noFill/>
                    </a:ln>
                  </pic:spPr>
                </pic:pic>
              </a:graphicData>
            </a:graphic>
          </wp:inline>
        </w:drawing>
      </w:r>
    </w:p>
    <w:p w14:paraId="26BAD50E">
      <w:pPr>
        <w:pageBreakBefore w:val="0"/>
        <w:kinsoku/>
        <w:wordWrap/>
        <w:overflowPunct/>
        <w:topLinePunct w:val="0"/>
        <w:bidi w:val="0"/>
        <w:snapToGrid w:val="0"/>
        <w:spacing w:line="360" w:lineRule="auto"/>
        <w:contextualSpacing/>
      </w:pPr>
      <w:r>
        <w:drawing>
          <wp:inline distT="0" distB="0" distL="114300" distR="114300">
            <wp:extent cx="5522595" cy="2797810"/>
            <wp:effectExtent l="0" t="0" r="9525" b="635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4"/>
                    <a:stretch>
                      <a:fillRect/>
                    </a:stretch>
                  </pic:blipFill>
                  <pic:spPr>
                    <a:xfrm>
                      <a:off x="0" y="0"/>
                      <a:ext cx="5522595" cy="2797810"/>
                    </a:xfrm>
                    <a:prstGeom prst="rect">
                      <a:avLst/>
                    </a:prstGeom>
                    <a:noFill/>
                    <a:ln>
                      <a:noFill/>
                    </a:ln>
                  </pic:spPr>
                </pic:pic>
              </a:graphicData>
            </a:graphic>
          </wp:inline>
        </w:drawing>
      </w:r>
    </w:p>
    <w:p w14:paraId="5B6AABB3">
      <w:pPr>
        <w:pageBreakBefore w:val="0"/>
        <w:kinsoku/>
        <w:wordWrap/>
        <w:overflowPunct/>
        <w:topLinePunct w:val="0"/>
        <w:bidi w:val="0"/>
        <w:snapToGrid w:val="0"/>
        <w:spacing w:line="360" w:lineRule="auto"/>
        <w:contextualSpacing/>
        <w:rPr>
          <w:rFonts w:hint="eastAsia"/>
        </w:rPr>
      </w:pPr>
    </w:p>
    <w:p w14:paraId="16DFCB34">
      <w:pPr>
        <w:pageBreakBefore w:val="0"/>
        <w:numPr>
          <w:ins w:id="2" w:author="JonMMx 2000" w:date=""/>
        </w:numPr>
        <w:kinsoku/>
        <w:wordWrap/>
        <w:overflowPunct/>
        <w:topLinePunct w:val="0"/>
        <w:bidi w:val="0"/>
        <w:spacing w:line="360" w:lineRule="auto"/>
        <w:jc w:val="both"/>
        <w:rPr>
          <w:rFonts w:eastAsia="黑体"/>
          <w:b/>
          <w:bCs/>
          <w:sz w:val="36"/>
          <w:szCs w:val="36"/>
        </w:rPr>
      </w:pPr>
      <w:r>
        <w:rPr>
          <w:rFonts w:eastAsia="黑体"/>
          <w:b/>
          <w:bCs/>
          <w:sz w:val="36"/>
          <w:szCs w:val="36"/>
        </w:rPr>
        <w:br w:type="page"/>
      </w:r>
      <w:r>
        <w:drawing>
          <wp:inline distT="0" distB="0" distL="114300" distR="114300">
            <wp:extent cx="5758180" cy="2959100"/>
            <wp:effectExtent l="0" t="0" r="2540" b="1270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5"/>
                    <a:stretch>
                      <a:fillRect/>
                    </a:stretch>
                  </pic:blipFill>
                  <pic:spPr>
                    <a:xfrm>
                      <a:off x="0" y="0"/>
                      <a:ext cx="5758180" cy="2959100"/>
                    </a:xfrm>
                    <a:prstGeom prst="rect">
                      <a:avLst/>
                    </a:prstGeom>
                    <a:noFill/>
                    <a:ln>
                      <a:noFill/>
                    </a:ln>
                  </pic:spPr>
                </pic:pic>
              </a:graphicData>
            </a:graphic>
          </wp:inline>
        </w:drawing>
      </w:r>
    </w:p>
    <w:p w14:paraId="23ACA86C">
      <w:pPr>
        <w:pageBreakBefore w:val="0"/>
        <w:kinsoku/>
        <w:wordWrap/>
        <w:overflowPunct/>
        <w:topLinePunct w:val="0"/>
        <w:bidi w:val="0"/>
        <w:spacing w:line="360" w:lineRule="auto"/>
        <w:jc w:val="both"/>
        <w:rPr>
          <w:rFonts w:hint="eastAsia"/>
          <w:sz w:val="24"/>
          <w:szCs w:val="24"/>
          <w:lang w:val="en-US"/>
        </w:rPr>
      </w:pPr>
      <w:r>
        <w:drawing>
          <wp:inline distT="0" distB="0" distL="114300" distR="114300">
            <wp:extent cx="5760720" cy="2929255"/>
            <wp:effectExtent l="0" t="0" r="0" b="1206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6"/>
                    <a:stretch>
                      <a:fillRect/>
                    </a:stretch>
                  </pic:blipFill>
                  <pic:spPr>
                    <a:xfrm>
                      <a:off x="0" y="0"/>
                      <a:ext cx="5760720" cy="29292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5486400" cy="2768600"/>
            <wp:effectExtent l="0" t="0" r="0" b="508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7"/>
                    <a:stretch>
                      <a:fillRect/>
                    </a:stretch>
                  </pic:blipFill>
                  <pic:spPr>
                    <a:xfrm>
                      <a:off x="0" y="0"/>
                      <a:ext cx="5486400" cy="2768600"/>
                    </a:xfrm>
                    <a:prstGeom prst="rect">
                      <a:avLst/>
                    </a:prstGeom>
                    <a:noFill/>
                    <a:ln>
                      <a:noFill/>
                    </a:ln>
                  </pic:spPr>
                </pic:pic>
              </a:graphicData>
            </a:graphic>
          </wp:inline>
        </w:drawing>
      </w:r>
    </w:p>
    <w:p w14:paraId="2535F08C">
      <w:pPr>
        <w:pStyle w:val="22"/>
        <w:pageBreakBefore w:val="0"/>
        <w:kinsoku/>
        <w:wordWrap/>
        <w:overflowPunct/>
        <w:topLinePunct w:val="0"/>
        <w:bidi w:val="0"/>
        <w:snapToGrid w:val="0"/>
        <w:spacing w:line="360" w:lineRule="auto"/>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28ED57B8">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一、注册账号</w:t>
      </w:r>
    </w:p>
    <w:p w14:paraId="4B1866DF">
      <w:pPr>
        <w:pageBreakBefore w:val="0"/>
        <w:kinsoku/>
        <w:wordWrap/>
        <w:overflowPunct/>
        <w:topLinePunct w:val="0"/>
        <w:bidi w:val="0"/>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07553635">
      <w:pPr>
        <w:pageBreakBefore w:val="0"/>
        <w:kinsoku/>
        <w:wordWrap/>
        <w:overflowPunct/>
        <w:topLinePunct w:val="0"/>
        <w:bidi w:val="0"/>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28"/>
                    <a:stretch>
                      <a:fillRect/>
                    </a:stretch>
                  </pic:blipFill>
                  <pic:spPr>
                    <a:xfrm>
                      <a:off x="0" y="0"/>
                      <a:ext cx="5836285" cy="2698115"/>
                    </a:xfrm>
                    <a:prstGeom prst="rect">
                      <a:avLst/>
                    </a:prstGeom>
                    <a:noFill/>
                    <a:ln>
                      <a:noFill/>
                    </a:ln>
                  </pic:spPr>
                </pic:pic>
              </a:graphicData>
            </a:graphic>
          </wp:inline>
        </w:drawing>
      </w:r>
    </w:p>
    <w:p w14:paraId="3708AD51">
      <w:pPr>
        <w:pageBreakBefore w:val="0"/>
        <w:kinsoku/>
        <w:wordWrap/>
        <w:overflowPunct/>
        <w:topLinePunct w:val="0"/>
        <w:bidi w:val="0"/>
        <w:spacing w:line="360" w:lineRule="auto"/>
        <w:ind w:firstLine="442" w:firstLineChars="200"/>
        <w:rPr>
          <w:b/>
          <w:sz w:val="22"/>
        </w:rPr>
      </w:pPr>
      <w:r>
        <w:rPr>
          <w:b/>
          <w:sz w:val="22"/>
        </w:rPr>
        <w:t>2.</w:t>
      </w:r>
      <w:r>
        <w:rPr>
          <w:rFonts w:hint="eastAsia"/>
          <w:b/>
          <w:sz w:val="22"/>
        </w:rPr>
        <w:t>填写手机号码（没有注册过的）</w:t>
      </w:r>
    </w:p>
    <w:p w14:paraId="6AAB6CB6">
      <w:pPr>
        <w:pageBreakBefore w:val="0"/>
        <w:kinsoku/>
        <w:wordWrap/>
        <w:overflowPunct/>
        <w:topLinePunct w:val="0"/>
        <w:bidi w:val="0"/>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29"/>
                    <a:stretch>
                      <a:fillRect/>
                    </a:stretch>
                  </pic:blipFill>
                  <pic:spPr>
                    <a:xfrm>
                      <a:off x="0" y="0"/>
                      <a:ext cx="5756910" cy="2765425"/>
                    </a:xfrm>
                    <a:prstGeom prst="rect">
                      <a:avLst/>
                    </a:prstGeom>
                    <a:noFill/>
                    <a:ln>
                      <a:noFill/>
                    </a:ln>
                  </pic:spPr>
                </pic:pic>
              </a:graphicData>
            </a:graphic>
          </wp:inline>
        </w:drawing>
      </w:r>
    </w:p>
    <w:p w14:paraId="778EEE49">
      <w:pPr>
        <w:pageBreakBefore w:val="0"/>
        <w:kinsoku/>
        <w:wordWrap/>
        <w:overflowPunct/>
        <w:topLinePunct w:val="0"/>
        <w:bidi w:val="0"/>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13D62AB5">
      <w:pPr>
        <w:pageBreakBefore w:val="0"/>
        <w:kinsoku/>
        <w:wordWrap/>
        <w:overflowPunct/>
        <w:topLinePunct w:val="0"/>
        <w:bidi w:val="0"/>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30"/>
                    <a:stretch>
                      <a:fillRect/>
                    </a:stretch>
                  </pic:blipFill>
                  <pic:spPr>
                    <a:xfrm>
                      <a:off x="0" y="0"/>
                      <a:ext cx="5758815" cy="2867025"/>
                    </a:xfrm>
                    <a:prstGeom prst="rect">
                      <a:avLst/>
                    </a:prstGeom>
                    <a:noFill/>
                    <a:ln>
                      <a:noFill/>
                    </a:ln>
                  </pic:spPr>
                </pic:pic>
              </a:graphicData>
            </a:graphic>
          </wp:inline>
        </w:drawing>
      </w:r>
    </w:p>
    <w:p w14:paraId="10D6BFBE">
      <w:pPr>
        <w:pageBreakBefore w:val="0"/>
        <w:kinsoku/>
        <w:wordWrap/>
        <w:overflowPunct/>
        <w:topLinePunct w:val="0"/>
        <w:bidi w:val="0"/>
        <w:spacing w:line="360" w:lineRule="auto"/>
        <w:ind w:firstLine="442" w:firstLineChars="200"/>
        <w:rPr>
          <w:b/>
          <w:sz w:val="22"/>
        </w:rPr>
      </w:pPr>
      <w:r>
        <w:rPr>
          <w:b/>
          <w:sz w:val="22"/>
        </w:rPr>
        <w:t>4.</w:t>
      </w:r>
      <w:r>
        <w:rPr>
          <w:rFonts w:hint="eastAsia"/>
          <w:b/>
          <w:sz w:val="22"/>
        </w:rPr>
        <w:t>点击新增</w:t>
      </w:r>
    </w:p>
    <w:p w14:paraId="34CE2975">
      <w:pPr>
        <w:pageBreakBefore w:val="0"/>
        <w:kinsoku/>
        <w:wordWrap/>
        <w:overflowPunct/>
        <w:topLinePunct w:val="0"/>
        <w:bidi w:val="0"/>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31"/>
                    <a:stretch>
                      <a:fillRect/>
                    </a:stretch>
                  </pic:blipFill>
                  <pic:spPr>
                    <a:xfrm>
                      <a:off x="0" y="0"/>
                      <a:ext cx="5756910" cy="2851785"/>
                    </a:xfrm>
                    <a:prstGeom prst="rect">
                      <a:avLst/>
                    </a:prstGeom>
                    <a:noFill/>
                    <a:ln>
                      <a:noFill/>
                    </a:ln>
                  </pic:spPr>
                </pic:pic>
              </a:graphicData>
            </a:graphic>
          </wp:inline>
        </w:drawing>
      </w:r>
    </w:p>
    <w:p w14:paraId="2AB9A665">
      <w:pPr>
        <w:pageBreakBefore w:val="0"/>
        <w:kinsoku/>
        <w:wordWrap/>
        <w:overflowPunct/>
        <w:topLinePunct w:val="0"/>
        <w:bidi w:val="0"/>
        <w:spacing w:line="360" w:lineRule="auto"/>
        <w:ind w:firstLine="442" w:firstLineChars="200"/>
        <w:rPr>
          <w:b/>
          <w:sz w:val="22"/>
        </w:rPr>
      </w:pPr>
      <w:r>
        <w:rPr>
          <w:b/>
          <w:sz w:val="22"/>
        </w:rPr>
        <w:t xml:space="preserve">5 </w:t>
      </w:r>
      <w:r>
        <w:rPr>
          <w:rFonts w:hint="eastAsia"/>
          <w:b/>
          <w:sz w:val="22"/>
        </w:rPr>
        <w:t>按要求填写所有信息，注意非生产类要填写合作单位，选择</w:t>
      </w:r>
      <w:r>
        <w:rPr>
          <w:rFonts w:hint="eastAsia"/>
          <w:b/>
          <w:sz w:val="22"/>
          <w:highlight w:val="none"/>
        </w:rPr>
        <w:t>智能物流中心</w:t>
      </w:r>
      <w:r>
        <w:rPr>
          <w:rFonts w:hint="eastAsia"/>
          <w:b/>
          <w:sz w:val="22"/>
        </w:rPr>
        <w:t>，最后提交审批</w:t>
      </w:r>
    </w:p>
    <w:p w14:paraId="47045621">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5EBAA584">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73CB68C2">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79BD3D8">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76E67CF1">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4EF5C410">
      <w:pPr>
        <w:pageBreakBefore w:val="0"/>
        <w:tabs>
          <w:tab w:val="left" w:pos="312"/>
        </w:tabs>
        <w:kinsoku/>
        <w:wordWrap/>
        <w:overflowPunct/>
        <w:topLinePunct w:val="0"/>
        <w:autoSpaceDE w:val="0"/>
        <w:autoSpaceDN w:val="0"/>
        <w:bidi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4849909E">
      <w:pPr>
        <w:pStyle w:val="7"/>
        <w:pageBreakBefore w:val="0"/>
        <w:tabs>
          <w:tab w:val="left" w:pos="312"/>
        </w:tabs>
        <w:kinsoku/>
        <w:wordWrap/>
        <w:overflowPunct/>
        <w:topLinePunct w:val="0"/>
        <w:autoSpaceDE w:val="0"/>
        <w:autoSpaceDN w:val="0"/>
        <w:bidi w:val="0"/>
        <w:spacing w:line="360" w:lineRule="auto"/>
        <w:jc w:val="left"/>
        <w:rPr>
          <w:rFonts w:hint="eastAsia"/>
        </w:rPr>
      </w:pPr>
      <w:r>
        <w:rPr>
          <w:rFonts w:hint="eastAsia"/>
        </w:rPr>
        <w:t>点击“查看”按钮可以进行查看注册信息，供应商提交注册之后想查看审批进度，可以点击此按钮。</w:t>
      </w:r>
    </w:p>
    <w:p w14:paraId="21BA1E1D">
      <w:pPr>
        <w:pageBreakBefore w:val="0"/>
        <w:kinsoku/>
        <w:wordWrap/>
        <w:overflowPunct/>
        <w:topLinePunct w:val="0"/>
        <w:bidi w:val="0"/>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32"/>
                    <a:stretch>
                      <a:fillRect/>
                    </a:stretch>
                  </pic:blipFill>
                  <pic:spPr>
                    <a:xfrm>
                      <a:off x="0" y="0"/>
                      <a:ext cx="5758815" cy="2807335"/>
                    </a:xfrm>
                    <a:prstGeom prst="rect">
                      <a:avLst/>
                    </a:prstGeom>
                    <a:noFill/>
                    <a:ln>
                      <a:noFill/>
                    </a:ln>
                  </pic:spPr>
                </pic:pic>
              </a:graphicData>
            </a:graphic>
          </wp:inline>
        </w:drawing>
      </w:r>
    </w:p>
    <w:p w14:paraId="1112E9DD">
      <w:pPr>
        <w:pageBreakBefore w:val="0"/>
        <w:kinsoku/>
        <w:wordWrap/>
        <w:overflowPunct/>
        <w:topLinePunct w:val="0"/>
        <w:bidi w:val="0"/>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33"/>
                    <a:stretch>
                      <a:fillRect/>
                    </a:stretch>
                  </pic:blipFill>
                  <pic:spPr>
                    <a:xfrm>
                      <a:off x="0" y="0"/>
                      <a:ext cx="5756910" cy="2818765"/>
                    </a:xfrm>
                    <a:prstGeom prst="rect">
                      <a:avLst/>
                    </a:prstGeom>
                    <a:noFill/>
                    <a:ln>
                      <a:noFill/>
                    </a:ln>
                  </pic:spPr>
                </pic:pic>
              </a:graphicData>
            </a:graphic>
          </wp:inline>
        </w:drawing>
      </w:r>
    </w:p>
    <w:p w14:paraId="2F6DB452">
      <w:pPr>
        <w:pageBreakBefore w:val="0"/>
        <w:kinsoku/>
        <w:wordWrap/>
        <w:overflowPunct/>
        <w:topLinePunct w:val="0"/>
        <w:bidi w:val="0"/>
        <w:spacing w:line="360" w:lineRule="auto"/>
        <w:ind w:firstLine="442" w:firstLineChars="200"/>
        <w:rPr>
          <w:b/>
          <w:sz w:val="22"/>
        </w:rPr>
      </w:pPr>
      <w:r>
        <w:rPr>
          <w:rFonts w:hint="eastAsia"/>
          <w:b/>
          <w:sz w:val="22"/>
        </w:rPr>
        <w:t>6</w:t>
      </w:r>
      <w:r>
        <w:rPr>
          <w:b/>
          <w:sz w:val="22"/>
        </w:rPr>
        <w:t>.</w:t>
      </w:r>
      <w:r>
        <w:rPr>
          <w:rFonts w:hint="eastAsia"/>
          <w:b/>
          <w:sz w:val="22"/>
        </w:rPr>
        <w:t>重置密码</w:t>
      </w:r>
    </w:p>
    <w:p w14:paraId="722F96CA">
      <w:pPr>
        <w:pageBreakBefore w:val="0"/>
        <w:kinsoku/>
        <w:wordWrap/>
        <w:overflowPunct/>
        <w:topLinePunct w:val="0"/>
        <w:bidi w:val="0"/>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5A4EFE3E">
      <w:pPr>
        <w:pageBreakBefore w:val="0"/>
        <w:kinsoku/>
        <w:wordWrap/>
        <w:overflowPunct/>
        <w:topLinePunct w:val="0"/>
        <w:bidi w:val="0"/>
        <w:spacing w:line="360" w:lineRule="auto"/>
        <w:ind w:firstLine="420" w:firstLineChars="200"/>
      </w:pPr>
      <w:r>
        <w:rPr>
          <w:rFonts w:hint="eastAsia"/>
        </w:rPr>
        <w:t>如果是供应商初次登录且还没绑定手机号码的，请咨询采购工程师，让他们协助重置密码。</w:t>
      </w:r>
    </w:p>
    <w:p w14:paraId="32A71900">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ascii="宋体" w:eastAsia="宋体"/>
        </w:rPr>
      </w:pPr>
      <w:r>
        <w:rPr>
          <w:rFonts w:hint="eastAsia" w:ascii="黑体" w:hAnsi="黑体" w:eastAsia="黑体" w:cs="黑体"/>
          <w:b/>
          <w:bCs/>
          <w:sz w:val="28"/>
          <w:szCs w:val="28"/>
          <w:lang w:val="en-US" w:eastAsia="zh-CN"/>
        </w:rPr>
        <w:t>二、供应商应标</w:t>
      </w:r>
    </w:p>
    <w:p w14:paraId="61A8238B">
      <w:pPr>
        <w:pageBreakBefore w:val="0"/>
        <w:kinsoku/>
        <w:wordWrap/>
        <w:overflowPunct/>
        <w:topLinePunct w:val="0"/>
        <w:bidi w:val="0"/>
        <w:spacing w:line="360" w:lineRule="auto"/>
        <w:ind w:firstLine="420" w:firstLineChars="200"/>
      </w:pPr>
      <w:r>
        <w:rPr>
          <w:rFonts w:hint="eastAsia"/>
        </w:rPr>
        <w:t>路径：招投标中心-非生产类招投标-供应商应标</w:t>
      </w:r>
    </w:p>
    <w:p w14:paraId="2E704A95">
      <w:pPr>
        <w:pageBreakBefore w:val="0"/>
        <w:kinsoku/>
        <w:wordWrap/>
        <w:overflowPunct/>
        <w:topLinePunct w:val="0"/>
        <w:bidi w:val="0"/>
        <w:spacing w:line="360" w:lineRule="auto"/>
        <w:ind w:firstLine="420" w:firstLineChars="200"/>
      </w:pPr>
      <w:r>
        <w:rPr>
          <w:rFonts w:hint="eastAsia"/>
        </w:rPr>
        <w:t>点击应标，上传文件之后点击提交。</w:t>
      </w:r>
    </w:p>
    <w:p w14:paraId="5AC45136">
      <w:pPr>
        <w:pageBreakBefore w:val="0"/>
        <w:kinsoku/>
        <w:wordWrap/>
        <w:overflowPunct/>
        <w:topLinePunct w:val="0"/>
        <w:bidi w:val="0"/>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16CD8837">
      <w:pPr>
        <w:pageBreakBefore w:val="0"/>
        <w:kinsoku/>
        <w:wordWrap/>
        <w:overflowPunct/>
        <w:topLinePunct w:val="0"/>
        <w:bidi w:val="0"/>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4"/>
                    <a:stretch>
                      <a:fillRect/>
                    </a:stretch>
                  </pic:blipFill>
                  <pic:spPr>
                    <a:xfrm>
                      <a:off x="0" y="0"/>
                      <a:ext cx="5752465" cy="2268220"/>
                    </a:xfrm>
                    <a:prstGeom prst="rect">
                      <a:avLst/>
                    </a:prstGeom>
                    <a:noFill/>
                    <a:ln>
                      <a:noFill/>
                    </a:ln>
                  </pic:spPr>
                </pic:pic>
              </a:graphicData>
            </a:graphic>
          </wp:inline>
        </w:drawing>
      </w:r>
    </w:p>
    <w:p w14:paraId="74A78CB9">
      <w:pPr>
        <w:pageBreakBefore w:val="0"/>
        <w:kinsoku/>
        <w:wordWrap/>
        <w:overflowPunct/>
        <w:topLinePunct w:val="0"/>
        <w:bidi w:val="0"/>
        <w:spacing w:line="360" w:lineRule="auto"/>
        <w:ind w:firstLine="420" w:firstLineChars="200"/>
      </w:pPr>
    </w:p>
    <w:p w14:paraId="19F5B43E">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三、供应商投标</w:t>
      </w:r>
    </w:p>
    <w:p w14:paraId="45D2B9CC">
      <w:pPr>
        <w:pageBreakBefore w:val="0"/>
        <w:kinsoku/>
        <w:wordWrap/>
        <w:overflowPunct/>
        <w:topLinePunct w:val="0"/>
        <w:bidi w:val="0"/>
        <w:spacing w:line="360" w:lineRule="auto"/>
        <w:ind w:firstLine="420" w:firstLineChars="200"/>
      </w:pPr>
      <w:r>
        <w:t>路径：招投标中心-非生产类招投标-</w:t>
      </w:r>
      <w:r>
        <w:rPr>
          <w:rFonts w:hint="eastAsia"/>
        </w:rPr>
        <w:t>供应商投标</w:t>
      </w:r>
    </w:p>
    <w:p w14:paraId="693F18FC">
      <w:pPr>
        <w:pageBreakBefore w:val="0"/>
        <w:kinsoku/>
        <w:wordWrap/>
        <w:overflowPunct/>
        <w:topLinePunct w:val="0"/>
        <w:bidi w:val="0"/>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5"/>
                    <a:stretch>
                      <a:fillRect/>
                    </a:stretch>
                  </pic:blipFill>
                  <pic:spPr>
                    <a:xfrm>
                      <a:off x="0" y="0"/>
                      <a:ext cx="5751195" cy="2118360"/>
                    </a:xfrm>
                    <a:prstGeom prst="rect">
                      <a:avLst/>
                    </a:prstGeom>
                    <a:noFill/>
                    <a:ln>
                      <a:noFill/>
                    </a:ln>
                  </pic:spPr>
                </pic:pic>
              </a:graphicData>
            </a:graphic>
          </wp:inline>
        </w:drawing>
      </w:r>
    </w:p>
    <w:p w14:paraId="32E5993D">
      <w:pPr>
        <w:pageBreakBefore w:val="0"/>
        <w:kinsoku/>
        <w:wordWrap/>
        <w:overflowPunct/>
        <w:topLinePunct w:val="0"/>
        <w:bidi w:val="0"/>
        <w:spacing w:line="360" w:lineRule="auto"/>
        <w:ind w:firstLine="420" w:firstLineChars="200"/>
      </w:pPr>
      <w:r>
        <w:rPr>
          <w:rFonts w:hint="eastAsia"/>
        </w:rPr>
        <w:t>点击投标按钮，进入详情页，输入投标报价并上传相应的附件。</w:t>
      </w:r>
    </w:p>
    <w:p w14:paraId="0C792494">
      <w:pPr>
        <w:pageBreakBefore w:val="0"/>
        <w:kinsoku/>
        <w:wordWrap/>
        <w:overflowPunct/>
        <w:topLinePunct w:val="0"/>
        <w:bidi w:val="0"/>
        <w:spacing w:line="360" w:lineRule="auto"/>
        <w:ind w:firstLine="422" w:firstLineChars="200"/>
        <w:rPr>
          <w:b/>
          <w:bCs/>
        </w:rPr>
      </w:pPr>
      <w:r>
        <w:rPr>
          <w:rFonts w:hint="eastAsia"/>
          <w:b/>
          <w:bCs/>
          <w:highlight w:val="yellow"/>
        </w:rPr>
        <w:t>请注意，投标报价单位为：万元！万元！万元！</w:t>
      </w:r>
    </w:p>
    <w:p w14:paraId="14352726">
      <w:pPr>
        <w:pageBreakBefore w:val="0"/>
        <w:kinsoku/>
        <w:wordWrap/>
        <w:overflowPunct/>
        <w:topLinePunct w:val="0"/>
        <w:bidi w:val="0"/>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6"/>
                    <a:stretch>
                      <a:fillRect/>
                    </a:stretch>
                  </pic:blipFill>
                  <pic:spPr>
                    <a:xfrm>
                      <a:off x="0" y="0"/>
                      <a:ext cx="5753100" cy="2797175"/>
                    </a:xfrm>
                    <a:prstGeom prst="rect">
                      <a:avLst/>
                    </a:prstGeom>
                    <a:noFill/>
                    <a:ln>
                      <a:noFill/>
                    </a:ln>
                  </pic:spPr>
                </pic:pic>
              </a:graphicData>
            </a:graphic>
          </wp:inline>
        </w:drawing>
      </w:r>
    </w:p>
    <w:p w14:paraId="3A7C512C">
      <w:pPr>
        <w:pStyle w:val="5"/>
        <w:pageBreakBefore w:val="0"/>
        <w:kinsoku/>
        <w:wordWrap/>
        <w:overflowPunct/>
        <w:topLinePunct w:val="0"/>
        <w:bidi w:val="0"/>
        <w:spacing w:line="360" w:lineRule="auto"/>
        <w:ind w:firstLine="560" w:firstLineChars="200"/>
      </w:pPr>
      <w:bookmarkStart w:id="21" w:name="_Hlk128316797"/>
      <w:r>
        <w:rPr>
          <w:rFonts w:hint="eastAsia"/>
        </w:rPr>
        <w:t>供应商技术标澄清函</w:t>
      </w:r>
    </w:p>
    <w:p w14:paraId="2B77C4B5">
      <w:pPr>
        <w:pageBreakBefore w:val="0"/>
        <w:kinsoku/>
        <w:wordWrap/>
        <w:overflowPunct/>
        <w:topLinePunct w:val="0"/>
        <w:bidi w:val="0"/>
        <w:spacing w:line="360" w:lineRule="auto"/>
        <w:ind w:firstLine="420" w:firstLineChars="200"/>
      </w:pPr>
      <w:r>
        <w:t>路径：招投标中心-非生产类招投标-</w:t>
      </w:r>
      <w:r>
        <w:rPr>
          <w:rFonts w:hint="eastAsia"/>
        </w:rPr>
        <w:t>供应商技术标澄清函</w:t>
      </w:r>
    </w:p>
    <w:p w14:paraId="32D66B83">
      <w:pPr>
        <w:pageBreakBefore w:val="0"/>
        <w:kinsoku/>
        <w:wordWrap/>
        <w:overflowPunct/>
        <w:topLinePunct w:val="0"/>
        <w:bidi w:val="0"/>
        <w:spacing w:line="360" w:lineRule="auto"/>
        <w:ind w:firstLine="420" w:firstLineChars="200"/>
      </w:pPr>
      <w:r>
        <w:rPr>
          <w:rFonts w:hint="eastAsia"/>
        </w:rPr>
        <w:t>点击编辑按钮进入系统，上传技术标澄清函。</w:t>
      </w:r>
    </w:p>
    <w:p w14:paraId="51E509B7">
      <w:pPr>
        <w:pageBreakBefore w:val="0"/>
        <w:kinsoku/>
        <w:wordWrap/>
        <w:overflowPunct/>
        <w:topLinePunct w:val="0"/>
        <w:bidi w:val="0"/>
        <w:spacing w:line="360" w:lineRule="auto"/>
        <w:ind w:firstLine="420" w:firstLineChars="200"/>
      </w:pPr>
      <w:r>
        <w:rPr>
          <w:rFonts w:hint="eastAsia"/>
        </w:rPr>
        <w:t>开标之后所有投标的供应商都可编辑提交，技术标入围之后 都不可编辑。</w:t>
      </w:r>
    </w:p>
    <w:p w14:paraId="32196E47">
      <w:pPr>
        <w:pageBreakBefore w:val="0"/>
        <w:kinsoku/>
        <w:wordWrap/>
        <w:overflowPunct/>
        <w:topLinePunct w:val="0"/>
        <w:bidi w:val="0"/>
        <w:spacing w:line="360" w:lineRule="auto"/>
        <w:ind w:firstLine="420" w:firstLineChars="200"/>
      </w:pPr>
    </w:p>
    <w:p w14:paraId="47488ECC">
      <w:pPr>
        <w:pageBreakBefore w:val="0"/>
        <w:kinsoku/>
        <w:wordWrap/>
        <w:overflowPunct/>
        <w:topLinePunct w:val="0"/>
        <w:bidi w:val="0"/>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7"/>
                    <a:stretch>
                      <a:fillRect/>
                    </a:stretch>
                  </pic:blipFill>
                  <pic:spPr>
                    <a:xfrm>
                      <a:off x="0" y="0"/>
                      <a:ext cx="5757545" cy="2089785"/>
                    </a:xfrm>
                    <a:prstGeom prst="rect">
                      <a:avLst/>
                    </a:prstGeom>
                    <a:noFill/>
                    <a:ln>
                      <a:noFill/>
                    </a:ln>
                  </pic:spPr>
                </pic:pic>
              </a:graphicData>
            </a:graphic>
          </wp:inline>
        </w:drawing>
      </w:r>
    </w:p>
    <w:bookmarkEnd w:id="21"/>
    <w:p w14:paraId="73DFD98D">
      <w:pPr>
        <w:pStyle w:val="5"/>
        <w:pageBreakBefore w:val="0"/>
        <w:kinsoku/>
        <w:wordWrap/>
        <w:overflowPunct/>
        <w:topLinePunct w:val="0"/>
        <w:bidi w:val="0"/>
        <w:spacing w:line="360" w:lineRule="auto"/>
        <w:ind w:firstLine="560" w:firstLineChars="200"/>
      </w:pPr>
      <w:r>
        <w:rPr>
          <w:rFonts w:hint="eastAsia"/>
        </w:rPr>
        <w:t>供应商报价</w:t>
      </w:r>
    </w:p>
    <w:p w14:paraId="4B14F05D">
      <w:pPr>
        <w:pageBreakBefore w:val="0"/>
        <w:kinsoku/>
        <w:wordWrap/>
        <w:overflowPunct/>
        <w:topLinePunct w:val="0"/>
        <w:bidi w:val="0"/>
        <w:spacing w:line="360" w:lineRule="auto"/>
        <w:ind w:firstLine="420" w:firstLineChars="200"/>
      </w:pPr>
      <w:r>
        <w:t>路径：招投标中心-非生产类招投标-</w:t>
      </w:r>
      <w:r>
        <w:rPr>
          <w:rFonts w:hint="eastAsia"/>
        </w:rPr>
        <w:t>供应商报价</w:t>
      </w:r>
    </w:p>
    <w:p w14:paraId="70F81D1E">
      <w:pPr>
        <w:pageBreakBefore w:val="0"/>
        <w:kinsoku/>
        <w:wordWrap/>
        <w:overflowPunct/>
        <w:topLinePunct w:val="0"/>
        <w:bidi w:val="0"/>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6C7B9213">
      <w:pPr>
        <w:pageBreakBefore w:val="0"/>
        <w:kinsoku/>
        <w:wordWrap/>
        <w:overflowPunct/>
        <w:topLinePunct w:val="0"/>
        <w:bidi w:val="0"/>
        <w:spacing w:line="360" w:lineRule="auto"/>
        <w:ind w:firstLine="422" w:firstLineChars="200"/>
        <w:rPr>
          <w:b/>
          <w:bCs/>
        </w:rPr>
      </w:pPr>
      <w:r>
        <w:rPr>
          <w:rFonts w:hint="eastAsia"/>
          <w:b/>
          <w:bCs/>
          <w:highlight w:val="yellow"/>
        </w:rPr>
        <w:t>请注意，报价单位为：万元！万元！万元！</w:t>
      </w:r>
    </w:p>
    <w:p w14:paraId="51BA66A7">
      <w:pPr>
        <w:pStyle w:val="5"/>
        <w:pageBreakBefore w:val="0"/>
        <w:kinsoku/>
        <w:wordWrap/>
        <w:overflowPunct/>
        <w:topLinePunct w:val="0"/>
        <w:bidi w:val="0"/>
        <w:spacing w:line="360" w:lineRule="auto"/>
        <w:ind w:firstLine="560" w:firstLineChars="200"/>
      </w:pPr>
      <w:r>
        <w:rPr>
          <w:rFonts w:hint="eastAsia"/>
        </w:rPr>
        <w:t>供应商澄清报价</w:t>
      </w:r>
    </w:p>
    <w:p w14:paraId="42D6D4FA">
      <w:pPr>
        <w:pageBreakBefore w:val="0"/>
        <w:kinsoku/>
        <w:wordWrap/>
        <w:overflowPunct/>
        <w:topLinePunct w:val="0"/>
        <w:bidi w:val="0"/>
        <w:spacing w:line="360" w:lineRule="auto"/>
        <w:ind w:firstLine="420" w:firstLineChars="200"/>
      </w:pPr>
      <w:r>
        <w:t>路径：招投标中心-非生产类招投标-</w:t>
      </w:r>
      <w:r>
        <w:rPr>
          <w:rFonts w:hint="eastAsia"/>
        </w:rPr>
        <w:t>供应商澄清报价</w:t>
      </w:r>
    </w:p>
    <w:p w14:paraId="63C05322">
      <w:pPr>
        <w:pageBreakBefore w:val="0"/>
        <w:kinsoku/>
        <w:wordWrap/>
        <w:overflowPunct/>
        <w:topLinePunct w:val="0"/>
        <w:bidi w:val="0"/>
        <w:spacing w:line="360" w:lineRule="auto"/>
        <w:ind w:firstLine="420" w:firstLineChars="200"/>
        <w:rPr>
          <w:rFonts w:hint="eastAsia" w:eastAsia="宋体"/>
          <w:lang w:val="en-US" w:eastAsia="zh-CN"/>
        </w:rPr>
      </w:pPr>
      <w:r>
        <w:rPr>
          <w:rFonts w:hint="eastAsia"/>
        </w:rPr>
        <w:t>招标发起人接收建议价的同时会给供应商发送澄清报价，供应商在此界面进行澄清报价，点击编辑按钮进入澄清报价详细界面，输入价格并上传澄清函，之后点击提交。</w:t>
      </w:r>
    </w:p>
    <w:p w14:paraId="4EE658B9">
      <w:pPr>
        <w:pageBreakBefore w:val="0"/>
        <w:kinsoku/>
        <w:wordWrap/>
        <w:overflowPunct/>
        <w:topLinePunct w:val="0"/>
        <w:bidi w:val="0"/>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38"/>
                    <a:stretch>
                      <a:fillRect/>
                    </a:stretch>
                  </pic:blipFill>
                  <pic:spPr>
                    <a:xfrm>
                      <a:off x="0" y="0"/>
                      <a:ext cx="5757545" cy="2670175"/>
                    </a:xfrm>
                    <a:prstGeom prst="rect">
                      <a:avLst/>
                    </a:prstGeom>
                    <a:noFill/>
                    <a:ln>
                      <a:noFill/>
                    </a:ln>
                  </pic:spPr>
                </pic:pic>
              </a:graphicData>
            </a:graphic>
          </wp:inline>
        </w:drawing>
      </w:r>
    </w:p>
    <w:p w14:paraId="6D1EC861">
      <w:pPr>
        <w:pStyle w:val="5"/>
        <w:pageBreakBefore w:val="0"/>
        <w:kinsoku/>
        <w:wordWrap/>
        <w:overflowPunct/>
        <w:topLinePunct w:val="0"/>
        <w:bidi w:val="0"/>
        <w:spacing w:line="360" w:lineRule="auto"/>
        <w:ind w:firstLine="560" w:firstLineChars="200"/>
      </w:pPr>
      <w:r>
        <w:rPr>
          <w:rFonts w:hint="eastAsia"/>
        </w:rPr>
        <w:t>供应商查看中标通知</w:t>
      </w:r>
    </w:p>
    <w:p w14:paraId="72D4E8AD">
      <w:pPr>
        <w:pageBreakBefore w:val="0"/>
        <w:kinsoku/>
        <w:wordWrap/>
        <w:overflowPunct/>
        <w:topLinePunct w:val="0"/>
        <w:bidi w:val="0"/>
        <w:spacing w:line="360" w:lineRule="auto"/>
        <w:ind w:firstLine="420" w:firstLineChars="200"/>
      </w:pPr>
      <w:r>
        <w:t>路径：招投标中心-非生产类招投标-</w:t>
      </w:r>
      <w:r>
        <w:rPr>
          <w:rFonts w:hint="eastAsia"/>
        </w:rPr>
        <w:t>中标项目；</w:t>
      </w:r>
    </w:p>
    <w:p w14:paraId="30631F8E">
      <w:pPr>
        <w:pageBreakBefore w:val="0"/>
        <w:kinsoku/>
        <w:wordWrap/>
        <w:overflowPunct/>
        <w:topLinePunct w:val="0"/>
        <w:bidi w:val="0"/>
        <w:spacing w:line="360" w:lineRule="auto"/>
        <w:ind w:firstLine="420" w:firstLineChars="200"/>
      </w:pPr>
      <w:r>
        <w:rPr>
          <w:rFonts w:hint="eastAsia"/>
        </w:rPr>
        <w:t>点击查看进入查看中标项目详情。</w:t>
      </w:r>
    </w:p>
    <w:p w14:paraId="2F116E6D">
      <w:pPr>
        <w:pageBreakBefore w:val="0"/>
        <w:kinsoku/>
        <w:wordWrap/>
        <w:overflowPunct/>
        <w:topLinePunct w:val="0"/>
        <w:bidi w:val="0"/>
        <w:spacing w:line="360" w:lineRule="auto"/>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39"/>
                    <a:stretch>
                      <a:fillRect/>
                    </a:stretch>
                  </pic:blipFill>
                  <pic:spPr>
                    <a:xfrm>
                      <a:off x="0" y="0"/>
                      <a:ext cx="5767070" cy="1956435"/>
                    </a:xfrm>
                    <a:prstGeom prst="rect">
                      <a:avLst/>
                    </a:prstGeom>
                    <a:noFill/>
                    <a:ln>
                      <a:noFill/>
                    </a:ln>
                  </pic:spPr>
                </pic:pic>
              </a:graphicData>
            </a:graphic>
          </wp:inline>
        </w:drawing>
      </w:r>
    </w:p>
    <w:p w14:paraId="5CC16FDF">
      <w:pPr>
        <w:pStyle w:val="64"/>
        <w:pageBreakBefore w:val="0"/>
        <w:kinsoku/>
        <w:wordWrap/>
        <w:overflowPunct/>
        <w:topLinePunct w:val="0"/>
        <w:bidi w:val="0"/>
        <w:spacing w:line="360" w:lineRule="auto"/>
        <w:ind w:firstLineChars="0"/>
        <w:rPr>
          <w:rFonts w:hint="eastAsia"/>
          <w:bCs/>
          <w:szCs w:val="21"/>
        </w:rPr>
      </w:pPr>
    </w:p>
    <w:sectPr>
      <w:footerReference r:id="rId8" w:type="default"/>
      <w:pgSz w:w="11910" w:h="16840"/>
      <w:pgMar w:top="1240" w:right="820" w:bottom="1180" w:left="780" w:header="506" w:footer="990" w:gutter="0"/>
      <w:pgBorders>
        <w:top w:val="none" w:sz="0" w:space="0"/>
        <w:left w:val="none" w:sz="0" w:space="0"/>
        <w:bottom w:val="none" w:sz="0" w:space="0"/>
        <w:right w:val="none" w:sz="0" w:space="0"/>
      </w:pgBorders>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CFF7">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47F30">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A47F30">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770A">
    <w:pPr>
      <w:pStyle w:val="16"/>
      <w:pBdr>
        <w:top w:val="single" w:color="auto" w:sz="4" w:space="1"/>
      </w:pBdr>
      <w:rPr>
        <w:rFonts w:eastAsia="楷体_GB2312"/>
        <w: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50595">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50595">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78E3">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C8A77">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AC8A77">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C555">
    <w:pPr>
      <w:pStyle w:val="16"/>
      <w:pBdr>
        <w:top w:val="single" w:color="auto" w:sz="4" w:space="1"/>
      </w:pBdr>
      <w:rPr>
        <w:rFonts w:eastAsia="楷体_GB2312"/>
        <w:i/>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AD4D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A8AD4D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C33A7">
    <w:pPr>
      <w:spacing w:line="14" w:lineRule="auto"/>
      <w:rPr>
        <w:sz w:val="12"/>
      </w:rPr>
    </w:pPr>
    <w:r>
      <w:rPr>
        <w:sz w:val="1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85E24">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F585E24">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F91A0">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C66E0"/>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9FF"/>
    <w:rsid w:val="004E02A0"/>
    <w:rsid w:val="004E43BF"/>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1939"/>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C3E1B"/>
    <w:rsid w:val="00FD039E"/>
    <w:rsid w:val="00FD1BFD"/>
    <w:rsid w:val="00FD453F"/>
    <w:rsid w:val="00FE6581"/>
    <w:rsid w:val="00FE7647"/>
    <w:rsid w:val="00FF0DC0"/>
    <w:rsid w:val="00FF1C92"/>
    <w:rsid w:val="00FF1EFA"/>
    <w:rsid w:val="00FF2797"/>
    <w:rsid w:val="00FF52FC"/>
    <w:rsid w:val="00FF5882"/>
    <w:rsid w:val="01234CA9"/>
    <w:rsid w:val="01A7564D"/>
    <w:rsid w:val="027E0FBC"/>
    <w:rsid w:val="02DD4F2A"/>
    <w:rsid w:val="03373831"/>
    <w:rsid w:val="038F71C9"/>
    <w:rsid w:val="039C15E3"/>
    <w:rsid w:val="04086331"/>
    <w:rsid w:val="040B516B"/>
    <w:rsid w:val="0419527A"/>
    <w:rsid w:val="045716B0"/>
    <w:rsid w:val="045B0FDB"/>
    <w:rsid w:val="04BA5611"/>
    <w:rsid w:val="05261375"/>
    <w:rsid w:val="063B2B4D"/>
    <w:rsid w:val="06D66EBD"/>
    <w:rsid w:val="06DF3513"/>
    <w:rsid w:val="07494836"/>
    <w:rsid w:val="077C7A64"/>
    <w:rsid w:val="078E4413"/>
    <w:rsid w:val="07A62D33"/>
    <w:rsid w:val="07B84938"/>
    <w:rsid w:val="080078F7"/>
    <w:rsid w:val="0843241C"/>
    <w:rsid w:val="084906AD"/>
    <w:rsid w:val="092C7268"/>
    <w:rsid w:val="0980418B"/>
    <w:rsid w:val="09D46A00"/>
    <w:rsid w:val="0A0A0447"/>
    <w:rsid w:val="0A60366D"/>
    <w:rsid w:val="0A661B24"/>
    <w:rsid w:val="0A6767AA"/>
    <w:rsid w:val="0A6A6167"/>
    <w:rsid w:val="0A893322"/>
    <w:rsid w:val="0A9E7CF1"/>
    <w:rsid w:val="0AC46ED2"/>
    <w:rsid w:val="0AF838A6"/>
    <w:rsid w:val="0B077F8D"/>
    <w:rsid w:val="0B2C7FA2"/>
    <w:rsid w:val="0BD63594"/>
    <w:rsid w:val="0BF22ED6"/>
    <w:rsid w:val="0C041EBB"/>
    <w:rsid w:val="0C0C3B7A"/>
    <w:rsid w:val="0C621C7F"/>
    <w:rsid w:val="0CFA11D2"/>
    <w:rsid w:val="0D9F1E12"/>
    <w:rsid w:val="0DA07A4C"/>
    <w:rsid w:val="0DBC6CC3"/>
    <w:rsid w:val="0DED38FB"/>
    <w:rsid w:val="0E2E7E25"/>
    <w:rsid w:val="0E994826"/>
    <w:rsid w:val="0EAE1417"/>
    <w:rsid w:val="0EE3661B"/>
    <w:rsid w:val="0F4277E5"/>
    <w:rsid w:val="0F582B65"/>
    <w:rsid w:val="0F68155A"/>
    <w:rsid w:val="0FBA381F"/>
    <w:rsid w:val="0FD27E94"/>
    <w:rsid w:val="10800EB1"/>
    <w:rsid w:val="10B337EB"/>
    <w:rsid w:val="10C8155D"/>
    <w:rsid w:val="10EB6CC3"/>
    <w:rsid w:val="111D76A0"/>
    <w:rsid w:val="113C5544"/>
    <w:rsid w:val="116C2CA3"/>
    <w:rsid w:val="11FF6B41"/>
    <w:rsid w:val="120F6302"/>
    <w:rsid w:val="125870C6"/>
    <w:rsid w:val="12D93B80"/>
    <w:rsid w:val="1333625E"/>
    <w:rsid w:val="134306AA"/>
    <w:rsid w:val="135D6D60"/>
    <w:rsid w:val="14107EB2"/>
    <w:rsid w:val="14261483"/>
    <w:rsid w:val="146F2E2A"/>
    <w:rsid w:val="152350A8"/>
    <w:rsid w:val="15F5735F"/>
    <w:rsid w:val="161F3287"/>
    <w:rsid w:val="16554775"/>
    <w:rsid w:val="165F6212"/>
    <w:rsid w:val="16955D32"/>
    <w:rsid w:val="16982315"/>
    <w:rsid w:val="16AC30DF"/>
    <w:rsid w:val="17744FCB"/>
    <w:rsid w:val="177F06B2"/>
    <w:rsid w:val="178070FD"/>
    <w:rsid w:val="17BD3EAD"/>
    <w:rsid w:val="17E85686"/>
    <w:rsid w:val="18161272"/>
    <w:rsid w:val="185F086F"/>
    <w:rsid w:val="18E16E2E"/>
    <w:rsid w:val="191C10A7"/>
    <w:rsid w:val="19570331"/>
    <w:rsid w:val="196D75F0"/>
    <w:rsid w:val="1A3A6F2A"/>
    <w:rsid w:val="1A716171"/>
    <w:rsid w:val="1A976996"/>
    <w:rsid w:val="1AC11F06"/>
    <w:rsid w:val="1AF73531"/>
    <w:rsid w:val="1B433C89"/>
    <w:rsid w:val="1BCD0CAE"/>
    <w:rsid w:val="1BD15684"/>
    <w:rsid w:val="1BD631F0"/>
    <w:rsid w:val="1BDC4A53"/>
    <w:rsid w:val="1BF754B3"/>
    <w:rsid w:val="1C39400F"/>
    <w:rsid w:val="1C953F85"/>
    <w:rsid w:val="1CB17C9C"/>
    <w:rsid w:val="1CCB1BEA"/>
    <w:rsid w:val="1D5C7CC4"/>
    <w:rsid w:val="1D761B9E"/>
    <w:rsid w:val="1DD30405"/>
    <w:rsid w:val="1DDA3C49"/>
    <w:rsid w:val="1E6C46DB"/>
    <w:rsid w:val="1E7742E8"/>
    <w:rsid w:val="1EE202E1"/>
    <w:rsid w:val="1EFC175F"/>
    <w:rsid w:val="1F220B0B"/>
    <w:rsid w:val="1F3C5FFF"/>
    <w:rsid w:val="1F861028"/>
    <w:rsid w:val="1FB76D9F"/>
    <w:rsid w:val="1FE26A06"/>
    <w:rsid w:val="1FE83A91"/>
    <w:rsid w:val="200D34F7"/>
    <w:rsid w:val="20304AB0"/>
    <w:rsid w:val="204D5704"/>
    <w:rsid w:val="20644526"/>
    <w:rsid w:val="20AE6A88"/>
    <w:rsid w:val="20CA112B"/>
    <w:rsid w:val="20F841A8"/>
    <w:rsid w:val="21602BFC"/>
    <w:rsid w:val="21B24356"/>
    <w:rsid w:val="21C64A44"/>
    <w:rsid w:val="21CE2CE2"/>
    <w:rsid w:val="220426D8"/>
    <w:rsid w:val="2214432A"/>
    <w:rsid w:val="229A0C6D"/>
    <w:rsid w:val="22F77CE7"/>
    <w:rsid w:val="23113DC7"/>
    <w:rsid w:val="233F1C1A"/>
    <w:rsid w:val="235B27CC"/>
    <w:rsid w:val="237F295E"/>
    <w:rsid w:val="23CF0E39"/>
    <w:rsid w:val="23D507D0"/>
    <w:rsid w:val="23FC7B0B"/>
    <w:rsid w:val="241762F0"/>
    <w:rsid w:val="24212704"/>
    <w:rsid w:val="24613E12"/>
    <w:rsid w:val="2485133F"/>
    <w:rsid w:val="249665CE"/>
    <w:rsid w:val="24E25D13"/>
    <w:rsid w:val="252214A4"/>
    <w:rsid w:val="253A3131"/>
    <w:rsid w:val="25784B2E"/>
    <w:rsid w:val="25794716"/>
    <w:rsid w:val="25B5240A"/>
    <w:rsid w:val="25F819F9"/>
    <w:rsid w:val="262265DF"/>
    <w:rsid w:val="26AA3CDB"/>
    <w:rsid w:val="26D1527F"/>
    <w:rsid w:val="26E86111"/>
    <w:rsid w:val="27003DB6"/>
    <w:rsid w:val="27077159"/>
    <w:rsid w:val="27A4642C"/>
    <w:rsid w:val="27F33A7B"/>
    <w:rsid w:val="28247EBD"/>
    <w:rsid w:val="28727BDF"/>
    <w:rsid w:val="287F787B"/>
    <w:rsid w:val="28893937"/>
    <w:rsid w:val="28DE0E1C"/>
    <w:rsid w:val="294C6E3F"/>
    <w:rsid w:val="29D11FA3"/>
    <w:rsid w:val="29F86FC6"/>
    <w:rsid w:val="2A7F2767"/>
    <w:rsid w:val="2A8B3997"/>
    <w:rsid w:val="2A9C2048"/>
    <w:rsid w:val="2AD07FCD"/>
    <w:rsid w:val="2AE00186"/>
    <w:rsid w:val="2AE568ED"/>
    <w:rsid w:val="2AF94C5C"/>
    <w:rsid w:val="2B3A6011"/>
    <w:rsid w:val="2B626DED"/>
    <w:rsid w:val="2B76374B"/>
    <w:rsid w:val="2B921060"/>
    <w:rsid w:val="2B9E3304"/>
    <w:rsid w:val="2BFD2672"/>
    <w:rsid w:val="2C0559CB"/>
    <w:rsid w:val="2C4814B2"/>
    <w:rsid w:val="2C622E1D"/>
    <w:rsid w:val="2C97588D"/>
    <w:rsid w:val="2CAA1FEC"/>
    <w:rsid w:val="2CC55886"/>
    <w:rsid w:val="2D001B79"/>
    <w:rsid w:val="2DBA6E46"/>
    <w:rsid w:val="2EB5143F"/>
    <w:rsid w:val="2ED15EFD"/>
    <w:rsid w:val="2F077E50"/>
    <w:rsid w:val="2F452C1A"/>
    <w:rsid w:val="2FB049BB"/>
    <w:rsid w:val="2FB05051"/>
    <w:rsid w:val="2FDD5AF4"/>
    <w:rsid w:val="30316D8E"/>
    <w:rsid w:val="3049057C"/>
    <w:rsid w:val="30C62B96"/>
    <w:rsid w:val="30E6136A"/>
    <w:rsid w:val="31764A6A"/>
    <w:rsid w:val="323B0398"/>
    <w:rsid w:val="3276790B"/>
    <w:rsid w:val="32CC72FA"/>
    <w:rsid w:val="32E067AA"/>
    <w:rsid w:val="33170AF3"/>
    <w:rsid w:val="33254AD1"/>
    <w:rsid w:val="33280087"/>
    <w:rsid w:val="333F5C66"/>
    <w:rsid w:val="33862BB9"/>
    <w:rsid w:val="33905E58"/>
    <w:rsid w:val="33936616"/>
    <w:rsid w:val="33963E69"/>
    <w:rsid w:val="33AF0544"/>
    <w:rsid w:val="341E1D1F"/>
    <w:rsid w:val="341F3E99"/>
    <w:rsid w:val="345A32DE"/>
    <w:rsid w:val="34AC10D9"/>
    <w:rsid w:val="34D6594B"/>
    <w:rsid w:val="34DC57E5"/>
    <w:rsid w:val="350863F2"/>
    <w:rsid w:val="35284C04"/>
    <w:rsid w:val="359466B9"/>
    <w:rsid w:val="35AD335B"/>
    <w:rsid w:val="35D94EC4"/>
    <w:rsid w:val="36314F68"/>
    <w:rsid w:val="365D64B0"/>
    <w:rsid w:val="366A2FFA"/>
    <w:rsid w:val="367A4287"/>
    <w:rsid w:val="36801680"/>
    <w:rsid w:val="368D4568"/>
    <w:rsid w:val="36987B67"/>
    <w:rsid w:val="36BC477B"/>
    <w:rsid w:val="36D347F2"/>
    <w:rsid w:val="36D97016"/>
    <w:rsid w:val="36EB792F"/>
    <w:rsid w:val="36F43125"/>
    <w:rsid w:val="372413FB"/>
    <w:rsid w:val="372869FE"/>
    <w:rsid w:val="37301105"/>
    <w:rsid w:val="37C874C7"/>
    <w:rsid w:val="37CD55EE"/>
    <w:rsid w:val="37F52D97"/>
    <w:rsid w:val="380354B4"/>
    <w:rsid w:val="382613D8"/>
    <w:rsid w:val="383D28EC"/>
    <w:rsid w:val="38EF1AE2"/>
    <w:rsid w:val="391B05DB"/>
    <w:rsid w:val="393D0552"/>
    <w:rsid w:val="3994572A"/>
    <w:rsid w:val="3A6303AE"/>
    <w:rsid w:val="3AF85078"/>
    <w:rsid w:val="3B22658C"/>
    <w:rsid w:val="3B7D732B"/>
    <w:rsid w:val="3BBA497D"/>
    <w:rsid w:val="3BD04FCB"/>
    <w:rsid w:val="3BD66A3C"/>
    <w:rsid w:val="3BD808FC"/>
    <w:rsid w:val="3BFA3D2C"/>
    <w:rsid w:val="3C122554"/>
    <w:rsid w:val="3CD029E3"/>
    <w:rsid w:val="3D1617E6"/>
    <w:rsid w:val="3D370318"/>
    <w:rsid w:val="3D7529B0"/>
    <w:rsid w:val="3E043CEC"/>
    <w:rsid w:val="3E1C3315"/>
    <w:rsid w:val="3E32389E"/>
    <w:rsid w:val="3E4D1237"/>
    <w:rsid w:val="3E6B2C8E"/>
    <w:rsid w:val="3E78202C"/>
    <w:rsid w:val="3E7C1B1C"/>
    <w:rsid w:val="3EDD39F2"/>
    <w:rsid w:val="3EE51ABA"/>
    <w:rsid w:val="3EF362E1"/>
    <w:rsid w:val="3F2B706F"/>
    <w:rsid w:val="3F871126"/>
    <w:rsid w:val="3FE61943"/>
    <w:rsid w:val="3FF51B86"/>
    <w:rsid w:val="400C5FCD"/>
    <w:rsid w:val="40431E29"/>
    <w:rsid w:val="405B4DB8"/>
    <w:rsid w:val="406465D4"/>
    <w:rsid w:val="406867FC"/>
    <w:rsid w:val="409C0254"/>
    <w:rsid w:val="40E85247"/>
    <w:rsid w:val="40F97CA8"/>
    <w:rsid w:val="410140EC"/>
    <w:rsid w:val="41280E36"/>
    <w:rsid w:val="41374461"/>
    <w:rsid w:val="413E755D"/>
    <w:rsid w:val="416A7D6B"/>
    <w:rsid w:val="41874A60"/>
    <w:rsid w:val="41AF2209"/>
    <w:rsid w:val="42047CA8"/>
    <w:rsid w:val="427352C7"/>
    <w:rsid w:val="42B06A93"/>
    <w:rsid w:val="433950FA"/>
    <w:rsid w:val="43F53EEB"/>
    <w:rsid w:val="44487672"/>
    <w:rsid w:val="445552E9"/>
    <w:rsid w:val="44614E4F"/>
    <w:rsid w:val="446E1F07"/>
    <w:rsid w:val="44C45FCB"/>
    <w:rsid w:val="44FC75FF"/>
    <w:rsid w:val="45091B37"/>
    <w:rsid w:val="45266ADC"/>
    <w:rsid w:val="45794696"/>
    <w:rsid w:val="458934F3"/>
    <w:rsid w:val="458A1F01"/>
    <w:rsid w:val="459C3AC7"/>
    <w:rsid w:val="460E4E38"/>
    <w:rsid w:val="462E5DF2"/>
    <w:rsid w:val="4689127A"/>
    <w:rsid w:val="469871A9"/>
    <w:rsid w:val="46DF0E9A"/>
    <w:rsid w:val="47121270"/>
    <w:rsid w:val="47174AD8"/>
    <w:rsid w:val="475664E7"/>
    <w:rsid w:val="476F4015"/>
    <w:rsid w:val="48111527"/>
    <w:rsid w:val="48335942"/>
    <w:rsid w:val="484D51C7"/>
    <w:rsid w:val="48714E5B"/>
    <w:rsid w:val="48A30CDC"/>
    <w:rsid w:val="48B37C54"/>
    <w:rsid w:val="48C804BB"/>
    <w:rsid w:val="48D72771"/>
    <w:rsid w:val="492139EC"/>
    <w:rsid w:val="493D1461"/>
    <w:rsid w:val="498D72D3"/>
    <w:rsid w:val="49B735B5"/>
    <w:rsid w:val="49FB1F28"/>
    <w:rsid w:val="4A1F1CA7"/>
    <w:rsid w:val="4AD4666F"/>
    <w:rsid w:val="4AEB42B2"/>
    <w:rsid w:val="4B182C14"/>
    <w:rsid w:val="4B192D0E"/>
    <w:rsid w:val="4B2D7DA2"/>
    <w:rsid w:val="4B906C07"/>
    <w:rsid w:val="4BD3408C"/>
    <w:rsid w:val="4C0170D3"/>
    <w:rsid w:val="4C883B5C"/>
    <w:rsid w:val="4C8F3096"/>
    <w:rsid w:val="4CCB437C"/>
    <w:rsid w:val="4CD6689C"/>
    <w:rsid w:val="4D243AAB"/>
    <w:rsid w:val="4D38057A"/>
    <w:rsid w:val="4D4C3002"/>
    <w:rsid w:val="4D693BB4"/>
    <w:rsid w:val="4D9146E0"/>
    <w:rsid w:val="4D9D16E6"/>
    <w:rsid w:val="4DB03590"/>
    <w:rsid w:val="4E145286"/>
    <w:rsid w:val="4E2912CA"/>
    <w:rsid w:val="4E690B47"/>
    <w:rsid w:val="4EC76987"/>
    <w:rsid w:val="4EDD2072"/>
    <w:rsid w:val="4EEB2AE1"/>
    <w:rsid w:val="4F0973FC"/>
    <w:rsid w:val="4F3C19A3"/>
    <w:rsid w:val="4F753399"/>
    <w:rsid w:val="4F8A2EF2"/>
    <w:rsid w:val="5048698F"/>
    <w:rsid w:val="506E4387"/>
    <w:rsid w:val="50761272"/>
    <w:rsid w:val="50B0000B"/>
    <w:rsid w:val="50B10FC5"/>
    <w:rsid w:val="51507918"/>
    <w:rsid w:val="516E29E7"/>
    <w:rsid w:val="51D5601A"/>
    <w:rsid w:val="51F223CA"/>
    <w:rsid w:val="52721C64"/>
    <w:rsid w:val="527E3C5D"/>
    <w:rsid w:val="52DD2393"/>
    <w:rsid w:val="52F206F6"/>
    <w:rsid w:val="53486019"/>
    <w:rsid w:val="53564107"/>
    <w:rsid w:val="535A51E8"/>
    <w:rsid w:val="53642E53"/>
    <w:rsid w:val="53726404"/>
    <w:rsid w:val="54106131"/>
    <w:rsid w:val="541A317A"/>
    <w:rsid w:val="547371DB"/>
    <w:rsid w:val="547D7DB3"/>
    <w:rsid w:val="55287EB0"/>
    <w:rsid w:val="554F195D"/>
    <w:rsid w:val="55992460"/>
    <w:rsid w:val="55D2615F"/>
    <w:rsid w:val="562B467A"/>
    <w:rsid w:val="56352885"/>
    <w:rsid w:val="56BC2FA6"/>
    <w:rsid w:val="57137BED"/>
    <w:rsid w:val="572B2154"/>
    <w:rsid w:val="579251E4"/>
    <w:rsid w:val="57A852D8"/>
    <w:rsid w:val="57B66A9B"/>
    <w:rsid w:val="57EC1669"/>
    <w:rsid w:val="580A6EA6"/>
    <w:rsid w:val="58136BF6"/>
    <w:rsid w:val="581761E1"/>
    <w:rsid w:val="58E064F6"/>
    <w:rsid w:val="58FD02EC"/>
    <w:rsid w:val="59F87E25"/>
    <w:rsid w:val="5AA34F66"/>
    <w:rsid w:val="5AC253A4"/>
    <w:rsid w:val="5AD7795C"/>
    <w:rsid w:val="5B173BB7"/>
    <w:rsid w:val="5B386973"/>
    <w:rsid w:val="5B5C08B4"/>
    <w:rsid w:val="5B653C0C"/>
    <w:rsid w:val="5B6E63C2"/>
    <w:rsid w:val="5B74571A"/>
    <w:rsid w:val="5BFD6EEA"/>
    <w:rsid w:val="5C050809"/>
    <w:rsid w:val="5C435542"/>
    <w:rsid w:val="5C4D498B"/>
    <w:rsid w:val="5CB51B60"/>
    <w:rsid w:val="5CFA3423"/>
    <w:rsid w:val="5D1B64E9"/>
    <w:rsid w:val="5D3D7371"/>
    <w:rsid w:val="5DE77A3D"/>
    <w:rsid w:val="5EA24E14"/>
    <w:rsid w:val="5ED66574"/>
    <w:rsid w:val="5F1B2643"/>
    <w:rsid w:val="5F2B0CC9"/>
    <w:rsid w:val="5F9439FA"/>
    <w:rsid w:val="5FC058B5"/>
    <w:rsid w:val="5FE41601"/>
    <w:rsid w:val="601436B7"/>
    <w:rsid w:val="601F7ABE"/>
    <w:rsid w:val="60721B52"/>
    <w:rsid w:val="60B82A30"/>
    <w:rsid w:val="6122555F"/>
    <w:rsid w:val="61BB3167"/>
    <w:rsid w:val="61BC1839"/>
    <w:rsid w:val="61E635CD"/>
    <w:rsid w:val="62166447"/>
    <w:rsid w:val="62573D67"/>
    <w:rsid w:val="627209BD"/>
    <w:rsid w:val="63263DA0"/>
    <w:rsid w:val="63380AEB"/>
    <w:rsid w:val="63BA6ABF"/>
    <w:rsid w:val="63BD24E3"/>
    <w:rsid w:val="64970BAF"/>
    <w:rsid w:val="64BE438D"/>
    <w:rsid w:val="64CC2A37"/>
    <w:rsid w:val="64D21BE7"/>
    <w:rsid w:val="650A498B"/>
    <w:rsid w:val="65307892"/>
    <w:rsid w:val="653F6DDA"/>
    <w:rsid w:val="657F0712"/>
    <w:rsid w:val="6716400D"/>
    <w:rsid w:val="678D79C8"/>
    <w:rsid w:val="67BD203F"/>
    <w:rsid w:val="67D619EE"/>
    <w:rsid w:val="67D8518E"/>
    <w:rsid w:val="67FF1EF4"/>
    <w:rsid w:val="68246BFD"/>
    <w:rsid w:val="68925AA2"/>
    <w:rsid w:val="68C91D73"/>
    <w:rsid w:val="68F54438"/>
    <w:rsid w:val="69051B5C"/>
    <w:rsid w:val="690979BD"/>
    <w:rsid w:val="6922789C"/>
    <w:rsid w:val="69637FF5"/>
    <w:rsid w:val="696C3AA1"/>
    <w:rsid w:val="69C67F6C"/>
    <w:rsid w:val="69CD7122"/>
    <w:rsid w:val="69EE1D33"/>
    <w:rsid w:val="6A297F42"/>
    <w:rsid w:val="6AFB4DE7"/>
    <w:rsid w:val="6B6D4417"/>
    <w:rsid w:val="6B6F018F"/>
    <w:rsid w:val="6B80239C"/>
    <w:rsid w:val="6BC4672D"/>
    <w:rsid w:val="6BDF5E13"/>
    <w:rsid w:val="6C4E6C53"/>
    <w:rsid w:val="6CAC24FA"/>
    <w:rsid w:val="6CB2328B"/>
    <w:rsid w:val="6CB7209F"/>
    <w:rsid w:val="6CF20989"/>
    <w:rsid w:val="6CF46B9E"/>
    <w:rsid w:val="6D1E29EA"/>
    <w:rsid w:val="6D761CA9"/>
    <w:rsid w:val="6DA267A7"/>
    <w:rsid w:val="6DCF206C"/>
    <w:rsid w:val="6DE40E56"/>
    <w:rsid w:val="6E2D66B8"/>
    <w:rsid w:val="6E74143C"/>
    <w:rsid w:val="6E91666F"/>
    <w:rsid w:val="6E93630D"/>
    <w:rsid w:val="6EEF073C"/>
    <w:rsid w:val="6F36506F"/>
    <w:rsid w:val="6F64497D"/>
    <w:rsid w:val="6F753088"/>
    <w:rsid w:val="6FBB0A75"/>
    <w:rsid w:val="6FF457F4"/>
    <w:rsid w:val="70187047"/>
    <w:rsid w:val="7030322E"/>
    <w:rsid w:val="7073427E"/>
    <w:rsid w:val="70AD5355"/>
    <w:rsid w:val="70B414AB"/>
    <w:rsid w:val="70C96594"/>
    <w:rsid w:val="70CE7706"/>
    <w:rsid w:val="70FD28AD"/>
    <w:rsid w:val="71166005"/>
    <w:rsid w:val="729C0B15"/>
    <w:rsid w:val="72A66B8C"/>
    <w:rsid w:val="72DB0CEA"/>
    <w:rsid w:val="72F5541E"/>
    <w:rsid w:val="732072E7"/>
    <w:rsid w:val="73291AA5"/>
    <w:rsid w:val="732A2813"/>
    <w:rsid w:val="734B2780"/>
    <w:rsid w:val="7361715D"/>
    <w:rsid w:val="738A6545"/>
    <w:rsid w:val="73BF77DA"/>
    <w:rsid w:val="7420296E"/>
    <w:rsid w:val="74AC2AD1"/>
    <w:rsid w:val="74E611B1"/>
    <w:rsid w:val="754E312B"/>
    <w:rsid w:val="755D74B7"/>
    <w:rsid w:val="756D573F"/>
    <w:rsid w:val="757D0174"/>
    <w:rsid w:val="75882579"/>
    <w:rsid w:val="75894543"/>
    <w:rsid w:val="76192699"/>
    <w:rsid w:val="76AC04E9"/>
    <w:rsid w:val="770677F4"/>
    <w:rsid w:val="774E15A1"/>
    <w:rsid w:val="77A065D1"/>
    <w:rsid w:val="77BF26B2"/>
    <w:rsid w:val="77D9530E"/>
    <w:rsid w:val="78393FFF"/>
    <w:rsid w:val="789254BD"/>
    <w:rsid w:val="78FC1935"/>
    <w:rsid w:val="791A1E16"/>
    <w:rsid w:val="793F5645"/>
    <w:rsid w:val="797C6ABF"/>
    <w:rsid w:val="79E924E8"/>
    <w:rsid w:val="7A1C72A4"/>
    <w:rsid w:val="7A3063B5"/>
    <w:rsid w:val="7A4E3666"/>
    <w:rsid w:val="7AA86067"/>
    <w:rsid w:val="7ACF5037"/>
    <w:rsid w:val="7AE41008"/>
    <w:rsid w:val="7AEE4A1A"/>
    <w:rsid w:val="7AF52530"/>
    <w:rsid w:val="7B4A4260"/>
    <w:rsid w:val="7B8A108A"/>
    <w:rsid w:val="7B8B555F"/>
    <w:rsid w:val="7BBA5E8A"/>
    <w:rsid w:val="7BFF6CD6"/>
    <w:rsid w:val="7C49348A"/>
    <w:rsid w:val="7C9C0F92"/>
    <w:rsid w:val="7CED4708"/>
    <w:rsid w:val="7CF92C2C"/>
    <w:rsid w:val="7D172435"/>
    <w:rsid w:val="7D277BDA"/>
    <w:rsid w:val="7D3E49B9"/>
    <w:rsid w:val="7D9017FB"/>
    <w:rsid w:val="7DB7337B"/>
    <w:rsid w:val="7DFE5412"/>
    <w:rsid w:val="7E4A010A"/>
    <w:rsid w:val="7F5A251A"/>
    <w:rsid w:val="7F7678E7"/>
    <w:rsid w:val="7F7D1704"/>
    <w:rsid w:val="7F9F1445"/>
    <w:rsid w:val="7FED72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 w:type="paragraph" w:customStyle="1" w:styleId="81">
    <w:name w:val="列表段落1"/>
    <w:basedOn w:val="1"/>
    <w:qFormat/>
    <w:uiPriority w:val="34"/>
    <w:pPr>
      <w:ind w:firstLine="420" w:firstLineChars="200"/>
      <w:jc w:val="both"/>
    </w:pPr>
    <w:rPr>
      <w:rFonts w:ascii="Calibri" w:hAnsi="Calibri"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41</Pages>
  <Words>13774</Words>
  <Characters>14513</Characters>
  <Lines>147</Lines>
  <Paragraphs>41</Paragraphs>
  <TotalTime>30</TotalTime>
  <ScaleCrop>false</ScaleCrop>
  <LinksUpToDate>false</LinksUpToDate>
  <CharactersWithSpaces>15213</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庄海涛</cp:lastModifiedBy>
  <cp:lastPrinted>2019-10-06T05:29:00Z</cp:lastPrinted>
  <dcterms:modified xsi:type="dcterms:W3CDTF">2026-06-02T08:52:08Z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