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0B6AD">
      <w:pPr>
        <w:pStyle w:val="2"/>
        <w:widowControl/>
        <w:jc w:val="center"/>
        <w:rPr>
          <w:i w:val="0"/>
          <w:iCs/>
          <w:sz w:val="32"/>
          <w:szCs w:val="32"/>
          <w:lang w:val="en-US"/>
        </w:rPr>
      </w:pPr>
      <w:bookmarkStart w:id="0" w:name="_Toc12866"/>
      <w:r>
        <w:rPr>
          <w:rFonts w:hint="eastAsia" w:cs="宋体"/>
          <w:i w:val="0"/>
          <w:iCs/>
          <w:sz w:val="32"/>
          <w:szCs w:val="32"/>
          <w:lang w:val="en-US" w:eastAsia="zh-CN"/>
        </w:rPr>
        <w:t>山东重工集团2026年汉诺威车展展位设计及落地监督管理项目招标公告</w:t>
      </w:r>
      <w:bookmarkEnd w:id="0"/>
    </w:p>
    <w:p w14:paraId="7C76F0F5">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ZBGL2026040076</w:t>
      </w:r>
      <w:r>
        <w:rPr>
          <w:rFonts w:hint="eastAsia" w:ascii="Cambria" w:hAnsi="Cambria" w:eastAsia="宋体" w:cs="宋体"/>
          <w:b/>
          <w:bCs/>
          <w:i w:val="0"/>
          <w:iCs/>
          <w:sz w:val="22"/>
          <w:szCs w:val="22"/>
          <w:highlight w:val="none"/>
          <w:lang w:eastAsia="zh-CN"/>
        </w:rPr>
        <w:t>）</w:t>
      </w:r>
      <w:bookmarkEnd w:id="1"/>
    </w:p>
    <w:p w14:paraId="663023A3">
      <w:pPr>
        <w:rPr>
          <w:rFonts w:hint="eastAsia" w:asciiTheme="majorEastAsia" w:hAnsiTheme="majorEastAsia" w:eastAsiaTheme="majorEastAsia" w:cstheme="majorEastAsia"/>
          <w:b/>
          <w:bCs/>
          <w:sz w:val="24"/>
          <w:szCs w:val="24"/>
        </w:rPr>
      </w:pPr>
    </w:p>
    <w:p w14:paraId="1C9E7028">
      <w:pPr>
        <w:rPr>
          <w:rFonts w:hint="eastAsia" w:asciiTheme="majorEastAsia" w:hAnsiTheme="majorEastAsia" w:eastAsiaTheme="majorEastAsia" w:cstheme="majorEastAsia"/>
          <w:b/>
          <w:bCs/>
          <w:sz w:val="24"/>
          <w:szCs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538BDF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964079A">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6A22F023">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2026-4-8</w:t>
            </w:r>
          </w:p>
        </w:tc>
        <w:tc>
          <w:tcPr>
            <w:tcW w:w="2200" w:type="dxa"/>
            <w:shd w:val="clear" w:color="auto" w:fill="DEDEDE"/>
            <w:vAlign w:val="center"/>
          </w:tcPr>
          <w:p w14:paraId="0702968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787B606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2026-4-15</w:t>
            </w:r>
          </w:p>
        </w:tc>
      </w:tr>
    </w:tbl>
    <w:p w14:paraId="2AEFAA02">
      <w:pPr>
        <w:rPr>
          <w:rFonts w:hint="eastAsia" w:asciiTheme="majorEastAsia" w:hAnsiTheme="majorEastAsia" w:eastAsiaTheme="majorEastAsia" w:cstheme="majorEastAsia"/>
          <w:b/>
          <w:bCs/>
          <w:sz w:val="24"/>
          <w:szCs w:val="24"/>
        </w:rPr>
      </w:pPr>
    </w:p>
    <w:p w14:paraId="48232F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1081C8AD">
      <w:pPr>
        <w:rPr>
          <w:rFonts w:hint="eastAsia" w:ascii="宋体" w:hAnsi="Courier New"/>
        </w:rPr>
      </w:pPr>
      <w:r>
        <w:rPr>
          <w:rFonts w:hint="eastAsia" w:ascii="宋体" w:hAnsi="Courier New"/>
        </w:rPr>
        <w:t>德国汉诺威国际商用车展（IAA）是全球商用车领域规模最大、影响力最强的国际盛会，为深入贯彻集团国际化发展战略，全面展示山东重工集团及权属企业在新能源、智能化、绿色低碳等领域的核心技术与高端产品实力，提升品牌国际影响力与全球竞争力，现由山东重工集团组织中国重汽、潍柴、汉德三家企业联合参加2026年9月14日至20日召开的2026年德国汉诺威国际商用车展。</w:t>
      </w:r>
    </w:p>
    <w:p w14:paraId="4355068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23D87AA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山东重工集团2026年汉诺威车展展位设计及落地监督管理项目</w:t>
      </w:r>
    </w:p>
    <w:p w14:paraId="22FA98DC">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服务 / 品牌宣传</w:t>
      </w:r>
    </w:p>
    <w:p w14:paraId="057565B5">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FBF2B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三、供应商资格条件  </w:t>
      </w:r>
    </w:p>
    <w:p w14:paraId="5574EDEA">
      <w:pPr>
        <w:pStyle w:val="33"/>
        <w:widowControl/>
        <w:numPr>
          <w:ilvl w:val="0"/>
          <w:numId w:val="2"/>
        </w:numPr>
        <w:spacing w:line="312" w:lineRule="auto"/>
        <w:ind w:firstLine="560"/>
        <w:rPr>
          <w:rFonts w:hint="eastAsia" w:ascii="宋体" w:hAnsi="宋体" w:eastAsia="宋体" w:cs="宋体"/>
          <w:sz w:val="24"/>
          <w:szCs w:val="24"/>
        </w:rPr>
      </w:pPr>
      <w:r>
        <w:rPr>
          <w:rFonts w:hint="eastAsia" w:ascii="宋体" w:hAnsi="宋体" w:eastAsia="宋体" w:cs="宋体"/>
          <w:sz w:val="24"/>
          <w:szCs w:val="24"/>
        </w:rPr>
        <w:t>投标人应遵守《中华人民共和国招投标法》及有关的法律和法规。具备独立法人资格，具有独立承担民事责任能力、良好的财务状况、一定的垫资能力，经营稳定，资质符合项目要求，具有全面履约能力。</w:t>
      </w:r>
    </w:p>
    <w:p w14:paraId="0245A355">
      <w:pPr>
        <w:pStyle w:val="33"/>
        <w:widowControl/>
        <w:numPr>
          <w:ilvl w:val="0"/>
          <w:numId w:val="2"/>
        </w:numPr>
        <w:spacing w:line="312" w:lineRule="auto"/>
        <w:ind w:firstLine="560"/>
        <w:rPr>
          <w:rFonts w:hint="eastAsia" w:ascii="宋体" w:hAnsi="宋体" w:eastAsia="宋体" w:cs="宋体"/>
          <w:sz w:val="24"/>
          <w:szCs w:val="24"/>
        </w:rPr>
      </w:pPr>
      <w:r>
        <w:rPr>
          <w:rFonts w:hint="eastAsia" w:ascii="宋体" w:hAnsi="宋体" w:eastAsia="宋体" w:cs="宋体"/>
          <w:sz w:val="24"/>
          <w:szCs w:val="24"/>
        </w:rPr>
        <w:t>投标人的注册资金不低于200万人民币，营业执照在有效期内并且经营范围满足招标人需求。</w:t>
      </w:r>
    </w:p>
    <w:p w14:paraId="000A5AF2">
      <w:pPr>
        <w:pStyle w:val="33"/>
        <w:widowControl/>
        <w:numPr>
          <w:ilvl w:val="0"/>
          <w:numId w:val="2"/>
        </w:numPr>
        <w:spacing w:line="312" w:lineRule="auto"/>
        <w:ind w:firstLine="560"/>
        <w:rPr>
          <w:rFonts w:hint="eastAsia" w:ascii="宋体" w:hAnsi="宋体" w:eastAsia="宋体" w:cs="宋体"/>
          <w:sz w:val="24"/>
          <w:szCs w:val="24"/>
        </w:rPr>
      </w:pPr>
      <w:r>
        <w:rPr>
          <w:rFonts w:hint="eastAsia" w:ascii="宋体" w:hAnsi="宋体" w:eastAsia="宋体" w:cs="宋体"/>
          <w:sz w:val="24"/>
          <w:szCs w:val="24"/>
        </w:rPr>
        <w:t>投标人在国家企业信用信息公示系统中有不良记录、近三年的公司财务报表异常、存在严重违规或被列入招标人“黑名单”的，招标人有权取消其投标资格。</w:t>
      </w:r>
    </w:p>
    <w:p w14:paraId="444D9A91">
      <w:pPr>
        <w:pStyle w:val="33"/>
        <w:widowControl/>
        <w:numPr>
          <w:ilvl w:val="0"/>
          <w:numId w:val="2"/>
        </w:numPr>
        <w:spacing w:line="312" w:lineRule="auto"/>
        <w:ind w:firstLine="560"/>
        <w:rPr>
          <w:rFonts w:hint="eastAsia" w:ascii="宋体" w:hAnsi="宋体" w:eastAsia="宋体" w:cs="宋体"/>
          <w:sz w:val="24"/>
          <w:szCs w:val="24"/>
        </w:rPr>
      </w:pPr>
      <w:r>
        <w:rPr>
          <w:rFonts w:hint="eastAsia" w:ascii="宋体" w:hAnsi="宋体" w:eastAsia="宋体" w:cs="宋体"/>
          <w:sz w:val="24"/>
          <w:szCs w:val="24"/>
        </w:rPr>
        <w:t xml:space="preserve">投标方的直接或间接股东、法定代表人、董事、监事、高管非山东重工集团内员工及其亲属。 </w:t>
      </w:r>
    </w:p>
    <w:p w14:paraId="561A1EFC">
      <w:pPr>
        <w:pStyle w:val="33"/>
        <w:widowControl/>
        <w:numPr>
          <w:ilvl w:val="0"/>
          <w:numId w:val="2"/>
        </w:numPr>
        <w:spacing w:line="312" w:lineRule="auto"/>
        <w:ind w:firstLine="560"/>
        <w:rPr>
          <w:rFonts w:hint="eastAsia" w:ascii="宋体" w:hAnsi="宋体" w:eastAsia="宋体" w:cs="宋体"/>
          <w:sz w:val="24"/>
          <w:szCs w:val="24"/>
        </w:rPr>
      </w:pPr>
      <w:r>
        <w:rPr>
          <w:rFonts w:hint="eastAsia" w:ascii="宋体" w:hAnsi="宋体" w:eastAsia="宋体" w:cs="宋体"/>
          <w:sz w:val="24"/>
          <w:szCs w:val="24"/>
        </w:rPr>
        <w:t xml:space="preserve">招标方无招标违规、谎报年度报告信息、提供虚假资质资料等行为或其他行政处罚记录。 </w:t>
      </w:r>
    </w:p>
    <w:p w14:paraId="5095F714">
      <w:pPr>
        <w:pStyle w:val="33"/>
        <w:widowControl/>
        <w:numPr>
          <w:ilvl w:val="0"/>
          <w:numId w:val="2"/>
        </w:numPr>
        <w:spacing w:line="312" w:lineRule="auto"/>
        <w:ind w:firstLine="560"/>
        <w:rPr>
          <w:rFonts w:hint="eastAsia" w:ascii="宋体" w:hAnsi="宋体" w:eastAsia="宋体" w:cs="宋体"/>
          <w:sz w:val="24"/>
          <w:szCs w:val="24"/>
        </w:rPr>
      </w:pPr>
      <w:r>
        <w:rPr>
          <w:rFonts w:hint="eastAsia" w:ascii="宋体" w:hAnsi="宋体" w:eastAsia="宋体" w:cs="宋体"/>
          <w:sz w:val="24"/>
          <w:szCs w:val="24"/>
        </w:rPr>
        <w:t>投标方之间必须具有充分的竞争关系。</w:t>
      </w:r>
    </w:p>
    <w:p w14:paraId="7141A39E">
      <w:pPr>
        <w:pStyle w:val="33"/>
        <w:widowControl/>
        <w:numPr>
          <w:ilvl w:val="0"/>
          <w:numId w:val="2"/>
        </w:numPr>
        <w:spacing w:line="312" w:lineRule="auto"/>
        <w:ind w:firstLine="560"/>
        <w:rPr>
          <w:rFonts w:hint="eastAsia" w:ascii="宋体" w:hAnsi="宋体" w:eastAsia="宋体" w:cs="宋体"/>
          <w:sz w:val="24"/>
          <w:szCs w:val="24"/>
        </w:rPr>
      </w:pPr>
      <w:r>
        <w:rPr>
          <w:rFonts w:hint="eastAsia" w:ascii="宋体" w:hAnsi="宋体" w:eastAsia="宋体" w:cs="宋体"/>
          <w:sz w:val="24"/>
          <w:szCs w:val="24"/>
        </w:rPr>
        <w:t>投标人应具有大型展会项目设计经验,具有良好的创意设计能力及项目落地监督管理能力，能够认可招标人的工作指令，包括节、假日能正常开展工作等要求，并在开标时携带以往项目策划执行资料、企业资信材料、财务报表及完税证明等备查。</w:t>
      </w:r>
    </w:p>
    <w:p w14:paraId="52A31B0E">
      <w:pPr>
        <w:pStyle w:val="33"/>
        <w:widowControl/>
        <w:numPr>
          <w:ilvl w:val="0"/>
          <w:numId w:val="2"/>
        </w:numPr>
        <w:spacing w:line="312" w:lineRule="auto"/>
        <w:ind w:firstLine="560"/>
        <w:rPr>
          <w:rFonts w:hint="eastAsia" w:ascii="宋体" w:hAnsi="宋体" w:eastAsia="宋体" w:cs="宋体"/>
          <w:sz w:val="24"/>
          <w:szCs w:val="24"/>
        </w:rPr>
      </w:pPr>
      <w:r>
        <w:rPr>
          <w:rFonts w:hint="eastAsia" w:ascii="宋体" w:hAnsi="宋体" w:eastAsia="宋体" w:cs="宋体"/>
          <w:sz w:val="24"/>
          <w:szCs w:val="24"/>
        </w:rPr>
        <w:t>资格审查方式：资格预审，合格制。投标人应编制资格预审文件，否则视为放弃投标，内容包括：</w:t>
      </w:r>
    </w:p>
    <w:p w14:paraId="0E32F790">
      <w:pPr>
        <w:pStyle w:val="33"/>
        <w:widowControl/>
        <w:spacing w:line="312" w:lineRule="auto"/>
        <w:ind w:firstLine="560"/>
        <w:rPr>
          <w:rFonts w:hint="eastAsia" w:ascii="宋体" w:hAnsi="宋体" w:eastAsia="宋体" w:cs="宋体"/>
          <w:sz w:val="24"/>
          <w:szCs w:val="24"/>
        </w:rPr>
      </w:pPr>
      <w:r>
        <w:rPr>
          <w:rFonts w:hint="eastAsia" w:ascii="宋体" w:hAnsi="宋体" w:eastAsia="宋体" w:cs="宋体"/>
          <w:sz w:val="24"/>
          <w:szCs w:val="24"/>
        </w:rPr>
        <w:t>8.1 投标人基本情况表，附带投标人营业执照副本及复印件（加盖单位公章）。</w:t>
      </w:r>
    </w:p>
    <w:p w14:paraId="479D5C5E">
      <w:pPr>
        <w:pStyle w:val="33"/>
        <w:widowControl/>
        <w:tabs>
          <w:tab w:val="left" w:pos="0"/>
        </w:tabs>
        <w:spacing w:line="312" w:lineRule="auto"/>
        <w:ind w:firstLine="560"/>
        <w:rPr>
          <w:rFonts w:hint="eastAsia" w:ascii="宋体" w:hAnsi="宋体" w:eastAsia="宋体" w:cs="宋体"/>
          <w:sz w:val="24"/>
          <w:szCs w:val="24"/>
        </w:rPr>
      </w:pPr>
      <w:r>
        <w:rPr>
          <w:rFonts w:hint="eastAsia" w:ascii="宋体" w:hAnsi="宋体" w:eastAsia="宋体" w:cs="宋体"/>
          <w:sz w:val="24"/>
          <w:szCs w:val="24"/>
        </w:rPr>
        <w:t>8.2 法定代表人身份证复印件，若法定代表人不能出席，需有法定代表人授权委托书（格式见附件1）及被委托人身份证（加盖公章）。有特殊情况请额外说明，经甲方审核后方可正常投标。</w:t>
      </w:r>
    </w:p>
    <w:p w14:paraId="3BB2D94D">
      <w:pPr>
        <w:pStyle w:val="33"/>
        <w:widowControl/>
        <w:spacing w:line="312" w:lineRule="auto"/>
        <w:ind w:firstLine="560"/>
        <w:rPr>
          <w:rFonts w:hint="eastAsia" w:ascii="宋体" w:hAnsi="宋体" w:eastAsia="宋体" w:cs="宋体"/>
          <w:sz w:val="24"/>
          <w:szCs w:val="24"/>
          <w:lang w:eastAsia="zh"/>
        </w:rPr>
      </w:pPr>
      <w:r>
        <w:rPr>
          <w:rFonts w:hint="eastAsia" w:ascii="宋体" w:hAnsi="宋体" w:eastAsia="宋体" w:cs="宋体"/>
          <w:sz w:val="24"/>
          <w:szCs w:val="24"/>
        </w:rPr>
        <w:t>8.3 财务状况报告，依法缴纳税收相关材料复印件盖公章（财务状况报告：近三年审计报告，包括但不限于报告页、经审计的资产负债表、利润表、现金流量表及报表附注；</w:t>
      </w:r>
      <w:r>
        <w:rPr>
          <w:rFonts w:hint="eastAsia" w:ascii="宋体" w:hAnsi="宋体" w:eastAsia="宋体" w:cs="宋体"/>
          <w:sz w:val="24"/>
          <w:szCs w:val="24"/>
          <w:lang w:eastAsia="zh"/>
        </w:rPr>
        <w:t>或提供投标文件开启时间前6个月以内银行出具的资信证明（提供复印件加盖公章）；</w:t>
      </w:r>
      <w:r>
        <w:rPr>
          <w:rFonts w:hint="eastAsia" w:ascii="宋体" w:hAnsi="宋体" w:eastAsia="宋体" w:cs="宋体"/>
          <w:sz w:val="24"/>
          <w:szCs w:val="24"/>
        </w:rPr>
        <w:t>如公司规模小，无审计报告，可提供近三年财务报表，包括但不限于资产负债表、利润表、现金流量表；税收材料：税收完税凭</w:t>
      </w:r>
      <w:r>
        <w:rPr>
          <w:rFonts w:hint="eastAsia" w:ascii="宋体" w:hAnsi="宋体" w:eastAsia="宋体" w:cs="宋体"/>
          <w:sz w:val="24"/>
          <w:szCs w:val="24"/>
          <w:lang w:eastAsia="zh"/>
        </w:rPr>
        <w:t>证或税务部门出具的纳税证明）。</w:t>
      </w:r>
      <w:r>
        <w:rPr>
          <w:rFonts w:hint="eastAsia" w:ascii="宋体" w:hAnsi="宋体" w:eastAsia="宋体" w:cs="宋体"/>
          <w:sz w:val="24"/>
          <w:szCs w:val="24"/>
        </w:rPr>
        <w:t>有特殊情况请额外说明，经甲方审核后方可正常投标。</w:t>
      </w:r>
    </w:p>
    <w:p w14:paraId="4D52403B">
      <w:pPr>
        <w:pStyle w:val="33"/>
        <w:widowControl/>
        <w:spacing w:line="312" w:lineRule="auto"/>
        <w:ind w:firstLine="560"/>
        <w:rPr>
          <w:rFonts w:hint="eastAsia" w:ascii="宋体" w:hAnsi="宋体" w:eastAsia="宋体" w:cs="宋体"/>
          <w:sz w:val="24"/>
          <w:szCs w:val="24"/>
          <w:lang w:eastAsia="zh"/>
        </w:rPr>
      </w:pPr>
      <w:r>
        <w:rPr>
          <w:rFonts w:hint="eastAsia" w:ascii="宋体" w:hAnsi="宋体" w:eastAsia="宋体" w:cs="宋体"/>
          <w:sz w:val="24"/>
          <w:szCs w:val="24"/>
        </w:rPr>
        <w:t xml:space="preserve">8.4 </w:t>
      </w:r>
      <w:r>
        <w:rPr>
          <w:rFonts w:hint="eastAsia" w:ascii="宋体" w:hAnsi="宋体" w:eastAsia="宋体" w:cs="宋体"/>
          <w:sz w:val="24"/>
          <w:szCs w:val="24"/>
          <w:lang w:eastAsia="zh"/>
        </w:rPr>
        <w:t>无重大违法记录的书面声明原件（加盖公章）。</w:t>
      </w:r>
    </w:p>
    <w:p w14:paraId="67A1C114">
      <w:pPr>
        <w:pStyle w:val="33"/>
        <w:widowControl/>
        <w:spacing w:line="312" w:lineRule="auto"/>
        <w:ind w:firstLine="560"/>
        <w:rPr>
          <w:rFonts w:hint="eastAsia" w:ascii="宋体" w:hAnsi="宋体" w:eastAsia="宋体" w:cs="宋体"/>
          <w:sz w:val="24"/>
          <w:szCs w:val="24"/>
          <w:lang w:eastAsia="zh"/>
        </w:rPr>
      </w:pPr>
      <w:r>
        <w:rPr>
          <w:rFonts w:hint="eastAsia" w:ascii="宋体" w:hAnsi="宋体" w:eastAsia="宋体" w:cs="宋体"/>
          <w:sz w:val="24"/>
          <w:szCs w:val="24"/>
        </w:rPr>
        <w:t>8.5</w:t>
      </w:r>
      <w:r>
        <w:rPr>
          <w:rFonts w:hint="eastAsia" w:ascii="宋体" w:hAnsi="宋体" w:eastAsia="宋体" w:cs="宋体"/>
          <w:sz w:val="24"/>
          <w:szCs w:val="24"/>
          <w:lang w:eastAsia="zh"/>
        </w:rPr>
        <w:t>信用承诺书（加盖公章）。</w:t>
      </w:r>
    </w:p>
    <w:p w14:paraId="1FD31EFC">
      <w:pPr>
        <w:pStyle w:val="33"/>
        <w:widowControl/>
        <w:spacing w:line="312" w:lineRule="auto"/>
        <w:ind w:firstLine="560"/>
        <w:rPr>
          <w:rFonts w:hint="eastAsia" w:ascii="宋体" w:hAnsi="宋体" w:eastAsia="宋体" w:cs="宋体"/>
          <w:sz w:val="24"/>
          <w:szCs w:val="24"/>
          <w:lang w:eastAsia="zh"/>
        </w:rPr>
      </w:pPr>
      <w:r>
        <w:rPr>
          <w:rFonts w:hint="eastAsia" w:ascii="宋体" w:hAnsi="宋体" w:eastAsia="宋体" w:cs="宋体"/>
          <w:sz w:val="24"/>
          <w:szCs w:val="24"/>
          <w:lang w:eastAsia="zh"/>
        </w:rPr>
        <w:t>8.6 企业对外担保说明(写明贵单位对外有无对外担保和质押业务，需加盖公章)。</w:t>
      </w:r>
    </w:p>
    <w:p w14:paraId="5E1F51A8">
      <w:pPr>
        <w:pStyle w:val="33"/>
        <w:widowControl/>
        <w:spacing w:line="312" w:lineRule="auto"/>
        <w:ind w:firstLine="560"/>
        <w:rPr>
          <w:rFonts w:hint="eastAsia" w:ascii="宋体" w:hAnsi="宋体" w:eastAsia="宋体" w:cs="宋体"/>
          <w:sz w:val="24"/>
          <w:szCs w:val="24"/>
          <w:lang w:eastAsia="zh"/>
        </w:rPr>
      </w:pPr>
      <w:r>
        <w:rPr>
          <w:rFonts w:hint="eastAsia" w:ascii="宋体" w:hAnsi="宋体" w:eastAsia="宋体" w:cs="宋体"/>
          <w:sz w:val="24"/>
          <w:szCs w:val="24"/>
          <w:lang w:eastAsia="zh"/>
        </w:rPr>
        <w:t>8.7 类似项目（大型展会设计/施工/落地监督管理，合同金额100万以上）的合同原件扫描件。</w:t>
      </w:r>
    </w:p>
    <w:p w14:paraId="7F41E58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5C1B82E">
      <w:pPr>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bCs/>
          <w:sz w:val="24"/>
          <w:szCs w:val="24"/>
          <w:lang w:val="en-US" w:eastAsia="zh-CN"/>
        </w:rPr>
        <w:t>中国重汽e采通，</w:t>
      </w:r>
      <w:r>
        <w:rPr>
          <w:rFonts w:hint="eastAsia" w:asciiTheme="majorEastAsia" w:hAnsiTheme="majorEastAsia" w:eastAsiaTheme="majorEastAsia" w:cstheme="majorEastAsia"/>
          <w:sz w:val="24"/>
          <w:szCs w:val="24"/>
        </w:rPr>
        <w:t>在e采通应标通过后可查看招标文件。</w:t>
      </w:r>
    </w:p>
    <w:p w14:paraId="14FAF387">
      <w:pPr>
        <w:jc w:val="left"/>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应标</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截止时间：</w:t>
      </w:r>
      <w:r>
        <w:rPr>
          <w:rFonts w:hint="eastAsia" w:asciiTheme="majorEastAsia" w:hAnsiTheme="majorEastAsia" w:eastAsiaTheme="majorEastAsia" w:cstheme="majorEastAsia"/>
          <w:b/>
          <w:bCs/>
          <w:sz w:val="24"/>
          <w:szCs w:val="24"/>
          <w:lang w:val="en-US" w:eastAsia="zh-CN"/>
        </w:rPr>
        <w:t>2026年4月15日17:00时</w:t>
      </w:r>
      <w:r>
        <w:rPr>
          <w:rFonts w:hint="eastAsia" w:asciiTheme="majorEastAsia" w:hAnsiTheme="majorEastAsia" w:eastAsiaTheme="majorEastAsia" w:cstheme="majorEastAsia"/>
          <w:b/>
          <w:bCs/>
          <w:sz w:val="24"/>
          <w:szCs w:val="24"/>
          <w:lang w:eastAsia="zh-CN"/>
        </w:rPr>
        <w:t xml:space="preserve"> </w:t>
      </w:r>
    </w:p>
    <w:p w14:paraId="653BE1E1">
      <w:pPr>
        <w:keepNext w:val="0"/>
        <w:keepLines w:val="0"/>
        <w:pageBreakBefore w:val="0"/>
        <w:widowControl w:val="0"/>
        <w:kinsoku/>
        <w:wordWrap/>
        <w:overflowPunct/>
        <w:topLinePunct w:val="0"/>
        <w:autoSpaceDE/>
        <w:autoSpaceDN/>
        <w:bidi w:val="0"/>
        <w:adjustRightInd/>
        <w:snapToGrid w:val="0"/>
        <w:ind w:firstLine="482" w:firstLineChars="200"/>
        <w:jc w:val="left"/>
        <w:textAlignment w:val="auto"/>
        <w:rPr>
          <w:rFonts w:hint="eastAsia" w:ascii="宋体" w:hAnsi="宋体" w:cs="仿宋"/>
          <w:bCs/>
          <w:sz w:val="21"/>
          <w:szCs w:val="21"/>
          <w:highlight w:val="none"/>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b/>
          <w:bCs/>
          <w:sz w:val="24"/>
          <w:szCs w:val="24"/>
          <w:lang w:val="en-US" w:eastAsia="zh-CN"/>
        </w:rPr>
        <w:t>中国重汽e采通</w:t>
      </w:r>
      <w:r>
        <w:rPr>
          <w:rFonts w:hint="eastAsia" w:ascii="宋体" w:hAnsi="宋体" w:cs="仿宋"/>
          <w:bCs/>
          <w:sz w:val="21"/>
          <w:szCs w:val="21"/>
          <w:highlight w:val="none"/>
          <w:lang w:val="en-US" w:eastAsia="zh-CN"/>
        </w:rPr>
        <w:t>。</w:t>
      </w:r>
    </w:p>
    <w:p w14:paraId="69E0BF79">
      <w:pPr>
        <w:widowControl w:val="0"/>
        <w:adjustRightInd/>
        <w:snapToGrid w:val="0"/>
        <w:spacing w:line="240" w:lineRule="auto"/>
        <w:ind w:firstLine="480" w:firstLineChars="200"/>
        <w:jc w:val="left"/>
        <w:rPr>
          <w:rFonts w:hint="default" w:ascii="宋体" w:hAnsi="宋体" w:cs="宋体" w:eastAsiaTheme="minorEastAsia"/>
          <w:kern w:val="0"/>
          <w:sz w:val="24"/>
          <w:highlight w:val="yellow"/>
          <w:lang w:val="en-US" w:eastAsia="zh-CN" w:bidi="en-US"/>
        </w:rPr>
      </w:pPr>
      <w:r>
        <w:rPr>
          <w:rFonts w:hint="eastAsia" w:ascii="宋体" w:hAnsi="宋体" w:cs="宋体"/>
          <w:kern w:val="0"/>
          <w:sz w:val="24"/>
          <w:highlight w:val="yellow"/>
          <w:lang w:val="en-US" w:eastAsia="zh-CN" w:bidi="en-US"/>
        </w:rPr>
        <w:t>应标报名时，请在重汽e采通补充近三年财务数据；重汽e采通-供应商中心-供应商财务数据变更管理。未更新的应标报名会被驳回，请及时查看。</w:t>
      </w:r>
    </w:p>
    <w:p w14:paraId="7CF1B57F">
      <w:pPr>
        <w:widowControl/>
        <w:adjustRightInd w:val="0"/>
        <w:snapToGrid w:val="0"/>
        <w:spacing w:line="360" w:lineRule="auto"/>
        <w:ind w:firstLine="482" w:firstLineChars="200"/>
        <w:rPr>
          <w:rFonts w:hint="eastAsia" w:ascii="宋体" w:hAnsi="宋体" w:cs="宋体"/>
          <w:b/>
          <w:bCs/>
          <w:kern w:val="0"/>
          <w:sz w:val="24"/>
          <w:lang w:bidi="en-US"/>
        </w:rPr>
      </w:pPr>
      <w:r>
        <w:rPr>
          <w:rFonts w:hint="eastAsia" w:ascii="宋体" w:hAnsi="宋体" w:cs="宋体"/>
          <w:b/>
          <w:bCs/>
          <w:kern w:val="0"/>
          <w:sz w:val="24"/>
          <w:lang w:bidi="en-US"/>
        </w:rPr>
        <w:t>报名时提供的资料不合格的会在系统被驳回，请及时查阅审核状态并及时补齐资料，不能按时补充资料的视为自动放弃本次投标。</w:t>
      </w:r>
    </w:p>
    <w:p w14:paraId="7E892564">
      <w:pPr>
        <w:widowControl/>
        <w:adjustRightInd w:val="0"/>
        <w:snapToGrid w:val="0"/>
        <w:spacing w:line="360" w:lineRule="auto"/>
        <w:ind w:firstLine="482" w:firstLineChars="200"/>
        <w:rPr>
          <w:rFonts w:hint="eastAsia" w:ascii="宋体" w:hAnsi="宋体" w:cs="宋体"/>
          <w:b/>
          <w:bCs/>
          <w:kern w:val="0"/>
          <w:sz w:val="24"/>
          <w:lang w:bidi="en-US"/>
        </w:rPr>
      </w:pPr>
      <w:r>
        <w:rPr>
          <w:rFonts w:hint="eastAsia" w:ascii="宋体" w:hAnsi="宋体" w:cs="宋体"/>
          <w:b/>
          <w:bCs/>
          <w:kern w:val="0"/>
          <w:sz w:val="24"/>
          <w:lang w:bidi="en-US"/>
        </w:rPr>
        <w:t>请投标人</w:t>
      </w:r>
      <w:r>
        <w:rPr>
          <w:rFonts w:hint="eastAsia" w:ascii="宋体" w:hAnsi="宋体" w:cs="宋体"/>
          <w:b/>
          <w:bCs/>
          <w:kern w:val="0"/>
          <w:sz w:val="24"/>
          <w:lang w:val="en-US" w:eastAsia="zh-CN" w:bidi="en-US"/>
        </w:rPr>
        <w:t>自行</w:t>
      </w:r>
      <w:r>
        <w:rPr>
          <w:rFonts w:hint="eastAsia" w:ascii="宋体" w:hAnsi="宋体" w:cs="宋体"/>
          <w:b/>
          <w:bCs/>
          <w:kern w:val="0"/>
          <w:sz w:val="24"/>
          <w:lang w:bidi="en-US"/>
        </w:rPr>
        <w:t>确认中国重汽e采通系统中供应商信息完整、准确，因供应商信息不全或错误导致的报名不成功，由投标人自行承担。</w:t>
      </w:r>
    </w:p>
    <w:p w14:paraId="67996E9D">
      <w:pPr>
        <w:rPr>
          <w:rFonts w:hint="default"/>
          <w:lang w:val="en-US" w:eastAsia="zh-CN"/>
        </w:rPr>
      </w:pPr>
    </w:p>
    <w:p w14:paraId="2103426A">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投标文件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 xml:space="preserve">提交 </w:t>
      </w:r>
    </w:p>
    <w:p w14:paraId="002D39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b/>
          <w:bCs/>
          <w:sz w:val="24"/>
          <w:szCs w:val="24"/>
          <w:lang w:val="en-US" w:eastAsia="zh-CN"/>
        </w:rPr>
        <w:t>纸质版线下开标时提交，电子版需在递交截止时间前上传至中国重汽e采通系统。</w:t>
      </w:r>
      <w:r>
        <w:rPr>
          <w:rFonts w:hint="eastAsia" w:asciiTheme="majorEastAsia" w:hAnsiTheme="majorEastAsia" w:eastAsiaTheme="majorEastAsia" w:cstheme="majorEastAsia"/>
          <w:sz w:val="24"/>
          <w:szCs w:val="24"/>
        </w:rPr>
        <w:t xml:space="preserve"> </w:t>
      </w:r>
    </w:p>
    <w:p w14:paraId="14273C6D">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b/>
          <w:bCs/>
          <w:sz w:val="24"/>
          <w:szCs w:val="24"/>
          <w:lang w:val="en-US" w:eastAsia="zh-CN"/>
        </w:rPr>
        <w:t xml:space="preserve">2026年4月24日9时 </w:t>
      </w:r>
    </w:p>
    <w:p w14:paraId="19960B6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 </w:t>
      </w:r>
    </w:p>
    <w:p w14:paraId="7D088BAE">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3DC02722">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b/>
          <w:bCs/>
          <w:sz w:val="24"/>
          <w:szCs w:val="24"/>
          <w:lang w:val="en-US" w:eastAsia="zh-CN"/>
        </w:rPr>
        <w:t>2026年3月24日9时</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时间暂定，若有变化另行通知</w:t>
      </w:r>
      <w:r>
        <w:rPr>
          <w:rFonts w:hint="eastAsia" w:asciiTheme="majorEastAsia" w:hAnsiTheme="majorEastAsia" w:eastAsiaTheme="majorEastAsia" w:cstheme="majorEastAsia"/>
          <w:sz w:val="24"/>
          <w:szCs w:val="24"/>
          <w:lang w:eastAsia="zh-CN"/>
        </w:rPr>
        <w:t>）</w:t>
      </w:r>
    </w:p>
    <w:p w14:paraId="71FBA258">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山东省济南市历城区华奥路777号重汽科技大厦 </w:t>
      </w:r>
    </w:p>
    <w:p w14:paraId="38D504B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5ACF2EF2">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阳光采购服务平台（www.ygcgfw.com）</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（www.cnhtc.com.cn）</w:t>
      </w:r>
    </w:p>
    <w:p w14:paraId="36AD891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79FB31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5D54E27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宋体" w:hAnsi="宋体" w:eastAsia="宋体" w:cs="宋体"/>
          <w:b w:val="0"/>
          <w:bCs/>
          <w:sz w:val="24"/>
          <w:szCs w:val="24"/>
          <w:lang w:bidi="ar"/>
        </w:rPr>
        <w:t>中国重汽集团国际有限公司</w:t>
      </w:r>
    </w:p>
    <w:p w14:paraId="7E57CCA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w:t>
      </w:r>
    </w:p>
    <w:p w14:paraId="44C42AB4">
      <w:pPr>
        <w:ind w:firstLine="480"/>
        <w:rPr>
          <w:rFonts w:hint="default" w:eastAsiaTheme="majorEastAsia"/>
          <w:lang w:val="en-US" w:eastAsia="zh-CN"/>
        </w:rPr>
      </w:pP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李老师</w:t>
      </w:r>
    </w:p>
    <w:p w14:paraId="048B8F5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17860605079</w:t>
      </w:r>
    </w:p>
    <w:p w14:paraId="3C06D729">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2400274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bookmarkStart w:id="2" w:name="OLE_LINK2"/>
      <w:r>
        <w:rPr>
          <w:rFonts w:hint="eastAsia" w:asciiTheme="majorEastAsia" w:hAnsiTheme="majorEastAsia" w:eastAsiaTheme="majorEastAsia" w:cstheme="majorEastAsia"/>
          <w:sz w:val="24"/>
          <w:szCs w:val="24"/>
        </w:rPr>
        <w:t>供应商需在</w:t>
      </w:r>
      <w:bookmarkStart w:id="3" w:name="OLE_LINK3"/>
      <w:r>
        <w:rPr>
          <w:rFonts w:hint="eastAsia" w:asciiTheme="majorEastAsia" w:hAnsiTheme="majorEastAsia" w:eastAsiaTheme="majorEastAsia" w:cstheme="majorEastAsia"/>
          <w:sz w:val="24"/>
          <w:szCs w:val="24"/>
        </w:rPr>
        <w:t>阳光采购服务平台</w:t>
      </w:r>
      <w:bookmarkEnd w:id="3"/>
      <w:r>
        <w:rPr>
          <w:rFonts w:hint="eastAsia" w:asciiTheme="majorEastAsia" w:hAnsiTheme="majorEastAsia" w:eastAsiaTheme="majorEastAsia" w:cstheme="majorEastAsia"/>
          <w:sz w:val="24"/>
          <w:szCs w:val="24"/>
        </w:rPr>
        <w:t>进行注册</w:t>
      </w:r>
      <w:bookmarkEnd w:id="2"/>
      <w:r>
        <w:rPr>
          <w:rFonts w:hint="eastAsia" w:asciiTheme="majorEastAsia" w:hAnsiTheme="majorEastAsia" w:eastAsiaTheme="majorEastAsia" w:cstheme="majorEastAsia"/>
          <w:sz w:val="24"/>
          <w:szCs w:val="24"/>
        </w:rPr>
        <w:t>，注册后搜索该项目。</w:t>
      </w:r>
    </w:p>
    <w:p w14:paraId="2927723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7A8F8BEA">
      <w:pPr>
        <w:pStyle w:val="12"/>
        <w:rPr>
          <w:rFonts w:hint="eastAsia"/>
        </w:rPr>
      </w:pPr>
    </w:p>
    <w:p w14:paraId="7EB9D6E4">
      <w:pPr>
        <w:ind w:firstLine="480"/>
        <w:rPr>
          <w:rFonts w:hint="eastAsia" w:asciiTheme="majorEastAsia" w:hAnsiTheme="majorEastAsia" w:eastAsiaTheme="majorEastAsia" w:cstheme="majorEastAsia"/>
          <w:sz w:val="24"/>
          <w:szCs w:val="24"/>
        </w:rPr>
      </w:pPr>
    </w:p>
    <w:p w14:paraId="5809199F">
      <w:pPr>
        <w:ind w:firstLine="480"/>
        <w:rPr>
          <w:rFonts w:hint="eastAsia" w:asciiTheme="majorEastAsia" w:hAnsiTheme="majorEastAsia" w:eastAsiaTheme="majorEastAsia" w:cstheme="majorEastAsia"/>
          <w:sz w:val="24"/>
          <w:szCs w:val="24"/>
        </w:rPr>
      </w:pPr>
    </w:p>
    <w:p w14:paraId="14EFCCB8">
      <w:pPr>
        <w:ind w:firstLine="480"/>
        <w:rPr>
          <w:rFonts w:hint="eastAsia" w:asciiTheme="majorEastAsia" w:hAnsiTheme="majorEastAsia" w:eastAsiaTheme="majorEastAsia" w:cstheme="majorEastAsia"/>
          <w:sz w:val="24"/>
          <w:szCs w:val="24"/>
        </w:rPr>
      </w:pPr>
    </w:p>
    <w:p w14:paraId="31206825">
      <w:pPr>
        <w:ind w:firstLine="480"/>
        <w:rPr>
          <w:rFonts w:hint="eastAsia" w:asciiTheme="majorEastAsia" w:hAnsiTheme="majorEastAsia" w:eastAsiaTheme="majorEastAsia" w:cstheme="majorEastAsia"/>
          <w:sz w:val="24"/>
          <w:szCs w:val="24"/>
        </w:rPr>
      </w:pPr>
    </w:p>
    <w:p w14:paraId="27F0B369">
      <w:pPr>
        <w:ind w:firstLine="480"/>
        <w:rPr>
          <w:rFonts w:hint="eastAsia" w:asciiTheme="majorEastAsia" w:hAnsiTheme="majorEastAsia" w:eastAsiaTheme="majorEastAsia" w:cstheme="majorEastAsia"/>
          <w:sz w:val="24"/>
          <w:szCs w:val="24"/>
        </w:rPr>
      </w:pPr>
    </w:p>
    <w:p w14:paraId="429F53C7">
      <w:pPr>
        <w:ind w:firstLine="480"/>
        <w:rPr>
          <w:rFonts w:hint="eastAsia" w:asciiTheme="majorEastAsia" w:hAnsiTheme="majorEastAsia" w:eastAsiaTheme="majorEastAsia" w:cstheme="majorEastAsia"/>
          <w:sz w:val="24"/>
          <w:szCs w:val="24"/>
        </w:rPr>
      </w:pPr>
    </w:p>
    <w:p w14:paraId="4550E1D2">
      <w:pPr>
        <w:ind w:firstLine="480"/>
        <w:rPr>
          <w:rFonts w:hint="eastAsia" w:asciiTheme="majorEastAsia" w:hAnsiTheme="majorEastAsia" w:eastAsiaTheme="majorEastAsia" w:cstheme="majorEastAsia"/>
          <w:sz w:val="24"/>
          <w:szCs w:val="24"/>
        </w:rPr>
      </w:pPr>
    </w:p>
    <w:p w14:paraId="392D32FB">
      <w:pPr>
        <w:ind w:firstLine="480"/>
        <w:rPr>
          <w:rFonts w:hint="eastAsia" w:asciiTheme="majorEastAsia" w:hAnsiTheme="majorEastAsia" w:eastAsiaTheme="majorEastAsia" w:cstheme="majorEastAsia"/>
          <w:sz w:val="24"/>
          <w:szCs w:val="24"/>
        </w:rPr>
      </w:pPr>
    </w:p>
    <w:p w14:paraId="5E6DAF2C">
      <w:pPr>
        <w:ind w:firstLine="480"/>
        <w:rPr>
          <w:rFonts w:hint="eastAsia" w:asciiTheme="majorEastAsia" w:hAnsiTheme="majorEastAsia" w:eastAsiaTheme="majorEastAsia" w:cstheme="majorEastAsia"/>
          <w:sz w:val="24"/>
          <w:szCs w:val="24"/>
        </w:rPr>
      </w:pPr>
    </w:p>
    <w:p w14:paraId="689CD34B">
      <w:pPr>
        <w:ind w:firstLine="480"/>
        <w:rPr>
          <w:rFonts w:hint="eastAsia" w:asciiTheme="majorEastAsia" w:hAnsiTheme="majorEastAsia" w:eastAsiaTheme="majorEastAsia" w:cstheme="majorEastAsia"/>
          <w:sz w:val="24"/>
          <w:szCs w:val="24"/>
        </w:rPr>
      </w:pPr>
    </w:p>
    <w:p w14:paraId="25996514">
      <w:pPr>
        <w:ind w:firstLine="480"/>
        <w:rPr>
          <w:rFonts w:hint="eastAsia" w:asciiTheme="majorEastAsia" w:hAnsiTheme="majorEastAsia" w:eastAsiaTheme="majorEastAsia" w:cstheme="majorEastAsia"/>
          <w:sz w:val="24"/>
          <w:szCs w:val="24"/>
        </w:rPr>
      </w:pPr>
    </w:p>
    <w:p w14:paraId="6092FB5E">
      <w:pPr>
        <w:spacing w:line="440" w:lineRule="exact"/>
        <w:jc w:val="center"/>
        <w:rPr>
          <w:rFonts w:hint="eastAsia" w:eastAsia="黑体"/>
          <w:sz w:val="30"/>
          <w:szCs w:val="30"/>
          <w:highlight w:val="none"/>
        </w:rPr>
      </w:pPr>
    </w:p>
    <w:p w14:paraId="6B367FC6">
      <w:pPr>
        <w:spacing w:line="440" w:lineRule="exact"/>
        <w:jc w:val="center"/>
        <w:rPr>
          <w:rFonts w:hint="eastAsia" w:eastAsia="黑体"/>
          <w:sz w:val="30"/>
          <w:szCs w:val="30"/>
          <w:highlight w:val="none"/>
        </w:rPr>
      </w:pPr>
    </w:p>
    <w:p w14:paraId="23517C9D">
      <w:pPr>
        <w:pStyle w:val="12"/>
        <w:rPr>
          <w:rFonts w:hint="eastAsia" w:eastAsia="黑体"/>
          <w:sz w:val="30"/>
          <w:szCs w:val="30"/>
          <w:highlight w:val="none"/>
        </w:rPr>
      </w:pPr>
    </w:p>
    <w:p w14:paraId="7A0F2A06">
      <w:pPr>
        <w:rPr>
          <w:rFonts w:hint="eastAsia" w:eastAsia="黑体"/>
          <w:sz w:val="30"/>
          <w:szCs w:val="30"/>
          <w:highlight w:val="none"/>
        </w:rPr>
      </w:pPr>
    </w:p>
    <w:p w14:paraId="4EA74923">
      <w:pPr>
        <w:pStyle w:val="12"/>
        <w:rPr>
          <w:rFonts w:hint="eastAsia" w:eastAsia="黑体"/>
          <w:sz w:val="30"/>
          <w:szCs w:val="30"/>
          <w:highlight w:val="none"/>
        </w:rPr>
      </w:pPr>
    </w:p>
    <w:p w14:paraId="29EDDD11">
      <w:pPr>
        <w:rPr>
          <w:rFonts w:hint="eastAsia" w:eastAsia="黑体"/>
          <w:sz w:val="30"/>
          <w:szCs w:val="30"/>
          <w:highlight w:val="none"/>
        </w:rPr>
      </w:pPr>
    </w:p>
    <w:p w14:paraId="0F02FA84">
      <w:pPr>
        <w:pStyle w:val="12"/>
        <w:rPr>
          <w:rFonts w:hint="eastAsia"/>
        </w:rPr>
      </w:pPr>
    </w:p>
    <w:p w14:paraId="29BABD52">
      <w:pPr>
        <w:spacing w:line="440" w:lineRule="exact"/>
        <w:jc w:val="center"/>
        <w:rPr>
          <w:rFonts w:hint="eastAsia" w:eastAsia="黑体"/>
          <w:sz w:val="30"/>
          <w:szCs w:val="30"/>
          <w:highlight w:val="none"/>
        </w:rPr>
      </w:pPr>
    </w:p>
    <w:p w14:paraId="76EB1C41">
      <w:pPr>
        <w:spacing w:line="440" w:lineRule="exact"/>
        <w:jc w:val="center"/>
        <w:rPr>
          <w:rFonts w:hint="eastAsia" w:eastAsia="黑体"/>
          <w:sz w:val="30"/>
          <w:szCs w:val="30"/>
          <w:highlight w:val="none"/>
        </w:rPr>
      </w:pPr>
    </w:p>
    <w:p w14:paraId="6847A792">
      <w:pPr>
        <w:spacing w:line="440" w:lineRule="exact"/>
        <w:jc w:val="center"/>
        <w:rPr>
          <w:rFonts w:hint="eastAsia" w:eastAsia="黑体"/>
          <w:sz w:val="30"/>
          <w:szCs w:val="30"/>
          <w:highlight w:val="none"/>
        </w:rPr>
      </w:pPr>
    </w:p>
    <w:p w14:paraId="48616A01">
      <w:pPr>
        <w:spacing w:line="440" w:lineRule="exact"/>
        <w:jc w:val="center"/>
        <w:rPr>
          <w:rFonts w:hint="eastAsia" w:eastAsia="黑体"/>
          <w:sz w:val="30"/>
          <w:szCs w:val="30"/>
          <w:highlight w:val="none"/>
        </w:rPr>
      </w:pPr>
    </w:p>
    <w:p w14:paraId="23B3F397">
      <w:pPr>
        <w:spacing w:line="440" w:lineRule="exact"/>
        <w:jc w:val="center"/>
        <w:rPr>
          <w:rFonts w:hint="eastAsia" w:eastAsia="黑体"/>
          <w:sz w:val="30"/>
          <w:szCs w:val="30"/>
          <w:highlight w:val="none"/>
        </w:rPr>
      </w:pPr>
    </w:p>
    <w:p w14:paraId="1539814E">
      <w:pPr>
        <w:spacing w:after="193" w:afterLines="50" w:line="312" w:lineRule="auto"/>
        <w:jc w:val="both"/>
        <w:rPr>
          <w:rFonts w:hint="eastAsia" w:ascii="宋体" w:hAnsi="宋体" w:eastAsia="宋体" w:cs="宋体"/>
          <w:b/>
          <w:bCs/>
          <w:sz w:val="44"/>
          <w:szCs w:val="44"/>
          <w:lang w:bidi="ar"/>
        </w:rPr>
      </w:pPr>
      <w:bookmarkStart w:id="4" w:name="_GoBack"/>
      <w:bookmarkEnd w:id="4"/>
    </w:p>
    <w:p w14:paraId="7C2D8F30">
      <w:pPr>
        <w:spacing w:after="193" w:afterLines="50" w:line="312" w:lineRule="auto"/>
        <w:jc w:val="center"/>
        <w:rPr>
          <w:rFonts w:hint="eastAsia" w:ascii="宋体" w:hAnsi="宋体" w:eastAsia="宋体"/>
          <w:b/>
          <w:bCs/>
          <w:sz w:val="44"/>
          <w:szCs w:val="44"/>
        </w:rPr>
      </w:pPr>
      <w:r>
        <w:rPr>
          <w:rFonts w:hint="eastAsia" w:ascii="宋体" w:hAnsi="宋体" w:eastAsia="宋体" w:cs="宋体"/>
          <w:b/>
          <w:bCs/>
          <w:sz w:val="44"/>
          <w:szCs w:val="44"/>
          <w:lang w:bidi="ar"/>
        </w:rPr>
        <w:t>授权书</w:t>
      </w:r>
    </w:p>
    <w:p w14:paraId="7969C8FF">
      <w:pPr>
        <w:spacing w:after="193" w:afterLines="50" w:line="312" w:lineRule="auto"/>
        <w:ind w:firstLine="560" w:firstLineChars="200"/>
        <w:jc w:val="left"/>
        <w:rPr>
          <w:rFonts w:hint="eastAsia" w:ascii="楷体" w:hAnsi="楷体" w:eastAsia="楷体"/>
          <w:sz w:val="28"/>
          <w:szCs w:val="28"/>
        </w:rPr>
      </w:pPr>
      <w:r>
        <w:rPr>
          <w:rFonts w:hint="eastAsia" w:ascii="楷体" w:hAnsi="楷体" w:eastAsia="楷体" w:cs="楷体"/>
          <w:sz w:val="28"/>
          <w:szCs w:val="28"/>
          <w:lang w:bidi="ar"/>
        </w:rPr>
        <w:t>中国重汽集团国际有限公司</w:t>
      </w:r>
      <w:r>
        <w:rPr>
          <w:rFonts w:ascii="楷体" w:hAnsi="楷体" w:eastAsia="楷体" w:cs="楷体"/>
          <w:sz w:val="28"/>
          <w:szCs w:val="28"/>
          <w:lang w:bidi="ar"/>
        </w:rPr>
        <w:t>：</w:t>
      </w:r>
    </w:p>
    <w:p w14:paraId="3353FDB8">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本人</w:t>
      </w:r>
      <w:r>
        <w:rPr>
          <w:rFonts w:ascii="楷体" w:hAnsi="楷体" w:eastAsia="楷体"/>
          <w:sz w:val="28"/>
          <w:szCs w:val="28"/>
          <w:u w:val="single"/>
          <w:lang w:bidi="ar"/>
        </w:rPr>
        <w:t xml:space="preserve">         </w:t>
      </w:r>
      <w:r>
        <w:rPr>
          <w:rFonts w:ascii="楷体" w:hAnsi="楷体" w:eastAsia="楷体" w:cs="楷体"/>
          <w:sz w:val="28"/>
          <w:szCs w:val="28"/>
          <w:lang w:bidi="ar"/>
        </w:rPr>
        <w:t>（姓名）系</w:t>
      </w:r>
      <w:r>
        <w:rPr>
          <w:rFonts w:ascii="楷体" w:hAnsi="楷体" w:eastAsia="楷体"/>
          <w:sz w:val="28"/>
          <w:szCs w:val="28"/>
          <w:u w:val="single"/>
          <w:lang w:bidi="ar"/>
        </w:rPr>
        <w:t xml:space="preserve">         </w:t>
      </w:r>
      <w:r>
        <w:rPr>
          <w:rFonts w:ascii="楷体" w:hAnsi="楷体" w:eastAsia="楷体" w:cs="楷体"/>
          <w:sz w:val="28"/>
          <w:szCs w:val="28"/>
          <w:lang w:bidi="ar"/>
        </w:rPr>
        <w:t>（对方单位名称）的法定代表人，现委托</w:t>
      </w:r>
      <w:r>
        <w:rPr>
          <w:rFonts w:ascii="楷体" w:hAnsi="楷体" w:eastAsia="楷体"/>
          <w:sz w:val="28"/>
          <w:szCs w:val="28"/>
          <w:u w:val="single"/>
          <w:lang w:bidi="ar"/>
        </w:rPr>
        <w:t xml:space="preserve">      </w:t>
      </w:r>
      <w:r>
        <w:rPr>
          <w:rFonts w:ascii="楷体" w:hAnsi="楷体" w:eastAsia="楷体" w:cs="楷体"/>
          <w:sz w:val="28"/>
          <w:szCs w:val="28"/>
          <w:lang w:bidi="ar"/>
        </w:rPr>
        <w:t>（姓名）为我方代理人。代理人根据授权，以我方名义签署</w:t>
      </w:r>
      <w:r>
        <w:rPr>
          <w:rFonts w:ascii="楷体" w:hAnsi="楷体" w:eastAsia="楷体"/>
          <w:sz w:val="28"/>
          <w:szCs w:val="28"/>
          <w:u w:val="single"/>
          <w:lang w:bidi="ar"/>
        </w:rPr>
        <w:t xml:space="preserve">               </w:t>
      </w:r>
      <w:r>
        <w:rPr>
          <w:rFonts w:ascii="楷体" w:hAnsi="楷体" w:eastAsia="楷体" w:cs="楷体"/>
          <w:sz w:val="28"/>
          <w:szCs w:val="28"/>
          <w:lang w:bidi="ar"/>
        </w:rPr>
        <w:t>合同、处理招标等相关事宜，其一切法律后果均由我方承担。</w:t>
      </w:r>
    </w:p>
    <w:p w14:paraId="4089BE52">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委托期限：</w:t>
      </w:r>
      <w:r>
        <w:rPr>
          <w:rFonts w:ascii="楷体" w:hAnsi="楷体" w:eastAsia="楷体"/>
          <w:sz w:val="28"/>
          <w:szCs w:val="28"/>
          <w:u w:val="single"/>
          <w:lang w:bidi="ar"/>
        </w:rPr>
        <w:t xml:space="preserve">                                                          </w:t>
      </w:r>
    </w:p>
    <w:p w14:paraId="0917BB31">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代理人无转委托权。</w:t>
      </w:r>
    </w:p>
    <w:p w14:paraId="176ADC35">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附：</w:t>
      </w:r>
      <w:r>
        <w:rPr>
          <w:rFonts w:hint="eastAsia" w:ascii="楷体" w:hAnsi="楷体" w:eastAsia="楷体" w:cs="楷体"/>
          <w:sz w:val="28"/>
          <w:szCs w:val="28"/>
          <w:lang w:bidi="ar"/>
        </w:rPr>
        <w:t>法定代表人及</w:t>
      </w:r>
      <w:r>
        <w:rPr>
          <w:rFonts w:ascii="楷体" w:hAnsi="楷体" w:eastAsia="楷体" w:cs="楷体"/>
          <w:sz w:val="28"/>
          <w:szCs w:val="28"/>
          <w:lang w:bidi="ar"/>
        </w:rPr>
        <w:t>代理人身份证明</w:t>
      </w:r>
    </w:p>
    <w:p w14:paraId="5E1A6F47">
      <w:pPr>
        <w:spacing w:after="193" w:afterLines="50" w:line="312" w:lineRule="auto"/>
        <w:ind w:firstLine="560" w:firstLineChars="200"/>
        <w:jc w:val="left"/>
        <w:rPr>
          <w:rFonts w:hint="eastAsia" w:ascii="楷体" w:hAnsi="楷体" w:eastAsia="楷体"/>
          <w:sz w:val="28"/>
          <w:szCs w:val="28"/>
        </w:rPr>
      </w:pPr>
      <w:r>
        <w:rPr>
          <w:rFonts w:ascii="楷体" w:hAnsi="楷体" w:eastAsia="楷体"/>
          <w:sz w:val="28"/>
          <w:szCs w:val="28"/>
          <w:lang w:bidi="ar"/>
        </w:rPr>
        <w:t xml:space="preserve"> </w:t>
      </w:r>
    </w:p>
    <w:p w14:paraId="7756069D">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 xml:space="preserve"> </w:t>
      </w:r>
    </w:p>
    <w:p w14:paraId="017F6EBE">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 xml:space="preserve"> </w:t>
      </w:r>
    </w:p>
    <w:p w14:paraId="759C5C8D">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ab/>
      </w:r>
      <w:r>
        <w:rPr>
          <w:rFonts w:hint="eastAsia" w:ascii="仿宋" w:hAnsi="仿宋" w:eastAsia="仿宋" w:cs="仿宋"/>
          <w:sz w:val="28"/>
          <w:szCs w:val="28"/>
          <w:lang w:bidi="ar"/>
        </w:rPr>
        <w:t xml:space="preserve">                             授权单位：</w:t>
      </w:r>
    </w:p>
    <w:p w14:paraId="4B25921F">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法定代表人：</w:t>
      </w:r>
    </w:p>
    <w:p w14:paraId="46368C9B">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u w:val="single"/>
          <w:lang w:bidi="ar"/>
        </w:rPr>
        <w:t xml:space="preserve">   </w:t>
      </w:r>
      <w:r>
        <w:rPr>
          <w:rFonts w:hint="eastAsia" w:ascii="仿宋" w:hAnsi="仿宋" w:eastAsia="仿宋" w:cs="仿宋"/>
          <w:sz w:val="28"/>
          <w:szCs w:val="28"/>
          <w:lang w:bidi="ar"/>
        </w:rPr>
        <w:t>年</w:t>
      </w:r>
      <w:r>
        <w:rPr>
          <w:rFonts w:hint="eastAsia" w:ascii="仿宋" w:hAnsi="仿宋" w:eastAsia="仿宋" w:cs="仿宋"/>
          <w:sz w:val="28"/>
          <w:szCs w:val="28"/>
          <w:u w:val="single"/>
          <w:lang w:bidi="ar"/>
        </w:rPr>
        <w:t xml:space="preserve">   </w:t>
      </w:r>
      <w:r>
        <w:rPr>
          <w:rFonts w:hint="eastAsia" w:ascii="仿宋" w:hAnsi="仿宋" w:eastAsia="仿宋" w:cs="仿宋"/>
          <w:sz w:val="28"/>
          <w:szCs w:val="28"/>
          <w:lang w:bidi="ar"/>
        </w:rPr>
        <w:t>月</w:t>
      </w:r>
      <w:r>
        <w:rPr>
          <w:rFonts w:hint="eastAsia" w:ascii="仿宋" w:hAnsi="仿宋" w:eastAsia="仿宋" w:cs="仿宋"/>
          <w:sz w:val="28"/>
          <w:szCs w:val="28"/>
          <w:u w:val="single"/>
          <w:lang w:bidi="ar"/>
        </w:rPr>
        <w:t xml:space="preserve">   </w:t>
      </w:r>
      <w:r>
        <w:rPr>
          <w:rFonts w:hint="eastAsia" w:ascii="仿宋" w:hAnsi="仿宋" w:eastAsia="仿宋" w:cs="仿宋"/>
          <w:sz w:val="28"/>
          <w:szCs w:val="28"/>
          <w:lang w:bidi="ar"/>
        </w:rPr>
        <w:t>日</w:t>
      </w:r>
    </w:p>
    <w:p w14:paraId="7276D399">
      <w:pPr>
        <w:spacing w:line="312" w:lineRule="auto"/>
        <w:ind w:firstLine="560" w:firstLineChars="200"/>
        <w:rPr>
          <w:rFonts w:hint="eastAsia" w:ascii="仿宋" w:hAnsi="仿宋" w:eastAsia="仿宋" w:cs="仿宋"/>
          <w:sz w:val="28"/>
          <w:szCs w:val="28"/>
        </w:rPr>
      </w:pPr>
    </w:p>
    <w:p w14:paraId="1EA94C28">
      <w:pPr>
        <w:spacing w:line="312" w:lineRule="auto"/>
        <w:ind w:firstLine="560" w:firstLineChars="200"/>
        <w:rPr>
          <w:rFonts w:hint="eastAsia" w:ascii="仿宋" w:hAnsi="仿宋" w:eastAsia="仿宋" w:cs="仿宋"/>
          <w:sz w:val="28"/>
          <w:szCs w:val="28"/>
        </w:rPr>
      </w:pPr>
    </w:p>
    <w:p w14:paraId="5DCCE82A">
      <w:pPr>
        <w:spacing w:line="312" w:lineRule="auto"/>
        <w:ind w:firstLine="560" w:firstLineChars="200"/>
        <w:rPr>
          <w:rFonts w:hint="eastAsia" w:ascii="仿宋" w:hAnsi="仿宋" w:eastAsia="仿宋" w:cs="仿宋"/>
          <w:sz w:val="28"/>
          <w:szCs w:val="28"/>
        </w:rPr>
      </w:pPr>
    </w:p>
    <w:p w14:paraId="4B53B83D">
      <w:pPr>
        <w:spacing w:line="312" w:lineRule="auto"/>
        <w:ind w:firstLine="560" w:firstLineChars="200"/>
        <w:rPr>
          <w:rFonts w:hint="eastAsia" w:ascii="仿宋" w:hAnsi="仿宋" w:eastAsia="仿宋" w:cs="仿宋"/>
          <w:sz w:val="28"/>
          <w:szCs w:val="28"/>
        </w:rPr>
      </w:pPr>
    </w:p>
    <w:p w14:paraId="51F8768D">
      <w:pPr>
        <w:spacing w:line="312" w:lineRule="auto"/>
        <w:ind w:firstLine="560" w:firstLineChars="200"/>
        <w:rPr>
          <w:rFonts w:hint="eastAsia" w:ascii="仿宋" w:hAnsi="仿宋" w:eastAsia="仿宋" w:cs="仿宋"/>
          <w:sz w:val="28"/>
          <w:szCs w:val="28"/>
        </w:rPr>
      </w:pPr>
    </w:p>
    <w:p w14:paraId="3412DDB9">
      <w:pPr>
        <w:spacing w:line="312" w:lineRule="auto"/>
        <w:ind w:firstLine="560" w:firstLineChars="200"/>
        <w:rPr>
          <w:rFonts w:hint="eastAsia" w:ascii="仿宋" w:hAnsi="仿宋" w:eastAsia="仿宋" w:cs="仿宋"/>
          <w:sz w:val="28"/>
          <w:szCs w:val="28"/>
        </w:rPr>
      </w:pPr>
    </w:p>
    <w:p w14:paraId="196ACA8C">
      <w:pPr>
        <w:spacing w:line="312" w:lineRule="auto"/>
        <w:rPr>
          <w:rFonts w:hint="eastAsia" w:ascii="仿宋" w:hAnsi="仿宋" w:eastAsia="仿宋" w:cs="仿宋"/>
          <w:sz w:val="28"/>
          <w:szCs w:val="28"/>
          <w:lang w:eastAsia="zh"/>
        </w:rPr>
      </w:pPr>
      <w:r>
        <w:rPr>
          <w:rFonts w:hint="eastAsia" w:ascii="仿宋" w:hAnsi="仿宋" w:eastAsia="仿宋" w:cs="仿宋"/>
          <w:sz w:val="28"/>
          <w:szCs w:val="28"/>
          <w:lang w:bidi="ar"/>
        </w:rPr>
        <w:t>附件2：</w:t>
      </w:r>
    </w:p>
    <w:p w14:paraId="03ED6C97">
      <w:pPr>
        <w:spacing w:line="312" w:lineRule="auto"/>
        <w:ind w:firstLine="562" w:firstLineChars="200"/>
        <w:jc w:val="center"/>
        <w:rPr>
          <w:rFonts w:hint="eastAsia" w:ascii="仿宋" w:hAnsi="仿宋" w:eastAsia="仿宋" w:cs="仿宋"/>
          <w:b/>
          <w:bCs/>
          <w:sz w:val="28"/>
          <w:szCs w:val="28"/>
          <w:lang w:bidi="ar"/>
        </w:rPr>
      </w:pPr>
    </w:p>
    <w:p w14:paraId="6BDC8609">
      <w:pPr>
        <w:spacing w:line="312" w:lineRule="auto"/>
        <w:ind w:firstLine="562" w:firstLineChars="200"/>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企业情况、从业经历一览表</w:t>
      </w:r>
    </w:p>
    <w:p w14:paraId="7C0EA395">
      <w:pPr>
        <w:spacing w:line="312" w:lineRule="auto"/>
        <w:ind w:firstLine="562" w:firstLineChars="200"/>
        <w:jc w:val="center"/>
        <w:rPr>
          <w:rFonts w:hint="eastAsia" w:ascii="仿宋" w:hAnsi="仿宋" w:eastAsia="仿宋" w:cs="仿宋"/>
          <w:b/>
          <w:bCs/>
          <w:sz w:val="28"/>
          <w:szCs w:val="28"/>
          <w:lang w:bidi="ar"/>
        </w:rPr>
      </w:pP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676"/>
        <w:gridCol w:w="1444"/>
        <w:gridCol w:w="1062"/>
        <w:gridCol w:w="1562"/>
        <w:gridCol w:w="1877"/>
      </w:tblGrid>
      <w:tr w14:paraId="0E3C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D9B9566">
            <w:pPr>
              <w:spacing w:line="312"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bidi="ar"/>
              </w:rPr>
              <w:t>企业情况</w:t>
            </w:r>
          </w:p>
        </w:tc>
      </w:tr>
      <w:tr w14:paraId="3263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94" w:type="pct"/>
            <w:tcBorders>
              <w:top w:val="single" w:color="auto" w:sz="4" w:space="0"/>
              <w:left w:val="single" w:color="auto" w:sz="4" w:space="0"/>
              <w:bottom w:val="single" w:color="auto" w:sz="4" w:space="0"/>
              <w:right w:val="single" w:color="auto" w:sz="4" w:space="0"/>
            </w:tcBorders>
            <w:vAlign w:val="center"/>
          </w:tcPr>
          <w:p w14:paraId="00D36750">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公司名称</w:t>
            </w:r>
          </w:p>
        </w:tc>
        <w:tc>
          <w:tcPr>
            <w:tcW w:w="925" w:type="pct"/>
            <w:tcBorders>
              <w:top w:val="single" w:color="auto" w:sz="4" w:space="0"/>
              <w:left w:val="single" w:color="auto" w:sz="4" w:space="0"/>
              <w:bottom w:val="single" w:color="auto" w:sz="4" w:space="0"/>
              <w:right w:val="single" w:color="auto" w:sz="4" w:space="0"/>
            </w:tcBorders>
            <w:vAlign w:val="center"/>
          </w:tcPr>
          <w:p w14:paraId="1D892493">
            <w:pPr>
              <w:spacing w:line="312" w:lineRule="auto"/>
              <w:ind w:firstLine="560" w:firstLineChars="200"/>
              <w:jc w:val="left"/>
              <w:rPr>
                <w:rFonts w:hint="eastAsia" w:ascii="仿宋" w:hAnsi="仿宋" w:eastAsia="仿宋" w:cs="仿宋"/>
                <w:sz w:val="28"/>
                <w:szCs w:val="28"/>
              </w:rPr>
            </w:pPr>
          </w:p>
        </w:tc>
        <w:tc>
          <w:tcPr>
            <w:tcW w:w="796" w:type="pct"/>
            <w:tcBorders>
              <w:top w:val="single" w:color="auto" w:sz="4" w:space="0"/>
              <w:left w:val="single" w:color="auto" w:sz="4" w:space="0"/>
              <w:bottom w:val="single" w:color="auto" w:sz="4" w:space="0"/>
              <w:right w:val="single" w:color="auto" w:sz="4" w:space="0"/>
            </w:tcBorders>
            <w:vAlign w:val="center"/>
          </w:tcPr>
          <w:p w14:paraId="011EA6F4">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成立时间</w:t>
            </w:r>
          </w:p>
        </w:tc>
        <w:tc>
          <w:tcPr>
            <w:tcW w:w="586" w:type="pct"/>
            <w:tcBorders>
              <w:top w:val="single" w:color="auto" w:sz="4" w:space="0"/>
              <w:left w:val="single" w:color="auto" w:sz="4" w:space="0"/>
              <w:bottom w:val="single" w:color="auto" w:sz="4" w:space="0"/>
              <w:right w:val="single" w:color="auto" w:sz="4" w:space="0"/>
            </w:tcBorders>
            <w:vAlign w:val="center"/>
          </w:tcPr>
          <w:p w14:paraId="34CBEA0C">
            <w:pPr>
              <w:spacing w:line="312" w:lineRule="auto"/>
              <w:ind w:firstLine="560" w:firstLineChars="200"/>
              <w:jc w:val="left"/>
              <w:rPr>
                <w:rFonts w:hint="eastAsia" w:ascii="仿宋" w:hAnsi="仿宋" w:eastAsia="仿宋" w:cs="仿宋"/>
                <w:sz w:val="28"/>
                <w:szCs w:val="28"/>
              </w:rPr>
            </w:pPr>
          </w:p>
        </w:tc>
        <w:tc>
          <w:tcPr>
            <w:tcW w:w="862" w:type="pct"/>
            <w:tcBorders>
              <w:top w:val="single" w:color="auto" w:sz="4" w:space="0"/>
              <w:left w:val="single" w:color="auto" w:sz="4" w:space="0"/>
              <w:bottom w:val="single" w:color="auto" w:sz="4" w:space="0"/>
              <w:right w:val="single" w:color="auto" w:sz="4" w:space="0"/>
            </w:tcBorders>
            <w:vAlign w:val="center"/>
          </w:tcPr>
          <w:p w14:paraId="5289C3B3">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注册资本</w:t>
            </w:r>
          </w:p>
        </w:tc>
        <w:tc>
          <w:tcPr>
            <w:tcW w:w="1034" w:type="pct"/>
            <w:tcBorders>
              <w:top w:val="single" w:color="auto" w:sz="4" w:space="0"/>
              <w:left w:val="single" w:color="auto" w:sz="4" w:space="0"/>
              <w:bottom w:val="single" w:color="auto" w:sz="4" w:space="0"/>
              <w:right w:val="single" w:color="auto" w:sz="4" w:space="0"/>
            </w:tcBorders>
            <w:vAlign w:val="center"/>
          </w:tcPr>
          <w:p w14:paraId="51D966B7">
            <w:pPr>
              <w:spacing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万元</w:t>
            </w:r>
          </w:p>
        </w:tc>
      </w:tr>
      <w:tr w14:paraId="7EF8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94" w:type="pct"/>
            <w:tcBorders>
              <w:top w:val="single" w:color="auto" w:sz="4" w:space="0"/>
              <w:left w:val="single" w:color="auto" w:sz="4" w:space="0"/>
              <w:bottom w:val="single" w:color="auto" w:sz="4" w:space="0"/>
              <w:right w:val="single" w:color="auto" w:sz="4" w:space="0"/>
            </w:tcBorders>
            <w:vAlign w:val="center"/>
          </w:tcPr>
          <w:p w14:paraId="71E0C185">
            <w:pPr>
              <w:spacing w:line="312" w:lineRule="auto"/>
              <w:jc w:val="left"/>
              <w:rPr>
                <w:rFonts w:hint="eastAsia" w:ascii="仿宋" w:hAnsi="仿宋" w:eastAsia="仿宋" w:cs="仿宋"/>
                <w:sz w:val="28"/>
                <w:szCs w:val="28"/>
                <w:lang w:bidi="ar"/>
              </w:rPr>
            </w:pPr>
            <w:r>
              <w:rPr>
                <w:rFonts w:hint="eastAsia" w:ascii="仿宋" w:hAnsi="仿宋" w:eastAsia="仿宋" w:cs="仿宋"/>
                <w:sz w:val="28"/>
                <w:szCs w:val="28"/>
                <w:lang w:bidi="ar"/>
              </w:rPr>
              <w:t>公司在册</w:t>
            </w:r>
          </w:p>
          <w:p w14:paraId="452716DE">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员工人数</w:t>
            </w:r>
          </w:p>
        </w:tc>
        <w:tc>
          <w:tcPr>
            <w:tcW w:w="1722" w:type="pct"/>
            <w:gridSpan w:val="2"/>
            <w:tcBorders>
              <w:top w:val="single" w:color="auto" w:sz="4" w:space="0"/>
              <w:left w:val="single" w:color="auto" w:sz="4" w:space="0"/>
              <w:bottom w:val="single" w:color="auto" w:sz="4" w:space="0"/>
              <w:right w:val="single" w:color="auto" w:sz="4" w:space="0"/>
            </w:tcBorders>
            <w:vAlign w:val="center"/>
          </w:tcPr>
          <w:p w14:paraId="6C8A3453">
            <w:pPr>
              <w:spacing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人</w:t>
            </w:r>
          </w:p>
        </w:tc>
        <w:tc>
          <w:tcPr>
            <w:tcW w:w="1448" w:type="pct"/>
            <w:gridSpan w:val="2"/>
            <w:tcBorders>
              <w:top w:val="single" w:color="auto" w:sz="4" w:space="0"/>
              <w:left w:val="single" w:color="auto" w:sz="4" w:space="0"/>
              <w:bottom w:val="single" w:color="auto" w:sz="4" w:space="0"/>
              <w:right w:val="single" w:color="auto" w:sz="4" w:space="0"/>
            </w:tcBorders>
            <w:vAlign w:val="center"/>
          </w:tcPr>
          <w:p w14:paraId="150EBC86">
            <w:pPr>
              <w:spacing w:line="312" w:lineRule="auto"/>
              <w:jc w:val="left"/>
              <w:rPr>
                <w:rFonts w:hint="eastAsia" w:ascii="仿宋" w:hAnsi="仿宋" w:eastAsia="仿宋" w:cs="仿宋"/>
                <w:sz w:val="28"/>
                <w:szCs w:val="28"/>
                <w:lang w:eastAsia="zh" w:bidi="ar"/>
              </w:rPr>
            </w:pPr>
            <w:r>
              <w:rPr>
                <w:rFonts w:hint="eastAsia" w:ascii="仿宋" w:hAnsi="仿宋" w:eastAsia="仿宋" w:cs="仿宋"/>
                <w:sz w:val="28"/>
                <w:szCs w:val="28"/>
                <w:lang w:eastAsia="zh" w:bidi="ar"/>
              </w:rPr>
              <w:t>团队配备</w:t>
            </w:r>
          </w:p>
          <w:p w14:paraId="2B277E4C">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员工人数</w:t>
            </w:r>
          </w:p>
        </w:tc>
        <w:tc>
          <w:tcPr>
            <w:tcW w:w="1034" w:type="pct"/>
            <w:tcBorders>
              <w:top w:val="single" w:color="auto" w:sz="4" w:space="0"/>
              <w:left w:val="single" w:color="auto" w:sz="4" w:space="0"/>
              <w:bottom w:val="single" w:color="auto" w:sz="4" w:space="0"/>
              <w:right w:val="single" w:color="auto" w:sz="4" w:space="0"/>
            </w:tcBorders>
            <w:vAlign w:val="center"/>
          </w:tcPr>
          <w:p w14:paraId="2CF35F33">
            <w:pPr>
              <w:spacing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人</w:t>
            </w:r>
          </w:p>
        </w:tc>
      </w:tr>
      <w:tr w14:paraId="1240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94" w:type="pct"/>
            <w:tcBorders>
              <w:top w:val="single" w:color="auto" w:sz="4" w:space="0"/>
              <w:left w:val="single" w:color="auto" w:sz="4" w:space="0"/>
              <w:bottom w:val="single" w:color="auto" w:sz="4" w:space="0"/>
              <w:right w:val="single" w:color="auto" w:sz="4" w:space="0"/>
            </w:tcBorders>
            <w:vAlign w:val="center"/>
          </w:tcPr>
          <w:p w14:paraId="3DC20778">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公司现有主要业务</w:t>
            </w:r>
          </w:p>
        </w:tc>
        <w:tc>
          <w:tcPr>
            <w:tcW w:w="4205" w:type="pct"/>
            <w:gridSpan w:val="5"/>
            <w:tcBorders>
              <w:top w:val="single" w:color="auto" w:sz="4" w:space="0"/>
              <w:left w:val="single" w:color="auto" w:sz="4" w:space="0"/>
              <w:bottom w:val="single" w:color="auto" w:sz="4" w:space="0"/>
              <w:right w:val="single" w:color="auto" w:sz="4" w:space="0"/>
            </w:tcBorders>
            <w:vAlign w:val="center"/>
          </w:tcPr>
          <w:p w14:paraId="711EB772">
            <w:pPr>
              <w:spacing w:line="312" w:lineRule="auto"/>
              <w:ind w:firstLine="560" w:firstLineChars="200"/>
              <w:jc w:val="left"/>
              <w:rPr>
                <w:rFonts w:hint="eastAsia" w:ascii="仿宋" w:hAnsi="仿宋" w:eastAsia="仿宋" w:cs="仿宋"/>
                <w:sz w:val="28"/>
                <w:szCs w:val="28"/>
              </w:rPr>
            </w:pPr>
          </w:p>
        </w:tc>
      </w:tr>
      <w:tr w14:paraId="4C13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5" w:hRule="atLeast"/>
          <w:jc w:val="center"/>
        </w:trPr>
        <w:tc>
          <w:tcPr>
            <w:tcW w:w="794" w:type="pct"/>
            <w:tcBorders>
              <w:top w:val="single" w:color="auto" w:sz="4" w:space="0"/>
              <w:left w:val="single" w:color="auto" w:sz="4" w:space="0"/>
              <w:bottom w:val="single" w:color="auto" w:sz="4" w:space="0"/>
              <w:right w:val="single" w:color="auto" w:sz="4" w:space="0"/>
            </w:tcBorders>
            <w:vAlign w:val="center"/>
          </w:tcPr>
          <w:p w14:paraId="4A39FEBA">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企业简介</w:t>
            </w:r>
          </w:p>
        </w:tc>
        <w:tc>
          <w:tcPr>
            <w:tcW w:w="4205" w:type="pct"/>
            <w:gridSpan w:val="5"/>
            <w:tcBorders>
              <w:top w:val="single" w:color="auto" w:sz="4" w:space="0"/>
              <w:left w:val="single" w:color="auto" w:sz="4" w:space="0"/>
              <w:bottom w:val="single" w:color="auto" w:sz="4" w:space="0"/>
              <w:right w:val="single" w:color="auto" w:sz="4" w:space="0"/>
            </w:tcBorders>
            <w:vAlign w:val="center"/>
          </w:tcPr>
          <w:p w14:paraId="5223EA90">
            <w:pPr>
              <w:spacing w:line="312" w:lineRule="auto"/>
              <w:ind w:firstLine="560" w:firstLineChars="200"/>
              <w:jc w:val="left"/>
              <w:rPr>
                <w:rFonts w:hint="eastAsia" w:ascii="仿宋" w:hAnsi="仿宋" w:eastAsia="仿宋" w:cs="仿宋"/>
                <w:sz w:val="28"/>
                <w:szCs w:val="28"/>
              </w:rPr>
            </w:pPr>
          </w:p>
        </w:tc>
      </w:tr>
    </w:tbl>
    <w:p w14:paraId="02DD8B50">
      <w:pPr>
        <w:pStyle w:val="13"/>
        <w:spacing w:line="312" w:lineRule="auto"/>
        <w:rPr>
          <w:rFonts w:hint="eastAsia" w:ascii="仿宋" w:hAnsi="仿宋" w:eastAsia="仿宋" w:cs="仿宋"/>
          <w:b/>
          <w:kern w:val="2"/>
          <w:sz w:val="28"/>
          <w:szCs w:val="28"/>
        </w:rPr>
      </w:pPr>
      <w:r>
        <w:rPr>
          <w:rFonts w:hint="eastAsia" w:ascii="仿宋" w:hAnsi="仿宋" w:eastAsia="仿宋" w:cs="仿宋"/>
          <w:kern w:val="2"/>
          <w:sz w:val="28"/>
          <w:szCs w:val="28"/>
          <w:lang w:bidi="ar"/>
        </w:rPr>
        <w:t>投标人名称（盖章）：     法定代表人或授权代表签字：</w:t>
      </w:r>
    </w:p>
    <w:p w14:paraId="1BEEDDC2">
      <w:pPr>
        <w:pStyle w:val="13"/>
        <w:spacing w:line="312" w:lineRule="auto"/>
        <w:jc w:val="both"/>
        <w:rPr>
          <w:rFonts w:hint="eastAsia" w:ascii="仿宋" w:hAnsi="仿宋" w:eastAsia="仿宋" w:cs="仿宋"/>
          <w:b/>
          <w:kern w:val="2"/>
          <w:sz w:val="28"/>
          <w:szCs w:val="28"/>
          <w:lang w:bidi="ar"/>
        </w:rPr>
      </w:pPr>
      <w:r>
        <w:rPr>
          <w:rFonts w:hint="eastAsia" w:ascii="仿宋" w:hAnsi="仿宋" w:eastAsia="仿宋" w:cs="仿宋"/>
          <w:b/>
          <w:kern w:val="2"/>
          <w:sz w:val="28"/>
          <w:szCs w:val="28"/>
          <w:lang w:bidi="ar"/>
        </w:rPr>
        <w:t>注：</w:t>
      </w:r>
    </w:p>
    <w:p w14:paraId="7681FB3C">
      <w:pPr>
        <w:pStyle w:val="13"/>
        <w:spacing w:line="312" w:lineRule="auto"/>
        <w:jc w:val="both"/>
        <w:rPr>
          <w:rFonts w:hint="eastAsia" w:ascii="仿宋" w:hAnsi="仿宋" w:eastAsia="仿宋" w:cs="仿宋"/>
          <w:kern w:val="2"/>
          <w:sz w:val="28"/>
          <w:szCs w:val="28"/>
          <w:lang w:bidi="ar"/>
        </w:rPr>
      </w:pPr>
      <w:r>
        <w:rPr>
          <w:rFonts w:hint="eastAsia" w:ascii="仿宋" w:hAnsi="仿宋" w:eastAsia="仿宋" w:cs="仿宋"/>
          <w:kern w:val="2"/>
          <w:sz w:val="28"/>
          <w:szCs w:val="28"/>
          <w:lang w:bidi="ar"/>
        </w:rPr>
        <w:t>1.投标人为满足本招标项目之需，需实际配置的、包含但不限于上述设备、人员及其他条目；</w:t>
      </w:r>
    </w:p>
    <w:p w14:paraId="38389E5E">
      <w:pPr>
        <w:pStyle w:val="13"/>
        <w:spacing w:line="312" w:lineRule="auto"/>
        <w:jc w:val="both"/>
        <w:rPr>
          <w:rFonts w:hint="eastAsia"/>
          <w:lang w:val="en-US" w:eastAsia="zh-CN"/>
        </w:rPr>
        <w:sectPr>
          <w:footerReference r:id="rId3" w:type="default"/>
          <w:footerReference r:id="rId4" w:type="even"/>
          <w:pgSz w:w="11906" w:h="16838"/>
          <w:pgMar w:top="1440" w:right="1531" w:bottom="1361" w:left="1531" w:header="851" w:footer="992" w:gutter="0"/>
          <w:cols w:space="720" w:num="1"/>
          <w:docGrid w:type="lines" w:linePitch="312" w:charSpace="0"/>
        </w:sectPr>
      </w:pPr>
      <w:r>
        <w:rPr>
          <w:rFonts w:hint="eastAsia" w:ascii="仿宋" w:hAnsi="仿宋" w:eastAsia="仿宋" w:cs="仿宋"/>
          <w:kern w:val="2"/>
          <w:sz w:val="28"/>
          <w:szCs w:val="28"/>
          <w:lang w:bidi="ar"/>
        </w:rPr>
        <w:t>2.投标人可在上表内容基础上，酌情自行增加相关条目，以便更好的满足项目开展之需要。</w:t>
      </w:r>
    </w:p>
    <w:p w14:paraId="51FE17D1">
      <w:pPr>
        <w:pStyle w:val="14"/>
        <w:rPr>
          <w:rFonts w:hint="eastAsia"/>
          <w:iCs/>
          <w:sz w:val="44"/>
          <w:szCs w:val="44"/>
          <w:highlight w:val="none"/>
        </w:rPr>
      </w:pPr>
      <w:r>
        <w:rPr>
          <w:rFonts w:hint="eastAsia" w:eastAsia="宋体" w:cs="Times New Roman"/>
          <w:b/>
          <w:bCs/>
          <w:sz w:val="44"/>
          <w:szCs w:val="44"/>
          <w:highlight w:val="none"/>
          <w:lang w:val="en-US" w:eastAsia="zh-CN"/>
        </w:rPr>
        <w:t>SRM非生产供应商注册操作手册</w:t>
      </w:r>
    </w:p>
    <w:p w14:paraId="3C947B2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7D6A6889">
      <w:pPr>
        <w:widowControl w:val="0"/>
        <w:numPr>
          <w:ilvl w:val="0"/>
          <w:numId w:val="0"/>
        </w:numPr>
        <w:tabs>
          <w:tab w:val="left" w:pos="312"/>
        </w:tabs>
        <w:snapToGrid/>
        <w:spacing w:before="0" w:after="0" w:line="360" w:lineRule="auto"/>
        <w:ind w:right="0" w:rightChars="0"/>
        <w:jc w:val="both"/>
        <w:rPr>
          <w:rFonts w:ascii="宋体" w:hAnsi="宋体" w:eastAsia="宋体" w:cs="宋体"/>
          <w:i w:val="0"/>
          <w:strike w:val="0"/>
          <w:color w:val="000000"/>
          <w:sz w:val="24"/>
          <w:szCs w:val="28"/>
          <w:highlight w:val="none"/>
          <w:u w:val="none"/>
        </w:rPr>
      </w:pPr>
      <w:r>
        <w:rPr>
          <w:rFonts w:hint="eastAsia"/>
          <w:sz w:val="24"/>
          <w:highlight w:val="yellow"/>
        </w:rPr>
        <w:t>供应商属性选择【非生产】、管理单位选择【直管单位】、意向配套单位选择【直管单位】；采购形式编号</w:t>
      </w:r>
      <w:r>
        <w:rPr>
          <w:rFonts w:hint="eastAsia" w:ascii="宋体" w:hAnsi="宋体" w:cs="宋体"/>
          <w:b/>
          <w:bCs/>
          <w:i w:val="0"/>
          <w:strike w:val="0"/>
          <w:color w:val="000000"/>
          <w:sz w:val="24"/>
          <w:szCs w:val="28"/>
          <w:highlight w:val="yellow"/>
          <w:u w:val="single"/>
          <w:lang w:val="en-US" w:eastAsia="zh-CN"/>
        </w:rPr>
        <w:t xml:space="preserve">          </w:t>
      </w:r>
      <w:r>
        <w:rPr>
          <w:rFonts w:hint="eastAsia"/>
          <w:sz w:val="24"/>
          <w:highlight w:val="yellow"/>
        </w:rPr>
        <w:t>；</w:t>
      </w:r>
      <w:r>
        <w:rPr>
          <w:rFonts w:hint="eastAsia" w:ascii="宋体" w:hAnsi="宋体" w:eastAsia="宋体" w:cs="宋体"/>
          <w:b/>
          <w:bCs/>
          <w:i w:val="0"/>
          <w:strike w:val="0"/>
          <w:color w:val="000000"/>
          <w:sz w:val="24"/>
          <w:szCs w:val="28"/>
          <w:highlight w:val="yellow"/>
          <w:u w:val="none"/>
          <w:lang w:val="en-US" w:eastAsia="zh-CN"/>
        </w:rPr>
        <w:t>项目名称“</w:t>
      </w:r>
      <w:r>
        <w:rPr>
          <w:rFonts w:hint="eastAsia" w:ascii="宋体" w:hAnsi="宋体" w:eastAsia="宋体" w:cs="宋体"/>
          <w:b/>
          <w:bCs/>
          <w:i w:val="0"/>
          <w:strike w:val="0"/>
          <w:color w:val="000000"/>
          <w:sz w:val="24"/>
          <w:szCs w:val="28"/>
          <w:highlight w:val="yellow"/>
          <w:u w:val="single"/>
          <w:lang w:val="en-US" w:eastAsia="zh-CN"/>
        </w:rPr>
        <w:t>中国重汽职工子女寒暑假托管班资源库项目</w:t>
      </w:r>
      <w:r>
        <w:rPr>
          <w:rFonts w:hint="eastAsia" w:ascii="宋体" w:hAnsi="宋体" w:eastAsia="宋体" w:cs="宋体"/>
          <w:b/>
          <w:bCs/>
          <w:i w:val="0"/>
          <w:strike w:val="0"/>
          <w:color w:val="000000"/>
          <w:sz w:val="24"/>
          <w:szCs w:val="28"/>
          <w:highlight w:val="yellow"/>
          <w:u w:val="none"/>
          <w:lang w:val="en-US" w:eastAsia="zh-CN"/>
        </w:rPr>
        <w:t>”</w:t>
      </w:r>
      <w:r>
        <w:rPr>
          <w:rFonts w:hint="eastAsia"/>
          <w:sz w:val="24"/>
          <w:highlight w:val="yellow"/>
        </w:rPr>
        <w:t>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rFonts w:hint="eastAsia"/>
          <w:b/>
          <w:bCs/>
          <w:sz w:val="24"/>
          <w:highlight w:val="yellow"/>
          <w:u w:val="single"/>
        </w:rPr>
        <w:t>直管单位非生产招标/服务/职工福利服务</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3AE85553">
      <w:pPr>
        <w:snapToGrid w:val="0"/>
        <w:spacing w:line="288" w:lineRule="auto"/>
        <w:rPr>
          <w:rFonts w:hint="eastAsia" w:ascii="宋体" w:hAnsi="宋体" w:cs="宋体"/>
          <w:b/>
          <w:bCs/>
          <w:szCs w:val="21"/>
        </w:rPr>
      </w:pPr>
    </w:p>
    <w:p w14:paraId="5B56B81B">
      <w:pPr>
        <w:snapToGrid w:val="0"/>
        <w:spacing w:line="288" w:lineRule="auto"/>
        <w:rPr>
          <w:rFonts w:hint="eastAsia" w:ascii="宋体" w:hAnsi="宋体" w:cs="宋体"/>
          <w:b/>
          <w:bCs/>
          <w:szCs w:val="21"/>
        </w:rPr>
      </w:pPr>
    </w:p>
    <w:p w14:paraId="7A541C90">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10376080">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3DE62AC7">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0DA6BB4D">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958714C">
      <w:pPr>
        <w:rPr>
          <w:rFonts w:ascii="宋体" w:cs="宋体"/>
          <w:b/>
          <w:bCs/>
          <w:color w:val="C00000"/>
          <w:lang w:bidi="ar"/>
        </w:rPr>
      </w:pPr>
    </w:p>
    <w:p w14:paraId="1E62696B">
      <w:pPr>
        <w:rPr>
          <w:rFonts w:ascii="宋体" w:cs="宋体"/>
          <w:b/>
          <w:bCs/>
          <w:color w:val="C00000"/>
          <w:lang w:bidi="ar"/>
        </w:rPr>
      </w:pPr>
    </w:p>
    <w:p w14:paraId="235E90D5">
      <w:pPr>
        <w:rPr>
          <w:rFonts w:ascii="宋体" w:cs="宋体"/>
          <w:b/>
          <w:bCs/>
          <w:sz w:val="32"/>
          <w:szCs w:val="40"/>
          <w:highlight w:val="yellow"/>
        </w:rPr>
      </w:pPr>
      <w:r>
        <w:rPr>
          <w:rFonts w:hint="eastAsia" w:ascii="宋体" w:cs="宋体"/>
          <w:b/>
          <w:bCs/>
          <w:sz w:val="32"/>
          <w:szCs w:val="40"/>
          <w:highlight w:val="yellow"/>
          <w:lang w:bidi="ar"/>
        </w:rPr>
        <w:t>供应商注册</w:t>
      </w:r>
    </w:p>
    <w:p w14:paraId="729F2FF7">
      <w:r>
        <w:rPr>
          <w:rFonts w:hint="eastAsia" w:ascii="宋体" w:cs="宋体"/>
          <w:color w:val="000000"/>
          <w:lang w:bidi="ar"/>
        </w:rPr>
        <w:t>浏览器中输入地址</w:t>
      </w:r>
      <w:r>
        <w:rPr>
          <w:rFonts w:ascii="Calibri" w:hAnsi="Calibri" w:eastAsia="Calibri" w:cs="Calibri"/>
          <w:color w:val="000000"/>
          <w:lang w:bidi="ar"/>
        </w:rPr>
        <w:t>;</w:t>
      </w:r>
    </w:p>
    <w:p w14:paraId="5D0A2A09">
      <w:r>
        <w:fldChar w:fldCharType="begin"/>
      </w:r>
      <w:r>
        <w:instrText xml:space="preserve"> HYPERLINK "http://ecaitong.sinotruk.com:8012/" \l "/login normalLink /tdkey d38o9f /tdfe -10 /tdfu http:/ecaitong.sinotruk.com:8012/#/login /tdlt inline" </w:instrText>
      </w:r>
      <w:r>
        <w:fldChar w:fldCharType="separate"/>
      </w:r>
      <w:r>
        <w:rPr>
          <w:rStyle w:val="24"/>
        </w:rPr>
        <w:t>http</w:t>
      </w:r>
      <w:r>
        <w:rPr>
          <w:rStyle w:val="24"/>
          <w:rFonts w:hint="eastAsia"/>
        </w:rPr>
        <w:t>s</w:t>
      </w:r>
      <w:r>
        <w:rPr>
          <w:rStyle w:val="24"/>
        </w:rPr>
        <w:t>://ecaitong.sinotruk.com:8012/#/login</w:t>
      </w:r>
      <w:r>
        <w:rPr>
          <w:rStyle w:val="24"/>
        </w:rPr>
        <w:fldChar w:fldCharType="end"/>
      </w:r>
    </w:p>
    <w:p w14:paraId="0FCDF66E">
      <w:pPr>
        <w:numPr>
          <w:ilvl w:val="0"/>
          <w:numId w:val="3"/>
        </w:numPr>
        <w:rPr>
          <w:rFonts w:ascii="宋体" w:cs="宋体"/>
          <w:color w:val="000000"/>
          <w:lang w:bidi="ar"/>
        </w:rPr>
      </w:pPr>
      <w:r>
        <w:rPr>
          <w:rFonts w:hint="eastAsia" w:ascii="宋体" w:cs="宋体"/>
          <w:color w:val="000000"/>
          <w:lang w:bidi="ar"/>
        </w:rPr>
        <w:t>点击立即注册</w:t>
      </w:r>
    </w:p>
    <w:p w14:paraId="1B731956">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23A7470C">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6"/>
                    <a:stretch>
                      <a:fillRect/>
                    </a:stretch>
                  </pic:blipFill>
                  <pic:spPr>
                    <a:xfrm>
                      <a:off x="0" y="0"/>
                      <a:ext cx="5605145" cy="2578735"/>
                    </a:xfrm>
                    <a:prstGeom prst="rect">
                      <a:avLst/>
                    </a:prstGeom>
                    <a:noFill/>
                    <a:ln w="9525">
                      <a:noFill/>
                    </a:ln>
                  </pic:spPr>
                </pic:pic>
              </a:graphicData>
            </a:graphic>
          </wp:inline>
        </w:drawing>
      </w:r>
    </w:p>
    <w:p w14:paraId="403FAED3">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54C5F004">
      <w:pPr>
        <w:snapToGrid w:val="0"/>
        <w:spacing w:line="312" w:lineRule="auto"/>
      </w:pPr>
      <w:r>
        <w:drawing>
          <wp:inline distT="0" distB="0" distL="114300" distR="114300">
            <wp:extent cx="5603240" cy="2765425"/>
            <wp:effectExtent l="0" t="0" r="1651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7"/>
                    <a:stretch>
                      <a:fillRect/>
                    </a:stretch>
                  </pic:blipFill>
                  <pic:spPr>
                    <a:xfrm>
                      <a:off x="0" y="0"/>
                      <a:ext cx="5603240" cy="2765425"/>
                    </a:xfrm>
                    <a:prstGeom prst="rect">
                      <a:avLst/>
                    </a:prstGeom>
                    <a:noFill/>
                    <a:ln>
                      <a:noFill/>
                    </a:ln>
                  </pic:spPr>
                </pic:pic>
              </a:graphicData>
            </a:graphic>
          </wp:inline>
        </w:drawing>
      </w:r>
    </w:p>
    <w:p w14:paraId="460F96B0">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6E699587">
      <w:pPr>
        <w:snapToGrid w:val="0"/>
        <w:spacing w:line="312" w:lineRule="auto"/>
      </w:pPr>
      <w:r>
        <w:drawing>
          <wp:inline distT="0" distB="0" distL="114300" distR="114300">
            <wp:extent cx="5605145" cy="2867025"/>
            <wp:effectExtent l="0" t="0" r="14605" b="952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8"/>
                    <a:stretch>
                      <a:fillRect/>
                    </a:stretch>
                  </pic:blipFill>
                  <pic:spPr>
                    <a:xfrm>
                      <a:off x="0" y="0"/>
                      <a:ext cx="5605145" cy="2867025"/>
                    </a:xfrm>
                    <a:prstGeom prst="rect">
                      <a:avLst/>
                    </a:prstGeom>
                    <a:noFill/>
                    <a:ln>
                      <a:noFill/>
                    </a:ln>
                  </pic:spPr>
                </pic:pic>
              </a:graphicData>
            </a:graphic>
          </wp:inline>
        </w:drawing>
      </w:r>
    </w:p>
    <w:p w14:paraId="1B690917">
      <w:r>
        <w:rPr>
          <w:rFonts w:ascii="Calibri" w:hAnsi="Calibri" w:eastAsia="Calibri" w:cs="Calibri"/>
          <w:color w:val="000000"/>
          <w:lang w:bidi="ar"/>
        </w:rPr>
        <w:t xml:space="preserve">4.     </w:t>
      </w:r>
      <w:r>
        <w:rPr>
          <w:rFonts w:hint="eastAsia" w:ascii="宋体" w:cs="宋体"/>
          <w:color w:val="000000"/>
          <w:lang w:bidi="ar"/>
        </w:rPr>
        <w:t>点击新增</w:t>
      </w:r>
    </w:p>
    <w:p w14:paraId="17998FC8">
      <w:pPr>
        <w:snapToGrid w:val="0"/>
        <w:spacing w:line="312" w:lineRule="auto"/>
      </w:pPr>
      <w:r>
        <w:drawing>
          <wp:inline distT="0" distB="0" distL="114300" distR="114300">
            <wp:extent cx="5758180" cy="2852420"/>
            <wp:effectExtent l="0" t="0" r="13970" b="508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491A5610">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4C2BCE53">
      <w:pPr>
        <w:rPr>
          <w:rFonts w:ascii="宋体" w:cs="宋体"/>
          <w:color w:val="000000"/>
        </w:rPr>
      </w:pPr>
      <w:r>
        <w:drawing>
          <wp:inline distT="0" distB="0" distL="114300" distR="114300">
            <wp:extent cx="5760085" cy="2807335"/>
            <wp:effectExtent l="0" t="0" r="12065" b="1206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1CFC6C85"/>
    <w:p w14:paraId="71E1AAF1">
      <w:pPr>
        <w:snapToGrid w:val="0"/>
        <w:spacing w:line="312" w:lineRule="auto"/>
      </w:pPr>
    </w:p>
    <w:p w14:paraId="2CBFFB9A"/>
    <w:p w14:paraId="1DE00F86">
      <w:pPr>
        <w:pStyle w:val="3"/>
        <w:widowControl/>
        <w:rPr>
          <w:rFonts w:ascii="Cambria" w:hAnsi="Cambria" w:cs="Cambria"/>
          <w:highlight w:val="yellow"/>
        </w:rPr>
      </w:pPr>
      <w:r>
        <w:rPr>
          <w:rFonts w:hint="eastAsia" w:ascii="宋体" w:cs="宋体"/>
          <w:highlight w:val="yellow"/>
        </w:rPr>
        <w:t>登录界面</w:t>
      </w:r>
    </w:p>
    <w:p w14:paraId="050AD662">
      <w:pPr>
        <w:spacing w:line="360" w:lineRule="auto"/>
      </w:pPr>
      <w:r>
        <w:rPr>
          <w:lang w:bidi="ar"/>
        </w:rPr>
        <w:t>1</w:t>
      </w:r>
      <w:r>
        <w:rPr>
          <w:rFonts w:hint="eastAsia" w:ascii="宋体" w:cs="宋体"/>
          <w:lang w:bidi="ar"/>
        </w:rPr>
        <w:t>）功能简介</w:t>
      </w:r>
    </w:p>
    <w:p w14:paraId="50730EB6">
      <w:pPr>
        <w:spacing w:line="360" w:lineRule="auto"/>
      </w:pPr>
      <w:r>
        <w:rPr>
          <w:rFonts w:hint="eastAsia" w:ascii="宋体" w:cs="宋体"/>
          <w:lang w:bidi="ar"/>
        </w:rPr>
        <w:t>此页面用于进行账号登录，找回密码。</w:t>
      </w:r>
    </w:p>
    <w:p w14:paraId="21654E5D">
      <w:pPr>
        <w:numPr>
          <w:ilvl w:val="0"/>
          <w:numId w:val="4"/>
        </w:numPr>
        <w:spacing w:line="360" w:lineRule="auto"/>
      </w:pPr>
      <w:r>
        <w:rPr>
          <w:rFonts w:hint="eastAsia" w:ascii="宋体" w:cs="宋体"/>
          <w:lang w:bidi="ar"/>
        </w:rPr>
        <w:t>界面如下</w:t>
      </w:r>
    </w:p>
    <w:p w14:paraId="52872064">
      <w:r>
        <w:drawing>
          <wp:inline distT="0" distB="0" distL="114300" distR="114300">
            <wp:extent cx="5278120" cy="2660650"/>
            <wp:effectExtent l="0" t="0" r="17780" b="635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6CDBD0A0">
      <w:pPr>
        <w:pStyle w:val="31"/>
        <w:ind w:firstLine="420"/>
      </w:pPr>
      <w:r>
        <w:t>3</w:t>
      </w:r>
      <w:r>
        <w:rPr>
          <w:rFonts w:hint="eastAsia"/>
        </w:rPr>
        <w:t>）页面规则</w:t>
      </w:r>
    </w:p>
    <w:p w14:paraId="1A88F5FE">
      <w:pPr>
        <w:pStyle w:val="31"/>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6806712B">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0403B4E2">
      <w:pPr>
        <w:pStyle w:val="3"/>
        <w:widowControl/>
        <w:spacing w:line="360" w:lineRule="auto"/>
        <w:rPr>
          <w:rFonts w:ascii="Cambria" w:hAnsi="Cambria" w:cs="Cambria"/>
          <w:highlight w:val="yellow"/>
        </w:rPr>
      </w:pPr>
      <w:r>
        <w:rPr>
          <w:rFonts w:hint="eastAsia" w:ascii="宋体" w:cs="宋体"/>
          <w:highlight w:val="yellow"/>
        </w:rPr>
        <w:t>供应商注册注意事项</w:t>
      </w:r>
    </w:p>
    <w:p w14:paraId="74FB6F25">
      <w:pPr>
        <w:spacing w:line="360" w:lineRule="auto"/>
      </w:pPr>
      <w:r>
        <w:rPr>
          <w:lang w:bidi="ar"/>
        </w:rPr>
        <w:t>1</w:t>
      </w:r>
      <w:r>
        <w:rPr>
          <w:rFonts w:hint="eastAsia" w:ascii="宋体" w:cs="宋体"/>
          <w:lang w:bidi="ar"/>
        </w:rPr>
        <w:t>）功能简介</w:t>
      </w:r>
    </w:p>
    <w:p w14:paraId="53319FE6">
      <w:pPr>
        <w:spacing w:line="360" w:lineRule="auto"/>
      </w:pPr>
      <w:r>
        <w:rPr>
          <w:rFonts w:hint="eastAsia" w:ascii="宋体" w:cs="宋体"/>
          <w:lang w:bidi="ar"/>
        </w:rPr>
        <w:t>此页面用于进行供应商注册</w:t>
      </w:r>
    </w:p>
    <w:p w14:paraId="0070C700">
      <w:pPr>
        <w:pStyle w:val="31"/>
        <w:ind w:firstLine="420"/>
      </w:pPr>
      <w:r>
        <w:t>2</w:t>
      </w:r>
      <w:r>
        <w:rPr>
          <w:rFonts w:hint="eastAsia"/>
        </w:rPr>
        <w:t>）界面如下</w:t>
      </w:r>
    </w:p>
    <w:p w14:paraId="545D3B5D">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41791717">
      <w:pPr>
        <w:pStyle w:val="31"/>
        <w:ind w:firstLine="420"/>
      </w:pPr>
      <w:r>
        <w:rPr>
          <w:rFonts w:hint="eastAsia"/>
        </w:rPr>
        <w:t>3）页面规则</w:t>
      </w:r>
    </w:p>
    <w:p w14:paraId="787E7384">
      <w:pPr>
        <w:pStyle w:val="31"/>
        <w:ind w:firstLine="420"/>
      </w:pPr>
      <w:r>
        <w:rPr>
          <w:rFonts w:hint="eastAsia"/>
        </w:rPr>
        <w:t>点击新增按钮进入注册界面，如果点击提交，系统报错或者系统没反应请先仔细检查自己的填写数据是否完整正确。</w:t>
      </w:r>
    </w:p>
    <w:p w14:paraId="35C58A82">
      <w:pPr>
        <w:spacing w:line="360" w:lineRule="auto"/>
      </w:pPr>
      <w:r>
        <w:rPr>
          <w:rFonts w:hint="eastAsia" w:ascii="宋体" w:cs="宋体"/>
          <w:lang w:bidi="ar"/>
        </w:rPr>
        <w:t>注册信息的字段：尽量把所有信息都填写完整，</w:t>
      </w:r>
    </w:p>
    <w:p w14:paraId="4D7BC37A">
      <w:pPr>
        <w:numPr>
          <w:ilvl w:val="0"/>
          <w:numId w:val="5"/>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5CBA566F">
      <w:pPr>
        <w:numPr>
          <w:ilvl w:val="0"/>
          <w:numId w:val="5"/>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012505F8">
      <w:pPr>
        <w:numPr>
          <w:ilvl w:val="0"/>
          <w:numId w:val="5"/>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2A643368">
      <w:pPr>
        <w:numPr>
          <w:ilvl w:val="0"/>
          <w:numId w:val="5"/>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1CE5198E">
      <w:pPr>
        <w:pStyle w:val="4"/>
        <w:widowControl/>
        <w:numPr>
          <w:ilvl w:val="0"/>
          <w:numId w:val="5"/>
        </w:numPr>
        <w:spacing w:line="360" w:lineRule="auto"/>
        <w:jc w:val="left"/>
      </w:pPr>
      <w:r>
        <w:rPr>
          <w:rFonts w:hint="eastAsia" w:ascii="宋体" w:cs="宋体"/>
        </w:rPr>
        <w:t>点击“查看”按钮可以进行查看注册信息，供应商提交注册之后想查看审批进度，可以点击此按钮。</w:t>
      </w:r>
    </w:p>
    <w:p w14:paraId="51BB95CA">
      <w:pPr>
        <w:pStyle w:val="4"/>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4F4EFB8">
      <w:pPr>
        <w:pStyle w:val="4"/>
        <w:widowControl/>
        <w:tabs>
          <w:tab w:val="left" w:pos="312"/>
        </w:tabs>
        <w:spacing w:line="360" w:lineRule="auto"/>
        <w:ind w:firstLine="0"/>
        <w:jc w:val="left"/>
        <w:rPr>
          <w:rFonts w:ascii="宋体" w:cs="宋体"/>
        </w:rPr>
      </w:pPr>
    </w:p>
    <w:p w14:paraId="1365BF1C">
      <w:pPr>
        <w:pStyle w:val="3"/>
        <w:widowControl/>
        <w:rPr>
          <w:highlight w:val="yellow"/>
        </w:rPr>
      </w:pPr>
      <w:r>
        <w:rPr>
          <w:rFonts w:hint="eastAsia" w:cs="黑体"/>
          <w:highlight w:val="yellow"/>
        </w:rPr>
        <w:t>供应商应标</w:t>
      </w:r>
    </w:p>
    <w:p w14:paraId="63B652D5">
      <w:pPr>
        <w:rPr>
          <w:rFonts w:ascii="宋体" w:hAnsi="宋体" w:cs="宋体"/>
          <w:sz w:val="28"/>
          <w:szCs w:val="28"/>
        </w:rPr>
      </w:pPr>
      <w:r>
        <w:rPr>
          <w:rFonts w:hint="eastAsia" w:ascii="宋体" w:hAnsi="宋体" w:cs="宋体"/>
          <w:sz w:val="28"/>
          <w:szCs w:val="28"/>
          <w:lang w:bidi="ar"/>
        </w:rPr>
        <w:t>路径：招投标中心-非生产类招投标-供应商应标</w:t>
      </w:r>
    </w:p>
    <w:p w14:paraId="05C1C3B5">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60C0478">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42D6DE86">
      <w:r>
        <w:drawing>
          <wp:inline distT="0" distB="0" distL="114300" distR="114300">
            <wp:extent cx="5393690" cy="2126615"/>
            <wp:effectExtent l="0" t="0" r="1651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16984967">
      <w:pPr>
        <w:rPr>
          <w:rFonts w:cs="宋体"/>
          <w:sz w:val="24"/>
          <w:lang w:bidi="ar"/>
        </w:rPr>
      </w:pPr>
      <w:r>
        <w:rPr>
          <w:rFonts w:hint="eastAsia" w:cs="宋体"/>
          <w:sz w:val="24"/>
          <w:lang w:bidi="ar"/>
        </w:rPr>
        <w:t>注意：</w:t>
      </w:r>
    </w:p>
    <w:p w14:paraId="1DEFAF42">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21EB04A1">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7A951A71">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4521A5A">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E7D9AD3">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14462730">
      <w:pPr>
        <w:pStyle w:val="4"/>
        <w:widowControl/>
        <w:tabs>
          <w:tab w:val="left" w:pos="312"/>
        </w:tabs>
        <w:spacing w:line="360" w:lineRule="auto"/>
        <w:ind w:firstLine="0"/>
        <w:jc w:val="left"/>
        <w:rPr>
          <w:rFonts w:ascii="宋体" w:cs="宋体"/>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p>
    <w:p w14:paraId="01C0F6C1">
      <w:pPr>
        <w:rPr>
          <w:rFonts w:ascii="宋体" w:hAnsi="宋体"/>
          <w:kern w:val="0"/>
          <w:sz w:val="24"/>
          <w:szCs w:val="21"/>
          <w:lang w:bidi="en-US"/>
        </w:rPr>
      </w:pPr>
    </w:p>
    <w:p w14:paraId="4DBCC75E">
      <w:pPr>
        <w:pStyle w:val="9"/>
        <w:rPr>
          <w:highlight w:val="none"/>
        </w:rPr>
        <w:sectPr>
          <w:pgSz w:w="11906" w:h="16838"/>
          <w:pgMar w:top="1588" w:right="1418" w:bottom="1134" w:left="1418" w:header="851" w:footer="992" w:gutter="0"/>
          <w:pgNumType w:fmt="decimal"/>
          <w:cols w:space="720" w:num="1"/>
          <w:titlePg/>
          <w:docGrid w:type="lines" w:linePitch="312" w:charSpace="0"/>
        </w:sectPr>
      </w:pPr>
    </w:p>
    <w:p w14:paraId="7D82A662">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3890438F">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14:paraId="56200013">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3DED7777">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r>
        <w:rPr>
          <w:rFonts w:hint="eastAsia" w:ascii="宋体" w:hAnsi="宋体" w:cs="宋体"/>
          <w:i w:val="0"/>
          <w:strike w:val="0"/>
          <w:color w:val="000000"/>
          <w:sz w:val="24"/>
          <w:szCs w:val="24"/>
          <w:highlight w:val="none"/>
          <w:u w:val="none"/>
          <w:lang w:val="en-US" w:eastAsia="zh-CN"/>
        </w:rPr>
        <w:t>或手机短信接收到的密码</w:t>
      </w:r>
    </w:p>
    <w:p w14:paraId="7C0088B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6798DDA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32492A21">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35ABEC0F">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8" name="图片 9" descr="descript"/>
            <wp:cNvGraphicFramePr/>
            <a:graphic xmlns:a="http://schemas.openxmlformats.org/drawingml/2006/main">
              <a:graphicData uri="http://schemas.openxmlformats.org/drawingml/2006/picture">
                <pic:pic xmlns:pic="http://schemas.openxmlformats.org/drawingml/2006/picture">
                  <pic:nvPicPr>
                    <pic:cNvPr id="18" name="图片 9" descr="descript"/>
                    <pic:cNvPicPr/>
                  </pic:nvPicPr>
                  <pic:blipFill>
                    <a:blip r:embed="rId17"/>
                    <a:stretch>
                      <a:fillRect/>
                    </a:stretch>
                  </pic:blipFill>
                  <pic:spPr>
                    <a:xfrm>
                      <a:off x="0" y="0"/>
                      <a:ext cx="5760085" cy="2269490"/>
                    </a:xfrm>
                    <a:prstGeom prst="rect">
                      <a:avLst/>
                    </a:prstGeom>
                    <a:noFill/>
                    <a:ln>
                      <a:noFill/>
                    </a:ln>
                  </pic:spPr>
                </pic:pic>
              </a:graphicData>
            </a:graphic>
          </wp:inline>
        </w:drawing>
      </w:r>
    </w:p>
    <w:p w14:paraId="5D11CE15">
      <w:pPr>
        <w:snapToGrid/>
        <w:spacing w:before="0" w:after="0" w:line="240" w:lineRule="auto"/>
        <w:ind w:left="0" w:right="0"/>
        <w:jc w:val="both"/>
        <w:rPr>
          <w:highlight w:val="none"/>
        </w:rPr>
      </w:pPr>
    </w:p>
    <w:p w14:paraId="65958115">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34C6106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66E96DFB">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pic:nvPicPr>
                  <pic:blipFill>
                    <a:blip r:embed="rId18"/>
                    <a:stretch>
                      <a:fillRect/>
                    </a:stretch>
                  </pic:blipFill>
                  <pic:spPr>
                    <a:xfrm>
                      <a:off x="0" y="0"/>
                      <a:ext cx="5760085" cy="2125345"/>
                    </a:xfrm>
                    <a:prstGeom prst="rect">
                      <a:avLst/>
                    </a:prstGeom>
                    <a:noFill/>
                    <a:ln>
                      <a:noFill/>
                    </a:ln>
                  </pic:spPr>
                </pic:pic>
              </a:graphicData>
            </a:graphic>
          </wp:inline>
        </w:drawing>
      </w:r>
    </w:p>
    <w:p w14:paraId="706EEFF1">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6BB94BFC">
      <w:pPr>
        <w:rPr>
          <w:b/>
          <w:bCs/>
          <w:sz w:val="28"/>
          <w:szCs w:val="28"/>
          <w:highlight w:val="none"/>
        </w:rPr>
      </w:pPr>
      <w:r>
        <w:rPr>
          <w:rFonts w:hint="eastAsia"/>
          <w:b/>
          <w:bCs/>
          <w:sz w:val="28"/>
          <w:szCs w:val="28"/>
          <w:highlight w:val="none"/>
        </w:rPr>
        <w:t>请注意，投标报价单位为万元含税</w:t>
      </w:r>
    </w:p>
    <w:p w14:paraId="48CC3805">
      <w:pPr>
        <w:pStyle w:val="5"/>
        <w:rPr>
          <w:highlight w:val="none"/>
        </w:rPr>
      </w:pPr>
    </w:p>
    <w:p w14:paraId="4AC7A04C">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21" name="图片 11" descr="descript"/>
            <wp:cNvGraphicFramePr/>
            <a:graphic xmlns:a="http://schemas.openxmlformats.org/drawingml/2006/main">
              <a:graphicData uri="http://schemas.openxmlformats.org/drawingml/2006/picture">
                <pic:pic xmlns:pic="http://schemas.openxmlformats.org/drawingml/2006/picture">
                  <pic:nvPicPr>
                    <pic:cNvPr id="21" name="图片 11" descr="descript"/>
                    <pic:cNvPicPr/>
                  </pic:nvPicPr>
                  <pic:blipFill>
                    <a:blip r:embed="rId19"/>
                    <a:stretch>
                      <a:fillRect/>
                    </a:stretch>
                  </pic:blipFill>
                  <pic:spPr>
                    <a:xfrm>
                      <a:off x="0" y="0"/>
                      <a:ext cx="5490210" cy="2668905"/>
                    </a:xfrm>
                    <a:prstGeom prst="rect">
                      <a:avLst/>
                    </a:prstGeom>
                    <a:noFill/>
                    <a:ln>
                      <a:noFill/>
                    </a:ln>
                  </pic:spPr>
                </pic:pic>
              </a:graphicData>
            </a:graphic>
          </wp:inline>
        </w:drawing>
      </w:r>
    </w:p>
    <w:p w14:paraId="2984552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5319B3A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65008A1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444296FF">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0"/>
                    <a:stretch>
                      <a:fillRect/>
                    </a:stretch>
                  </pic:blipFill>
                  <pic:spPr>
                    <a:xfrm>
                      <a:off x="0" y="0"/>
                      <a:ext cx="5502910" cy="2550795"/>
                    </a:xfrm>
                    <a:prstGeom prst="rect">
                      <a:avLst/>
                    </a:prstGeom>
                  </pic:spPr>
                </pic:pic>
              </a:graphicData>
            </a:graphic>
          </wp:inline>
        </w:drawing>
      </w:r>
    </w:p>
    <w:p w14:paraId="644BD9A2">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5FFAB3A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647855A9">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51D0136E">
      <w:pPr>
        <w:rPr>
          <w:b/>
          <w:bCs/>
          <w:sz w:val="28"/>
          <w:szCs w:val="28"/>
          <w:highlight w:val="none"/>
        </w:rPr>
      </w:pPr>
      <w:r>
        <w:rPr>
          <w:rFonts w:hint="eastAsia"/>
          <w:b/>
          <w:bCs/>
          <w:sz w:val="28"/>
          <w:szCs w:val="28"/>
          <w:highlight w:val="none"/>
        </w:rPr>
        <w:t>请注意，报价单位为万元含税</w:t>
      </w:r>
    </w:p>
    <w:p w14:paraId="04FB95FA">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75971643">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72D1B8B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046428AF">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1"/>
                    <a:stretch>
                      <a:fillRect/>
                    </a:stretch>
                  </pic:blipFill>
                  <pic:spPr>
                    <a:xfrm>
                      <a:off x="0" y="0"/>
                      <a:ext cx="5300345" cy="2172970"/>
                    </a:xfrm>
                    <a:prstGeom prst="rect">
                      <a:avLst/>
                    </a:prstGeom>
                    <a:noFill/>
                    <a:ln>
                      <a:noFill/>
                    </a:ln>
                  </pic:spPr>
                </pic:pic>
              </a:graphicData>
            </a:graphic>
          </wp:inline>
        </w:drawing>
      </w:r>
    </w:p>
    <w:p w14:paraId="2B98FEA0">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11060DD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7C286112">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3E371B80">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2"/>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3"/>
                    <a:stretch>
                      <a:fillRect/>
                    </a:stretch>
                  </pic:blipFill>
                  <pic:spPr>
                    <a:xfrm>
                      <a:off x="0" y="0"/>
                      <a:ext cx="4883785" cy="2115820"/>
                    </a:xfrm>
                    <a:prstGeom prst="rect">
                      <a:avLst/>
                    </a:prstGeom>
                  </pic:spPr>
                </pic:pic>
              </a:graphicData>
            </a:graphic>
          </wp:inline>
        </w:drawing>
      </w:r>
    </w:p>
    <w:p w14:paraId="7A8A0C73">
      <w:pPr>
        <w:rPr>
          <w:highlight w:val="none"/>
        </w:rPr>
      </w:pPr>
      <w:r>
        <w:rPr>
          <w:rFonts w:hint="eastAsia"/>
          <w:highlight w:val="none"/>
        </w:rPr>
        <w:t>点击查看按钮查看中标通知，点击发送按钮给项目负责人发送回执，发送回执之后回执发送状态变为已发送。</w:t>
      </w:r>
    </w:p>
    <w:p w14:paraId="7BEA3206">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637B1B5F">
      <w:pPr>
        <w:rPr>
          <w:highlight w:val="none"/>
        </w:rPr>
      </w:pPr>
      <w:r>
        <w:rPr>
          <w:highlight w:val="none"/>
        </w:rPr>
        <w:t>路径：招投标中心-非生产类招投标-</w:t>
      </w:r>
      <w:r>
        <w:rPr>
          <w:rFonts w:hint="eastAsia"/>
          <w:highlight w:val="none"/>
        </w:rPr>
        <w:t>供应商投标</w:t>
      </w:r>
    </w:p>
    <w:p w14:paraId="20480621">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47BE5153">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4"/>
                    <a:stretch>
                      <a:fillRect/>
                    </a:stretch>
                  </pic:blipFill>
                  <pic:spPr>
                    <a:xfrm>
                      <a:off x="0" y="0"/>
                      <a:ext cx="5502910" cy="6014085"/>
                    </a:xfrm>
                    <a:prstGeom prst="rect">
                      <a:avLst/>
                    </a:prstGeom>
                  </pic:spPr>
                </pic:pic>
              </a:graphicData>
            </a:graphic>
          </wp:inline>
        </w:drawing>
      </w:r>
    </w:p>
    <w:p w14:paraId="34D01BFA">
      <w:pPr>
        <w:rPr>
          <w:highlight w:val="none"/>
        </w:rPr>
      </w:pPr>
    </w:p>
    <w:p w14:paraId="5E377BCF">
      <w:pPr>
        <w:rPr>
          <w:highlight w:val="none"/>
        </w:rPr>
      </w:pPr>
    </w:p>
    <w:p w14:paraId="7A1153E3">
      <w:pPr>
        <w:pStyle w:val="12"/>
        <w:rPr>
          <w:rFonts w:hint="eastAsia"/>
        </w:rPr>
      </w:pPr>
    </w:p>
    <w:p w14:paraId="62E9074F">
      <w:pPr>
        <w:rPr>
          <w:rFonts w:hint="eastAsia"/>
        </w:rPr>
      </w:pPr>
    </w:p>
    <w:p w14:paraId="4BF89A13">
      <w:pPr>
        <w:pStyle w:val="12"/>
        <w:rPr>
          <w:rFonts w:hint="eastAsia"/>
        </w:rPr>
      </w:pPr>
    </w:p>
    <w:p w14:paraId="00861D58">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A3716">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6323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0D56323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AA54">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BE272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2BE272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3E6EA3"/>
    <w:multiLevelType w:val="multilevel"/>
    <w:tmpl w:val="C73E6EA3"/>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2">
    <w:nsid w:val="06882CE3"/>
    <w:multiLevelType w:val="multilevel"/>
    <w:tmpl w:val="06882CE3"/>
    <w:lvl w:ilvl="0" w:tentative="0">
      <w:start w:val="1"/>
      <w:numFmt w:val="decimal"/>
      <w:pStyle w:val="32"/>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4">
    <w:nsid w:val="7446C7A1"/>
    <w:multiLevelType w:val="singleLevel"/>
    <w:tmpl w:val="7446C7A1"/>
    <w:lvl w:ilvl="0" w:tentative="0">
      <w:start w:val="1"/>
      <w:numFmt w:val="decimal"/>
      <w:lvlText w:val="%1."/>
      <w:lvlJc w:val="left"/>
      <w:pPr>
        <w:tabs>
          <w:tab w:val="left" w:pos="312"/>
        </w:tabs>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mZjY2OWQ2MTA5OWYzNDU5MjVmYjk2OWFkMTdmNjcifQ=="/>
  </w:docVars>
  <w:rsids>
    <w:rsidRoot w:val="00000000"/>
    <w:rsid w:val="007E732B"/>
    <w:rsid w:val="04CB249C"/>
    <w:rsid w:val="0CCA7EE0"/>
    <w:rsid w:val="0EAA51EC"/>
    <w:rsid w:val="0F35650C"/>
    <w:rsid w:val="13B02B32"/>
    <w:rsid w:val="1820443C"/>
    <w:rsid w:val="18BF5A03"/>
    <w:rsid w:val="1D364A5D"/>
    <w:rsid w:val="1FE825F6"/>
    <w:rsid w:val="282B4E63"/>
    <w:rsid w:val="30D85574"/>
    <w:rsid w:val="38EE4821"/>
    <w:rsid w:val="39754378"/>
    <w:rsid w:val="3DDD11B3"/>
    <w:rsid w:val="44907102"/>
    <w:rsid w:val="4837410C"/>
    <w:rsid w:val="48EF075C"/>
    <w:rsid w:val="53E565F8"/>
    <w:rsid w:val="55107209"/>
    <w:rsid w:val="57A3004D"/>
    <w:rsid w:val="59B4536C"/>
    <w:rsid w:val="5F3A7914"/>
    <w:rsid w:val="61951B16"/>
    <w:rsid w:val="62841BA0"/>
    <w:rsid w:val="62B91876"/>
    <w:rsid w:val="649C2E89"/>
    <w:rsid w:val="66640820"/>
    <w:rsid w:val="69E17BC6"/>
    <w:rsid w:val="70A05857"/>
    <w:rsid w:val="770A2532"/>
    <w:rsid w:val="7DA44D30"/>
    <w:rsid w:val="7FA16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 w:val="14"/>
    </w:rPr>
  </w:style>
  <w:style w:type="paragraph" w:styleId="5">
    <w:name w:val="Body Text"/>
    <w:basedOn w:val="1"/>
    <w:next w:val="6"/>
    <w:qFormat/>
    <w:uiPriority w:val="0"/>
    <w:pPr>
      <w:spacing w:after="120"/>
    </w:pPr>
    <w:rPr>
      <w:kern w:val="0"/>
      <w:szCs w:val="21"/>
    </w:rPr>
  </w:style>
  <w:style w:type="paragraph" w:customStyle="1" w:styleId="6">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7">
    <w:name w:val="Body Text Indent"/>
    <w:basedOn w:val="1"/>
    <w:semiHidden/>
    <w:qFormat/>
    <w:uiPriority w:val="0"/>
    <w:pPr>
      <w:spacing w:after="120"/>
      <w:ind w:left="420" w:leftChars="200"/>
    </w:pPr>
    <w:rPr>
      <w:rFonts w:ascii="Calibri" w:hAnsi="Calibri"/>
      <w:szCs w:val="22"/>
    </w:rPr>
  </w:style>
  <w:style w:type="paragraph" w:styleId="8">
    <w:name w:val="index 4"/>
    <w:basedOn w:val="1"/>
    <w:next w:val="1"/>
    <w:unhideWhenUsed/>
    <w:qFormat/>
    <w:uiPriority w:val="0"/>
    <w:pPr>
      <w:ind w:left="600" w:leftChars="600"/>
    </w:pPr>
  </w:style>
  <w:style w:type="paragraph" w:styleId="9">
    <w:name w:val="Plain Text"/>
    <w:basedOn w:val="1"/>
    <w:qFormat/>
    <w:uiPriority w:val="0"/>
    <w:rPr>
      <w:rFonts w:ascii="宋体"/>
      <w:szCs w:val="20"/>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Normal (Web)"/>
    <w:basedOn w:val="1"/>
    <w:qFormat/>
    <w:uiPriority w:val="0"/>
    <w:pPr>
      <w:jc w:val="left"/>
    </w:pPr>
    <w:rPr>
      <w:rFonts w:ascii="Calibri" w:hAnsi="Calibri" w:eastAsia="宋体"/>
      <w:kern w:val="0"/>
      <w:sz w:val="24"/>
    </w:rPr>
  </w:style>
  <w:style w:type="paragraph" w:styleId="14">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5">
    <w:name w:val="Body Text First Indent 2"/>
    <w:basedOn w:val="7"/>
    <w:qFormat/>
    <w:uiPriority w:val="0"/>
    <w:pPr>
      <w:spacing w:line="276" w:lineRule="auto"/>
      <w:ind w:left="200" w:firstLine="200" w:firstLineChars="200"/>
      <w:jc w:val="left"/>
    </w:pPr>
  </w:style>
  <w:style w:type="character" w:styleId="18">
    <w:name w:val="Strong"/>
    <w:basedOn w:val="17"/>
    <w:qFormat/>
    <w:uiPriority w:val="0"/>
    <w:rPr>
      <w:b/>
    </w:rPr>
  </w:style>
  <w:style w:type="character" w:styleId="19">
    <w:name w:val="FollowedHyperlink"/>
    <w:basedOn w:val="17"/>
    <w:qFormat/>
    <w:uiPriority w:val="0"/>
    <w:rPr>
      <w:color w:val="800080"/>
      <w:u w:val="none"/>
    </w:rPr>
  </w:style>
  <w:style w:type="character" w:styleId="20">
    <w:name w:val="HTML Definition"/>
    <w:basedOn w:val="17"/>
    <w:qFormat/>
    <w:uiPriority w:val="0"/>
  </w:style>
  <w:style w:type="character" w:styleId="21">
    <w:name w:val="HTML Typewriter"/>
    <w:basedOn w:val="17"/>
    <w:qFormat/>
    <w:uiPriority w:val="0"/>
    <w:rPr>
      <w:rFonts w:hint="default" w:ascii="monospace" w:hAnsi="monospace" w:eastAsia="monospace" w:cs="monospace"/>
      <w:sz w:val="20"/>
    </w:rPr>
  </w:style>
  <w:style w:type="character" w:styleId="22">
    <w:name w:val="HTML Acronym"/>
    <w:basedOn w:val="17"/>
    <w:qFormat/>
    <w:uiPriority w:val="0"/>
  </w:style>
  <w:style w:type="character" w:styleId="23">
    <w:name w:val="HTML Variable"/>
    <w:basedOn w:val="17"/>
    <w:qFormat/>
    <w:uiPriority w:val="0"/>
  </w:style>
  <w:style w:type="character" w:styleId="24">
    <w:name w:val="Hyperlink"/>
    <w:basedOn w:val="17"/>
    <w:qFormat/>
    <w:uiPriority w:val="0"/>
    <w:rPr>
      <w:color w:val="0000FF"/>
      <w:u w:val="none"/>
    </w:rPr>
  </w:style>
  <w:style w:type="character" w:styleId="25">
    <w:name w:val="HTML Code"/>
    <w:basedOn w:val="17"/>
    <w:qFormat/>
    <w:uiPriority w:val="0"/>
    <w:rPr>
      <w:rFonts w:hint="default" w:ascii="monospace" w:hAnsi="monospace" w:eastAsia="monospace" w:cs="monospace"/>
      <w:sz w:val="20"/>
    </w:rPr>
  </w:style>
  <w:style w:type="character" w:styleId="26">
    <w:name w:val="HTML Cite"/>
    <w:basedOn w:val="17"/>
    <w:qFormat/>
    <w:uiPriority w:val="0"/>
  </w:style>
  <w:style w:type="character" w:styleId="27">
    <w:name w:val="HTML Keyboard"/>
    <w:basedOn w:val="17"/>
    <w:qFormat/>
    <w:uiPriority w:val="0"/>
    <w:rPr>
      <w:rFonts w:ascii="monospace" w:hAnsi="monospace" w:eastAsia="monospace" w:cs="monospace"/>
      <w:sz w:val="20"/>
    </w:rPr>
  </w:style>
  <w:style w:type="character" w:styleId="28">
    <w:name w:val="HTML Sample"/>
    <w:basedOn w:val="17"/>
    <w:qFormat/>
    <w:uiPriority w:val="0"/>
    <w:rPr>
      <w:rFonts w:hint="default" w:ascii="monospace" w:hAnsi="monospace" w:eastAsia="monospace" w:cs="monospace"/>
    </w:rPr>
  </w:style>
  <w:style w:type="paragraph" w:styleId="29">
    <w:name w:val="List Paragraph"/>
    <w:basedOn w:val="1"/>
    <w:qFormat/>
    <w:uiPriority w:val="34"/>
    <w:pPr>
      <w:ind w:firstLine="420" w:firstLineChars="200"/>
    </w:pPr>
  </w:style>
  <w:style w:type="character" w:customStyle="1" w:styleId="30">
    <w:name w:val="NormalCharacter"/>
    <w:qFormat/>
    <w:uiPriority w:val="0"/>
  </w:style>
  <w:style w:type="paragraph" w:customStyle="1" w:styleId="31">
    <w:name w:val="列表段落1"/>
    <w:basedOn w:val="1"/>
    <w:qFormat/>
    <w:uiPriority w:val="0"/>
    <w:pPr>
      <w:ind w:firstLine="200" w:firstLineChars="200"/>
    </w:pPr>
    <w:rPr>
      <w:szCs w:val="20"/>
    </w:rPr>
  </w:style>
  <w:style w:type="paragraph" w:customStyle="1" w:styleId="32">
    <w:name w:val="（4）级标题"/>
    <w:basedOn w:val="9"/>
    <w:qFormat/>
    <w:uiPriority w:val="8"/>
    <w:pPr>
      <w:numPr>
        <w:ilvl w:val="0"/>
        <w:numId w:val="1"/>
      </w:numPr>
      <w:spacing w:line="360" w:lineRule="auto"/>
      <w:outlineLvl w:val="4"/>
    </w:pPr>
  </w:style>
  <w:style w:type="paragraph" w:customStyle="1" w:styleId="33">
    <w:name w:val="列出段落11"/>
    <w:basedOn w:val="1"/>
    <w:qFormat/>
    <w:uiPriority w:val="0"/>
    <w:pPr>
      <w:ind w:firstLine="420" w:firstLineChars="200"/>
    </w:pPr>
    <w:rPr>
      <w:rFonts w:ascii="Calibri" w:hAnsi="Calibri" w:eastAsia="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5121</Words>
  <Characters>5375</Characters>
  <Lines>0</Lines>
  <Paragraphs>0</Paragraphs>
  <TotalTime>2</TotalTime>
  <ScaleCrop>false</ScaleCrop>
  <LinksUpToDate>false</LinksUpToDate>
  <CharactersWithSpaces>5870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李帅威</cp:lastModifiedBy>
  <dcterms:modified xsi:type="dcterms:W3CDTF">2026-04-08T08:42:01Z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eyJoZGlkIjoiZDZiY2E3MTk3OWVkMDZmNDgwYmUwNDViMmIxMTA0OGYiLCJ1c2VySWQiOiIxNzY1NTM3NjAwIn0=</vt:lpwstr>
  </property>
  <property fmtid="{D5CDD505-2E9C-101B-9397-08002B2CF9AE}" pid="4" name="ICV">
    <vt:lpwstr>F6B265A268374096A9B254E99DBDDA3B_13</vt:lpwstr>
  </property>
</Properties>
</file>