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941E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797AF1E2">
      <w:pPr>
        <w:ind w:right="280"/>
        <w:jc w:val="center"/>
        <w:rPr>
          <w:rFonts w:ascii="宋体" w:hAnsi="宋体"/>
          <w:sz w:val="48"/>
          <w:szCs w:val="48"/>
        </w:rPr>
      </w:pPr>
    </w:p>
    <w:p w14:paraId="6F24A379">
      <w:pPr>
        <w:ind w:right="280"/>
        <w:jc w:val="center"/>
        <w:rPr>
          <w:rFonts w:ascii="宋体" w:hAnsi="宋体"/>
          <w:sz w:val="48"/>
          <w:szCs w:val="48"/>
        </w:rPr>
      </w:pPr>
    </w:p>
    <w:p w14:paraId="65A5525B">
      <w:pPr>
        <w:ind w:right="280"/>
        <w:jc w:val="center"/>
        <w:rPr>
          <w:rFonts w:ascii="宋体" w:hAnsi="宋体"/>
          <w:sz w:val="48"/>
          <w:szCs w:val="48"/>
        </w:rPr>
      </w:pPr>
    </w:p>
    <w:p w14:paraId="61422FCC">
      <w:pPr>
        <w:ind w:right="280"/>
        <w:jc w:val="center"/>
        <w:rPr>
          <w:rFonts w:ascii="宋体" w:hAnsi="宋体"/>
          <w:sz w:val="48"/>
          <w:szCs w:val="48"/>
        </w:rPr>
      </w:pPr>
    </w:p>
    <w:p w14:paraId="77F904EC">
      <w:pPr>
        <w:ind w:right="280"/>
        <w:jc w:val="center"/>
        <w:rPr>
          <w:rFonts w:ascii="楷体_GB2312" w:hAnsi="宋体" w:eastAsia="楷体_GB2312"/>
          <w:sz w:val="52"/>
          <w:szCs w:val="52"/>
        </w:rPr>
      </w:pPr>
    </w:p>
    <w:p w14:paraId="546DAC04">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中国重汽集团济南特种车有限公司</w:t>
      </w:r>
    </w:p>
    <w:p w14:paraId="076490C7">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空压机设备更新技改项目</w:t>
      </w:r>
    </w:p>
    <w:p w14:paraId="4C361128">
      <w:pPr>
        <w:ind w:right="280"/>
        <w:jc w:val="center"/>
        <w:rPr>
          <w:rFonts w:hint="eastAsia" w:ascii="方正小标宋简体" w:hAnsi="方正小标宋简体" w:eastAsia="方正小标宋简体" w:cs="方正小标宋简体"/>
          <w:sz w:val="52"/>
          <w:szCs w:val="52"/>
          <w:highlight w:val="none"/>
          <w:lang w:val="en-US" w:eastAsia="zh-CN"/>
        </w:rPr>
      </w:pPr>
    </w:p>
    <w:p w14:paraId="4038D2AE">
      <w:pPr>
        <w:ind w:right="280"/>
        <w:jc w:val="center"/>
        <w:rPr>
          <w:rFonts w:hint="eastAsia" w:ascii="方正小标宋简体" w:hAnsi="方正小标宋简体" w:eastAsia="方正小标宋简体" w:cs="方正小标宋简体"/>
          <w:sz w:val="52"/>
          <w:szCs w:val="52"/>
          <w:highlight w:val="none"/>
          <w:lang w:val="en-US" w:eastAsia="zh-CN"/>
        </w:rPr>
      </w:pPr>
      <w:r>
        <w:rPr>
          <w:rFonts w:hint="eastAsia" w:ascii="方正小标宋简体" w:hAnsi="方正小标宋简体" w:eastAsia="方正小标宋简体" w:cs="方正小标宋简体"/>
          <w:sz w:val="52"/>
          <w:szCs w:val="52"/>
          <w:highlight w:val="none"/>
          <w:lang w:val="en-US" w:eastAsia="zh-CN"/>
        </w:rPr>
        <w:t>招标文件</w:t>
      </w:r>
    </w:p>
    <w:p w14:paraId="79A56576">
      <w:pPr>
        <w:jc w:val="center"/>
        <w:rPr>
          <w:rFonts w:ascii="宋体" w:hAnsi="宋体"/>
          <w:sz w:val="48"/>
          <w:szCs w:val="48"/>
          <w:highlight w:val="none"/>
        </w:rPr>
      </w:pPr>
    </w:p>
    <w:p w14:paraId="4DB486F6">
      <w:pPr>
        <w:jc w:val="center"/>
        <w:rPr>
          <w:rFonts w:ascii="宋体" w:hAnsi="宋体"/>
          <w:sz w:val="48"/>
          <w:szCs w:val="48"/>
          <w:highlight w:val="none"/>
        </w:rPr>
      </w:pPr>
    </w:p>
    <w:p w14:paraId="4BF37242">
      <w:pPr>
        <w:widowControl/>
        <w:spacing w:line="360" w:lineRule="auto"/>
        <w:jc w:val="center"/>
        <w:rPr>
          <w:rFonts w:hint="default" w:ascii="宋体" w:hAnsi="宋体" w:eastAsia="宋体" w:cs="宋体"/>
          <w:b/>
          <w:bCs/>
          <w:kern w:val="0"/>
          <w:sz w:val="32"/>
          <w:szCs w:val="32"/>
          <w:highlight w:val="none"/>
          <w:u w:val="single"/>
          <w:lang w:val="en-US" w:eastAsia="zh-CN"/>
        </w:rPr>
      </w:pPr>
      <w:r>
        <w:rPr>
          <w:rFonts w:hint="eastAsia" w:ascii="宋体" w:hAnsi="宋体" w:cs="宋体"/>
          <w:b/>
          <w:bCs/>
          <w:kern w:val="0"/>
          <w:sz w:val="32"/>
          <w:szCs w:val="32"/>
          <w:highlight w:val="none"/>
        </w:rPr>
        <w:t>项目编号：ZBGL2026040223</w:t>
      </w:r>
    </w:p>
    <w:p w14:paraId="1193EFC5">
      <w:pPr>
        <w:jc w:val="center"/>
        <w:rPr>
          <w:rFonts w:ascii="宋体" w:hAnsi="宋体"/>
          <w:sz w:val="48"/>
          <w:szCs w:val="48"/>
          <w:highlight w:val="none"/>
        </w:rPr>
      </w:pPr>
    </w:p>
    <w:p w14:paraId="13E254C6">
      <w:pPr>
        <w:jc w:val="center"/>
        <w:rPr>
          <w:rFonts w:ascii="宋体" w:hAnsi="宋体"/>
          <w:sz w:val="28"/>
          <w:szCs w:val="28"/>
          <w:highlight w:val="none"/>
        </w:rPr>
      </w:pPr>
    </w:p>
    <w:p w14:paraId="64316198">
      <w:pPr>
        <w:jc w:val="center"/>
        <w:rPr>
          <w:rFonts w:ascii="宋体" w:hAnsi="宋体"/>
          <w:sz w:val="28"/>
          <w:szCs w:val="28"/>
          <w:highlight w:val="none"/>
        </w:rPr>
      </w:pPr>
    </w:p>
    <w:p w14:paraId="7C2303CD">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w:t>
      </w:r>
      <w:r>
        <w:rPr>
          <w:rFonts w:hint="eastAsia" w:ascii="宋体" w:hAnsi="宋体"/>
          <w:sz w:val="28"/>
          <w:szCs w:val="28"/>
          <w:highlight w:val="none"/>
          <w:lang w:val="en-US" w:eastAsia="zh-CN"/>
        </w:rPr>
        <w:t>特种车</w:t>
      </w:r>
      <w:r>
        <w:rPr>
          <w:rFonts w:hint="eastAsia" w:ascii="宋体" w:hAnsi="宋体"/>
          <w:sz w:val="28"/>
          <w:szCs w:val="28"/>
          <w:highlight w:val="none"/>
          <w:lang w:eastAsia="zh-CN"/>
        </w:rPr>
        <w:t>有限公司</w:t>
      </w:r>
    </w:p>
    <w:p w14:paraId="7CDE82E3">
      <w:pPr>
        <w:jc w:val="center"/>
        <w:rPr>
          <w:rFonts w:ascii="宋体" w:hAnsi="宋体"/>
          <w:sz w:val="28"/>
          <w:szCs w:val="28"/>
          <w:highlight w:val="none"/>
        </w:rPr>
      </w:pPr>
    </w:p>
    <w:p w14:paraId="116C3B5A">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04月</w:t>
      </w:r>
    </w:p>
    <w:p w14:paraId="56F56B0A">
      <w:pPr>
        <w:spacing w:line="480" w:lineRule="auto"/>
        <w:jc w:val="center"/>
        <w:rPr>
          <w:rFonts w:ascii="宋体" w:hAnsi="宋体"/>
          <w:b/>
          <w:bCs/>
          <w:sz w:val="48"/>
          <w:szCs w:val="48"/>
        </w:rPr>
        <w:sectPr>
          <w:footerReference r:id="rId5" w:type="first"/>
          <w:headerReference r:id="rId3" w:type="default"/>
          <w:footerReference r:id="rId4"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75194E13">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7761C141">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1C64FD22">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8BAFF2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534BB167">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1E7BF6BF">
          <w:pPr>
            <w:pStyle w:val="20"/>
          </w:pPr>
          <w:r>
            <w:rPr>
              <w:rFonts w:hint="eastAsia" w:ascii="Calibri" w:hAnsi="Calibri" w:eastAsia="宋体" w:cs="Times New Roman"/>
              <w:bCs/>
              <w:kern w:val="44"/>
              <w:szCs w:val="44"/>
            </w:rPr>
            <w:fldChar w:fldCharType="end"/>
          </w:r>
        </w:p>
      </w:sdtContent>
    </w:sdt>
    <w:p w14:paraId="36E7C14E">
      <w:pPr>
        <w:pStyle w:val="14"/>
        <w:tabs>
          <w:tab w:val="left" w:pos="2940"/>
        </w:tabs>
        <w:spacing w:line="360" w:lineRule="auto"/>
      </w:pPr>
      <w:r>
        <w:tab/>
      </w:r>
    </w:p>
    <w:p w14:paraId="2D135DE4">
      <w:pPr>
        <w:pStyle w:val="14"/>
        <w:spacing w:line="360" w:lineRule="auto"/>
        <w:jc w:val="center"/>
      </w:pPr>
    </w:p>
    <w:p w14:paraId="1E6437B2">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27F1C67F">
      <w:pPr>
        <w:pStyle w:val="71"/>
      </w:pPr>
      <w:bookmarkStart w:id="0" w:name="_Toc23927"/>
      <w:bookmarkStart w:id="1" w:name="_Toc47976595"/>
      <w:r>
        <w:rPr>
          <w:rFonts w:hint="eastAsia"/>
        </w:rPr>
        <w:t>第一部分  投标人须知</w:t>
      </w:r>
      <w:bookmarkEnd w:id="0"/>
      <w:bookmarkEnd w:id="1"/>
    </w:p>
    <w:p w14:paraId="6138DAD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5A69BB3F">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highlight w:val="none"/>
          <w:lang w:val="en-US" w:eastAsia="zh-CN"/>
        </w:rPr>
        <w:t>特种车公司空压机设备更新技改项目</w:t>
      </w:r>
    </w:p>
    <w:p w14:paraId="5FC56B7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项目编号：ZBGL2026040223</w:t>
      </w:r>
    </w:p>
    <w:p w14:paraId="3242E22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招标形式：</w:t>
      </w:r>
      <w:bookmarkStart w:id="3" w:name="_Toc47112482"/>
      <w:r>
        <w:rPr>
          <w:rFonts w:hint="eastAsia"/>
          <w:highlight w:val="none"/>
          <w:lang w:val="en-US" w:eastAsia="zh-CN"/>
        </w:rPr>
        <w:t>公开招标</w:t>
      </w:r>
    </w:p>
    <w:p w14:paraId="51C6B4B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宋体" w:eastAsia="宋体" w:cs="宋体"/>
          <w:i w:val="0"/>
          <w:iCs w:val="0"/>
          <w:caps w:val="0"/>
          <w:color w:val="0F1115"/>
          <w:spacing w:val="0"/>
          <w:sz w:val="21"/>
          <w:szCs w:val="21"/>
          <w:shd w:val="clear" w:fill="FFFFFF"/>
          <w:lang w:val="en-US" w:eastAsia="zh-CN"/>
        </w:rPr>
      </w:pPr>
      <w:r>
        <w:rPr>
          <w:rFonts w:hint="eastAsia"/>
          <w:lang w:val="en-US" w:eastAsia="zh-CN"/>
        </w:rPr>
        <w:t>项目概况：</w:t>
      </w:r>
      <w:r>
        <w:rPr>
          <w:rFonts w:hint="eastAsia" w:ascii="宋体" w:hAnsi="宋体" w:eastAsia="宋体" w:cs="宋体"/>
          <w:i w:val="0"/>
          <w:iCs w:val="0"/>
          <w:caps w:val="0"/>
          <w:color w:val="0F1115"/>
          <w:spacing w:val="0"/>
          <w:sz w:val="21"/>
          <w:szCs w:val="21"/>
          <w:shd w:val="clear" w:fill="FFFFFF"/>
          <w:lang w:val="en-US" w:eastAsia="zh-CN"/>
        </w:rPr>
        <w:t>本项目为新增一台10m³/min永磁变频空气压缩机及配套冷干机，增加一套联控系统,该联控系统可以同原有的1号9.85m³/min空压机联控使用。该系统在车间现场有10个压力报警点，当车间使用端压力低时，可以实现声光报警。招标内容具体要求详见《技术标书》。</w:t>
      </w:r>
    </w:p>
    <w:p w14:paraId="788C3FE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35B3BBAC">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5A23125">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u w:val="none"/>
          <w:lang w:val="en-US" w:eastAsia="zh-CN"/>
        </w:rPr>
      </w:pPr>
      <w:r>
        <w:rPr>
          <w:rFonts w:hint="eastAsia" w:hAnsi="宋体" w:cs="宋体"/>
          <w:i w:val="0"/>
          <w:iCs w:val="0"/>
          <w:caps w:val="0"/>
          <w:color w:val="0F1115"/>
          <w:spacing w:val="0"/>
          <w:sz w:val="21"/>
          <w:szCs w:val="21"/>
          <w:highlight w:val="yellow"/>
          <w:shd w:val="clear" w:fill="FFFFFF"/>
          <w:lang w:val="en-US" w:eastAsia="zh-CN"/>
        </w:rPr>
        <w:t>项目预算27万元（含税）</w:t>
      </w:r>
      <w:r>
        <w:rPr>
          <w:rFonts w:hint="eastAsia" w:ascii="宋体" w:hAnsi="宋体" w:eastAsia="宋体" w:cs="宋体"/>
          <w:i w:val="0"/>
          <w:iCs w:val="0"/>
          <w:caps w:val="0"/>
          <w:color w:val="0F1115"/>
          <w:spacing w:val="0"/>
          <w:sz w:val="21"/>
          <w:szCs w:val="21"/>
          <w:shd w:val="clear" w:fill="FFFFFF"/>
        </w:rPr>
        <w:t>。</w:t>
      </w:r>
    </w:p>
    <w:p w14:paraId="7FA9172A">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3AC35005">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lang w:val="en-US" w:eastAsia="zh-CN"/>
        </w:rPr>
      </w:pPr>
      <w:r>
        <w:rPr>
          <w:rFonts w:hint="default" w:cs="Times New Roman"/>
          <w:lang w:val="en-US" w:eastAsia="zh-CN"/>
        </w:rPr>
        <w:t>资金来源：企业自筹，已落实。</w:t>
      </w:r>
    </w:p>
    <w:p w14:paraId="39548DD4">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6C172F5">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招标人名称：</w:t>
      </w:r>
      <w:r>
        <w:rPr>
          <w:rFonts w:hint="eastAsia" w:ascii="宋体" w:hAnsi="Courier New" w:cs="Times New Roman"/>
          <w:kern w:val="2"/>
          <w:sz w:val="21"/>
          <w:highlight w:val="none"/>
          <w:lang w:val="en-US" w:eastAsia="zh-CN" w:bidi="ar-SA"/>
        </w:rPr>
        <w:t>中国重汽集团济南特种车有限公司</w:t>
      </w:r>
      <w:r>
        <w:rPr>
          <w:rFonts w:hint="eastAsia" w:ascii="宋体" w:hAnsi="Courier New" w:eastAsia="宋体" w:cs="Times New Roman"/>
          <w:kern w:val="2"/>
          <w:sz w:val="21"/>
          <w:lang w:val="en-US" w:eastAsia="zh-CN" w:bidi="ar-SA"/>
        </w:rPr>
        <w:t xml:space="preserve"> </w:t>
      </w:r>
    </w:p>
    <w:p w14:paraId="78BDDCC0">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招标人地址：</w:t>
      </w:r>
      <w:r>
        <w:rPr>
          <w:rFonts w:hint="eastAsia" w:hAnsi="Courier New" w:cs="Times New Roman"/>
          <w:highlight w:val="none"/>
          <w:lang w:val="en-US" w:eastAsia="zh-CN"/>
        </w:rPr>
        <w:t>山东省济南市槐荫区经十西路3100号重汽特种车公司北楼208会议室</w:t>
      </w:r>
      <w:r>
        <w:rPr>
          <w:rFonts w:hint="eastAsia" w:ascii="宋体" w:hAnsi="Courier New" w:eastAsia="宋体" w:cs="Times New Roman"/>
          <w:kern w:val="2"/>
          <w:sz w:val="21"/>
          <w:lang w:val="en-US" w:eastAsia="zh-CN" w:bidi="ar-SA"/>
        </w:rPr>
        <w:t xml:space="preserve"> </w:t>
      </w:r>
    </w:p>
    <w:bookmarkEnd w:id="3"/>
    <w:p w14:paraId="69655692">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bookmarkStart w:id="4" w:name="_Toc47976598"/>
      <w:r>
        <w:rPr>
          <w:rFonts w:hint="eastAsia" w:ascii="宋体" w:hAnsi="Courier New" w:eastAsia="宋体" w:cs="Times New Roman"/>
          <w:b/>
          <w:bCs/>
          <w:kern w:val="2"/>
          <w:sz w:val="21"/>
          <w:lang w:val="en-US" w:eastAsia="zh-CN" w:bidi="ar-SA"/>
        </w:rPr>
        <w:t>商务联系人：</w:t>
      </w:r>
      <w:r>
        <w:rPr>
          <w:rFonts w:hint="eastAsia" w:ascii="宋体" w:hAnsi="Courier New" w:cs="Times New Roman"/>
          <w:kern w:val="2"/>
          <w:sz w:val="21"/>
          <w:lang w:val="en-US" w:eastAsia="zh-CN" w:bidi="ar-SA"/>
        </w:rPr>
        <w:t>李苗</w:t>
      </w:r>
    </w:p>
    <w:p w14:paraId="42BBD7A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w:t>
      </w:r>
      <w:r>
        <w:rPr>
          <w:rFonts w:hint="eastAsia" w:ascii="宋体" w:hAnsi="Courier New" w:cs="Times New Roman"/>
          <w:kern w:val="2"/>
          <w:sz w:val="21"/>
          <w:lang w:val="en-US" w:eastAsia="zh-CN" w:bidi="ar-SA"/>
        </w:rPr>
        <w:t>13854132324</w:t>
      </w:r>
    </w:p>
    <w:p w14:paraId="32698DC6">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邮箱：</w:t>
      </w:r>
      <w:r>
        <w:rPr>
          <w:rFonts w:hint="eastAsia" w:ascii="宋体" w:hAnsi="Courier New" w:cs="Times New Roman"/>
          <w:kern w:val="2"/>
          <w:sz w:val="21"/>
          <w:lang w:val="en-US" w:eastAsia="zh-CN" w:bidi="ar-SA"/>
        </w:rPr>
        <w:t>limiao</w:t>
      </w:r>
      <w:r>
        <w:rPr>
          <w:rFonts w:hint="eastAsia" w:ascii="宋体" w:hAnsi="Courier New" w:eastAsia="宋体" w:cs="Times New Roman"/>
          <w:kern w:val="2"/>
          <w:sz w:val="21"/>
          <w:lang w:val="en-US" w:eastAsia="zh-CN" w:bidi="ar-SA"/>
        </w:rPr>
        <w:t>@sinotruk.com</w:t>
      </w:r>
    </w:p>
    <w:p w14:paraId="33126E9D">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Courier New" w:eastAsia="宋体" w:cs="Times New Roman"/>
          <w:kern w:val="2"/>
          <w:sz w:val="21"/>
          <w:lang w:val="en-US" w:eastAsia="zh-CN" w:bidi="ar-SA"/>
        </w:rPr>
      </w:pPr>
    </w:p>
    <w:p w14:paraId="3028FF4C">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b/>
          <w:bCs/>
          <w:kern w:val="2"/>
          <w:sz w:val="21"/>
          <w:lang w:val="en-US" w:eastAsia="zh-CN" w:bidi="ar-SA"/>
        </w:rPr>
        <w:t>技术联系人：</w:t>
      </w:r>
      <w:r>
        <w:rPr>
          <w:rFonts w:hint="eastAsia" w:ascii="宋体" w:hAnsi="Courier New" w:cs="Times New Roman"/>
          <w:kern w:val="2"/>
          <w:sz w:val="21"/>
          <w:lang w:val="en-US" w:eastAsia="zh-CN" w:bidi="ar-SA"/>
        </w:rPr>
        <w:t xml:space="preserve">何文亮    </w:t>
      </w:r>
      <w:r>
        <w:rPr>
          <w:rFonts w:hint="eastAsia" w:ascii="宋体" w:hAnsi="Courier New" w:eastAsia="宋体" w:cs="Times New Roman"/>
          <w:kern w:val="2"/>
          <w:sz w:val="21"/>
          <w:lang w:val="en-US" w:eastAsia="zh-CN" w:bidi="ar-SA"/>
        </w:rPr>
        <w:t>李浩宁</w:t>
      </w:r>
    </w:p>
    <w:p w14:paraId="7A88B574">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电话：15066696050   19588971023</w:t>
      </w:r>
    </w:p>
    <w:p w14:paraId="672EE9E1">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Courier New" w:eastAsia="宋体" w:cs="Times New Roman"/>
          <w:kern w:val="2"/>
          <w:sz w:val="21"/>
          <w:lang w:val="en-US" w:eastAsia="zh-CN" w:bidi="ar-SA"/>
        </w:rPr>
      </w:pPr>
      <w:r>
        <w:rPr>
          <w:rFonts w:hint="eastAsia" w:ascii="宋体" w:hAnsi="Courier New" w:cs="Times New Roman"/>
          <w:kern w:val="2"/>
          <w:sz w:val="21"/>
          <w:lang w:val="en-US" w:eastAsia="zh-CN" w:bidi="ar-SA"/>
        </w:rPr>
        <w:t>邮箱：hewl@sinotruk.com</w:t>
      </w:r>
    </w:p>
    <w:p w14:paraId="5609B22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rPr>
        <w:t>合格的投标人</w:t>
      </w:r>
      <w:bookmarkEnd w:id="4"/>
    </w:p>
    <w:p w14:paraId="485FBADC">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（1）拟标投人必须是在中华人民共和国境内注册的独立法人机构，具有独立承担民事责任能力；注册资金不少于</w:t>
      </w:r>
      <w:r>
        <w:rPr>
          <w:rFonts w:hint="eastAsia" w:cs="Times New Roman"/>
          <w:kern w:val="2"/>
          <w:sz w:val="21"/>
          <w:highlight w:val="yellow"/>
          <w:lang w:val="en-US" w:eastAsia="zh-CN" w:bidi="ar-SA"/>
        </w:rPr>
        <w:t>5</w:t>
      </w:r>
      <w:r>
        <w:rPr>
          <w:rFonts w:hint="eastAsia" w:ascii="宋体" w:hAnsi="Courier New" w:eastAsia="宋体" w:cs="Times New Roman"/>
          <w:kern w:val="2"/>
          <w:sz w:val="21"/>
          <w:highlight w:val="yellow"/>
          <w:lang w:val="en-US" w:eastAsia="zh-CN" w:bidi="ar-SA"/>
        </w:rPr>
        <w:t>00</w:t>
      </w:r>
      <w:r>
        <w:rPr>
          <w:rFonts w:hint="eastAsia" w:ascii="宋体" w:hAnsi="Courier New" w:eastAsia="宋体" w:cs="Times New Roman"/>
          <w:kern w:val="2"/>
          <w:sz w:val="21"/>
          <w:highlight w:val="none"/>
          <w:lang w:val="en-US" w:eastAsia="zh-CN" w:bidi="ar-SA"/>
        </w:rPr>
        <w:t>万人民币（或等值其他货币）；公司成立三年以上（以营业执照成立日期到开标当日满三年为准），且经营范围满足招标人需求；并在人员、设备、资金等方面具有承担本项目的能力；</w:t>
      </w:r>
    </w:p>
    <w:p w14:paraId="5F8B3560">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（2）拟投标人应具有相关招标项目的实施及服务能力，具有相应的生产及供货、安装能力；产品认证证书，安装资质。</w:t>
      </w:r>
    </w:p>
    <w:p w14:paraId="455D8E8F">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（3）拟投标人应提供营业执照副本原件和扫描件（需盖章）；</w:t>
      </w:r>
    </w:p>
    <w:p w14:paraId="37EE4FA0">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（4）拟投标人应提供法定代表人资格证明文件；</w:t>
      </w:r>
    </w:p>
    <w:p w14:paraId="524FBB9D">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（5）拟投标人在国家市场监督管理总局的《国家企业信用信息公示系统》中查询不存在不良记录；</w:t>
      </w:r>
    </w:p>
    <w:p w14:paraId="1E609FA9">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（6）拟投标人不存在严重违规或被列入招标人“黑名单”的声明；</w:t>
      </w:r>
    </w:p>
    <w:p w14:paraId="65366279">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（7）拟投标人202</w:t>
      </w:r>
      <w:r>
        <w:rPr>
          <w:rFonts w:hint="eastAsia"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年1月1日至今经第三方审计的公司财务报表（资产负债表、损益表、现金流量表）未显示异常；</w:t>
      </w:r>
    </w:p>
    <w:p w14:paraId="33043312">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（8）拟投标人202</w:t>
      </w:r>
      <w:r>
        <w:rPr>
          <w:rFonts w:hint="eastAsia"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年1月1日至今供货实例，报名及投标时须提供用户清单、采购合同复印件；</w:t>
      </w:r>
    </w:p>
    <w:p w14:paraId="07BEF058">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（9）拟投标人近三年内在经营活动中无与本项目有关的违法及重大违规情况；</w:t>
      </w:r>
    </w:p>
    <w:p w14:paraId="3A77263B">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（10）拟投标人最近半年纳税正常；</w:t>
      </w:r>
    </w:p>
    <w:p w14:paraId="7FACB636">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（11）拟投标人信用证明材料（征信报告）未显示异常；</w:t>
      </w:r>
    </w:p>
    <w:p w14:paraId="54F3192E">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（12）拟投标人的直接或间接股东、法定代表人、董事、监事、高管非重汽员工及其亲属；</w:t>
      </w:r>
    </w:p>
    <w:p w14:paraId="12E3882F">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（13）与招标人存在利害关系可能影响招标公正性的法人、其他组织或者个人，不得参加投标。</w:t>
      </w:r>
    </w:p>
    <w:p w14:paraId="7BE7C825">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（14）不允许代理商投标；</w:t>
      </w:r>
    </w:p>
    <w:p w14:paraId="112B7392">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（15）本项目不接受联合体投标，拟投标人必须是最终投标单位和签订合同单位，不得以任何理由将已中标项目以任何形式分包或转包给其他单位。</w:t>
      </w:r>
    </w:p>
    <w:p w14:paraId="1A5E06D1">
      <w:pPr>
        <w:pStyle w:val="14"/>
        <w:spacing w:line="360" w:lineRule="auto"/>
        <w:ind w:firstLine="420" w:firstLineChars="200"/>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(1</w:t>
      </w:r>
      <w:r>
        <w:rPr>
          <w:rFonts w:hint="eastAsia" w:ascii="宋体" w:eastAsia="宋体" w:cs="Times New Roman"/>
          <w:kern w:val="2"/>
          <w:sz w:val="21"/>
          <w:highlight w:val="none"/>
          <w:lang w:val="en-US" w:eastAsia="zh-CN" w:bidi="ar-SA"/>
        </w:rPr>
        <w:t>6</w:t>
      </w:r>
      <w:r>
        <w:rPr>
          <w:rFonts w:hint="eastAsia" w:ascii="宋体" w:hAnsi="Courier New" w:eastAsia="宋体" w:cs="Times New Roman"/>
          <w:kern w:val="2"/>
          <w:sz w:val="21"/>
          <w:highlight w:val="none"/>
          <w:lang w:val="en-US" w:eastAsia="zh-CN" w:bidi="ar-SA"/>
        </w:rPr>
        <w:t>)投标文件1正</w:t>
      </w:r>
      <w:r>
        <w:rPr>
          <w:rFonts w:hint="eastAsia" w:ascii="宋体" w:eastAsia="宋体" w:cs="Times New Roman"/>
          <w:kern w:val="2"/>
          <w:sz w:val="21"/>
          <w:highlight w:val="none"/>
          <w:lang w:val="en-US" w:eastAsia="zh-CN" w:bidi="ar-SA"/>
        </w:rPr>
        <w:t>2</w:t>
      </w:r>
      <w:r>
        <w:rPr>
          <w:rFonts w:hint="eastAsia" w:ascii="宋体" w:hAnsi="Courier New" w:eastAsia="宋体" w:cs="Times New Roman"/>
          <w:kern w:val="2"/>
          <w:sz w:val="21"/>
          <w:highlight w:val="none"/>
          <w:lang w:val="en-US" w:eastAsia="zh-CN" w:bidi="ar-SA"/>
        </w:rPr>
        <w:t>副共计</w:t>
      </w:r>
      <w:r>
        <w:rPr>
          <w:rFonts w:hint="eastAsia" w:ascii="宋体" w:eastAsia="宋体" w:cs="Times New Roman"/>
          <w:kern w:val="2"/>
          <w:sz w:val="21"/>
          <w:highlight w:val="none"/>
          <w:lang w:val="en-US" w:eastAsia="zh-CN" w:bidi="ar-SA"/>
        </w:rPr>
        <w:t>3</w:t>
      </w:r>
      <w:r>
        <w:rPr>
          <w:rFonts w:hint="eastAsia" w:ascii="宋体" w:hAnsi="Courier New" w:eastAsia="宋体" w:cs="Times New Roman"/>
          <w:kern w:val="2"/>
          <w:sz w:val="21"/>
          <w:highlight w:val="none"/>
          <w:lang w:val="en-US" w:eastAsia="zh-CN" w:bidi="ar-SA"/>
        </w:rPr>
        <w:t>份并附U盘电子版（详见本招标文件“第二章 投标文件编制”）。</w:t>
      </w:r>
    </w:p>
    <w:p w14:paraId="1853DFDE">
      <w:pPr>
        <w:pStyle w:val="14"/>
        <w:spacing w:line="360" w:lineRule="auto"/>
        <w:ind w:firstLine="420" w:firstLineChars="200"/>
        <w:rPr>
          <w:rFonts w:ascii="Arial" w:hAnsi="Arial" w:cs="Arial"/>
          <w:color w:val="333333"/>
          <w:szCs w:val="21"/>
          <w:shd w:val="clear" w:color="auto" w:fill="FFFFFF"/>
        </w:rPr>
      </w:pPr>
      <w:r>
        <w:rPr>
          <w:rFonts w:hint="eastAsia"/>
        </w:rPr>
        <w:t>逾期的投标文件招标人不予受理。</w:t>
      </w:r>
    </w:p>
    <w:p w14:paraId="6EA455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18F56947">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yellow"/>
          <w:lang w:val="en-US" w:eastAsia="zh-CN"/>
        </w:rPr>
      </w:pPr>
      <w:r>
        <w:rPr>
          <w:rFonts w:hint="eastAsia" w:ascii="宋体" w:hAnsi="Courier New" w:eastAsia="宋体" w:cs="Times New Roman"/>
          <w:highlight w:val="yellow"/>
          <w:lang w:val="en-US" w:eastAsia="zh-CN"/>
        </w:rPr>
        <w:t>发标时间：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4</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20</w:t>
      </w:r>
      <w:r>
        <w:rPr>
          <w:rFonts w:hint="eastAsia" w:ascii="宋体" w:hAnsi="Courier New" w:eastAsia="宋体" w:cs="Times New Roman"/>
          <w:highlight w:val="yellow"/>
          <w:u w:val="single"/>
          <w:lang w:val="en-US" w:eastAsia="zh-CN"/>
        </w:rPr>
        <w:t>日</w:t>
      </w:r>
      <w:r>
        <w:rPr>
          <w:rFonts w:hint="eastAsia" w:cs="Times New Roman"/>
          <w:highlight w:val="yellow"/>
          <w:u w:val="single"/>
          <w:lang w:val="en-US" w:eastAsia="zh-CN"/>
        </w:rPr>
        <w:t>；</w:t>
      </w:r>
    </w:p>
    <w:p w14:paraId="7344BDA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000AF295">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yellow"/>
          <w:lang w:val="en-US" w:eastAsia="zh-CN"/>
        </w:rPr>
      </w:pPr>
      <w:r>
        <w:rPr>
          <w:rFonts w:hint="eastAsia" w:cs="Times New Roman"/>
          <w:highlight w:val="yellow"/>
          <w:lang w:val="en-US" w:eastAsia="zh-CN"/>
        </w:rPr>
        <w:t>应标截止时间：</w:t>
      </w:r>
      <w:r>
        <w:rPr>
          <w:rFonts w:hint="eastAsia" w:eastAsia="宋体" w:cs="宋体"/>
          <w:highlight w:val="yellow"/>
          <w:u w:val="single"/>
        </w:rPr>
        <w:t>202</w:t>
      </w:r>
      <w:r>
        <w:rPr>
          <w:rFonts w:hint="eastAsia" w:cs="宋体"/>
          <w:highlight w:val="yellow"/>
          <w:u w:val="single"/>
          <w:lang w:val="en-US" w:eastAsia="zh-CN"/>
        </w:rPr>
        <w:t>6</w:t>
      </w:r>
      <w:r>
        <w:rPr>
          <w:rFonts w:hint="eastAsia" w:eastAsia="宋体" w:cs="宋体"/>
          <w:highlight w:val="yellow"/>
          <w:u w:val="single"/>
        </w:rPr>
        <w:t>年</w:t>
      </w:r>
      <w:r>
        <w:rPr>
          <w:rFonts w:hint="eastAsia" w:cs="宋体"/>
          <w:highlight w:val="yellow"/>
          <w:u w:val="single"/>
          <w:lang w:val="en-US" w:eastAsia="zh-CN"/>
        </w:rPr>
        <w:t>4</w:t>
      </w:r>
      <w:r>
        <w:rPr>
          <w:rFonts w:hint="eastAsia" w:eastAsia="宋体" w:cs="宋体"/>
          <w:highlight w:val="yellow"/>
          <w:u w:val="single"/>
        </w:rPr>
        <w:t>月</w:t>
      </w:r>
      <w:r>
        <w:rPr>
          <w:rFonts w:hint="eastAsia" w:cs="宋体"/>
          <w:highlight w:val="yellow"/>
          <w:u w:val="single"/>
          <w:lang w:val="en-US" w:eastAsia="zh-CN"/>
        </w:rPr>
        <w:t>30</w:t>
      </w:r>
      <w:r>
        <w:rPr>
          <w:rFonts w:hint="eastAsia" w:eastAsia="宋体" w:cs="宋体"/>
          <w:highlight w:val="yellow"/>
          <w:u w:val="single"/>
        </w:rPr>
        <w:t>日</w:t>
      </w:r>
      <w:r>
        <w:rPr>
          <w:rFonts w:hint="eastAsia" w:cs="宋体"/>
          <w:highlight w:val="yellow"/>
          <w:u w:val="single"/>
          <w:lang w:val="en-US" w:eastAsia="zh-CN"/>
        </w:rPr>
        <w:t>17</w:t>
      </w:r>
      <w:r>
        <w:rPr>
          <w:rFonts w:hint="eastAsia"/>
          <w:highlight w:val="yellow"/>
          <w:u w:val="single"/>
          <w:lang w:val="en-US" w:eastAsia="zh-CN"/>
        </w:rPr>
        <w:t>:00:00</w:t>
      </w:r>
      <w:r>
        <w:rPr>
          <w:rFonts w:hint="default" w:ascii="宋体" w:hAnsi="Courier New" w:eastAsia="宋体" w:cs="Times New Roman"/>
          <w:highlight w:val="yellow"/>
          <w:u w:val="single"/>
          <w:lang w:val="en-US" w:eastAsia="zh-CN"/>
        </w:rPr>
        <w:t>（北京时间）</w:t>
      </w:r>
      <w:r>
        <w:rPr>
          <w:rFonts w:hint="eastAsia" w:cs="Times New Roman"/>
          <w:highlight w:val="yellow"/>
          <w:u w:val="single"/>
          <w:lang w:val="en-US" w:eastAsia="zh-CN"/>
        </w:rPr>
        <w:t>；</w:t>
      </w:r>
    </w:p>
    <w:p w14:paraId="28C35A91">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7F83614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D6ACBE8">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4</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30</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12:00</w:t>
      </w:r>
      <w:r>
        <w:rPr>
          <w:rFonts w:hint="eastAsia"/>
          <w:highlight w:val="yellow"/>
          <w:u w:val="single"/>
          <w:lang w:val="en-US" w:eastAsia="zh-CN"/>
        </w:rPr>
        <w:t>:00</w:t>
      </w:r>
      <w:r>
        <w:rPr>
          <w:rFonts w:hint="default" w:ascii="宋体" w:hAnsi="Courier New" w:eastAsia="宋体" w:cs="Times New Roman"/>
          <w:highlight w:val="yellow"/>
          <w:u w:val="single"/>
          <w:lang w:val="en-US" w:eastAsia="zh-CN"/>
        </w:rPr>
        <w:t>（北京时间）</w:t>
      </w:r>
      <w:r>
        <w:rPr>
          <w:rFonts w:hint="eastAsia" w:cs="Times New Roman"/>
          <w:highlight w:val="none"/>
          <w:u w:val="single"/>
          <w:lang w:val="en-US" w:eastAsia="zh-CN"/>
        </w:rPr>
        <w:t>；</w:t>
      </w:r>
    </w:p>
    <w:p w14:paraId="3A25E318">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36DE29D2">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2CF88460">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4月30日</w:t>
      </w:r>
      <w:r>
        <w:rPr>
          <w:rFonts w:hint="default" w:ascii="宋体" w:hAnsi="Courier New" w:eastAsia="宋体" w:cs="Times New Roman"/>
          <w:highlight w:val="yellow"/>
          <w:u w:val="single"/>
          <w:lang w:val="en-US" w:eastAsia="zh-CN"/>
        </w:rPr>
        <w:t>17:00</w:t>
      </w:r>
      <w:r>
        <w:rPr>
          <w:rFonts w:hint="eastAsia" w:ascii="宋体" w:hAnsi="Courier New" w:eastAsia="宋体" w:cs="Times New Roman"/>
          <w:highlight w:val="yellow"/>
          <w:u w:val="single"/>
          <w:lang w:val="en-US" w:eastAsia="zh-CN"/>
        </w:rPr>
        <w:t>前</w:t>
      </w:r>
      <w:r>
        <w:rPr>
          <w:rFonts w:hint="eastAsia" w:cs="Times New Roman"/>
          <w:highlight w:val="yellow"/>
          <w:u w:val="single"/>
          <w:lang w:val="en-US" w:eastAsia="zh-CN"/>
        </w:rPr>
        <w:t>；</w:t>
      </w:r>
    </w:p>
    <w:p w14:paraId="68A68683">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6618D95B">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3FEE1DDB">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投标文件的组成</w:t>
      </w:r>
    </w:p>
    <w:p w14:paraId="07DEF033">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，均由《投标文件（资质标）》、《投标文件（技术标）》、《投标文件（商务标）》（开标一览表）文件组成，共计3个文件。</w:t>
      </w:r>
    </w:p>
    <w:p w14:paraId="42796905">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01A55326">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rPr>
        <w:t>具有统一社会信用代码的新版营业执照副本原件</w:t>
      </w:r>
      <w:r>
        <w:rPr>
          <w:rFonts w:hint="eastAsia" w:ascii="Times New Roman" w:hAnsi="Times New Roman" w:cs="Times New Roman"/>
          <w:color w:val="auto"/>
          <w:lang w:val="en-US" w:eastAsia="zh-CN"/>
        </w:rPr>
        <w:t>或复印件</w:t>
      </w:r>
      <w:r>
        <w:rPr>
          <w:rFonts w:hint="eastAsia" w:ascii="Times New Roman" w:hAnsi="Times New Roman" w:cs="Times New Roman"/>
          <w:color w:val="auto"/>
        </w:rPr>
        <w:t>（加盖公章）；</w:t>
      </w:r>
    </w:p>
    <w:p w14:paraId="7CBD7F9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default" w:ascii="Times New Roman" w:hAnsi="Times New Roman" w:cs="Times New Roman"/>
          <w:color w:val="auto"/>
        </w:rPr>
        <w:t>法定代表人授权书（</w:t>
      </w:r>
      <w:r>
        <w:rPr>
          <w:rFonts w:hint="default" w:ascii="Times New Roman" w:hAnsi="Times New Roman" w:cs="Times New Roman"/>
          <w:color w:val="auto"/>
          <w:highlight w:val="none"/>
        </w:rPr>
        <w:t>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rPr>
        <w:t>）；法定代表人参加投标的，提供法人身份证明</w:t>
      </w:r>
      <w:r>
        <w:rPr>
          <w:rFonts w:hint="eastAsia"/>
        </w:rPr>
        <w:t>复印件</w:t>
      </w:r>
      <w:r>
        <w:rPr>
          <w:rFonts w:hint="default" w:ascii="Times New Roman" w:hAnsi="Times New Roman" w:cs="Times New Roman"/>
          <w:color w:val="auto"/>
        </w:rPr>
        <w:t>；被授权人参加投标的，需提供法定代表人授权委托书（含法人身份证和被授权人身份证正反面复印件）</w:t>
      </w:r>
      <w:r>
        <w:rPr>
          <w:rFonts w:hint="default" w:ascii="Times New Roman" w:hAnsi="Times New Roman" w:cs="Times New Roman"/>
          <w:color w:val="auto"/>
          <w:lang w:val="en-US" w:eastAsia="zh-CN"/>
        </w:rPr>
        <w:t>和</w:t>
      </w:r>
      <w:r>
        <w:rPr>
          <w:rFonts w:hint="default" w:ascii="Times New Roman" w:hAnsi="Times New Roman" w:cs="Times New Roman"/>
          <w:color w:val="auto"/>
        </w:rPr>
        <w:t>被授权人近</w:t>
      </w:r>
      <w:r>
        <w:rPr>
          <w:rFonts w:hint="default" w:ascii="Times New Roman" w:hAnsi="Times New Roman" w:cs="Times New Roman"/>
          <w:color w:val="auto"/>
          <w:lang w:val="en-US" w:eastAsia="zh-CN"/>
        </w:rPr>
        <w:t>6</w:t>
      </w:r>
      <w:r>
        <w:rPr>
          <w:rFonts w:hint="default" w:ascii="Times New Roman" w:hAnsi="Times New Roman" w:cs="Times New Roman"/>
          <w:color w:val="auto"/>
        </w:rPr>
        <w:t>个月</w:t>
      </w:r>
      <w:r>
        <w:rPr>
          <w:rFonts w:hint="default" w:ascii="Times New Roman" w:hAnsi="Times New Roman" w:cs="Times New Roman"/>
          <w:color w:val="auto"/>
          <w:lang w:val="en-US" w:eastAsia="zh-CN"/>
        </w:rPr>
        <w:t>及以上在授权单位的社保</w:t>
      </w:r>
      <w:r>
        <w:rPr>
          <w:rFonts w:hint="default" w:ascii="Times New Roman" w:hAnsi="Times New Roman" w:cs="Times New Roman"/>
          <w:color w:val="auto"/>
        </w:rPr>
        <w:t>缴纳证明</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需加盖公章</w:t>
      </w:r>
      <w:r>
        <w:rPr>
          <w:rFonts w:hint="eastAsia" w:ascii="Times New Roman" w:hAnsi="Times New Roman" w:cs="Times New Roman"/>
          <w:color w:val="auto"/>
          <w:lang w:eastAsia="zh-CN"/>
        </w:rPr>
        <w:t>）；</w:t>
      </w:r>
    </w:p>
    <w:p w14:paraId="63A990CE">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885FE9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lang w:val="en-US" w:eastAsia="zh-CN"/>
        </w:rPr>
        <w:t>企业最近半年完税证明、信用证明材料（征信报告）；</w:t>
      </w:r>
    </w:p>
    <w:p w14:paraId="1CDE7CC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年度纳税信用评价信息（可从电子税务局查询截图，需加盖公章）；</w:t>
      </w:r>
    </w:p>
    <w:p w14:paraId="7667A0A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rPr>
      </w:pPr>
      <w:r>
        <w:rPr>
          <w:rFonts w:hint="eastAsia" w:ascii="Times New Roman" w:hAnsi="Times New Roman" w:cs="Times New Roman"/>
          <w:color w:val="auto"/>
          <w:lang w:val="en-US" w:eastAsia="zh-CN"/>
        </w:rPr>
        <w:t>企业对外担保说明（写明贵单位对外有无对外担保和质押业务，需加盖公章）；</w:t>
      </w:r>
    </w:p>
    <w:p w14:paraId="732D5C2E">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lang w:val="en-US" w:eastAsia="zh-CN"/>
        </w:rPr>
        <w:t>；</w:t>
      </w:r>
    </w:p>
    <w:p w14:paraId="03E1B8D1">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设备所安装的操作系统及系统开发的软件均为正版，投标人是系统软件的所有权人或已获知识产权所有权人的正式授权，对该系统软件拥有合法的知识产权或具有合法的来源的相关证明材料；</w:t>
      </w:r>
    </w:p>
    <w:p w14:paraId="0EE5554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保密承诺函（</w:t>
      </w:r>
      <w:r>
        <w:rPr>
          <w:rFonts w:hint="default" w:ascii="Times New Roman" w:hAnsi="Times New Roman" w:cs="Times New Roman"/>
          <w:color w:val="auto"/>
          <w:highlight w:val="none"/>
          <w:lang w:val="en-US" w:eastAsia="zh-CN"/>
        </w:rPr>
        <w:t>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lang w:val="en-US" w:eastAsia="zh-CN"/>
        </w:rPr>
        <w:t>，需盖章）</w:t>
      </w:r>
      <w:r>
        <w:rPr>
          <w:rFonts w:hint="eastAsia" w:ascii="Times New Roman" w:hAnsi="Times New Roman" w:cs="Times New Roman"/>
          <w:color w:val="auto"/>
          <w:lang w:val="en-US" w:eastAsia="zh-CN"/>
        </w:rPr>
        <w:t>；</w:t>
      </w:r>
    </w:p>
    <w:p w14:paraId="4900CCC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ascii="Arial" w:hAnsi="Arial" w:cs="Arial"/>
          <w:color w:val="333333"/>
          <w:szCs w:val="21"/>
          <w:shd w:val="clear" w:color="auto" w:fill="FFFFFF"/>
        </w:rPr>
        <w:t>类似业绩</w:t>
      </w:r>
      <w:r>
        <w:rPr>
          <w:rFonts w:hint="default" w:ascii="宋体" w:hAnsi="宋体" w:eastAsia="宋体" w:cs="Times New Roman"/>
          <w:b w:val="0"/>
          <w:bCs/>
          <w:lang w:val="en-US" w:eastAsia="zh-CN"/>
        </w:rPr>
        <w:t>证明，须提供用户清单、采购合同复印件</w:t>
      </w:r>
      <w:r>
        <w:rPr>
          <w:rFonts w:hint="eastAsia" w:cs="Times New Roman"/>
          <w:highlight w:val="none"/>
        </w:rPr>
        <w:t>；</w:t>
      </w:r>
    </w:p>
    <w:p w14:paraId="437364D7">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4DFC4C76">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422" w:firstLineChars="200"/>
        <w:textAlignment w:val="auto"/>
        <w:rPr>
          <w:b/>
          <w:bCs/>
          <w:color w:val="auto"/>
        </w:rPr>
      </w:pPr>
      <w:r>
        <w:rPr>
          <w:rFonts w:hint="eastAsia"/>
          <w:b/>
          <w:bCs/>
          <w:color w:val="auto"/>
        </w:rPr>
        <w:t>对于投标人资质审核不通过的，招标人有权拒绝其投标。</w:t>
      </w:r>
    </w:p>
    <w:p w14:paraId="1D71B1C2">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560762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技术配置对比表。</w:t>
      </w:r>
    </w:p>
    <w:p w14:paraId="30CB0343">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cyan"/>
          <w:lang w:val="en-US" w:eastAsia="zh-CN"/>
        </w:rPr>
      </w:pPr>
      <w:r>
        <w:rPr>
          <w:rFonts w:hint="eastAsia" w:cs="Times New Roman"/>
          <w:highlight w:val="none"/>
          <w:lang w:val="en-US" w:eastAsia="zh-CN"/>
        </w:rPr>
        <w:t>投标设备配置明细表，列明项目设备分项配置规格型号、品牌等信息（要求与分项报价表完全对应），但注意：</w:t>
      </w:r>
      <w:r>
        <w:rPr>
          <w:rFonts w:hint="eastAsia" w:cs="Times New Roman"/>
          <w:b/>
          <w:bCs/>
          <w:highlight w:val="none"/>
          <w:lang w:val="en-US" w:eastAsia="zh-CN"/>
        </w:rPr>
        <w:t>此表在技术标书中，禁止出现任何分项价格及项目总价</w:t>
      </w:r>
      <w:r>
        <w:rPr>
          <w:rFonts w:hint="eastAsia" w:cs="Times New Roman"/>
          <w:highlight w:val="none"/>
          <w:lang w:val="en-US" w:eastAsia="zh-CN"/>
        </w:rPr>
        <w:t>；</w:t>
      </w:r>
    </w:p>
    <w:p w14:paraId="0521796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技术规格偏离表（附件3）；</w:t>
      </w:r>
    </w:p>
    <w:p w14:paraId="0BBB189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技术性能、参数的描述； </w:t>
      </w:r>
    </w:p>
    <w:p w14:paraId="44DCCF45">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备品备件工具材料明细表；</w:t>
      </w:r>
    </w:p>
    <w:p w14:paraId="4A4F429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类似业绩（签订日期为2020年1月1日至今）；</w:t>
      </w:r>
    </w:p>
    <w:p w14:paraId="57A0642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2054A40A">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商务标</w:t>
      </w:r>
    </w:p>
    <w:p w14:paraId="234ECEB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461DFE7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0D28C8E4">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rPr>
        <w:t>投标人须负责提供合理的便于运输的包装物，并承担相关费用；投标人须认可招标人的工作指令，包括节、假日能正常开展工作的要求；</w:t>
      </w:r>
    </w:p>
    <w:p w14:paraId="4D7AA02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74F0E3E0">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cyan"/>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585362DA">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37D0AA9B">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50</w:t>
      </w:r>
      <w:r>
        <w:rPr>
          <w:rFonts w:hint="eastAsia" w:cs="Times New Roman"/>
          <w:b w:val="0"/>
          <w:bCs w:val="0"/>
          <w:highlight w:val="none"/>
        </w:rPr>
        <w:t>万元（含税），超过投标限价无法投标。</w:t>
      </w:r>
    </w:p>
    <w:p w14:paraId="4E86338E">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6772EC75">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2581CC4C">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shd w:val="clear" w:fill="FFFFFF"/>
          <w:lang w:val="en-US" w:eastAsia="zh-CN"/>
        </w:rPr>
      </w:pPr>
      <w:r>
        <w:rPr>
          <w:rFonts w:hint="eastAsia" w:ascii="宋体" w:hAnsi="宋体" w:eastAsia="宋体" w:cs="宋体"/>
          <w:i w:val="0"/>
          <w:iCs w:val="0"/>
          <w:caps w:val="0"/>
          <w:color w:val="0F1115"/>
          <w:spacing w:val="0"/>
          <w:sz w:val="21"/>
          <w:szCs w:val="21"/>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shd w:val="clear" w:fill="FFFFFF"/>
        </w:rPr>
        <w:t>各自独立成册。每类文件的总册数不得超过两册。所有文件册须分别进行胶装，不得采用活页、散页形式。</w:t>
      </w:r>
    </w:p>
    <w:p w14:paraId="475ED35B">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66F169CB">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222BD920">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一式3份，包括正本1份、副本2份，正、副本均须在封面显著位置明确标注“正本”或“副本”字样。保证正本与副本的内容一致。若正本与副本内容不一致，以正本为准。</w:t>
      </w:r>
    </w:p>
    <w:p w14:paraId="16405799">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7D7024FD">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71D460A">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U盘存储版：包含资格标文件、技术标文件、商务标文件的加盖公章的完整电子版文件1份。</w:t>
      </w:r>
    </w:p>
    <w:p w14:paraId="69203C93">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shd w:val="clear" w:fill="FFFFFF"/>
          <w:lang w:val="en-US" w:eastAsia="zh-CN"/>
        </w:rPr>
        <w:t>纸质版与电子版内容不一致，以系统上传的电子版为准。</w:t>
      </w:r>
    </w:p>
    <w:p w14:paraId="1857CAEE">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41EC5F96">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U盘须单独密封于一个袋内；</w:t>
      </w:r>
    </w:p>
    <w:p w14:paraId="0D6C0F9B">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62D6CEE1">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开标一览表须单独密封于一个袋内。</w:t>
      </w:r>
    </w:p>
    <w:p w14:paraId="34BAC3BB">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投标文件的投递</w:t>
      </w:r>
    </w:p>
    <w:p w14:paraId="73C09FD1">
      <w:pPr>
        <w:pStyle w:val="76"/>
        <w:keepNext w:val="0"/>
        <w:keepLines w:val="0"/>
        <w:pageBreakBefore w:val="0"/>
        <w:widowControl w:val="0"/>
        <w:numPr>
          <w:ilvl w:val="1"/>
          <w:numId w:val="15"/>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投标方式</w:t>
      </w:r>
    </w:p>
    <w:p w14:paraId="21E9CBEF">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在中国重汽e采通平台应标成功后，进入“供应商投标”环节：</w:t>
      </w:r>
    </w:p>
    <w:p w14:paraId="6CC927AF">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lang w:val="en-US" w:eastAsia="zh-CN"/>
        </w:rPr>
      </w:pPr>
      <w:r>
        <w:rPr>
          <w:rFonts w:hint="eastAsia" w:ascii="Times New Roman" w:hAnsi="Times New Roman" w:cs="Times New Roman"/>
          <w:color w:val="auto"/>
          <w:lang w:val="en-US" w:eastAsia="zh-CN"/>
        </w:rPr>
        <w:t>投递盖章扫描版电子标书（包含资质标书、</w:t>
      </w:r>
      <w:r>
        <w:rPr>
          <w:rFonts w:hint="eastAsia" w:ascii="Times New Roman" w:hAnsi="Times New Roman" w:cs="Times New Roman"/>
          <w:color w:val="auto"/>
          <w:highlight w:val="none"/>
          <w:lang w:val="en-US" w:eastAsia="zh-CN"/>
        </w:rPr>
        <w:t>技术标书、</w:t>
      </w:r>
      <w:r>
        <w:rPr>
          <w:rFonts w:hint="eastAsia" w:ascii="Times New Roman" w:hAnsi="Times New Roman" w:cs="Times New Roman"/>
          <w:color w:val="auto"/>
          <w:lang w:val="en-US" w:eastAsia="zh-CN"/>
        </w:rPr>
        <w:t>商务标书）</w:t>
      </w:r>
      <w:r>
        <w:rPr>
          <w:rFonts w:hint="eastAsia" w:ascii="宋体" w:hAnsi="宋体" w:eastAsia="宋体" w:cs="宋体"/>
          <w:sz w:val="24"/>
          <w:szCs w:val="24"/>
        </w:rPr>
        <w:t>，</w:t>
      </w:r>
      <w:r>
        <w:rPr>
          <w:rFonts w:hint="eastAsia" w:ascii="Times New Roman" w:hAnsi="Times New Roman" w:cs="Times New Roman"/>
          <w:color w:val="auto"/>
          <w:lang w:val="en-US" w:eastAsia="zh-CN"/>
        </w:rPr>
        <w:t>用“公司名称+文件名称”命名。</w:t>
      </w:r>
      <w:r>
        <w:rPr>
          <w:rFonts w:hint="eastAsia" w:ascii="Times New Roman" w:hAnsi="Times New Roman" w:cs="Times New Roman"/>
          <w:b/>
          <w:bCs/>
          <w:color w:val="auto"/>
          <w:lang w:val="en-US" w:eastAsia="zh-CN"/>
        </w:rPr>
        <w:t>若逾期未在中国重汽e采通平台上传电子标书，即便递交了纸质版投标文件，一律视为无效投标。</w:t>
      </w:r>
    </w:p>
    <w:p w14:paraId="602B6D6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295BDBC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w:t>
      </w:r>
      <w:r>
        <w:rPr>
          <w:rFonts w:hint="eastAsia" w:hAnsi="Courier New" w:cs="Times New Roman"/>
          <w:highlight w:val="none"/>
          <w:lang w:val="en-US" w:eastAsia="zh-CN"/>
        </w:rPr>
        <w:t>山东省济南市槐荫区经十西路3100号重汽特种车公司</w:t>
      </w:r>
      <w:r>
        <w:rPr>
          <w:rFonts w:hint="eastAsia" w:ascii="宋体" w:hAnsi="Courier New" w:eastAsia="宋体" w:cs="Times New Roman"/>
          <w:highlight w:val="none"/>
          <w:lang w:val="en-US" w:eastAsia="zh-CN"/>
        </w:rPr>
        <w:t>；</w:t>
      </w:r>
    </w:p>
    <w:p w14:paraId="7168CD1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default"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李苗13854132324</w:t>
      </w:r>
    </w:p>
    <w:p w14:paraId="283BB2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lang w:val="en-US" w:eastAsia="zh-CN"/>
        </w:rPr>
      </w:pPr>
      <w:r>
        <w:rPr>
          <w:rFonts w:hint="eastAsia"/>
          <w:lang w:val="en-US" w:eastAsia="zh-CN"/>
        </w:rPr>
        <w:t>投标文件</w:t>
      </w:r>
      <w:r>
        <w:rPr>
          <w:rFonts w:hint="eastAsia" w:ascii="宋体" w:hAnsi="Courier New" w:eastAsia="宋体" w:cs="Times New Roman"/>
          <w:highlight w:val="none"/>
          <w:lang w:val="en-US" w:eastAsia="zh-CN"/>
        </w:rPr>
        <w:t>递交</w:t>
      </w:r>
      <w:r>
        <w:rPr>
          <w:rFonts w:hint="eastAsia"/>
          <w:lang w:val="en-US" w:eastAsia="zh-CN"/>
        </w:rPr>
        <w:t>截止时间：</w:t>
      </w:r>
      <w:r>
        <w:rPr>
          <w:rFonts w:hint="eastAsia"/>
          <w:highlight w:val="yellow"/>
          <w:u w:val="single"/>
          <w:lang w:val="en-US" w:eastAsia="zh-CN"/>
        </w:rPr>
        <w:t>2026年5月7日17</w:t>
      </w:r>
      <w:bookmarkStart w:id="80" w:name="_GoBack"/>
      <w:bookmarkEnd w:id="80"/>
      <w:r>
        <w:rPr>
          <w:rFonts w:hint="eastAsia"/>
          <w:highlight w:val="yellow"/>
          <w:u w:val="single"/>
          <w:lang w:val="en-US" w:eastAsia="zh-CN"/>
        </w:rPr>
        <w:t>:00:00</w:t>
      </w:r>
      <w:r>
        <w:rPr>
          <w:rFonts w:hint="default"/>
          <w:highlight w:val="yellow"/>
          <w:u w:val="single"/>
          <w:lang w:val="en-US" w:eastAsia="zh-CN"/>
        </w:rPr>
        <w:t>（</w:t>
      </w:r>
      <w:r>
        <w:rPr>
          <w:rFonts w:hint="default" w:ascii="宋体" w:hAnsi="Courier New" w:eastAsia="宋体" w:cs="Times New Roman"/>
          <w:highlight w:val="yellow"/>
          <w:u w:val="single"/>
          <w:lang w:val="en-US" w:eastAsia="zh-CN"/>
        </w:rPr>
        <w:t>北京时间）</w:t>
      </w:r>
    </w:p>
    <w:p w14:paraId="4DD94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1CBBFAEC">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424E0393">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17F02680">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3A260CC1">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3718397D">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2C259DE9">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开 户 行：中信银行济南舜耕支行 </w:t>
      </w:r>
    </w:p>
    <w:p w14:paraId="216D959F">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开户名称：中国重汽集团济南特种车有限公司 </w:t>
      </w:r>
    </w:p>
    <w:p w14:paraId="5E876793">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账    号：7372610182600060547 </w:t>
      </w:r>
    </w:p>
    <w:p w14:paraId="146D8AD8">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纳税人识别号：913701007806234860</w:t>
      </w:r>
    </w:p>
    <w:p w14:paraId="46C73B96">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 xml:space="preserve"> 转账附言：公司名称+项目名称+投标保证金。</w:t>
      </w:r>
    </w:p>
    <w:p w14:paraId="390C636C">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yellow"/>
        </w:rPr>
      </w:pPr>
      <w:r>
        <w:rPr>
          <w:rFonts w:hint="eastAsia" w:ascii="宋体" w:hAnsi="宋体" w:eastAsia="宋体" w:cs="宋体"/>
          <w:b w:val="0"/>
          <w:bCs w:val="0"/>
          <w:sz w:val="21"/>
          <w:szCs w:val="21"/>
          <w:highlight w:val="none"/>
        </w:rPr>
        <w:t>保证金缴纳</w:t>
      </w:r>
      <w:r>
        <w:rPr>
          <w:rFonts w:hint="eastAsia" w:cs="Times New Roman"/>
        </w:rPr>
        <w:t>截止</w:t>
      </w:r>
      <w:r>
        <w:rPr>
          <w:rFonts w:hint="eastAsia" w:ascii="宋体" w:hAnsi="宋体" w:eastAsia="宋体" w:cs="宋体"/>
          <w:b w:val="0"/>
          <w:bCs w:val="0"/>
          <w:sz w:val="21"/>
          <w:szCs w:val="21"/>
          <w:highlight w:val="none"/>
        </w:rPr>
        <w:t>时间：</w:t>
      </w:r>
      <w:r>
        <w:rPr>
          <w:rFonts w:hint="eastAsia" w:ascii="宋体" w:hAnsi="宋体" w:eastAsia="宋体" w:cs="宋体"/>
          <w:b w:val="0"/>
          <w:bCs w:val="0"/>
          <w:sz w:val="21"/>
          <w:szCs w:val="21"/>
          <w:highlight w:val="yellow"/>
        </w:rPr>
        <w:t>202</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年</w:t>
      </w:r>
      <w:r>
        <w:rPr>
          <w:rFonts w:hint="eastAsia" w:hAnsi="宋体" w:cs="宋体"/>
          <w:b w:val="0"/>
          <w:bCs w:val="0"/>
          <w:sz w:val="21"/>
          <w:szCs w:val="21"/>
          <w:highlight w:val="yellow"/>
          <w:lang w:val="en-US" w:eastAsia="zh-CN"/>
        </w:rPr>
        <w:t>4</w:t>
      </w:r>
      <w:r>
        <w:rPr>
          <w:rFonts w:hint="eastAsia" w:ascii="宋体" w:hAnsi="宋体" w:eastAsia="宋体" w:cs="宋体"/>
          <w:b w:val="0"/>
          <w:bCs w:val="0"/>
          <w:sz w:val="21"/>
          <w:szCs w:val="21"/>
          <w:highlight w:val="yellow"/>
        </w:rPr>
        <w:t>月</w:t>
      </w:r>
      <w:r>
        <w:rPr>
          <w:rFonts w:hint="eastAsia" w:hAnsi="宋体" w:cs="宋体"/>
          <w:b w:val="0"/>
          <w:bCs w:val="0"/>
          <w:sz w:val="21"/>
          <w:szCs w:val="21"/>
          <w:highlight w:val="yellow"/>
          <w:lang w:val="en-US" w:eastAsia="zh-CN"/>
        </w:rPr>
        <w:t>30</w:t>
      </w:r>
      <w:r>
        <w:rPr>
          <w:rFonts w:hint="eastAsia" w:ascii="宋体" w:hAnsi="宋体" w:eastAsia="宋体" w:cs="宋体"/>
          <w:b w:val="0"/>
          <w:bCs w:val="0"/>
          <w:sz w:val="21"/>
          <w:szCs w:val="21"/>
          <w:highlight w:val="yellow"/>
        </w:rPr>
        <w:t>日</w:t>
      </w:r>
      <w:r>
        <w:rPr>
          <w:rFonts w:hint="eastAsia" w:hAnsi="宋体" w:cs="宋体"/>
          <w:b w:val="0"/>
          <w:bCs w:val="0"/>
          <w:sz w:val="21"/>
          <w:szCs w:val="21"/>
          <w:highlight w:val="yellow"/>
          <w:lang w:val="en-US" w:eastAsia="zh-CN"/>
        </w:rPr>
        <w:t>17</w:t>
      </w:r>
      <w:r>
        <w:rPr>
          <w:rFonts w:hint="eastAsia"/>
          <w:highlight w:val="yellow"/>
          <w:u w:val="none"/>
          <w:lang w:val="en-US" w:eastAsia="zh-CN"/>
        </w:rPr>
        <w:t>:00:00</w:t>
      </w:r>
      <w:r>
        <w:rPr>
          <w:rFonts w:hint="default" w:ascii="宋体" w:hAnsi="Courier New" w:eastAsia="宋体" w:cs="Times New Roman"/>
          <w:highlight w:val="yellow"/>
          <w:u w:val="none"/>
          <w:lang w:val="en-US" w:eastAsia="zh-CN"/>
        </w:rPr>
        <w:t>（北京时间）</w:t>
      </w:r>
    </w:p>
    <w:p w14:paraId="35561B07">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29176843">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5C1F657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ascii="宋体" w:hAnsi="宋体" w:eastAsia="宋体" w:cs="宋体"/>
          <w:b w:val="0"/>
          <w:bCs w:val="0"/>
          <w:szCs w:val="21"/>
          <w:highlight w:val="none"/>
        </w:rPr>
        <w:t>供</w:t>
      </w:r>
      <w:r>
        <w:rPr>
          <w:rFonts w:hint="eastAsia"/>
        </w:rPr>
        <w:t>应商在提交响应文件截止时间后撤回响应文件的；</w:t>
      </w:r>
    </w:p>
    <w:p w14:paraId="4EE7684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供应商在响应文件中提供虚假材料的；</w:t>
      </w:r>
    </w:p>
    <w:p w14:paraId="27CE180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除因不可抗力或谈判文件、询价通知书认可的情形以外，成交供应商不与采购人签订合同的；</w:t>
      </w:r>
    </w:p>
    <w:p w14:paraId="1DFBEEC1">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供应商与采购人、其他供应商或者采购代理机构恶意串通、围标、陪标的；</w:t>
      </w:r>
    </w:p>
    <w:p w14:paraId="008D828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供应商有违约违规行为或被投诉、举报的，在调查处理期间，保证金暂不退还，待调查处理结束后按有关规定处理。</w:t>
      </w:r>
    </w:p>
    <w:p w14:paraId="1E4C7743">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截至开标前3天，投标人无正当理由、未以书面形式向招标人递交说明而在投标截止日不来投标的。</w:t>
      </w:r>
    </w:p>
    <w:p w14:paraId="5AE21F76">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自中标通知书发出之日起30日内，中标人无正当理由投标人无正当签订合同的；</w:t>
      </w:r>
    </w:p>
    <w:p w14:paraId="0AE4B48B">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2830FDC1">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开评标</w:t>
      </w:r>
    </w:p>
    <w:p w14:paraId="0B9D42EE">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082B93D9">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yellow"/>
          <w:lang w:val="en-US" w:eastAsia="zh-CN"/>
        </w:rPr>
        <w:t>2026年5</w:t>
      </w:r>
      <w:r>
        <w:rPr>
          <w:rFonts w:hint="eastAsia" w:ascii="宋体" w:hAnsi="宋体" w:eastAsia="宋体" w:cs="宋体"/>
          <w:b w:val="0"/>
          <w:bCs w:val="0"/>
          <w:sz w:val="21"/>
          <w:szCs w:val="21"/>
          <w:highlight w:val="yellow"/>
          <w:lang w:val="en-US" w:eastAsia="zh-CN"/>
        </w:rPr>
        <w:t>月</w:t>
      </w:r>
      <w:r>
        <w:rPr>
          <w:rFonts w:hint="eastAsia" w:hAnsi="宋体" w:cs="宋体"/>
          <w:b w:val="0"/>
          <w:bCs w:val="0"/>
          <w:sz w:val="21"/>
          <w:szCs w:val="21"/>
          <w:highlight w:val="yellow"/>
          <w:lang w:val="en-US" w:eastAsia="zh-CN"/>
        </w:rPr>
        <w:t>8</w:t>
      </w:r>
      <w:r>
        <w:rPr>
          <w:rFonts w:hint="eastAsia" w:ascii="宋体" w:hAnsi="宋体" w:eastAsia="宋体" w:cs="宋体"/>
          <w:b w:val="0"/>
          <w:bCs w:val="0"/>
          <w:sz w:val="21"/>
          <w:szCs w:val="21"/>
          <w:highlight w:val="yellow"/>
          <w:lang w:val="en-US" w:eastAsia="zh-CN"/>
        </w:rPr>
        <w:t>日</w:t>
      </w:r>
      <w:r>
        <w:rPr>
          <w:rFonts w:hint="default" w:ascii="宋体" w:hAnsi="宋体" w:eastAsia="宋体" w:cs="宋体"/>
          <w:b w:val="0"/>
          <w:bCs w:val="0"/>
          <w:sz w:val="21"/>
          <w:szCs w:val="21"/>
          <w:highlight w:val="yellow"/>
          <w:lang w:val="en-US" w:eastAsia="zh-CN"/>
        </w:rPr>
        <w:t>9:00:00（北京时间）(暂定，以实际通知为准)</w:t>
      </w:r>
      <w:r>
        <w:rPr>
          <w:rFonts w:hint="default" w:ascii="宋体" w:hAnsi="宋体" w:eastAsia="宋体" w:cs="宋体"/>
          <w:b w:val="0"/>
          <w:bCs w:val="0"/>
          <w:sz w:val="21"/>
          <w:szCs w:val="21"/>
          <w:highlight w:val="none"/>
          <w:lang w:val="en-US" w:eastAsia="zh-CN"/>
        </w:rPr>
        <w:t>。</w:t>
      </w:r>
    </w:p>
    <w:p w14:paraId="53595D3C">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default" w:ascii="宋体" w:hAnsi="宋体" w:eastAsia="仿宋" w:cs="宋体"/>
          <w:b/>
          <w:bCs/>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eastAsia" w:hAnsi="Courier New" w:cs="Times New Roman"/>
          <w:highlight w:val="none"/>
          <w:lang w:val="en-US" w:eastAsia="zh-CN"/>
        </w:rPr>
        <w:t>山东省济南市槐荫区经十西路3100号重汽特种车公司北楼208会议室</w:t>
      </w:r>
      <w:r>
        <w:rPr>
          <w:rFonts w:hint="eastAsia" w:ascii="宋体" w:hAnsi="宋体" w:eastAsia="宋体" w:cs="宋体"/>
          <w:b w:val="0"/>
          <w:bCs w:val="0"/>
          <w:sz w:val="21"/>
          <w:szCs w:val="21"/>
          <w:highlight w:val="none"/>
          <w:lang w:val="en-US" w:eastAsia="zh-CN"/>
        </w:rPr>
        <w:t xml:space="preserve"> </w:t>
      </w:r>
    </w:p>
    <w:p w14:paraId="56D98896">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yellow"/>
          <w:u w:val="none"/>
          <w:lang w:val="en-US" w:eastAsia="zh-CN"/>
        </w:rPr>
        <w:t>线上</w:t>
      </w:r>
      <w:r>
        <w:rPr>
          <w:rFonts w:hint="eastAsia" w:ascii="宋体" w:hAnsi="Courier New" w:eastAsia="宋体" w:cs="Times New Roman"/>
          <w:b/>
          <w:bCs w:val="0"/>
          <w:color w:val="auto"/>
          <w:kern w:val="2"/>
          <w:sz w:val="21"/>
          <w:highlight w:val="yellow"/>
          <w:u w:val="none"/>
          <w:lang w:val="en-US" w:eastAsia="zh-CN" w:bidi="ar-SA"/>
        </w:rPr>
        <w:t>招标</w:t>
      </w:r>
      <w:r>
        <w:rPr>
          <w:rFonts w:hint="eastAsia" w:cs="Times New Roman"/>
          <w:b/>
          <w:bCs w:val="0"/>
          <w:color w:val="auto"/>
          <w:kern w:val="2"/>
          <w:sz w:val="21"/>
          <w:highlight w:val="yellow"/>
          <w:u w:val="none"/>
          <w:lang w:val="en-US" w:eastAsia="zh-CN" w:bidi="ar-SA"/>
        </w:rPr>
        <w:t>（钉钉视频会议）</w:t>
      </w:r>
    </w:p>
    <w:p w14:paraId="5566FC1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842" w:leftChars="200" w:hanging="422" w:hangingChars="200"/>
        <w:textAlignment w:val="auto"/>
        <w:rPr>
          <w:rFonts w:hint="eastAsia" w:ascii="宋体" w:hAnsi="宋体" w:eastAsia="宋体" w:cs="宋体"/>
          <w:b/>
          <w:bCs/>
          <w:color w:val="000000"/>
          <w:sz w:val="21"/>
          <w:szCs w:val="21"/>
          <w:highlight w:val="none"/>
          <w:u w:val="single"/>
          <w:lang w:val="en-US" w:eastAsia="zh-CN"/>
        </w:rPr>
      </w:pPr>
      <w:r>
        <w:rPr>
          <w:rFonts w:hint="eastAsia" w:ascii="宋体" w:hAnsi="宋体" w:eastAsia="宋体" w:cs="宋体"/>
          <w:b/>
          <w:bCs/>
          <w:sz w:val="21"/>
          <w:szCs w:val="21"/>
          <w:lang w:val="en-US" w:eastAsia="zh-CN"/>
        </w:rPr>
        <w:t>注：请各投标单位在开标前，先添加商务联系人微信（微信号：</w:t>
      </w:r>
      <w:r>
        <w:rPr>
          <w:rFonts w:hint="eastAsia" w:hAnsi="宋体" w:cs="宋体"/>
          <w:b/>
          <w:bCs/>
          <w:sz w:val="21"/>
          <w:szCs w:val="21"/>
          <w:lang w:val="en-US" w:eastAsia="zh-CN"/>
        </w:rPr>
        <w:t>13854132324</w:t>
      </w:r>
      <w:r>
        <w:rPr>
          <w:rFonts w:hint="eastAsia" w:ascii="宋体" w:hAnsi="宋体" w:eastAsia="宋体" w:cs="宋体"/>
          <w:b/>
          <w:bCs/>
          <w:sz w:val="21"/>
          <w:szCs w:val="21"/>
          <w:lang w:val="en-US" w:eastAsia="zh-CN"/>
        </w:rPr>
        <w:t>），并发送保证金缴纳凭证。</w:t>
      </w:r>
    </w:p>
    <w:p w14:paraId="08E6E1C4">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E8A287E">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00E8C4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本次招标采用综合评分法评标，即在最大限度地满足招标文件实质性要求的前提下，按照评分标准中规定的评分因素和评分细则进行综合评价、评分。</w:t>
      </w:r>
    </w:p>
    <w:p w14:paraId="590E5253">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17D5B6A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yellow"/>
          <w:u w:val="none"/>
          <w:lang w:val="en-US" w:eastAsia="zh-CN"/>
        </w:rPr>
      </w:pPr>
      <w:r>
        <w:rPr>
          <w:rFonts w:hint="eastAsia" w:ascii="宋体" w:hAnsi="宋体" w:eastAsia="宋体" w:cs="宋体"/>
          <w:b w:val="0"/>
          <w:bCs w:val="0"/>
          <w:sz w:val="21"/>
          <w:szCs w:val="21"/>
          <w:highlight w:val="yellow"/>
          <w:u w:val="none"/>
          <w:lang w:val="en-US" w:eastAsia="zh-CN"/>
        </w:rPr>
        <w:t>投标人得分＝∑评委评价得分/评委人数×30%＋(投标报价最低价/供方投标价）×100×70%</w:t>
      </w:r>
    </w:p>
    <w:p w14:paraId="35C24E97">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3C9C6623">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6DE65115">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049A060F">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632E0839">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5D6DD569">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公开唱标：公示</w:t>
      </w:r>
      <w:r>
        <w:rPr>
          <w:rFonts w:hint="eastAsia" w:ascii="宋体" w:hAnsi="宋体" w:eastAsia="宋体" w:cs="宋体"/>
          <w:b w:val="0"/>
          <w:bCs/>
          <w:color w:val="000000"/>
          <w:sz w:val="21"/>
          <w:szCs w:val="21"/>
          <w:highlight w:val="none"/>
          <w:lang w:val="en-US" w:eastAsia="zh-CN"/>
        </w:rPr>
        <w:t>技术</w:t>
      </w:r>
      <w:r>
        <w:rPr>
          <w:rFonts w:hint="eastAsia" w:ascii="宋体" w:hAnsi="宋体" w:eastAsia="宋体" w:cs="宋体"/>
          <w:b w:val="0"/>
          <w:bCs/>
          <w:color w:val="000000"/>
          <w:sz w:val="21"/>
          <w:szCs w:val="21"/>
          <w:highlight w:val="none"/>
        </w:rPr>
        <w:t>标入围单位的开标价格及商务条款响应情况；</w:t>
      </w:r>
    </w:p>
    <w:p w14:paraId="6505D3E7">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73F5A7A2">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注意：所有参与现场投标的投标人，需要自带笔记本电脑在</w:t>
      </w:r>
      <w:r>
        <w:rPr>
          <w:rFonts w:hint="eastAsia"/>
          <w:lang w:eastAsia="zh-CN"/>
        </w:rPr>
        <w:t>“</w:t>
      </w:r>
      <w:r>
        <w:rPr>
          <w:rFonts w:hint="eastAsia"/>
        </w:rPr>
        <w:t>重汽e采通</w:t>
      </w:r>
      <w:r>
        <w:rPr>
          <w:rFonts w:hint="eastAsia"/>
          <w:lang w:eastAsia="zh-CN"/>
        </w:rPr>
        <w:t>”</w:t>
      </w:r>
      <w:r>
        <w:rPr>
          <w:rFonts w:hint="eastAsia"/>
        </w:rPr>
        <w:t>进行自主投标和提交澄清函；投标和提交澄清函均有时间限制，超时未提交的按无效处理。</w:t>
      </w:r>
    </w:p>
    <w:p w14:paraId="7517ADEC">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yellow"/>
          <w:lang w:val="en-US" w:eastAsia="zh-CN"/>
        </w:rPr>
      </w:pPr>
      <w:r>
        <w:rPr>
          <w:rFonts w:hint="eastAsia" w:ascii="黑体" w:hAnsi="黑体" w:eastAsia="黑体" w:cs="黑体"/>
          <w:b w:val="0"/>
          <w:bCs w:val="0"/>
          <w:sz w:val="21"/>
          <w:szCs w:val="21"/>
          <w:highlight w:val="yellow"/>
          <w:lang w:val="en-US" w:eastAsia="zh-CN"/>
        </w:rPr>
        <w:t>评分标准</w:t>
      </w:r>
      <w:r>
        <w:rPr>
          <w:rFonts w:hint="eastAsia" w:hAnsi="黑体" w:cs="黑体"/>
          <w:b w:val="0"/>
          <w:bCs w:val="0"/>
          <w:sz w:val="21"/>
          <w:szCs w:val="21"/>
          <w:highlight w:val="yellow"/>
          <w:lang w:val="en-US" w:eastAsia="zh-CN"/>
        </w:rPr>
        <w:t xml:space="preserve"> </w:t>
      </w:r>
    </w:p>
    <w:p w14:paraId="17477FEC">
      <w:pPr>
        <w:pStyle w:val="72"/>
        <w:keepNext w:val="0"/>
        <w:keepLines w:val="0"/>
        <w:pageBreakBefore w:val="0"/>
        <w:widowControl w:val="0"/>
        <w:numPr>
          <w:ilvl w:val="0"/>
          <w:numId w:val="0"/>
        </w:numPr>
        <w:kinsoku/>
        <w:wordWrap/>
        <w:overflowPunct/>
        <w:topLinePunct w:val="0"/>
        <w:autoSpaceDE/>
        <w:autoSpaceDN/>
        <w:bidi w:val="0"/>
        <w:adjustRightInd/>
        <w:snapToGrid/>
        <w:spacing w:before="79" w:beforeLines="25" w:line="440" w:lineRule="exact"/>
        <w:ind w:leftChars="0"/>
        <w:textAlignment w:val="auto"/>
        <w:outlineLvl w:val="3"/>
        <w:rPr>
          <w:rFonts w:hint="eastAsia" w:ascii="黑体" w:hAnsi="黑体" w:eastAsia="黑体" w:cs="黑体"/>
          <w:b w:val="0"/>
          <w:bCs w:val="0"/>
          <w:sz w:val="21"/>
          <w:szCs w:val="21"/>
          <w:highlight w:val="yellow"/>
          <w:lang w:val="en-US" w:eastAsia="zh-CN"/>
        </w:rPr>
      </w:pPr>
    </w:p>
    <w:p w14:paraId="27A4B0DD">
      <w:pPr>
        <w:spacing w:line="320" w:lineRule="exact"/>
        <w:ind w:right="34" w:rightChars="16"/>
        <w:jc w:val="left"/>
        <w:rPr>
          <w:rFonts w:hint="eastAsia" w:ascii="仿宋_GB2312" w:hAnsi="仿宋_GB2312" w:cs="仿宋_GB2312"/>
          <w:b/>
          <w:bCs w:val="0"/>
          <w:sz w:val="22"/>
          <w:szCs w:val="21"/>
          <w:highlight w:val="yellow"/>
        </w:rPr>
      </w:pPr>
      <w:r>
        <w:rPr>
          <w:rFonts w:hint="eastAsia" w:ascii="仿宋_GB2312" w:hAnsi="仿宋_GB2312" w:cs="仿宋_GB2312"/>
          <w:b/>
          <w:bCs w:val="0"/>
          <w:sz w:val="22"/>
          <w:szCs w:val="21"/>
        </w:rPr>
        <w:t>评标</w:t>
      </w:r>
      <w:r>
        <w:rPr>
          <w:rFonts w:hint="eastAsia" w:ascii="仿宋_GB2312" w:hAnsi="仿宋_GB2312" w:cs="仿宋_GB2312"/>
          <w:b/>
          <w:bCs w:val="0"/>
          <w:sz w:val="22"/>
          <w:szCs w:val="21"/>
          <w:lang w:val="en-US" w:eastAsia="zh-CN"/>
        </w:rPr>
        <w:t>标准</w:t>
      </w:r>
      <w:r>
        <w:rPr>
          <w:rFonts w:hint="eastAsia" w:ascii="仿宋_GB2312" w:hAnsi="仿宋_GB2312" w:cs="仿宋_GB2312"/>
          <w:b/>
          <w:bCs w:val="0"/>
          <w:sz w:val="22"/>
          <w:szCs w:val="21"/>
        </w:rPr>
        <w:t>：综合评标</w:t>
      </w:r>
      <w:r>
        <w:rPr>
          <w:rFonts w:hint="eastAsia" w:ascii="仿宋_GB2312" w:hAnsi="仿宋_GB2312" w:cs="仿宋_GB2312"/>
          <w:b/>
          <w:bCs w:val="0"/>
          <w:sz w:val="22"/>
          <w:szCs w:val="21"/>
          <w:lang w:eastAsia="zh-CN"/>
        </w:rPr>
        <w:t>，</w:t>
      </w:r>
      <w:r>
        <w:rPr>
          <w:rFonts w:hint="eastAsia" w:ascii="仿宋_GB2312" w:hAnsi="仿宋_GB2312" w:cs="仿宋_GB2312"/>
          <w:b/>
          <w:bCs w:val="0"/>
          <w:sz w:val="22"/>
          <w:szCs w:val="21"/>
          <w:highlight w:val="yellow"/>
        </w:rPr>
        <w:t>技术部分占比</w:t>
      </w:r>
      <w:r>
        <w:rPr>
          <w:rFonts w:hint="eastAsia" w:ascii="仿宋_GB2312" w:hAnsi="仿宋_GB2312" w:cs="仿宋_GB2312"/>
          <w:b/>
          <w:bCs w:val="0"/>
          <w:sz w:val="22"/>
          <w:szCs w:val="21"/>
          <w:highlight w:val="yellow"/>
          <w:lang w:val="en-US" w:eastAsia="zh-CN"/>
        </w:rPr>
        <w:t>4</w:t>
      </w:r>
      <w:r>
        <w:rPr>
          <w:rFonts w:hint="eastAsia" w:ascii="仿宋_GB2312" w:hAnsi="仿宋_GB2312" w:cs="仿宋_GB2312"/>
          <w:b/>
          <w:bCs w:val="0"/>
          <w:sz w:val="22"/>
          <w:szCs w:val="21"/>
          <w:highlight w:val="yellow"/>
        </w:rPr>
        <w:t>0%，商务部分占比</w:t>
      </w:r>
      <w:r>
        <w:rPr>
          <w:rFonts w:hint="eastAsia" w:ascii="仿宋_GB2312" w:hAnsi="仿宋_GB2312" w:cs="仿宋_GB2312"/>
          <w:b/>
          <w:bCs w:val="0"/>
          <w:sz w:val="22"/>
          <w:szCs w:val="21"/>
          <w:highlight w:val="yellow"/>
          <w:lang w:val="en-US" w:eastAsia="zh-CN"/>
        </w:rPr>
        <w:t>6</w:t>
      </w:r>
      <w:r>
        <w:rPr>
          <w:rFonts w:hint="eastAsia" w:ascii="仿宋_GB2312" w:hAnsi="仿宋_GB2312" w:cs="仿宋_GB2312"/>
          <w:b/>
          <w:bCs w:val="0"/>
          <w:sz w:val="22"/>
          <w:szCs w:val="21"/>
          <w:highlight w:val="yellow"/>
        </w:rPr>
        <w:t>0%。</w:t>
      </w:r>
    </w:p>
    <w:tbl>
      <w:tblPr>
        <w:tblStyle w:val="31"/>
        <w:tblW w:w="56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962"/>
        <w:gridCol w:w="2305"/>
        <w:gridCol w:w="694"/>
        <w:gridCol w:w="5334"/>
      </w:tblGrid>
      <w:tr w14:paraId="3975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Align w:val="center"/>
          </w:tcPr>
          <w:p w14:paraId="6E38A75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评价类型</w:t>
            </w:r>
          </w:p>
        </w:tc>
        <w:tc>
          <w:tcPr>
            <w:tcW w:w="473" w:type="pct"/>
            <w:vAlign w:val="center"/>
          </w:tcPr>
          <w:p w14:paraId="15AD01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评审内容</w:t>
            </w:r>
          </w:p>
        </w:tc>
        <w:tc>
          <w:tcPr>
            <w:tcW w:w="1133" w:type="pct"/>
            <w:vAlign w:val="center"/>
          </w:tcPr>
          <w:p w14:paraId="6F3AAF0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内容</w:t>
            </w:r>
          </w:p>
        </w:tc>
        <w:tc>
          <w:tcPr>
            <w:tcW w:w="341" w:type="pct"/>
            <w:vAlign w:val="center"/>
          </w:tcPr>
          <w:p w14:paraId="3BED4A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lang w:val="en-US" w:eastAsia="zh-CN"/>
              </w:rPr>
              <w:t>最高得</w:t>
            </w:r>
            <w:r>
              <w:rPr>
                <w:rFonts w:hint="eastAsia" w:ascii="宋体" w:hAnsi="Times New Roman" w:eastAsia="宋体" w:cs="Times New Roman"/>
                <w:b/>
                <w:bCs/>
              </w:rPr>
              <w:t>分</w:t>
            </w:r>
          </w:p>
        </w:tc>
        <w:tc>
          <w:tcPr>
            <w:tcW w:w="2622" w:type="pct"/>
            <w:vAlign w:val="center"/>
          </w:tcPr>
          <w:p w14:paraId="6E74303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b/>
                <w:bCs/>
              </w:rPr>
            </w:pPr>
            <w:r>
              <w:rPr>
                <w:rFonts w:hint="eastAsia" w:ascii="宋体" w:hAnsi="Times New Roman" w:eastAsia="宋体" w:cs="Times New Roman"/>
                <w:b/>
                <w:bCs/>
              </w:rPr>
              <w:t>评分标准</w:t>
            </w:r>
          </w:p>
        </w:tc>
      </w:tr>
      <w:tr w14:paraId="3A945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restart"/>
            <w:vAlign w:val="center"/>
          </w:tcPr>
          <w:p w14:paraId="156DA5C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lang w:val="en-US" w:eastAsia="zh-CN"/>
              </w:rPr>
            </w:pPr>
            <w:r>
              <w:rPr>
                <w:rFonts w:hint="eastAsia" w:ascii="宋体" w:hAnsi="Times New Roman" w:eastAsia="宋体" w:cs="Times New Roman"/>
              </w:rPr>
              <w:t>技术</w:t>
            </w:r>
            <w:r>
              <w:rPr>
                <w:rFonts w:hint="eastAsia" w:ascii="宋体" w:hAnsi="Times New Roman" w:eastAsia="宋体" w:cs="Times New Roman"/>
                <w:lang w:val="en-US" w:eastAsia="zh-CN"/>
              </w:rPr>
              <w:t>标</w:t>
            </w:r>
          </w:p>
          <w:p w14:paraId="742B48A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lang w:val="en-US" w:eastAsia="zh-CN"/>
              </w:rPr>
              <w:t>满分</w:t>
            </w:r>
            <w:r>
              <w:rPr>
                <w:rFonts w:hint="eastAsia" w:ascii="宋体" w:hAnsi="Times New Roman" w:eastAsia="宋体" w:cs="Times New Roman"/>
              </w:rPr>
              <w:t>100分</w:t>
            </w:r>
          </w:p>
        </w:tc>
        <w:tc>
          <w:tcPr>
            <w:tcW w:w="473" w:type="pct"/>
            <w:vAlign w:val="center"/>
          </w:tcPr>
          <w:p w14:paraId="68949C6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业绩</w:t>
            </w:r>
          </w:p>
        </w:tc>
        <w:tc>
          <w:tcPr>
            <w:tcW w:w="1133" w:type="pct"/>
            <w:vAlign w:val="center"/>
          </w:tcPr>
          <w:p w14:paraId="6515BC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设备制造商同类型项目业绩</w:t>
            </w:r>
          </w:p>
        </w:tc>
        <w:tc>
          <w:tcPr>
            <w:tcW w:w="341" w:type="pct"/>
            <w:vAlign w:val="center"/>
          </w:tcPr>
          <w:p w14:paraId="316DD22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6DC82E5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 的评价，按照优、良、一般进行赋分，优 得6分，良得4分，一般得2分(时间以签订日期为准)。投标人在2022年1月1日以来在中国与本标同类规格产品的业绩，以合同复印件加盖公章为准(须有客户联系方式及联系人以供招标人核实确认)。</w:t>
            </w:r>
          </w:p>
        </w:tc>
      </w:tr>
      <w:tr w14:paraId="485C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47434D4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restart"/>
            <w:vAlign w:val="center"/>
          </w:tcPr>
          <w:p w14:paraId="6D8F3AB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产品技术</w:t>
            </w:r>
          </w:p>
        </w:tc>
        <w:tc>
          <w:tcPr>
            <w:tcW w:w="1133" w:type="pct"/>
            <w:vAlign w:val="center"/>
          </w:tcPr>
          <w:p w14:paraId="1A23EA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设备制造商装备制造能力、生产设备、加工工艺、完善程度</w:t>
            </w:r>
          </w:p>
        </w:tc>
        <w:tc>
          <w:tcPr>
            <w:tcW w:w="341" w:type="pct"/>
            <w:vAlign w:val="center"/>
          </w:tcPr>
          <w:p w14:paraId="12D55C5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37D03D7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由评标委员会成员独立进行客观、公正的评价，按照优、良、一般进行赋分，优得6分，良得4分，一般得2分。</w:t>
            </w:r>
          </w:p>
        </w:tc>
      </w:tr>
      <w:tr w14:paraId="3256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56B8700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68EF21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62ECC3C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产品方案技术先进、各系统完善、性能可</w:t>
            </w:r>
          </w:p>
          <w:p w14:paraId="090A105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靠，设备主要核心部件，具备自身技术优势</w:t>
            </w:r>
          </w:p>
        </w:tc>
        <w:tc>
          <w:tcPr>
            <w:tcW w:w="341" w:type="pct"/>
            <w:vAlign w:val="center"/>
          </w:tcPr>
          <w:p w14:paraId="6E72FE2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50</w:t>
            </w:r>
          </w:p>
        </w:tc>
        <w:tc>
          <w:tcPr>
            <w:tcW w:w="2622" w:type="pct"/>
            <w:vAlign w:val="center"/>
          </w:tcPr>
          <w:p w14:paraId="4CC127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以下各项由评标委员会成员独立进行客观、公正的评价打分。</w:t>
            </w:r>
          </w:p>
          <w:p w14:paraId="5748C04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①定制系统方案已到达招标要求，设备主要核心部件，具备自身技术优势，打分0-16分。</w:t>
            </w:r>
          </w:p>
          <w:p w14:paraId="43B6E6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②系统配置齐全，其精度、参数、技术水平、可靠性等优势明显，打分0-16分。</w:t>
            </w:r>
          </w:p>
          <w:p w14:paraId="12E6AA0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③操作灵活方便，系统开放程度高，打分0-10分。</w:t>
            </w:r>
          </w:p>
          <w:p w14:paraId="590FDAE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④综合评价，打分0-8分。</w:t>
            </w:r>
          </w:p>
        </w:tc>
      </w:tr>
      <w:tr w14:paraId="1993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429" w:type="pct"/>
            <w:vMerge w:val="continue"/>
            <w:vAlign w:val="center"/>
          </w:tcPr>
          <w:p w14:paraId="310CEF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Align w:val="center"/>
          </w:tcPr>
          <w:p w14:paraId="3B99A40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答疑</w:t>
            </w:r>
          </w:p>
        </w:tc>
        <w:tc>
          <w:tcPr>
            <w:tcW w:w="1133" w:type="pct"/>
            <w:vAlign w:val="center"/>
          </w:tcPr>
          <w:p w14:paraId="7C9C610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现场答疑</w:t>
            </w:r>
          </w:p>
        </w:tc>
        <w:tc>
          <w:tcPr>
            <w:tcW w:w="341" w:type="pct"/>
            <w:vAlign w:val="center"/>
          </w:tcPr>
          <w:p w14:paraId="08B9CE4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8</w:t>
            </w:r>
          </w:p>
        </w:tc>
        <w:tc>
          <w:tcPr>
            <w:tcW w:w="2622" w:type="pct"/>
            <w:vAlign w:val="center"/>
          </w:tcPr>
          <w:p w14:paraId="53AA1F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投标人代表对方案、技术优势的讲解，以及就该项目难点回答评标专家现场提问，打分0-8分。</w:t>
            </w:r>
          </w:p>
        </w:tc>
      </w:tr>
      <w:tr w14:paraId="3F97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jc w:val="center"/>
        </w:trPr>
        <w:tc>
          <w:tcPr>
            <w:tcW w:w="429" w:type="pct"/>
            <w:vMerge w:val="continue"/>
            <w:vAlign w:val="center"/>
          </w:tcPr>
          <w:p w14:paraId="2129B59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Align w:val="center"/>
          </w:tcPr>
          <w:p w14:paraId="77E712C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技术偏离</w:t>
            </w:r>
          </w:p>
        </w:tc>
        <w:tc>
          <w:tcPr>
            <w:tcW w:w="1133" w:type="pct"/>
            <w:vAlign w:val="center"/>
          </w:tcPr>
          <w:p w14:paraId="1F1C14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技术偏离</w:t>
            </w:r>
          </w:p>
        </w:tc>
        <w:tc>
          <w:tcPr>
            <w:tcW w:w="341" w:type="pct"/>
            <w:vAlign w:val="center"/>
          </w:tcPr>
          <w:p w14:paraId="5A45176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12</w:t>
            </w:r>
          </w:p>
        </w:tc>
        <w:tc>
          <w:tcPr>
            <w:tcW w:w="2622" w:type="pct"/>
            <w:vAlign w:val="center"/>
          </w:tcPr>
          <w:p w14:paraId="7DF7DD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根据各投标人的核心产品的配置参数、技术偏离情况，在满足我司技术基本要求的前提下偏离，无偏离得满分12分，较大偏离每一项扣4分，一般偏离每一项扣2分，最低0分。</w:t>
            </w:r>
          </w:p>
        </w:tc>
      </w:tr>
      <w:tr w14:paraId="6616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0CB7B4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restart"/>
            <w:vAlign w:val="center"/>
          </w:tcPr>
          <w:p w14:paraId="753CE2D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售后服务</w:t>
            </w:r>
          </w:p>
        </w:tc>
        <w:tc>
          <w:tcPr>
            <w:tcW w:w="1133" w:type="pct"/>
            <w:vAlign w:val="center"/>
          </w:tcPr>
          <w:p w14:paraId="6D31ECE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技术培训方案：对采购方人员的技术培训方案安排科学、合理、可行</w:t>
            </w:r>
          </w:p>
        </w:tc>
        <w:tc>
          <w:tcPr>
            <w:tcW w:w="341" w:type="pct"/>
            <w:vAlign w:val="center"/>
          </w:tcPr>
          <w:p w14:paraId="25EDAA0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386A4F3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由评标委员会成员独立进行客观、公正的评价，按照优、良、一般进行赋分，优得6分，良得4分，一般得2分。</w:t>
            </w:r>
          </w:p>
        </w:tc>
      </w:tr>
      <w:tr w14:paraId="4BEE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1F008F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280CF4E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78C8991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投标人在中国 有常驻的专业技术力量的维保机构并具有 实施本项目维保的专业技术人员：</w:t>
            </w:r>
          </w:p>
        </w:tc>
        <w:tc>
          <w:tcPr>
            <w:tcW w:w="341" w:type="pct"/>
            <w:vAlign w:val="center"/>
          </w:tcPr>
          <w:p w14:paraId="481CBB5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05A4207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由评标委员会成员独立进行客观、公正的评价，按照优、良、一般进行赋分，优得6分，良得4分， 一般得2分。</w:t>
            </w:r>
          </w:p>
        </w:tc>
      </w:tr>
      <w:tr w14:paraId="02D1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9" w:type="pct"/>
            <w:vMerge w:val="continue"/>
            <w:vAlign w:val="center"/>
          </w:tcPr>
          <w:p w14:paraId="2C6F35E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473" w:type="pct"/>
            <w:vMerge w:val="continue"/>
            <w:vAlign w:val="center"/>
          </w:tcPr>
          <w:p w14:paraId="55CC35D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p>
        </w:tc>
        <w:tc>
          <w:tcPr>
            <w:tcW w:w="1133" w:type="pct"/>
            <w:vAlign w:val="center"/>
          </w:tcPr>
          <w:p w14:paraId="568FF7D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售后服务及时周到，有相应的服务承诺和具体的保证措施</w:t>
            </w:r>
          </w:p>
        </w:tc>
        <w:tc>
          <w:tcPr>
            <w:tcW w:w="341" w:type="pct"/>
            <w:vAlign w:val="center"/>
          </w:tcPr>
          <w:p w14:paraId="6503ED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6</w:t>
            </w:r>
          </w:p>
        </w:tc>
        <w:tc>
          <w:tcPr>
            <w:tcW w:w="2622" w:type="pct"/>
            <w:vAlign w:val="center"/>
          </w:tcPr>
          <w:p w14:paraId="7CF6DF9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Times New Roman" w:eastAsia="宋体" w:cs="Times New Roman"/>
              </w:rPr>
            </w:pPr>
            <w:r>
              <w:rPr>
                <w:rFonts w:hint="eastAsia" w:ascii="宋体" w:hAnsi="Times New Roman" w:eastAsia="宋体" w:cs="Times New Roman"/>
              </w:rPr>
              <w:t>由评标委员会成员独立进行客观、公正的评价，按照优、良、一般进行赋分，优 得6分，良得4分，一般得2分。</w:t>
            </w:r>
          </w:p>
        </w:tc>
      </w:tr>
      <w:tr w14:paraId="6EE4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 w:type="pct"/>
            <w:gridSpan w:val="2"/>
            <w:vAlign w:val="center"/>
          </w:tcPr>
          <w:p w14:paraId="5048A432">
            <w:pPr>
              <w:jc w:val="center"/>
              <w:rPr>
                <w:rFonts w:hint="eastAsia" w:ascii="宋体" w:hAnsi="Times New Roman" w:eastAsia="宋体" w:cs="Times New Roman"/>
              </w:rPr>
            </w:pPr>
            <w:r>
              <w:rPr>
                <w:rFonts w:hint="eastAsia" w:ascii="宋体"/>
                <w:szCs w:val="21"/>
                <w:highlight w:val="none"/>
              </w:rPr>
              <w:t>商务标</w:t>
            </w:r>
          </w:p>
        </w:tc>
        <w:tc>
          <w:tcPr>
            <w:tcW w:w="1133" w:type="pct"/>
            <w:vAlign w:val="center"/>
          </w:tcPr>
          <w:p w14:paraId="20BD1CDF">
            <w:pPr>
              <w:jc w:val="center"/>
              <w:rPr>
                <w:rFonts w:hint="eastAsia" w:ascii="宋体" w:hAnsi="Times New Roman" w:eastAsia="宋体" w:cs="Times New Roman"/>
              </w:rPr>
            </w:pPr>
            <w:r>
              <w:rPr>
                <w:rFonts w:hint="eastAsia" w:ascii="宋体" w:hAnsi="宋体"/>
                <w:highlight w:val="none"/>
              </w:rPr>
              <w:t>投标报价</w:t>
            </w:r>
          </w:p>
        </w:tc>
        <w:tc>
          <w:tcPr>
            <w:tcW w:w="341" w:type="pct"/>
            <w:vAlign w:val="center"/>
          </w:tcPr>
          <w:p w14:paraId="30C59F56">
            <w:pPr>
              <w:spacing w:line="440" w:lineRule="exact"/>
              <w:jc w:val="center"/>
              <w:rPr>
                <w:rFonts w:hint="eastAsia" w:ascii="宋体" w:hAnsi="Times New Roman" w:eastAsia="宋体" w:cs="Times New Roman"/>
              </w:rPr>
            </w:pPr>
            <w:r>
              <w:rPr>
                <w:rFonts w:hint="eastAsia" w:ascii="宋体"/>
                <w:lang w:val="en-US" w:eastAsia="zh-CN"/>
              </w:rPr>
              <w:t>100</w:t>
            </w:r>
          </w:p>
        </w:tc>
        <w:tc>
          <w:tcPr>
            <w:tcW w:w="2622" w:type="pct"/>
            <w:vAlign w:val="center"/>
          </w:tcPr>
          <w:p w14:paraId="787D68E3">
            <w:pPr>
              <w:tabs>
                <w:tab w:val="left" w:pos="7854"/>
              </w:tabs>
              <w:spacing w:line="280" w:lineRule="exact"/>
              <w:rPr>
                <w:rFonts w:hint="eastAsia" w:ascii="宋体" w:hAnsi="Times New Roman" w:eastAsia="宋体" w:cs="Times New Roman"/>
              </w:rPr>
            </w:pPr>
            <w:r>
              <w:rPr>
                <w:rFonts w:hint="eastAsia" w:ascii="仿宋_GB2312" w:hAnsi="仿宋_GB2312" w:cs="仿宋_GB2312"/>
                <w:color w:val="000000"/>
                <w:szCs w:val="28"/>
              </w:rPr>
              <w:t>商</w:t>
            </w:r>
            <w:r>
              <w:rPr>
                <w:rFonts w:hint="eastAsia" w:ascii="仿宋_GB2312" w:hAnsi="仿宋_GB2312" w:cs="仿宋_GB2312"/>
                <w:bCs/>
              </w:rPr>
              <w:t>务标得分=当前轮次最低价/供方投标价×商务标总分。</w:t>
            </w:r>
          </w:p>
        </w:tc>
      </w:tr>
    </w:tbl>
    <w:tbl>
      <w:tblPr>
        <w:tblStyle w:val="30"/>
        <w:tblW w:w="564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 w:type="dxa"/>
          <w:bottom w:w="0" w:type="dxa"/>
          <w:right w:w="10" w:type="dxa"/>
        </w:tblCellMar>
      </w:tblPr>
      <w:tblGrid>
        <w:gridCol w:w="9947"/>
      </w:tblGrid>
      <w:tr w14:paraId="2A16EE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4747" w:type="pct"/>
            <w:tcBorders>
              <w:top w:val="single" w:color="auto" w:sz="4" w:space="0"/>
              <w:left w:val="single" w:color="auto" w:sz="4" w:space="0"/>
              <w:bottom w:val="single" w:color="auto" w:sz="4" w:space="0"/>
              <w:right w:val="single" w:color="auto" w:sz="4" w:space="0"/>
            </w:tcBorders>
            <w:vAlign w:val="center"/>
          </w:tcPr>
          <w:p w14:paraId="50B0B2B0">
            <w:pPr>
              <w:rPr>
                <w:rFonts w:ascii="宋体"/>
                <w:szCs w:val="21"/>
              </w:rPr>
            </w:pPr>
            <w:r>
              <w:rPr>
                <w:rFonts w:hint="eastAsia" w:ascii="宋体" w:hAnsi="宋体"/>
              </w:rPr>
              <w:t>备注：</w:t>
            </w:r>
          </w:p>
          <w:p w14:paraId="097B8B8E">
            <w:pPr>
              <w:rPr>
                <w:rFonts w:ascii="宋体"/>
              </w:rPr>
            </w:pPr>
            <w:r>
              <w:rPr>
                <w:rFonts w:hint="eastAsia" w:ascii="宋体" w:hAnsi="宋体"/>
              </w:rPr>
              <w:t>1、通过初审者为有效投标。</w:t>
            </w:r>
          </w:p>
          <w:p w14:paraId="3F3CD34C">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w:t>
            </w:r>
            <w:r>
              <w:rPr>
                <w:rFonts w:hint="eastAsia" w:ascii="??" w:hAnsi="??"/>
                <w:lang w:val="en-US" w:eastAsia="zh-CN"/>
              </w:rPr>
              <w:t>业绩</w:t>
            </w:r>
            <w:r>
              <w:rPr>
                <w:rFonts w:hint="eastAsia" w:ascii="??" w:hAnsi="??"/>
              </w:rPr>
              <w:t>、技术、</w:t>
            </w:r>
            <w:r>
              <w:rPr>
                <w:rFonts w:hint="eastAsia" w:ascii="??" w:hAnsi="??"/>
                <w:lang w:val="en-US" w:eastAsia="zh-CN"/>
              </w:rPr>
              <w:t>答疑</w:t>
            </w:r>
            <w:r>
              <w:rPr>
                <w:rFonts w:hint="eastAsia" w:ascii="??" w:hAnsi="??"/>
              </w:rPr>
              <w:t>、</w:t>
            </w:r>
            <w:r>
              <w:rPr>
                <w:rFonts w:hint="eastAsia" w:ascii="??" w:hAnsi="??"/>
                <w:lang w:val="en-US" w:eastAsia="zh-CN"/>
              </w:rPr>
              <w:t>技术偏离及</w:t>
            </w:r>
            <w:r>
              <w:rPr>
                <w:rFonts w:hint="eastAsia" w:ascii="??" w:hAnsi="??"/>
              </w:rPr>
              <w:t>服务</w:t>
            </w:r>
            <w:r>
              <w:rPr>
                <w:rFonts w:hint="eastAsia" w:ascii="??" w:hAnsi="??"/>
                <w:lang w:val="en-US" w:eastAsia="zh-CN"/>
              </w:rPr>
              <w:t>等</w:t>
            </w:r>
            <w:r>
              <w:rPr>
                <w:rFonts w:hint="eastAsia" w:ascii="??" w:hAnsi="??"/>
              </w:rPr>
              <w:t>内容的优先次序，根据分项评价值进行排名。</w:t>
            </w:r>
            <w:r>
              <w:rPr>
                <w:rFonts w:hint="eastAsia" w:ascii="宋体" w:hAnsi="宋体"/>
              </w:rPr>
              <w:t>若上述排名皆相同的，则由全体评委成员无记名投票，得票高者排序在前。</w:t>
            </w:r>
          </w:p>
          <w:p w14:paraId="6AB9F73E">
            <w:pPr>
              <w:rPr>
                <w:rFonts w:hint="eastAsia" w:ascii="宋体" w:hAnsi="宋体"/>
              </w:rPr>
            </w:pPr>
            <w:r>
              <w:rPr>
                <w:rFonts w:hint="eastAsia" w:ascii="宋体" w:hAnsi="宋体"/>
              </w:rPr>
              <w:t>3、评委打分超过得分界限或未按本方法赋分时，该评委的打分按废票处理。</w:t>
            </w:r>
          </w:p>
          <w:p w14:paraId="4A21C482">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36B4799B">
      <w:pPr>
        <w:pStyle w:val="72"/>
        <w:keepNext w:val="0"/>
        <w:keepLines w:val="0"/>
        <w:pageBreakBefore w:val="0"/>
        <w:widowControl w:val="0"/>
        <w:numPr>
          <w:ilvl w:val="0"/>
          <w:numId w:val="0"/>
        </w:numPr>
        <w:kinsoku/>
        <w:wordWrap/>
        <w:overflowPunct/>
        <w:topLinePunct w:val="0"/>
        <w:autoSpaceDE/>
        <w:autoSpaceDN/>
        <w:bidi w:val="0"/>
        <w:adjustRightInd/>
        <w:snapToGrid/>
        <w:spacing w:before="79" w:beforeLines="25" w:line="440" w:lineRule="exact"/>
        <w:ind w:leftChars="0"/>
        <w:textAlignment w:val="auto"/>
        <w:outlineLvl w:val="3"/>
        <w:rPr>
          <w:rFonts w:hint="eastAsia" w:ascii="黑体" w:hAnsi="黑体" w:eastAsia="黑体" w:cs="黑体"/>
          <w:b w:val="0"/>
          <w:bCs w:val="0"/>
          <w:sz w:val="21"/>
          <w:szCs w:val="21"/>
          <w:highlight w:val="yellow"/>
          <w:lang w:val="en-US" w:eastAsia="zh-CN"/>
        </w:rPr>
      </w:pPr>
    </w:p>
    <w:p w14:paraId="7ABFF7F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cs="Times New Roman"/>
          <w:lang w:val="en-US" w:eastAsia="zh-CN"/>
        </w:rPr>
        <w:t>定标</w:t>
      </w:r>
    </w:p>
    <w:p w14:paraId="128E4AB3">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lang w:eastAsia="zh-CN"/>
        </w:rPr>
      </w:pPr>
      <w:r>
        <w:rPr>
          <w:rFonts w:hint="eastAsia"/>
        </w:rPr>
        <w:t>本项目只产生</w:t>
      </w:r>
      <w:r>
        <w:rPr>
          <w:rFonts w:hint="eastAsia"/>
          <w:lang w:val="en-US" w:eastAsia="zh-CN"/>
        </w:rPr>
        <w:t>1</w:t>
      </w:r>
      <w:r>
        <w:rPr>
          <w:rFonts w:hint="eastAsia"/>
        </w:rPr>
        <w:t>个中标人。中标人签订合同前须进行最终审查。最终审查的对象</w:t>
      </w:r>
      <w:r>
        <w:rPr>
          <w:rFonts w:hint="eastAsia"/>
          <w:lang w:val="en-US" w:eastAsia="zh-CN"/>
        </w:rPr>
        <w:t>是</w:t>
      </w:r>
      <w:r>
        <w:rPr>
          <w:rFonts w:hint="eastAsia"/>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lang w:val="en-US" w:eastAsia="zh-CN"/>
        </w:rPr>
        <w:t>的</w:t>
      </w:r>
      <w:r>
        <w:rPr>
          <w:rFonts w:hint="eastAsia"/>
        </w:rPr>
        <w:t>，则本次评标作废</w:t>
      </w:r>
      <w:r>
        <w:rPr>
          <w:rFonts w:hint="eastAsia"/>
          <w:lang w:val="en-US" w:eastAsia="zh-CN"/>
        </w:rPr>
        <w:t>或变更意向中标人</w:t>
      </w:r>
      <w:r>
        <w:rPr>
          <w:rFonts w:hint="eastAsia"/>
          <w:lang w:eastAsia="zh-CN"/>
        </w:rPr>
        <w:t>。</w:t>
      </w:r>
    </w:p>
    <w:p w14:paraId="3AA77D44">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废标及终止招标</w:t>
      </w:r>
    </w:p>
    <w:p w14:paraId="142C2ED1">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10D8CE2A">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投标人提供的有关资格、资质证明文件不合格、不真实或提供虚假投标材料；</w:t>
      </w:r>
    </w:p>
    <w:p w14:paraId="11CD6759">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投标人在报价有效期内撤回投标；</w:t>
      </w:r>
    </w:p>
    <w:p w14:paraId="36828C32">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lang w:eastAsia="zh-CN"/>
        </w:rPr>
      </w:pPr>
      <w:r>
        <w:rPr>
          <w:rFonts w:hint="eastAsia"/>
        </w:rPr>
        <w:t>在整个评标过程中，投标人有企图影响评标结果公正性的任何活动；</w:t>
      </w:r>
    </w:p>
    <w:p w14:paraId="180B5EA9">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投标人以任何方式诋毁其他投标人；</w:t>
      </w:r>
    </w:p>
    <w:p w14:paraId="1C13F936">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投标人串通投标；</w:t>
      </w:r>
    </w:p>
    <w:p w14:paraId="6F972373">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投标人被举报、检举，并经招标人查实无误的；</w:t>
      </w:r>
    </w:p>
    <w:p w14:paraId="594F9003">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以他人名义投标或者以其他方式弄虚作假，骗取中标的；</w:t>
      </w:r>
    </w:p>
    <w:p w14:paraId="2F150EBC">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投标人负责人为同一人或者存在控股、管理关系的不同单位；</w:t>
      </w:r>
    </w:p>
    <w:p w14:paraId="682EE2C2">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有效投标不足三家；</w:t>
      </w:r>
    </w:p>
    <w:p w14:paraId="2691096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不同投标人的投标文件异常一致或者投标报价呈规律性差异的；</w:t>
      </w:r>
    </w:p>
    <w:p w14:paraId="19D209E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投标人报价均超过</w:t>
      </w:r>
      <w:r>
        <w:rPr>
          <w:rFonts w:hint="eastAsia"/>
          <w:lang w:val="en-US" w:eastAsia="zh-CN"/>
        </w:rPr>
        <w:t>最高限价</w:t>
      </w:r>
      <w:r>
        <w:rPr>
          <w:rFonts w:hint="eastAsia"/>
        </w:rPr>
        <w:t>的；</w:t>
      </w:r>
    </w:p>
    <w:p w14:paraId="524419B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未按要求填报商务报价资料，对招标开展造成较大影响；</w:t>
      </w:r>
    </w:p>
    <w:p w14:paraId="1E18AA30">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lang w:val="en-US" w:eastAsia="zh-CN"/>
        </w:rPr>
        <w:t>未按照招标人规定的时间内在中国重汽e采通完成投标的；</w:t>
      </w:r>
    </w:p>
    <w:p w14:paraId="3867D46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法律、法规规定的其他情况。</w:t>
      </w:r>
    </w:p>
    <w:p w14:paraId="3B3DBA28">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308BCC6D">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D3DAFC5">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A2A7097">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6AEA7C18">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5"/>
      <w:bookmarkStart w:id="7" w:name="OLE_LINK28"/>
      <w:bookmarkStart w:id="8" w:name="OLE_LINK29"/>
      <w:bookmarkStart w:id="9" w:name="OLE_LINK26"/>
      <w:bookmarkStart w:id="10" w:name="OLE_LINK27"/>
      <w:r>
        <w:rPr>
          <w:rFonts w:hint="eastAsia" w:ascii="宋体" w:hAnsi="宋体" w:eastAsia="宋体" w:cs="宋体"/>
          <w:sz w:val="21"/>
          <w:szCs w:val="21"/>
          <w:highlight w:val="none"/>
        </w:rPr>
        <w:t>；</w:t>
      </w:r>
      <w:bookmarkEnd w:id="6"/>
      <w:bookmarkEnd w:id="7"/>
      <w:bookmarkEnd w:id="8"/>
      <w:bookmarkEnd w:id="9"/>
      <w:bookmarkEnd w:id="10"/>
    </w:p>
    <w:p w14:paraId="4E6479C0">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1980805A">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6581518F">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hAnsi="Courier New" w:cs="Times New Roman"/>
          <w:highlight w:val="none"/>
          <w:lang w:val="en-US" w:eastAsia="zh-CN"/>
        </w:rPr>
        <w:t>合同</w:t>
      </w:r>
      <w:r>
        <w:rPr>
          <w:rFonts w:hint="eastAsia"/>
          <w:lang w:val="en-US" w:eastAsia="zh-CN"/>
        </w:rPr>
        <w:t>签订</w:t>
      </w:r>
    </w:p>
    <w:p w14:paraId="4AF7D27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招标人根据评标工作小组的评标结果确定中标人，在重汽e采通平台公布中标结果，并发送中标通知。</w:t>
      </w:r>
    </w:p>
    <w:p w14:paraId="2C6AECD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中标人应该在中标通知书规定的时间、地点与招标人签订采购合同，否则按照开标后撤回投标处理。</w:t>
      </w:r>
    </w:p>
    <w:p w14:paraId="6711716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rPr>
      </w:pPr>
      <w:r>
        <w:rPr>
          <w:rFonts w:hint="eastAsia" w:ascii="宋体" w:hAnsi="宋体" w:cs="宋体"/>
          <w:b w:val="0"/>
          <w:bCs w:val="0"/>
          <w:color w:val="000000"/>
          <w:sz w:val="21"/>
          <w:szCs w:val="21"/>
        </w:rPr>
        <w:t>中标人应当按照合同约定的履约责任，在保证质量的前提下完成中标项目，不得将中标项目转包或分包给他人，否则视为违约，招标人有权解除合同。</w:t>
      </w:r>
    </w:p>
    <w:p w14:paraId="1725041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pPr>
      <w:r>
        <w:rPr>
          <w:rFonts w:hint="eastAsia" w:ascii="宋体" w:hAnsi="宋体" w:cs="宋体"/>
          <w:b w:val="0"/>
          <w:bCs w:val="0"/>
          <w:color w:val="000000"/>
          <w:sz w:val="21"/>
          <w:szCs w:val="21"/>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lang w:eastAsia="zh-CN"/>
        </w:rPr>
        <w:t>。</w:t>
      </w:r>
    </w:p>
    <w:p w14:paraId="3820B38B">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中标人由于履行义务的能力或信用有严重缺陷，招标人有权取消其中标资格，招标人将从中标候选单位中依序重新确定中标人，或重新组织招标；</w:t>
      </w:r>
    </w:p>
    <w:p w14:paraId="19BF2E5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合同以双方最终签署的版本为准。</w:t>
      </w:r>
    </w:p>
    <w:p w14:paraId="677CFA2B">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交货及付款</w:t>
      </w:r>
    </w:p>
    <w:p w14:paraId="4EFFA55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交货期：以最终签署的协议（或合同）约定为准。</w:t>
      </w:r>
    </w:p>
    <w:p w14:paraId="5E840CB0">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交货地点：详见技术要求。</w:t>
      </w:r>
    </w:p>
    <w:p w14:paraId="06E2E0E4">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交货方式：详见技术要求。</w:t>
      </w:r>
    </w:p>
    <w:p w14:paraId="1447666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highlight w:val="none"/>
          <w:lang w:val="en-US" w:eastAsia="zh-CN"/>
        </w:rPr>
        <w:t>质保期：</w:t>
      </w:r>
      <w:r>
        <w:rPr>
          <w:rFonts w:hint="eastAsia" w:cs="Times New Roman"/>
          <w:lang w:val="en-US" w:eastAsia="zh-CN"/>
        </w:rPr>
        <w:t>以最终签署的协议（或合同）约定为准。</w:t>
      </w:r>
    </w:p>
    <w:p w14:paraId="3CCE52AC">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付款方式：半年期商业汇票（包括银行承兑汇票和商业承兑汇票）</w:t>
      </w:r>
    </w:p>
    <w:p w14:paraId="1D849218">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付款节点：</w:t>
      </w:r>
    </w:p>
    <w:p w14:paraId="585062CA">
      <w:pPr>
        <w:pStyle w:val="63"/>
        <w:keepNext w:val="0"/>
        <w:keepLines w:val="0"/>
        <w:pageBreakBefore w:val="0"/>
        <w:widowControl w:val="0"/>
        <w:kinsoku/>
        <w:wordWrap/>
        <w:overflowPunct/>
        <w:topLinePunct w:val="0"/>
        <w:autoSpaceDE/>
        <w:autoSpaceDN/>
        <w:bidi w:val="0"/>
        <w:adjustRightInd/>
        <w:snapToGrid w:val="0"/>
        <w:spacing w:line="440" w:lineRule="exact"/>
        <w:ind w:left="420" w:leftChars="200" w:firstLine="560"/>
        <w:jc w:val="left"/>
        <w:textAlignment w:val="auto"/>
        <w:rPr>
          <w:rFonts w:ascii="仿宋_GB2312" w:hAnsi="仿宋_GB2312" w:cs="仿宋_GB2312"/>
          <w:bCs/>
        </w:rPr>
      </w:pPr>
      <w:r>
        <w:rPr>
          <w:rFonts w:ascii="仿宋_GB2312" w:hAnsi="仿宋_GB2312" w:cs="仿宋_GB2312"/>
          <w:bCs/>
        </w:rPr>
        <w:t>A.设备全部到货</w:t>
      </w:r>
      <w:r>
        <w:rPr>
          <w:rFonts w:hint="eastAsia" w:ascii="仿宋_GB2312" w:hAnsi="仿宋_GB2312" w:cs="仿宋_GB2312"/>
          <w:bCs/>
        </w:rPr>
        <w:t>且无质量问题</w:t>
      </w:r>
      <w:r>
        <w:rPr>
          <w:rFonts w:ascii="仿宋_GB2312" w:hAnsi="仿宋_GB2312" w:cs="仿宋_GB2312"/>
          <w:bCs/>
        </w:rPr>
        <w:t>，</w:t>
      </w:r>
      <w:r>
        <w:rPr>
          <w:rFonts w:hint="eastAsia" w:ascii="仿宋_GB2312" w:hAnsi="仿宋_GB2312" w:cs="仿宋_GB2312"/>
          <w:bCs/>
        </w:rPr>
        <w:t>经现场安装、调试、终</w:t>
      </w:r>
      <w:r>
        <w:rPr>
          <w:rFonts w:ascii="仿宋_GB2312" w:hAnsi="仿宋_GB2312" w:cs="仿宋_GB2312"/>
          <w:bCs/>
        </w:rPr>
        <w:t>验收合格</w:t>
      </w:r>
      <w:r>
        <w:rPr>
          <w:rFonts w:hint="eastAsia" w:ascii="仿宋_GB2312" w:hAnsi="仿宋_GB2312" w:cs="仿宋_GB2312"/>
          <w:bCs/>
        </w:rPr>
        <w:t>交付使用</w:t>
      </w:r>
      <w:r>
        <w:rPr>
          <w:rFonts w:ascii="仿宋_GB2312" w:hAnsi="仿宋_GB2312" w:cs="仿宋_GB2312"/>
          <w:bCs/>
        </w:rPr>
        <w:t>后，中标人提交金额为合同价款</w:t>
      </w:r>
      <w:r>
        <w:rPr>
          <w:rFonts w:hint="eastAsia" w:ascii="仿宋_GB2312" w:hAnsi="仿宋_GB2312" w:cs="仿宋_GB2312"/>
          <w:bCs/>
          <w:lang w:val="en-US" w:eastAsia="zh-CN"/>
        </w:rPr>
        <w:t>9</w:t>
      </w:r>
      <w:r>
        <w:rPr>
          <w:rFonts w:ascii="仿宋_GB2312" w:hAnsi="仿宋_GB2312" w:cs="仿宋_GB2312"/>
          <w:bCs/>
        </w:rPr>
        <w:t>0%的收据并提供合同价款</w:t>
      </w:r>
      <w:r>
        <w:rPr>
          <w:rFonts w:hint="eastAsia" w:ascii="仿宋_GB2312" w:hAnsi="仿宋_GB2312" w:cs="仿宋_GB2312"/>
          <w:bCs/>
          <w:lang w:val="en-US" w:eastAsia="zh-CN"/>
        </w:rPr>
        <w:t>10</w:t>
      </w:r>
      <w:r>
        <w:rPr>
          <w:rFonts w:ascii="仿宋_GB2312" w:hAnsi="仿宋_GB2312" w:cs="仿宋_GB2312"/>
          <w:bCs/>
        </w:rPr>
        <w:t>0%的增值税专用发票（含复印件二份），经招标人依照财务制度审核通过后30日支付；</w:t>
      </w:r>
    </w:p>
    <w:p w14:paraId="2FD2BE48">
      <w:pPr>
        <w:pStyle w:val="63"/>
        <w:keepNext w:val="0"/>
        <w:keepLines w:val="0"/>
        <w:pageBreakBefore w:val="0"/>
        <w:widowControl w:val="0"/>
        <w:kinsoku/>
        <w:wordWrap/>
        <w:overflowPunct/>
        <w:topLinePunct w:val="0"/>
        <w:autoSpaceDE/>
        <w:autoSpaceDN/>
        <w:bidi w:val="0"/>
        <w:adjustRightInd/>
        <w:snapToGrid w:val="0"/>
        <w:spacing w:line="440" w:lineRule="exact"/>
        <w:ind w:left="420" w:leftChars="200" w:firstLine="560"/>
        <w:jc w:val="left"/>
        <w:textAlignment w:val="auto"/>
        <w:rPr>
          <w:rFonts w:hint="default" w:cs="Times New Roman"/>
          <w:highlight w:val="cyan"/>
          <w:lang w:val="en-US" w:eastAsia="zh-CN"/>
        </w:rPr>
      </w:pPr>
      <w:r>
        <w:rPr>
          <w:rFonts w:hint="eastAsia" w:ascii="仿宋_GB2312" w:hAnsi="仿宋_GB2312" w:cs="仿宋_GB2312"/>
          <w:bCs/>
          <w:lang w:val="en-US" w:eastAsia="zh-CN"/>
        </w:rPr>
        <w:t>B</w:t>
      </w:r>
      <w:r>
        <w:rPr>
          <w:rFonts w:ascii="仿宋_GB2312" w:hAnsi="仿宋_GB2312" w:cs="仿宋_GB2312"/>
          <w:bCs/>
        </w:rPr>
        <w:t>.合同总价款的10%作为本合同约定设备的质量保证金，质量保证金在质量保证期内不计利息。</w:t>
      </w:r>
      <w:r>
        <w:rPr>
          <w:rFonts w:hint="eastAsia" w:ascii="仿宋_GB2312" w:hAnsi="仿宋_GB2312" w:cs="仿宋_GB2312"/>
          <w:bCs/>
        </w:rPr>
        <w:t>待所有合同设备</w:t>
      </w:r>
      <w:r>
        <w:rPr>
          <w:rFonts w:ascii="仿宋_GB2312" w:hAnsi="仿宋_GB2312" w:cs="仿宋_GB2312"/>
          <w:bCs/>
        </w:rPr>
        <w:t>质</w:t>
      </w:r>
      <w:r>
        <w:rPr>
          <w:rFonts w:hint="eastAsia" w:ascii="仿宋_GB2312" w:hAnsi="仿宋_GB2312" w:cs="仿宋_GB2312"/>
          <w:bCs/>
        </w:rPr>
        <w:t>量</w:t>
      </w:r>
      <w:r>
        <w:rPr>
          <w:rFonts w:ascii="仿宋_GB2312" w:hAnsi="仿宋_GB2312" w:cs="仿宋_GB2312"/>
          <w:bCs/>
        </w:rPr>
        <w:t>保</w:t>
      </w:r>
      <w:r>
        <w:rPr>
          <w:rFonts w:hint="eastAsia" w:ascii="仿宋_GB2312" w:hAnsi="仿宋_GB2312" w:cs="仿宋_GB2312"/>
          <w:bCs/>
        </w:rPr>
        <w:t>证</w:t>
      </w:r>
      <w:r>
        <w:rPr>
          <w:rFonts w:ascii="仿宋_GB2312" w:hAnsi="仿宋_GB2312" w:cs="仿宋_GB2312"/>
          <w:bCs/>
        </w:rPr>
        <w:t>期届满后支付。</w:t>
      </w:r>
    </w:p>
    <w:p w14:paraId="730DAE28">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lang w:val="en-US" w:eastAsia="zh-CN"/>
        </w:rPr>
      </w:pPr>
      <w:r>
        <w:rPr>
          <w:rFonts w:hint="eastAsia" w:cs="Times New Roman"/>
          <w:lang w:val="en-US" w:eastAsia="zh-CN"/>
        </w:rPr>
        <w:t>付款方式和付款比例不允许偏离</w:t>
      </w:r>
    </w:p>
    <w:p w14:paraId="444DC4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lang w:val="en-US" w:eastAsia="zh-CN"/>
        </w:rPr>
      </w:pPr>
      <w:r>
        <w:rPr>
          <w:rFonts w:hint="eastAsia"/>
          <w:lang w:val="en-US" w:eastAsia="zh-CN"/>
        </w:rPr>
        <w:t>本次招标最终解释权归</w:t>
      </w:r>
      <w:r>
        <w:rPr>
          <w:rFonts w:hint="eastAsia"/>
          <w:highlight w:val="none"/>
          <w:lang w:val="en-US" w:eastAsia="zh-CN"/>
        </w:rPr>
        <w:t>中国重汽集团济南特种车有限公司</w:t>
      </w:r>
      <w:r>
        <w:rPr>
          <w:rFonts w:hint="eastAsia"/>
          <w:lang w:val="en-US" w:eastAsia="zh-CN"/>
        </w:rPr>
        <w:t>。</w:t>
      </w:r>
    </w:p>
    <w:p w14:paraId="5B4333D1">
      <w:pPr>
        <w:pStyle w:val="76"/>
        <w:bidi w:val="0"/>
      </w:pPr>
    </w:p>
    <w:p w14:paraId="1B2FD786">
      <w:pPr>
        <w:pStyle w:val="76"/>
        <w:bidi w:val="0"/>
        <w:rPr>
          <w:rFonts w:hint="eastAsia"/>
        </w:rPr>
      </w:pPr>
      <w:bookmarkStart w:id="11" w:name="_Toc47976607"/>
    </w:p>
    <w:p w14:paraId="6458B34B">
      <w:pPr>
        <w:pStyle w:val="76"/>
        <w:bidi w:val="0"/>
        <w:rPr>
          <w:rFonts w:hint="eastAsia"/>
        </w:rPr>
      </w:pPr>
    </w:p>
    <w:p w14:paraId="30B03086">
      <w:pPr>
        <w:pStyle w:val="76"/>
        <w:bidi w:val="0"/>
        <w:rPr>
          <w:rFonts w:hint="eastAsia"/>
        </w:rPr>
      </w:pPr>
    </w:p>
    <w:p w14:paraId="7F58C71F">
      <w:pPr>
        <w:pStyle w:val="76"/>
        <w:bidi w:val="0"/>
        <w:rPr>
          <w:rFonts w:hint="eastAsia"/>
        </w:rPr>
      </w:pPr>
    </w:p>
    <w:p w14:paraId="28FDC350">
      <w:pPr>
        <w:pStyle w:val="76"/>
        <w:bidi w:val="0"/>
        <w:rPr>
          <w:rFonts w:hint="eastAsia"/>
        </w:rPr>
      </w:pPr>
    </w:p>
    <w:p w14:paraId="42843AC2">
      <w:pPr>
        <w:pStyle w:val="76"/>
        <w:bidi w:val="0"/>
        <w:rPr>
          <w:rFonts w:hint="eastAsia"/>
        </w:rPr>
      </w:pPr>
    </w:p>
    <w:p w14:paraId="553C944D">
      <w:pPr>
        <w:pStyle w:val="76"/>
        <w:bidi w:val="0"/>
        <w:rPr>
          <w:rFonts w:hint="eastAsia"/>
        </w:rPr>
      </w:pPr>
    </w:p>
    <w:p w14:paraId="0E67254E">
      <w:pPr>
        <w:pStyle w:val="76"/>
        <w:bidi w:val="0"/>
        <w:rPr>
          <w:rFonts w:hint="eastAsia"/>
        </w:rPr>
      </w:pPr>
    </w:p>
    <w:p w14:paraId="1B6D3E04">
      <w:pPr>
        <w:pStyle w:val="76"/>
        <w:bidi w:val="0"/>
        <w:rPr>
          <w:rFonts w:hint="eastAsia"/>
        </w:rPr>
      </w:pPr>
    </w:p>
    <w:p w14:paraId="74005A28">
      <w:pPr>
        <w:rPr>
          <w:rFonts w:hint="eastAsia"/>
        </w:rPr>
      </w:pPr>
    </w:p>
    <w:p w14:paraId="1F0A6675">
      <w:pPr>
        <w:rPr>
          <w:rFonts w:hint="eastAsia"/>
        </w:rPr>
      </w:pPr>
      <w:r>
        <w:rPr>
          <w:rFonts w:hint="eastAsia"/>
        </w:rPr>
        <w:br w:type="page"/>
      </w:r>
    </w:p>
    <w:p w14:paraId="740458E0">
      <w:pPr>
        <w:pStyle w:val="71"/>
        <w:rPr>
          <w:rFonts w:hint="eastAsia" w:cs="Times New Roman"/>
        </w:rPr>
      </w:pPr>
      <w:bookmarkStart w:id="12" w:name="_Toc16839"/>
      <w:r>
        <w:rPr>
          <w:rFonts w:hint="eastAsia" w:cs="Times New Roman"/>
        </w:rPr>
        <w:t>第二部分　</w:t>
      </w:r>
      <w:bookmarkEnd w:id="11"/>
      <w:bookmarkEnd w:id="12"/>
      <w:r>
        <w:rPr>
          <w:rFonts w:hint="eastAsia" w:cs="Times New Roman"/>
        </w:rPr>
        <w:t>技术要求</w:t>
      </w:r>
    </w:p>
    <w:p w14:paraId="2D7CEC24">
      <w:pPr>
        <w:pStyle w:val="3"/>
        <w:spacing w:before="120" w:after="120" w:line="480" w:lineRule="exact"/>
        <w:jc w:val="center"/>
        <w:rPr>
          <w:rFonts w:hint="eastAsia" w:ascii="黑体" w:eastAsia="黑体"/>
          <w:b w:val="0"/>
          <w:sz w:val="24"/>
          <w:szCs w:val="24"/>
        </w:rPr>
      </w:pPr>
      <w:bookmarkStart w:id="13" w:name="_Toc1271"/>
      <w:bookmarkStart w:id="14" w:name="_Toc137705865"/>
      <w:bookmarkStart w:id="15" w:name="_Toc2894"/>
      <w:bookmarkStart w:id="16" w:name="_Toc2567"/>
      <w:bookmarkStart w:id="17" w:name="_Toc28854"/>
      <w:bookmarkStart w:id="18" w:name="_Toc47976609"/>
      <w:bookmarkStart w:id="19" w:name="_Toc8030"/>
      <w:r>
        <w:rPr>
          <w:rFonts w:hint="eastAsia" w:ascii="黑体" w:eastAsia="黑体"/>
          <w:b w:val="0"/>
          <w:sz w:val="24"/>
          <w:szCs w:val="24"/>
        </w:rPr>
        <w:t>第一章  采购货物概况</w:t>
      </w:r>
      <w:bookmarkEnd w:id="13"/>
      <w:bookmarkEnd w:id="14"/>
      <w:bookmarkEnd w:id="15"/>
      <w:bookmarkEnd w:id="16"/>
      <w:bookmarkEnd w:id="17"/>
    </w:p>
    <w:p w14:paraId="4B98F2C5">
      <w:pPr>
        <w:spacing w:line="480" w:lineRule="exact"/>
        <w:rPr>
          <w:rFonts w:hint="eastAsia" w:ascii="黑体" w:hAnsi="宋体" w:eastAsia="黑体"/>
        </w:rPr>
      </w:pPr>
    </w:p>
    <w:p w14:paraId="7ED2E21A">
      <w:pPr>
        <w:pStyle w:val="5"/>
        <w:spacing w:before="120" w:after="120" w:line="480" w:lineRule="exact"/>
        <w:jc w:val="center"/>
        <w:rPr>
          <w:rFonts w:hint="eastAsia"/>
          <w:b w:val="0"/>
          <w:sz w:val="24"/>
          <w:szCs w:val="24"/>
        </w:rPr>
      </w:pPr>
      <w:bookmarkStart w:id="20" w:name="_Toc9247"/>
      <w:bookmarkStart w:id="21" w:name="_Toc13530"/>
      <w:bookmarkStart w:id="22" w:name="_Toc24900"/>
      <w:bookmarkStart w:id="23" w:name="_Toc137705866"/>
      <w:bookmarkStart w:id="24" w:name="_Toc13953"/>
      <w:r>
        <w:rPr>
          <w:rFonts w:hint="eastAsia"/>
          <w:b w:val="0"/>
          <w:sz w:val="24"/>
          <w:szCs w:val="24"/>
        </w:rPr>
        <w:t>第一节  使用环境</w:t>
      </w:r>
      <w:bookmarkEnd w:id="20"/>
      <w:bookmarkEnd w:id="21"/>
      <w:bookmarkEnd w:id="22"/>
      <w:bookmarkEnd w:id="23"/>
      <w:bookmarkEnd w:id="24"/>
    </w:p>
    <w:p w14:paraId="2DB12E7E">
      <w:pPr>
        <w:spacing w:line="480" w:lineRule="exact"/>
        <w:ind w:firstLine="420" w:firstLineChars="200"/>
        <w:rPr>
          <w:rFonts w:hint="eastAsia" w:ascii="宋体" w:hAnsi="宋体" w:eastAsia="宋体" w:cs="Times New Roman"/>
          <w:u w:val="single"/>
          <w:shd w:val="pct10" w:color="auto" w:fill="FFFFFF"/>
        </w:rPr>
      </w:pPr>
      <w:r>
        <w:rPr>
          <w:rFonts w:hint="eastAsia" w:ascii="黑体" w:hAnsi="宋体" w:eastAsia="黑体"/>
        </w:rPr>
        <w:t>一、项目名称：</w:t>
      </w:r>
      <w:r>
        <w:rPr>
          <w:rFonts w:hint="eastAsia" w:ascii="宋体" w:hAnsi="宋体" w:eastAsia="宋体" w:cs="Times New Roman"/>
          <w:u w:val="single"/>
          <w:shd w:val="pct10" w:color="auto" w:fill="FFFFFF"/>
        </w:rPr>
        <w:t xml:space="preserve"> </w:t>
      </w:r>
      <w:r>
        <w:rPr>
          <w:rFonts w:hint="eastAsia" w:ascii="宋体" w:hAnsi="宋体" w:eastAsia="宋体" w:cs="Times New Roman"/>
          <w:u w:val="single"/>
          <w:shd w:val="pct10" w:color="auto" w:fill="FFFFFF"/>
          <w:lang w:val="en-US" w:eastAsia="zh-CN"/>
        </w:rPr>
        <w:t>特种车公司空压机设备更新</w:t>
      </w:r>
      <w:r>
        <w:rPr>
          <w:rFonts w:hint="eastAsia" w:ascii="宋体" w:hAnsi="宋体" w:eastAsia="宋体" w:cs="Times New Roman"/>
          <w:u w:val="single"/>
          <w:shd w:val="pct10" w:color="auto" w:fill="FFFFFF"/>
        </w:rPr>
        <w:t>项目</w:t>
      </w:r>
    </w:p>
    <w:p w14:paraId="7E0AED04">
      <w:pPr>
        <w:spacing w:line="480" w:lineRule="exact"/>
        <w:ind w:firstLine="420" w:firstLineChars="200"/>
        <w:rPr>
          <w:rFonts w:hint="eastAsia" w:ascii="宋体" w:hAnsi="宋体"/>
        </w:rPr>
      </w:pPr>
      <w:r>
        <w:rPr>
          <w:rFonts w:hint="eastAsia" w:ascii="黑体" w:hAnsi="宋体" w:eastAsia="黑体"/>
        </w:rPr>
        <w:t>二、建设地点：</w:t>
      </w:r>
      <w:r>
        <w:rPr>
          <w:rFonts w:hint="eastAsia" w:ascii="宋体" w:hAnsi="宋体"/>
          <w:u w:val="single"/>
          <w:shd w:val="pct10" w:color="auto" w:fill="FFFFFF"/>
        </w:rPr>
        <w:t xml:space="preserve"> 中国重</w:t>
      </w:r>
      <w:r>
        <w:rPr>
          <w:rFonts w:hint="eastAsia" w:ascii="宋体" w:hAnsi="宋体" w:eastAsia="宋体" w:cs="Times New Roman"/>
          <w:u w:val="single"/>
          <w:shd w:val="pct10" w:color="auto" w:fill="FFFFFF"/>
        </w:rPr>
        <w:t>汽集团济南</w:t>
      </w:r>
      <w:r>
        <w:rPr>
          <w:rFonts w:hint="eastAsia" w:ascii="宋体" w:hAnsi="宋体" w:eastAsia="宋体" w:cs="Times New Roman"/>
          <w:u w:val="single"/>
          <w:shd w:val="pct10" w:color="auto" w:fill="FFFFFF"/>
          <w:lang w:val="en-US" w:eastAsia="zh-CN"/>
        </w:rPr>
        <w:t>特种车</w:t>
      </w:r>
      <w:r>
        <w:rPr>
          <w:rFonts w:hint="eastAsia" w:ascii="宋体" w:hAnsi="宋体" w:eastAsia="宋体" w:cs="Times New Roman"/>
          <w:u w:val="single"/>
          <w:shd w:val="pct10" w:color="auto" w:fill="FFFFFF"/>
        </w:rPr>
        <w:t xml:space="preserve">有限公司  </w:t>
      </w:r>
      <w:r>
        <w:rPr>
          <w:rFonts w:hint="eastAsia" w:ascii="宋体" w:hAnsi="宋体"/>
          <w:u w:val="single"/>
          <w:shd w:val="pct10" w:color="auto" w:fill="FFFFFF"/>
        </w:rPr>
        <w:t xml:space="preserve">   </w:t>
      </w:r>
    </w:p>
    <w:p w14:paraId="1E83BFB3">
      <w:pPr>
        <w:spacing w:line="480" w:lineRule="exact"/>
        <w:ind w:firstLine="420" w:firstLineChars="200"/>
        <w:rPr>
          <w:rFonts w:hint="eastAsia" w:ascii="宋体" w:hAnsi="宋体"/>
          <w:u w:val="single"/>
          <w:shd w:val="pct10" w:color="auto" w:fill="FFFFFF"/>
        </w:rPr>
      </w:pPr>
      <w:r>
        <w:rPr>
          <w:rFonts w:hint="eastAsia" w:ascii="黑体" w:hAnsi="宋体" w:eastAsia="黑体"/>
        </w:rPr>
        <w:t>三、使用地点：</w:t>
      </w:r>
      <w:r>
        <w:rPr>
          <w:rFonts w:hint="eastAsia" w:ascii="宋体" w:hAnsi="宋体"/>
          <w:u w:val="single"/>
          <w:shd w:val="pct10" w:color="auto" w:fill="FFFFFF"/>
        </w:rPr>
        <w:t>济南特种车公司</w:t>
      </w:r>
    </w:p>
    <w:p w14:paraId="1ECA4752">
      <w:pPr>
        <w:spacing w:line="480" w:lineRule="exact"/>
        <w:ind w:firstLine="420" w:firstLineChars="200"/>
        <w:rPr>
          <w:rFonts w:hint="eastAsia" w:ascii="宋体" w:hAnsi="宋体"/>
        </w:rPr>
      </w:pPr>
      <w:r>
        <w:rPr>
          <w:rFonts w:hint="eastAsia" w:ascii="黑体" w:hAnsi="宋体" w:eastAsia="黑体"/>
        </w:rPr>
        <w:t>四、工作制度：</w:t>
      </w:r>
      <w:r>
        <w:rPr>
          <w:rFonts w:hint="eastAsia" w:ascii="宋体" w:hAnsi="宋体"/>
        </w:rPr>
        <w:t>全年工作</w:t>
      </w:r>
      <w:r>
        <w:rPr>
          <w:rFonts w:hint="eastAsia" w:ascii="宋体" w:hAnsi="宋体"/>
          <w:lang w:val="en-US" w:eastAsia="zh-CN"/>
        </w:rPr>
        <w:t>30</w:t>
      </w:r>
      <w:r>
        <w:rPr>
          <w:rFonts w:hint="eastAsia" w:ascii="宋体" w:hAnsi="宋体"/>
        </w:rPr>
        <w:t>0天、</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1</w:t>
      </w:r>
      <w:r>
        <w:rPr>
          <w:rFonts w:hint="eastAsia" w:ascii="宋体" w:hAnsi="宋体"/>
          <w:u w:val="single"/>
          <w:shd w:val="pct10" w:color="auto" w:fill="FFFFFF"/>
        </w:rPr>
        <w:t xml:space="preserve">  </w:t>
      </w:r>
      <w:r>
        <w:rPr>
          <w:rFonts w:hint="eastAsia" w:ascii="宋体" w:hAnsi="宋体"/>
        </w:rPr>
        <w:t>班制、设备年时基数</w:t>
      </w:r>
      <w:r>
        <w:rPr>
          <w:rFonts w:hint="eastAsia" w:ascii="宋体" w:hAnsi="宋体"/>
          <w:u w:val="single"/>
          <w:shd w:val="pct10" w:color="auto" w:fill="FFFFFF"/>
          <w:lang w:val="en-US" w:eastAsia="zh-CN"/>
        </w:rPr>
        <w:t>3</w:t>
      </w:r>
      <w:r>
        <w:rPr>
          <w:rFonts w:hint="eastAsia" w:ascii="宋体" w:hAnsi="宋体"/>
          <w:u w:val="single"/>
          <w:shd w:val="pct10" w:color="auto" w:fill="FFFFFF"/>
        </w:rPr>
        <w:t>000</w:t>
      </w:r>
      <w:r>
        <w:rPr>
          <w:rFonts w:hint="eastAsia" w:ascii="宋体" w:hAnsi="宋体"/>
        </w:rPr>
        <w:t>小时</w:t>
      </w:r>
    </w:p>
    <w:p w14:paraId="1309B2BB">
      <w:pPr>
        <w:spacing w:line="480" w:lineRule="exact"/>
        <w:ind w:firstLine="420" w:firstLineChars="200"/>
        <w:rPr>
          <w:rFonts w:hint="eastAsia" w:ascii="黑体" w:hAnsi="宋体" w:eastAsia="黑体"/>
        </w:rPr>
      </w:pPr>
      <w:r>
        <w:rPr>
          <w:rFonts w:hint="eastAsia" w:ascii="黑体" w:hAnsi="宋体" w:eastAsia="黑体"/>
        </w:rPr>
        <w:t>五、使用地点区域自然环境：</w:t>
      </w:r>
    </w:p>
    <w:p w14:paraId="078BE830">
      <w:pPr>
        <w:spacing w:line="480" w:lineRule="exact"/>
        <w:ind w:firstLine="420" w:firstLineChars="200"/>
        <w:rPr>
          <w:rFonts w:hint="eastAsia" w:ascii="宋体" w:hAnsi="宋体"/>
        </w:rPr>
      </w:pPr>
      <w:r>
        <w:rPr>
          <w:rFonts w:hint="eastAsia" w:ascii="宋体" w:hAnsi="宋体"/>
          <w:bCs/>
        </w:rPr>
        <w:t>1、海拨高度：1000</w:t>
      </w:r>
      <w:r>
        <w:rPr>
          <w:rFonts w:ascii="宋体" w:hAnsi="宋体"/>
          <w:bCs/>
        </w:rPr>
        <w:t>m</w:t>
      </w:r>
      <w:r>
        <w:rPr>
          <w:rFonts w:hint="eastAsia" w:ascii="宋体" w:hAnsi="宋体"/>
          <w:bCs/>
        </w:rPr>
        <w:t>以下</w:t>
      </w:r>
    </w:p>
    <w:p w14:paraId="69725CD4">
      <w:pPr>
        <w:spacing w:line="480" w:lineRule="exact"/>
        <w:ind w:firstLine="420" w:firstLineChars="200"/>
        <w:rPr>
          <w:rFonts w:hint="eastAsia" w:ascii="宋体" w:hAnsi="宋体" w:eastAsia="宋体" w:cs="Times New Roman"/>
          <w:bCs/>
        </w:rPr>
      </w:pPr>
      <w:r>
        <w:rPr>
          <w:rFonts w:hint="eastAsia" w:ascii="宋体" w:hAnsi="宋体"/>
        </w:rPr>
        <w:t>2、</w:t>
      </w:r>
      <w:r>
        <w:rPr>
          <w:rFonts w:hint="eastAsia" w:ascii="宋体" w:hAnsi="宋体" w:eastAsia="宋体" w:cs="Times New Roman"/>
          <w:bCs/>
        </w:rPr>
        <w:t>环境温度：室外极端最低温度-19.7℃、极端最高温度42℃，昼夜最大温差25℃；室内温度5～40℃。</w:t>
      </w:r>
    </w:p>
    <w:p w14:paraId="618A67AE">
      <w:pPr>
        <w:spacing w:line="480" w:lineRule="exact"/>
        <w:ind w:firstLine="420" w:firstLineChars="200"/>
        <w:rPr>
          <w:rFonts w:hint="eastAsia" w:ascii="宋体" w:hAnsi="宋体" w:eastAsia="宋体" w:cs="Times New Roman"/>
          <w:bCs/>
        </w:rPr>
      </w:pPr>
      <w:r>
        <w:rPr>
          <w:rFonts w:hint="eastAsia" w:ascii="宋体" w:hAnsi="宋体" w:eastAsia="宋体" w:cs="Times New Roman"/>
          <w:bCs/>
        </w:rPr>
        <w:t>3、相对湿度：年平均59%，最大95%、最小15%。</w:t>
      </w:r>
    </w:p>
    <w:p w14:paraId="68962A2C">
      <w:pPr>
        <w:spacing w:line="480" w:lineRule="exact"/>
        <w:ind w:firstLine="420" w:firstLineChars="200"/>
        <w:rPr>
          <w:rFonts w:hint="eastAsia" w:ascii="宋体" w:hAnsi="宋体" w:eastAsia="宋体" w:cs="Times New Roman"/>
          <w:bCs/>
        </w:rPr>
      </w:pPr>
      <w:r>
        <w:rPr>
          <w:rFonts w:hint="eastAsia" w:ascii="宋体" w:hAnsi="宋体" w:eastAsia="宋体" w:cs="Times New Roman"/>
          <w:bCs/>
        </w:rPr>
        <w:t>4、降雨量：日最大降雨量300mm、时最大降雨量100mm。</w:t>
      </w:r>
    </w:p>
    <w:p w14:paraId="3F5148B7">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5、最大风速：33.3m/s。</w:t>
      </w:r>
    </w:p>
    <w:p w14:paraId="766AE324">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6、最大积雪厚度：200mm。</w:t>
      </w:r>
    </w:p>
    <w:p w14:paraId="12A753AC">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7、最大冻土深度：450mm。</w:t>
      </w:r>
    </w:p>
    <w:p w14:paraId="6A8F9EF5">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8、地震设防裂度：七度。</w:t>
      </w:r>
    </w:p>
    <w:p w14:paraId="0D57585A">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六、能源环境：</w:t>
      </w:r>
    </w:p>
    <w:p w14:paraId="3977C6DF">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1、电力：中国制式，供电电压380V±15%/220V±15%，供电频率50Hz±2%。</w:t>
      </w:r>
    </w:p>
    <w:p w14:paraId="2AC63ACB">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2、压缩空气：自备空压机自产压缩空气，0.</w:t>
      </w:r>
      <w:r>
        <w:rPr>
          <w:rFonts w:hint="eastAsia" w:ascii="宋体" w:hAnsi="宋体" w:eastAsia="宋体" w:cs="Times New Roman"/>
          <w:lang w:val="en-US" w:eastAsia="zh-CN"/>
        </w:rPr>
        <w:t>5</w:t>
      </w:r>
      <w:r>
        <w:rPr>
          <w:rFonts w:hint="eastAsia" w:ascii="宋体" w:hAnsi="宋体" w:eastAsia="宋体" w:cs="Times New Roman"/>
        </w:rPr>
        <w:t>～0.</w:t>
      </w:r>
      <w:r>
        <w:rPr>
          <w:rFonts w:hint="eastAsia" w:ascii="宋体" w:hAnsi="宋体" w:eastAsia="宋体" w:cs="Times New Roman"/>
          <w:lang w:val="en-US" w:eastAsia="zh-CN"/>
        </w:rPr>
        <w:t>8</w:t>
      </w:r>
      <w:r>
        <w:rPr>
          <w:rFonts w:hint="eastAsia" w:ascii="宋体" w:hAnsi="宋体" w:eastAsia="宋体" w:cs="Times New Roman"/>
        </w:rPr>
        <w:t>MPa。</w:t>
      </w:r>
    </w:p>
    <w:p w14:paraId="2C1A786C">
      <w:pPr>
        <w:spacing w:line="480" w:lineRule="exact"/>
        <w:ind w:left="2047" w:leftChars="200" w:hanging="1627" w:hangingChars="775"/>
        <w:rPr>
          <w:rFonts w:hint="eastAsia" w:ascii="宋体" w:hAnsi="宋体" w:eastAsia="宋体" w:cs="Times New Roman"/>
          <w:lang w:eastAsia="zh-CN"/>
        </w:rPr>
      </w:pPr>
      <w:r>
        <w:rPr>
          <w:rFonts w:hint="eastAsia" w:ascii="宋体" w:hAnsi="宋体" w:eastAsia="宋体" w:cs="Times New Roman"/>
        </w:rPr>
        <w:t>3、给水：</w:t>
      </w:r>
      <w:r>
        <w:rPr>
          <w:rFonts w:hint="eastAsia" w:ascii="宋体" w:hAnsi="宋体" w:eastAsia="宋体" w:cs="Times New Roman"/>
          <w:lang w:val="en-US" w:eastAsia="zh-CN"/>
        </w:rPr>
        <w:t>自备水井</w:t>
      </w:r>
      <w:r>
        <w:rPr>
          <w:rFonts w:hint="eastAsia" w:ascii="宋体" w:hAnsi="宋体" w:eastAsia="宋体" w:cs="Times New Roman"/>
        </w:rPr>
        <w:t>，0.2-0.4MPa</w:t>
      </w:r>
      <w:r>
        <w:rPr>
          <w:rFonts w:hint="eastAsia" w:ascii="宋体" w:hAnsi="宋体" w:eastAsia="宋体" w:cs="Times New Roman"/>
          <w:lang w:eastAsia="zh-CN"/>
        </w:rPr>
        <w:t>。</w:t>
      </w:r>
    </w:p>
    <w:p w14:paraId="5C1BAEF6">
      <w:pPr>
        <w:spacing w:line="480" w:lineRule="exact"/>
        <w:ind w:left="2047" w:leftChars="200" w:hanging="1627" w:hangingChars="775"/>
        <w:rPr>
          <w:rFonts w:hint="eastAsia" w:ascii="宋体" w:hAnsi="宋体" w:eastAsia="宋体" w:cs="Times New Roman"/>
        </w:rPr>
      </w:pPr>
      <w:r>
        <w:rPr>
          <w:rFonts w:hint="eastAsia" w:ascii="宋体" w:hAnsi="宋体" w:eastAsia="宋体" w:cs="Times New Roman"/>
        </w:rPr>
        <w:t>4、工位照度：不低于500Lx。</w:t>
      </w:r>
    </w:p>
    <w:p w14:paraId="5AEB26F7">
      <w:pPr>
        <w:spacing w:line="480" w:lineRule="exact"/>
        <w:ind w:firstLine="420" w:firstLineChars="200"/>
        <w:rPr>
          <w:rFonts w:hint="eastAsia" w:ascii="宋体" w:hAnsi="宋体"/>
        </w:rPr>
      </w:pPr>
    </w:p>
    <w:p w14:paraId="5493E809">
      <w:pPr>
        <w:spacing w:line="480" w:lineRule="exact"/>
        <w:ind w:firstLine="420" w:firstLineChars="200"/>
        <w:rPr>
          <w:rFonts w:hint="eastAsia" w:ascii="宋体" w:hAnsi="宋体"/>
        </w:rPr>
      </w:pPr>
    </w:p>
    <w:p w14:paraId="488DC6D5">
      <w:pPr>
        <w:spacing w:line="480" w:lineRule="exact"/>
        <w:ind w:firstLine="420" w:firstLineChars="200"/>
        <w:rPr>
          <w:rFonts w:hint="eastAsia" w:ascii="宋体" w:hAnsi="宋体"/>
        </w:rPr>
      </w:pPr>
    </w:p>
    <w:p w14:paraId="4AA18B7D">
      <w:pPr>
        <w:spacing w:line="480" w:lineRule="exact"/>
        <w:rPr>
          <w:rFonts w:hint="eastAsia" w:ascii="宋体" w:hAnsi="宋体"/>
        </w:rPr>
      </w:pPr>
    </w:p>
    <w:p w14:paraId="30E4F0B7">
      <w:pPr>
        <w:pStyle w:val="5"/>
        <w:spacing w:before="120" w:after="120" w:line="480" w:lineRule="exact"/>
        <w:jc w:val="center"/>
        <w:rPr>
          <w:rFonts w:hint="eastAsia"/>
          <w:b w:val="0"/>
          <w:sz w:val="24"/>
          <w:szCs w:val="24"/>
        </w:rPr>
      </w:pPr>
      <w:bookmarkStart w:id="25" w:name="_Toc13018"/>
      <w:bookmarkStart w:id="26" w:name="_Toc27088"/>
      <w:bookmarkStart w:id="27" w:name="_Toc137705867"/>
      <w:bookmarkStart w:id="28" w:name="_Toc19068"/>
      <w:bookmarkStart w:id="29" w:name="_Toc9838"/>
      <w:r>
        <w:rPr>
          <w:rFonts w:hint="eastAsia"/>
          <w:b w:val="0"/>
          <w:sz w:val="24"/>
          <w:szCs w:val="24"/>
        </w:rPr>
        <w:t>第二节  采购货物概况</w:t>
      </w:r>
      <w:bookmarkEnd w:id="25"/>
      <w:bookmarkEnd w:id="26"/>
      <w:bookmarkEnd w:id="27"/>
      <w:bookmarkEnd w:id="28"/>
      <w:bookmarkEnd w:id="29"/>
    </w:p>
    <w:p w14:paraId="3CCE35EC">
      <w:pPr>
        <w:spacing w:line="480" w:lineRule="exact"/>
        <w:ind w:firstLine="420" w:firstLineChars="200"/>
        <w:jc w:val="left"/>
        <w:rPr>
          <w:rFonts w:hint="eastAsia" w:ascii="宋体" w:hAnsi="宋体"/>
        </w:rPr>
      </w:pPr>
      <w:r>
        <w:rPr>
          <w:rFonts w:hint="eastAsia" w:ascii="黑体" w:hAnsi="宋体" w:eastAsia="黑体"/>
        </w:rPr>
        <w:t>一、设备名称：</w:t>
      </w:r>
      <w:r>
        <w:rPr>
          <w:rFonts w:hint="eastAsia" w:ascii="宋体" w:hAnsi="宋体" w:eastAsia="宋体" w:cs="Times New Roman"/>
          <w:u w:val="single"/>
          <w:shd w:val="pct10" w:color="auto" w:fill="FFFFFF"/>
          <w:lang w:val="en-US" w:eastAsia="zh-CN"/>
        </w:rPr>
        <w:t>空气压缩机</w:t>
      </w:r>
      <w:r>
        <w:rPr>
          <w:rFonts w:hint="eastAsia" w:ascii="宋体" w:hAnsi="宋体"/>
        </w:rPr>
        <w:t>（详见下表）</w:t>
      </w:r>
    </w:p>
    <w:p w14:paraId="36AB8A31">
      <w:pPr>
        <w:spacing w:line="480" w:lineRule="exact"/>
        <w:ind w:firstLine="420" w:firstLineChars="200"/>
        <w:rPr>
          <w:rFonts w:hint="eastAsia" w:ascii="宋体" w:hAnsi="宋体"/>
        </w:rPr>
      </w:pPr>
      <w:r>
        <w:rPr>
          <w:rFonts w:hint="eastAsia" w:ascii="黑体" w:hAnsi="宋体" w:eastAsia="黑体"/>
        </w:rPr>
        <w:t>二、设备数量：</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1</w:t>
      </w:r>
      <w:r>
        <w:rPr>
          <w:rFonts w:hint="eastAsia" w:ascii="宋体" w:hAnsi="宋体"/>
          <w:u w:val="single"/>
          <w:shd w:val="pct10" w:color="auto" w:fill="FFFFFF"/>
        </w:rPr>
        <w:t xml:space="preserve">套 </w:t>
      </w:r>
      <w:r>
        <w:rPr>
          <w:rFonts w:hint="eastAsia" w:ascii="宋体" w:hAnsi="宋体"/>
        </w:rPr>
        <w:t>（详见下表）</w:t>
      </w:r>
    </w:p>
    <w:p w14:paraId="550C2ED5">
      <w:pPr>
        <w:spacing w:line="560" w:lineRule="exact"/>
        <w:ind w:firstLine="420" w:firstLineChars="200"/>
        <w:rPr>
          <w:rFonts w:hint="eastAsia"/>
        </w:rPr>
      </w:pPr>
      <w:r>
        <w:rPr>
          <w:rFonts w:hint="eastAsia" w:ascii="黑体" w:hAnsi="宋体" w:eastAsia="黑体"/>
        </w:rPr>
        <w:t>三、分投分中：</w:t>
      </w:r>
      <w:r>
        <w:rPr>
          <w:rFonts w:hint="eastAsia" w:ascii="宋体" w:hAnsi="宋体"/>
        </w:rPr>
        <w:t>不允许。</w:t>
      </w:r>
    </w:p>
    <w:p w14:paraId="31E6011F">
      <w:pPr>
        <w:widowControl/>
        <w:jc w:val="center"/>
        <w:rPr>
          <w:rFonts w:hint="eastAsia" w:ascii="宋体" w:hAnsi="宋体"/>
        </w:rPr>
      </w:pPr>
      <w:r>
        <w:rPr>
          <w:rFonts w:hint="eastAsia" w:ascii="宋体" w:hAnsi="宋体"/>
        </w:rPr>
        <w:t>采购货物主要构成一览表</w:t>
      </w:r>
    </w:p>
    <w:p w14:paraId="63719265">
      <w:pPr>
        <w:widowControl/>
        <w:numPr>
          <w:ilvl w:val="0"/>
          <w:numId w:val="0"/>
        </w:numPr>
        <w:rPr>
          <w:rFonts w:hint="eastAsia" w:ascii="宋体" w:hAnsi="宋体"/>
        </w:rPr>
      </w:pPr>
      <w:r>
        <w:rPr>
          <w:rFonts w:hint="eastAsia" w:ascii="宋体" w:hAnsi="宋体"/>
          <w:lang w:val="en-US" w:eastAsia="zh-CN"/>
        </w:rPr>
        <w:t>1、</w:t>
      </w:r>
      <w:r>
        <w:rPr>
          <w:rFonts w:hint="eastAsia" w:ascii="宋体" w:hAnsi="宋体"/>
        </w:rPr>
        <w:t>济南特种车公司</w:t>
      </w: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
        <w:gridCol w:w="1792"/>
        <w:gridCol w:w="2681"/>
        <w:gridCol w:w="724"/>
        <w:gridCol w:w="843"/>
        <w:gridCol w:w="1187"/>
        <w:gridCol w:w="1187"/>
      </w:tblGrid>
      <w:tr w14:paraId="4BB5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25" w:type="pct"/>
            <w:noWrap w:val="0"/>
            <w:vAlign w:val="center"/>
          </w:tcPr>
          <w:p w14:paraId="416479E2">
            <w:pPr>
              <w:overflowPunct w:val="0"/>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995" w:type="pct"/>
            <w:noWrap w:val="0"/>
            <w:vAlign w:val="center"/>
          </w:tcPr>
          <w:p w14:paraId="41A37657">
            <w:pPr>
              <w:overflowPunct w:val="0"/>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设备名称</w:t>
            </w:r>
          </w:p>
        </w:tc>
        <w:tc>
          <w:tcPr>
            <w:tcW w:w="1489" w:type="pct"/>
            <w:noWrap w:val="0"/>
            <w:vAlign w:val="center"/>
          </w:tcPr>
          <w:p w14:paraId="4C11AAD7">
            <w:pPr>
              <w:overflowPunct w:val="0"/>
              <w:jc w:val="center"/>
              <w:rPr>
                <w:rFonts w:hint="eastAsia" w:ascii="宋体" w:hAnsi="宋体" w:eastAsia="宋体" w:cs="宋体"/>
                <w:b/>
                <w:sz w:val="21"/>
                <w:szCs w:val="21"/>
              </w:rPr>
            </w:pPr>
            <w:r>
              <w:rPr>
                <w:rFonts w:hint="eastAsia" w:ascii="宋体" w:hAnsi="宋体" w:eastAsia="宋体" w:cs="宋体"/>
                <w:b/>
                <w:sz w:val="21"/>
                <w:szCs w:val="21"/>
                <w:lang w:val="en-US" w:eastAsia="zh-CN"/>
              </w:rPr>
              <w:t>主要部件</w:t>
            </w:r>
            <w:r>
              <w:rPr>
                <w:rFonts w:hint="eastAsia" w:ascii="宋体" w:hAnsi="宋体" w:eastAsia="宋体" w:cs="宋体"/>
                <w:b/>
                <w:sz w:val="21"/>
                <w:szCs w:val="21"/>
              </w:rPr>
              <w:t>名称</w:t>
            </w:r>
          </w:p>
        </w:tc>
        <w:tc>
          <w:tcPr>
            <w:tcW w:w="402" w:type="pct"/>
            <w:noWrap w:val="0"/>
            <w:vAlign w:val="center"/>
          </w:tcPr>
          <w:p w14:paraId="693DCCB4">
            <w:pPr>
              <w:overflowPunct w:val="0"/>
              <w:jc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468" w:type="pct"/>
            <w:noWrap w:val="0"/>
            <w:vAlign w:val="center"/>
          </w:tcPr>
          <w:p w14:paraId="78DCCCBB">
            <w:pPr>
              <w:overflowPunct w:val="0"/>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59" w:type="pct"/>
            <w:noWrap w:val="0"/>
            <w:vAlign w:val="center"/>
          </w:tcPr>
          <w:p w14:paraId="572F3F3B">
            <w:pPr>
              <w:overflowPunct w:val="0"/>
              <w:jc w:val="center"/>
              <w:rPr>
                <w:rFonts w:hint="eastAsia" w:ascii="宋体" w:hAnsi="宋体" w:eastAsia="宋体" w:cs="宋体"/>
                <w:b/>
                <w:sz w:val="21"/>
                <w:szCs w:val="21"/>
              </w:rPr>
            </w:pPr>
            <w:r>
              <w:rPr>
                <w:rFonts w:hint="eastAsia" w:ascii="宋体" w:hAnsi="宋体" w:eastAsia="宋体" w:cs="宋体"/>
                <w:b/>
                <w:sz w:val="21"/>
                <w:szCs w:val="21"/>
              </w:rPr>
              <w:t>供货方式</w:t>
            </w:r>
          </w:p>
        </w:tc>
        <w:tc>
          <w:tcPr>
            <w:tcW w:w="659" w:type="pct"/>
            <w:noWrap w:val="0"/>
            <w:vAlign w:val="center"/>
          </w:tcPr>
          <w:p w14:paraId="5C0DC3FB">
            <w:pPr>
              <w:overflowPunct w:val="0"/>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安装地点</w:t>
            </w:r>
          </w:p>
        </w:tc>
      </w:tr>
      <w:tr w14:paraId="0C8BD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325" w:type="pct"/>
            <w:vMerge w:val="restart"/>
            <w:noWrap w:val="0"/>
            <w:vAlign w:val="center"/>
          </w:tcPr>
          <w:p w14:paraId="79FB6E33">
            <w:pPr>
              <w:overflowPunct w:val="0"/>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995" w:type="pct"/>
            <w:vMerge w:val="restart"/>
            <w:noWrap w:val="0"/>
            <w:vAlign w:val="center"/>
          </w:tcPr>
          <w:p w14:paraId="5DB396C6">
            <w:pPr>
              <w:overflowPunct w:val="0"/>
              <w:jc w:val="center"/>
              <w:rPr>
                <w:rFonts w:hint="eastAsia" w:ascii="宋体" w:hAnsi="宋体" w:eastAsia="宋体" w:cs="宋体"/>
                <w:bCs/>
                <w:sz w:val="21"/>
                <w:szCs w:val="21"/>
                <w:lang w:val="en-US" w:eastAsia="zh-CN"/>
              </w:rPr>
            </w:pPr>
            <w:r>
              <w:rPr>
                <w:rFonts w:hint="eastAsia" w:ascii="宋体" w:hAnsi="宋体" w:eastAsia="宋体" w:cs="宋体"/>
                <w:sz w:val="21"/>
                <w:szCs w:val="21"/>
                <w:vertAlign w:val="baseline"/>
                <w:lang w:val="en-US" w:eastAsia="zh-CN"/>
              </w:rPr>
              <w:t>永磁变频空气压缩机</w:t>
            </w:r>
          </w:p>
        </w:tc>
        <w:tc>
          <w:tcPr>
            <w:tcW w:w="1489" w:type="pct"/>
            <w:noWrap w:val="0"/>
            <w:vAlign w:val="center"/>
          </w:tcPr>
          <w:p w14:paraId="1218B767">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永磁变频空气压缩机</w:t>
            </w:r>
          </w:p>
        </w:tc>
        <w:tc>
          <w:tcPr>
            <w:tcW w:w="402" w:type="pct"/>
            <w:noWrap w:val="0"/>
            <w:vAlign w:val="center"/>
          </w:tcPr>
          <w:p w14:paraId="4C5DC05A">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1</w:t>
            </w:r>
          </w:p>
        </w:tc>
        <w:tc>
          <w:tcPr>
            <w:tcW w:w="468" w:type="pct"/>
            <w:noWrap w:val="0"/>
            <w:vAlign w:val="center"/>
          </w:tcPr>
          <w:p w14:paraId="57B07775">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台</w:t>
            </w:r>
          </w:p>
        </w:tc>
        <w:tc>
          <w:tcPr>
            <w:tcW w:w="659" w:type="pct"/>
            <w:vMerge w:val="restart"/>
            <w:noWrap w:val="0"/>
            <w:vAlign w:val="center"/>
          </w:tcPr>
          <w:p w14:paraId="7F427E98">
            <w:pPr>
              <w:overflowPunct w:val="0"/>
              <w:jc w:val="center"/>
              <w:rPr>
                <w:rFonts w:hint="eastAsia" w:ascii="宋体" w:hAnsi="宋体" w:eastAsia="宋体" w:cs="宋体"/>
                <w:bCs/>
                <w:sz w:val="21"/>
                <w:szCs w:val="21"/>
              </w:rPr>
            </w:pPr>
            <w:r>
              <w:rPr>
                <w:rFonts w:hint="eastAsia" w:ascii="宋体" w:hAnsi="宋体" w:eastAsia="宋体" w:cs="宋体"/>
                <w:bCs/>
                <w:sz w:val="21"/>
                <w:szCs w:val="21"/>
              </w:rPr>
              <w:t>交钥匙</w:t>
            </w:r>
          </w:p>
        </w:tc>
        <w:tc>
          <w:tcPr>
            <w:tcW w:w="659" w:type="pct"/>
            <w:vMerge w:val="restart"/>
            <w:noWrap w:val="0"/>
            <w:vAlign w:val="center"/>
          </w:tcPr>
          <w:p w14:paraId="2FAFD4DA">
            <w:pPr>
              <w:overflowPunct w:val="0"/>
              <w:jc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特种车公司空压机站房</w:t>
            </w:r>
          </w:p>
        </w:tc>
      </w:tr>
      <w:tr w14:paraId="0940A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353374CB">
            <w:pPr>
              <w:overflowPunct w:val="0"/>
              <w:jc w:val="center"/>
              <w:rPr>
                <w:rFonts w:hint="eastAsia" w:ascii="宋体" w:hAnsi="宋体" w:eastAsia="宋体" w:cs="宋体"/>
                <w:bCs/>
                <w:sz w:val="21"/>
                <w:szCs w:val="21"/>
              </w:rPr>
            </w:pPr>
          </w:p>
        </w:tc>
        <w:tc>
          <w:tcPr>
            <w:tcW w:w="995" w:type="pct"/>
            <w:vMerge w:val="continue"/>
            <w:noWrap w:val="0"/>
            <w:vAlign w:val="center"/>
          </w:tcPr>
          <w:p w14:paraId="077A7B78">
            <w:pPr>
              <w:overflowPunct w:val="0"/>
              <w:jc w:val="center"/>
              <w:rPr>
                <w:rFonts w:hint="eastAsia" w:ascii="宋体" w:hAnsi="宋体" w:eastAsia="宋体" w:cs="宋体"/>
                <w:bCs/>
                <w:sz w:val="21"/>
                <w:szCs w:val="21"/>
              </w:rPr>
            </w:pPr>
          </w:p>
        </w:tc>
        <w:tc>
          <w:tcPr>
            <w:tcW w:w="1489" w:type="pct"/>
            <w:noWrap w:val="0"/>
            <w:vAlign w:val="center"/>
          </w:tcPr>
          <w:p w14:paraId="1C47679B">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冷冻式干燥机</w:t>
            </w:r>
          </w:p>
        </w:tc>
        <w:tc>
          <w:tcPr>
            <w:tcW w:w="402" w:type="pct"/>
            <w:noWrap w:val="0"/>
            <w:vAlign w:val="center"/>
          </w:tcPr>
          <w:p w14:paraId="51B72447">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29134B2A">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台</w:t>
            </w:r>
          </w:p>
        </w:tc>
        <w:tc>
          <w:tcPr>
            <w:tcW w:w="659" w:type="pct"/>
            <w:vMerge w:val="continue"/>
            <w:noWrap w:val="0"/>
            <w:vAlign w:val="center"/>
          </w:tcPr>
          <w:p w14:paraId="1E947914">
            <w:pPr>
              <w:overflowPunct w:val="0"/>
              <w:jc w:val="center"/>
              <w:rPr>
                <w:rFonts w:hint="eastAsia" w:ascii="宋体" w:hAnsi="宋体" w:eastAsia="宋体" w:cs="宋体"/>
                <w:bCs/>
                <w:sz w:val="21"/>
                <w:szCs w:val="21"/>
              </w:rPr>
            </w:pPr>
          </w:p>
        </w:tc>
        <w:tc>
          <w:tcPr>
            <w:tcW w:w="659" w:type="pct"/>
            <w:vMerge w:val="continue"/>
            <w:noWrap w:val="0"/>
            <w:vAlign w:val="center"/>
          </w:tcPr>
          <w:p w14:paraId="4E926731">
            <w:pPr>
              <w:overflowPunct w:val="0"/>
              <w:jc w:val="center"/>
              <w:rPr>
                <w:rFonts w:hint="eastAsia" w:ascii="宋体" w:hAnsi="宋体" w:eastAsia="宋体" w:cs="宋体"/>
                <w:bCs/>
                <w:sz w:val="21"/>
                <w:szCs w:val="21"/>
              </w:rPr>
            </w:pPr>
          </w:p>
        </w:tc>
      </w:tr>
      <w:tr w14:paraId="361C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3E365A72">
            <w:pPr>
              <w:overflowPunct w:val="0"/>
              <w:jc w:val="center"/>
              <w:rPr>
                <w:rFonts w:hint="eastAsia" w:ascii="宋体" w:hAnsi="宋体" w:eastAsia="宋体" w:cs="宋体"/>
                <w:bCs/>
                <w:sz w:val="21"/>
                <w:szCs w:val="21"/>
              </w:rPr>
            </w:pPr>
          </w:p>
        </w:tc>
        <w:tc>
          <w:tcPr>
            <w:tcW w:w="995" w:type="pct"/>
            <w:vMerge w:val="continue"/>
            <w:noWrap w:val="0"/>
            <w:vAlign w:val="center"/>
          </w:tcPr>
          <w:p w14:paraId="22FB9679">
            <w:pPr>
              <w:overflowPunct w:val="0"/>
              <w:jc w:val="center"/>
              <w:rPr>
                <w:rFonts w:hint="eastAsia" w:ascii="宋体" w:hAnsi="宋体" w:eastAsia="宋体" w:cs="宋体"/>
                <w:bCs/>
                <w:sz w:val="21"/>
                <w:szCs w:val="21"/>
              </w:rPr>
            </w:pPr>
          </w:p>
        </w:tc>
        <w:tc>
          <w:tcPr>
            <w:tcW w:w="1489" w:type="pct"/>
            <w:noWrap w:val="0"/>
            <w:vAlign w:val="center"/>
          </w:tcPr>
          <w:p w14:paraId="6B6C35E1">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除水过滤器</w:t>
            </w:r>
          </w:p>
        </w:tc>
        <w:tc>
          <w:tcPr>
            <w:tcW w:w="402" w:type="pct"/>
            <w:noWrap w:val="0"/>
            <w:vAlign w:val="center"/>
          </w:tcPr>
          <w:p w14:paraId="117E6043">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8" w:type="pct"/>
            <w:noWrap w:val="0"/>
            <w:vAlign w:val="center"/>
          </w:tcPr>
          <w:p w14:paraId="56D039B2">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台</w:t>
            </w:r>
          </w:p>
        </w:tc>
        <w:tc>
          <w:tcPr>
            <w:tcW w:w="659" w:type="pct"/>
            <w:vMerge w:val="continue"/>
            <w:noWrap w:val="0"/>
            <w:vAlign w:val="center"/>
          </w:tcPr>
          <w:p w14:paraId="366128F1">
            <w:pPr>
              <w:overflowPunct w:val="0"/>
              <w:jc w:val="center"/>
              <w:rPr>
                <w:rFonts w:hint="eastAsia" w:ascii="宋体" w:hAnsi="宋体" w:eastAsia="宋体" w:cs="宋体"/>
                <w:bCs/>
                <w:sz w:val="21"/>
                <w:szCs w:val="21"/>
              </w:rPr>
            </w:pPr>
          </w:p>
        </w:tc>
        <w:tc>
          <w:tcPr>
            <w:tcW w:w="659" w:type="pct"/>
            <w:vMerge w:val="continue"/>
            <w:noWrap w:val="0"/>
            <w:vAlign w:val="center"/>
          </w:tcPr>
          <w:p w14:paraId="0307A443">
            <w:pPr>
              <w:overflowPunct w:val="0"/>
              <w:jc w:val="center"/>
              <w:rPr>
                <w:rFonts w:hint="eastAsia" w:ascii="宋体" w:hAnsi="宋体" w:eastAsia="宋体" w:cs="宋体"/>
                <w:bCs/>
                <w:sz w:val="21"/>
                <w:szCs w:val="21"/>
              </w:rPr>
            </w:pPr>
          </w:p>
        </w:tc>
      </w:tr>
      <w:tr w14:paraId="531B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0FB3BCA4">
            <w:pPr>
              <w:overflowPunct w:val="0"/>
              <w:jc w:val="center"/>
              <w:rPr>
                <w:rFonts w:hint="eastAsia" w:ascii="宋体" w:hAnsi="宋体" w:eastAsia="宋体" w:cs="宋体"/>
                <w:bCs/>
                <w:sz w:val="21"/>
                <w:szCs w:val="21"/>
              </w:rPr>
            </w:pPr>
          </w:p>
        </w:tc>
        <w:tc>
          <w:tcPr>
            <w:tcW w:w="995" w:type="pct"/>
            <w:vMerge w:val="continue"/>
            <w:noWrap w:val="0"/>
            <w:vAlign w:val="center"/>
          </w:tcPr>
          <w:p w14:paraId="3FD6E9E2">
            <w:pPr>
              <w:overflowPunct w:val="0"/>
              <w:jc w:val="center"/>
              <w:rPr>
                <w:rFonts w:hint="eastAsia" w:ascii="宋体" w:hAnsi="宋体" w:eastAsia="宋体" w:cs="宋体"/>
                <w:bCs/>
                <w:sz w:val="21"/>
                <w:szCs w:val="21"/>
              </w:rPr>
            </w:pPr>
          </w:p>
        </w:tc>
        <w:tc>
          <w:tcPr>
            <w:tcW w:w="1489" w:type="pct"/>
            <w:noWrap w:val="0"/>
            <w:vAlign w:val="center"/>
          </w:tcPr>
          <w:p w14:paraId="40834B08">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除尘过滤器</w:t>
            </w:r>
          </w:p>
        </w:tc>
        <w:tc>
          <w:tcPr>
            <w:tcW w:w="402" w:type="pct"/>
            <w:noWrap w:val="0"/>
            <w:vAlign w:val="center"/>
          </w:tcPr>
          <w:p w14:paraId="670A7F93">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8" w:type="pct"/>
            <w:noWrap w:val="0"/>
            <w:vAlign w:val="center"/>
          </w:tcPr>
          <w:p w14:paraId="45970076">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台</w:t>
            </w:r>
          </w:p>
        </w:tc>
        <w:tc>
          <w:tcPr>
            <w:tcW w:w="659" w:type="pct"/>
            <w:vMerge w:val="continue"/>
            <w:noWrap w:val="0"/>
            <w:vAlign w:val="center"/>
          </w:tcPr>
          <w:p w14:paraId="1E6C81FF">
            <w:pPr>
              <w:overflowPunct w:val="0"/>
              <w:jc w:val="center"/>
              <w:rPr>
                <w:rFonts w:hint="eastAsia" w:ascii="宋体" w:hAnsi="宋体" w:eastAsia="宋体" w:cs="宋体"/>
                <w:bCs/>
                <w:sz w:val="21"/>
                <w:szCs w:val="21"/>
              </w:rPr>
            </w:pPr>
          </w:p>
        </w:tc>
        <w:tc>
          <w:tcPr>
            <w:tcW w:w="659" w:type="pct"/>
            <w:vMerge w:val="continue"/>
            <w:noWrap w:val="0"/>
            <w:vAlign w:val="center"/>
          </w:tcPr>
          <w:p w14:paraId="2DA35746">
            <w:pPr>
              <w:overflowPunct w:val="0"/>
              <w:jc w:val="center"/>
              <w:rPr>
                <w:rFonts w:hint="eastAsia" w:ascii="宋体" w:hAnsi="宋体" w:eastAsia="宋体" w:cs="宋体"/>
                <w:bCs/>
                <w:sz w:val="21"/>
                <w:szCs w:val="21"/>
              </w:rPr>
            </w:pPr>
          </w:p>
        </w:tc>
      </w:tr>
      <w:tr w14:paraId="2264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2CF4AF17">
            <w:pPr>
              <w:overflowPunct w:val="0"/>
              <w:jc w:val="center"/>
              <w:rPr>
                <w:rFonts w:hint="eastAsia" w:ascii="宋体" w:hAnsi="宋体" w:eastAsia="宋体" w:cs="宋体"/>
                <w:bCs/>
                <w:sz w:val="21"/>
                <w:szCs w:val="21"/>
              </w:rPr>
            </w:pPr>
          </w:p>
        </w:tc>
        <w:tc>
          <w:tcPr>
            <w:tcW w:w="995" w:type="pct"/>
            <w:vMerge w:val="continue"/>
            <w:noWrap w:val="0"/>
            <w:vAlign w:val="center"/>
          </w:tcPr>
          <w:p w14:paraId="36D00C27">
            <w:pPr>
              <w:overflowPunct w:val="0"/>
              <w:jc w:val="center"/>
              <w:rPr>
                <w:rFonts w:hint="eastAsia" w:ascii="宋体" w:hAnsi="宋体" w:eastAsia="宋体" w:cs="宋体"/>
                <w:bCs/>
                <w:sz w:val="21"/>
                <w:szCs w:val="21"/>
              </w:rPr>
            </w:pPr>
          </w:p>
        </w:tc>
        <w:tc>
          <w:tcPr>
            <w:tcW w:w="1489" w:type="pct"/>
            <w:noWrap w:val="0"/>
            <w:vAlign w:val="center"/>
          </w:tcPr>
          <w:p w14:paraId="6360C35E">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除油过滤器</w:t>
            </w:r>
          </w:p>
        </w:tc>
        <w:tc>
          <w:tcPr>
            <w:tcW w:w="402" w:type="pct"/>
            <w:noWrap w:val="0"/>
            <w:vAlign w:val="center"/>
          </w:tcPr>
          <w:p w14:paraId="7704CC67">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8" w:type="pct"/>
            <w:noWrap w:val="0"/>
            <w:vAlign w:val="center"/>
          </w:tcPr>
          <w:p w14:paraId="3C981CEE">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台</w:t>
            </w:r>
          </w:p>
        </w:tc>
        <w:tc>
          <w:tcPr>
            <w:tcW w:w="659" w:type="pct"/>
            <w:vMerge w:val="continue"/>
            <w:noWrap w:val="0"/>
            <w:vAlign w:val="center"/>
          </w:tcPr>
          <w:p w14:paraId="1513E317">
            <w:pPr>
              <w:overflowPunct w:val="0"/>
              <w:jc w:val="center"/>
              <w:rPr>
                <w:rFonts w:hint="eastAsia" w:ascii="宋体" w:hAnsi="宋体" w:eastAsia="宋体" w:cs="宋体"/>
                <w:bCs/>
                <w:sz w:val="21"/>
                <w:szCs w:val="21"/>
              </w:rPr>
            </w:pPr>
          </w:p>
        </w:tc>
        <w:tc>
          <w:tcPr>
            <w:tcW w:w="659" w:type="pct"/>
            <w:vMerge w:val="continue"/>
            <w:noWrap w:val="0"/>
            <w:vAlign w:val="center"/>
          </w:tcPr>
          <w:p w14:paraId="488327B2">
            <w:pPr>
              <w:overflowPunct w:val="0"/>
              <w:jc w:val="center"/>
              <w:rPr>
                <w:rFonts w:hint="eastAsia" w:ascii="宋体" w:hAnsi="宋体" w:eastAsia="宋体" w:cs="宋体"/>
                <w:bCs/>
                <w:sz w:val="21"/>
                <w:szCs w:val="21"/>
              </w:rPr>
            </w:pPr>
          </w:p>
        </w:tc>
      </w:tr>
      <w:tr w14:paraId="068D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25" w:type="pct"/>
            <w:vMerge w:val="continue"/>
            <w:noWrap w:val="0"/>
            <w:vAlign w:val="center"/>
          </w:tcPr>
          <w:p w14:paraId="4FAE1ACA">
            <w:pPr>
              <w:overflowPunct w:val="0"/>
              <w:jc w:val="center"/>
              <w:rPr>
                <w:rFonts w:hint="eastAsia" w:ascii="宋体" w:hAnsi="宋体" w:eastAsia="宋体" w:cs="宋体"/>
                <w:bCs/>
                <w:sz w:val="21"/>
                <w:szCs w:val="21"/>
              </w:rPr>
            </w:pPr>
          </w:p>
        </w:tc>
        <w:tc>
          <w:tcPr>
            <w:tcW w:w="995" w:type="pct"/>
            <w:vMerge w:val="continue"/>
            <w:noWrap w:val="0"/>
            <w:vAlign w:val="center"/>
          </w:tcPr>
          <w:p w14:paraId="6797B282">
            <w:pPr>
              <w:overflowPunct w:val="0"/>
              <w:jc w:val="center"/>
              <w:rPr>
                <w:rFonts w:hint="eastAsia" w:ascii="宋体" w:hAnsi="宋体" w:eastAsia="宋体" w:cs="宋体"/>
                <w:bCs/>
                <w:sz w:val="21"/>
                <w:szCs w:val="21"/>
              </w:rPr>
            </w:pPr>
          </w:p>
        </w:tc>
        <w:tc>
          <w:tcPr>
            <w:tcW w:w="1489" w:type="pct"/>
            <w:noWrap w:val="0"/>
            <w:vAlign w:val="center"/>
          </w:tcPr>
          <w:p w14:paraId="2C1A6598">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压力声光报警系统</w:t>
            </w:r>
          </w:p>
        </w:tc>
        <w:tc>
          <w:tcPr>
            <w:tcW w:w="402" w:type="pct"/>
            <w:noWrap w:val="0"/>
            <w:vAlign w:val="center"/>
          </w:tcPr>
          <w:p w14:paraId="495078DF">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49EF1FC0">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套</w:t>
            </w:r>
          </w:p>
        </w:tc>
        <w:tc>
          <w:tcPr>
            <w:tcW w:w="659" w:type="pct"/>
            <w:vMerge w:val="continue"/>
            <w:noWrap w:val="0"/>
            <w:vAlign w:val="center"/>
          </w:tcPr>
          <w:p w14:paraId="75568C72">
            <w:pPr>
              <w:overflowPunct w:val="0"/>
              <w:jc w:val="center"/>
              <w:rPr>
                <w:rFonts w:hint="eastAsia" w:ascii="宋体" w:hAnsi="宋体" w:eastAsia="宋体" w:cs="宋体"/>
                <w:bCs/>
                <w:sz w:val="21"/>
                <w:szCs w:val="21"/>
              </w:rPr>
            </w:pPr>
          </w:p>
        </w:tc>
        <w:tc>
          <w:tcPr>
            <w:tcW w:w="659" w:type="pct"/>
            <w:vMerge w:val="continue"/>
            <w:noWrap w:val="0"/>
            <w:vAlign w:val="center"/>
          </w:tcPr>
          <w:p w14:paraId="29A96F1A">
            <w:pPr>
              <w:overflowPunct w:val="0"/>
              <w:jc w:val="center"/>
              <w:rPr>
                <w:rFonts w:hint="eastAsia" w:ascii="宋体" w:hAnsi="宋体" w:eastAsia="宋体" w:cs="宋体"/>
                <w:bCs/>
                <w:sz w:val="21"/>
                <w:szCs w:val="21"/>
              </w:rPr>
            </w:pPr>
          </w:p>
        </w:tc>
      </w:tr>
      <w:tr w14:paraId="0681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25" w:type="pct"/>
            <w:vMerge w:val="continue"/>
            <w:noWrap w:val="0"/>
            <w:vAlign w:val="center"/>
          </w:tcPr>
          <w:p w14:paraId="48BF3789">
            <w:pPr>
              <w:overflowPunct w:val="0"/>
              <w:jc w:val="center"/>
              <w:rPr>
                <w:rFonts w:hint="eastAsia" w:ascii="宋体" w:hAnsi="宋体" w:eastAsia="宋体" w:cs="宋体"/>
                <w:bCs/>
                <w:sz w:val="21"/>
                <w:szCs w:val="21"/>
              </w:rPr>
            </w:pPr>
          </w:p>
        </w:tc>
        <w:tc>
          <w:tcPr>
            <w:tcW w:w="995" w:type="pct"/>
            <w:vMerge w:val="continue"/>
            <w:noWrap w:val="0"/>
            <w:vAlign w:val="center"/>
          </w:tcPr>
          <w:p w14:paraId="01AA8688">
            <w:pPr>
              <w:overflowPunct w:val="0"/>
              <w:jc w:val="center"/>
              <w:rPr>
                <w:rFonts w:hint="eastAsia" w:ascii="宋体" w:hAnsi="宋体" w:eastAsia="宋体" w:cs="宋体"/>
                <w:bCs/>
                <w:sz w:val="21"/>
                <w:szCs w:val="21"/>
              </w:rPr>
            </w:pPr>
          </w:p>
        </w:tc>
        <w:tc>
          <w:tcPr>
            <w:tcW w:w="1489" w:type="pct"/>
            <w:noWrap w:val="0"/>
            <w:vAlign w:val="center"/>
          </w:tcPr>
          <w:p w14:paraId="691A0807">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联控装置</w:t>
            </w:r>
          </w:p>
        </w:tc>
        <w:tc>
          <w:tcPr>
            <w:tcW w:w="402" w:type="pct"/>
            <w:noWrap w:val="0"/>
            <w:vAlign w:val="center"/>
          </w:tcPr>
          <w:p w14:paraId="5C5432D0">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4C72C3E7">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套</w:t>
            </w:r>
          </w:p>
        </w:tc>
        <w:tc>
          <w:tcPr>
            <w:tcW w:w="659" w:type="pct"/>
            <w:vMerge w:val="continue"/>
            <w:noWrap w:val="0"/>
            <w:vAlign w:val="center"/>
          </w:tcPr>
          <w:p w14:paraId="1134ED7F">
            <w:pPr>
              <w:overflowPunct w:val="0"/>
              <w:jc w:val="center"/>
              <w:rPr>
                <w:rFonts w:hint="eastAsia" w:ascii="宋体" w:hAnsi="宋体" w:eastAsia="宋体" w:cs="宋体"/>
                <w:bCs/>
                <w:sz w:val="21"/>
                <w:szCs w:val="21"/>
              </w:rPr>
            </w:pPr>
          </w:p>
        </w:tc>
        <w:tc>
          <w:tcPr>
            <w:tcW w:w="659" w:type="pct"/>
            <w:vMerge w:val="continue"/>
            <w:noWrap w:val="0"/>
            <w:vAlign w:val="center"/>
          </w:tcPr>
          <w:p w14:paraId="05B8865F">
            <w:pPr>
              <w:overflowPunct w:val="0"/>
              <w:jc w:val="center"/>
              <w:rPr>
                <w:rFonts w:hint="eastAsia" w:ascii="宋体" w:hAnsi="宋体" w:eastAsia="宋体" w:cs="宋体"/>
                <w:bCs/>
                <w:sz w:val="21"/>
                <w:szCs w:val="21"/>
              </w:rPr>
            </w:pPr>
          </w:p>
        </w:tc>
      </w:tr>
      <w:tr w14:paraId="19EA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25" w:type="pct"/>
            <w:vMerge w:val="continue"/>
            <w:noWrap w:val="0"/>
            <w:vAlign w:val="center"/>
          </w:tcPr>
          <w:p w14:paraId="59F97166">
            <w:pPr>
              <w:overflowPunct w:val="0"/>
              <w:jc w:val="center"/>
              <w:rPr>
                <w:rFonts w:hint="eastAsia" w:ascii="宋体" w:hAnsi="宋体" w:eastAsia="宋体" w:cs="宋体"/>
                <w:bCs/>
                <w:sz w:val="21"/>
                <w:szCs w:val="21"/>
              </w:rPr>
            </w:pPr>
          </w:p>
        </w:tc>
        <w:tc>
          <w:tcPr>
            <w:tcW w:w="995" w:type="pct"/>
            <w:vMerge w:val="continue"/>
            <w:noWrap w:val="0"/>
            <w:vAlign w:val="center"/>
          </w:tcPr>
          <w:p w14:paraId="0B87FAA0">
            <w:pPr>
              <w:overflowPunct w:val="0"/>
              <w:jc w:val="center"/>
              <w:rPr>
                <w:rFonts w:hint="eastAsia" w:ascii="宋体" w:hAnsi="宋体" w:eastAsia="宋体" w:cs="宋体"/>
                <w:bCs/>
                <w:sz w:val="21"/>
                <w:szCs w:val="21"/>
              </w:rPr>
            </w:pPr>
          </w:p>
        </w:tc>
        <w:tc>
          <w:tcPr>
            <w:tcW w:w="1489" w:type="pct"/>
            <w:noWrap w:val="0"/>
            <w:vAlign w:val="center"/>
          </w:tcPr>
          <w:p w14:paraId="72730B34">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油水分离器滤芯</w:t>
            </w:r>
          </w:p>
        </w:tc>
        <w:tc>
          <w:tcPr>
            <w:tcW w:w="402" w:type="pct"/>
            <w:noWrap w:val="0"/>
            <w:vAlign w:val="center"/>
          </w:tcPr>
          <w:p w14:paraId="4DE2D502">
            <w:pPr>
              <w:jc w:val="cente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2</w:t>
            </w:r>
          </w:p>
        </w:tc>
        <w:tc>
          <w:tcPr>
            <w:tcW w:w="468" w:type="pct"/>
            <w:noWrap w:val="0"/>
            <w:vAlign w:val="center"/>
          </w:tcPr>
          <w:p w14:paraId="49C4A6DE">
            <w:pPr>
              <w:jc w:val="cente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个</w:t>
            </w:r>
          </w:p>
        </w:tc>
        <w:tc>
          <w:tcPr>
            <w:tcW w:w="659" w:type="pct"/>
            <w:vMerge w:val="continue"/>
            <w:noWrap w:val="0"/>
            <w:vAlign w:val="center"/>
          </w:tcPr>
          <w:p w14:paraId="45BD7A9D">
            <w:pPr>
              <w:overflowPunct w:val="0"/>
              <w:jc w:val="center"/>
              <w:rPr>
                <w:rFonts w:hint="eastAsia" w:ascii="宋体" w:hAnsi="宋体" w:eastAsia="宋体" w:cs="宋体"/>
                <w:bCs/>
                <w:sz w:val="21"/>
                <w:szCs w:val="21"/>
              </w:rPr>
            </w:pPr>
          </w:p>
        </w:tc>
        <w:tc>
          <w:tcPr>
            <w:tcW w:w="659" w:type="pct"/>
            <w:vMerge w:val="continue"/>
            <w:noWrap w:val="0"/>
            <w:vAlign w:val="center"/>
          </w:tcPr>
          <w:p w14:paraId="6D686951">
            <w:pPr>
              <w:overflowPunct w:val="0"/>
              <w:jc w:val="center"/>
              <w:rPr>
                <w:rFonts w:hint="eastAsia" w:ascii="宋体" w:hAnsi="宋体" w:eastAsia="宋体" w:cs="宋体"/>
                <w:bCs/>
                <w:sz w:val="21"/>
                <w:szCs w:val="21"/>
              </w:rPr>
            </w:pPr>
          </w:p>
        </w:tc>
      </w:tr>
      <w:tr w14:paraId="2E3A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325" w:type="pct"/>
            <w:vMerge w:val="continue"/>
            <w:noWrap w:val="0"/>
            <w:vAlign w:val="center"/>
          </w:tcPr>
          <w:p w14:paraId="63C5AE34">
            <w:pPr>
              <w:overflowPunct w:val="0"/>
              <w:jc w:val="center"/>
              <w:rPr>
                <w:rFonts w:hint="eastAsia" w:ascii="宋体" w:hAnsi="宋体" w:eastAsia="宋体" w:cs="宋体"/>
                <w:bCs/>
                <w:sz w:val="21"/>
                <w:szCs w:val="21"/>
              </w:rPr>
            </w:pPr>
          </w:p>
        </w:tc>
        <w:tc>
          <w:tcPr>
            <w:tcW w:w="995" w:type="pct"/>
            <w:vMerge w:val="continue"/>
            <w:noWrap w:val="0"/>
            <w:vAlign w:val="center"/>
          </w:tcPr>
          <w:p w14:paraId="12099ABC">
            <w:pPr>
              <w:overflowPunct w:val="0"/>
              <w:jc w:val="center"/>
              <w:rPr>
                <w:rFonts w:hint="eastAsia" w:ascii="宋体" w:hAnsi="宋体" w:eastAsia="宋体" w:cs="宋体"/>
                <w:bCs/>
                <w:sz w:val="21"/>
                <w:szCs w:val="21"/>
              </w:rPr>
            </w:pPr>
          </w:p>
        </w:tc>
        <w:tc>
          <w:tcPr>
            <w:tcW w:w="1489" w:type="pct"/>
            <w:noWrap w:val="0"/>
            <w:vAlign w:val="center"/>
          </w:tcPr>
          <w:p w14:paraId="7090E3C2">
            <w:p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线缆及桥架</w:t>
            </w:r>
          </w:p>
        </w:tc>
        <w:tc>
          <w:tcPr>
            <w:tcW w:w="402" w:type="pct"/>
            <w:noWrap w:val="0"/>
            <w:vAlign w:val="center"/>
          </w:tcPr>
          <w:p w14:paraId="3AB0DD38">
            <w:pPr>
              <w:jc w:val="center"/>
              <w:rPr>
                <w:rFonts w:hint="default" w:ascii="宋体" w:hAnsi="宋体" w:cs="宋体"/>
                <w:sz w:val="21"/>
                <w:szCs w:val="21"/>
                <w:vertAlign w:val="baseline"/>
                <w:lang w:val="en-US" w:eastAsia="zh-CN"/>
              </w:rPr>
            </w:pPr>
            <w:r>
              <w:rPr>
                <w:rFonts w:hint="eastAsia" w:ascii="宋体" w:hAnsi="宋体" w:cs="宋体"/>
                <w:sz w:val="21"/>
                <w:szCs w:val="21"/>
                <w:vertAlign w:val="baseline"/>
                <w:lang w:val="en-US" w:eastAsia="zh-CN"/>
              </w:rPr>
              <w:t>1</w:t>
            </w:r>
          </w:p>
        </w:tc>
        <w:tc>
          <w:tcPr>
            <w:tcW w:w="468" w:type="pct"/>
            <w:noWrap w:val="0"/>
            <w:vAlign w:val="center"/>
          </w:tcPr>
          <w:p w14:paraId="5E1A1FD2">
            <w:pPr>
              <w:jc w:val="center"/>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套</w:t>
            </w:r>
          </w:p>
        </w:tc>
        <w:tc>
          <w:tcPr>
            <w:tcW w:w="659" w:type="pct"/>
            <w:vMerge w:val="continue"/>
            <w:noWrap w:val="0"/>
            <w:vAlign w:val="center"/>
          </w:tcPr>
          <w:p w14:paraId="76EC62DD">
            <w:pPr>
              <w:overflowPunct w:val="0"/>
              <w:jc w:val="center"/>
              <w:rPr>
                <w:rFonts w:hint="eastAsia" w:ascii="宋体" w:hAnsi="宋体" w:eastAsia="宋体" w:cs="宋体"/>
                <w:bCs/>
                <w:sz w:val="21"/>
                <w:szCs w:val="21"/>
              </w:rPr>
            </w:pPr>
          </w:p>
        </w:tc>
        <w:tc>
          <w:tcPr>
            <w:tcW w:w="659" w:type="pct"/>
            <w:vMerge w:val="continue"/>
            <w:noWrap w:val="0"/>
            <w:vAlign w:val="center"/>
          </w:tcPr>
          <w:p w14:paraId="4C4405D7">
            <w:pPr>
              <w:overflowPunct w:val="0"/>
              <w:jc w:val="center"/>
              <w:rPr>
                <w:rFonts w:hint="eastAsia" w:ascii="宋体" w:hAnsi="宋体" w:eastAsia="宋体" w:cs="宋体"/>
                <w:bCs/>
                <w:sz w:val="21"/>
                <w:szCs w:val="21"/>
              </w:rPr>
            </w:pPr>
          </w:p>
        </w:tc>
      </w:tr>
      <w:tr w14:paraId="19A9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5" w:type="pct"/>
            <w:vMerge w:val="continue"/>
            <w:noWrap w:val="0"/>
            <w:vAlign w:val="center"/>
          </w:tcPr>
          <w:p w14:paraId="7D6EE627">
            <w:pPr>
              <w:overflowPunct w:val="0"/>
              <w:jc w:val="center"/>
              <w:rPr>
                <w:rFonts w:hint="eastAsia" w:ascii="宋体" w:hAnsi="宋体" w:eastAsia="宋体" w:cs="宋体"/>
                <w:bCs/>
                <w:sz w:val="21"/>
                <w:szCs w:val="21"/>
              </w:rPr>
            </w:pPr>
          </w:p>
        </w:tc>
        <w:tc>
          <w:tcPr>
            <w:tcW w:w="995" w:type="pct"/>
            <w:vMerge w:val="continue"/>
            <w:noWrap w:val="0"/>
            <w:vAlign w:val="center"/>
          </w:tcPr>
          <w:p w14:paraId="27AD670E">
            <w:pPr>
              <w:overflowPunct w:val="0"/>
              <w:jc w:val="center"/>
              <w:rPr>
                <w:rFonts w:hint="eastAsia" w:ascii="宋体" w:hAnsi="宋体" w:eastAsia="宋体" w:cs="宋体"/>
                <w:bCs/>
                <w:sz w:val="21"/>
                <w:szCs w:val="21"/>
              </w:rPr>
            </w:pPr>
          </w:p>
        </w:tc>
        <w:tc>
          <w:tcPr>
            <w:tcW w:w="1489" w:type="pct"/>
            <w:noWrap w:val="0"/>
            <w:vAlign w:val="center"/>
          </w:tcPr>
          <w:p w14:paraId="49FCA145">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管道及施工</w:t>
            </w:r>
          </w:p>
        </w:tc>
        <w:tc>
          <w:tcPr>
            <w:tcW w:w="402" w:type="pct"/>
            <w:noWrap w:val="0"/>
            <w:vAlign w:val="center"/>
          </w:tcPr>
          <w:p w14:paraId="5C487112">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78505643">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套</w:t>
            </w:r>
          </w:p>
        </w:tc>
        <w:tc>
          <w:tcPr>
            <w:tcW w:w="659" w:type="pct"/>
            <w:vMerge w:val="continue"/>
            <w:noWrap w:val="0"/>
            <w:vAlign w:val="center"/>
          </w:tcPr>
          <w:p w14:paraId="695609D7">
            <w:pPr>
              <w:overflowPunct w:val="0"/>
              <w:jc w:val="center"/>
              <w:rPr>
                <w:rFonts w:hint="eastAsia" w:ascii="宋体" w:hAnsi="宋体" w:eastAsia="宋体" w:cs="宋体"/>
                <w:bCs/>
                <w:sz w:val="21"/>
                <w:szCs w:val="21"/>
              </w:rPr>
            </w:pPr>
          </w:p>
        </w:tc>
        <w:tc>
          <w:tcPr>
            <w:tcW w:w="659" w:type="pct"/>
            <w:vMerge w:val="continue"/>
            <w:noWrap w:val="0"/>
            <w:vAlign w:val="center"/>
          </w:tcPr>
          <w:p w14:paraId="58BC6C0E">
            <w:pPr>
              <w:overflowPunct w:val="0"/>
              <w:jc w:val="center"/>
              <w:rPr>
                <w:rFonts w:hint="eastAsia" w:ascii="宋体" w:hAnsi="宋体" w:eastAsia="宋体" w:cs="宋体"/>
                <w:bCs/>
                <w:sz w:val="21"/>
                <w:szCs w:val="21"/>
              </w:rPr>
            </w:pPr>
          </w:p>
        </w:tc>
      </w:tr>
      <w:tr w14:paraId="7A81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325" w:type="pct"/>
            <w:vMerge w:val="continue"/>
            <w:noWrap w:val="0"/>
            <w:vAlign w:val="center"/>
          </w:tcPr>
          <w:p w14:paraId="25EACD69">
            <w:pPr>
              <w:overflowPunct w:val="0"/>
              <w:jc w:val="center"/>
              <w:rPr>
                <w:rFonts w:hint="eastAsia" w:ascii="宋体" w:hAnsi="宋体" w:eastAsia="宋体" w:cs="宋体"/>
                <w:bCs/>
                <w:sz w:val="21"/>
                <w:szCs w:val="21"/>
              </w:rPr>
            </w:pPr>
          </w:p>
        </w:tc>
        <w:tc>
          <w:tcPr>
            <w:tcW w:w="995" w:type="pct"/>
            <w:vMerge w:val="continue"/>
            <w:noWrap w:val="0"/>
            <w:vAlign w:val="center"/>
          </w:tcPr>
          <w:p w14:paraId="170A0CFA">
            <w:pPr>
              <w:overflowPunct w:val="0"/>
              <w:jc w:val="center"/>
              <w:rPr>
                <w:rFonts w:hint="eastAsia" w:ascii="宋体" w:hAnsi="宋体" w:eastAsia="宋体" w:cs="宋体"/>
                <w:bCs/>
                <w:sz w:val="21"/>
                <w:szCs w:val="21"/>
              </w:rPr>
            </w:pPr>
          </w:p>
        </w:tc>
        <w:tc>
          <w:tcPr>
            <w:tcW w:w="1489" w:type="pct"/>
            <w:noWrap w:val="0"/>
            <w:vAlign w:val="center"/>
          </w:tcPr>
          <w:p w14:paraId="78125F49">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检定证书</w:t>
            </w:r>
          </w:p>
        </w:tc>
        <w:tc>
          <w:tcPr>
            <w:tcW w:w="402" w:type="pct"/>
            <w:noWrap w:val="0"/>
            <w:vAlign w:val="center"/>
          </w:tcPr>
          <w:p w14:paraId="3BF32F82">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1</w:t>
            </w:r>
          </w:p>
        </w:tc>
        <w:tc>
          <w:tcPr>
            <w:tcW w:w="468" w:type="pct"/>
            <w:noWrap w:val="0"/>
            <w:vAlign w:val="center"/>
          </w:tcPr>
          <w:p w14:paraId="4BB2F5E8">
            <w:pPr>
              <w:jc w:val="center"/>
              <w:rPr>
                <w:rFonts w:hint="eastAsia" w:ascii="宋体" w:hAnsi="宋体" w:cs="宋体"/>
                <w:kern w:val="2"/>
                <w:sz w:val="21"/>
                <w:szCs w:val="21"/>
                <w:vertAlign w:val="baseline"/>
                <w:lang w:val="en-US" w:eastAsia="zh-CN" w:bidi="ar-SA"/>
              </w:rPr>
            </w:pPr>
            <w:r>
              <w:rPr>
                <w:rFonts w:hint="eastAsia" w:ascii="宋体" w:hAnsi="宋体" w:cs="宋体"/>
                <w:sz w:val="21"/>
                <w:szCs w:val="21"/>
                <w:vertAlign w:val="baseline"/>
                <w:lang w:val="en-US" w:eastAsia="zh-CN"/>
              </w:rPr>
              <w:t>套</w:t>
            </w:r>
          </w:p>
        </w:tc>
        <w:tc>
          <w:tcPr>
            <w:tcW w:w="659" w:type="pct"/>
            <w:vMerge w:val="continue"/>
            <w:noWrap w:val="0"/>
            <w:vAlign w:val="center"/>
          </w:tcPr>
          <w:p w14:paraId="59BE033E">
            <w:pPr>
              <w:overflowPunct w:val="0"/>
              <w:jc w:val="center"/>
              <w:rPr>
                <w:rFonts w:hint="eastAsia" w:ascii="宋体" w:hAnsi="宋体" w:eastAsia="宋体" w:cs="宋体"/>
                <w:bCs/>
                <w:sz w:val="21"/>
                <w:szCs w:val="21"/>
              </w:rPr>
            </w:pPr>
          </w:p>
        </w:tc>
        <w:tc>
          <w:tcPr>
            <w:tcW w:w="659" w:type="pct"/>
            <w:vMerge w:val="continue"/>
            <w:noWrap w:val="0"/>
            <w:vAlign w:val="center"/>
          </w:tcPr>
          <w:p w14:paraId="40803E53">
            <w:pPr>
              <w:overflowPunct w:val="0"/>
              <w:jc w:val="center"/>
              <w:rPr>
                <w:rFonts w:hint="eastAsia" w:ascii="宋体" w:hAnsi="宋体" w:eastAsia="宋体" w:cs="宋体"/>
                <w:bCs/>
                <w:sz w:val="21"/>
                <w:szCs w:val="21"/>
              </w:rPr>
            </w:pPr>
          </w:p>
        </w:tc>
      </w:tr>
    </w:tbl>
    <w:p w14:paraId="0C5F8C47">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备注：</w:t>
      </w:r>
      <w:bookmarkStart w:id="30" w:name="_Toc137705868"/>
    </w:p>
    <w:p w14:paraId="1C6C2E62">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表所列采购货物仅为货物（或生产线）的主要构成部分，应包含配套供货以及招标方所列其它货物（或设备）和服务，请投标方认真阅读“供货范围”。若有异议，不管是多么微小，都应在投标文件“商务偏离”章节中予以详细说明。</w:t>
      </w:r>
    </w:p>
    <w:p w14:paraId="3DF39FA6">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2.本表“供货方式”指：交钥匙方式——包括设计、制造、运输、安装、调试和验收直到交付使用以及培训等。</w:t>
      </w:r>
    </w:p>
    <w:p w14:paraId="4675623F">
      <w:pPr>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以上内容仅对设备的基本功能进行了描述和建议，表中所列内容仅供参考，投标方投标前需对生产现场工艺环境进行充分调研与了解，确保投标方案满足工艺、产品、节拍、功能等要求，投标方对投标方案负责。</w:t>
      </w:r>
    </w:p>
    <w:p w14:paraId="63C12307">
      <w:pPr>
        <w:overflowPunct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四、采购货物特别说明</w:t>
      </w:r>
    </w:p>
    <w:p w14:paraId="7F7415CF">
      <w:pPr>
        <w:overflowPunct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招标人所列货物的名称和规格型号，如为某一供应商所特有，则该名称和规格型号可作参考，但要求投标人所提供的货物必须满足本技术标书实质性要求。</w:t>
      </w:r>
    </w:p>
    <w:p w14:paraId="0410904B">
      <w:pPr>
        <w:spacing w:line="480" w:lineRule="exact"/>
        <w:rPr>
          <w:rFonts w:hint="eastAsia"/>
          <w:sz w:val="21"/>
          <w:szCs w:val="21"/>
        </w:rPr>
        <w:sectPr>
          <w:footerReference r:id="rId6" w:type="default"/>
          <w:pgSz w:w="11906" w:h="16838"/>
          <w:pgMar w:top="1701" w:right="1418" w:bottom="1134" w:left="1701" w:header="1021" w:footer="680" w:gutter="0"/>
          <w:pgNumType w:start="1"/>
          <w:cols w:space="720" w:num="1"/>
          <w:docGrid w:type="lines" w:linePitch="312" w:charSpace="0"/>
        </w:sectPr>
      </w:pPr>
    </w:p>
    <w:p w14:paraId="589EA7A2">
      <w:pPr>
        <w:pStyle w:val="3"/>
        <w:spacing w:before="120" w:after="120"/>
        <w:jc w:val="center"/>
        <w:rPr>
          <w:rFonts w:hint="eastAsia" w:ascii="黑体" w:eastAsia="黑体"/>
          <w:sz w:val="24"/>
          <w:szCs w:val="24"/>
        </w:rPr>
      </w:pPr>
      <w:bookmarkStart w:id="31" w:name="_Toc32262"/>
      <w:bookmarkStart w:id="32" w:name="_Toc17328"/>
      <w:r>
        <w:rPr>
          <w:rFonts w:hint="eastAsia" w:ascii="黑体" w:eastAsia="黑体"/>
          <w:sz w:val="24"/>
          <w:szCs w:val="24"/>
        </w:rPr>
        <w:t>第二章  技术要求</w:t>
      </w:r>
      <w:bookmarkEnd w:id="30"/>
      <w:bookmarkEnd w:id="31"/>
      <w:bookmarkEnd w:id="32"/>
    </w:p>
    <w:p w14:paraId="42A29961">
      <w:pPr>
        <w:spacing w:line="480" w:lineRule="exact"/>
        <w:ind w:firstLine="420" w:firstLineChars="200"/>
        <w:rPr>
          <w:rFonts w:hint="eastAsia" w:ascii="黑体" w:hAnsi="宋体" w:eastAsia="黑体"/>
        </w:rPr>
      </w:pPr>
      <w:r>
        <w:rPr>
          <w:rFonts w:hint="eastAsia" w:ascii="黑体" w:hAnsi="宋体" w:eastAsia="黑体"/>
        </w:rPr>
        <w:t>一、基本要求</w:t>
      </w:r>
    </w:p>
    <w:p w14:paraId="624F8DED">
      <w:pPr>
        <w:spacing w:line="480" w:lineRule="exact"/>
        <w:ind w:firstLine="420" w:firstLineChars="200"/>
        <w:rPr>
          <w:rFonts w:hint="eastAsia" w:ascii="宋体" w:hAnsi="宋体"/>
        </w:rPr>
      </w:pPr>
      <w:r>
        <w:rPr>
          <w:rFonts w:hint="eastAsia" w:ascii="宋体" w:hAnsi="宋体"/>
        </w:rPr>
        <w:t>1、投标方所供的设备，必须符合中国最新版的法律、法规和相关标准、规范的要求，符合项目所在地政府有关特殊要求。</w:t>
      </w:r>
    </w:p>
    <w:p w14:paraId="7BE13C9E">
      <w:pPr>
        <w:spacing w:line="480" w:lineRule="exact"/>
        <w:ind w:firstLine="420" w:firstLineChars="200"/>
        <w:rPr>
          <w:rFonts w:hint="eastAsia" w:ascii="宋体" w:hAnsi="宋体"/>
        </w:rPr>
      </w:pPr>
      <w:r>
        <w:rPr>
          <w:rFonts w:hint="eastAsia" w:ascii="宋体" w:hAnsi="宋体"/>
        </w:rPr>
        <w:t>2、投标方所供设备涉及的专利权技术以及知识产权保护的其它技术等，应保证招标方不因此受到任何侵权指控以及实际损失。</w:t>
      </w:r>
    </w:p>
    <w:p w14:paraId="55BA8E5C">
      <w:pPr>
        <w:spacing w:line="480" w:lineRule="exact"/>
        <w:ind w:firstLine="420" w:firstLineChars="200"/>
        <w:rPr>
          <w:rFonts w:hint="eastAsia" w:ascii="宋体" w:hAnsi="宋体"/>
        </w:rPr>
      </w:pPr>
      <w:r>
        <w:rPr>
          <w:rFonts w:hint="eastAsia" w:ascii="宋体" w:hAnsi="宋体"/>
        </w:rPr>
        <w:t>3、投标方应保证所供设备的先进性、可靠性、经济性和实用性，并为全新设备。</w:t>
      </w:r>
    </w:p>
    <w:p w14:paraId="69AD3FE4">
      <w:pPr>
        <w:spacing w:line="480" w:lineRule="exact"/>
        <w:ind w:firstLine="420" w:firstLineChars="200"/>
        <w:rPr>
          <w:rFonts w:hint="eastAsia" w:ascii="宋体" w:hAnsi="宋体"/>
        </w:rPr>
      </w:pPr>
      <w:r>
        <w:rPr>
          <w:rFonts w:hint="eastAsia" w:ascii="宋体" w:hAnsi="宋体"/>
        </w:rPr>
        <w:t>4、投标方应满足招标方提出的各项技术要求，必要时应当免费提供技术承诺或担保。</w:t>
      </w:r>
    </w:p>
    <w:p w14:paraId="008467E9">
      <w:pPr>
        <w:spacing w:line="480" w:lineRule="exact"/>
        <w:ind w:firstLine="420" w:firstLineChars="200"/>
        <w:rPr>
          <w:rFonts w:hint="eastAsia" w:ascii="宋体" w:hAnsi="宋体"/>
        </w:rPr>
      </w:pPr>
      <w:r>
        <w:rPr>
          <w:rFonts w:hint="eastAsia" w:ascii="宋体" w:hAnsi="宋体"/>
        </w:rPr>
        <w:t>5、投标方应保证所供设备为中国公布的非淘汰设备，并为中国指定或规定的主管部门认可的环保型和节能型设备。</w:t>
      </w:r>
    </w:p>
    <w:p w14:paraId="6C56BB25">
      <w:pPr>
        <w:spacing w:line="480" w:lineRule="exact"/>
        <w:ind w:firstLine="420" w:firstLineChars="200"/>
        <w:rPr>
          <w:rFonts w:hint="eastAsia" w:ascii="宋体" w:hAnsi="宋体"/>
        </w:rPr>
      </w:pPr>
      <w:r>
        <w:rPr>
          <w:rFonts w:hint="eastAsia" w:ascii="宋体" w:hAnsi="宋体"/>
        </w:rPr>
        <w:t>6、投标方应保证所供设备的完整性和成套性，能保证设备的正常运行、使用。</w:t>
      </w:r>
    </w:p>
    <w:p w14:paraId="00227F2D">
      <w:pPr>
        <w:spacing w:line="480" w:lineRule="exact"/>
        <w:ind w:firstLine="420" w:firstLineChars="200"/>
        <w:rPr>
          <w:rFonts w:hint="eastAsia" w:ascii="宋体" w:hAnsi="宋体"/>
        </w:rPr>
      </w:pPr>
      <w:r>
        <w:rPr>
          <w:rFonts w:hint="eastAsia" w:ascii="宋体" w:hAnsi="宋体"/>
        </w:rPr>
        <w:t>7、投标方应对招标方采购的设备所涉及的技术、产能等信息负有保密义务，招标方拥有追究投标方泄密责任的权利；招标方如有需要，投标方应无条件签署保密协议。</w:t>
      </w:r>
    </w:p>
    <w:p w14:paraId="0A42F4EA">
      <w:pPr>
        <w:spacing w:line="480" w:lineRule="exact"/>
        <w:ind w:firstLine="420" w:firstLineChars="200"/>
        <w:rPr>
          <w:rFonts w:hint="eastAsia" w:ascii="宋体" w:hAnsi="宋体"/>
        </w:rPr>
      </w:pPr>
      <w:r>
        <w:rPr>
          <w:rFonts w:hint="eastAsia" w:ascii="宋体" w:hAnsi="宋体"/>
        </w:rPr>
        <w:t>8、投标方需提供近三年内项目业绩证明。</w:t>
      </w:r>
    </w:p>
    <w:p w14:paraId="538C0763">
      <w:pPr>
        <w:spacing w:line="480" w:lineRule="exact"/>
        <w:ind w:firstLine="420" w:firstLineChars="200"/>
        <w:rPr>
          <w:rFonts w:hint="eastAsia" w:ascii="黑体" w:hAnsi="宋体" w:eastAsia="黑体"/>
        </w:rPr>
      </w:pPr>
      <w:r>
        <w:rPr>
          <w:rFonts w:hint="eastAsia" w:ascii="黑体" w:hAnsi="宋体" w:eastAsia="黑体"/>
        </w:rPr>
        <w:t>二、执行标准</w:t>
      </w:r>
    </w:p>
    <w:p w14:paraId="31A4164F">
      <w:pPr>
        <w:spacing w:line="480" w:lineRule="exact"/>
        <w:ind w:firstLine="420" w:firstLineChars="200"/>
        <w:rPr>
          <w:rFonts w:hint="eastAsia" w:ascii="宋体" w:hAnsi="宋体"/>
        </w:rPr>
      </w:pPr>
      <w:r>
        <w:rPr>
          <w:rFonts w:hint="eastAsia" w:ascii="宋体" w:hAnsi="宋体"/>
        </w:rPr>
        <w:t>1、招标方此处所列标准仅为涉及的主要标准，而且不保证其为最新版执行标准；投标方应当在投标文件以中认真予以填写、补充和修改完善。</w:t>
      </w:r>
    </w:p>
    <w:p w14:paraId="55D4B63D">
      <w:pPr>
        <w:spacing w:line="480" w:lineRule="exact"/>
        <w:ind w:firstLine="420" w:firstLineChars="200"/>
        <w:rPr>
          <w:rFonts w:hint="eastAsia" w:ascii="宋体" w:hAnsi="宋体"/>
        </w:rPr>
      </w:pPr>
      <w:r>
        <w:rPr>
          <w:rFonts w:hint="eastAsia" w:ascii="宋体" w:hAnsi="宋体"/>
        </w:rPr>
        <w:t>2、投标方需要执行的标准，应当所供设备通过招标方将来组织的最终验收之日开始执行的最新标准。</w:t>
      </w:r>
    </w:p>
    <w:p w14:paraId="0C816B1D">
      <w:pPr>
        <w:spacing w:line="480" w:lineRule="exact"/>
        <w:ind w:firstLine="420" w:firstLineChars="200"/>
        <w:rPr>
          <w:rFonts w:hint="eastAsia" w:ascii="宋体" w:hAnsi="宋体"/>
        </w:rPr>
      </w:pPr>
      <w:r>
        <w:rPr>
          <w:rFonts w:hint="eastAsia" w:ascii="宋体" w:hAnsi="宋体"/>
        </w:rPr>
        <w:t>3、采购设备的产品质量、技术标准如在招投标文件中无相应说明，则按中华人民共和国有关部门颁发的最新的国标或专业（部）标准执行及相应的国际标准。没有国家或专业（部）标准的，按企业标准执行。但当标准不统一时，原则上按照最严格标准执行。</w:t>
      </w:r>
    </w:p>
    <w:p w14:paraId="72B09E14">
      <w:pPr>
        <w:overflowPunct w:val="0"/>
        <w:spacing w:line="360" w:lineRule="auto"/>
        <w:ind w:firstLine="420" w:firstLineChars="200"/>
        <w:rPr>
          <w:rFonts w:hint="eastAsia" w:ascii="宋体" w:hAnsi="宋体" w:cs="宋体"/>
        </w:rPr>
      </w:pPr>
      <w:r>
        <w:rPr>
          <w:rFonts w:hint="eastAsia" w:ascii="宋体" w:hAnsi="宋体" w:cs="宋体"/>
        </w:rPr>
        <w:t>4、投标人所供货物涉及的专利权技术以及知识产权保护的其他技术等，应保证招标人不因此受到任何侵权指控以及实际损失。</w:t>
      </w:r>
    </w:p>
    <w:p w14:paraId="0A77025A">
      <w:pPr>
        <w:overflowPunct w:val="0"/>
        <w:spacing w:line="360" w:lineRule="auto"/>
        <w:ind w:firstLine="420" w:firstLineChars="200"/>
        <w:rPr>
          <w:rFonts w:hint="eastAsia" w:ascii="宋体" w:hAnsi="宋体" w:cs="宋体"/>
        </w:rPr>
      </w:pPr>
      <w:r>
        <w:rPr>
          <w:rFonts w:hint="eastAsia" w:ascii="宋体" w:hAnsi="宋体" w:cs="宋体"/>
        </w:rPr>
        <w:t>5、投标人应满足招标人提出的各项技术要求，必要时应当免费提供技术承诺或担保。</w:t>
      </w:r>
    </w:p>
    <w:p w14:paraId="3FFD5A8C">
      <w:pPr>
        <w:overflowPunct w:val="0"/>
        <w:spacing w:line="360" w:lineRule="auto"/>
        <w:ind w:firstLine="420" w:firstLineChars="200"/>
        <w:rPr>
          <w:rFonts w:hint="eastAsia"/>
        </w:rPr>
      </w:pPr>
      <w:r>
        <w:rPr>
          <w:rFonts w:hint="eastAsia" w:ascii="宋体" w:hAnsi="宋体" w:cs="宋体"/>
        </w:rPr>
        <w:t>6、投标人应对招标人采购的货物所涉及的技术、产能等信息负有保密义务，招标人拥有追究投标人泄密责任的权利；招标人如有需要，投标人应无条件签署保密协议。</w:t>
      </w:r>
    </w:p>
    <w:p w14:paraId="6BA59AEB">
      <w:pPr>
        <w:spacing w:line="360" w:lineRule="exact"/>
        <w:ind w:firstLine="420" w:firstLineChars="200"/>
        <w:rPr>
          <w:rFonts w:hint="eastAsia" w:ascii="宋体" w:hAnsi="宋体"/>
        </w:rPr>
      </w:pPr>
      <w:r>
        <w:rPr>
          <w:rFonts w:hint="eastAsia" w:ascii="宋体" w:hAnsi="宋体"/>
        </w:rPr>
        <w:t>7、如果有采用国际标准的货物，其执行标准由投标方提供、招标方确认。</w:t>
      </w:r>
    </w:p>
    <w:p w14:paraId="3C522AFC">
      <w:pPr>
        <w:spacing w:line="360" w:lineRule="auto"/>
        <w:ind w:firstLine="420" w:firstLineChars="200"/>
        <w:rPr>
          <w:rFonts w:hint="eastAsia" w:ascii="宋体"/>
        </w:rPr>
      </w:pPr>
      <w:r>
        <w:rPr>
          <w:rFonts w:hint="eastAsia" w:ascii="宋体"/>
        </w:rPr>
        <w:t>8、</w:t>
      </w:r>
      <w:r>
        <w:rPr>
          <w:rFonts w:hint="eastAsia" w:ascii="宋体" w:hAnsi="宋体" w:eastAsia="宋体" w:cs="Times New Roman"/>
        </w:rPr>
        <w:t>涉及的主要标准</w:t>
      </w:r>
      <w:r>
        <w:rPr>
          <w:rFonts w:hint="eastAsia" w:ascii="宋体"/>
        </w:rPr>
        <w:t>：</w:t>
      </w:r>
    </w:p>
    <w:tbl>
      <w:tblPr>
        <w:tblStyle w:val="3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620"/>
        <w:gridCol w:w="5898"/>
        <w:gridCol w:w="2364"/>
      </w:tblGrid>
      <w:tr w14:paraId="2D6A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567" w:hRule="atLeast"/>
          <w:jc w:val="center"/>
        </w:trPr>
        <w:tc>
          <w:tcPr>
            <w:tcW w:w="349" w:type="pct"/>
            <w:noWrap w:val="0"/>
            <w:vAlign w:val="center"/>
          </w:tcPr>
          <w:p w14:paraId="6EA30995">
            <w:pPr>
              <w:overflowPunct w:val="0"/>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3320" w:type="pct"/>
            <w:noWrap w:val="0"/>
            <w:vAlign w:val="center"/>
          </w:tcPr>
          <w:p w14:paraId="0E8CEABC">
            <w:pPr>
              <w:overflowPunct w:val="0"/>
              <w:autoSpaceDE w:val="0"/>
              <w:autoSpaceDN w:val="0"/>
              <w:jc w:val="center"/>
              <w:rPr>
                <w:rFonts w:hint="eastAsia" w:ascii="宋体" w:hAnsi="宋体" w:eastAsia="宋体" w:cs="宋体"/>
                <w:b/>
                <w:bCs/>
                <w:sz w:val="21"/>
                <w:szCs w:val="21"/>
              </w:rPr>
            </w:pPr>
            <w:r>
              <w:rPr>
                <w:rFonts w:hint="eastAsia" w:ascii="宋体" w:hAnsi="宋体" w:eastAsia="宋体" w:cs="宋体"/>
                <w:b/>
                <w:bCs/>
                <w:sz w:val="21"/>
                <w:szCs w:val="21"/>
              </w:rPr>
              <w:t>标准名称</w:t>
            </w:r>
          </w:p>
        </w:tc>
        <w:tc>
          <w:tcPr>
            <w:tcW w:w="1330" w:type="pct"/>
            <w:noWrap w:val="0"/>
            <w:vAlign w:val="center"/>
          </w:tcPr>
          <w:p w14:paraId="3FCC7AEE">
            <w:pPr>
              <w:overflowPunct w:val="0"/>
              <w:jc w:val="center"/>
              <w:rPr>
                <w:rFonts w:hint="eastAsia" w:ascii="宋体" w:hAnsi="宋体" w:eastAsia="宋体" w:cs="宋体"/>
                <w:b/>
                <w:bCs/>
                <w:sz w:val="21"/>
                <w:szCs w:val="21"/>
              </w:rPr>
            </w:pPr>
            <w:r>
              <w:rPr>
                <w:rFonts w:hint="eastAsia" w:ascii="宋体" w:hAnsi="宋体" w:eastAsia="宋体" w:cs="宋体"/>
                <w:b/>
                <w:bCs/>
                <w:sz w:val="21"/>
                <w:szCs w:val="21"/>
              </w:rPr>
              <w:t>标准编号</w:t>
            </w:r>
          </w:p>
        </w:tc>
      </w:tr>
      <w:tr w14:paraId="52FF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64C65E3F">
            <w:pPr>
              <w:overflowPunct w:val="0"/>
              <w:jc w:val="center"/>
              <w:rPr>
                <w:rFonts w:hint="eastAsia" w:ascii="宋体" w:hAnsi="宋体" w:eastAsia="宋体" w:cs="宋体"/>
                <w:sz w:val="21"/>
                <w:szCs w:val="21"/>
              </w:rPr>
            </w:pPr>
            <w:r>
              <w:rPr>
                <w:rFonts w:hint="eastAsia" w:ascii="宋体" w:hAnsi="宋体" w:eastAsia="宋体" w:cs="宋体"/>
                <w:sz w:val="21"/>
                <w:szCs w:val="21"/>
              </w:rPr>
              <w:t>1</w:t>
            </w:r>
          </w:p>
        </w:tc>
        <w:tc>
          <w:tcPr>
            <w:tcW w:w="3320" w:type="pct"/>
            <w:noWrap w:val="0"/>
            <w:vAlign w:val="center"/>
          </w:tcPr>
          <w:p w14:paraId="7D379737">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《钢制压力容器》</w:t>
            </w:r>
          </w:p>
        </w:tc>
        <w:tc>
          <w:tcPr>
            <w:tcW w:w="1330" w:type="pct"/>
            <w:noWrap w:val="0"/>
            <w:vAlign w:val="center"/>
          </w:tcPr>
          <w:p w14:paraId="2451E2E9">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w:t>
            </w:r>
            <w:r>
              <w:rPr>
                <w:rFonts w:hint="eastAsia" w:ascii="宋体" w:hAnsi="宋体" w:cs="Arial Unicode MS"/>
                <w:bCs/>
                <w:sz w:val="24"/>
                <w:highlight w:val="none"/>
              </w:rPr>
              <w:t xml:space="preserve"> </w:t>
            </w:r>
            <w:r>
              <w:rPr>
                <w:rFonts w:ascii="宋体" w:hAnsi="宋体" w:cs="Arial Unicode MS"/>
                <w:bCs/>
                <w:sz w:val="24"/>
                <w:highlight w:val="none"/>
              </w:rPr>
              <w:t>150-98</w:t>
            </w:r>
          </w:p>
        </w:tc>
      </w:tr>
      <w:tr w14:paraId="2A4C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302E4B53">
            <w:pPr>
              <w:overflowPunct w:val="0"/>
              <w:jc w:val="center"/>
              <w:rPr>
                <w:rFonts w:hint="eastAsia" w:ascii="宋体" w:hAnsi="宋体" w:eastAsia="宋体" w:cs="宋体"/>
                <w:sz w:val="21"/>
                <w:szCs w:val="21"/>
              </w:rPr>
            </w:pPr>
            <w:r>
              <w:rPr>
                <w:rFonts w:hint="eastAsia" w:ascii="宋体" w:hAnsi="宋体" w:eastAsia="宋体" w:cs="宋体"/>
                <w:sz w:val="21"/>
                <w:szCs w:val="21"/>
              </w:rPr>
              <w:t>2</w:t>
            </w:r>
          </w:p>
        </w:tc>
        <w:tc>
          <w:tcPr>
            <w:tcW w:w="3320" w:type="pct"/>
            <w:noWrap w:val="0"/>
            <w:vAlign w:val="center"/>
          </w:tcPr>
          <w:p w14:paraId="26143690">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《管壳式换热器》</w:t>
            </w:r>
          </w:p>
        </w:tc>
        <w:tc>
          <w:tcPr>
            <w:tcW w:w="1330" w:type="pct"/>
            <w:noWrap w:val="0"/>
            <w:vAlign w:val="center"/>
          </w:tcPr>
          <w:p w14:paraId="1B0F2897">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 151-1999</w:t>
            </w:r>
          </w:p>
        </w:tc>
      </w:tr>
      <w:tr w14:paraId="4A12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2014F105">
            <w:pPr>
              <w:overflowPunct w:val="0"/>
              <w:jc w:val="center"/>
              <w:rPr>
                <w:rFonts w:hint="eastAsia" w:ascii="宋体" w:hAnsi="宋体" w:eastAsia="宋体" w:cs="宋体"/>
                <w:sz w:val="21"/>
                <w:szCs w:val="21"/>
              </w:rPr>
            </w:pPr>
            <w:r>
              <w:rPr>
                <w:rFonts w:hint="eastAsia" w:ascii="宋体" w:hAnsi="宋体" w:eastAsia="宋体" w:cs="宋体"/>
                <w:sz w:val="21"/>
                <w:szCs w:val="21"/>
              </w:rPr>
              <w:t>3</w:t>
            </w:r>
          </w:p>
        </w:tc>
        <w:tc>
          <w:tcPr>
            <w:tcW w:w="3320" w:type="pct"/>
            <w:noWrap w:val="0"/>
            <w:vAlign w:val="center"/>
          </w:tcPr>
          <w:p w14:paraId="35B64C8E">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《容积式压缩机验收试验》</w:t>
            </w:r>
          </w:p>
        </w:tc>
        <w:tc>
          <w:tcPr>
            <w:tcW w:w="1330" w:type="pct"/>
            <w:noWrap w:val="0"/>
            <w:vAlign w:val="center"/>
          </w:tcPr>
          <w:p w14:paraId="55C27741">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GB/T3835-1998</w:t>
            </w:r>
          </w:p>
        </w:tc>
      </w:tr>
      <w:tr w14:paraId="624D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73772D2">
            <w:pPr>
              <w:overflowPunct w:val="0"/>
              <w:jc w:val="center"/>
              <w:rPr>
                <w:rFonts w:hint="eastAsia" w:ascii="宋体" w:hAnsi="宋体" w:eastAsia="宋体" w:cs="宋体"/>
                <w:sz w:val="21"/>
                <w:szCs w:val="21"/>
              </w:rPr>
            </w:pPr>
            <w:r>
              <w:rPr>
                <w:rFonts w:hint="eastAsia" w:ascii="宋体" w:hAnsi="宋体" w:eastAsia="宋体" w:cs="宋体"/>
                <w:sz w:val="21"/>
                <w:szCs w:val="21"/>
              </w:rPr>
              <w:t>4</w:t>
            </w:r>
          </w:p>
        </w:tc>
        <w:tc>
          <w:tcPr>
            <w:tcW w:w="3320" w:type="pct"/>
            <w:noWrap w:val="0"/>
            <w:vAlign w:val="center"/>
          </w:tcPr>
          <w:p w14:paraId="7B79B4BF">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《容积式压缩机噪声声功率级的测定</w:t>
            </w:r>
            <w:r>
              <w:rPr>
                <w:rFonts w:ascii="宋体" w:hAnsi="宋体" w:cs="Arial Unicode MS"/>
                <w:bCs/>
                <w:sz w:val="24"/>
                <w:highlight w:val="none"/>
              </w:rPr>
              <w:t>-工程法》</w:t>
            </w:r>
          </w:p>
        </w:tc>
        <w:tc>
          <w:tcPr>
            <w:tcW w:w="1330" w:type="pct"/>
            <w:noWrap w:val="0"/>
            <w:vAlign w:val="center"/>
          </w:tcPr>
          <w:p w14:paraId="530BD54A">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GB/T4980-1985</w:t>
            </w:r>
          </w:p>
        </w:tc>
      </w:tr>
      <w:tr w14:paraId="1540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6ADD4C7">
            <w:pPr>
              <w:overflowPunct w:val="0"/>
              <w:jc w:val="center"/>
              <w:rPr>
                <w:rFonts w:hint="eastAsia" w:ascii="宋体" w:hAnsi="宋体" w:eastAsia="宋体" w:cs="宋体"/>
                <w:sz w:val="21"/>
                <w:szCs w:val="21"/>
              </w:rPr>
            </w:pPr>
            <w:r>
              <w:rPr>
                <w:rFonts w:hint="eastAsia" w:ascii="宋体" w:hAnsi="宋体" w:eastAsia="宋体" w:cs="宋体"/>
                <w:sz w:val="21"/>
                <w:szCs w:val="21"/>
              </w:rPr>
              <w:t>5</w:t>
            </w:r>
          </w:p>
        </w:tc>
        <w:tc>
          <w:tcPr>
            <w:tcW w:w="3320" w:type="pct"/>
            <w:noWrap w:val="0"/>
            <w:vAlign w:val="center"/>
          </w:tcPr>
          <w:p w14:paraId="02753F6A">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《运输包装收发货标志》</w:t>
            </w:r>
          </w:p>
        </w:tc>
        <w:tc>
          <w:tcPr>
            <w:tcW w:w="1330" w:type="pct"/>
            <w:noWrap w:val="0"/>
            <w:vAlign w:val="center"/>
          </w:tcPr>
          <w:p w14:paraId="296C30FE">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GB/T6388-1996</w:t>
            </w:r>
          </w:p>
        </w:tc>
      </w:tr>
      <w:tr w14:paraId="7DE69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0365D2F8">
            <w:pPr>
              <w:overflowPunct w:val="0"/>
              <w:jc w:val="center"/>
              <w:rPr>
                <w:rFonts w:hint="eastAsia" w:ascii="宋体" w:hAnsi="宋体" w:eastAsia="宋体" w:cs="宋体"/>
                <w:sz w:val="21"/>
                <w:szCs w:val="21"/>
              </w:rPr>
            </w:pPr>
            <w:r>
              <w:rPr>
                <w:rFonts w:hint="eastAsia" w:ascii="宋体" w:hAnsi="宋体" w:eastAsia="宋体" w:cs="宋体"/>
                <w:sz w:val="21"/>
                <w:szCs w:val="21"/>
              </w:rPr>
              <w:t>6</w:t>
            </w:r>
          </w:p>
        </w:tc>
        <w:tc>
          <w:tcPr>
            <w:tcW w:w="3320" w:type="pct"/>
            <w:noWrap w:val="0"/>
            <w:vAlign w:val="center"/>
          </w:tcPr>
          <w:p w14:paraId="7280069C">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《容积式压缩机噪声声功率级的测定</w:t>
            </w:r>
            <w:r>
              <w:rPr>
                <w:rFonts w:ascii="宋体" w:hAnsi="宋体" w:cs="Arial Unicode MS"/>
                <w:bCs/>
                <w:sz w:val="24"/>
                <w:highlight w:val="none"/>
              </w:rPr>
              <w:t>-简易法》</w:t>
            </w:r>
          </w:p>
        </w:tc>
        <w:tc>
          <w:tcPr>
            <w:tcW w:w="1330" w:type="pct"/>
            <w:noWrap w:val="0"/>
            <w:vAlign w:val="center"/>
          </w:tcPr>
          <w:p w14:paraId="26B81258">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GB/T7022-1986</w:t>
            </w:r>
          </w:p>
        </w:tc>
      </w:tr>
      <w:tr w14:paraId="2C9A0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8140A49">
            <w:pPr>
              <w:overflowPunct w:val="0"/>
              <w:jc w:val="center"/>
              <w:rPr>
                <w:rFonts w:hint="eastAsia" w:ascii="宋体" w:hAnsi="宋体" w:eastAsia="宋体" w:cs="宋体"/>
                <w:sz w:val="21"/>
                <w:szCs w:val="21"/>
              </w:rPr>
            </w:pPr>
            <w:r>
              <w:rPr>
                <w:rFonts w:hint="eastAsia" w:ascii="宋体" w:hAnsi="宋体" w:eastAsia="宋体" w:cs="宋体"/>
                <w:sz w:val="21"/>
                <w:szCs w:val="21"/>
              </w:rPr>
              <w:t>7</w:t>
            </w:r>
          </w:p>
        </w:tc>
        <w:tc>
          <w:tcPr>
            <w:tcW w:w="3320" w:type="pct"/>
            <w:noWrap w:val="0"/>
            <w:vAlign w:val="center"/>
          </w:tcPr>
          <w:p w14:paraId="692D09B7">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《容积式压缩机机械振动测量与评价》</w:t>
            </w:r>
          </w:p>
        </w:tc>
        <w:tc>
          <w:tcPr>
            <w:tcW w:w="1330" w:type="pct"/>
            <w:noWrap w:val="0"/>
            <w:vAlign w:val="center"/>
          </w:tcPr>
          <w:p w14:paraId="6E5F6D5F">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 7777-2003</w:t>
            </w:r>
          </w:p>
        </w:tc>
      </w:tr>
      <w:tr w14:paraId="1D44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1277434">
            <w:pPr>
              <w:overflowPunct w:val="0"/>
              <w:jc w:val="center"/>
              <w:rPr>
                <w:rFonts w:hint="eastAsia" w:ascii="宋体" w:hAnsi="宋体" w:eastAsia="宋体" w:cs="宋体"/>
                <w:sz w:val="21"/>
                <w:szCs w:val="21"/>
              </w:rPr>
            </w:pPr>
            <w:r>
              <w:rPr>
                <w:rFonts w:hint="eastAsia" w:ascii="宋体" w:hAnsi="宋体" w:eastAsia="宋体" w:cs="宋体"/>
                <w:sz w:val="21"/>
                <w:szCs w:val="21"/>
              </w:rPr>
              <w:t>8</w:t>
            </w:r>
          </w:p>
        </w:tc>
        <w:tc>
          <w:tcPr>
            <w:tcW w:w="3320" w:type="pct"/>
            <w:noWrap w:val="0"/>
            <w:vAlign w:val="center"/>
          </w:tcPr>
          <w:p w14:paraId="3B8F9F7C">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《固定的空气压缩机安全规则和操作规程》</w:t>
            </w:r>
          </w:p>
        </w:tc>
        <w:tc>
          <w:tcPr>
            <w:tcW w:w="1330" w:type="pct"/>
            <w:noWrap w:val="0"/>
            <w:vAlign w:val="center"/>
          </w:tcPr>
          <w:p w14:paraId="3A47DA41">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GB10892-</w:t>
            </w:r>
            <w:r>
              <w:rPr>
                <w:rFonts w:hint="eastAsia" w:ascii="宋体" w:hAnsi="宋体" w:cs="Arial Unicode MS"/>
                <w:bCs/>
                <w:sz w:val="24"/>
                <w:highlight w:val="none"/>
              </w:rPr>
              <w:t>2005</w:t>
            </w:r>
          </w:p>
        </w:tc>
      </w:tr>
      <w:tr w14:paraId="481E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6470CED">
            <w:pPr>
              <w:overflowPunct w:val="0"/>
              <w:jc w:val="center"/>
              <w:rPr>
                <w:rFonts w:hint="eastAsia" w:ascii="宋体" w:hAnsi="宋体" w:eastAsia="宋体" w:cs="宋体"/>
                <w:sz w:val="21"/>
                <w:szCs w:val="21"/>
              </w:rPr>
            </w:pPr>
            <w:r>
              <w:rPr>
                <w:rFonts w:hint="eastAsia" w:ascii="宋体" w:hAnsi="宋体" w:eastAsia="宋体" w:cs="宋体"/>
                <w:sz w:val="21"/>
                <w:szCs w:val="21"/>
              </w:rPr>
              <w:t>9</w:t>
            </w:r>
          </w:p>
        </w:tc>
        <w:tc>
          <w:tcPr>
            <w:tcW w:w="3320" w:type="pct"/>
            <w:noWrap w:val="0"/>
            <w:vAlign w:val="center"/>
          </w:tcPr>
          <w:p w14:paraId="74FA37DE">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《一般用压缩空气质量等级》</w:t>
            </w:r>
          </w:p>
        </w:tc>
        <w:tc>
          <w:tcPr>
            <w:tcW w:w="1330" w:type="pct"/>
            <w:noWrap w:val="0"/>
            <w:vAlign w:val="center"/>
          </w:tcPr>
          <w:p w14:paraId="7AF29E8E">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w:t>
            </w:r>
            <w:r>
              <w:rPr>
                <w:rFonts w:hint="eastAsia" w:ascii="宋体" w:hAnsi="宋体" w:cs="Arial Unicode MS"/>
                <w:bCs/>
                <w:sz w:val="24"/>
                <w:highlight w:val="none"/>
              </w:rPr>
              <w:t>1</w:t>
            </w:r>
            <w:r>
              <w:rPr>
                <w:rFonts w:ascii="宋体" w:hAnsi="宋体" w:cs="Arial Unicode MS"/>
                <w:bCs/>
                <w:sz w:val="24"/>
                <w:highlight w:val="none"/>
              </w:rPr>
              <w:t>3277</w:t>
            </w:r>
            <w:r>
              <w:rPr>
                <w:rFonts w:hint="eastAsia" w:ascii="宋体" w:hAnsi="宋体" w:cs="Arial Unicode MS"/>
                <w:bCs/>
                <w:sz w:val="24"/>
                <w:highlight w:val="none"/>
              </w:rPr>
              <w:t>-1991</w:t>
            </w:r>
          </w:p>
        </w:tc>
      </w:tr>
      <w:tr w14:paraId="1D16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6689FB8A">
            <w:pPr>
              <w:overflowPunct w:val="0"/>
              <w:jc w:val="center"/>
              <w:rPr>
                <w:rFonts w:hint="eastAsia" w:ascii="宋体" w:hAnsi="宋体" w:eastAsia="宋体" w:cs="宋体"/>
                <w:sz w:val="21"/>
                <w:szCs w:val="21"/>
              </w:rPr>
            </w:pPr>
            <w:r>
              <w:rPr>
                <w:rFonts w:hint="eastAsia" w:ascii="宋体" w:hAnsi="宋体" w:eastAsia="宋体" w:cs="宋体"/>
                <w:sz w:val="21"/>
                <w:szCs w:val="21"/>
              </w:rPr>
              <w:t>10</w:t>
            </w:r>
          </w:p>
        </w:tc>
        <w:tc>
          <w:tcPr>
            <w:tcW w:w="3320" w:type="pct"/>
            <w:noWrap w:val="0"/>
            <w:vAlign w:val="center"/>
          </w:tcPr>
          <w:p w14:paraId="28955FE9">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《机电产品包装通用技术条件》</w:t>
            </w:r>
          </w:p>
        </w:tc>
        <w:tc>
          <w:tcPr>
            <w:tcW w:w="1330" w:type="pct"/>
            <w:noWrap w:val="0"/>
            <w:vAlign w:val="center"/>
          </w:tcPr>
          <w:p w14:paraId="0D74A4BB">
            <w:pPr>
              <w:spacing w:line="300" w:lineRule="exact"/>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GB/T13384-1992</w:t>
            </w:r>
          </w:p>
        </w:tc>
      </w:tr>
      <w:tr w14:paraId="5504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E52F305">
            <w:pPr>
              <w:overflowPunct w:val="0"/>
              <w:jc w:val="center"/>
              <w:rPr>
                <w:rFonts w:hint="eastAsia" w:ascii="宋体" w:hAnsi="宋体" w:eastAsia="宋体" w:cs="宋体"/>
                <w:sz w:val="21"/>
                <w:szCs w:val="21"/>
              </w:rPr>
            </w:pPr>
            <w:r>
              <w:rPr>
                <w:rFonts w:hint="eastAsia" w:ascii="宋体" w:hAnsi="宋体" w:eastAsia="宋体" w:cs="宋体"/>
                <w:sz w:val="21"/>
                <w:szCs w:val="21"/>
              </w:rPr>
              <w:t>11</w:t>
            </w:r>
          </w:p>
        </w:tc>
        <w:tc>
          <w:tcPr>
            <w:tcW w:w="3320" w:type="pct"/>
            <w:noWrap w:val="0"/>
            <w:vAlign w:val="center"/>
          </w:tcPr>
          <w:p w14:paraId="71C6CC53">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《容积式压缩机流量测量方法》</w:t>
            </w:r>
          </w:p>
        </w:tc>
        <w:tc>
          <w:tcPr>
            <w:tcW w:w="1330" w:type="pct"/>
            <w:noWrap w:val="0"/>
            <w:vAlign w:val="center"/>
          </w:tcPr>
          <w:p w14:paraId="6FDA1B78">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GB/T15487-1995</w:t>
            </w:r>
          </w:p>
        </w:tc>
      </w:tr>
      <w:tr w14:paraId="1E09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13CCFBFB">
            <w:pPr>
              <w:overflowPunct w:val="0"/>
              <w:jc w:val="center"/>
              <w:rPr>
                <w:rFonts w:hint="eastAsia" w:ascii="宋体" w:hAnsi="宋体" w:eastAsia="宋体" w:cs="宋体"/>
                <w:sz w:val="21"/>
                <w:szCs w:val="21"/>
              </w:rPr>
            </w:pPr>
            <w:r>
              <w:rPr>
                <w:rFonts w:hint="eastAsia" w:ascii="宋体" w:hAnsi="宋体" w:eastAsia="宋体" w:cs="宋体"/>
                <w:sz w:val="21"/>
                <w:szCs w:val="21"/>
              </w:rPr>
              <w:t>12</w:t>
            </w:r>
          </w:p>
        </w:tc>
        <w:tc>
          <w:tcPr>
            <w:tcW w:w="3320" w:type="pct"/>
            <w:noWrap w:val="0"/>
            <w:vAlign w:val="center"/>
          </w:tcPr>
          <w:p w14:paraId="09A5C59E">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《容积式空气压缩机 安全要求》</w:t>
            </w:r>
          </w:p>
        </w:tc>
        <w:tc>
          <w:tcPr>
            <w:tcW w:w="1330" w:type="pct"/>
            <w:noWrap w:val="0"/>
            <w:vAlign w:val="center"/>
          </w:tcPr>
          <w:p w14:paraId="4FCBB439">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JB</w:t>
            </w:r>
            <w:r>
              <w:rPr>
                <w:rFonts w:hint="eastAsia" w:ascii="宋体" w:hAnsi="宋体" w:cs="Arial Unicode MS"/>
                <w:bCs/>
                <w:sz w:val="24"/>
                <w:highlight w:val="none"/>
              </w:rPr>
              <w:t xml:space="preserve"> </w:t>
            </w:r>
            <w:r>
              <w:rPr>
                <w:rFonts w:ascii="宋体" w:hAnsi="宋体" w:cs="Arial Unicode MS"/>
                <w:bCs/>
                <w:sz w:val="24"/>
                <w:highlight w:val="none"/>
              </w:rPr>
              <w:t>8524-1997</w:t>
            </w:r>
          </w:p>
        </w:tc>
      </w:tr>
      <w:tr w14:paraId="78E5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4D9CB404">
            <w:pPr>
              <w:overflowPunct w:val="0"/>
              <w:jc w:val="center"/>
              <w:rPr>
                <w:rFonts w:hint="eastAsia" w:ascii="宋体" w:hAnsi="宋体" w:eastAsia="宋体" w:cs="宋体"/>
                <w:sz w:val="21"/>
                <w:szCs w:val="21"/>
              </w:rPr>
            </w:pPr>
            <w:r>
              <w:rPr>
                <w:rFonts w:hint="eastAsia" w:ascii="宋体" w:hAnsi="宋体" w:eastAsia="宋体" w:cs="宋体"/>
                <w:sz w:val="21"/>
                <w:szCs w:val="21"/>
              </w:rPr>
              <w:t>13</w:t>
            </w:r>
          </w:p>
        </w:tc>
        <w:tc>
          <w:tcPr>
            <w:tcW w:w="3320" w:type="pct"/>
            <w:noWrap w:val="0"/>
            <w:vAlign w:val="center"/>
          </w:tcPr>
          <w:p w14:paraId="1FAA6194">
            <w:pPr>
              <w:pStyle w:val="115"/>
              <w:adjustRightInd/>
              <w:spacing w:line="360" w:lineRule="auto"/>
              <w:jc w:val="center"/>
              <w:textAlignment w:val="auto"/>
              <w:rPr>
                <w:rFonts w:hint="eastAsia" w:ascii="宋体" w:hAnsi="宋体" w:cs="Arial Unicode MS"/>
                <w:bCs/>
                <w:kern w:val="2"/>
                <w:sz w:val="24"/>
                <w:szCs w:val="24"/>
                <w:highlight w:val="none"/>
                <w:lang w:val="en-US" w:eastAsia="zh-CN" w:bidi="ar-SA"/>
              </w:rPr>
            </w:pPr>
            <w:r>
              <w:rPr>
                <w:rFonts w:hint="eastAsia" w:ascii="宋体" w:hAnsi="宋体" w:cs="Arial Unicode MS"/>
                <w:bCs/>
                <w:sz w:val="24"/>
                <w:szCs w:val="24"/>
                <w:highlight w:val="none"/>
              </w:rPr>
              <w:t>《一般用喷油螺杆式空气压缩机》</w:t>
            </w:r>
          </w:p>
        </w:tc>
        <w:tc>
          <w:tcPr>
            <w:tcW w:w="1330" w:type="pct"/>
            <w:noWrap w:val="0"/>
            <w:vAlign w:val="center"/>
          </w:tcPr>
          <w:p w14:paraId="1EF1341E">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JB/T6430-2002</w:t>
            </w:r>
          </w:p>
        </w:tc>
      </w:tr>
      <w:tr w14:paraId="3503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0257E2B3">
            <w:pPr>
              <w:overflowPunct w:val="0"/>
              <w:jc w:val="center"/>
              <w:rPr>
                <w:rFonts w:hint="eastAsia" w:ascii="宋体" w:hAnsi="宋体" w:eastAsia="宋体" w:cs="宋体"/>
                <w:sz w:val="21"/>
                <w:szCs w:val="21"/>
              </w:rPr>
            </w:pPr>
            <w:r>
              <w:rPr>
                <w:rFonts w:hint="eastAsia" w:ascii="宋体" w:hAnsi="宋体" w:eastAsia="宋体" w:cs="宋体"/>
                <w:sz w:val="21"/>
                <w:szCs w:val="21"/>
              </w:rPr>
              <w:t>14</w:t>
            </w:r>
          </w:p>
        </w:tc>
        <w:tc>
          <w:tcPr>
            <w:tcW w:w="3320" w:type="pct"/>
            <w:noWrap w:val="0"/>
            <w:vAlign w:val="center"/>
          </w:tcPr>
          <w:p w14:paraId="3C03BC43">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《容积式压缩机用灰铸铁技术条件》</w:t>
            </w:r>
          </w:p>
        </w:tc>
        <w:tc>
          <w:tcPr>
            <w:tcW w:w="1330" w:type="pct"/>
            <w:noWrap w:val="0"/>
            <w:vAlign w:val="center"/>
          </w:tcPr>
          <w:p w14:paraId="0F689817">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JB/T6431-92</w:t>
            </w:r>
          </w:p>
        </w:tc>
      </w:tr>
      <w:tr w14:paraId="7EA4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349" w:type="pct"/>
            <w:noWrap w:val="0"/>
            <w:vAlign w:val="center"/>
          </w:tcPr>
          <w:p w14:paraId="03CC2E8B">
            <w:pPr>
              <w:overflowPunct w:val="0"/>
              <w:jc w:val="center"/>
              <w:rPr>
                <w:rFonts w:hint="eastAsia" w:ascii="宋体" w:hAnsi="宋体" w:eastAsia="宋体" w:cs="宋体"/>
                <w:sz w:val="21"/>
                <w:szCs w:val="21"/>
              </w:rPr>
            </w:pPr>
            <w:r>
              <w:rPr>
                <w:rFonts w:hint="eastAsia" w:ascii="宋体" w:hAnsi="宋体" w:eastAsia="宋体" w:cs="宋体"/>
                <w:sz w:val="21"/>
                <w:szCs w:val="21"/>
              </w:rPr>
              <w:t>15</w:t>
            </w:r>
          </w:p>
        </w:tc>
        <w:tc>
          <w:tcPr>
            <w:tcW w:w="3320" w:type="pct"/>
            <w:noWrap w:val="0"/>
            <w:vAlign w:val="center"/>
          </w:tcPr>
          <w:p w14:paraId="7E0F324B">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《容积式空气压缩机  安全要求》</w:t>
            </w:r>
          </w:p>
        </w:tc>
        <w:tc>
          <w:tcPr>
            <w:tcW w:w="1330" w:type="pct"/>
            <w:noWrap w:val="0"/>
            <w:vAlign w:val="center"/>
          </w:tcPr>
          <w:p w14:paraId="72B01777">
            <w:pPr>
              <w:spacing w:line="360" w:lineRule="auto"/>
              <w:jc w:val="center"/>
              <w:rPr>
                <w:rFonts w:hint="eastAsia" w:ascii="宋体" w:hAnsi="宋体" w:cs="Arial Unicode MS"/>
                <w:bCs/>
                <w:kern w:val="2"/>
                <w:sz w:val="24"/>
                <w:szCs w:val="24"/>
                <w:highlight w:val="none"/>
                <w:lang w:val="en-US" w:eastAsia="zh-CN" w:bidi="ar-SA"/>
              </w:rPr>
            </w:pPr>
            <w:r>
              <w:rPr>
                <w:rFonts w:ascii="宋体" w:hAnsi="宋体" w:cs="Arial Unicode MS"/>
                <w:bCs/>
                <w:sz w:val="24"/>
                <w:highlight w:val="none"/>
              </w:rPr>
              <w:t>JB/T 8524-1997</w:t>
            </w:r>
          </w:p>
        </w:tc>
      </w:tr>
      <w:tr w14:paraId="79A7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680" w:hRule="atLeast"/>
          <w:jc w:val="center"/>
        </w:trPr>
        <w:tc>
          <w:tcPr>
            <w:tcW w:w="0" w:type="auto"/>
            <w:noWrap w:val="0"/>
            <w:vAlign w:val="center"/>
          </w:tcPr>
          <w:p w14:paraId="482D5A6B">
            <w:pPr>
              <w:overflowPunct w:val="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3320" w:type="pct"/>
            <w:noWrap w:val="0"/>
            <w:vAlign w:val="center"/>
          </w:tcPr>
          <w:p w14:paraId="4E2FF2AD">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《容积式压缩机用球墨铸铁技术条件》</w:t>
            </w:r>
          </w:p>
        </w:tc>
        <w:tc>
          <w:tcPr>
            <w:tcW w:w="1330" w:type="pct"/>
            <w:noWrap w:val="0"/>
            <w:vAlign w:val="center"/>
          </w:tcPr>
          <w:p w14:paraId="06E6CB05">
            <w:pPr>
              <w:spacing w:line="360" w:lineRule="auto"/>
              <w:jc w:val="center"/>
              <w:rPr>
                <w:rFonts w:hint="eastAsia" w:ascii="宋体" w:hAnsi="宋体" w:cs="Arial Unicode MS"/>
                <w:bCs/>
                <w:kern w:val="2"/>
                <w:sz w:val="24"/>
                <w:szCs w:val="24"/>
                <w:highlight w:val="none"/>
                <w:lang w:val="en-US" w:eastAsia="zh-CN" w:bidi="ar-SA"/>
              </w:rPr>
            </w:pPr>
            <w:r>
              <w:rPr>
                <w:rFonts w:hint="eastAsia" w:ascii="宋体" w:hAnsi="宋体" w:cs="Arial Unicode MS"/>
                <w:bCs/>
                <w:sz w:val="24"/>
                <w:highlight w:val="none"/>
              </w:rPr>
              <w:t>JB/T9104-1999</w:t>
            </w:r>
          </w:p>
        </w:tc>
      </w:tr>
    </w:tbl>
    <w:p w14:paraId="4C8BCBB5">
      <w:pPr>
        <w:numPr>
          <w:ilvl w:val="0"/>
          <w:numId w:val="28"/>
        </w:numPr>
        <w:spacing w:line="480" w:lineRule="exact"/>
        <w:rPr>
          <w:rFonts w:hint="eastAsia" w:ascii="黑体" w:hAnsi="宋体" w:eastAsia="黑体"/>
        </w:rPr>
      </w:pPr>
      <w:r>
        <w:rPr>
          <w:rFonts w:hint="eastAsia" w:ascii="黑体" w:hAnsi="宋体" w:eastAsia="黑体"/>
        </w:rPr>
        <w:t>技术规范和技术要求</w:t>
      </w:r>
    </w:p>
    <w:p w14:paraId="4FF6D444">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3.1项目工艺要求</w:t>
      </w:r>
    </w:p>
    <w:p w14:paraId="35B32FC7">
      <w:pPr>
        <w:pStyle w:val="14"/>
        <w:spacing w:line="360" w:lineRule="auto"/>
        <w:ind w:firstLine="480" w:firstLineChars="200"/>
        <w:rPr>
          <w:rFonts w:hint="eastAsia" w:ascii="宋体" w:hAnsi="宋体" w:eastAsia="宋体" w:cs="宋体"/>
          <w:sz w:val="24"/>
          <w:szCs w:val="24"/>
          <w:highlight w:val="yellow"/>
          <w:lang w:val="en-US" w:eastAsia="zh-CN"/>
        </w:rPr>
      </w:pPr>
      <w:r>
        <w:rPr>
          <w:rFonts w:hint="eastAsia" w:ascii="宋体" w:hAnsi="宋体" w:eastAsia="宋体" w:cs="宋体"/>
          <w:sz w:val="24"/>
          <w:szCs w:val="24"/>
          <w:lang w:val="en-US" w:eastAsia="zh-CN"/>
        </w:rPr>
        <w:t>本项目为新增一台10</w:t>
      </w:r>
      <w:r>
        <w:rPr>
          <w:rFonts w:hint="eastAsia" w:ascii="宋体" w:hAnsi="宋体" w:eastAsia="宋体" w:cs="宋体"/>
          <w:b w:val="0"/>
          <w:bCs/>
          <w:color w:val="auto"/>
          <w:sz w:val="21"/>
          <w:szCs w:val="21"/>
          <w:highlight w:val="none"/>
          <w:lang w:val="de-DE"/>
        </w:rPr>
        <w:t>m</w:t>
      </w:r>
      <w:r>
        <w:rPr>
          <w:rFonts w:hint="eastAsia" w:ascii="宋体" w:hAnsi="宋体" w:eastAsia="宋体" w:cs="宋体"/>
          <w:b w:val="0"/>
          <w:bCs/>
          <w:color w:val="auto"/>
          <w:sz w:val="21"/>
          <w:szCs w:val="21"/>
          <w:highlight w:val="none"/>
          <w:vertAlign w:val="superscript"/>
          <w:lang w:val="de-DE"/>
        </w:rPr>
        <w:t>3</w:t>
      </w:r>
      <w:r>
        <w:rPr>
          <w:rFonts w:hint="eastAsia" w:ascii="宋体" w:hAnsi="宋体" w:eastAsia="宋体" w:cs="宋体"/>
          <w:b w:val="0"/>
          <w:bCs/>
          <w:color w:val="auto"/>
          <w:sz w:val="21"/>
          <w:szCs w:val="21"/>
          <w:highlight w:val="none"/>
          <w:lang w:val="de-DE"/>
        </w:rPr>
        <w:t>/min</w:t>
      </w:r>
      <w:r>
        <w:rPr>
          <w:rFonts w:hint="eastAsia" w:ascii="宋体" w:hAnsi="宋体" w:eastAsia="宋体" w:cs="宋体"/>
          <w:sz w:val="24"/>
          <w:szCs w:val="24"/>
          <w:lang w:val="en-US" w:eastAsia="zh-CN"/>
        </w:rPr>
        <w:t>永磁变频螺杆式空气压缩机及配套冷干机，增加一套联控系统,该联控系统可以同原有的1号9.85m³/min空压机联控使用。该系统在车间现场有10个压力报警点，当车间使用端压力低时，可以实现声光报警。</w:t>
      </w:r>
    </w:p>
    <w:p w14:paraId="71F66D45">
      <w:pPr>
        <w:spacing w:line="440" w:lineRule="exact"/>
        <w:ind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rPr>
        <w:t>排气量：根据实际需求设定，误差需≤±5%（在额定工况下，即进气温度20℃、进气压力101.3kPa、相对湿度65%）。</w:t>
      </w:r>
    </w:p>
    <w:p w14:paraId="0CF58968">
      <w:pPr>
        <w:spacing w:line="440" w:lineRule="exact"/>
        <w:ind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rPr>
        <w:t>排气压力：额定压力偏差≤±0.02MPa，且需具备压力调节功能，调节范围满足用户实际使用场景（如0.6-1.2MPa）。</w:t>
      </w:r>
    </w:p>
    <w:p w14:paraId="305B57E3">
      <w:pPr>
        <w:spacing w:line="440" w:lineRule="exact"/>
        <w:ind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rPr>
        <w:t>电源适配：适配380V/3P/50Hz工业电源，电压波动允许范围为±10%，频率波动允许范围为±5%。</w:t>
      </w:r>
    </w:p>
    <w:p w14:paraId="549E5F43">
      <w:pPr>
        <w:spacing w:line="440" w:lineRule="exact"/>
        <w:ind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rPr>
        <w:t>环境适应：可在环境温度-5℃-45℃、相对湿度≤95%（无凝露）、海拔≤1000m的条件下稳定运行；海拔超过1000m时，需根据海拔高度对排气量进行修正，修正系数符合行业标准。</w:t>
      </w:r>
    </w:p>
    <w:p w14:paraId="7A98894C">
      <w:pPr>
        <w:spacing w:line="440" w:lineRule="exact"/>
        <w:ind w:firstLine="480" w:firstLineChars="200"/>
        <w:rPr>
          <w:rFonts w:hint="eastAsia" w:cs="宋体"/>
          <w:sz w:val="24"/>
          <w:szCs w:val="24"/>
        </w:rPr>
      </w:pPr>
      <w:r>
        <w:rPr>
          <w:rFonts w:hint="eastAsia" w:cs="宋体"/>
          <w:sz w:val="24"/>
          <w:szCs w:val="24"/>
          <w:lang w:val="en-US" w:eastAsia="zh-CN"/>
        </w:rPr>
        <w:t>5.</w:t>
      </w:r>
      <w:r>
        <w:rPr>
          <w:rFonts w:hint="eastAsia" w:cs="宋体"/>
          <w:sz w:val="24"/>
          <w:szCs w:val="24"/>
        </w:rPr>
        <w:t>采用高效永磁同步电机，防护等级</w:t>
      </w:r>
      <w:r>
        <w:rPr>
          <w:rFonts w:hint="eastAsia" w:ascii="Times New Roman" w:hAnsi="Times New Roman" w:eastAsia="宋体" w:cs="宋体"/>
          <w:sz w:val="24"/>
          <w:szCs w:val="24"/>
        </w:rPr>
        <w:t>不低于IP</w:t>
      </w:r>
      <w:r>
        <w:rPr>
          <w:rFonts w:hint="eastAsia" w:ascii="Times New Roman" w:hAnsi="Times New Roman" w:eastAsia="宋体" w:cs="宋体"/>
          <w:sz w:val="24"/>
          <w:szCs w:val="24"/>
          <w:lang w:val="en-US" w:eastAsia="zh-CN"/>
        </w:rPr>
        <w:t>54</w:t>
      </w:r>
      <w:r>
        <w:rPr>
          <w:rFonts w:hint="eastAsia" w:ascii="Times New Roman" w:hAnsi="Times New Roman" w:eastAsia="宋体" w:cs="宋体"/>
          <w:sz w:val="24"/>
          <w:szCs w:val="24"/>
        </w:rPr>
        <w:t>，</w:t>
      </w:r>
      <w:r>
        <w:rPr>
          <w:rFonts w:hint="eastAsia" w:cs="宋体"/>
          <w:sz w:val="24"/>
          <w:szCs w:val="24"/>
        </w:rPr>
        <w:t>绝缘等级为F级，确保防尘、防潮及耐高温性能。</w:t>
      </w:r>
    </w:p>
    <w:p w14:paraId="29DAAA9A">
      <w:pPr>
        <w:spacing w:line="440" w:lineRule="exact"/>
        <w:ind w:firstLine="480" w:firstLineChars="20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6.</w:t>
      </w:r>
      <w:r>
        <w:rPr>
          <w:rFonts w:hint="eastAsia" w:ascii="Times New Roman" w:hAnsi="Times New Roman" w:eastAsia="宋体" w:cs="宋体"/>
          <w:sz w:val="24"/>
          <w:szCs w:val="24"/>
        </w:rPr>
        <w:t>电机能效等级满足 GB 18613-2020《电动机能效限定值及能效等级》中 1 级能效（IE4 级） 要求，卖方须提供国家认可的能效标识、CMA/CNAS 认证检测报告及节能产品认证证书作为证明文件，保证资料真实有效。</w:t>
      </w:r>
    </w:p>
    <w:p w14:paraId="377AD162">
      <w:pPr>
        <w:spacing w:line="440" w:lineRule="exact"/>
        <w:ind w:firstLine="480" w:firstLineChars="200"/>
        <w:rPr>
          <w:rFonts w:hint="eastAsia" w:cs="宋体"/>
          <w:sz w:val="24"/>
          <w:szCs w:val="24"/>
        </w:rPr>
      </w:pPr>
      <w:r>
        <w:rPr>
          <w:rFonts w:hint="eastAsia" w:cs="宋体"/>
          <w:sz w:val="24"/>
          <w:szCs w:val="24"/>
          <w:lang w:val="en-US" w:eastAsia="zh-CN"/>
        </w:rPr>
        <w:t>7.不</w:t>
      </w:r>
      <w:r>
        <w:rPr>
          <w:rFonts w:hint="eastAsia" w:cs="宋体"/>
          <w:sz w:val="24"/>
          <w:szCs w:val="24"/>
        </w:rPr>
        <w:t>配备高精度编码器。</w:t>
      </w:r>
    </w:p>
    <w:p w14:paraId="53566C71">
      <w:pPr>
        <w:spacing w:line="440" w:lineRule="exact"/>
        <w:ind w:firstLine="480" w:firstLineChars="200"/>
        <w:rPr>
          <w:rFonts w:hint="eastAsia" w:cs="宋体"/>
          <w:sz w:val="24"/>
          <w:szCs w:val="24"/>
        </w:rPr>
      </w:pPr>
      <w:r>
        <w:rPr>
          <w:rFonts w:hint="eastAsia" w:cs="宋体"/>
          <w:sz w:val="24"/>
          <w:szCs w:val="24"/>
          <w:lang w:val="en-US" w:eastAsia="zh-CN"/>
        </w:rPr>
        <w:t>8.</w:t>
      </w:r>
      <w:r>
        <w:rPr>
          <w:rFonts w:hint="eastAsia" w:cs="宋体"/>
          <w:sz w:val="24"/>
          <w:szCs w:val="24"/>
        </w:rPr>
        <w:t>螺杆主机采用双螺杆结构，转子材质为高强度合金钢材，经精密磨削加工，转子间隙≤0.05mm，确保低泄漏、高效率。</w:t>
      </w:r>
    </w:p>
    <w:p w14:paraId="3BD70253">
      <w:pPr>
        <w:spacing w:line="440" w:lineRule="exact"/>
        <w:ind w:firstLine="480" w:firstLineChars="200"/>
        <w:rPr>
          <w:rFonts w:hint="eastAsia" w:cs="宋体"/>
          <w:sz w:val="24"/>
          <w:szCs w:val="24"/>
        </w:rPr>
      </w:pPr>
      <w:r>
        <w:rPr>
          <w:rFonts w:hint="eastAsia" w:cs="宋体"/>
          <w:sz w:val="24"/>
          <w:szCs w:val="24"/>
          <w:lang w:val="en-US" w:eastAsia="zh-CN"/>
        </w:rPr>
        <w:t>9.</w:t>
      </w:r>
      <w:r>
        <w:rPr>
          <w:rFonts w:hint="eastAsia" w:cs="宋体"/>
          <w:sz w:val="24"/>
          <w:szCs w:val="24"/>
        </w:rPr>
        <w:t>主机设计寿命不低于80000小时，首次大修周期不低于20000小时，且需提供主机质保承诺（不低于3年或40000小时）。</w:t>
      </w:r>
    </w:p>
    <w:p w14:paraId="736F737A">
      <w:pPr>
        <w:spacing w:line="440" w:lineRule="exact"/>
        <w:ind w:firstLine="480" w:firstLineChars="200"/>
        <w:rPr>
          <w:rFonts w:hint="eastAsia" w:cs="宋体"/>
          <w:sz w:val="24"/>
          <w:szCs w:val="24"/>
        </w:rPr>
      </w:pPr>
      <w:r>
        <w:rPr>
          <w:rFonts w:hint="eastAsia" w:cs="宋体"/>
          <w:sz w:val="24"/>
          <w:szCs w:val="24"/>
          <w:lang w:val="en-US" w:eastAsia="zh-CN"/>
        </w:rPr>
        <w:t>10.</w:t>
      </w:r>
      <w:r>
        <w:rPr>
          <w:rFonts w:hint="eastAsia" w:cs="宋体"/>
          <w:sz w:val="24"/>
          <w:szCs w:val="24"/>
        </w:rPr>
        <w:t>具备防过载保护功能，当排气温度超过110℃或排气压力超过额定值10%时，自动停机并报警。</w:t>
      </w:r>
    </w:p>
    <w:p w14:paraId="4EE37EC4">
      <w:pPr>
        <w:spacing w:line="440" w:lineRule="exact"/>
        <w:ind w:firstLine="480" w:firstLineChars="200"/>
        <w:rPr>
          <w:rFonts w:hint="eastAsia" w:cs="宋体"/>
          <w:sz w:val="24"/>
          <w:szCs w:val="24"/>
        </w:rPr>
      </w:pPr>
      <w:r>
        <w:rPr>
          <w:rFonts w:hint="eastAsia" w:cs="宋体"/>
          <w:sz w:val="24"/>
          <w:szCs w:val="24"/>
          <w:lang w:val="en-US" w:eastAsia="zh-CN"/>
        </w:rPr>
        <w:t>11.</w:t>
      </w:r>
      <w:r>
        <w:rPr>
          <w:rFonts w:hint="eastAsia" w:cs="宋体"/>
          <w:sz w:val="24"/>
          <w:szCs w:val="24"/>
        </w:rPr>
        <w:t>变频控制系统采用矢量控制型变频器，具备过流、过压、欠压、过热、过载等多重保护功能，适应电网波动能力强。</w:t>
      </w:r>
    </w:p>
    <w:p w14:paraId="7FB2CEA1">
      <w:pPr>
        <w:spacing w:line="440" w:lineRule="exact"/>
        <w:ind w:firstLine="480" w:firstLineChars="200"/>
        <w:rPr>
          <w:rFonts w:hint="eastAsia" w:ascii="Times New Roman" w:hAnsi="Times New Roman" w:eastAsia="宋体" w:cs="宋体"/>
          <w:sz w:val="24"/>
          <w:szCs w:val="24"/>
        </w:rPr>
      </w:pPr>
      <w:r>
        <w:rPr>
          <w:rFonts w:hint="eastAsia" w:cs="宋体"/>
          <w:sz w:val="24"/>
          <w:szCs w:val="24"/>
          <w:lang w:val="en-US" w:eastAsia="zh-CN"/>
        </w:rPr>
        <w:t>12.</w:t>
      </w:r>
      <w:r>
        <w:rPr>
          <w:rFonts w:hint="eastAsia" w:cs="宋体"/>
          <w:sz w:val="24"/>
          <w:szCs w:val="24"/>
        </w:rPr>
        <w:t>支持</w:t>
      </w:r>
      <w:r>
        <w:rPr>
          <w:rFonts w:hint="eastAsia" w:cs="宋体"/>
          <w:sz w:val="24"/>
          <w:szCs w:val="24"/>
          <w:lang w:val="en-US" w:eastAsia="zh-CN"/>
        </w:rPr>
        <w:t>两</w:t>
      </w:r>
      <w:r>
        <w:rPr>
          <w:rFonts w:hint="eastAsia" w:cs="宋体"/>
          <w:sz w:val="24"/>
          <w:szCs w:val="24"/>
        </w:rPr>
        <w:t>台空压机联动控制（需兼容</w:t>
      </w:r>
      <w:r>
        <w:rPr>
          <w:rFonts w:hint="eastAsia" w:ascii="Times New Roman" w:hAnsi="Times New Roman" w:eastAsia="宋体" w:cs="宋体"/>
          <w:sz w:val="24"/>
          <w:szCs w:val="24"/>
        </w:rPr>
        <w:t>Modbus-RTU或Profinet等工业通信协议），可实现负载均衡、自动启停，降低整体能耗。</w:t>
      </w:r>
    </w:p>
    <w:p w14:paraId="40F77E74">
      <w:pPr>
        <w:spacing w:line="440" w:lineRule="exact"/>
        <w:ind w:firstLine="480" w:firstLineChars="200"/>
        <w:rPr>
          <w:rFonts w:hint="eastAsia" w:cs="宋体"/>
          <w:sz w:val="24"/>
          <w:szCs w:val="24"/>
        </w:rPr>
      </w:pPr>
      <w:r>
        <w:rPr>
          <w:rFonts w:hint="eastAsia" w:ascii="Times New Roman" w:hAnsi="Times New Roman" w:eastAsia="宋体" w:cs="宋体"/>
          <w:sz w:val="24"/>
          <w:szCs w:val="24"/>
          <w:lang w:val="en-US" w:eastAsia="zh-CN"/>
        </w:rPr>
        <w:t>13.</w:t>
      </w:r>
      <w:r>
        <w:rPr>
          <w:rFonts w:hint="eastAsia" w:ascii="Times New Roman" w:hAnsi="Times New Roman" w:eastAsia="宋体" w:cs="宋体"/>
          <w:sz w:val="24"/>
          <w:szCs w:val="24"/>
        </w:rPr>
        <w:t>配备彩色触摸屏，实时显示</w:t>
      </w:r>
      <w:r>
        <w:rPr>
          <w:rFonts w:hint="eastAsia" w:cs="宋体"/>
          <w:sz w:val="24"/>
          <w:szCs w:val="24"/>
        </w:rPr>
        <w:t>排气压力、排气温度、电机转速、运行时间等关键参数，支持故障代码查询及历史数据记录（存储时间≥1年）。</w:t>
      </w:r>
    </w:p>
    <w:p w14:paraId="4631FB62">
      <w:pPr>
        <w:spacing w:line="440" w:lineRule="exact"/>
        <w:ind w:firstLine="480" w:firstLineChars="200"/>
        <w:rPr>
          <w:rFonts w:hint="eastAsia" w:cs="宋体"/>
          <w:sz w:val="24"/>
          <w:szCs w:val="24"/>
        </w:rPr>
      </w:pPr>
      <w:r>
        <w:rPr>
          <w:rFonts w:hint="eastAsia" w:cs="宋体"/>
          <w:sz w:val="24"/>
          <w:szCs w:val="24"/>
          <w:lang w:val="en-US" w:eastAsia="zh-CN"/>
        </w:rPr>
        <w:t>14.</w:t>
      </w:r>
      <w:r>
        <w:rPr>
          <w:rFonts w:hint="eastAsia" w:cs="宋体"/>
          <w:sz w:val="24"/>
          <w:szCs w:val="24"/>
        </w:rPr>
        <w:t>性能与能耗要求</w:t>
      </w:r>
    </w:p>
    <w:p w14:paraId="7F57C758">
      <w:pPr>
        <w:spacing w:line="440" w:lineRule="exact"/>
        <w:ind w:firstLine="480" w:firstLineChars="200"/>
        <w:rPr>
          <w:rFonts w:hint="eastAsia" w:cs="宋体"/>
          <w:sz w:val="24"/>
          <w:szCs w:val="24"/>
        </w:rPr>
      </w:pPr>
      <w:r>
        <w:rPr>
          <w:rFonts w:hint="eastAsia" w:cs="宋体"/>
          <w:sz w:val="24"/>
          <w:szCs w:val="24"/>
          <w:lang w:val="en-US" w:eastAsia="zh-CN"/>
        </w:rPr>
        <w:t>14.1</w:t>
      </w:r>
      <w:r>
        <w:rPr>
          <w:rFonts w:hint="eastAsia" w:cs="宋体"/>
          <w:sz w:val="24"/>
          <w:szCs w:val="24"/>
        </w:rPr>
        <w:t>压力稳定性：当负载在30%-100%范围内波动时，排气压力波动幅度≤±0.03MPa，避免压力骤升骤降影响用气设备。</w:t>
      </w:r>
    </w:p>
    <w:p w14:paraId="41C811A4">
      <w:pPr>
        <w:spacing w:line="440" w:lineRule="exact"/>
        <w:ind w:firstLine="480" w:firstLineChars="200"/>
        <w:rPr>
          <w:rFonts w:hint="default" w:eastAsia="宋体" w:cs="宋体"/>
          <w:sz w:val="24"/>
          <w:szCs w:val="24"/>
          <w:lang w:val="en-US" w:eastAsia="zh-CN"/>
        </w:rPr>
      </w:pPr>
      <w:r>
        <w:rPr>
          <w:rFonts w:hint="eastAsia" w:cs="宋体"/>
          <w:sz w:val="24"/>
          <w:szCs w:val="24"/>
          <w:lang w:val="en-US" w:eastAsia="zh-CN"/>
        </w:rPr>
        <w:t>14.2</w:t>
      </w:r>
      <w:r>
        <w:rPr>
          <w:rFonts w:hint="eastAsia" w:cs="宋体"/>
          <w:sz w:val="24"/>
          <w:szCs w:val="24"/>
        </w:rPr>
        <w:t>启动性能：</w:t>
      </w:r>
      <w:r>
        <w:rPr>
          <w:rFonts w:hint="eastAsia" w:cs="宋体"/>
          <w:sz w:val="24"/>
          <w:szCs w:val="24"/>
          <w:lang w:val="en-US" w:eastAsia="zh-CN"/>
        </w:rPr>
        <w:t>采用变</w:t>
      </w:r>
      <w:r>
        <w:rPr>
          <w:rFonts w:hint="eastAsia" w:ascii="Times New Roman" w:hAnsi="Times New Roman" w:eastAsia="宋体" w:cs="宋体"/>
          <w:sz w:val="24"/>
          <w:szCs w:val="24"/>
          <w:lang w:val="en-US" w:eastAsia="zh-CN"/>
        </w:rPr>
        <w:t>频软</w:t>
      </w:r>
      <w:r>
        <w:rPr>
          <w:rFonts w:hint="eastAsia" w:cs="宋体"/>
          <w:sz w:val="24"/>
          <w:szCs w:val="24"/>
          <w:lang w:val="en-US" w:eastAsia="zh-CN"/>
        </w:rPr>
        <w:t>启动</w:t>
      </w:r>
      <w:r>
        <w:rPr>
          <w:rFonts w:hint="eastAsia" w:cs="宋体"/>
          <w:sz w:val="24"/>
          <w:szCs w:val="24"/>
        </w:rPr>
        <w:t>，启动电流≤额定电流的1.5倍，避免对电网造成冲击；停机时具备泄压功能，防止主机反转。</w:t>
      </w:r>
    </w:p>
    <w:p w14:paraId="5E8B0E6A">
      <w:pPr>
        <w:spacing w:line="440" w:lineRule="exact"/>
        <w:ind w:firstLine="480" w:firstLineChars="200"/>
        <w:rPr>
          <w:rFonts w:hint="eastAsia" w:cs="宋体"/>
          <w:sz w:val="24"/>
          <w:szCs w:val="24"/>
        </w:rPr>
      </w:pPr>
      <w:r>
        <w:rPr>
          <w:rFonts w:hint="eastAsia" w:cs="宋体"/>
          <w:sz w:val="24"/>
          <w:szCs w:val="24"/>
          <w:lang w:val="en-US" w:eastAsia="zh-CN"/>
        </w:rPr>
        <w:t>15.</w:t>
      </w:r>
      <w:r>
        <w:rPr>
          <w:rFonts w:hint="eastAsia" w:cs="宋体"/>
          <w:sz w:val="24"/>
          <w:szCs w:val="24"/>
        </w:rPr>
        <w:t>安全与防护要求</w:t>
      </w:r>
    </w:p>
    <w:p w14:paraId="572C7937">
      <w:pPr>
        <w:spacing w:line="440" w:lineRule="exact"/>
        <w:ind w:firstLine="480" w:firstLineChars="200"/>
        <w:rPr>
          <w:rFonts w:hint="eastAsia" w:cs="宋体"/>
          <w:sz w:val="24"/>
          <w:szCs w:val="24"/>
        </w:rPr>
      </w:pPr>
      <w:r>
        <w:rPr>
          <w:rFonts w:hint="eastAsia" w:cs="宋体"/>
          <w:sz w:val="24"/>
          <w:szCs w:val="24"/>
          <w:lang w:val="en-US" w:eastAsia="zh-CN"/>
        </w:rPr>
        <w:t>15.1</w:t>
      </w:r>
      <w:r>
        <w:rPr>
          <w:rFonts w:hint="eastAsia" w:cs="宋体"/>
          <w:sz w:val="24"/>
          <w:szCs w:val="24"/>
        </w:rPr>
        <w:t>机械防护：设备外露旋转部件（如风扇、皮带轮）需配备防护网罩，防护网罩孔隙尺寸≤12mm，符合GB/T 13277.1-2008《压缩空气 第1部分：污染物净化等级》安全要求。</w:t>
      </w:r>
    </w:p>
    <w:p w14:paraId="2A7ABB31">
      <w:pPr>
        <w:spacing w:line="440" w:lineRule="exact"/>
        <w:ind w:firstLine="480" w:firstLineChars="200"/>
        <w:rPr>
          <w:rFonts w:hint="eastAsia" w:cs="宋体"/>
          <w:sz w:val="24"/>
          <w:szCs w:val="24"/>
        </w:rPr>
      </w:pPr>
      <w:r>
        <w:rPr>
          <w:rFonts w:hint="eastAsia" w:cs="宋体"/>
          <w:sz w:val="24"/>
          <w:szCs w:val="24"/>
          <w:lang w:val="en-US" w:eastAsia="zh-CN"/>
        </w:rPr>
        <w:t>15.2</w:t>
      </w:r>
      <w:r>
        <w:rPr>
          <w:rFonts w:hint="eastAsia" w:cs="宋体"/>
          <w:sz w:val="24"/>
          <w:szCs w:val="24"/>
        </w:rPr>
        <w:t>电气安全：设备外壳接地电阻≤4Ω，电气系统绝缘电阻≥1MΩ（500V DC），符合GB 5226.1-2019《机械电气安全 机械电气设备 第1部分：通用技术条件》。</w:t>
      </w:r>
    </w:p>
    <w:p w14:paraId="30324001">
      <w:pPr>
        <w:spacing w:line="440" w:lineRule="exact"/>
        <w:ind w:firstLine="480" w:firstLineChars="200"/>
        <w:rPr>
          <w:rFonts w:hint="eastAsia" w:ascii="Times New Roman" w:hAnsi="Times New Roman" w:eastAsia="宋体" w:cs="宋体"/>
          <w:sz w:val="24"/>
          <w:szCs w:val="24"/>
          <w:lang w:eastAsia="zh-CN"/>
        </w:rPr>
      </w:pPr>
      <w:r>
        <w:rPr>
          <w:rFonts w:hint="eastAsia" w:cs="宋体"/>
          <w:sz w:val="24"/>
          <w:szCs w:val="24"/>
          <w:lang w:val="en-US" w:eastAsia="zh-CN"/>
        </w:rPr>
        <w:t>15.3</w:t>
      </w:r>
      <w:r>
        <w:rPr>
          <w:rFonts w:hint="eastAsia" w:cs="宋体"/>
          <w:sz w:val="24"/>
          <w:szCs w:val="24"/>
        </w:rPr>
        <w:t>报警功能：当出现排气高温（≥115℃）、油位过低、滤芯堵塞（压差≥0.1MPa）、电机过载等故障时，设备需立即</w:t>
      </w:r>
      <w:r>
        <w:rPr>
          <w:rFonts w:hint="eastAsia" w:ascii="Times New Roman" w:hAnsi="Times New Roman" w:eastAsia="宋体" w:cs="宋体"/>
          <w:sz w:val="24"/>
          <w:szCs w:val="24"/>
        </w:rPr>
        <w:t>停机并发出声光报警</w:t>
      </w:r>
      <w:r>
        <w:rPr>
          <w:rFonts w:hint="eastAsia" w:ascii="Times New Roman" w:hAnsi="Times New Roman" w:eastAsia="宋体" w:cs="宋体"/>
          <w:sz w:val="24"/>
          <w:szCs w:val="24"/>
          <w:lang w:eastAsia="zh-CN"/>
        </w:rPr>
        <w:t>。</w:t>
      </w:r>
    </w:p>
    <w:p w14:paraId="30A6FA1D">
      <w:pPr>
        <w:spacing w:line="440" w:lineRule="exact"/>
        <w:ind w:firstLine="480" w:firstLineChars="200"/>
        <w:rPr>
          <w:rFonts w:hint="eastAsia" w:cs="宋体"/>
          <w:sz w:val="24"/>
          <w:szCs w:val="24"/>
        </w:rPr>
      </w:pPr>
      <w:r>
        <w:rPr>
          <w:rFonts w:hint="eastAsia" w:cs="宋体"/>
          <w:sz w:val="24"/>
          <w:szCs w:val="24"/>
          <w:lang w:val="en-US" w:eastAsia="zh-CN"/>
        </w:rPr>
        <w:t>16.</w:t>
      </w:r>
      <w:r>
        <w:rPr>
          <w:rFonts w:hint="eastAsia" w:cs="宋体"/>
          <w:sz w:val="24"/>
          <w:szCs w:val="24"/>
        </w:rPr>
        <w:t>其他要求</w:t>
      </w:r>
    </w:p>
    <w:p w14:paraId="09337DF1">
      <w:pPr>
        <w:spacing w:line="440" w:lineRule="exact"/>
        <w:ind w:firstLine="480" w:firstLineChars="200"/>
        <w:rPr>
          <w:rFonts w:hint="eastAsia" w:cs="宋体"/>
          <w:sz w:val="24"/>
          <w:szCs w:val="24"/>
        </w:rPr>
      </w:pPr>
      <w:r>
        <w:rPr>
          <w:rFonts w:hint="eastAsia" w:cs="宋体"/>
          <w:sz w:val="24"/>
          <w:szCs w:val="24"/>
          <w:lang w:val="en-US" w:eastAsia="zh-CN"/>
        </w:rPr>
        <w:t>16.1</w:t>
      </w:r>
      <w:r>
        <w:rPr>
          <w:rFonts w:hint="eastAsia" w:cs="宋体"/>
          <w:sz w:val="24"/>
          <w:szCs w:val="24"/>
        </w:rPr>
        <w:t>噪音：设备运行时（距离机身1m处，高度1.5m），噪音值</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80</w:t>
      </w:r>
      <w:r>
        <w:rPr>
          <w:rFonts w:hint="eastAsia" w:ascii="Times New Roman" w:hAnsi="Times New Roman" w:eastAsia="宋体" w:cs="宋体"/>
          <w:sz w:val="24"/>
          <w:szCs w:val="24"/>
        </w:rPr>
        <w:t>dB(A)，</w:t>
      </w:r>
      <w:r>
        <w:rPr>
          <w:rFonts w:hint="eastAsia" w:cs="宋体"/>
          <w:sz w:val="24"/>
          <w:szCs w:val="24"/>
        </w:rPr>
        <w:t>符合GB/T 2888-2021《风机和罗茨鼓风机 噪声测量方法》。</w:t>
      </w:r>
    </w:p>
    <w:p w14:paraId="66D2F8BC">
      <w:pPr>
        <w:spacing w:line="440" w:lineRule="exact"/>
        <w:ind w:firstLine="480" w:firstLineChars="200"/>
        <w:rPr>
          <w:rFonts w:hint="eastAsia" w:cs="宋体"/>
          <w:sz w:val="24"/>
          <w:szCs w:val="24"/>
        </w:rPr>
      </w:pPr>
      <w:r>
        <w:rPr>
          <w:rFonts w:hint="eastAsia" w:cs="宋体"/>
          <w:sz w:val="24"/>
          <w:szCs w:val="24"/>
          <w:lang w:val="en-US" w:eastAsia="zh-CN"/>
        </w:rPr>
        <w:t>16.2</w:t>
      </w:r>
      <w:r>
        <w:rPr>
          <w:rFonts w:hint="eastAsia" w:cs="宋体"/>
          <w:sz w:val="24"/>
          <w:szCs w:val="24"/>
        </w:rPr>
        <w:t>维护便利性：油滤、空滤、油分芯等易损件需设计为快拆结构，更换时间≤30分钟；设备底部需预留排污口，便于定期排放冷凝水。</w:t>
      </w:r>
    </w:p>
    <w:p w14:paraId="3D4F9FFD">
      <w:pPr>
        <w:pStyle w:val="14"/>
        <w:numPr>
          <w:ilvl w:val="0"/>
          <w:numId w:val="0"/>
        </w:numPr>
        <w:spacing w:line="360" w:lineRule="auto"/>
        <w:ind w:firstLine="482" w:firstLineChars="200"/>
        <w:outlineLvl w:val="0"/>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3.2空压机设备要求</w:t>
      </w:r>
    </w:p>
    <w:p w14:paraId="563FCC80">
      <w:pPr>
        <w:pStyle w:val="14"/>
        <w:spacing w:line="360" w:lineRule="auto"/>
        <w:ind w:firstLine="480" w:firstLineChars="200"/>
        <w:rPr>
          <w:rFonts w:hint="eastAsia" w:ascii="宋体" w:hAnsi="宋体" w:eastAsia="宋体" w:cs="宋体"/>
          <w:kern w:val="0"/>
          <w:sz w:val="24"/>
          <w:szCs w:val="24"/>
          <w:highlight w:val="none"/>
          <w:lang w:val="de-DE" w:eastAsia="zh-CN" w:bidi="ar-SA"/>
        </w:rPr>
      </w:pPr>
      <w:r>
        <w:rPr>
          <w:rFonts w:hint="eastAsia" w:ascii="宋体" w:hAnsi="宋体" w:eastAsia="宋体" w:cs="宋体"/>
          <w:kern w:val="0"/>
          <w:sz w:val="24"/>
          <w:szCs w:val="24"/>
          <w:highlight w:val="none"/>
          <w:lang w:val="en-US" w:eastAsia="zh-CN" w:bidi="ar-SA"/>
        </w:rPr>
        <w:t>排气量：≥10</w:t>
      </w:r>
      <w:r>
        <w:rPr>
          <w:rFonts w:hint="eastAsia" w:ascii="宋体" w:hAnsi="宋体" w:eastAsia="宋体" w:cs="宋体"/>
          <w:b w:val="0"/>
          <w:bCs/>
          <w:color w:val="auto"/>
          <w:sz w:val="21"/>
          <w:szCs w:val="21"/>
          <w:highlight w:val="none"/>
          <w:lang w:val="de-DE"/>
        </w:rPr>
        <w:t>m</w:t>
      </w:r>
      <w:r>
        <w:rPr>
          <w:rFonts w:hint="eastAsia" w:ascii="宋体" w:hAnsi="宋体" w:eastAsia="宋体" w:cs="宋体"/>
          <w:b w:val="0"/>
          <w:bCs/>
          <w:color w:val="auto"/>
          <w:sz w:val="21"/>
          <w:szCs w:val="21"/>
          <w:highlight w:val="none"/>
          <w:vertAlign w:val="superscript"/>
          <w:lang w:val="de-DE"/>
        </w:rPr>
        <w:t>3</w:t>
      </w:r>
      <w:r>
        <w:rPr>
          <w:rFonts w:hint="eastAsia" w:ascii="宋体" w:hAnsi="宋体" w:eastAsia="宋体" w:cs="宋体"/>
          <w:kern w:val="0"/>
          <w:sz w:val="24"/>
          <w:szCs w:val="24"/>
          <w:highlight w:val="none"/>
          <w:lang w:val="de-DE" w:eastAsia="zh-CN" w:bidi="ar-SA"/>
        </w:rPr>
        <w:t>/min，</w:t>
      </w:r>
    </w:p>
    <w:p w14:paraId="104B5C36">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电机功率：75KW</w:t>
      </w:r>
    </w:p>
    <w:p w14:paraId="3963629A">
      <w:pPr>
        <w:pStyle w:val="14"/>
        <w:spacing w:line="360" w:lineRule="auto"/>
        <w:ind w:firstLine="480" w:firstLineChars="200"/>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排气压力：0.7-0.85MPa</w:t>
      </w:r>
    </w:p>
    <w:p w14:paraId="3B7DA634">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冷却方式：风冷 </w:t>
      </w:r>
    </w:p>
    <w:p w14:paraId="1709C8D4">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传动方式：直联</w:t>
      </w:r>
    </w:p>
    <w:p w14:paraId="6F6CEFD6">
      <w:pPr>
        <w:pStyle w:val="14"/>
        <w:spacing w:line="360" w:lineRule="auto"/>
        <w:ind w:firstLine="480" w:firstLineChars="200"/>
        <w:rPr>
          <w:rFonts w:hint="eastAsia" w:ascii="宋体" w:hAnsi="宋体" w:eastAsia="宋体" w:cs="宋体"/>
          <w:kern w:val="0"/>
          <w:sz w:val="24"/>
          <w:szCs w:val="24"/>
          <w:highlight w:val="none"/>
          <w:lang w:val="de-DE" w:eastAsia="zh-CN" w:bidi="ar-SA"/>
        </w:rPr>
      </w:pPr>
      <w:r>
        <w:rPr>
          <w:rFonts w:hint="eastAsia" w:ascii="宋体" w:hAnsi="宋体" w:eastAsia="宋体" w:cs="宋体"/>
          <w:kern w:val="0"/>
          <w:sz w:val="24"/>
          <w:szCs w:val="24"/>
          <w:highlight w:val="none"/>
          <w:lang w:val="en-US" w:eastAsia="zh-CN" w:bidi="ar-SA"/>
        </w:rPr>
        <w:t>噪声值：≤75</w:t>
      </w:r>
      <w:r>
        <w:rPr>
          <w:rFonts w:hint="eastAsia" w:ascii="宋体" w:hAnsi="宋体" w:eastAsia="宋体" w:cs="宋体"/>
          <w:kern w:val="0"/>
          <w:sz w:val="24"/>
          <w:szCs w:val="24"/>
          <w:highlight w:val="none"/>
          <w:lang w:val="de-DE" w:eastAsia="zh-CN" w:bidi="ar-SA"/>
        </w:rPr>
        <w:t>±3dB(A)</w:t>
      </w:r>
    </w:p>
    <w:p w14:paraId="0DD6EE5F">
      <w:pPr>
        <w:pStyle w:val="14"/>
        <w:spacing w:line="360" w:lineRule="auto"/>
        <w:ind w:firstLine="480" w:firstLineChars="200"/>
        <w:rPr>
          <w:rFonts w:hint="eastAsia" w:ascii="宋体" w:hAnsi="宋体" w:eastAsia="宋体" w:cs="宋体"/>
          <w:kern w:val="0"/>
          <w:sz w:val="24"/>
          <w:szCs w:val="24"/>
          <w:highlight w:val="none"/>
          <w:lang w:val="de-DE" w:eastAsia="zh-CN" w:bidi="ar-SA"/>
        </w:rPr>
      </w:pPr>
      <w:r>
        <w:rPr>
          <w:rFonts w:hint="eastAsia" w:ascii="宋体" w:hAnsi="宋体" w:eastAsia="宋体" w:cs="宋体"/>
          <w:kern w:val="0"/>
          <w:sz w:val="24"/>
          <w:szCs w:val="24"/>
          <w:highlight w:val="none"/>
          <w:lang w:val="en-US" w:eastAsia="zh-CN" w:bidi="ar-SA"/>
        </w:rPr>
        <w:t>冷却后出口压缩空气温度：环境温度</w:t>
      </w:r>
      <w:r>
        <w:rPr>
          <w:rFonts w:hint="eastAsia" w:ascii="宋体" w:hAnsi="宋体" w:eastAsia="宋体" w:cs="宋体"/>
          <w:kern w:val="0"/>
          <w:sz w:val="24"/>
          <w:szCs w:val="24"/>
          <w:highlight w:val="none"/>
          <w:lang w:val="de-DE" w:eastAsia="zh-CN" w:bidi="ar-SA"/>
        </w:rPr>
        <w:t>+1</w:t>
      </w:r>
      <w:r>
        <w:rPr>
          <w:rFonts w:hint="eastAsia" w:ascii="宋体" w:hAnsi="宋体" w:eastAsia="宋体" w:cs="宋体"/>
          <w:kern w:val="0"/>
          <w:sz w:val="24"/>
          <w:szCs w:val="24"/>
          <w:highlight w:val="none"/>
          <w:lang w:val="en-US" w:eastAsia="zh-CN" w:bidi="ar-SA"/>
        </w:rPr>
        <w:t>5</w:t>
      </w:r>
      <w:r>
        <w:rPr>
          <w:rFonts w:hint="eastAsia" w:ascii="宋体" w:hAnsi="宋体" w:eastAsia="宋体" w:cs="宋体"/>
          <w:kern w:val="0"/>
          <w:sz w:val="24"/>
          <w:szCs w:val="24"/>
          <w:highlight w:val="none"/>
          <w:lang w:val="de-DE" w:eastAsia="zh-CN" w:bidi="ar-SA"/>
        </w:rPr>
        <w:t>℃</w:t>
      </w:r>
    </w:p>
    <w:p w14:paraId="17311C74">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3.3冷干机设备要求</w:t>
      </w:r>
    </w:p>
    <w:p w14:paraId="072FC0B2">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处理量：25m³/min</w:t>
      </w:r>
    </w:p>
    <w:p w14:paraId="0CD16F8E">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工作压力：0.6-1.0 MPa</w:t>
      </w:r>
    </w:p>
    <w:p w14:paraId="05A9DD80">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压力露点：2-10℃</w:t>
      </w:r>
    </w:p>
    <w:p w14:paraId="2F98BAC3">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整机功率：5-7KW</w:t>
      </w:r>
    </w:p>
    <w:p w14:paraId="16DAE2B7">
      <w:pPr>
        <w:pStyle w:val="14"/>
        <w:spacing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电源/频率：380/50</w:t>
      </w:r>
    </w:p>
    <w:p w14:paraId="68060919">
      <w:pPr>
        <w:pStyle w:val="14"/>
        <w:spacing w:line="360" w:lineRule="auto"/>
        <w:ind w:firstLine="480" w:firstLineChars="200"/>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冷干机需配套25m³/min，三级精密过滤器，除水过滤器、除尘过滤器、除油过滤器。</w:t>
      </w:r>
    </w:p>
    <w:p w14:paraId="11AB45E3">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3.4压力声光报警系统</w:t>
      </w:r>
    </w:p>
    <w:p w14:paraId="1F21F4AA">
      <w:pPr>
        <w:widowControl w:val="0"/>
        <w:snapToGrid w:val="0"/>
        <w:spacing w:line="360" w:lineRule="auto"/>
        <w:ind w:firstLine="480" w:firstLineChars="200"/>
        <w:jc w:val="both"/>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压力声光报警10个点位，主管路（1个压力报警点）具备超压、低压显示及报警功能，主机显示实际压力和设定压力，并具有警报消除装置。此位置声光报警器具备4G信号功能，可实现手机端传输。其他点位（9个压力报警点）可实现声光报警功能。</w:t>
      </w:r>
    </w:p>
    <w:p w14:paraId="3C9B8B10">
      <w:pPr>
        <w:widowControl w:val="0"/>
        <w:snapToGrid w:val="0"/>
        <w:spacing w:line="360" w:lineRule="auto"/>
        <w:ind w:firstLine="482"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b/>
          <w:bCs/>
          <w:kern w:val="2"/>
          <w:sz w:val="24"/>
          <w:szCs w:val="24"/>
          <w:lang w:val="en-US" w:eastAsia="zh-CN" w:bidi="ar-SA"/>
        </w:rPr>
        <w:t>3.5布置布局</w:t>
      </w:r>
    </w:p>
    <w:p w14:paraId="0D1FC5D9">
      <w:pPr>
        <w:widowControl w:val="0"/>
        <w:snapToGrid w:val="0"/>
        <w:spacing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（1）单台空压机设备占地面积≤1700mm×1300mm。</w:t>
      </w:r>
    </w:p>
    <w:p w14:paraId="4D515911">
      <w:pPr>
        <w:widowControl w:val="0"/>
        <w:snapToGrid w:val="0"/>
        <w:spacing w:line="360" w:lineRule="auto"/>
        <w:ind w:firstLine="480" w:firstLineChars="200"/>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（2）配备压力表、流量计、安全阀（一用一备），并提供相关第三方检定证书。（检定机构具有CNAS认证资质）。</w:t>
      </w:r>
    </w:p>
    <w:p w14:paraId="7BF66A08">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3.6设备配置要求</w:t>
      </w:r>
    </w:p>
    <w:p w14:paraId="53F096F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空压机：</w:t>
      </w:r>
      <w:r>
        <w:rPr>
          <w:rFonts w:hint="eastAsia" w:ascii="宋体" w:hAnsi="宋体" w:eastAsia="宋体" w:cs="宋体"/>
          <w:kern w:val="0"/>
          <w:sz w:val="24"/>
          <w:szCs w:val="24"/>
          <w:highlight w:val="none"/>
          <w:lang w:val="en-US" w:eastAsia="zh-CN" w:bidi="ar-SA"/>
        </w:rPr>
        <w:t>选用Atlas·Copco、英格索兰、寿力等国际一流品牌。（能与现有寿力空压机联控）</w:t>
      </w:r>
    </w:p>
    <w:p w14:paraId="46B2237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PLC：采用知名品牌（如西门子、汇川等）</w:t>
      </w:r>
    </w:p>
    <w:p w14:paraId="65DA0E2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电气元器件： 西门子、ABB、施耐德。</w:t>
      </w:r>
    </w:p>
    <w:p w14:paraId="04E5B08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电机：采用知名品牌，选用一级能效。</w:t>
      </w:r>
    </w:p>
    <w:p w14:paraId="6DA0D79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所有关重零部件：采用一线品牌。轴承采用SKF(进口)或同等品牌。</w:t>
      </w:r>
    </w:p>
    <w:p w14:paraId="523C76E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电缆：优先选用江苏上上、中航宝胜（扬州厂）、无锡江南、中天科技海缆、汉河（青岛汉缆）。</w:t>
      </w:r>
    </w:p>
    <w:p w14:paraId="54E37218">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电机功率≥7.5kW,必须选用一级能效，电机功率＜7.5kW，优先选用一级能效；其中能源供应设备及年运行时间≥2000h工艺设备电机必须选用一级能效。</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2331"/>
        <w:gridCol w:w="2974"/>
        <w:gridCol w:w="770"/>
        <w:gridCol w:w="785"/>
        <w:gridCol w:w="1363"/>
      </w:tblGrid>
      <w:tr w14:paraId="3468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706FC6D4">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序号</w:t>
            </w:r>
          </w:p>
        </w:tc>
        <w:tc>
          <w:tcPr>
            <w:tcW w:w="2331" w:type="dxa"/>
            <w:noWrap w:val="0"/>
            <w:vAlign w:val="center"/>
          </w:tcPr>
          <w:p w14:paraId="172C266E">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名称</w:t>
            </w:r>
          </w:p>
        </w:tc>
        <w:tc>
          <w:tcPr>
            <w:tcW w:w="2974" w:type="dxa"/>
            <w:noWrap w:val="0"/>
            <w:vAlign w:val="center"/>
          </w:tcPr>
          <w:p w14:paraId="7F59D2B5">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规格参数</w:t>
            </w:r>
          </w:p>
        </w:tc>
        <w:tc>
          <w:tcPr>
            <w:tcW w:w="770" w:type="dxa"/>
            <w:noWrap w:val="0"/>
            <w:vAlign w:val="center"/>
          </w:tcPr>
          <w:p w14:paraId="7D11DD87">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数量</w:t>
            </w:r>
          </w:p>
        </w:tc>
        <w:tc>
          <w:tcPr>
            <w:tcW w:w="785" w:type="dxa"/>
            <w:noWrap w:val="0"/>
            <w:vAlign w:val="center"/>
          </w:tcPr>
          <w:p w14:paraId="31743DC4">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单位</w:t>
            </w:r>
          </w:p>
        </w:tc>
        <w:tc>
          <w:tcPr>
            <w:tcW w:w="1363" w:type="dxa"/>
            <w:noWrap w:val="0"/>
            <w:vAlign w:val="center"/>
          </w:tcPr>
          <w:p w14:paraId="3FF63823">
            <w:pPr>
              <w:pStyle w:val="2"/>
              <w:jc w:val="center"/>
              <w:rPr>
                <w:rFonts w:hint="default" w:ascii="Times New Roman" w:hAnsi="Times New Roman" w:eastAsia="宋体" w:cs="Times New Roman"/>
                <w:b/>
                <w:bCs/>
                <w:kern w:val="2"/>
                <w:sz w:val="24"/>
                <w:szCs w:val="24"/>
                <w:vertAlign w:val="baseline"/>
                <w:lang w:val="en-US" w:eastAsia="zh-CN" w:bidi="ar-SA"/>
              </w:rPr>
            </w:pPr>
            <w:r>
              <w:rPr>
                <w:rFonts w:hint="eastAsia" w:ascii="Times New Roman" w:hAnsi="Times New Roman" w:eastAsia="宋体" w:cs="Times New Roman"/>
                <w:b/>
                <w:bCs/>
                <w:kern w:val="2"/>
                <w:sz w:val="24"/>
                <w:szCs w:val="24"/>
                <w:vertAlign w:val="baseline"/>
                <w:lang w:val="en-US" w:eastAsia="zh-CN" w:bidi="ar-SA"/>
              </w:rPr>
              <w:t>备注</w:t>
            </w:r>
          </w:p>
        </w:tc>
      </w:tr>
      <w:tr w14:paraId="3FE0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1FC73C62">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2331" w:type="dxa"/>
            <w:noWrap w:val="0"/>
            <w:vAlign w:val="center"/>
          </w:tcPr>
          <w:p w14:paraId="6AD5D21A">
            <w:pPr>
              <w:keepNext w:val="0"/>
              <w:keepLines w:val="0"/>
              <w:widowControl/>
              <w:suppressLineNumbers w:val="0"/>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永磁变频空气压缩机</w:t>
            </w:r>
          </w:p>
        </w:tc>
        <w:tc>
          <w:tcPr>
            <w:tcW w:w="2974" w:type="dxa"/>
            <w:noWrap w:val="0"/>
            <w:vAlign w:val="center"/>
          </w:tcPr>
          <w:p w14:paraId="0965952A">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 xml:space="preserve">功率：75KW </w:t>
            </w:r>
          </w:p>
          <w:p w14:paraId="646FACC7">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排气量：≥10m³/min</w:t>
            </w:r>
          </w:p>
        </w:tc>
        <w:tc>
          <w:tcPr>
            <w:tcW w:w="770" w:type="dxa"/>
            <w:noWrap w:val="0"/>
            <w:vAlign w:val="center"/>
          </w:tcPr>
          <w:p w14:paraId="0D9C5873">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0DF45C75">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749FF102">
            <w:pPr>
              <w:pStyle w:val="2"/>
              <w:jc w:val="center"/>
              <w:rPr>
                <w:rFonts w:hint="eastAsia" w:ascii="Times New Roman" w:hAnsi="Times New Roman" w:eastAsia="宋体" w:cs="Times New Roman"/>
                <w:kern w:val="2"/>
                <w:sz w:val="24"/>
                <w:szCs w:val="24"/>
                <w:vertAlign w:val="baseline"/>
                <w:lang w:val="en-US" w:eastAsia="zh-CN" w:bidi="ar-SA"/>
              </w:rPr>
            </w:pPr>
          </w:p>
        </w:tc>
      </w:tr>
      <w:tr w14:paraId="6345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2E803F57">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2331" w:type="dxa"/>
            <w:noWrap w:val="0"/>
            <w:vAlign w:val="center"/>
          </w:tcPr>
          <w:p w14:paraId="74F49BF0">
            <w:pPr>
              <w:keepNext w:val="0"/>
              <w:keepLines w:val="0"/>
              <w:widowControl/>
              <w:suppressLineNumbers w:val="0"/>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冷冻式干燥机</w:t>
            </w:r>
          </w:p>
        </w:tc>
        <w:tc>
          <w:tcPr>
            <w:tcW w:w="2974" w:type="dxa"/>
            <w:noWrap w:val="0"/>
            <w:vAlign w:val="center"/>
          </w:tcPr>
          <w:p w14:paraId="57EFF06D">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25m³/min</w:t>
            </w:r>
          </w:p>
          <w:p w14:paraId="54D57432">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满足两台联控使用</w:t>
            </w:r>
          </w:p>
        </w:tc>
        <w:tc>
          <w:tcPr>
            <w:tcW w:w="770" w:type="dxa"/>
            <w:noWrap w:val="0"/>
            <w:vAlign w:val="center"/>
          </w:tcPr>
          <w:p w14:paraId="78953904">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1C9DCFDE">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249EAEF5">
            <w:pPr>
              <w:pStyle w:val="2"/>
              <w:jc w:val="center"/>
              <w:rPr>
                <w:rFonts w:hint="eastAsia" w:ascii="Times New Roman" w:hAnsi="Times New Roman" w:eastAsia="宋体" w:cs="Times New Roman"/>
                <w:kern w:val="2"/>
                <w:sz w:val="24"/>
                <w:szCs w:val="24"/>
                <w:vertAlign w:val="baseline"/>
                <w:lang w:val="en-US" w:eastAsia="zh-CN" w:bidi="ar-SA"/>
              </w:rPr>
            </w:pPr>
          </w:p>
        </w:tc>
      </w:tr>
      <w:tr w14:paraId="292F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54A3203B">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w:t>
            </w:r>
          </w:p>
        </w:tc>
        <w:tc>
          <w:tcPr>
            <w:tcW w:w="2331" w:type="dxa"/>
            <w:noWrap w:val="0"/>
            <w:vAlign w:val="center"/>
          </w:tcPr>
          <w:p w14:paraId="71994999">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除水过滤器</w:t>
            </w:r>
          </w:p>
        </w:tc>
        <w:tc>
          <w:tcPr>
            <w:tcW w:w="2974" w:type="dxa"/>
            <w:noWrap w:val="0"/>
            <w:vAlign w:val="center"/>
          </w:tcPr>
          <w:p w14:paraId="500F00BF">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25m³/min</w:t>
            </w:r>
          </w:p>
          <w:p w14:paraId="512FA021">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满足两台联控使用</w:t>
            </w:r>
          </w:p>
        </w:tc>
        <w:tc>
          <w:tcPr>
            <w:tcW w:w="770" w:type="dxa"/>
            <w:noWrap w:val="0"/>
            <w:vAlign w:val="center"/>
          </w:tcPr>
          <w:p w14:paraId="24A3C19D">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22A2C181">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05176D35">
            <w:pPr>
              <w:pStyle w:val="2"/>
              <w:jc w:val="center"/>
              <w:rPr>
                <w:rFonts w:hint="eastAsia" w:ascii="Times New Roman" w:hAnsi="Times New Roman" w:eastAsia="宋体" w:cs="Times New Roman"/>
                <w:kern w:val="2"/>
                <w:sz w:val="24"/>
                <w:szCs w:val="24"/>
                <w:vertAlign w:val="baseline"/>
                <w:lang w:val="en-US" w:eastAsia="zh-CN" w:bidi="ar-SA"/>
              </w:rPr>
            </w:pPr>
          </w:p>
        </w:tc>
      </w:tr>
      <w:tr w14:paraId="5DE7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4669DD09">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c>
          <w:tcPr>
            <w:tcW w:w="2331" w:type="dxa"/>
            <w:noWrap w:val="0"/>
            <w:vAlign w:val="center"/>
          </w:tcPr>
          <w:p w14:paraId="47AD1612">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除尘过滤器</w:t>
            </w:r>
          </w:p>
        </w:tc>
        <w:tc>
          <w:tcPr>
            <w:tcW w:w="2974" w:type="dxa"/>
            <w:noWrap w:val="0"/>
            <w:vAlign w:val="center"/>
          </w:tcPr>
          <w:p w14:paraId="0112E627">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25m³/min</w:t>
            </w:r>
          </w:p>
          <w:p w14:paraId="577BFF03">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满足两台联控使用</w:t>
            </w:r>
          </w:p>
        </w:tc>
        <w:tc>
          <w:tcPr>
            <w:tcW w:w="770" w:type="dxa"/>
            <w:noWrap w:val="0"/>
            <w:vAlign w:val="center"/>
          </w:tcPr>
          <w:p w14:paraId="4C6B830C">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24ADD3A7">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257F4C25">
            <w:pPr>
              <w:pStyle w:val="2"/>
              <w:jc w:val="center"/>
              <w:rPr>
                <w:rFonts w:hint="eastAsia" w:ascii="Times New Roman" w:hAnsi="Times New Roman" w:eastAsia="宋体" w:cs="Times New Roman"/>
                <w:kern w:val="2"/>
                <w:sz w:val="24"/>
                <w:szCs w:val="24"/>
                <w:vertAlign w:val="baseline"/>
                <w:lang w:val="en-US" w:eastAsia="zh-CN" w:bidi="ar-SA"/>
              </w:rPr>
            </w:pPr>
          </w:p>
        </w:tc>
      </w:tr>
      <w:tr w14:paraId="20CA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1241D56A">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5</w:t>
            </w:r>
          </w:p>
        </w:tc>
        <w:tc>
          <w:tcPr>
            <w:tcW w:w="2331" w:type="dxa"/>
            <w:noWrap w:val="0"/>
            <w:vAlign w:val="center"/>
          </w:tcPr>
          <w:p w14:paraId="7032FCE9">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除油过滤器</w:t>
            </w:r>
          </w:p>
        </w:tc>
        <w:tc>
          <w:tcPr>
            <w:tcW w:w="2974" w:type="dxa"/>
            <w:noWrap w:val="0"/>
            <w:vAlign w:val="center"/>
          </w:tcPr>
          <w:p w14:paraId="0D67D14A">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25m³/min</w:t>
            </w:r>
          </w:p>
          <w:p w14:paraId="1BFD2287">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满足两台联控使用</w:t>
            </w:r>
          </w:p>
        </w:tc>
        <w:tc>
          <w:tcPr>
            <w:tcW w:w="770" w:type="dxa"/>
            <w:noWrap w:val="0"/>
            <w:vAlign w:val="center"/>
          </w:tcPr>
          <w:p w14:paraId="4B0166EB">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4CC3EAAD">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台</w:t>
            </w:r>
          </w:p>
        </w:tc>
        <w:tc>
          <w:tcPr>
            <w:tcW w:w="1363" w:type="dxa"/>
            <w:noWrap w:val="0"/>
            <w:vAlign w:val="center"/>
          </w:tcPr>
          <w:p w14:paraId="31CBB819">
            <w:pPr>
              <w:pStyle w:val="2"/>
              <w:jc w:val="center"/>
              <w:rPr>
                <w:rFonts w:hint="eastAsia" w:ascii="Times New Roman" w:hAnsi="Times New Roman" w:eastAsia="宋体" w:cs="Times New Roman"/>
                <w:kern w:val="2"/>
                <w:sz w:val="24"/>
                <w:szCs w:val="24"/>
                <w:vertAlign w:val="baseline"/>
                <w:lang w:val="en-US" w:eastAsia="zh-CN" w:bidi="ar-SA"/>
              </w:rPr>
            </w:pPr>
          </w:p>
        </w:tc>
      </w:tr>
      <w:tr w14:paraId="7B772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47585A68">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6</w:t>
            </w:r>
          </w:p>
        </w:tc>
        <w:tc>
          <w:tcPr>
            <w:tcW w:w="2331" w:type="dxa"/>
            <w:noWrap w:val="0"/>
            <w:vAlign w:val="center"/>
          </w:tcPr>
          <w:p w14:paraId="33997878">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压力声光报警系统</w:t>
            </w:r>
          </w:p>
        </w:tc>
        <w:tc>
          <w:tcPr>
            <w:tcW w:w="2974" w:type="dxa"/>
            <w:noWrap w:val="0"/>
            <w:vAlign w:val="center"/>
          </w:tcPr>
          <w:p w14:paraId="705E70EE">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478D11DB">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2ECA5CCD">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0CD2BED7">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10个压力报警点</w:t>
            </w:r>
          </w:p>
        </w:tc>
      </w:tr>
      <w:tr w14:paraId="06B1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69084A4E">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zh-CN" w:eastAsia="zh-CN" w:bidi="ar-SA"/>
              </w:rPr>
            </w:pPr>
            <w:r>
              <w:rPr>
                <w:rFonts w:hint="eastAsia" w:ascii="宋体" w:hAnsi="宋体" w:eastAsia="宋体" w:cs="宋体"/>
                <w:i w:val="0"/>
                <w:iCs w:val="0"/>
                <w:color w:val="000000"/>
                <w:kern w:val="0"/>
                <w:sz w:val="24"/>
                <w:szCs w:val="24"/>
                <w:u w:val="none"/>
                <w:lang w:val="en-US" w:eastAsia="zh-CN" w:bidi="ar"/>
              </w:rPr>
              <w:t>7</w:t>
            </w:r>
          </w:p>
        </w:tc>
        <w:tc>
          <w:tcPr>
            <w:tcW w:w="2331" w:type="dxa"/>
            <w:noWrap w:val="0"/>
            <w:vAlign w:val="center"/>
          </w:tcPr>
          <w:p w14:paraId="4E1EE8FB">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联控装置</w:t>
            </w:r>
          </w:p>
        </w:tc>
        <w:tc>
          <w:tcPr>
            <w:tcW w:w="2974" w:type="dxa"/>
            <w:noWrap w:val="0"/>
            <w:vAlign w:val="center"/>
          </w:tcPr>
          <w:p w14:paraId="54806842">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3A5994BC">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3C9EF111">
            <w:pPr>
              <w:pStyle w:val="2"/>
              <w:jc w:val="center"/>
              <w:rPr>
                <w:rFonts w:hint="eastAsia" w:ascii="Times New Roman" w:hAnsi="Times New Roman" w:eastAsia="宋体" w:cs="Times New Roman"/>
                <w:kern w:val="2"/>
                <w:sz w:val="24"/>
                <w:szCs w:val="24"/>
                <w:vertAlign w:val="baseline"/>
                <w:lang w:val="zh-CN"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1CAF8F28">
            <w:pPr>
              <w:pStyle w:val="2"/>
              <w:jc w:val="center"/>
              <w:rPr>
                <w:rFonts w:hint="eastAsia" w:ascii="Times New Roman" w:hAnsi="Times New Roman" w:eastAsia="宋体" w:cs="Times New Roman"/>
                <w:kern w:val="2"/>
                <w:sz w:val="24"/>
                <w:szCs w:val="24"/>
                <w:vertAlign w:val="baseline"/>
                <w:lang w:val="zh-CN" w:eastAsia="zh-CN" w:bidi="ar-SA"/>
              </w:rPr>
            </w:pPr>
          </w:p>
        </w:tc>
      </w:tr>
      <w:tr w14:paraId="68F0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6377A46A">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zh-CN" w:eastAsia="zh-CN" w:bidi="ar-SA"/>
              </w:rPr>
            </w:pPr>
            <w:r>
              <w:rPr>
                <w:rFonts w:hint="eastAsia" w:ascii="宋体" w:hAnsi="宋体" w:eastAsia="宋体" w:cs="宋体"/>
                <w:i w:val="0"/>
                <w:iCs w:val="0"/>
                <w:color w:val="000000"/>
                <w:kern w:val="0"/>
                <w:sz w:val="24"/>
                <w:szCs w:val="24"/>
                <w:u w:val="none"/>
                <w:lang w:val="en-US" w:eastAsia="zh-CN" w:bidi="ar"/>
              </w:rPr>
              <w:t>8</w:t>
            </w:r>
          </w:p>
        </w:tc>
        <w:tc>
          <w:tcPr>
            <w:tcW w:w="2331" w:type="dxa"/>
            <w:noWrap w:val="0"/>
            <w:vAlign w:val="center"/>
          </w:tcPr>
          <w:p w14:paraId="5C6FB533">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油水分离器滤芯</w:t>
            </w:r>
          </w:p>
        </w:tc>
        <w:tc>
          <w:tcPr>
            <w:tcW w:w="2974" w:type="dxa"/>
            <w:noWrap w:val="0"/>
            <w:vAlign w:val="center"/>
          </w:tcPr>
          <w:p w14:paraId="696B1BD1">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100m³</w:t>
            </w:r>
          </w:p>
        </w:tc>
        <w:tc>
          <w:tcPr>
            <w:tcW w:w="770" w:type="dxa"/>
            <w:noWrap w:val="0"/>
            <w:vAlign w:val="center"/>
          </w:tcPr>
          <w:p w14:paraId="63353798">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2</w:t>
            </w:r>
          </w:p>
        </w:tc>
        <w:tc>
          <w:tcPr>
            <w:tcW w:w="785" w:type="dxa"/>
            <w:noWrap w:val="0"/>
            <w:vAlign w:val="center"/>
          </w:tcPr>
          <w:p w14:paraId="2105E8DA">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个</w:t>
            </w:r>
          </w:p>
        </w:tc>
        <w:tc>
          <w:tcPr>
            <w:tcW w:w="1363" w:type="dxa"/>
            <w:noWrap w:val="0"/>
            <w:vAlign w:val="center"/>
          </w:tcPr>
          <w:p w14:paraId="68C71D88">
            <w:pPr>
              <w:pStyle w:val="2"/>
              <w:jc w:val="center"/>
              <w:rPr>
                <w:rFonts w:hint="eastAsia" w:ascii="Times New Roman" w:hAnsi="Times New Roman" w:eastAsia="宋体" w:cs="Times New Roman"/>
                <w:kern w:val="2"/>
                <w:sz w:val="24"/>
                <w:szCs w:val="24"/>
                <w:vertAlign w:val="baseline"/>
                <w:lang w:val="zh-CN" w:eastAsia="zh-CN" w:bidi="ar-SA"/>
              </w:rPr>
            </w:pPr>
          </w:p>
        </w:tc>
      </w:tr>
      <w:tr w14:paraId="7BFA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68B2B05C">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9</w:t>
            </w:r>
          </w:p>
        </w:tc>
        <w:tc>
          <w:tcPr>
            <w:tcW w:w="2331" w:type="dxa"/>
            <w:noWrap w:val="0"/>
            <w:vAlign w:val="center"/>
          </w:tcPr>
          <w:p w14:paraId="07525962">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电缆桥架</w:t>
            </w:r>
          </w:p>
        </w:tc>
        <w:tc>
          <w:tcPr>
            <w:tcW w:w="2974" w:type="dxa"/>
            <w:noWrap w:val="0"/>
            <w:vAlign w:val="center"/>
          </w:tcPr>
          <w:p w14:paraId="7CDD5EB7">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61C485B7">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04C37C60">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1C6C1BD7">
            <w:pPr>
              <w:pStyle w:val="2"/>
              <w:jc w:val="center"/>
              <w:rPr>
                <w:rFonts w:hint="eastAsia" w:ascii="Times New Roman" w:hAnsi="Times New Roman" w:eastAsia="宋体" w:cs="Times New Roman"/>
                <w:kern w:val="2"/>
                <w:sz w:val="24"/>
                <w:szCs w:val="24"/>
                <w:vertAlign w:val="baseline"/>
                <w:lang w:val="en-US" w:eastAsia="zh-CN" w:bidi="ar-SA"/>
              </w:rPr>
            </w:pPr>
          </w:p>
        </w:tc>
      </w:tr>
      <w:tr w14:paraId="455F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2982F6D5">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10</w:t>
            </w:r>
          </w:p>
        </w:tc>
        <w:tc>
          <w:tcPr>
            <w:tcW w:w="2331" w:type="dxa"/>
            <w:noWrap w:val="0"/>
            <w:vAlign w:val="center"/>
          </w:tcPr>
          <w:p w14:paraId="12A582E7">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电缆</w:t>
            </w:r>
          </w:p>
        </w:tc>
        <w:tc>
          <w:tcPr>
            <w:tcW w:w="2974" w:type="dxa"/>
            <w:noWrap w:val="0"/>
            <w:vAlign w:val="center"/>
          </w:tcPr>
          <w:p w14:paraId="7EBE217F">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3*50mm²+2*35mm² 85米</w:t>
            </w:r>
          </w:p>
          <w:p w14:paraId="295F25C8">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3*6mm²+2*4mm²  20米</w:t>
            </w:r>
          </w:p>
        </w:tc>
        <w:tc>
          <w:tcPr>
            <w:tcW w:w="770" w:type="dxa"/>
            <w:noWrap w:val="0"/>
            <w:vAlign w:val="center"/>
          </w:tcPr>
          <w:p w14:paraId="3C07CA25">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681CA4DD">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753FBE7E">
            <w:pPr>
              <w:pStyle w:val="2"/>
              <w:jc w:val="center"/>
              <w:rPr>
                <w:rFonts w:hint="eastAsia" w:ascii="Times New Roman" w:hAnsi="Times New Roman" w:eastAsia="宋体" w:cs="Times New Roman"/>
                <w:kern w:val="2"/>
                <w:sz w:val="24"/>
                <w:szCs w:val="24"/>
                <w:vertAlign w:val="baseline"/>
                <w:lang w:val="en-US" w:eastAsia="zh-CN" w:bidi="ar-SA"/>
              </w:rPr>
            </w:pPr>
          </w:p>
        </w:tc>
      </w:tr>
      <w:tr w14:paraId="28E7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15FC7A37">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11</w:t>
            </w:r>
          </w:p>
        </w:tc>
        <w:tc>
          <w:tcPr>
            <w:tcW w:w="2331" w:type="dxa"/>
            <w:noWrap w:val="0"/>
            <w:vAlign w:val="center"/>
          </w:tcPr>
          <w:p w14:paraId="054D2C54">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空开</w:t>
            </w:r>
          </w:p>
        </w:tc>
        <w:tc>
          <w:tcPr>
            <w:tcW w:w="2974" w:type="dxa"/>
            <w:noWrap w:val="0"/>
            <w:vAlign w:val="center"/>
          </w:tcPr>
          <w:p w14:paraId="0DD1B324">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0CA44678">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003B1FF0">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26DEC352">
            <w:pPr>
              <w:pStyle w:val="2"/>
              <w:jc w:val="center"/>
              <w:rPr>
                <w:rFonts w:hint="eastAsia" w:ascii="Times New Roman" w:hAnsi="Times New Roman" w:eastAsia="宋体" w:cs="Times New Roman"/>
                <w:kern w:val="2"/>
                <w:sz w:val="24"/>
                <w:szCs w:val="24"/>
                <w:vertAlign w:val="baseline"/>
                <w:lang w:val="en-US" w:eastAsia="zh-CN" w:bidi="ar-SA"/>
              </w:rPr>
            </w:pPr>
          </w:p>
        </w:tc>
      </w:tr>
      <w:tr w14:paraId="2AFB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noWrap w:val="0"/>
            <w:vAlign w:val="center"/>
          </w:tcPr>
          <w:p w14:paraId="53525848">
            <w:pPr>
              <w:keepNext w:val="0"/>
              <w:keepLines w:val="0"/>
              <w:widowControl/>
              <w:suppressLineNumbers w:val="0"/>
              <w:jc w:val="center"/>
              <w:textAlignment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12</w:t>
            </w:r>
          </w:p>
        </w:tc>
        <w:tc>
          <w:tcPr>
            <w:tcW w:w="2331" w:type="dxa"/>
            <w:noWrap w:val="0"/>
            <w:vAlign w:val="center"/>
          </w:tcPr>
          <w:p w14:paraId="330AC3F4">
            <w:pPr>
              <w:keepNext w:val="0"/>
              <w:keepLines w:val="0"/>
              <w:widowControl/>
              <w:suppressLineNumbers w:val="0"/>
              <w:jc w:val="center"/>
              <w:textAlignment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无缝管</w:t>
            </w:r>
          </w:p>
        </w:tc>
        <w:tc>
          <w:tcPr>
            <w:tcW w:w="2974" w:type="dxa"/>
            <w:noWrap w:val="0"/>
            <w:vAlign w:val="center"/>
          </w:tcPr>
          <w:p w14:paraId="4B778E7D">
            <w:pPr>
              <w:pStyle w:val="2"/>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w:t>
            </w:r>
          </w:p>
        </w:tc>
        <w:tc>
          <w:tcPr>
            <w:tcW w:w="770" w:type="dxa"/>
            <w:noWrap w:val="0"/>
            <w:vAlign w:val="center"/>
          </w:tcPr>
          <w:p w14:paraId="3D99EAD8">
            <w:pPr>
              <w:pStyle w:val="2"/>
              <w:jc w:val="center"/>
              <w:rPr>
                <w:rFonts w:hint="default"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1</w:t>
            </w:r>
          </w:p>
        </w:tc>
        <w:tc>
          <w:tcPr>
            <w:tcW w:w="785" w:type="dxa"/>
            <w:noWrap w:val="0"/>
            <w:vAlign w:val="center"/>
          </w:tcPr>
          <w:p w14:paraId="5489B44D">
            <w:pPr>
              <w:jc w:val="center"/>
              <w:rPr>
                <w:rFonts w:hint="eastAsia" w:ascii="Times New Roman" w:hAnsi="Times New Roman" w:eastAsia="宋体" w:cs="Times New Roman"/>
                <w:kern w:val="2"/>
                <w:sz w:val="24"/>
                <w:szCs w:val="24"/>
                <w:vertAlign w:val="baseline"/>
                <w:lang w:val="en-US" w:eastAsia="zh-CN" w:bidi="ar-SA"/>
              </w:rPr>
            </w:pPr>
            <w:r>
              <w:rPr>
                <w:rFonts w:hint="eastAsia" w:ascii="Times New Roman" w:hAnsi="Times New Roman" w:eastAsia="宋体" w:cs="Times New Roman"/>
                <w:kern w:val="2"/>
                <w:sz w:val="24"/>
                <w:szCs w:val="24"/>
                <w:vertAlign w:val="baseline"/>
                <w:lang w:val="en-US" w:eastAsia="zh-CN" w:bidi="ar-SA"/>
              </w:rPr>
              <w:t>套</w:t>
            </w:r>
          </w:p>
        </w:tc>
        <w:tc>
          <w:tcPr>
            <w:tcW w:w="1363" w:type="dxa"/>
            <w:noWrap w:val="0"/>
            <w:vAlign w:val="center"/>
          </w:tcPr>
          <w:p w14:paraId="5C29951C">
            <w:pPr>
              <w:pStyle w:val="2"/>
              <w:jc w:val="center"/>
              <w:rPr>
                <w:rFonts w:hint="eastAsia" w:ascii="Times New Roman" w:hAnsi="Times New Roman" w:eastAsia="宋体" w:cs="Times New Roman"/>
                <w:kern w:val="2"/>
                <w:sz w:val="24"/>
                <w:szCs w:val="24"/>
                <w:vertAlign w:val="baseline"/>
                <w:lang w:val="en-US" w:eastAsia="zh-CN" w:bidi="ar-SA"/>
              </w:rPr>
            </w:pPr>
          </w:p>
        </w:tc>
      </w:tr>
    </w:tbl>
    <w:p w14:paraId="558C9407">
      <w:pPr>
        <w:pStyle w:val="14"/>
        <w:numPr>
          <w:ilvl w:val="0"/>
          <w:numId w:val="0"/>
        </w:numPr>
        <w:spacing w:line="360" w:lineRule="auto"/>
        <w:ind w:firstLine="482" w:firstLineChars="200"/>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3.6程序图纸要求</w:t>
      </w:r>
    </w:p>
    <w:p w14:paraId="17C8883B">
      <w:pPr>
        <w:pStyle w:val="14"/>
        <w:spacing w:line="360" w:lineRule="auto"/>
        <w:ind w:firstLine="480" w:firstLineChars="200"/>
        <w:rPr>
          <w:rFonts w:hint="eastAsia" w:ascii="宋体" w:hAnsi="宋体" w:eastAsia="宋体" w:cs="宋体"/>
          <w:sz w:val="24"/>
          <w:szCs w:val="24"/>
          <w:lang w:val="en-US" w:eastAsia="zh-CN"/>
        </w:rPr>
      </w:pPr>
      <w:r>
        <w:rPr>
          <w:rFonts w:hint="eastAsia" w:hAnsi="宋体" w:cs="宋体"/>
          <w:sz w:val="24"/>
          <w:szCs w:val="24"/>
          <w:lang w:val="en-US" w:eastAsia="zh-CN"/>
        </w:rPr>
        <w:t>3.6.1</w:t>
      </w:r>
      <w:r>
        <w:rPr>
          <w:rFonts w:hint="eastAsia" w:ascii="宋体" w:hAnsi="宋体" w:eastAsia="宋体" w:cs="宋体"/>
          <w:sz w:val="24"/>
          <w:szCs w:val="24"/>
        </w:rPr>
        <w:t>供方必须提供所有设备程序的源代码，包括但不限于PLC程序、HMI程序、视觉程序、伺服等。</w:t>
      </w:r>
    </w:p>
    <w:p w14:paraId="2D7BE989">
      <w:pPr>
        <w:pStyle w:val="14"/>
        <w:spacing w:line="360" w:lineRule="auto"/>
        <w:ind w:firstLine="480" w:firstLineChars="200"/>
        <w:rPr>
          <w:rFonts w:hint="eastAsia" w:ascii="宋体" w:hAnsi="宋体" w:cs="宋体"/>
          <w:sz w:val="24"/>
          <w:szCs w:val="24"/>
        </w:rPr>
      </w:pPr>
      <w:r>
        <w:rPr>
          <w:rFonts w:hint="eastAsia" w:hAnsi="宋体" w:cs="宋体"/>
          <w:sz w:val="24"/>
          <w:szCs w:val="24"/>
          <w:lang w:val="en-US" w:eastAsia="zh-CN"/>
        </w:rPr>
        <w:t>3.6.2</w:t>
      </w:r>
      <w:r>
        <w:rPr>
          <w:rFonts w:hint="eastAsia" w:ascii="宋体" w:hAnsi="宋体" w:cs="宋体"/>
          <w:sz w:val="24"/>
          <w:szCs w:val="24"/>
        </w:rPr>
        <w:t>供方所提供的程序不得设置任何密码、保护等限制手段，PLC不得设置修改下载权限，功能块不得设置密码保护。</w:t>
      </w:r>
    </w:p>
    <w:p w14:paraId="32D48F44">
      <w:pPr>
        <w:pStyle w:val="14"/>
        <w:spacing w:line="360" w:lineRule="auto"/>
        <w:ind w:firstLine="480" w:firstLineChars="200"/>
        <w:rPr>
          <w:rFonts w:hint="eastAsia" w:ascii="宋体" w:hAnsi="宋体" w:cs="宋体"/>
          <w:sz w:val="24"/>
          <w:szCs w:val="24"/>
        </w:rPr>
      </w:pPr>
      <w:r>
        <w:rPr>
          <w:rFonts w:hint="eastAsia" w:hAnsi="宋体" w:cs="宋体"/>
          <w:sz w:val="24"/>
          <w:szCs w:val="24"/>
          <w:lang w:val="en-US" w:eastAsia="zh-CN"/>
        </w:rPr>
        <w:t xml:space="preserve">3.6.3 </w:t>
      </w:r>
      <w:r>
        <w:rPr>
          <w:rFonts w:hint="eastAsia" w:ascii="宋体" w:hAnsi="宋体" w:cs="宋体"/>
          <w:sz w:val="24"/>
          <w:szCs w:val="24"/>
        </w:rPr>
        <w:t>HMI界面等需要密码保护的程序，供方必须提供所有级别的用户名、密码。</w:t>
      </w:r>
    </w:p>
    <w:p w14:paraId="74477E33">
      <w:pPr>
        <w:pStyle w:val="14"/>
        <w:spacing w:line="360" w:lineRule="auto"/>
        <w:ind w:firstLine="480" w:firstLineChars="200"/>
        <w:rPr>
          <w:rFonts w:hint="eastAsia" w:ascii="宋体" w:hAnsi="宋体" w:cs="宋体"/>
          <w:sz w:val="24"/>
          <w:szCs w:val="24"/>
        </w:rPr>
      </w:pPr>
      <w:r>
        <w:rPr>
          <w:rFonts w:hint="eastAsia" w:hAnsi="宋体" w:cs="宋体"/>
          <w:sz w:val="24"/>
          <w:szCs w:val="24"/>
          <w:lang w:val="en-US" w:eastAsia="zh-CN"/>
        </w:rPr>
        <w:t>3.6.4</w:t>
      </w:r>
      <w:r>
        <w:rPr>
          <w:rFonts w:hint="eastAsia" w:ascii="宋体" w:hAnsi="宋体" w:cs="宋体"/>
          <w:sz w:val="24"/>
          <w:szCs w:val="24"/>
        </w:rPr>
        <w:t>供方需在设备入场前提供设备程序源码，HMI界面各级用户名和密码，并保证与现场程序一致。</w:t>
      </w:r>
    </w:p>
    <w:p w14:paraId="22EF6EB4">
      <w:pPr>
        <w:pStyle w:val="14"/>
        <w:spacing w:line="360" w:lineRule="auto"/>
        <w:ind w:firstLine="480" w:firstLineChars="200"/>
        <w:rPr>
          <w:rFonts w:hint="default" w:ascii="宋体" w:hAnsi="宋体" w:eastAsia="宋体" w:cs="宋体"/>
          <w:sz w:val="24"/>
          <w:szCs w:val="24"/>
          <w:lang w:val="en-US" w:eastAsia="zh-CN"/>
        </w:rPr>
      </w:pPr>
      <w:r>
        <w:rPr>
          <w:rFonts w:hint="eastAsia" w:hAnsi="宋体" w:cs="宋体"/>
          <w:sz w:val="24"/>
          <w:szCs w:val="24"/>
          <w:lang w:val="en-US" w:eastAsia="zh-CN"/>
        </w:rPr>
        <w:t>3.6.5</w:t>
      </w:r>
      <w:r>
        <w:rPr>
          <w:rFonts w:hint="eastAsia" w:ascii="宋体" w:hAnsi="宋体" w:cs="宋体"/>
          <w:sz w:val="24"/>
          <w:szCs w:val="24"/>
        </w:rPr>
        <w:t>供方需在终验收前提供最新</w:t>
      </w:r>
      <w:r>
        <w:rPr>
          <w:rFonts w:hint="eastAsia" w:ascii="宋体" w:hAnsi="宋体" w:eastAsia="宋体" w:cs="宋体"/>
          <w:sz w:val="24"/>
          <w:szCs w:val="24"/>
        </w:rPr>
        <w:t>的设备程序源码、三维模型、机械图纸</w:t>
      </w:r>
      <w:r>
        <w:rPr>
          <w:rFonts w:hint="eastAsia" w:ascii="宋体" w:hAnsi="宋体" w:cs="宋体"/>
          <w:sz w:val="24"/>
          <w:szCs w:val="24"/>
        </w:rPr>
        <w:t>和电气图纸，图纸要求为可编辑原格式（EPLAN、CAD格式等）及PDF版本，且与实际一致。</w:t>
      </w:r>
    </w:p>
    <w:p w14:paraId="6025EFD6">
      <w:pPr>
        <w:pStyle w:val="14"/>
        <w:spacing w:line="360" w:lineRule="auto"/>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3.7接口协议要求</w:t>
      </w:r>
    </w:p>
    <w:p w14:paraId="5A81DC56">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3.7.1</w:t>
      </w:r>
      <w:r>
        <w:rPr>
          <w:rFonts w:hint="eastAsia" w:ascii="宋体" w:hAnsi="宋体" w:cs="宋体"/>
          <w:sz w:val="24"/>
          <w:szCs w:val="24"/>
        </w:rPr>
        <w:t>供方免费开放所有通讯接口，包括但不限于以太网、RS232、RS485、PROFIBUS、PROFINET等常见接口，以及设备特有的专用接口，支持马头DeMeter、阿特拉斯Toolsnet软件数据上传</w:t>
      </w:r>
      <w:r>
        <w:rPr>
          <w:rFonts w:hint="eastAsia" w:ascii="宋体" w:hAnsi="宋体" w:cs="宋体"/>
          <w:sz w:val="24"/>
          <w:szCs w:val="24"/>
          <w:lang w:eastAsia="zh-CN"/>
        </w:rPr>
        <w:t>。</w:t>
      </w:r>
    </w:p>
    <w:p w14:paraId="5F7769F7">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3.7.2</w:t>
      </w:r>
      <w:r>
        <w:rPr>
          <w:rFonts w:hint="eastAsia" w:ascii="宋体" w:hAnsi="宋体" w:cs="宋体"/>
          <w:sz w:val="24"/>
          <w:szCs w:val="24"/>
        </w:rPr>
        <w:t>供方免费提供数据交互功能，交互数据包括但不限于实时数据、历史数据、报警信息等</w:t>
      </w:r>
      <w:r>
        <w:rPr>
          <w:rFonts w:hint="eastAsia" w:ascii="宋体" w:hAnsi="宋体" w:cs="宋体"/>
          <w:sz w:val="24"/>
          <w:szCs w:val="24"/>
          <w:lang w:eastAsia="zh-CN"/>
        </w:rPr>
        <w:t>。</w:t>
      </w:r>
    </w:p>
    <w:p w14:paraId="58D59AC1">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3.7.3</w:t>
      </w:r>
      <w:r>
        <w:rPr>
          <w:rFonts w:hint="eastAsia" w:ascii="宋体" w:hAnsi="宋体" w:cs="宋体"/>
          <w:sz w:val="24"/>
          <w:szCs w:val="24"/>
        </w:rPr>
        <w:t>供方在设备入场前提供接口的技术文档和参数说明，包括但不限于接口协议、通讯速率、数据格式等</w:t>
      </w:r>
      <w:r>
        <w:rPr>
          <w:rFonts w:hint="eastAsia" w:ascii="宋体" w:hAnsi="宋体" w:cs="宋体"/>
          <w:sz w:val="24"/>
          <w:szCs w:val="24"/>
          <w:lang w:eastAsia="zh-CN"/>
        </w:rPr>
        <w:t>。</w:t>
      </w:r>
    </w:p>
    <w:p w14:paraId="6467D2C9">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3.7.4</w:t>
      </w:r>
      <w:r>
        <w:rPr>
          <w:rFonts w:hint="eastAsia" w:ascii="宋体" w:hAnsi="宋体" w:cs="宋体"/>
          <w:sz w:val="24"/>
          <w:szCs w:val="24"/>
        </w:rPr>
        <w:t>设备使用周期内，供方免费派遣技术人员与甲方调试团队共同进行设备通讯接口的调试工作</w:t>
      </w:r>
      <w:r>
        <w:rPr>
          <w:rFonts w:hint="eastAsia" w:ascii="宋体" w:hAnsi="宋体" w:cs="宋体"/>
          <w:sz w:val="24"/>
          <w:szCs w:val="24"/>
          <w:lang w:eastAsia="zh-CN"/>
        </w:rPr>
        <w:t>。</w:t>
      </w:r>
    </w:p>
    <w:p w14:paraId="14C23A87">
      <w:pPr>
        <w:pStyle w:val="14"/>
        <w:spacing w:line="360" w:lineRule="auto"/>
        <w:ind w:firstLine="480" w:firstLineChars="200"/>
        <w:rPr>
          <w:rFonts w:hint="eastAsia" w:ascii="宋体" w:hAnsi="宋体" w:eastAsia="宋体" w:cs="宋体"/>
          <w:sz w:val="24"/>
          <w:szCs w:val="24"/>
          <w:lang w:eastAsia="zh-CN"/>
        </w:rPr>
      </w:pPr>
      <w:r>
        <w:rPr>
          <w:rFonts w:hint="eastAsia" w:hAnsi="宋体" w:cs="宋体"/>
          <w:sz w:val="24"/>
          <w:szCs w:val="24"/>
          <w:lang w:val="en-US" w:eastAsia="zh-CN"/>
        </w:rPr>
        <w:t>3.7.5</w:t>
      </w:r>
      <w:r>
        <w:rPr>
          <w:rFonts w:hint="eastAsia" w:ascii="宋体" w:hAnsi="宋体" w:cs="宋体"/>
          <w:sz w:val="24"/>
          <w:szCs w:val="24"/>
        </w:rPr>
        <w:t>设备颜色等需与现场保持一致，满足现场生产一致性</w:t>
      </w:r>
      <w:r>
        <w:rPr>
          <w:rFonts w:hint="eastAsia" w:ascii="宋体" w:hAnsi="宋体" w:cs="宋体"/>
          <w:sz w:val="24"/>
          <w:szCs w:val="24"/>
          <w:lang w:eastAsia="zh-CN"/>
        </w:rPr>
        <w:t>。</w:t>
      </w:r>
    </w:p>
    <w:p w14:paraId="0380D840">
      <w:pPr>
        <w:pStyle w:val="14"/>
        <w:numPr>
          <w:ilvl w:val="0"/>
          <w:numId w:val="0"/>
        </w:numPr>
        <w:spacing w:line="360" w:lineRule="auto"/>
        <w:ind w:leftChars="200"/>
        <w:rPr>
          <w:rFonts w:hint="eastAsia" w:ascii="宋体" w:hAnsi="宋体" w:eastAsia="宋体" w:cs="宋体"/>
          <w:sz w:val="24"/>
          <w:szCs w:val="24"/>
        </w:rPr>
      </w:pPr>
      <w:r>
        <w:rPr>
          <w:rFonts w:hint="eastAsia" w:hAnsi="宋体" w:cs="宋体"/>
          <w:sz w:val="24"/>
          <w:szCs w:val="24"/>
          <w:lang w:val="en-US" w:eastAsia="zh-CN"/>
        </w:rPr>
        <w:t>3.7.6</w:t>
      </w:r>
      <w:r>
        <w:rPr>
          <w:rFonts w:hint="eastAsia" w:ascii="宋体" w:hAnsi="宋体" w:cs="宋体"/>
          <w:sz w:val="24"/>
          <w:szCs w:val="24"/>
        </w:rPr>
        <w:t>设备安装调试包含网线</w:t>
      </w:r>
      <w:r>
        <w:rPr>
          <w:rFonts w:hint="eastAsia" w:ascii="宋体" w:hAnsi="宋体" w:cs="宋体"/>
          <w:sz w:val="24"/>
          <w:szCs w:val="24"/>
          <w:lang w:eastAsia="zh-CN"/>
        </w:rPr>
        <w:t>、</w:t>
      </w:r>
      <w:r>
        <w:rPr>
          <w:rFonts w:hint="eastAsia" w:ascii="宋体" w:hAnsi="宋体" w:cs="宋体"/>
          <w:sz w:val="24"/>
          <w:szCs w:val="24"/>
        </w:rPr>
        <w:t>电路铺设</w:t>
      </w:r>
      <w:r>
        <w:rPr>
          <w:rFonts w:hint="eastAsia" w:ascii="宋体" w:hAnsi="宋体" w:eastAsia="宋体" w:cs="宋体"/>
          <w:sz w:val="24"/>
          <w:szCs w:val="24"/>
          <w:lang w:val="en-US" w:eastAsia="zh-CN"/>
        </w:rPr>
        <w:t>和</w:t>
      </w:r>
      <w:r>
        <w:rPr>
          <w:rFonts w:hint="eastAsia" w:ascii="宋体" w:hAnsi="宋体" w:eastAsia="宋体" w:cs="宋体"/>
          <w:sz w:val="24"/>
          <w:szCs w:val="24"/>
        </w:rPr>
        <w:t>桥架敷设部分。</w:t>
      </w:r>
    </w:p>
    <w:p w14:paraId="135528CD">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四</w:t>
      </w:r>
      <w:r>
        <w:rPr>
          <w:rFonts w:ascii="黑体" w:hAnsi="黑体" w:eastAsia="黑体"/>
          <w:b w:val="0"/>
          <w:bCs w:val="0"/>
          <w:sz w:val="24"/>
          <w:szCs w:val="24"/>
        </w:rPr>
        <w:t>、</w:t>
      </w:r>
      <w:r>
        <w:rPr>
          <w:rFonts w:hint="eastAsia" w:ascii="黑体" w:hAnsi="黑体" w:eastAsia="黑体"/>
          <w:b w:val="0"/>
          <w:bCs w:val="0"/>
          <w:sz w:val="24"/>
          <w:szCs w:val="24"/>
        </w:rPr>
        <w:t>安全要求</w:t>
      </w:r>
    </w:p>
    <w:p w14:paraId="6487D6C7">
      <w:pPr>
        <w:pStyle w:val="14"/>
        <w:spacing w:line="360" w:lineRule="auto"/>
        <w:ind w:firstLine="480" w:firstLineChars="200"/>
        <w:rPr>
          <w:rFonts w:hint="eastAsia" w:hAnsi="宋体" w:eastAsia="宋体" w:cs="宋体"/>
          <w:sz w:val="24"/>
          <w:szCs w:val="24"/>
          <w:lang w:eastAsia="zh-CN"/>
        </w:rPr>
      </w:pPr>
      <w:r>
        <w:rPr>
          <w:rFonts w:hint="eastAsia" w:hAnsi="宋体" w:cs="宋体"/>
          <w:sz w:val="24"/>
          <w:szCs w:val="24"/>
        </w:rPr>
        <w:t>1. 安全可靠：合理配备安全防护措施、实时监测、系统报警</w:t>
      </w:r>
      <w:r>
        <w:rPr>
          <w:rFonts w:hint="eastAsia" w:hAnsi="宋体" w:cs="宋体"/>
          <w:sz w:val="24"/>
          <w:szCs w:val="24"/>
          <w:lang w:eastAsia="zh-CN"/>
        </w:rPr>
        <w:t>。</w:t>
      </w:r>
    </w:p>
    <w:p w14:paraId="06BCBDA9">
      <w:pPr>
        <w:pStyle w:val="63"/>
        <w:spacing w:line="360" w:lineRule="auto"/>
        <w:ind w:firstLine="480"/>
        <w:jc w:val="left"/>
        <w:rPr>
          <w:rFonts w:hint="eastAsia" w:ascii="宋体" w:hAnsi="宋体" w:eastAsia="宋体" w:cs="宋体"/>
          <w:sz w:val="24"/>
          <w:szCs w:val="24"/>
          <w:lang w:eastAsia="zh-CN"/>
        </w:rPr>
      </w:pPr>
      <w:r>
        <w:rPr>
          <w:rFonts w:hint="eastAsia" w:ascii="宋体" w:hAnsi="宋体" w:cs="宋体"/>
          <w:sz w:val="24"/>
          <w:szCs w:val="24"/>
        </w:rPr>
        <w:t>2. 安全防护、环境保护、节能要求应满足ISO及国家相关标准</w:t>
      </w:r>
      <w:r>
        <w:rPr>
          <w:rFonts w:hint="eastAsia" w:ascii="宋体" w:hAnsi="宋体" w:cs="宋体"/>
          <w:sz w:val="24"/>
          <w:szCs w:val="24"/>
          <w:lang w:eastAsia="zh-CN"/>
        </w:rPr>
        <w:t>。</w:t>
      </w:r>
    </w:p>
    <w:p w14:paraId="1536C42E">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五、供货要求</w:t>
      </w:r>
    </w:p>
    <w:p w14:paraId="38C2E139">
      <w:pPr>
        <w:pStyle w:val="14"/>
        <w:spacing w:line="360" w:lineRule="auto"/>
        <w:ind w:firstLine="480" w:firstLineChars="200"/>
        <w:rPr>
          <w:rFonts w:hint="eastAsia" w:hAnsi="宋体" w:eastAsia="宋体" w:cs="宋体"/>
          <w:sz w:val="24"/>
          <w:szCs w:val="24"/>
          <w:lang w:eastAsia="zh-CN"/>
        </w:rPr>
      </w:pPr>
      <w:r>
        <w:rPr>
          <w:rFonts w:hint="eastAsia" w:hAnsi="宋体" w:cs="宋体"/>
          <w:sz w:val="24"/>
          <w:szCs w:val="24"/>
        </w:rPr>
        <w:t>1. 供货范围包括货物为达到产品标准以及环保、消防和劳动安全卫生等国家法律、法规和标准、规范要求而必须配备但标书未明确提出的通风系统、近距离照明系统以及劳动安全防护设施（不包括人体防护用品）等使用现场配套的设备、材料等</w:t>
      </w:r>
      <w:r>
        <w:rPr>
          <w:rFonts w:hint="eastAsia" w:hAnsi="宋体" w:cs="宋体"/>
          <w:sz w:val="24"/>
          <w:szCs w:val="24"/>
          <w:lang w:eastAsia="zh-CN"/>
        </w:rPr>
        <w:t>。</w:t>
      </w:r>
    </w:p>
    <w:p w14:paraId="41A1BA4C">
      <w:pPr>
        <w:pStyle w:val="14"/>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 供货范围包括货物正常运行所必需的全套连线设备、材料等。如货物端连接法兰外端面之内的、电气系统接口压线板（插座等）之内的设备、材料、连接螺栓、垫片等</w:t>
      </w:r>
      <w:r>
        <w:rPr>
          <w:rFonts w:hint="eastAsia" w:ascii="宋体" w:hAnsi="宋体" w:eastAsia="宋体" w:cs="宋体"/>
          <w:sz w:val="24"/>
          <w:szCs w:val="24"/>
          <w:lang w:eastAsia="zh-CN"/>
        </w:rPr>
        <w:t>。</w:t>
      </w:r>
    </w:p>
    <w:p w14:paraId="37E606A9">
      <w:pPr>
        <w:pStyle w:val="14"/>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 供货范围包括货物正常运行、使用所需要的过桥、护栏、防护网、盖板等辅助设施</w:t>
      </w:r>
      <w:r>
        <w:rPr>
          <w:rFonts w:hint="eastAsia" w:ascii="宋体" w:hAnsi="宋体" w:eastAsia="宋体" w:cs="宋体"/>
          <w:sz w:val="24"/>
          <w:szCs w:val="24"/>
          <w:lang w:eastAsia="zh-CN"/>
        </w:rPr>
        <w:t>。</w:t>
      </w:r>
    </w:p>
    <w:p w14:paraId="2E5B2C6B">
      <w:pPr>
        <w:pStyle w:val="14"/>
        <w:spacing w:line="360" w:lineRule="auto"/>
        <w:ind w:firstLine="480" w:firstLineChars="200"/>
        <w:rPr>
          <w:rFonts w:hint="eastAsia" w:hAnsi="宋体" w:eastAsia="宋体" w:cs="宋体"/>
          <w:sz w:val="24"/>
          <w:szCs w:val="24"/>
          <w:lang w:eastAsia="zh-CN"/>
        </w:rPr>
      </w:pPr>
      <w:r>
        <w:rPr>
          <w:rFonts w:hint="eastAsia" w:ascii="宋体" w:hAnsi="宋体" w:eastAsia="宋体" w:cs="宋体"/>
          <w:sz w:val="24"/>
          <w:szCs w:val="24"/>
        </w:rPr>
        <w:t>4. 质保期终止之</w:t>
      </w:r>
      <w:r>
        <w:rPr>
          <w:rFonts w:hint="eastAsia" w:hAnsi="宋体" w:cs="宋体"/>
          <w:sz w:val="24"/>
          <w:szCs w:val="24"/>
        </w:rPr>
        <w:t>日起一年内重复出现的质保期之内出现的故障，仍属于质保范围而且应当免费</w:t>
      </w:r>
      <w:r>
        <w:rPr>
          <w:rFonts w:hint="eastAsia" w:hAnsi="宋体" w:cs="宋体"/>
          <w:sz w:val="24"/>
          <w:szCs w:val="24"/>
          <w:lang w:eastAsia="zh-CN"/>
        </w:rPr>
        <w:t>。</w:t>
      </w:r>
    </w:p>
    <w:p w14:paraId="3D55F5CA">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六、售中售后服务</w:t>
      </w:r>
    </w:p>
    <w:p w14:paraId="7C486FF3">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 应负责在买方设备使用现场，进行5工作日免费的技术指导和培训。</w:t>
      </w:r>
    </w:p>
    <w:p w14:paraId="21DA2038">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 应免费提供培训资料2份。</w:t>
      </w:r>
    </w:p>
    <w:p w14:paraId="0C8508D0">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若卖方提供的设备涉及到外购外协货物、而且该货物的技术质量等较为关键时，卖方应能保证得到配套厂家的技术支持，并免费为买方提供技术服务。</w:t>
      </w:r>
    </w:p>
    <w:p w14:paraId="03116DB8">
      <w:pPr>
        <w:pStyle w:val="1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 负责制定对买方人员在运行、维修等方面的培训计划，并有专人负责实施培训计划，负责指导买方受培训人员正确理解设计和制造意图，认识设备的特点和特性，掌握在运行、维修和使用管理中应遵守的规则等方面的综合知识。</w:t>
      </w:r>
    </w:p>
    <w:p w14:paraId="256EF3E3">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七、备件</w:t>
      </w:r>
    </w:p>
    <w:p w14:paraId="591315FF">
      <w:pPr>
        <w:adjustRightInd w:val="0"/>
        <w:snapToGrid w:val="0"/>
        <w:spacing w:line="460" w:lineRule="exact"/>
        <w:ind w:firstLine="420" w:firstLineChars="200"/>
        <w:rPr>
          <w:rFonts w:ascii="Cambria Math" w:hAnsi="Cambria Math"/>
        </w:rPr>
      </w:pPr>
      <w:r>
        <w:rPr>
          <w:rFonts w:hint="eastAsia" w:ascii="Cambria Math" w:hAnsi="Cambria Math"/>
        </w:rPr>
        <w:t>1</w:t>
      </w:r>
      <w:r>
        <w:rPr>
          <w:rFonts w:ascii="Cambria Math" w:hAnsi="Cambria Math"/>
        </w:rPr>
        <w:t>.</w:t>
      </w:r>
      <w:r>
        <w:rPr>
          <w:rFonts w:hint="eastAsia" w:ascii="Cambria Math" w:hAnsi="Cambria Math"/>
        </w:rPr>
        <w:t>备件内容包括但不限于：</w:t>
      </w:r>
    </w:p>
    <w:p w14:paraId="7404E83E">
      <w:pPr>
        <w:adjustRightInd w:val="0"/>
        <w:snapToGrid w:val="0"/>
        <w:spacing w:line="460" w:lineRule="exact"/>
        <w:ind w:firstLine="420" w:firstLineChars="200"/>
        <w:rPr>
          <w:rFonts w:hint="eastAsia" w:ascii="Cambria Math" w:hAnsi="Cambria Math" w:eastAsia="宋体" w:cs="Times New Roman"/>
        </w:rPr>
      </w:pPr>
      <w:r>
        <w:rPr>
          <w:rFonts w:hint="eastAsia" w:ascii="Cambria Math" w:hAnsi="Cambria Math" w:eastAsia="宋体" w:cs="Times New Roman"/>
          <w:lang w:val="en-US" w:eastAsia="zh-CN"/>
        </w:rPr>
        <w:t>空气滤芯、机油滤芯、空压机油、油分芯</w:t>
      </w:r>
      <w:r>
        <w:rPr>
          <w:rFonts w:hint="eastAsia" w:ascii="Cambria Math" w:hAnsi="Cambria Math" w:eastAsia="宋体" w:cs="Times New Roman"/>
        </w:rPr>
        <w:t>及其它易损件。</w:t>
      </w:r>
    </w:p>
    <w:p w14:paraId="52D2933C">
      <w:pPr>
        <w:adjustRightInd w:val="0"/>
        <w:snapToGrid w:val="0"/>
        <w:spacing w:line="460" w:lineRule="exact"/>
        <w:ind w:firstLine="420" w:firstLineChars="200"/>
        <w:rPr>
          <w:rFonts w:ascii="Cambria Math" w:hAnsi="Cambria Math"/>
        </w:rPr>
      </w:pPr>
      <w:r>
        <w:rPr>
          <w:rFonts w:hint="eastAsia" w:ascii="Cambria Math" w:hAnsi="Cambria Math"/>
        </w:rPr>
        <w:t>2</w:t>
      </w:r>
      <w:r>
        <w:rPr>
          <w:rFonts w:ascii="Cambria Math" w:hAnsi="Cambria Math"/>
        </w:rPr>
        <w:t>.</w:t>
      </w:r>
      <w:r>
        <w:rPr>
          <w:rFonts w:hint="eastAsia" w:ascii="Cambria Math" w:hAnsi="Cambria Math"/>
        </w:rPr>
        <w:t>在完成设备技术会签后，由买方确定具体备件清单及要求到货时间、卖方按清单提供。</w:t>
      </w:r>
    </w:p>
    <w:p w14:paraId="01B02C0F">
      <w:pPr>
        <w:adjustRightInd w:val="0"/>
        <w:snapToGrid w:val="0"/>
        <w:spacing w:line="460" w:lineRule="exact"/>
        <w:ind w:firstLine="420" w:firstLineChars="200"/>
        <w:rPr>
          <w:rFonts w:hint="eastAsia" w:ascii="Cambria Math" w:hAnsi="Cambria Math" w:eastAsia="宋体" w:cs="Times New Roman"/>
        </w:rPr>
      </w:pPr>
      <w:r>
        <w:rPr>
          <w:rFonts w:hint="eastAsia" w:ascii="Cambria Math" w:hAnsi="Cambria Math" w:eastAsia="宋体" w:cs="Times New Roman"/>
        </w:rPr>
        <w:t>3.卖方对备件价格核算时，应按照市场价格85%以下（含85%）对买方进行核算。</w:t>
      </w:r>
    </w:p>
    <w:p w14:paraId="3E2FAAF6">
      <w:pPr>
        <w:pStyle w:val="14"/>
        <w:spacing w:line="360" w:lineRule="auto"/>
        <w:ind w:firstLine="480" w:firstLineChars="200"/>
        <w:rPr>
          <w:rFonts w:ascii="黑体" w:hAnsi="黑体" w:eastAsia="黑体"/>
          <w:b w:val="0"/>
          <w:bCs w:val="0"/>
          <w:sz w:val="24"/>
          <w:szCs w:val="24"/>
        </w:rPr>
      </w:pPr>
      <w:r>
        <w:rPr>
          <w:rFonts w:hint="eastAsia" w:ascii="黑体" w:hAnsi="黑体" w:eastAsia="黑体"/>
          <w:b w:val="0"/>
          <w:bCs w:val="0"/>
          <w:sz w:val="24"/>
          <w:szCs w:val="24"/>
        </w:rPr>
        <w:t>八、其他</w:t>
      </w:r>
    </w:p>
    <w:p w14:paraId="549077E3">
      <w:pPr>
        <w:adjustRightInd w:val="0"/>
        <w:snapToGrid w:val="0"/>
        <w:spacing w:line="460" w:lineRule="exact"/>
        <w:ind w:firstLine="420" w:firstLineChars="200"/>
        <w:rPr>
          <w:rFonts w:ascii="Cambria Math" w:hAnsi="Cambria Math"/>
        </w:rPr>
      </w:pPr>
      <w:r>
        <w:rPr>
          <w:rFonts w:ascii="Cambria Math" w:hAnsi="Cambria Math"/>
        </w:rPr>
        <w:t>1</w:t>
      </w:r>
      <w:r>
        <w:rPr>
          <w:rFonts w:hint="eastAsia" w:ascii="Cambria Math" w:hAnsi="Cambria Math"/>
        </w:rPr>
        <w:t>. 投标人承诺对参与该项目所获得的与招标人产品相关的所有信息都予以保密，并承担与此相关的所有法律责任；</w:t>
      </w:r>
    </w:p>
    <w:p w14:paraId="7BE5EFBF">
      <w:pPr>
        <w:adjustRightInd w:val="0"/>
        <w:snapToGrid w:val="0"/>
        <w:spacing w:line="460" w:lineRule="exact"/>
        <w:ind w:firstLine="420" w:firstLineChars="200"/>
        <w:rPr>
          <w:rFonts w:ascii="Cambria Math" w:hAnsi="Cambria Math" w:eastAsia="宋体" w:cs="Times New Roman"/>
        </w:rPr>
      </w:pPr>
      <w:r>
        <w:rPr>
          <w:rFonts w:ascii="Cambria Math" w:hAnsi="Cambria Math" w:eastAsia="宋体" w:cs="Times New Roman"/>
        </w:rPr>
        <w:t>2.</w:t>
      </w:r>
      <w:r>
        <w:rPr>
          <w:rFonts w:hint="eastAsia" w:ascii="Cambria Math" w:hAnsi="Cambria Math" w:eastAsia="宋体" w:cs="Times New Roman"/>
        </w:rPr>
        <w:t xml:space="preserve"> </w:t>
      </w:r>
      <w:r>
        <w:rPr>
          <w:rFonts w:hint="eastAsia" w:ascii="Cambria Math" w:hAnsi="Cambria Math" w:eastAsia="宋体" w:cs="Times New Roman"/>
          <w:lang w:val="en-US" w:eastAsia="zh-CN"/>
        </w:rPr>
        <w:t>终验收合格后，质保期2年（免费提供质保两年内的维保滤芯及油料）。在正常运行的情况下，系统出现故障，在接到通知后4小时以内予以答复，并在24小时以内派出服务人员，无偿维修；在质保期满后，投标方在接到通知后4小时以</w:t>
      </w:r>
      <w:r>
        <w:rPr>
          <w:rFonts w:ascii="Cambria Math" w:hAnsi="Cambria Math" w:eastAsia="宋体" w:cs="Times New Roman"/>
        </w:rPr>
        <w:t>内予以答复，并在24小时以内派出服务人员；</w:t>
      </w:r>
    </w:p>
    <w:p w14:paraId="045D30A9">
      <w:pPr>
        <w:adjustRightInd w:val="0"/>
        <w:snapToGrid w:val="0"/>
        <w:spacing w:line="460" w:lineRule="exact"/>
        <w:ind w:firstLine="420" w:firstLineChars="200"/>
        <w:rPr>
          <w:rFonts w:ascii="Cambria Math" w:hAnsi="Cambria Math"/>
        </w:rPr>
      </w:pPr>
      <w:r>
        <w:rPr>
          <w:rFonts w:ascii="Cambria Math" w:hAnsi="Cambria Math"/>
        </w:rPr>
        <w:t>3.</w:t>
      </w:r>
      <w:r>
        <w:rPr>
          <w:rFonts w:hint="eastAsia" w:ascii="Cambria Math" w:hAnsi="Cambria Math"/>
        </w:rPr>
        <w:t xml:space="preserve"> 其余未尽事宜，投标人应与招标人指派的答疑人员充分沟通，理解认可并接受相关技术规范及服务要求；</w:t>
      </w:r>
    </w:p>
    <w:p w14:paraId="255EF21F">
      <w:pPr>
        <w:adjustRightInd w:val="0"/>
        <w:snapToGrid w:val="0"/>
        <w:spacing w:line="460" w:lineRule="exact"/>
        <w:ind w:firstLine="420" w:firstLineChars="200"/>
        <w:rPr>
          <w:rFonts w:ascii="Cambria Math" w:hAnsi="Cambria Math"/>
        </w:rPr>
      </w:pPr>
      <w:r>
        <w:rPr>
          <w:rFonts w:ascii="Cambria Math" w:hAnsi="Cambria Math"/>
        </w:rPr>
        <w:t>4.</w:t>
      </w:r>
      <w:r>
        <w:rPr>
          <w:rFonts w:hint="eastAsia" w:ascii="Cambria Math" w:hAnsi="Cambria Math"/>
        </w:rPr>
        <w:t xml:space="preserve"> 中标人需安排专人负责本招标项目的联络、检测计划布置、检测现场指导工作，该负责人对于以上问题的响应时间不得超过</w:t>
      </w:r>
      <w:r>
        <w:rPr>
          <w:rFonts w:ascii="Cambria Math" w:hAnsi="Cambria Math"/>
        </w:rPr>
        <w:t>2小时；</w:t>
      </w:r>
    </w:p>
    <w:p w14:paraId="1189E0BB">
      <w:pPr>
        <w:adjustRightInd w:val="0"/>
        <w:snapToGrid w:val="0"/>
        <w:spacing w:line="460" w:lineRule="exact"/>
        <w:ind w:firstLine="420" w:firstLineChars="200"/>
        <w:rPr>
          <w:rFonts w:ascii="Cambria Math" w:hAnsi="Cambria Math"/>
        </w:rPr>
      </w:pPr>
      <w:r>
        <w:rPr>
          <w:rFonts w:ascii="Cambria Math" w:hAnsi="Cambria Math"/>
        </w:rPr>
        <w:t>5.</w:t>
      </w:r>
      <w:r>
        <w:rPr>
          <w:rFonts w:hint="eastAsia" w:ascii="Cambria Math" w:hAnsi="Cambria Math"/>
        </w:rPr>
        <w:t xml:space="preserve"> 投标人需自备交通工具、各种设备及食宿等必需品；</w:t>
      </w:r>
    </w:p>
    <w:p w14:paraId="1D712018">
      <w:pPr>
        <w:adjustRightInd w:val="0"/>
        <w:snapToGrid w:val="0"/>
        <w:spacing w:line="460" w:lineRule="exact"/>
        <w:ind w:firstLine="420" w:firstLineChars="200"/>
        <w:rPr>
          <w:rFonts w:hint="eastAsia" w:ascii="Cambria Math" w:hAnsi="Cambria Math" w:eastAsia="宋体"/>
          <w:lang w:eastAsia="zh-CN"/>
        </w:rPr>
      </w:pPr>
      <w:r>
        <w:rPr>
          <w:rFonts w:ascii="Cambria Math" w:hAnsi="Cambria Math"/>
        </w:rPr>
        <w:t>6.</w:t>
      </w:r>
      <w:r>
        <w:rPr>
          <w:rFonts w:hint="eastAsia" w:ascii="Cambria Math" w:hAnsi="Cambria Math"/>
        </w:rPr>
        <w:t xml:space="preserve"> 中标方需对招标人提供的数据及企业资料进行保密，并不得向第三方扩散，因泄密对招标人造成的损失由中标方承担相应全部责任</w:t>
      </w:r>
      <w:r>
        <w:rPr>
          <w:rFonts w:hint="eastAsia" w:ascii="Cambria Math" w:hAnsi="Cambria Math"/>
          <w:lang w:eastAsia="zh-CN"/>
        </w:rPr>
        <w:t>。</w:t>
      </w:r>
    </w:p>
    <w:p w14:paraId="688E1116">
      <w:pPr>
        <w:pStyle w:val="2"/>
        <w:keepNext w:val="0"/>
        <w:keepLines w:val="0"/>
        <w:pageBreakBefore w:val="0"/>
        <w:widowControl w:val="0"/>
        <w:kinsoku/>
        <w:wordWrap/>
        <w:overflowPunct/>
        <w:topLinePunct w:val="0"/>
        <w:autoSpaceDE/>
        <w:autoSpaceDN/>
        <w:bidi w:val="0"/>
        <w:adjustRightInd/>
        <w:snapToGrid/>
        <w:textAlignment w:val="auto"/>
        <w:rPr>
          <w:rFonts w:hint="eastAsia"/>
        </w:rPr>
        <w:sectPr>
          <w:pgSz w:w="11906" w:h="16838"/>
          <w:pgMar w:top="1701" w:right="1418" w:bottom="1134" w:left="1701" w:header="1021" w:footer="680" w:gutter="0"/>
          <w:pgNumType w:start="1"/>
          <w:cols w:space="720" w:num="1"/>
          <w:docGrid w:type="lines" w:linePitch="312" w:charSpace="0"/>
        </w:sectPr>
      </w:pPr>
    </w:p>
    <w:p w14:paraId="793B5D91">
      <w:pPr>
        <w:pStyle w:val="3"/>
        <w:spacing w:before="120" w:after="120" w:line="480" w:lineRule="exact"/>
        <w:ind w:left="0" w:leftChars="0" w:firstLine="0" w:firstLineChars="0"/>
        <w:jc w:val="center"/>
        <w:rPr>
          <w:rFonts w:hint="eastAsia" w:ascii="黑体" w:eastAsia="黑体"/>
          <w:b w:val="0"/>
          <w:sz w:val="24"/>
          <w:szCs w:val="24"/>
        </w:rPr>
      </w:pPr>
      <w:bookmarkStart w:id="33" w:name="_Toc9668"/>
      <w:bookmarkStart w:id="34" w:name="_Toc10810"/>
      <w:bookmarkStart w:id="35" w:name="_Toc10963"/>
      <w:bookmarkStart w:id="36" w:name="_Toc137705869"/>
      <w:bookmarkStart w:id="37" w:name="_Toc5879"/>
      <w:r>
        <w:rPr>
          <w:rFonts w:hint="eastAsia" w:ascii="黑体" w:eastAsia="黑体"/>
          <w:b w:val="0"/>
          <w:sz w:val="24"/>
          <w:szCs w:val="24"/>
        </w:rPr>
        <w:t>第三章  供货范围及供货方式</w:t>
      </w:r>
      <w:bookmarkEnd w:id="33"/>
      <w:bookmarkEnd w:id="34"/>
      <w:bookmarkEnd w:id="35"/>
      <w:bookmarkEnd w:id="36"/>
      <w:bookmarkEnd w:id="37"/>
    </w:p>
    <w:p w14:paraId="12729185">
      <w:pPr>
        <w:pStyle w:val="5"/>
        <w:spacing w:before="120" w:after="120" w:line="480" w:lineRule="exact"/>
        <w:jc w:val="center"/>
        <w:rPr>
          <w:rFonts w:hint="eastAsia"/>
          <w:b w:val="0"/>
          <w:sz w:val="24"/>
          <w:szCs w:val="24"/>
        </w:rPr>
      </w:pPr>
      <w:bookmarkStart w:id="38" w:name="_Toc137705870"/>
      <w:bookmarkStart w:id="39" w:name="_Toc10065"/>
      <w:bookmarkStart w:id="40" w:name="_Toc15892"/>
      <w:bookmarkStart w:id="41" w:name="_Toc19615"/>
      <w:bookmarkStart w:id="42" w:name="_Toc22761"/>
      <w:r>
        <w:rPr>
          <w:rFonts w:hint="eastAsia"/>
          <w:b w:val="0"/>
          <w:sz w:val="24"/>
          <w:szCs w:val="24"/>
        </w:rPr>
        <w:t>第一节  供货范围</w:t>
      </w:r>
      <w:bookmarkEnd w:id="38"/>
      <w:bookmarkEnd w:id="39"/>
      <w:bookmarkEnd w:id="40"/>
      <w:bookmarkEnd w:id="41"/>
      <w:bookmarkEnd w:id="42"/>
    </w:p>
    <w:p w14:paraId="2421F4F6">
      <w:pPr>
        <w:spacing w:line="480" w:lineRule="exact"/>
        <w:ind w:firstLine="420" w:firstLineChars="200"/>
        <w:rPr>
          <w:rFonts w:hint="eastAsia" w:ascii="黑体" w:hAnsi="宋体" w:eastAsia="黑体"/>
        </w:rPr>
      </w:pPr>
      <w:r>
        <w:rPr>
          <w:rFonts w:hint="eastAsia" w:ascii="黑体" w:hAnsi="宋体" w:eastAsia="黑体"/>
        </w:rPr>
        <w:t>一、主要货物一般供货范围界定</w:t>
      </w:r>
    </w:p>
    <w:p w14:paraId="274A6CD1">
      <w:pPr>
        <w:spacing w:line="480" w:lineRule="exact"/>
        <w:ind w:firstLine="420" w:firstLineChars="200"/>
        <w:rPr>
          <w:rFonts w:hint="eastAsia" w:ascii="宋体" w:hAnsi="宋体"/>
        </w:rPr>
      </w:pPr>
      <w:r>
        <w:rPr>
          <w:rFonts w:hint="eastAsia" w:ascii="宋体" w:hAnsi="宋体"/>
        </w:rPr>
        <w:t>1、供货范围包括本技术标书“采购货物概况” 所列及所要求的设备。</w:t>
      </w:r>
    </w:p>
    <w:p w14:paraId="0AED7797">
      <w:pPr>
        <w:spacing w:line="480" w:lineRule="exact"/>
        <w:ind w:firstLine="420" w:firstLineChars="200"/>
        <w:rPr>
          <w:rFonts w:hint="eastAsia" w:ascii="宋体" w:hAnsi="宋体"/>
        </w:rPr>
      </w:pPr>
      <w:r>
        <w:rPr>
          <w:rFonts w:hint="eastAsia" w:ascii="宋体" w:hAnsi="宋体"/>
        </w:rPr>
        <w:t>2、供货范围包括为保证设备正常安装、调试和验收完成及以前所必需的整套配件、附件及材料、油料、控制软件及程序或指令等。</w:t>
      </w:r>
    </w:p>
    <w:p w14:paraId="688A8A8F">
      <w:pPr>
        <w:spacing w:line="480" w:lineRule="exact"/>
        <w:ind w:firstLine="420" w:firstLineChars="200"/>
        <w:rPr>
          <w:rFonts w:hint="eastAsia" w:ascii="宋体" w:hAnsi="宋体"/>
        </w:rPr>
      </w:pPr>
      <w:r>
        <w:rPr>
          <w:rFonts w:hint="eastAsia" w:ascii="宋体" w:hAnsi="宋体"/>
        </w:rPr>
        <w:t>如果终验收完成后，投标方有需要收回的配件、附件、材料、油料等，应当在投标文件的技术偏离条款中，予以详细说明；否则视同包括在供货范围之内。</w:t>
      </w:r>
    </w:p>
    <w:p w14:paraId="7D29549C">
      <w:pPr>
        <w:spacing w:line="480" w:lineRule="exact"/>
        <w:ind w:firstLine="420" w:firstLineChars="200"/>
        <w:rPr>
          <w:rFonts w:hint="eastAsia" w:ascii="宋体" w:hAnsi="宋体"/>
        </w:rPr>
      </w:pPr>
      <w:r>
        <w:rPr>
          <w:rFonts w:hint="eastAsia" w:ascii="宋体" w:hAnsi="宋体"/>
        </w:rPr>
        <w:t>3、供货范围包括货物维护维修所必需的专用工具。</w:t>
      </w:r>
    </w:p>
    <w:p w14:paraId="10067544">
      <w:pPr>
        <w:spacing w:line="480" w:lineRule="exact"/>
        <w:ind w:firstLine="420" w:firstLineChars="200"/>
        <w:rPr>
          <w:rFonts w:hint="eastAsia" w:ascii="宋体" w:hAnsi="宋体"/>
        </w:rPr>
      </w:pPr>
      <w:r>
        <w:rPr>
          <w:rFonts w:hint="eastAsia" w:ascii="宋体" w:hAnsi="宋体"/>
        </w:rPr>
        <w:t>4、供货范围包括设备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5A188F45">
      <w:pPr>
        <w:spacing w:line="480" w:lineRule="exact"/>
        <w:ind w:firstLine="420" w:firstLineChars="200"/>
        <w:rPr>
          <w:rFonts w:hint="eastAsia" w:ascii="宋体" w:hAnsi="宋体"/>
        </w:rPr>
      </w:pPr>
      <w:r>
        <w:rPr>
          <w:rFonts w:hint="eastAsia" w:ascii="宋体" w:hAnsi="宋体"/>
        </w:rPr>
        <w:t>如投标方难以提供或无优势提供以及属于选用配置的，则应当在投标文件的技术偏离条款中，予以详细说明并注明投标报价未包含该部分的货值。</w:t>
      </w:r>
    </w:p>
    <w:p w14:paraId="7D37400B">
      <w:pPr>
        <w:spacing w:line="480" w:lineRule="exact"/>
        <w:ind w:firstLine="420" w:firstLineChars="200"/>
        <w:rPr>
          <w:rFonts w:hint="eastAsia" w:ascii="宋体" w:hAnsi="宋体"/>
        </w:rPr>
      </w:pPr>
      <w:r>
        <w:rPr>
          <w:rFonts w:hint="eastAsia" w:ascii="宋体" w:hAnsi="宋体"/>
        </w:rPr>
        <w:t>5、供货范围包括为保证设备自身正常运行所必需的、满足使用地点环境条件的通风、冷却、降温等必需设施。</w:t>
      </w:r>
    </w:p>
    <w:p w14:paraId="405E63D6">
      <w:pPr>
        <w:spacing w:line="480" w:lineRule="exact"/>
        <w:ind w:firstLine="420" w:firstLineChars="200"/>
        <w:rPr>
          <w:rFonts w:hint="eastAsia" w:ascii="宋体" w:hAnsi="宋体"/>
        </w:rPr>
      </w:pPr>
      <w:r>
        <w:rPr>
          <w:rFonts w:hint="eastAsia" w:ascii="宋体" w:hAnsi="宋体"/>
        </w:rPr>
        <w:t>6、以“交钥匙”方式采购的设备，在满足技术标书本节上述要求之外，供货范围还包括如下界定（货物）：</w:t>
      </w:r>
    </w:p>
    <w:p w14:paraId="0395E411">
      <w:pPr>
        <w:spacing w:line="480" w:lineRule="exact"/>
        <w:ind w:firstLine="420" w:firstLineChars="200"/>
        <w:rPr>
          <w:rFonts w:hint="eastAsia" w:ascii="宋体" w:hAnsi="宋体"/>
        </w:rPr>
      </w:pPr>
      <w:r>
        <w:rPr>
          <w:rFonts w:hint="eastAsia" w:ascii="宋体" w:hAnsi="宋体"/>
        </w:rPr>
        <w:t>6.1  招标方只提设备所需的厂房以及砼基础；只提供符合本技术标书中“采购货物概况”和“使用环境”章节所列明品质的电力、自来水、压缩空气、蒸汽、天然气管线至系统接口，如：系统电力接口的接线端，水、气、汽等外围管线端联接法兰外端面。</w:t>
      </w:r>
    </w:p>
    <w:p w14:paraId="66D372A8">
      <w:pPr>
        <w:spacing w:line="480" w:lineRule="exact"/>
        <w:ind w:firstLine="420" w:firstLineChars="200"/>
        <w:rPr>
          <w:rFonts w:hint="eastAsia" w:ascii="宋体" w:hAnsi="宋体"/>
        </w:rPr>
      </w:pPr>
      <w:r>
        <w:rPr>
          <w:rFonts w:hint="eastAsia" w:ascii="宋体" w:hAnsi="宋体"/>
        </w:rPr>
        <w:t>6.2  供货范围包括设备正常运行所必需的全套连线设备、材料等。如货物端联接法兰外端面之内的、电气系统接口压线板（插座等）之内的设备、材料、联接螺栓、垫片等。</w:t>
      </w:r>
    </w:p>
    <w:p w14:paraId="3E1DBA5B">
      <w:pPr>
        <w:spacing w:line="480" w:lineRule="exact"/>
        <w:ind w:firstLine="420" w:firstLineChars="200"/>
        <w:rPr>
          <w:rFonts w:hint="eastAsia" w:ascii="宋体" w:hAnsi="宋体"/>
        </w:rPr>
      </w:pPr>
      <w:r>
        <w:rPr>
          <w:rFonts w:hint="eastAsia" w:ascii="宋体" w:hAnsi="宋体"/>
        </w:rPr>
        <w:t>6.3  供货范围包括设备正常运行、使用所需要的过桥、护栏、防护网、盖板等辅助设施。</w:t>
      </w:r>
    </w:p>
    <w:p w14:paraId="510E5BDF">
      <w:pPr>
        <w:spacing w:line="480" w:lineRule="exact"/>
        <w:ind w:firstLine="420" w:firstLineChars="200"/>
        <w:rPr>
          <w:rFonts w:hint="eastAsia" w:ascii="宋体" w:hAnsi="宋体"/>
        </w:rPr>
      </w:pPr>
      <w:r>
        <w:rPr>
          <w:rFonts w:hint="eastAsia" w:ascii="宋体" w:hAnsi="宋体"/>
        </w:rPr>
        <w:t>6.4  供货范围包括招标文件中无明确具体要求而投标方认为必须具备的其它货物。但是，在投标文件报价明细中，该部分货物单独报价（该报价含运杂费及税费等其它费用，而且不再作为其它报价涉及的其它费用的计算基数）。</w:t>
      </w:r>
    </w:p>
    <w:p w14:paraId="4E4EEF6B">
      <w:pPr>
        <w:spacing w:line="480" w:lineRule="exact"/>
        <w:ind w:firstLine="420" w:firstLineChars="200"/>
        <w:rPr>
          <w:rFonts w:hint="eastAsia" w:ascii="黑体" w:hAnsi="宋体" w:eastAsia="黑体"/>
        </w:rPr>
      </w:pPr>
      <w:r>
        <w:rPr>
          <w:rFonts w:hint="eastAsia" w:ascii="黑体" w:hAnsi="宋体" w:eastAsia="黑体"/>
        </w:rPr>
        <w:t>二、备品备件、易损件和专用耗材供货范围</w:t>
      </w:r>
    </w:p>
    <w:p w14:paraId="16607CDD">
      <w:pPr>
        <w:spacing w:line="480" w:lineRule="exact"/>
        <w:ind w:firstLine="420" w:firstLineChars="200"/>
        <w:rPr>
          <w:rFonts w:hint="eastAsia" w:ascii="宋体" w:hAnsi="宋体"/>
        </w:rPr>
      </w:pPr>
      <w:r>
        <w:rPr>
          <w:rFonts w:hint="eastAsia" w:ascii="宋体" w:hAnsi="宋体"/>
        </w:rPr>
        <w:t>1、备品备件、易损件和专用耗材是招标方为保证设备质保期之后正常运行一年所自备自用的备品备件、易损件和专用耗材。质保期之内正常需要的备品备件、易损件和专用耗材全部包括在供货范围之内而不属于本条款界定的范围</w:t>
      </w:r>
      <w:r>
        <w:rPr>
          <w:rFonts w:hint="eastAsia" w:hAnsi="宋体" w:cs="宋体"/>
        </w:rPr>
        <w:t>（应有明细）</w:t>
      </w:r>
      <w:r>
        <w:rPr>
          <w:rFonts w:hint="eastAsia" w:ascii="宋体" w:hAnsi="宋体"/>
        </w:rPr>
        <w:t>。</w:t>
      </w:r>
    </w:p>
    <w:p w14:paraId="529590C7">
      <w:pPr>
        <w:spacing w:line="480" w:lineRule="exact"/>
        <w:ind w:firstLine="420" w:firstLineChars="200"/>
        <w:rPr>
          <w:rFonts w:ascii="宋体" w:hAnsi="宋体"/>
        </w:rPr>
      </w:pPr>
      <w:r>
        <w:rPr>
          <w:rFonts w:hint="eastAsia" w:ascii="宋体" w:hAnsi="宋体"/>
        </w:rPr>
        <w:t>2、供货范围包括易损件和专用耗材的制造图纸及其技术要求等资料。</w:t>
      </w:r>
    </w:p>
    <w:p w14:paraId="47088738">
      <w:pPr>
        <w:spacing w:line="480" w:lineRule="exact"/>
        <w:ind w:firstLine="420" w:firstLineChars="200"/>
        <w:rPr>
          <w:rFonts w:hint="eastAsia" w:ascii="宋体" w:hAnsi="宋体"/>
        </w:rPr>
      </w:pPr>
      <w:r>
        <w:rPr>
          <w:rFonts w:hint="eastAsia" w:ascii="宋体" w:hAnsi="宋体"/>
        </w:rPr>
        <w:t>3、投标报价需包含投标额5</w:t>
      </w:r>
      <w:r>
        <w:rPr>
          <w:rFonts w:ascii="宋体" w:hAnsi="宋体"/>
        </w:rPr>
        <w:t>%</w:t>
      </w:r>
      <w:r>
        <w:rPr>
          <w:rFonts w:hint="eastAsia" w:ascii="宋体" w:hAnsi="宋体"/>
        </w:rPr>
        <w:t>的备件及易损件。</w:t>
      </w:r>
    </w:p>
    <w:p w14:paraId="65F93F5B">
      <w:pPr>
        <w:spacing w:line="480" w:lineRule="exact"/>
        <w:ind w:firstLine="420" w:firstLineChars="200"/>
        <w:rPr>
          <w:rFonts w:hint="eastAsia" w:ascii="黑体" w:hAnsi="宋体" w:eastAsia="黑体"/>
        </w:rPr>
      </w:pPr>
      <w:r>
        <w:rPr>
          <w:rFonts w:hint="eastAsia" w:ascii="黑体" w:hAnsi="宋体" w:eastAsia="黑体"/>
        </w:rPr>
        <w:t>三、技术资料供货范围</w:t>
      </w:r>
    </w:p>
    <w:p w14:paraId="65E289A1">
      <w:pPr>
        <w:spacing w:line="480" w:lineRule="exact"/>
        <w:ind w:firstLine="420" w:firstLineChars="200"/>
        <w:rPr>
          <w:rFonts w:hint="eastAsia" w:ascii="宋体" w:hAnsi="宋体"/>
        </w:rPr>
      </w:pPr>
      <w:r>
        <w:rPr>
          <w:rFonts w:hint="eastAsia" w:ascii="宋体" w:hAnsi="宋体"/>
        </w:rPr>
        <w:t>技术资料供货范围包括：</w:t>
      </w:r>
    </w:p>
    <w:p w14:paraId="6A4A2781">
      <w:pPr>
        <w:spacing w:line="480" w:lineRule="exact"/>
        <w:ind w:firstLine="420" w:firstLineChars="200"/>
        <w:rPr>
          <w:rFonts w:hint="eastAsia" w:ascii="宋体" w:hAnsi="宋体"/>
          <w:bCs/>
        </w:rPr>
      </w:pPr>
      <w:r>
        <w:rPr>
          <w:rFonts w:hint="eastAsia" w:ascii="宋体" w:hAnsi="宋体"/>
        </w:rPr>
        <w:t>1、在</w:t>
      </w:r>
      <w:r>
        <w:rPr>
          <w:rFonts w:hint="eastAsia" w:hAnsi="宋体" w:cs="宋体"/>
        </w:rPr>
        <w:t>中标通知发出之</w:t>
      </w:r>
      <w:r>
        <w:rPr>
          <w:rFonts w:hint="eastAsia" w:ascii="宋体" w:hAnsi="宋体"/>
          <w:bCs/>
        </w:rPr>
        <w:t>后</w:t>
      </w:r>
      <w:r>
        <w:rPr>
          <w:rFonts w:hint="eastAsia" w:ascii="宋体" w:hAnsi="宋体"/>
          <w:bCs/>
          <w:u w:val="single"/>
          <w:shd w:val="pct10" w:color="auto" w:fill="FFFFFF"/>
        </w:rPr>
        <w:t xml:space="preserve">   15   </w:t>
      </w:r>
      <w:r>
        <w:rPr>
          <w:rFonts w:hint="eastAsia" w:ascii="宋体" w:hAnsi="宋体"/>
          <w:bCs/>
        </w:rPr>
        <w:t>个日历日内，提供设备基础及相关的设计、制作所需的纸质及电子版资料；电子版文件应当能够使用常用版本软件可以阅读甚至使用，进口货物、设备应有中外文对照。</w:t>
      </w:r>
    </w:p>
    <w:p w14:paraId="64826C60">
      <w:pPr>
        <w:spacing w:line="480" w:lineRule="exact"/>
        <w:ind w:firstLine="420" w:firstLineChars="200"/>
        <w:rPr>
          <w:rFonts w:hint="eastAsia" w:ascii="宋体" w:hAnsi="宋体"/>
        </w:rPr>
      </w:pPr>
      <w:r>
        <w:rPr>
          <w:rFonts w:hint="eastAsia" w:ascii="宋体" w:hAnsi="宋体"/>
        </w:rPr>
        <w:t>2、在预验收前，</w:t>
      </w:r>
      <w:r>
        <w:rPr>
          <w:rFonts w:hint="eastAsia" w:ascii="宋体" w:hAnsi="宋体"/>
          <w:bCs/>
        </w:rPr>
        <w:t>提供设备各部分的功能描述文件、图片、影像等资料（进口、设备应有中外文对照）。</w:t>
      </w:r>
    </w:p>
    <w:p w14:paraId="58E7B17A">
      <w:pPr>
        <w:spacing w:line="480" w:lineRule="exact"/>
        <w:ind w:firstLine="420" w:firstLineChars="200"/>
        <w:rPr>
          <w:rFonts w:hint="eastAsia" w:ascii="宋体" w:hAnsi="宋体"/>
        </w:rPr>
      </w:pPr>
      <w:r>
        <w:rPr>
          <w:rFonts w:hint="eastAsia" w:ascii="宋体" w:hAnsi="宋体"/>
        </w:rPr>
        <w:t>3、在终验收前，提供为保证设备后续正常运行所需的工装、吊（挂）具明细及其图纸、具体技术要求等资料（如果供货范围包含该部分实物）。</w:t>
      </w:r>
    </w:p>
    <w:p w14:paraId="6685E388">
      <w:pPr>
        <w:spacing w:line="480" w:lineRule="exact"/>
        <w:ind w:firstLine="420" w:firstLineChars="200"/>
        <w:rPr>
          <w:rFonts w:hint="eastAsia" w:ascii="宋体" w:hAnsi="宋体"/>
        </w:rPr>
      </w:pPr>
      <w:r>
        <w:rPr>
          <w:rFonts w:hint="eastAsia" w:ascii="宋体" w:hAnsi="宋体"/>
        </w:rPr>
        <w:t>4、在终验收前，提供确定的维修所需要且招标方可以自行采购的外购件、外协件、电气元件及主要原材料的供货厂家明细表。</w:t>
      </w:r>
    </w:p>
    <w:p w14:paraId="4DD4706A">
      <w:pPr>
        <w:spacing w:line="480" w:lineRule="exact"/>
        <w:ind w:firstLine="420" w:firstLineChars="200"/>
        <w:rPr>
          <w:rFonts w:hint="eastAsia" w:ascii="宋体" w:hAnsi="宋体"/>
        </w:rPr>
      </w:pPr>
      <w:r>
        <w:rPr>
          <w:rFonts w:hint="eastAsia" w:ascii="宋体" w:hAnsi="宋体"/>
        </w:rPr>
        <w:t>5、在终验收后的第一笔货款支付日之前，提供包括设备的备品备件、易损件和专用耗材的图纸及技术参数、技术要求等资料。</w:t>
      </w:r>
    </w:p>
    <w:p w14:paraId="21107E62">
      <w:pPr>
        <w:spacing w:line="480" w:lineRule="exact"/>
        <w:ind w:firstLine="420" w:firstLineChars="200"/>
        <w:rPr>
          <w:rFonts w:hint="eastAsia" w:ascii="宋体" w:hAnsi="宋体"/>
        </w:rPr>
      </w:pPr>
      <w:r>
        <w:rPr>
          <w:rFonts w:hint="eastAsia" w:ascii="宋体" w:hAnsi="宋体"/>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28BB7927">
      <w:pPr>
        <w:spacing w:line="480" w:lineRule="exact"/>
        <w:ind w:firstLine="420" w:firstLineChars="200"/>
        <w:rPr>
          <w:rFonts w:hint="eastAsia" w:ascii="宋体" w:hAnsi="宋体"/>
        </w:rPr>
      </w:pPr>
      <w:r>
        <w:rPr>
          <w:rFonts w:hint="eastAsia" w:ascii="宋体" w:hAnsi="宋体"/>
        </w:rPr>
        <w:t>7、在终验收后的第一笔货款支付日之前，提供关于采购设备的电气资料（包括接线图、原理图、布线图、梯形图等）、液压（气动）原理图和系统图、安装基础图、维修图等有关的资料（含图片和影像等资料）；非标准货物应提供整套设备3D模型、设计总图、全线布置图、部件装配图、工装夹具全套零件图纸等详细资料；对于进口设备，应有中外文资料说明。</w:t>
      </w:r>
    </w:p>
    <w:p w14:paraId="193B325D">
      <w:pPr>
        <w:spacing w:line="480" w:lineRule="exact"/>
        <w:ind w:firstLine="420" w:firstLineChars="200"/>
        <w:rPr>
          <w:rFonts w:hint="eastAsia" w:ascii="宋体" w:hAnsi="宋体"/>
        </w:rPr>
      </w:pPr>
      <w:r>
        <w:rPr>
          <w:rFonts w:hint="eastAsia" w:ascii="宋体" w:hAnsi="宋体"/>
        </w:rPr>
        <w:t>8、本条款所列的技术资料、图片、影像等，投标方应各提供4套，其中2套为电子版光（U）盘；每份技术文件应装有目录清单。</w:t>
      </w:r>
    </w:p>
    <w:p w14:paraId="336E91E5">
      <w:pPr>
        <w:spacing w:line="480" w:lineRule="exact"/>
        <w:ind w:firstLine="420" w:firstLineChars="200"/>
        <w:rPr>
          <w:rFonts w:hint="eastAsia" w:ascii="宋体" w:hAnsi="宋体"/>
        </w:rPr>
      </w:pPr>
      <w:r>
        <w:rPr>
          <w:rFonts w:hint="eastAsia" w:ascii="宋体" w:hAnsi="宋体"/>
        </w:rPr>
        <w:t>9、本条款所列要求，如招标方认为投标方提供的资料不能满足要求时，有权要求投标方免费补充或增加。</w:t>
      </w:r>
    </w:p>
    <w:p w14:paraId="4E743BF9">
      <w:pPr>
        <w:spacing w:line="480" w:lineRule="exact"/>
        <w:ind w:firstLine="420" w:firstLineChars="200"/>
        <w:rPr>
          <w:rFonts w:hint="eastAsia" w:ascii="宋体" w:hAnsi="宋体"/>
        </w:rPr>
      </w:pPr>
    </w:p>
    <w:p w14:paraId="7D8923ED">
      <w:pPr>
        <w:pStyle w:val="5"/>
        <w:spacing w:before="120" w:after="120" w:line="480" w:lineRule="exact"/>
        <w:jc w:val="center"/>
        <w:rPr>
          <w:rFonts w:hint="eastAsia"/>
          <w:b w:val="0"/>
          <w:sz w:val="24"/>
          <w:szCs w:val="24"/>
        </w:rPr>
      </w:pPr>
      <w:bookmarkStart w:id="43" w:name="_Toc9858"/>
      <w:bookmarkStart w:id="44" w:name="_Toc26064"/>
      <w:bookmarkStart w:id="45" w:name="_Toc13936"/>
      <w:bookmarkStart w:id="46" w:name="_Toc8159"/>
      <w:bookmarkStart w:id="47" w:name="_Toc137705871"/>
      <w:r>
        <w:rPr>
          <w:rFonts w:hint="eastAsia"/>
          <w:b w:val="0"/>
          <w:sz w:val="24"/>
          <w:szCs w:val="24"/>
        </w:rPr>
        <w:t>第二节  供货方式</w:t>
      </w:r>
      <w:bookmarkEnd w:id="43"/>
      <w:bookmarkEnd w:id="44"/>
      <w:bookmarkEnd w:id="45"/>
      <w:bookmarkEnd w:id="46"/>
      <w:bookmarkEnd w:id="47"/>
    </w:p>
    <w:p w14:paraId="4A93C8BA">
      <w:pPr>
        <w:spacing w:line="480" w:lineRule="exact"/>
        <w:ind w:firstLine="420" w:firstLineChars="200"/>
        <w:rPr>
          <w:rFonts w:hint="eastAsia" w:ascii="宋体" w:hAnsi="宋体"/>
        </w:rPr>
      </w:pPr>
      <w:r>
        <w:rPr>
          <w:rFonts w:hint="eastAsia" w:ascii="黑体" w:hAnsi="宋体" w:eastAsia="黑体"/>
        </w:rPr>
        <w:t>一、供货地点：</w:t>
      </w:r>
      <w:r>
        <w:rPr>
          <w:rFonts w:hint="eastAsia" w:ascii="宋体" w:hAnsi="宋体"/>
        </w:rPr>
        <w:t>本项目建设工地。</w:t>
      </w:r>
    </w:p>
    <w:p w14:paraId="2E21B570">
      <w:pPr>
        <w:spacing w:line="480" w:lineRule="exact"/>
        <w:ind w:firstLine="420" w:firstLineChars="200"/>
        <w:jc w:val="left"/>
        <w:rPr>
          <w:rFonts w:hint="eastAsia" w:ascii="黑体" w:hAnsi="宋体" w:eastAsia="黑体"/>
        </w:rPr>
      </w:pPr>
      <w:r>
        <w:rPr>
          <w:rFonts w:hint="eastAsia" w:ascii="黑体" w:hAnsi="宋体" w:eastAsia="黑体"/>
        </w:rPr>
        <w:t>二、供货时间</w:t>
      </w:r>
    </w:p>
    <w:p w14:paraId="74B4C508">
      <w:pPr>
        <w:spacing w:line="480" w:lineRule="exact"/>
        <w:ind w:firstLine="420" w:firstLineChars="200"/>
        <w:jc w:val="left"/>
        <w:rPr>
          <w:rFonts w:hint="eastAsia" w:ascii="宋体" w:hAnsi="宋体"/>
        </w:rPr>
      </w:pPr>
      <w:r>
        <w:rPr>
          <w:rFonts w:hint="eastAsia" w:ascii="宋体" w:hAnsi="宋体"/>
        </w:rPr>
        <w:t>1、以交钥匙方式供货的，按照以下时间要求（安装调试工期超过10个日历日的，投标方应当随标书提供详细的工期计划）：</w:t>
      </w:r>
    </w:p>
    <w:p w14:paraId="4C53AAD6">
      <w:pPr>
        <w:spacing w:line="480" w:lineRule="exact"/>
        <w:ind w:firstLine="420" w:firstLineChars="200"/>
        <w:jc w:val="left"/>
        <w:rPr>
          <w:rFonts w:hint="eastAsia" w:ascii="宋体" w:hAnsi="宋体"/>
        </w:rPr>
      </w:pPr>
      <w:r>
        <w:rPr>
          <w:rFonts w:hint="eastAsia" w:ascii="宋体" w:hAnsi="宋体"/>
        </w:rPr>
        <w:t>1.1  自</w:t>
      </w:r>
      <w:r>
        <w:rPr>
          <w:rFonts w:hint="eastAsia" w:hAnsi="宋体" w:cs="宋体"/>
        </w:rPr>
        <w:t>中标通知发出之日</w:t>
      </w:r>
      <w:r>
        <w:rPr>
          <w:rFonts w:hint="eastAsia" w:ascii="宋体" w:hAnsi="宋体"/>
        </w:rPr>
        <w:t>起，</w:t>
      </w:r>
      <w:r>
        <w:rPr>
          <w:rFonts w:hint="eastAsia" w:ascii="宋体" w:hAnsi="宋体"/>
          <w:color w:val="FF0000"/>
          <w:u w:val="single"/>
          <w:shd w:val="pct10" w:color="auto" w:fill="FFFFFF"/>
          <w:lang w:val="en-US" w:eastAsia="zh-CN"/>
        </w:rPr>
        <w:t>80</w:t>
      </w:r>
      <w:r>
        <w:rPr>
          <w:rFonts w:hint="eastAsia" w:ascii="宋体" w:hAnsi="宋体"/>
        </w:rPr>
        <w:t>个日历日之内交货至供货地点。</w:t>
      </w:r>
    </w:p>
    <w:p w14:paraId="748DA15D">
      <w:pPr>
        <w:spacing w:line="480" w:lineRule="exact"/>
        <w:ind w:firstLine="420" w:firstLineChars="200"/>
        <w:jc w:val="left"/>
        <w:rPr>
          <w:rFonts w:hint="eastAsia" w:ascii="宋体" w:hAnsi="宋体"/>
        </w:rPr>
      </w:pPr>
      <w:r>
        <w:rPr>
          <w:rFonts w:hint="eastAsia" w:ascii="宋体" w:hAnsi="宋体"/>
        </w:rPr>
        <w:t>1.2  接续</w:t>
      </w:r>
      <w:r>
        <w:rPr>
          <w:rFonts w:hint="eastAsia" w:ascii="宋体" w:hAnsi="宋体" w:eastAsia="宋体" w:cs="Times New Roman"/>
          <w:color w:val="FF0000"/>
          <w:u w:val="single"/>
          <w:shd w:val="pct10" w:color="auto" w:fill="FFFFFF"/>
          <w:lang w:val="en-US" w:eastAsia="zh-CN"/>
        </w:rPr>
        <w:t xml:space="preserve"> 15 </w:t>
      </w:r>
      <w:r>
        <w:rPr>
          <w:rFonts w:hint="eastAsia" w:ascii="宋体" w:hAnsi="宋体"/>
        </w:rPr>
        <w:t>个日历日之内安装调试完毕。</w:t>
      </w:r>
    </w:p>
    <w:p w14:paraId="620279AF">
      <w:pPr>
        <w:spacing w:line="480" w:lineRule="exact"/>
        <w:ind w:firstLine="420" w:firstLineChars="200"/>
        <w:jc w:val="left"/>
        <w:rPr>
          <w:rFonts w:hint="eastAsia" w:ascii="黑体" w:hAnsi="宋体" w:eastAsia="黑体"/>
        </w:rPr>
      </w:pPr>
      <w:r>
        <w:rPr>
          <w:rFonts w:hint="eastAsia" w:ascii="黑体" w:hAnsi="宋体" w:eastAsia="黑体"/>
        </w:rPr>
        <w:t>三、质保期及质保要求</w:t>
      </w:r>
    </w:p>
    <w:p w14:paraId="59C8584B">
      <w:pPr>
        <w:spacing w:line="480" w:lineRule="exact"/>
        <w:ind w:firstLine="420" w:firstLineChars="200"/>
        <w:jc w:val="left"/>
        <w:rPr>
          <w:rFonts w:hint="eastAsia" w:ascii="宋体" w:hAnsi="宋体"/>
        </w:rPr>
      </w:pPr>
      <w:r>
        <w:rPr>
          <w:rFonts w:hint="eastAsia" w:ascii="宋体" w:hAnsi="宋体"/>
        </w:rPr>
        <w:t>1、全部供货范围内的设备、材料、零配件和工器具等，除合同特别约定外，其质保期均自终验收签字生效之日起</w:t>
      </w:r>
      <w:r>
        <w:rPr>
          <w:rFonts w:hint="eastAsia" w:ascii="宋体" w:hAnsi="宋体"/>
          <w:u w:val="single"/>
          <w:shd w:val="pct10" w:color="auto" w:fill="FFFFFF"/>
        </w:rPr>
        <w:t xml:space="preserve">  </w:t>
      </w:r>
      <w:r>
        <w:rPr>
          <w:rFonts w:hint="eastAsia" w:ascii="宋体" w:hAnsi="宋体"/>
          <w:color w:val="FF0000"/>
          <w:u w:val="single"/>
          <w:shd w:val="pct10" w:color="auto" w:fill="FFFFFF"/>
        </w:rPr>
        <w:t>2</w:t>
      </w:r>
      <w:r>
        <w:rPr>
          <w:rFonts w:hint="eastAsia" w:ascii="宋体" w:hAnsi="宋体"/>
          <w:color w:val="FF0000"/>
          <w:u w:val="single"/>
          <w:shd w:val="pct10" w:color="auto" w:fill="FFFFFF"/>
          <w:lang w:val="en-US" w:eastAsia="zh-CN"/>
        </w:rPr>
        <w:t>4</w:t>
      </w:r>
      <w:r>
        <w:rPr>
          <w:rFonts w:hint="eastAsia" w:ascii="宋体" w:hAnsi="宋体"/>
          <w:u w:val="single"/>
          <w:shd w:val="pct10" w:color="auto" w:fill="FFFFFF"/>
        </w:rPr>
        <w:t xml:space="preserve">  </w:t>
      </w:r>
      <w:r>
        <w:rPr>
          <w:rFonts w:hint="eastAsia" w:ascii="宋体" w:hAnsi="宋体"/>
        </w:rPr>
        <w:t>个月。</w:t>
      </w:r>
    </w:p>
    <w:p w14:paraId="011FC8C3">
      <w:pPr>
        <w:spacing w:line="480" w:lineRule="exact"/>
        <w:ind w:firstLine="420" w:firstLineChars="200"/>
        <w:jc w:val="left"/>
        <w:rPr>
          <w:rFonts w:hint="eastAsia" w:ascii="宋体" w:hAnsi="宋体"/>
        </w:rPr>
      </w:pPr>
      <w:r>
        <w:rPr>
          <w:rFonts w:hint="eastAsia" w:ascii="宋体" w:hAnsi="宋体"/>
        </w:rPr>
        <w:t>投标货物或涉及的关键总成和零件，如果有更长时间质保期，允许更改并说明，此将有利于投标方。</w:t>
      </w:r>
    </w:p>
    <w:p w14:paraId="66087E9A">
      <w:pPr>
        <w:spacing w:line="480" w:lineRule="exact"/>
        <w:ind w:firstLine="420" w:firstLineChars="200"/>
        <w:jc w:val="left"/>
        <w:rPr>
          <w:rFonts w:hint="eastAsia" w:ascii="宋体" w:hAnsi="宋体"/>
        </w:rPr>
      </w:pPr>
      <w:r>
        <w:rPr>
          <w:rFonts w:hint="eastAsia" w:ascii="宋体" w:hAnsi="宋体"/>
        </w:rPr>
        <w:t>设计使用寿命短于质保期的易损件除外，但属于易损件的，应当有明确说明。</w:t>
      </w:r>
    </w:p>
    <w:p w14:paraId="0568DF5C">
      <w:pPr>
        <w:spacing w:line="480" w:lineRule="exact"/>
        <w:ind w:firstLine="420" w:firstLineChars="200"/>
        <w:jc w:val="left"/>
        <w:rPr>
          <w:rFonts w:hint="eastAsia" w:ascii="宋体" w:hAnsi="宋体"/>
        </w:rPr>
      </w:pPr>
      <w:r>
        <w:rPr>
          <w:rFonts w:hint="eastAsia" w:ascii="宋体" w:hAnsi="宋体"/>
        </w:rPr>
        <w:t>2、质保期之内，如果设备出现设备、总成、关键零部件或者多处一般零部件的更换或维修行为，则质保期自更换或维修行为结束、设备重新正常运行使用之日起重新计算。</w:t>
      </w:r>
    </w:p>
    <w:p w14:paraId="36A3E464">
      <w:pPr>
        <w:spacing w:line="480" w:lineRule="exact"/>
        <w:ind w:firstLine="420" w:firstLineChars="200"/>
        <w:jc w:val="left"/>
        <w:rPr>
          <w:rFonts w:hint="eastAsia" w:ascii="宋体" w:hAnsi="宋体"/>
        </w:rPr>
      </w:pPr>
      <w:r>
        <w:rPr>
          <w:rFonts w:hint="eastAsia" w:ascii="宋体" w:hAnsi="宋体"/>
        </w:rPr>
        <w:t>3、质保期内免费提供零部件和及时有效的服务。质保期内因货物本身缺陷造成的各种故障，投标方应负责免费维修和服务。</w:t>
      </w:r>
    </w:p>
    <w:p w14:paraId="3A207724">
      <w:pPr>
        <w:spacing w:line="480" w:lineRule="exact"/>
        <w:ind w:firstLine="420" w:firstLineChars="200"/>
        <w:jc w:val="left"/>
        <w:rPr>
          <w:rFonts w:hint="eastAsia" w:ascii="宋体" w:hAnsi="宋体"/>
        </w:rPr>
      </w:pPr>
      <w:r>
        <w:rPr>
          <w:rFonts w:hint="eastAsia" w:ascii="宋体" w:hAnsi="宋体"/>
        </w:rPr>
        <w:t>4、质保期终止之日起</w:t>
      </w:r>
      <w:r>
        <w:rPr>
          <w:rFonts w:hint="eastAsia" w:ascii="宋体" w:hAnsi="宋体"/>
          <w:color w:val="FF0000"/>
        </w:rPr>
        <w:t>18</w:t>
      </w:r>
      <w:r>
        <w:rPr>
          <w:rFonts w:hint="eastAsia" w:ascii="宋体" w:hAnsi="宋体"/>
        </w:rPr>
        <w:t>个月内重复出现的质保期之内出现的故障，仍属质保范围而且应当免费。</w:t>
      </w:r>
    </w:p>
    <w:p w14:paraId="669C53FB">
      <w:pPr>
        <w:spacing w:line="480" w:lineRule="exact"/>
        <w:ind w:firstLine="420" w:firstLineChars="200"/>
        <w:rPr>
          <w:rFonts w:hint="eastAsia" w:ascii="黑体" w:hAnsi="宋体" w:eastAsia="黑体"/>
        </w:rPr>
      </w:pPr>
      <w:r>
        <w:rPr>
          <w:rFonts w:hint="eastAsia" w:ascii="黑体" w:hAnsi="宋体" w:eastAsia="黑体"/>
        </w:rPr>
        <w:t>四、包装</w:t>
      </w:r>
    </w:p>
    <w:p w14:paraId="5FBD8DE8">
      <w:pPr>
        <w:adjustRightInd w:val="0"/>
        <w:snapToGrid w:val="0"/>
        <w:spacing w:line="460" w:lineRule="exact"/>
        <w:ind w:firstLine="420" w:firstLineChars="200"/>
        <w:rPr>
          <w:rFonts w:hint="eastAsia" w:ascii="宋体" w:hAnsi="宋体"/>
        </w:rPr>
      </w:pPr>
      <w:r>
        <w:rPr>
          <w:rFonts w:hint="eastAsia" w:ascii="宋体" w:hAnsi="宋体"/>
        </w:rPr>
        <w:t>1、所提供设备的包装，应遵照国家标准和有关包装、包皮的技术条件，或按照最好的商业惯例进行包装。</w:t>
      </w:r>
    </w:p>
    <w:p w14:paraId="709232E1">
      <w:pPr>
        <w:adjustRightInd w:val="0"/>
        <w:snapToGrid w:val="0"/>
        <w:spacing w:line="460" w:lineRule="exact"/>
        <w:ind w:firstLine="420" w:firstLineChars="200"/>
        <w:rPr>
          <w:rFonts w:hint="eastAsia" w:ascii="宋体" w:hAnsi="宋体"/>
        </w:rPr>
      </w:pPr>
      <w:r>
        <w:rPr>
          <w:rFonts w:hint="eastAsia" w:ascii="宋体" w:hAnsi="宋体"/>
        </w:rPr>
        <w:t>2、包装应能满足所需要采取的运输方式（船运、汽运或铁路运输）、多次吊装卸装、卸货以及长期露天堆放要求，应能防止雨淋、受潮、生锈、腐蚀、受振、受磁以及机械和化学因素等引起的损坏。</w:t>
      </w:r>
    </w:p>
    <w:p w14:paraId="0923B06F">
      <w:pPr>
        <w:adjustRightInd w:val="0"/>
        <w:snapToGrid w:val="0"/>
        <w:spacing w:line="460" w:lineRule="exact"/>
        <w:ind w:firstLine="420" w:firstLineChars="200"/>
        <w:rPr>
          <w:rFonts w:hint="eastAsia" w:ascii="宋体" w:hAnsi="宋体"/>
        </w:rPr>
      </w:pPr>
      <w:r>
        <w:rPr>
          <w:rFonts w:hint="eastAsia" w:ascii="宋体" w:hAnsi="宋体"/>
        </w:rPr>
        <w:t>3、所提供设备的包装，应能防止其一般性被窃或受外力破坏；一般不得采用有大缝隙的板条包装。</w:t>
      </w:r>
    </w:p>
    <w:p w14:paraId="4977B89D">
      <w:pPr>
        <w:adjustRightInd w:val="0"/>
        <w:snapToGrid w:val="0"/>
        <w:spacing w:line="460" w:lineRule="exact"/>
        <w:ind w:firstLine="420" w:firstLineChars="200"/>
        <w:rPr>
          <w:rFonts w:hint="eastAsia" w:ascii="宋体" w:hAnsi="宋体"/>
        </w:rPr>
      </w:pPr>
      <w:r>
        <w:rPr>
          <w:rFonts w:hint="eastAsia" w:ascii="宋体" w:hAnsi="宋体"/>
        </w:rPr>
        <w:t>4、应对包装件做必要的加固和固定，以防止运输可能造成的损坏。</w:t>
      </w:r>
    </w:p>
    <w:p w14:paraId="4541F8DD">
      <w:pPr>
        <w:adjustRightInd w:val="0"/>
        <w:snapToGrid w:val="0"/>
        <w:spacing w:line="460" w:lineRule="exact"/>
        <w:ind w:firstLine="420" w:firstLineChars="200"/>
        <w:rPr>
          <w:rFonts w:hint="eastAsia" w:ascii="宋体" w:hAnsi="宋体"/>
        </w:rPr>
      </w:pPr>
      <w:r>
        <w:rPr>
          <w:rFonts w:hint="eastAsia" w:ascii="宋体" w:hAnsi="宋体"/>
        </w:rPr>
        <w:t>5、每个包装件应有装箱单，并至少标明名称、型号规格、数量、净重和毛重、投标方（或供货商）名称和制造日期等相关内容。</w:t>
      </w:r>
    </w:p>
    <w:p w14:paraId="46D1CCDC">
      <w:pPr>
        <w:adjustRightInd w:val="0"/>
        <w:snapToGrid w:val="0"/>
        <w:spacing w:line="460" w:lineRule="exact"/>
        <w:ind w:firstLine="420" w:firstLineChars="200"/>
        <w:rPr>
          <w:rFonts w:hint="eastAsia" w:ascii="宋体" w:hAnsi="宋体"/>
        </w:rPr>
      </w:pPr>
      <w:r>
        <w:rPr>
          <w:rFonts w:hint="eastAsia" w:ascii="宋体" w:hAnsi="宋体"/>
        </w:rPr>
        <w:t>6、每个包装箱应有明显标志，并具有中文书写的合同号、装运标志、发货和到货地点名称、发货人和收货人名称、设备名称和项目号、箱号和外型尺寸等内容。</w:t>
      </w:r>
    </w:p>
    <w:p w14:paraId="31DF5FFA">
      <w:pPr>
        <w:adjustRightInd w:val="0"/>
        <w:snapToGrid w:val="0"/>
        <w:spacing w:line="460" w:lineRule="exact"/>
        <w:ind w:firstLine="420" w:firstLineChars="200"/>
        <w:rPr>
          <w:rFonts w:hint="eastAsia" w:ascii="宋体" w:hAnsi="宋体"/>
        </w:rPr>
      </w:pPr>
      <w:r>
        <w:rPr>
          <w:rFonts w:hint="eastAsia" w:ascii="宋体" w:hAnsi="宋体"/>
        </w:rPr>
        <w:t>7、应按照不同的装运要求在包装箱上标明“小心轻放”、“箭头向上”、“防潮”、“防磁”、“不准平放”等标志，以及其它适用的国标通用标志。</w:t>
      </w:r>
    </w:p>
    <w:p w14:paraId="411B9B69">
      <w:pPr>
        <w:adjustRightInd w:val="0"/>
        <w:snapToGrid w:val="0"/>
        <w:spacing w:line="460" w:lineRule="exact"/>
        <w:ind w:firstLine="420" w:firstLineChars="200"/>
        <w:rPr>
          <w:rFonts w:hint="eastAsia" w:ascii="宋体" w:hAnsi="宋体"/>
        </w:rPr>
      </w:pPr>
      <w:r>
        <w:rPr>
          <w:rFonts w:hint="eastAsia" w:ascii="宋体" w:hAnsi="宋体"/>
        </w:rPr>
        <w:t>8、包装箱应连续编号，不应出现重复编号。</w:t>
      </w:r>
    </w:p>
    <w:p w14:paraId="4A98301B">
      <w:pPr>
        <w:adjustRightInd w:val="0"/>
        <w:snapToGrid w:val="0"/>
        <w:spacing w:line="460" w:lineRule="exact"/>
        <w:ind w:firstLine="420" w:firstLineChars="200"/>
        <w:rPr>
          <w:rFonts w:hint="eastAsia" w:ascii="宋体" w:hAnsi="宋体"/>
        </w:rPr>
      </w:pPr>
      <w:r>
        <w:rPr>
          <w:rFonts w:hint="eastAsia" w:ascii="宋体" w:hAnsi="宋体"/>
        </w:rPr>
        <w:t>9、在不受到外界破坏情况下，包装应保证自交货日起一年内货物（或设备）完好无损。</w:t>
      </w:r>
    </w:p>
    <w:p w14:paraId="3CB29244">
      <w:pPr>
        <w:adjustRightInd w:val="0"/>
        <w:snapToGrid w:val="0"/>
        <w:spacing w:line="460" w:lineRule="exact"/>
        <w:ind w:firstLine="420" w:firstLineChars="200"/>
        <w:rPr>
          <w:rFonts w:hint="eastAsia" w:ascii="黑体" w:hAnsi="宋体" w:eastAsia="黑体"/>
        </w:rPr>
      </w:pPr>
      <w:r>
        <w:rPr>
          <w:rFonts w:hint="eastAsia" w:ascii="黑体" w:hAnsi="宋体" w:eastAsia="黑体"/>
        </w:rPr>
        <w:t>五、运输</w:t>
      </w:r>
    </w:p>
    <w:p w14:paraId="1AF950B5">
      <w:pPr>
        <w:adjustRightInd w:val="0"/>
        <w:snapToGrid w:val="0"/>
        <w:spacing w:line="460" w:lineRule="exact"/>
        <w:ind w:firstLine="420" w:firstLineChars="200"/>
        <w:rPr>
          <w:rFonts w:hint="eastAsia" w:ascii="宋体" w:hAnsi="宋体"/>
        </w:rPr>
      </w:pPr>
      <w:r>
        <w:rPr>
          <w:rFonts w:hint="eastAsia" w:ascii="宋体" w:hAnsi="宋体"/>
        </w:rPr>
        <w:t>1、应负责将设备运到目的地，并必须做到设备在任何运输过程中不受损坏和遗失。</w:t>
      </w:r>
    </w:p>
    <w:p w14:paraId="33F162FA">
      <w:pPr>
        <w:adjustRightInd w:val="0"/>
        <w:snapToGrid w:val="0"/>
        <w:spacing w:line="460" w:lineRule="exact"/>
        <w:ind w:firstLine="420" w:firstLineChars="200"/>
        <w:rPr>
          <w:rFonts w:hint="eastAsia" w:ascii="宋体" w:hAnsi="宋体"/>
        </w:rPr>
      </w:pPr>
      <w:r>
        <w:rPr>
          <w:rFonts w:hint="eastAsia" w:ascii="宋体" w:hAnsi="宋体"/>
        </w:rPr>
        <w:t>2、同批设备应统一包装、编号运输。</w:t>
      </w:r>
    </w:p>
    <w:p w14:paraId="1809A558">
      <w:pPr>
        <w:adjustRightInd w:val="0"/>
        <w:snapToGrid w:val="0"/>
        <w:spacing w:line="460" w:lineRule="exact"/>
        <w:ind w:firstLine="420" w:firstLineChars="200"/>
        <w:rPr>
          <w:rFonts w:hint="eastAsia" w:ascii="宋体" w:hAnsi="宋体"/>
        </w:rPr>
      </w:pPr>
      <w:r>
        <w:rPr>
          <w:rFonts w:hint="eastAsia" w:ascii="宋体" w:hAnsi="宋体"/>
        </w:rPr>
        <w:t>3、一般情况下，经由铁路、公路运输的包装件尺寸和重量不应超过国家所规定的尺寸限制。特殊情况应予以说明。</w:t>
      </w:r>
    </w:p>
    <w:p w14:paraId="00EB9E1E">
      <w:pPr>
        <w:adjustRightInd w:val="0"/>
        <w:snapToGrid w:val="0"/>
        <w:spacing w:line="460" w:lineRule="exact"/>
        <w:ind w:firstLine="420" w:firstLineChars="200"/>
        <w:rPr>
          <w:rFonts w:hint="eastAsia" w:ascii="宋体" w:hAnsi="宋体"/>
        </w:rPr>
      </w:pPr>
      <w:r>
        <w:rPr>
          <w:rFonts w:hint="eastAsia" w:ascii="宋体" w:hAnsi="宋体"/>
        </w:rPr>
        <w:t>4、在每批设备发出后，应立即通知招标方；通知中应指明：合同号、货运单号、件数、重量和设备发出日期等相关内容。</w:t>
      </w:r>
    </w:p>
    <w:p w14:paraId="615429DD">
      <w:pPr>
        <w:adjustRightInd w:val="0"/>
        <w:snapToGrid w:val="0"/>
        <w:spacing w:line="460" w:lineRule="exact"/>
        <w:ind w:firstLine="420" w:firstLineChars="200"/>
        <w:rPr>
          <w:rFonts w:hint="eastAsia" w:ascii="宋体" w:hAnsi="宋体"/>
        </w:rPr>
      </w:pPr>
      <w:r>
        <w:rPr>
          <w:rFonts w:hint="eastAsia" w:ascii="宋体" w:hAnsi="宋体"/>
        </w:rPr>
        <w:t>5、设备运抵交货地点后，应负责货物（或设备）的卸货、搬运、保管等事宜；或按照合同约定。</w:t>
      </w:r>
    </w:p>
    <w:p w14:paraId="6ABD42AD">
      <w:pPr>
        <w:pStyle w:val="3"/>
        <w:spacing w:before="120" w:after="120" w:line="480" w:lineRule="exact"/>
        <w:jc w:val="center"/>
        <w:rPr>
          <w:rFonts w:hint="eastAsia" w:ascii="黑体" w:eastAsia="黑体"/>
          <w:b w:val="0"/>
          <w:sz w:val="24"/>
          <w:szCs w:val="24"/>
        </w:rPr>
      </w:pPr>
      <w:r>
        <w:rPr>
          <w:rFonts w:ascii="宋体" w:hAnsi="宋体"/>
        </w:rPr>
        <w:br w:type="page"/>
      </w:r>
      <w:bookmarkStart w:id="48" w:name="_Toc137705872"/>
      <w:bookmarkStart w:id="49" w:name="_Toc28593"/>
      <w:bookmarkStart w:id="50" w:name="_Toc30960"/>
      <w:bookmarkStart w:id="51" w:name="_Toc2931"/>
      <w:bookmarkStart w:id="52" w:name="_Toc9796"/>
      <w:r>
        <w:rPr>
          <w:rFonts w:hint="eastAsia" w:ascii="黑体" w:eastAsia="黑体"/>
          <w:b w:val="0"/>
          <w:bCs w:val="0"/>
          <w:sz w:val="24"/>
          <w:szCs w:val="24"/>
        </w:rPr>
        <w:t>第四章  售中售后服务</w:t>
      </w:r>
      <w:bookmarkEnd w:id="48"/>
      <w:bookmarkEnd w:id="49"/>
      <w:bookmarkEnd w:id="50"/>
      <w:bookmarkEnd w:id="51"/>
      <w:bookmarkEnd w:id="52"/>
    </w:p>
    <w:p w14:paraId="6CF33B7C">
      <w:pPr>
        <w:adjustRightInd w:val="0"/>
        <w:snapToGrid w:val="0"/>
        <w:spacing w:line="460" w:lineRule="exact"/>
        <w:ind w:firstLine="420" w:firstLineChars="200"/>
        <w:rPr>
          <w:rFonts w:hint="eastAsia" w:ascii="黑体" w:hAnsi="宋体" w:eastAsia="黑体"/>
        </w:rPr>
      </w:pPr>
      <w:r>
        <w:rPr>
          <w:rFonts w:hint="eastAsia" w:ascii="黑体" w:hAnsi="宋体" w:eastAsia="黑体"/>
        </w:rPr>
        <w:t>一、技术及培训服务</w:t>
      </w:r>
    </w:p>
    <w:p w14:paraId="382A41F4">
      <w:pPr>
        <w:adjustRightInd w:val="0"/>
        <w:snapToGrid w:val="0"/>
        <w:spacing w:line="460" w:lineRule="exact"/>
        <w:ind w:firstLine="420" w:firstLineChars="200"/>
        <w:rPr>
          <w:rFonts w:hint="eastAsia" w:ascii="宋体" w:hAnsi="宋体"/>
        </w:rPr>
      </w:pPr>
      <w:r>
        <w:rPr>
          <w:rFonts w:hint="eastAsia" w:ascii="宋体" w:hAnsi="宋体"/>
        </w:rPr>
        <w:t>1、应负责对招标方</w:t>
      </w:r>
      <w:r>
        <w:rPr>
          <w:rFonts w:hint="eastAsia" w:ascii="宋体" w:hAnsi="宋体"/>
          <w:u w:val="single"/>
          <w:shd w:val="pct10" w:color="auto" w:fill="FFFFFF"/>
        </w:rPr>
        <w:t xml:space="preserve">  </w:t>
      </w:r>
      <w:r>
        <w:rPr>
          <w:rFonts w:hint="eastAsia" w:ascii="宋体" w:hAnsi="宋体"/>
          <w:u w:val="single"/>
          <w:shd w:val="pct10" w:color="auto" w:fill="FFFFFF"/>
          <w:lang w:val="en-US" w:eastAsia="zh-CN"/>
        </w:rPr>
        <w:t>2</w:t>
      </w:r>
      <w:r>
        <w:rPr>
          <w:rFonts w:hint="eastAsia" w:ascii="宋体" w:hAnsi="宋体"/>
          <w:u w:val="single"/>
          <w:shd w:val="pct10" w:color="auto" w:fill="FFFFFF"/>
        </w:rPr>
        <w:t xml:space="preserve">  </w:t>
      </w:r>
      <w:r>
        <w:rPr>
          <w:rFonts w:hint="eastAsia" w:ascii="宋体" w:hAnsi="宋体"/>
        </w:rPr>
        <w:t>名及以上技术、维修和操作人员提供不少于</w:t>
      </w:r>
      <w:r>
        <w:rPr>
          <w:rFonts w:hint="eastAsia" w:ascii="宋体" w:hAnsi="宋体"/>
          <w:u w:val="single"/>
          <w:shd w:val="pct10" w:color="auto" w:fill="FFFFFF"/>
        </w:rPr>
        <w:t xml:space="preserve">   2  </w:t>
      </w:r>
      <w:r>
        <w:rPr>
          <w:rFonts w:hint="eastAsia" w:ascii="宋体" w:hAnsi="宋体"/>
        </w:rPr>
        <w:t>个日历日的免费的、招标方生产制造现场的理论、技术和操作、维修等方面的技术指导和培训,提供免费的2人在机器人工厂的标准培训，培训内容包括</w:t>
      </w:r>
      <w:r>
        <w:rPr>
          <w:rFonts w:hint="eastAsia"/>
          <w:lang w:val="zh-CN"/>
        </w:rPr>
        <w:t>机器人编程及简单维护培训、电气培训。</w:t>
      </w:r>
    </w:p>
    <w:p w14:paraId="794A9609">
      <w:pPr>
        <w:adjustRightInd w:val="0"/>
        <w:snapToGrid w:val="0"/>
        <w:spacing w:line="460" w:lineRule="exact"/>
        <w:ind w:firstLine="420" w:firstLineChars="200"/>
        <w:rPr>
          <w:rFonts w:hint="eastAsia" w:ascii="宋体" w:hAnsi="宋体"/>
        </w:rPr>
      </w:pPr>
      <w:r>
        <w:rPr>
          <w:rFonts w:hint="eastAsia" w:ascii="宋体" w:hAnsi="宋体"/>
        </w:rPr>
        <w:t>2、应负责在招标方设备使用现场，进行1～2次免费的技术指导和培训，并接受招标方有关人员的技术咨询。</w:t>
      </w:r>
    </w:p>
    <w:p w14:paraId="7DAE6072">
      <w:pPr>
        <w:adjustRightInd w:val="0"/>
        <w:snapToGrid w:val="0"/>
        <w:spacing w:line="460" w:lineRule="exact"/>
        <w:ind w:firstLine="420" w:firstLineChars="200"/>
        <w:rPr>
          <w:rFonts w:hint="eastAsia" w:ascii="宋体" w:hAnsi="宋体"/>
        </w:rPr>
      </w:pPr>
      <w:r>
        <w:rPr>
          <w:rFonts w:hint="eastAsia" w:ascii="宋体" w:hAnsi="宋体"/>
        </w:rPr>
        <w:t>3、应免费提供一定数量的培训资料。</w:t>
      </w:r>
    </w:p>
    <w:p w14:paraId="3D276624">
      <w:pPr>
        <w:adjustRightInd w:val="0"/>
        <w:snapToGrid w:val="0"/>
        <w:spacing w:line="460" w:lineRule="exact"/>
        <w:ind w:firstLine="420" w:firstLineChars="200"/>
        <w:rPr>
          <w:rFonts w:hint="eastAsia" w:ascii="宋体" w:hAnsi="宋体"/>
        </w:rPr>
      </w:pPr>
      <w:r>
        <w:rPr>
          <w:rFonts w:hint="eastAsia" w:ascii="宋体" w:hAnsi="宋体"/>
        </w:rPr>
        <w:t>4、应按要求免费积极协助和提供招标方以及招标方所委托的工程设计单位有关人员所需要的、与设备有关的工程设计资料、技术咨询等。</w:t>
      </w:r>
    </w:p>
    <w:p w14:paraId="57586B4C">
      <w:pPr>
        <w:adjustRightInd w:val="0"/>
        <w:snapToGrid w:val="0"/>
        <w:spacing w:line="460" w:lineRule="exact"/>
        <w:ind w:firstLine="420" w:firstLineChars="200"/>
        <w:rPr>
          <w:rFonts w:hint="eastAsia" w:ascii="宋体" w:hAnsi="宋体"/>
        </w:rPr>
      </w:pPr>
      <w:r>
        <w:rPr>
          <w:rFonts w:hint="eastAsia" w:ascii="宋体" w:hAnsi="宋体"/>
        </w:rPr>
        <w:t>5、若投标方提供的设备涉及到外购外协货物、而且该货物的技术质量等较为关键时，投标方应能保证得到配套厂家的技术支持，并免费为招标方提供技术服务。</w:t>
      </w:r>
    </w:p>
    <w:p w14:paraId="6D5AEEEA">
      <w:pPr>
        <w:adjustRightInd w:val="0"/>
        <w:snapToGrid w:val="0"/>
        <w:spacing w:line="460" w:lineRule="exact"/>
        <w:ind w:firstLine="420" w:firstLineChars="200"/>
        <w:rPr>
          <w:rFonts w:hint="eastAsia" w:ascii="宋体" w:hAnsi="宋体"/>
        </w:rPr>
      </w:pPr>
      <w:r>
        <w:rPr>
          <w:rFonts w:hint="eastAsia" w:ascii="宋体" w:hAnsi="宋体"/>
        </w:rPr>
        <w:t>6、负责制定对招标方人员在运行、维修和试验等方面的培训计划，并有专人负责实施培训计划，负责指导招标方受培训人员正确理解设计和制造意图，认识设备的特点和特性，掌握在运行、维修和使用管理中应遵守的规则等方面的综合知识。</w:t>
      </w:r>
    </w:p>
    <w:p w14:paraId="5F607FD3">
      <w:pPr>
        <w:adjustRightInd w:val="0"/>
        <w:snapToGrid w:val="0"/>
        <w:spacing w:line="460" w:lineRule="exact"/>
        <w:ind w:firstLine="420" w:firstLineChars="200"/>
        <w:rPr>
          <w:rFonts w:hint="eastAsia" w:ascii="黑体" w:hAnsi="宋体" w:eastAsia="黑体"/>
        </w:rPr>
      </w:pPr>
      <w:r>
        <w:rPr>
          <w:rFonts w:hint="eastAsia" w:ascii="黑体" w:hAnsi="宋体" w:eastAsia="黑体"/>
        </w:rPr>
        <w:t>二、安装调试及验收服务</w:t>
      </w:r>
    </w:p>
    <w:p w14:paraId="4366A093">
      <w:pPr>
        <w:adjustRightInd w:val="0"/>
        <w:snapToGrid w:val="0"/>
        <w:spacing w:line="460" w:lineRule="exact"/>
        <w:ind w:firstLine="420" w:firstLineChars="200"/>
        <w:rPr>
          <w:rFonts w:hint="eastAsia" w:ascii="宋体" w:hAnsi="宋体"/>
        </w:rPr>
      </w:pPr>
      <w:r>
        <w:rPr>
          <w:rFonts w:hint="eastAsia" w:ascii="宋体" w:hAnsi="宋体"/>
        </w:rPr>
        <w:t>1、指导安装调试或负责安装调试以及协助验收，投标方均应在投标文件中明确其收费额或免费约定，否则视同免费；安装调试及验收服务均应按照合同约定或协议、通知及时组织并完成。因投标方原因造成的延期，所发生的费用全部由投标方承担。</w:t>
      </w:r>
    </w:p>
    <w:p w14:paraId="4A4183E4">
      <w:pPr>
        <w:adjustRightInd w:val="0"/>
        <w:snapToGrid w:val="0"/>
        <w:spacing w:line="460" w:lineRule="exact"/>
        <w:ind w:firstLine="420" w:firstLineChars="200"/>
        <w:rPr>
          <w:rFonts w:hint="eastAsia" w:ascii="宋体" w:hAnsi="宋体"/>
        </w:rPr>
      </w:pPr>
      <w:r>
        <w:rPr>
          <w:rFonts w:hint="eastAsia" w:ascii="宋体" w:hAnsi="宋体"/>
        </w:rPr>
        <w:t>2、若投标方提供的设备涉及到外购外协货物、而且该货物的技术质量等较为关键时，应保证能得到供应商的技术支持，并免费为招标方提供安装使用现场的指导与培训。</w:t>
      </w:r>
    </w:p>
    <w:p w14:paraId="4E53BC80">
      <w:pPr>
        <w:adjustRightInd w:val="0"/>
        <w:snapToGrid w:val="0"/>
        <w:spacing w:line="460" w:lineRule="exact"/>
        <w:ind w:firstLine="420" w:firstLineChars="200"/>
        <w:rPr>
          <w:rFonts w:hint="eastAsia" w:ascii="宋体" w:hAnsi="宋体"/>
        </w:rPr>
      </w:pPr>
      <w:r>
        <w:rPr>
          <w:rFonts w:hint="eastAsia" w:ascii="宋体" w:hAnsi="宋体"/>
        </w:rPr>
        <w:t>3、根据设备的要求，调试及验收可分空载和负载两个阶段进行；招标方将积极协助投标方达到设备的各项技术指标和性能要求。投标方在招标方现场进行的货物的安装、调试和试运行，招标方有权参与，投标方应无条件向招标方提供现场记录和试运行数据及报告。</w:t>
      </w:r>
    </w:p>
    <w:p w14:paraId="4DDCBCDE">
      <w:pPr>
        <w:adjustRightInd w:val="0"/>
        <w:snapToGrid w:val="0"/>
        <w:spacing w:line="460" w:lineRule="exact"/>
        <w:ind w:firstLine="420" w:firstLineChars="200"/>
        <w:rPr>
          <w:rFonts w:hint="eastAsia" w:ascii="宋体" w:hAnsi="宋体"/>
        </w:rPr>
      </w:pPr>
      <w:r>
        <w:rPr>
          <w:rFonts w:hint="eastAsia" w:ascii="宋体" w:hAnsi="宋体"/>
        </w:rPr>
        <w:t>4、在投标方所提供设备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A35D78C">
      <w:pPr>
        <w:adjustRightInd w:val="0"/>
        <w:snapToGrid w:val="0"/>
        <w:spacing w:line="460" w:lineRule="exact"/>
        <w:ind w:firstLine="420" w:firstLineChars="200"/>
        <w:rPr>
          <w:rFonts w:hint="eastAsia" w:ascii="宋体" w:hAnsi="宋体"/>
        </w:rPr>
      </w:pPr>
      <w:r>
        <w:rPr>
          <w:rFonts w:hint="eastAsia" w:ascii="宋体" w:hAnsi="宋体"/>
        </w:rPr>
        <w:t>5、投标方应当向招标方提供货物试验、验收的有关标准、规范和方法，同时提供货物涉及并使用的软件合法性证明。</w:t>
      </w:r>
    </w:p>
    <w:p w14:paraId="0C115304">
      <w:pPr>
        <w:adjustRightInd w:val="0"/>
        <w:snapToGrid w:val="0"/>
        <w:spacing w:line="460" w:lineRule="exact"/>
        <w:ind w:firstLine="420" w:firstLineChars="200"/>
        <w:rPr>
          <w:rFonts w:hint="eastAsia" w:ascii="宋体" w:hAnsi="宋体"/>
        </w:rPr>
      </w:pPr>
      <w:r>
        <w:rPr>
          <w:rFonts w:hint="eastAsia" w:ascii="宋体" w:hAnsi="宋体"/>
        </w:rPr>
        <w:t>6、服务缺陷视同货物缺陷和履约延期。</w:t>
      </w:r>
    </w:p>
    <w:p w14:paraId="11C05F58">
      <w:pPr>
        <w:adjustRightInd w:val="0"/>
        <w:snapToGrid w:val="0"/>
        <w:spacing w:line="460" w:lineRule="exact"/>
        <w:ind w:firstLine="420" w:firstLineChars="200"/>
        <w:rPr>
          <w:rFonts w:hint="eastAsia" w:ascii="黑体" w:hAnsi="宋体" w:eastAsia="黑体"/>
        </w:rPr>
      </w:pPr>
      <w:r>
        <w:rPr>
          <w:rFonts w:hint="eastAsia" w:ascii="黑体" w:hAnsi="宋体" w:eastAsia="黑体"/>
        </w:rPr>
        <w:t>三、售后服务</w:t>
      </w:r>
    </w:p>
    <w:p w14:paraId="11ACA543">
      <w:pPr>
        <w:adjustRightInd w:val="0"/>
        <w:snapToGrid w:val="0"/>
        <w:spacing w:line="460" w:lineRule="exact"/>
        <w:ind w:firstLine="420" w:firstLineChars="200"/>
        <w:rPr>
          <w:rFonts w:hint="eastAsia" w:ascii="宋体" w:hAnsi="宋体"/>
        </w:rPr>
      </w:pPr>
      <w:r>
        <w:rPr>
          <w:rFonts w:hint="eastAsia" w:ascii="宋体" w:hAnsi="宋体"/>
        </w:rPr>
        <w:t>1、投标方提供的设备涉及的所有售后服务均由投标方负责。如果发生问题并且收到通知，投标方应当在2小时内予以答复。</w:t>
      </w:r>
    </w:p>
    <w:p w14:paraId="31101D19">
      <w:pPr>
        <w:adjustRightInd w:val="0"/>
        <w:snapToGrid w:val="0"/>
        <w:spacing w:line="460" w:lineRule="exact"/>
        <w:ind w:firstLine="420" w:firstLineChars="200"/>
        <w:rPr>
          <w:rFonts w:hint="eastAsia" w:ascii="宋体" w:hAnsi="宋体"/>
        </w:rPr>
      </w:pPr>
      <w:r>
        <w:rPr>
          <w:rFonts w:hint="eastAsia" w:ascii="宋体" w:hAnsi="宋体"/>
        </w:rPr>
        <w:t>2、如发现所提供的设备存在问题，需要投标方解决或配合解决时：在质保期之内，应在接到通知后</w:t>
      </w:r>
      <w:r>
        <w:rPr>
          <w:rFonts w:hint="eastAsia" w:ascii="宋体" w:hAnsi="宋体"/>
          <w:u w:val="single"/>
          <w:shd w:val="pct10" w:color="auto" w:fill="FFFFFF"/>
        </w:rPr>
        <w:t xml:space="preserve">  24    </w:t>
      </w:r>
      <w:r>
        <w:rPr>
          <w:rFonts w:hint="eastAsia" w:ascii="宋体" w:hAnsi="宋体"/>
        </w:rPr>
        <w:t>小时内派有关人员到达现场；在质保期之外，应在接到通知后</w:t>
      </w:r>
      <w:r>
        <w:rPr>
          <w:rFonts w:hint="eastAsia" w:ascii="宋体" w:hAnsi="宋体"/>
          <w:u w:val="single"/>
          <w:shd w:val="pct10" w:color="auto" w:fill="FFFFFF"/>
        </w:rPr>
        <w:t xml:space="preserve">  24   </w:t>
      </w:r>
      <w:r>
        <w:rPr>
          <w:rFonts w:hint="eastAsia" w:ascii="宋体" w:hAnsi="宋体"/>
        </w:rPr>
        <w:t>小时内派有关人员到达现场。</w:t>
      </w:r>
    </w:p>
    <w:p w14:paraId="361998B4">
      <w:pPr>
        <w:adjustRightInd w:val="0"/>
        <w:snapToGrid w:val="0"/>
        <w:spacing w:line="460" w:lineRule="exact"/>
        <w:ind w:firstLine="420" w:firstLineChars="200"/>
        <w:rPr>
          <w:rFonts w:hint="eastAsia" w:ascii="宋体" w:hAnsi="宋体"/>
        </w:rPr>
      </w:pPr>
      <w:r>
        <w:rPr>
          <w:rFonts w:hint="eastAsia" w:ascii="宋体" w:hAnsi="宋体"/>
        </w:rPr>
        <w:t>3、投标方派往招标方使用现场的人员，应具有较高的业务素质；现场解决问题时，不得无故拖延或推迟，应为招标方提供最佳的服务。</w:t>
      </w:r>
    </w:p>
    <w:p w14:paraId="6ED3960D">
      <w:pPr>
        <w:adjustRightInd w:val="0"/>
        <w:snapToGrid w:val="0"/>
        <w:spacing w:line="460" w:lineRule="exact"/>
        <w:ind w:firstLine="420" w:firstLineChars="200"/>
        <w:rPr>
          <w:rFonts w:hint="eastAsia" w:ascii="黑体" w:hAnsi="宋体" w:eastAsia="黑体"/>
        </w:rPr>
      </w:pPr>
      <w:r>
        <w:rPr>
          <w:rFonts w:hint="eastAsia" w:ascii="黑体" w:hAnsi="宋体" w:eastAsia="黑体"/>
        </w:rPr>
        <w:t>四、其它服务</w:t>
      </w:r>
    </w:p>
    <w:p w14:paraId="74814E0A">
      <w:pPr>
        <w:adjustRightInd w:val="0"/>
        <w:snapToGrid w:val="0"/>
        <w:spacing w:line="460" w:lineRule="exact"/>
        <w:ind w:firstLine="420" w:firstLineChars="200"/>
        <w:rPr>
          <w:rFonts w:hint="eastAsia" w:ascii="宋体" w:hAnsi="宋体"/>
        </w:rPr>
      </w:pPr>
      <w:r>
        <w:rPr>
          <w:rFonts w:hint="eastAsia" w:ascii="宋体" w:hAnsi="宋体"/>
        </w:rPr>
        <w:t>1、若投标方所提供设备有需要进口的，投标方一般应自行、自费办理；必要时，买卖双方共同办理。</w:t>
      </w:r>
    </w:p>
    <w:p w14:paraId="09CAE79C">
      <w:pPr>
        <w:adjustRightInd w:val="0"/>
        <w:snapToGrid w:val="0"/>
        <w:spacing w:line="460" w:lineRule="exact"/>
        <w:ind w:firstLine="420" w:firstLineChars="200"/>
        <w:rPr>
          <w:rFonts w:hint="eastAsia" w:ascii="宋体" w:hAnsi="宋体"/>
        </w:rPr>
      </w:pPr>
      <w:r>
        <w:rPr>
          <w:rFonts w:hint="eastAsia" w:ascii="宋体" w:hAnsi="宋体"/>
        </w:rPr>
        <w:t>2、除招标文件、投标文件、答疑文件、技术协议、合同等约定之外，投标方应免费负责必要的或强制性的设备的检验、试验、化验等直接费用。</w:t>
      </w:r>
    </w:p>
    <w:p w14:paraId="1932E4D8">
      <w:pPr>
        <w:spacing w:line="520" w:lineRule="exact"/>
        <w:ind w:firstLine="420" w:firstLineChars="200"/>
        <w:rPr>
          <w:rFonts w:hint="eastAsia"/>
        </w:rPr>
      </w:pPr>
      <w:r>
        <w:rPr>
          <w:rFonts w:hint="eastAsia" w:ascii="宋体" w:hAnsi="宋体"/>
        </w:rPr>
        <w:t>3、本章节条款所列“免费”，并非指定不可收费，而是指招标文件、投标文件、</w:t>
      </w:r>
      <w:r>
        <w:rPr>
          <w:rFonts w:hint="eastAsia"/>
        </w:rPr>
        <w:t>答疑文件、技术交流文件、技术协议书和合同等范围之外，投标方不可另行收取的费用。</w:t>
      </w:r>
    </w:p>
    <w:p w14:paraId="05C96646">
      <w:pPr>
        <w:spacing w:line="480" w:lineRule="exact"/>
        <w:ind w:firstLine="420" w:firstLineChars="200"/>
        <w:rPr>
          <w:rFonts w:hint="eastAsia" w:ascii="宋体" w:hAnsi="宋体"/>
        </w:rPr>
      </w:pPr>
    </w:p>
    <w:p w14:paraId="469BEB4E">
      <w:pPr>
        <w:pStyle w:val="3"/>
        <w:spacing w:before="120" w:after="120" w:line="480" w:lineRule="exact"/>
        <w:jc w:val="center"/>
        <w:rPr>
          <w:rFonts w:hint="eastAsia" w:ascii="黑体" w:eastAsia="黑体"/>
          <w:b w:val="0"/>
          <w:sz w:val="24"/>
          <w:szCs w:val="24"/>
        </w:rPr>
      </w:pPr>
      <w:r>
        <w:rPr>
          <w:rFonts w:ascii="宋体" w:hAnsi="宋体"/>
        </w:rPr>
        <w:br w:type="page"/>
      </w:r>
      <w:bookmarkStart w:id="53" w:name="_Toc137705873"/>
      <w:bookmarkStart w:id="54" w:name="_Toc23200"/>
      <w:bookmarkStart w:id="55" w:name="_Toc19419"/>
      <w:bookmarkStart w:id="56" w:name="_Toc21539"/>
      <w:bookmarkStart w:id="57" w:name="_Toc9060"/>
      <w:r>
        <w:rPr>
          <w:rFonts w:hint="eastAsia" w:ascii="黑体" w:eastAsia="黑体"/>
          <w:b w:val="0"/>
          <w:sz w:val="24"/>
          <w:szCs w:val="24"/>
        </w:rPr>
        <w:t>第五章  预验收和终验收</w:t>
      </w:r>
      <w:bookmarkEnd w:id="53"/>
      <w:bookmarkEnd w:id="54"/>
      <w:bookmarkEnd w:id="55"/>
      <w:bookmarkEnd w:id="56"/>
      <w:bookmarkEnd w:id="57"/>
    </w:p>
    <w:p w14:paraId="08EB63AA">
      <w:pPr>
        <w:spacing w:line="480" w:lineRule="exact"/>
        <w:ind w:firstLine="420" w:firstLineChars="200"/>
        <w:rPr>
          <w:rFonts w:hint="eastAsia" w:ascii="黑体" w:hAnsi="宋体" w:eastAsia="黑体"/>
        </w:rPr>
      </w:pPr>
      <w:r>
        <w:rPr>
          <w:rFonts w:hint="eastAsia" w:ascii="黑体" w:hAnsi="宋体" w:eastAsia="黑体"/>
        </w:rPr>
        <w:t>一、验收的一般约定</w:t>
      </w:r>
    </w:p>
    <w:p w14:paraId="1EE9E4A0">
      <w:pPr>
        <w:spacing w:line="480" w:lineRule="exact"/>
        <w:ind w:firstLine="420" w:firstLineChars="200"/>
        <w:rPr>
          <w:rFonts w:hint="eastAsia" w:ascii="宋体" w:hAnsi="宋体"/>
        </w:rPr>
      </w:pPr>
      <w:r>
        <w:rPr>
          <w:rFonts w:hint="eastAsia" w:ascii="宋体" w:hAnsi="宋体"/>
        </w:rPr>
        <w:t>1、验收标准一般以技术协议书和合同规定验收。</w:t>
      </w:r>
    </w:p>
    <w:p w14:paraId="70B786E4">
      <w:pPr>
        <w:adjustRightInd w:val="0"/>
        <w:snapToGrid w:val="0"/>
        <w:spacing w:line="460" w:lineRule="exact"/>
        <w:ind w:firstLine="420" w:firstLineChars="200"/>
        <w:rPr>
          <w:rFonts w:hint="eastAsia" w:ascii="宋体" w:hAnsi="宋体"/>
        </w:rPr>
      </w:pPr>
      <w:r>
        <w:rPr>
          <w:rFonts w:hint="eastAsia" w:ascii="宋体" w:hAnsi="宋体"/>
        </w:rPr>
        <w:t>2、如果验收过程中，发现招标文件、投标文件、答疑文件、技术交流文件等与技术协议书、合同存在差异，原则上以涉及条款中对招标方最有利条款为验收依据。</w:t>
      </w:r>
    </w:p>
    <w:p w14:paraId="564B6AFC">
      <w:pPr>
        <w:adjustRightInd w:val="0"/>
        <w:snapToGrid w:val="0"/>
        <w:spacing w:line="460" w:lineRule="exact"/>
        <w:ind w:firstLine="420" w:firstLineChars="200"/>
        <w:rPr>
          <w:rFonts w:hint="eastAsia" w:ascii="黑体" w:hAnsi="宋体" w:eastAsia="黑体"/>
        </w:rPr>
      </w:pPr>
      <w:r>
        <w:rPr>
          <w:rFonts w:hint="eastAsia" w:ascii="黑体" w:hAnsi="宋体" w:eastAsia="黑体"/>
        </w:rPr>
        <w:t>二、检验</w:t>
      </w:r>
    </w:p>
    <w:p w14:paraId="1404791F">
      <w:pPr>
        <w:adjustRightInd w:val="0"/>
        <w:snapToGrid w:val="0"/>
        <w:spacing w:line="460" w:lineRule="exact"/>
        <w:ind w:firstLine="420" w:firstLineChars="200"/>
        <w:rPr>
          <w:rFonts w:hint="eastAsia" w:ascii="宋体" w:hAnsi="宋体"/>
        </w:rPr>
      </w:pPr>
      <w:r>
        <w:rPr>
          <w:rFonts w:hint="eastAsia" w:ascii="宋体" w:hAnsi="宋体"/>
        </w:rPr>
        <w:t>1、国产货物的检验由买卖双方按照合同要求或在制造现场进行。</w:t>
      </w:r>
    </w:p>
    <w:p w14:paraId="750FD3A1">
      <w:pPr>
        <w:adjustRightInd w:val="0"/>
        <w:snapToGrid w:val="0"/>
        <w:spacing w:line="460" w:lineRule="exact"/>
        <w:ind w:firstLine="420" w:firstLineChars="200"/>
        <w:rPr>
          <w:rFonts w:hint="eastAsia" w:ascii="宋体" w:hAnsi="宋体"/>
        </w:rPr>
      </w:pPr>
      <w:r>
        <w:rPr>
          <w:rFonts w:hint="eastAsia" w:ascii="宋体" w:hAnsi="宋体"/>
        </w:rPr>
        <w:t>2、进口货物的检验，投标方需要按照下述要求进行：</w:t>
      </w:r>
    </w:p>
    <w:p w14:paraId="37424794">
      <w:pPr>
        <w:adjustRightInd w:val="0"/>
        <w:snapToGrid w:val="0"/>
        <w:spacing w:line="460" w:lineRule="exact"/>
        <w:ind w:firstLine="420" w:firstLineChars="200"/>
        <w:rPr>
          <w:rFonts w:ascii="宋体" w:hAnsi="宋体"/>
        </w:rPr>
      </w:pPr>
      <w:r>
        <w:rPr>
          <w:rFonts w:hint="eastAsia" w:ascii="宋体" w:hAnsi="宋体"/>
        </w:rPr>
        <w:t>2.1  进口货物发货前，应对货物的质量、型号、规格、性能和数量/重量作精密、全面的检验，并出具证明书，证明所供货物符合合同规定。</w:t>
      </w:r>
    </w:p>
    <w:p w14:paraId="34D9CAA2">
      <w:pPr>
        <w:adjustRightInd w:val="0"/>
        <w:snapToGrid w:val="0"/>
        <w:spacing w:line="460" w:lineRule="exact"/>
        <w:ind w:firstLine="420" w:firstLineChars="200"/>
        <w:rPr>
          <w:rFonts w:ascii="宋体" w:hAnsi="宋体"/>
        </w:rPr>
      </w:pPr>
      <w:r>
        <w:rPr>
          <w:rFonts w:hint="eastAsia" w:ascii="宋体" w:hAnsi="宋体"/>
        </w:rPr>
        <w:t>2.2  应依据合同规定的要求，提供买卖双方达成一致的货物的验收标准和装箱单，作为招标方检验的依据。</w:t>
      </w:r>
    </w:p>
    <w:p w14:paraId="385E8C49">
      <w:pPr>
        <w:adjustRightInd w:val="0"/>
        <w:snapToGrid w:val="0"/>
        <w:spacing w:line="460" w:lineRule="exact"/>
        <w:ind w:firstLine="420" w:firstLineChars="200"/>
        <w:rPr>
          <w:rFonts w:hint="eastAsia" w:ascii="宋体" w:hAnsi="宋体"/>
        </w:rPr>
      </w:pPr>
      <w:r>
        <w:rPr>
          <w:rFonts w:hint="eastAsia" w:ascii="宋体" w:hAnsi="宋体"/>
        </w:rPr>
        <w:t>2.3  进口货物到达目的地后，招标方有权申请中国商品检验检疫局进行检验，如发现货物的品质及规格与合同或发票不符，除招标方的责任外，招标方有权在货物到达卸货目的地后18</w:t>
      </w:r>
      <w:r>
        <w:rPr>
          <w:rFonts w:ascii="宋体" w:hAnsi="宋体"/>
        </w:rPr>
        <w:t>0</w:t>
      </w:r>
      <w:r>
        <w:rPr>
          <w:rFonts w:hint="eastAsia" w:ascii="宋体" w:hAnsi="宋体"/>
        </w:rPr>
        <w:t>个日历日内，根据中国商品检验检疫局出具的证明书向投标方提出索赔，因索赔所发生的一切费用</w:t>
      </w:r>
      <w:r>
        <w:rPr>
          <w:rFonts w:ascii="宋体" w:hAnsi="宋体"/>
        </w:rPr>
        <w:t>(</w:t>
      </w:r>
      <w:r>
        <w:rPr>
          <w:rFonts w:hint="eastAsia" w:ascii="宋体" w:hAnsi="宋体"/>
        </w:rPr>
        <w:t>包括检验检疫费等</w:t>
      </w:r>
      <w:r>
        <w:rPr>
          <w:rFonts w:ascii="宋体" w:hAnsi="宋体"/>
        </w:rPr>
        <w:t>)</w:t>
      </w:r>
      <w:r>
        <w:rPr>
          <w:rFonts w:hint="eastAsia" w:ascii="宋体" w:hAnsi="宋体"/>
        </w:rPr>
        <w:t>均由投标方承担。</w:t>
      </w:r>
    </w:p>
    <w:p w14:paraId="658BB00B">
      <w:pPr>
        <w:adjustRightInd w:val="0"/>
        <w:snapToGrid w:val="0"/>
        <w:spacing w:line="460" w:lineRule="exact"/>
        <w:ind w:firstLine="420" w:firstLineChars="200"/>
        <w:rPr>
          <w:rFonts w:hint="eastAsia" w:ascii="黑体" w:hAnsi="宋体" w:eastAsia="黑体"/>
        </w:rPr>
      </w:pPr>
      <w:r>
        <w:rPr>
          <w:rFonts w:hint="eastAsia" w:ascii="黑体" w:hAnsi="宋体" w:eastAsia="黑体"/>
        </w:rPr>
        <w:t>三、验收基本条件</w:t>
      </w:r>
    </w:p>
    <w:p w14:paraId="7BB5D882">
      <w:pPr>
        <w:adjustRightInd w:val="0"/>
        <w:snapToGrid w:val="0"/>
        <w:spacing w:line="460" w:lineRule="exact"/>
        <w:ind w:firstLine="420" w:firstLineChars="200"/>
        <w:rPr>
          <w:rFonts w:hint="eastAsia" w:ascii="宋体" w:hAnsi="宋体"/>
        </w:rPr>
      </w:pPr>
      <w:r>
        <w:rPr>
          <w:rFonts w:hint="eastAsia"/>
        </w:rPr>
        <w:t>验收一般分预验收和终验收两部分。预验收一般在投标方现场进行，终验收在安装调试完成及试运行后的招标方现场进行。但是所有的项目，包括不能预验收的项目和预验收通过的项目都在终验收</w:t>
      </w:r>
      <w:r>
        <w:rPr>
          <w:rFonts w:hint="eastAsia" w:ascii="宋体" w:hAnsi="宋体"/>
        </w:rPr>
        <w:t>时重新检验，最终只以终验收为准。</w:t>
      </w:r>
    </w:p>
    <w:p w14:paraId="09782D55">
      <w:pPr>
        <w:adjustRightInd w:val="0"/>
        <w:snapToGrid w:val="0"/>
        <w:spacing w:line="460" w:lineRule="exact"/>
        <w:ind w:firstLine="420" w:firstLineChars="200"/>
        <w:rPr>
          <w:rFonts w:hint="eastAsia" w:ascii="宋体" w:hAnsi="宋体"/>
        </w:rPr>
      </w:pPr>
      <w:r>
        <w:rPr>
          <w:rFonts w:hint="eastAsia" w:ascii="宋体" w:hAnsi="宋体"/>
        </w:rPr>
        <w:t>买卖双方按照合同约定执行了合同，同时设备完成了试运行并经检验合格，则具备验收条件。</w:t>
      </w:r>
    </w:p>
    <w:p w14:paraId="24B51711">
      <w:pPr>
        <w:adjustRightInd w:val="0"/>
        <w:snapToGrid w:val="0"/>
        <w:spacing w:line="460" w:lineRule="exact"/>
        <w:ind w:firstLine="420" w:firstLineChars="200"/>
        <w:rPr>
          <w:rFonts w:hint="eastAsia" w:ascii="宋体" w:hAnsi="宋体"/>
        </w:rPr>
      </w:pPr>
      <w:r>
        <w:rPr>
          <w:rFonts w:hint="eastAsia" w:ascii="宋体" w:hAnsi="宋体"/>
        </w:rPr>
        <w:t>1、预验收一般条件</w:t>
      </w:r>
    </w:p>
    <w:p w14:paraId="5B71B8CE">
      <w:pPr>
        <w:adjustRightInd w:val="0"/>
        <w:snapToGrid w:val="0"/>
        <w:spacing w:line="460" w:lineRule="exact"/>
        <w:ind w:firstLine="420" w:firstLineChars="200"/>
        <w:rPr>
          <w:rFonts w:hint="eastAsia" w:ascii="宋体" w:hAnsi="宋体"/>
        </w:rPr>
      </w:pPr>
      <w:r>
        <w:rPr>
          <w:rFonts w:hint="eastAsia" w:ascii="宋体" w:hAnsi="宋体"/>
        </w:rPr>
        <w:t>1.1  投标方已经按照“供货范围”要求提供了预验收资料，并且资料齐全、完整和有效。</w:t>
      </w:r>
    </w:p>
    <w:p w14:paraId="57AF38DF">
      <w:pPr>
        <w:adjustRightInd w:val="0"/>
        <w:snapToGrid w:val="0"/>
        <w:spacing w:line="460" w:lineRule="exact"/>
        <w:ind w:firstLine="420" w:firstLineChars="200"/>
        <w:rPr>
          <w:rFonts w:hint="eastAsia" w:ascii="宋体" w:hAnsi="宋体"/>
        </w:rPr>
      </w:pPr>
      <w:r>
        <w:rPr>
          <w:rFonts w:hint="eastAsia" w:ascii="宋体" w:hAnsi="宋体"/>
        </w:rPr>
        <w:t>1.2  设备应完整且所有的零部件应该安装牢固，外观无损伤，所有的焊缝饱满、无残渣等缺陷。</w:t>
      </w:r>
    </w:p>
    <w:p w14:paraId="22980C20">
      <w:pPr>
        <w:adjustRightInd w:val="0"/>
        <w:snapToGrid w:val="0"/>
        <w:spacing w:line="460" w:lineRule="exact"/>
        <w:ind w:firstLine="420" w:firstLineChars="200"/>
        <w:rPr>
          <w:rFonts w:ascii="宋体" w:hAnsi="宋体"/>
        </w:rPr>
      </w:pPr>
      <w:r>
        <w:rPr>
          <w:rFonts w:hint="eastAsia" w:ascii="宋体" w:hAnsi="宋体"/>
        </w:rPr>
        <w:t>1.3  一般情况下，所有的管路和线缆等，接头应完全正确、可靠地联接；应排列有序（正确、牢固、整齐），有必要的防护，无皱褶、收缩和裂缝等不良现象。</w:t>
      </w:r>
    </w:p>
    <w:p w14:paraId="7F5DAF30">
      <w:pPr>
        <w:adjustRightInd w:val="0"/>
        <w:snapToGrid w:val="0"/>
        <w:spacing w:line="460" w:lineRule="exact"/>
        <w:ind w:firstLine="420" w:firstLineChars="200"/>
        <w:rPr>
          <w:rFonts w:ascii="宋体" w:hAnsi="宋体"/>
        </w:rPr>
      </w:pPr>
      <w:r>
        <w:rPr>
          <w:rFonts w:hint="eastAsia" w:ascii="宋体" w:hAnsi="宋体"/>
        </w:rPr>
        <w:t>1.4  设备的润滑系统工作正常、可靠，润滑点易于到达。</w:t>
      </w:r>
    </w:p>
    <w:p w14:paraId="4E455526">
      <w:pPr>
        <w:adjustRightInd w:val="0"/>
        <w:snapToGrid w:val="0"/>
        <w:spacing w:line="460" w:lineRule="exact"/>
        <w:ind w:firstLine="420" w:firstLineChars="200"/>
        <w:rPr>
          <w:rFonts w:ascii="宋体" w:hAnsi="宋体"/>
        </w:rPr>
      </w:pPr>
      <w:r>
        <w:rPr>
          <w:rFonts w:hint="eastAsia" w:ascii="宋体" w:hAnsi="宋体"/>
        </w:rPr>
        <w:t>1.5  使用的压力容器、电气等应具备合格证（如果有压力容器）。</w:t>
      </w:r>
    </w:p>
    <w:p w14:paraId="63F83377">
      <w:pPr>
        <w:adjustRightInd w:val="0"/>
        <w:snapToGrid w:val="0"/>
        <w:spacing w:line="460" w:lineRule="exact"/>
        <w:ind w:firstLine="420" w:firstLineChars="200"/>
        <w:rPr>
          <w:rFonts w:ascii="宋体" w:hAnsi="宋体"/>
        </w:rPr>
      </w:pPr>
      <w:r>
        <w:rPr>
          <w:rFonts w:hint="eastAsia" w:ascii="宋体" w:hAnsi="宋体"/>
        </w:rPr>
        <w:t>1.6 设备的油漆质量应饱满、有光泽，无掉漆、无色差、无“桔皮”等不良现象（特殊标志除外）。</w:t>
      </w:r>
    </w:p>
    <w:p w14:paraId="4B38BEE4">
      <w:pPr>
        <w:adjustRightInd w:val="0"/>
        <w:snapToGrid w:val="0"/>
        <w:spacing w:line="460" w:lineRule="exact"/>
        <w:ind w:firstLine="420" w:firstLineChars="200"/>
        <w:rPr>
          <w:rFonts w:ascii="宋体" w:hAnsi="宋体"/>
        </w:rPr>
      </w:pPr>
      <w:r>
        <w:rPr>
          <w:rFonts w:hint="eastAsia" w:ascii="宋体" w:hAnsi="宋体"/>
        </w:rPr>
        <w:t>1.7 设备标牌完整、清晰、明确。</w:t>
      </w:r>
    </w:p>
    <w:p w14:paraId="67D98D66">
      <w:pPr>
        <w:adjustRightInd w:val="0"/>
        <w:snapToGrid w:val="0"/>
        <w:spacing w:line="460" w:lineRule="exact"/>
        <w:ind w:firstLine="420" w:firstLineChars="200"/>
        <w:rPr>
          <w:rFonts w:hint="eastAsia" w:ascii="宋体" w:hAnsi="宋体"/>
        </w:rPr>
      </w:pPr>
      <w:r>
        <w:rPr>
          <w:rFonts w:hint="eastAsia" w:ascii="宋体" w:hAnsi="宋体"/>
        </w:rPr>
        <w:t>1.8  地线联接和地极符合国际（</w:t>
      </w:r>
      <w:r>
        <w:rPr>
          <w:rFonts w:ascii="宋体" w:hAnsi="宋体"/>
        </w:rPr>
        <w:t>ISO</w:t>
      </w:r>
      <w:r>
        <w:rPr>
          <w:rFonts w:hint="eastAsia" w:ascii="宋体" w:hAnsi="宋体"/>
        </w:rPr>
        <w:t>/</w:t>
      </w:r>
      <w:r>
        <w:rPr>
          <w:rFonts w:ascii="宋体" w:hAnsi="宋体"/>
        </w:rPr>
        <w:t>IEC</w:t>
      </w:r>
      <w:r>
        <w:rPr>
          <w:rFonts w:hint="eastAsia" w:ascii="宋体" w:hAnsi="宋体"/>
        </w:rPr>
        <w:t>）标准规范。</w:t>
      </w:r>
    </w:p>
    <w:p w14:paraId="2468AC7B">
      <w:pPr>
        <w:adjustRightInd w:val="0"/>
        <w:snapToGrid w:val="0"/>
        <w:spacing w:line="460" w:lineRule="exact"/>
        <w:ind w:firstLine="420" w:firstLineChars="200"/>
        <w:rPr>
          <w:rFonts w:hint="eastAsia" w:ascii="宋体" w:hAnsi="宋体"/>
        </w:rPr>
      </w:pPr>
      <w:r>
        <w:rPr>
          <w:rFonts w:hint="eastAsia" w:ascii="宋体" w:hAnsi="宋体"/>
        </w:rPr>
        <w:t>1.9  设备的安全要求符合中国最新的相关法律、法规、标准和规范以及合同要求。</w:t>
      </w:r>
    </w:p>
    <w:p w14:paraId="31159805">
      <w:pPr>
        <w:adjustRightInd w:val="0"/>
        <w:snapToGrid w:val="0"/>
        <w:spacing w:line="460" w:lineRule="exact"/>
        <w:ind w:firstLine="420" w:firstLineChars="200"/>
        <w:rPr>
          <w:rFonts w:hint="default" w:ascii="宋体" w:hAnsi="宋体" w:eastAsia="宋体" w:cs="Times New Roman"/>
          <w:lang w:val="en-US" w:eastAsia="zh-CN"/>
        </w:rPr>
      </w:pPr>
      <w:r>
        <w:rPr>
          <w:rFonts w:hint="eastAsia" w:ascii="宋体" w:hAnsi="宋体" w:eastAsia="宋体" w:cs="Times New Roman"/>
          <w:lang w:val="en-US" w:eastAsia="zh-CN"/>
        </w:rPr>
        <w:t>1.10 设备验收前需测量空压机出口管道流量能否满足使用要求。</w:t>
      </w:r>
    </w:p>
    <w:p w14:paraId="4FFA5D18">
      <w:pPr>
        <w:adjustRightInd w:val="0"/>
        <w:snapToGrid w:val="0"/>
        <w:spacing w:line="460" w:lineRule="exact"/>
        <w:ind w:firstLine="420" w:firstLineChars="200"/>
        <w:rPr>
          <w:rFonts w:hint="eastAsia" w:ascii="宋体" w:hAnsi="宋体"/>
        </w:rPr>
      </w:pPr>
      <w:r>
        <w:rPr>
          <w:rFonts w:hint="eastAsia" w:ascii="宋体" w:hAnsi="宋体"/>
        </w:rPr>
        <w:t>2、终验收一般条件</w:t>
      </w:r>
    </w:p>
    <w:p w14:paraId="7FB3826A">
      <w:pPr>
        <w:adjustRightInd w:val="0"/>
        <w:snapToGrid w:val="0"/>
        <w:spacing w:line="460" w:lineRule="exact"/>
        <w:ind w:firstLine="420" w:firstLineChars="200"/>
        <w:rPr>
          <w:rFonts w:hint="eastAsia" w:ascii="宋体" w:hAnsi="宋体"/>
        </w:rPr>
      </w:pPr>
      <w:r>
        <w:rPr>
          <w:rFonts w:hint="eastAsia" w:ascii="宋体" w:hAnsi="宋体"/>
        </w:rPr>
        <w:t>2.1  经过预验收而且没有出现新的质量问题，或者满足预验收条款。</w:t>
      </w:r>
    </w:p>
    <w:p w14:paraId="32CF6828">
      <w:pPr>
        <w:adjustRightInd w:val="0"/>
        <w:snapToGrid w:val="0"/>
        <w:spacing w:line="460" w:lineRule="exact"/>
        <w:ind w:firstLine="420" w:firstLineChars="200"/>
        <w:rPr>
          <w:rFonts w:hint="eastAsia" w:ascii="宋体" w:hAnsi="宋体"/>
        </w:rPr>
      </w:pPr>
      <w:r>
        <w:rPr>
          <w:rFonts w:hint="eastAsia" w:ascii="宋体" w:hAnsi="宋体"/>
        </w:rPr>
        <w:t>2.2  设备安装调试完毕，并至少经过了验收要求的负荷试运行。</w:t>
      </w:r>
    </w:p>
    <w:p w14:paraId="0835C11B">
      <w:pPr>
        <w:adjustRightInd w:val="0"/>
        <w:snapToGrid w:val="0"/>
        <w:spacing w:line="460" w:lineRule="exact"/>
        <w:ind w:firstLine="420" w:firstLineChars="200"/>
        <w:rPr>
          <w:rFonts w:hint="eastAsia" w:ascii="宋体" w:hAnsi="宋体"/>
        </w:rPr>
      </w:pPr>
      <w:r>
        <w:rPr>
          <w:rFonts w:hint="eastAsia" w:ascii="宋体" w:hAnsi="宋体"/>
        </w:rPr>
        <w:t>2.3  设备正常运行时，噪声等环境影响因素满足国家和当地环保主管部门规定，安全措施落实、有效。</w:t>
      </w:r>
    </w:p>
    <w:p w14:paraId="350AC7D5">
      <w:pPr>
        <w:adjustRightInd w:val="0"/>
        <w:snapToGrid w:val="0"/>
        <w:spacing w:line="460" w:lineRule="exact"/>
        <w:ind w:firstLine="420" w:firstLineChars="200"/>
        <w:rPr>
          <w:rFonts w:hint="eastAsia" w:ascii="宋体" w:hAnsi="宋体"/>
        </w:rPr>
      </w:pPr>
      <w:r>
        <w:rPr>
          <w:rFonts w:hint="eastAsia" w:ascii="宋体" w:hAnsi="宋体"/>
        </w:rPr>
        <w:t>2.4  计量仪器、仪表配套合理，采用中国的法定计量单位，计量准确、灵敏可靠。保证设计指标和仪器说明书的参数的实现。</w:t>
      </w:r>
    </w:p>
    <w:p w14:paraId="2C9D1FFF">
      <w:pPr>
        <w:adjustRightInd w:val="0"/>
        <w:snapToGrid w:val="0"/>
        <w:spacing w:line="460" w:lineRule="exact"/>
        <w:ind w:firstLine="420" w:firstLineChars="200"/>
        <w:rPr>
          <w:rFonts w:ascii="宋体" w:hAnsi="宋体"/>
        </w:rPr>
      </w:pPr>
      <w:r>
        <w:rPr>
          <w:rFonts w:hint="eastAsia" w:ascii="宋体" w:hAnsi="宋体"/>
        </w:rPr>
        <w:t>2.5  试运行期间或之后无维修、调整等行为（特殊情况除外）。</w:t>
      </w:r>
    </w:p>
    <w:p w14:paraId="092D8236">
      <w:pPr>
        <w:adjustRightInd w:val="0"/>
        <w:snapToGrid w:val="0"/>
        <w:spacing w:line="460" w:lineRule="exact"/>
        <w:ind w:firstLine="420" w:firstLineChars="200"/>
        <w:rPr>
          <w:rFonts w:hint="eastAsia" w:ascii="宋体" w:hAnsi="宋体"/>
        </w:rPr>
      </w:pPr>
      <w:r>
        <w:rPr>
          <w:rFonts w:hint="eastAsia" w:ascii="宋体" w:hAnsi="宋体"/>
        </w:rPr>
        <w:t>2.6 设备质量、技术性能等，达到签定的技术协议书和合同规定的终验收标准。</w:t>
      </w:r>
    </w:p>
    <w:p w14:paraId="3C5A838E">
      <w:pPr>
        <w:spacing w:line="480" w:lineRule="exact"/>
        <w:ind w:firstLine="420" w:firstLineChars="200"/>
        <w:rPr>
          <w:rFonts w:hint="eastAsia" w:ascii="宋体" w:hAnsi="宋体"/>
        </w:rPr>
      </w:pPr>
      <w:r>
        <w:rPr>
          <w:rFonts w:hint="eastAsia" w:ascii="宋体" w:hAnsi="宋体"/>
        </w:rPr>
        <w:t>3、终验收基本要求</w:t>
      </w:r>
    </w:p>
    <w:p w14:paraId="2318D26A">
      <w:pPr>
        <w:adjustRightInd w:val="0"/>
        <w:snapToGrid w:val="0"/>
        <w:spacing w:line="460" w:lineRule="exact"/>
        <w:ind w:firstLine="420" w:firstLineChars="200"/>
        <w:rPr>
          <w:rFonts w:hint="eastAsia" w:ascii="宋体" w:hAnsi="宋体"/>
        </w:rPr>
      </w:pPr>
      <w:r>
        <w:rPr>
          <w:rFonts w:hint="eastAsia" w:ascii="宋体" w:hAnsi="宋体"/>
        </w:rPr>
        <w:t>3.1  允许情况下，一般先连续空运转</w:t>
      </w:r>
      <w:r>
        <w:rPr>
          <w:rFonts w:hint="eastAsia" w:ascii="宋体" w:hAnsi="宋体"/>
          <w:u w:val="single"/>
          <w:shd w:val="pct10" w:color="auto" w:fill="FFFFFF"/>
        </w:rPr>
        <w:t xml:space="preserve">  24    </w:t>
      </w:r>
      <w:r>
        <w:rPr>
          <w:rFonts w:hint="eastAsia" w:ascii="宋体" w:hAnsi="宋体"/>
        </w:rPr>
        <w:t>小时，然后再进行负荷运行（无需进行空载运行的除外）。</w:t>
      </w:r>
    </w:p>
    <w:p w14:paraId="72C7D48A">
      <w:pPr>
        <w:adjustRightInd w:val="0"/>
        <w:snapToGrid w:val="0"/>
        <w:spacing w:line="460" w:lineRule="exact"/>
        <w:ind w:firstLine="420" w:firstLineChars="200"/>
        <w:rPr>
          <w:rFonts w:hint="eastAsia" w:ascii="宋体" w:hAnsi="宋体"/>
        </w:rPr>
      </w:pPr>
      <w:r>
        <w:rPr>
          <w:rFonts w:hint="eastAsia" w:ascii="宋体" w:hAnsi="宋体"/>
        </w:rPr>
        <w:t>3.2  负荷运行时，应连续运行</w:t>
      </w:r>
      <w:r>
        <w:rPr>
          <w:rFonts w:hint="eastAsia" w:ascii="宋体" w:hAnsi="宋体"/>
          <w:u w:val="single"/>
          <w:shd w:val="pct10" w:color="auto" w:fill="FFFFFF"/>
        </w:rPr>
        <w:t xml:space="preserve">   7   </w:t>
      </w:r>
      <w:r>
        <w:rPr>
          <w:rFonts w:hint="eastAsia" w:ascii="宋体" w:hAnsi="宋体"/>
        </w:rPr>
        <w:t>天，每天连续运行</w:t>
      </w:r>
      <w:r>
        <w:rPr>
          <w:rFonts w:hint="eastAsia" w:ascii="宋体" w:hAnsi="宋体"/>
          <w:u w:val="single"/>
          <w:shd w:val="pct10" w:color="auto" w:fill="FFFFFF"/>
        </w:rPr>
        <w:t xml:space="preserve">   1</w:t>
      </w:r>
      <w:r>
        <w:rPr>
          <w:rFonts w:hint="eastAsia" w:ascii="宋体" w:hAnsi="宋体"/>
          <w:u w:val="single"/>
          <w:shd w:val="pct10" w:color="auto" w:fill="FFFFFF"/>
          <w:lang w:val="en-US" w:eastAsia="zh-CN"/>
        </w:rPr>
        <w:t>2</w:t>
      </w:r>
      <w:r>
        <w:rPr>
          <w:rFonts w:hint="eastAsia" w:ascii="宋体" w:hAnsi="宋体"/>
          <w:u w:val="single"/>
          <w:shd w:val="pct10" w:color="auto" w:fill="FFFFFF"/>
        </w:rPr>
        <w:t xml:space="preserve">  </w:t>
      </w:r>
      <w:r>
        <w:rPr>
          <w:rFonts w:hint="eastAsia" w:ascii="宋体" w:hAnsi="宋体"/>
        </w:rPr>
        <w:t>小时。</w:t>
      </w:r>
    </w:p>
    <w:p w14:paraId="06B80F7B">
      <w:pPr>
        <w:adjustRightInd w:val="0"/>
        <w:snapToGrid w:val="0"/>
        <w:spacing w:line="460" w:lineRule="exact"/>
        <w:ind w:firstLine="420" w:firstLineChars="200"/>
        <w:rPr>
          <w:rFonts w:hint="eastAsia" w:ascii="宋体" w:hAnsi="宋体"/>
        </w:rPr>
      </w:pPr>
      <w:r>
        <w:rPr>
          <w:rFonts w:hint="eastAsia" w:ascii="宋体" w:hAnsi="宋体"/>
        </w:rPr>
        <w:t>3.3  出现下列问题之一，视作验收失败：</w:t>
      </w:r>
    </w:p>
    <w:p w14:paraId="032D629D">
      <w:pPr>
        <w:adjustRightInd w:val="0"/>
        <w:snapToGrid w:val="0"/>
        <w:spacing w:line="460" w:lineRule="exact"/>
        <w:ind w:firstLine="420" w:firstLineChars="200"/>
        <w:rPr>
          <w:rFonts w:hint="eastAsia" w:ascii="宋体" w:hAnsi="宋体"/>
        </w:rPr>
      </w:pPr>
      <w:r>
        <w:rPr>
          <w:rFonts w:hint="eastAsia" w:ascii="宋体" w:hAnsi="宋体"/>
        </w:rPr>
        <w:t>3.3.1  在整个验收过程中发生关键零部件损坏或重大故障；</w:t>
      </w:r>
    </w:p>
    <w:p w14:paraId="78B222ED">
      <w:pPr>
        <w:adjustRightInd w:val="0"/>
        <w:snapToGrid w:val="0"/>
        <w:spacing w:line="460" w:lineRule="exact"/>
        <w:ind w:firstLine="420" w:firstLineChars="200"/>
        <w:rPr>
          <w:rFonts w:hint="eastAsia" w:ascii="宋体" w:hAnsi="宋体"/>
        </w:rPr>
      </w:pPr>
      <w:r>
        <w:rPr>
          <w:rFonts w:hint="eastAsia" w:ascii="宋体" w:hAnsi="宋体"/>
        </w:rPr>
        <w:t>3.3.2  一般性故障超过</w:t>
      </w:r>
      <w:r>
        <w:rPr>
          <w:rFonts w:hint="eastAsia" w:ascii="宋体" w:hAnsi="宋体"/>
          <w:u w:val="single"/>
          <w:shd w:val="pct10" w:color="auto" w:fill="FFFFFF"/>
        </w:rPr>
        <w:t xml:space="preserve">   3    </w:t>
      </w:r>
      <w:r>
        <w:rPr>
          <w:rFonts w:hint="eastAsia" w:ascii="宋体" w:hAnsi="宋体"/>
        </w:rPr>
        <w:t>次；</w:t>
      </w:r>
    </w:p>
    <w:p w14:paraId="3F4654E4">
      <w:pPr>
        <w:adjustRightInd w:val="0"/>
        <w:snapToGrid w:val="0"/>
        <w:spacing w:line="460" w:lineRule="exact"/>
        <w:ind w:firstLine="420" w:firstLineChars="200"/>
        <w:rPr>
          <w:rFonts w:hint="eastAsia" w:ascii="宋体" w:hAnsi="宋体"/>
        </w:rPr>
      </w:pPr>
      <w:r>
        <w:rPr>
          <w:rFonts w:hint="eastAsia" w:ascii="宋体" w:hAnsi="宋体"/>
        </w:rPr>
        <w:t>3.3.3  所有出现的维修调整，每次时间均不超过</w:t>
      </w:r>
      <w:r>
        <w:rPr>
          <w:rFonts w:hint="eastAsia" w:ascii="宋体" w:hAnsi="宋体"/>
          <w:u w:val="single"/>
          <w:shd w:val="pct10" w:color="auto" w:fill="FFFFFF"/>
        </w:rPr>
        <w:t xml:space="preserve">   30    </w:t>
      </w:r>
      <w:r>
        <w:rPr>
          <w:rFonts w:hint="eastAsia" w:ascii="宋体" w:hAnsi="宋体"/>
        </w:rPr>
        <w:t>分钟；所有维修调整时间的总和不超过总运行时间的</w:t>
      </w:r>
      <w:r>
        <w:rPr>
          <w:rFonts w:hint="eastAsia" w:ascii="宋体" w:hAnsi="宋体"/>
          <w:u w:val="single"/>
          <w:shd w:val="pct10" w:color="auto" w:fill="FFFFFF"/>
        </w:rPr>
        <w:t xml:space="preserve">   2    </w:t>
      </w:r>
      <w:r>
        <w:rPr>
          <w:rFonts w:hint="eastAsia" w:ascii="宋体" w:hAnsi="宋体"/>
        </w:rPr>
        <w:t>%；</w:t>
      </w:r>
    </w:p>
    <w:p w14:paraId="7136C3E4">
      <w:pPr>
        <w:adjustRightInd w:val="0"/>
        <w:snapToGrid w:val="0"/>
        <w:spacing w:line="460" w:lineRule="exact"/>
        <w:ind w:firstLine="420" w:firstLineChars="200"/>
        <w:rPr>
          <w:rFonts w:hint="eastAsia" w:ascii="宋体" w:hAnsi="宋体"/>
        </w:rPr>
      </w:pPr>
      <w:r>
        <w:rPr>
          <w:rFonts w:hint="eastAsia" w:ascii="宋体" w:hAnsi="宋体"/>
        </w:rPr>
        <w:t>3.3.4  更换的零部件货值不超过总货值的</w:t>
      </w:r>
      <w:r>
        <w:rPr>
          <w:rFonts w:hint="eastAsia" w:ascii="宋体" w:hAnsi="宋体"/>
          <w:u w:val="single"/>
          <w:shd w:val="pct10" w:color="auto" w:fill="FFFFFF"/>
        </w:rPr>
        <w:t xml:space="preserve">   2  </w:t>
      </w:r>
      <w:r>
        <w:rPr>
          <w:rFonts w:hint="eastAsia" w:ascii="宋体" w:hAnsi="宋体"/>
        </w:rPr>
        <w:t>%；</w:t>
      </w:r>
    </w:p>
    <w:p w14:paraId="2975C667">
      <w:pPr>
        <w:adjustRightInd w:val="0"/>
        <w:snapToGrid w:val="0"/>
        <w:spacing w:line="460" w:lineRule="exact"/>
        <w:ind w:firstLine="420" w:firstLineChars="200"/>
        <w:rPr>
          <w:rFonts w:hint="eastAsia" w:ascii="宋体" w:hAnsi="宋体"/>
        </w:rPr>
      </w:pPr>
      <w:r>
        <w:rPr>
          <w:rFonts w:hint="eastAsia" w:ascii="宋体" w:hAnsi="宋体"/>
        </w:rPr>
        <w:t>3.4  累计负载运行实际性能达到合同规定；</w:t>
      </w:r>
    </w:p>
    <w:p w14:paraId="5677F88F">
      <w:pPr>
        <w:adjustRightInd w:val="0"/>
        <w:snapToGrid w:val="0"/>
        <w:spacing w:line="460" w:lineRule="exact"/>
        <w:ind w:firstLine="420" w:firstLineChars="200"/>
        <w:rPr>
          <w:rFonts w:hint="eastAsia" w:ascii="宋体" w:hAnsi="宋体"/>
        </w:rPr>
      </w:pPr>
      <w:r>
        <w:rPr>
          <w:rFonts w:hint="eastAsia" w:ascii="宋体" w:hAnsi="宋体"/>
        </w:rPr>
        <w:t>3.5  终验收内容包括以下内容：</w:t>
      </w:r>
    </w:p>
    <w:p w14:paraId="7E4BCEE1">
      <w:pPr>
        <w:adjustRightInd w:val="0"/>
        <w:snapToGrid w:val="0"/>
        <w:spacing w:line="460" w:lineRule="exact"/>
        <w:ind w:firstLine="420" w:firstLineChars="200"/>
        <w:rPr>
          <w:rFonts w:hint="eastAsia" w:ascii="宋体" w:hAnsi="宋体"/>
        </w:rPr>
      </w:pPr>
      <w:r>
        <w:rPr>
          <w:rFonts w:hint="eastAsia" w:ascii="宋体" w:hAnsi="宋体"/>
        </w:rPr>
        <w:t>3.5.1终验收在招标方车间进行，验收内容包括但不限于设备资料、培训、设备配置、生产节拍、工期、重复定位精度。</w:t>
      </w:r>
    </w:p>
    <w:p w14:paraId="250AAB83">
      <w:pPr>
        <w:adjustRightInd w:val="0"/>
        <w:snapToGrid w:val="0"/>
        <w:spacing w:line="460" w:lineRule="exact"/>
        <w:ind w:firstLine="420" w:firstLineChars="200"/>
        <w:rPr>
          <w:rFonts w:hint="eastAsia" w:ascii="宋体" w:hAnsi="宋体"/>
        </w:rPr>
      </w:pPr>
      <w:r>
        <w:rPr>
          <w:rFonts w:hint="eastAsia" w:ascii="宋体" w:hAnsi="宋体"/>
        </w:rPr>
        <w:t>3.5.2 投标方在终验收时需提交一份预验收时发现的缺陷和设备故障确认完成整改的汇总表，列入终验收报告。</w:t>
      </w:r>
    </w:p>
    <w:p w14:paraId="54CECAF9">
      <w:pPr>
        <w:tabs>
          <w:tab w:val="left" w:pos="1260"/>
        </w:tabs>
        <w:adjustRightInd w:val="0"/>
        <w:snapToGrid w:val="0"/>
        <w:spacing w:line="460" w:lineRule="exact"/>
        <w:ind w:firstLine="420" w:firstLineChars="200"/>
        <w:rPr>
          <w:rFonts w:hint="eastAsia" w:ascii="宋体" w:hAnsi="宋体"/>
        </w:rPr>
      </w:pPr>
      <w:r>
        <w:rPr>
          <w:rFonts w:hint="eastAsia" w:ascii="宋体" w:hAnsi="宋体"/>
        </w:rPr>
        <w:t>3.5.3存在影响节拍、装配质量、安全的缺陷，投标方应及时整改，整改合格后验收和移交。当由于招标方原因影响终验收进度时，则移交日期相应顺延。</w:t>
      </w:r>
    </w:p>
    <w:p w14:paraId="21C1EA74">
      <w:pPr>
        <w:adjustRightInd w:val="0"/>
        <w:snapToGrid w:val="0"/>
        <w:spacing w:line="460" w:lineRule="exact"/>
        <w:ind w:firstLine="420" w:firstLineChars="200"/>
        <w:rPr>
          <w:rFonts w:ascii="宋体" w:hAnsi="宋体"/>
        </w:rPr>
      </w:pPr>
      <w:r>
        <w:rPr>
          <w:rFonts w:hint="eastAsia" w:ascii="宋体" w:hAnsi="宋体"/>
        </w:rPr>
        <w:t>3.6  终验收原则上要求一次完成。若一次验收不成功，最多允许两次；如果出现第三次验收失败，重新作价或退货；</w:t>
      </w:r>
    </w:p>
    <w:p w14:paraId="10DCB6C9">
      <w:pPr>
        <w:adjustRightInd w:val="0"/>
        <w:snapToGrid w:val="0"/>
        <w:spacing w:line="460" w:lineRule="exact"/>
        <w:ind w:firstLine="420" w:firstLineChars="200"/>
        <w:rPr>
          <w:rFonts w:ascii="宋体" w:hAnsi="宋体"/>
        </w:rPr>
      </w:pPr>
      <w:r>
        <w:rPr>
          <w:rFonts w:hint="eastAsia" w:ascii="宋体" w:hAnsi="宋体"/>
        </w:rPr>
        <w:t>3.7  终验收通过后买卖双方共同签署终验收报告，并移交、核对全部供货范围内物品。</w:t>
      </w:r>
    </w:p>
    <w:p w14:paraId="187A6F8D">
      <w:pPr>
        <w:spacing w:line="480" w:lineRule="exact"/>
        <w:ind w:firstLine="420" w:firstLineChars="200"/>
        <w:rPr>
          <w:rFonts w:hint="eastAsia" w:ascii="宋体" w:hAnsi="宋体"/>
        </w:rPr>
      </w:pPr>
    </w:p>
    <w:p w14:paraId="4446CDB9">
      <w:pPr>
        <w:pStyle w:val="3"/>
        <w:spacing w:before="120" w:after="120" w:line="480" w:lineRule="exact"/>
        <w:jc w:val="center"/>
        <w:rPr>
          <w:rFonts w:hint="eastAsia" w:ascii="黑体" w:eastAsia="黑体"/>
          <w:b w:val="0"/>
          <w:sz w:val="24"/>
          <w:szCs w:val="24"/>
        </w:rPr>
      </w:pPr>
      <w:r>
        <w:rPr>
          <w:rFonts w:ascii="宋体" w:hAnsi="宋体"/>
        </w:rPr>
        <w:br w:type="page"/>
      </w:r>
      <w:bookmarkStart w:id="58" w:name="_Toc12996"/>
      <w:bookmarkStart w:id="59" w:name="_Toc137705874"/>
      <w:bookmarkStart w:id="60" w:name="_Toc28978"/>
      <w:bookmarkStart w:id="61" w:name="_Toc25335"/>
      <w:bookmarkStart w:id="62" w:name="_Toc22000"/>
      <w:r>
        <w:rPr>
          <w:rFonts w:hint="eastAsia" w:ascii="黑体" w:eastAsia="黑体"/>
          <w:b w:val="0"/>
          <w:sz w:val="24"/>
          <w:szCs w:val="24"/>
        </w:rPr>
        <w:t>第六章  投标技术文件一般要求</w:t>
      </w:r>
      <w:bookmarkEnd w:id="58"/>
      <w:bookmarkEnd w:id="59"/>
      <w:bookmarkEnd w:id="60"/>
      <w:bookmarkEnd w:id="61"/>
      <w:bookmarkEnd w:id="62"/>
    </w:p>
    <w:p w14:paraId="5042935A">
      <w:pPr>
        <w:adjustRightInd w:val="0"/>
        <w:snapToGrid w:val="0"/>
        <w:spacing w:line="460" w:lineRule="exact"/>
        <w:ind w:firstLine="420" w:firstLineChars="200"/>
        <w:rPr>
          <w:rFonts w:hint="eastAsia" w:ascii="黑体" w:hAnsi="宋体" w:eastAsia="黑体"/>
        </w:rPr>
      </w:pPr>
      <w:r>
        <w:rPr>
          <w:rFonts w:hint="eastAsia" w:ascii="黑体" w:hAnsi="宋体" w:eastAsia="黑体"/>
        </w:rPr>
        <w:t>一、技术文件一般内容要求</w:t>
      </w:r>
    </w:p>
    <w:p w14:paraId="708A6761">
      <w:pPr>
        <w:adjustRightInd w:val="0"/>
        <w:snapToGrid w:val="0"/>
        <w:spacing w:line="460" w:lineRule="exact"/>
        <w:ind w:firstLine="420" w:firstLineChars="200"/>
        <w:rPr>
          <w:rFonts w:hint="eastAsia" w:ascii="宋体" w:hAnsi="宋体"/>
        </w:rPr>
      </w:pPr>
      <w:r>
        <w:rPr>
          <w:rFonts w:hint="eastAsia" w:ascii="宋体" w:hAnsi="宋体"/>
        </w:rPr>
        <w:t>1、投标方应认真阅读招标文件和本技术标书，并按要求编写投标技术文件。</w:t>
      </w:r>
    </w:p>
    <w:p w14:paraId="11206FBC">
      <w:pPr>
        <w:adjustRightInd w:val="0"/>
        <w:snapToGrid w:val="0"/>
        <w:spacing w:line="460" w:lineRule="exact"/>
        <w:ind w:firstLine="420" w:firstLineChars="200"/>
        <w:rPr>
          <w:rFonts w:hint="eastAsia" w:ascii="宋体" w:hAnsi="宋体"/>
        </w:rPr>
      </w:pPr>
      <w:r>
        <w:rPr>
          <w:rFonts w:hint="eastAsia" w:ascii="宋体" w:hAnsi="宋体"/>
        </w:rPr>
        <w:t>2、投标技术文件至少应对投标设备的功能用途、技术性能、质量标准、技术参数等作出详细说明。</w:t>
      </w:r>
    </w:p>
    <w:p w14:paraId="42AB2858">
      <w:pPr>
        <w:adjustRightInd w:val="0"/>
        <w:snapToGrid w:val="0"/>
        <w:spacing w:line="460" w:lineRule="exact"/>
        <w:ind w:firstLine="420" w:firstLineChars="200"/>
        <w:rPr>
          <w:rFonts w:hint="eastAsia" w:ascii="宋体" w:hAnsi="宋体"/>
        </w:rPr>
      </w:pPr>
      <w:r>
        <w:rPr>
          <w:rFonts w:hint="eastAsia" w:ascii="宋体" w:hAnsi="宋体"/>
        </w:rPr>
        <w:t>3、投标技术文件至少应根据投标设备的关键设备、总成、零部件或系统作出优越性说明。</w:t>
      </w:r>
    </w:p>
    <w:p w14:paraId="379D8611">
      <w:pPr>
        <w:spacing w:line="480" w:lineRule="exact"/>
        <w:ind w:firstLine="420" w:firstLineChars="200"/>
        <w:rPr>
          <w:rFonts w:hint="eastAsia" w:ascii="宋体" w:hAnsi="宋体"/>
        </w:rPr>
      </w:pPr>
      <w:r>
        <w:rPr>
          <w:rFonts w:hint="eastAsia" w:ascii="宋体" w:hAnsi="宋体"/>
        </w:rPr>
        <w:t>4、投标技术文件至少应按照招标文件要求（或投标方建议）列明备品备件、易损件和专用耗材明细。</w:t>
      </w:r>
    </w:p>
    <w:p w14:paraId="6DDFDBC1">
      <w:pPr>
        <w:spacing w:line="480" w:lineRule="exact"/>
        <w:ind w:firstLine="420" w:firstLineChars="200"/>
        <w:rPr>
          <w:rFonts w:hint="eastAsia" w:ascii="宋体" w:hAnsi="宋体"/>
        </w:rPr>
      </w:pPr>
      <w:r>
        <w:rPr>
          <w:rFonts w:hint="eastAsia" w:ascii="宋体" w:hAnsi="宋体"/>
        </w:rPr>
        <w:t>5、投标方应当而且必须分别说明所列备品备件、易损件和专用耗材的使用寿命（以有效工作小时数说明）。</w:t>
      </w:r>
    </w:p>
    <w:p w14:paraId="5D823CFC">
      <w:pPr>
        <w:adjustRightInd w:val="0"/>
        <w:snapToGrid w:val="0"/>
        <w:spacing w:line="460" w:lineRule="exact"/>
        <w:ind w:firstLine="420" w:firstLineChars="200"/>
        <w:rPr>
          <w:rFonts w:hint="eastAsia" w:ascii="宋体" w:hAnsi="宋体"/>
        </w:rPr>
      </w:pPr>
      <w:r>
        <w:rPr>
          <w:rFonts w:hint="eastAsia" w:ascii="宋体" w:hAnsi="宋体"/>
        </w:rPr>
        <w:t>6、投标的设备，应当根据其配置和备品备件、易损件、专用耗材情况，尽可能详细且分类填入下表：</w:t>
      </w:r>
    </w:p>
    <w:p w14:paraId="34C5BB4A">
      <w:pPr>
        <w:adjustRightInd w:val="0"/>
        <w:snapToGrid w:val="0"/>
        <w:spacing w:line="460" w:lineRule="exact"/>
        <w:ind w:firstLine="420" w:firstLineChars="200"/>
        <w:rPr>
          <w:rFonts w:hint="eastAsia" w:ascii="宋体" w:hAnsi="宋体"/>
        </w:rPr>
      </w:pPr>
      <w:r>
        <w:rPr>
          <w:rFonts w:hint="eastAsia" w:ascii="宋体" w:hAnsi="宋体"/>
        </w:rPr>
        <w:t>6.1  投标设备配置一览表：</w:t>
      </w:r>
    </w:p>
    <w:p w14:paraId="318A7B80">
      <w:pPr>
        <w:adjustRightInd w:val="0"/>
        <w:snapToGrid w:val="0"/>
        <w:spacing w:line="460" w:lineRule="exact"/>
        <w:ind w:firstLine="1890" w:firstLineChars="900"/>
        <w:rPr>
          <w:rFonts w:hint="eastAsia" w:ascii="宋体" w:hAnsi="宋体"/>
        </w:rPr>
      </w:pPr>
      <w:r>
        <w:rPr>
          <w:rFonts w:hint="eastAsia" w:ascii="宋体" w:hAnsi="宋体"/>
        </w:rPr>
        <w:t xml:space="preserve">投标货物配置一览表          </w:t>
      </w:r>
      <w:r>
        <w:rPr>
          <w:rFonts w:hint="eastAsia" w:ascii="宋体" w:hAnsi="宋体"/>
          <w:sz w:val="21"/>
        </w:rPr>
        <w:t>单位：元</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24"/>
        <w:gridCol w:w="1236"/>
        <w:gridCol w:w="720"/>
        <w:gridCol w:w="720"/>
        <w:gridCol w:w="720"/>
        <w:gridCol w:w="720"/>
        <w:gridCol w:w="2235"/>
      </w:tblGrid>
      <w:tr w14:paraId="31C1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CC77743">
            <w:pPr>
              <w:adjustRightInd w:val="0"/>
              <w:snapToGrid w:val="0"/>
              <w:spacing w:line="360" w:lineRule="exact"/>
              <w:jc w:val="center"/>
              <w:rPr>
                <w:rFonts w:hint="eastAsia" w:ascii="宋体" w:hAnsi="宋体"/>
                <w:sz w:val="21"/>
              </w:rPr>
            </w:pPr>
            <w:r>
              <w:rPr>
                <w:rFonts w:hint="eastAsia" w:ascii="宋体" w:hAnsi="宋体"/>
                <w:sz w:val="21"/>
              </w:rPr>
              <w:t>序号</w:t>
            </w:r>
          </w:p>
        </w:tc>
        <w:tc>
          <w:tcPr>
            <w:tcW w:w="1924" w:type="dxa"/>
            <w:noWrap w:val="0"/>
            <w:vAlign w:val="top"/>
          </w:tcPr>
          <w:p w14:paraId="620178C9">
            <w:pPr>
              <w:adjustRightInd w:val="0"/>
              <w:snapToGrid w:val="0"/>
              <w:spacing w:line="360" w:lineRule="exact"/>
              <w:jc w:val="center"/>
              <w:rPr>
                <w:rFonts w:hint="eastAsia" w:ascii="宋体" w:hAnsi="宋体"/>
                <w:sz w:val="21"/>
              </w:rPr>
            </w:pPr>
            <w:r>
              <w:rPr>
                <w:rFonts w:hint="eastAsia" w:ascii="宋体" w:hAnsi="宋体"/>
                <w:sz w:val="21"/>
              </w:rPr>
              <w:t>名称</w:t>
            </w:r>
          </w:p>
        </w:tc>
        <w:tc>
          <w:tcPr>
            <w:tcW w:w="1236" w:type="dxa"/>
            <w:noWrap w:val="0"/>
            <w:vAlign w:val="top"/>
          </w:tcPr>
          <w:p w14:paraId="548BA2CE">
            <w:pPr>
              <w:adjustRightInd w:val="0"/>
              <w:snapToGrid w:val="0"/>
              <w:spacing w:line="360" w:lineRule="exact"/>
              <w:jc w:val="center"/>
              <w:rPr>
                <w:rFonts w:hint="eastAsia" w:ascii="宋体" w:hAnsi="宋体"/>
                <w:sz w:val="21"/>
              </w:rPr>
            </w:pPr>
            <w:r>
              <w:rPr>
                <w:rFonts w:hint="eastAsia" w:ascii="宋体" w:hAnsi="宋体"/>
                <w:sz w:val="21"/>
              </w:rPr>
              <w:t>型号规格</w:t>
            </w:r>
          </w:p>
        </w:tc>
        <w:tc>
          <w:tcPr>
            <w:tcW w:w="720" w:type="dxa"/>
            <w:noWrap w:val="0"/>
            <w:vAlign w:val="top"/>
          </w:tcPr>
          <w:p w14:paraId="1D58C508">
            <w:pPr>
              <w:adjustRightInd w:val="0"/>
              <w:snapToGrid w:val="0"/>
              <w:spacing w:line="360" w:lineRule="exact"/>
              <w:jc w:val="center"/>
              <w:rPr>
                <w:rFonts w:hint="eastAsia" w:ascii="宋体" w:hAnsi="宋体"/>
                <w:sz w:val="21"/>
              </w:rPr>
            </w:pPr>
            <w:r>
              <w:rPr>
                <w:rFonts w:hint="eastAsia" w:ascii="宋体" w:hAnsi="宋体"/>
                <w:sz w:val="21"/>
              </w:rPr>
              <w:t>单位</w:t>
            </w:r>
          </w:p>
        </w:tc>
        <w:tc>
          <w:tcPr>
            <w:tcW w:w="720" w:type="dxa"/>
            <w:noWrap w:val="0"/>
            <w:vAlign w:val="top"/>
          </w:tcPr>
          <w:p w14:paraId="20147C61">
            <w:pPr>
              <w:adjustRightInd w:val="0"/>
              <w:snapToGrid w:val="0"/>
              <w:spacing w:line="360" w:lineRule="exact"/>
              <w:jc w:val="center"/>
              <w:rPr>
                <w:rFonts w:hint="eastAsia" w:ascii="宋体" w:hAnsi="宋体"/>
                <w:sz w:val="21"/>
              </w:rPr>
            </w:pPr>
            <w:r>
              <w:rPr>
                <w:rFonts w:hint="eastAsia" w:ascii="宋体" w:hAnsi="宋体"/>
                <w:sz w:val="21"/>
              </w:rPr>
              <w:t>数量</w:t>
            </w:r>
          </w:p>
        </w:tc>
        <w:tc>
          <w:tcPr>
            <w:tcW w:w="720" w:type="dxa"/>
            <w:noWrap w:val="0"/>
            <w:vAlign w:val="top"/>
          </w:tcPr>
          <w:p w14:paraId="30A7C2DB">
            <w:pPr>
              <w:adjustRightInd w:val="0"/>
              <w:snapToGrid w:val="0"/>
              <w:spacing w:line="360" w:lineRule="exact"/>
              <w:jc w:val="center"/>
              <w:rPr>
                <w:rFonts w:hint="eastAsia" w:ascii="宋体" w:hAnsi="宋体"/>
                <w:sz w:val="21"/>
              </w:rPr>
            </w:pPr>
            <w:r>
              <w:rPr>
                <w:rFonts w:hint="eastAsia" w:ascii="宋体" w:hAnsi="宋体"/>
                <w:sz w:val="21"/>
              </w:rPr>
              <w:t>单价</w:t>
            </w:r>
          </w:p>
        </w:tc>
        <w:tc>
          <w:tcPr>
            <w:tcW w:w="720" w:type="dxa"/>
            <w:noWrap w:val="0"/>
            <w:vAlign w:val="top"/>
          </w:tcPr>
          <w:p w14:paraId="58E42FC1">
            <w:pPr>
              <w:adjustRightInd w:val="0"/>
              <w:snapToGrid w:val="0"/>
              <w:spacing w:line="360" w:lineRule="exact"/>
              <w:jc w:val="center"/>
              <w:rPr>
                <w:rFonts w:hint="eastAsia" w:ascii="宋体" w:hAnsi="宋体"/>
                <w:sz w:val="21"/>
              </w:rPr>
            </w:pPr>
            <w:r>
              <w:rPr>
                <w:rFonts w:hint="eastAsia" w:ascii="宋体" w:hAnsi="宋体"/>
                <w:sz w:val="21"/>
              </w:rPr>
              <w:t>总价</w:t>
            </w:r>
          </w:p>
        </w:tc>
        <w:tc>
          <w:tcPr>
            <w:tcW w:w="2235" w:type="dxa"/>
            <w:noWrap w:val="0"/>
            <w:vAlign w:val="top"/>
          </w:tcPr>
          <w:p w14:paraId="1FC89185">
            <w:pPr>
              <w:adjustRightInd w:val="0"/>
              <w:snapToGrid w:val="0"/>
              <w:spacing w:line="360" w:lineRule="exact"/>
              <w:jc w:val="center"/>
              <w:rPr>
                <w:rFonts w:hint="eastAsia" w:ascii="宋体" w:hAnsi="宋体"/>
                <w:sz w:val="21"/>
              </w:rPr>
            </w:pPr>
            <w:r>
              <w:rPr>
                <w:rFonts w:hint="eastAsia" w:ascii="宋体" w:hAnsi="宋体"/>
                <w:sz w:val="21"/>
              </w:rPr>
              <w:t>制造商</w:t>
            </w:r>
          </w:p>
        </w:tc>
      </w:tr>
      <w:tr w14:paraId="60D48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B7BC642">
            <w:pPr>
              <w:adjustRightInd w:val="0"/>
              <w:snapToGrid w:val="0"/>
              <w:spacing w:line="360" w:lineRule="exact"/>
              <w:jc w:val="center"/>
              <w:rPr>
                <w:rFonts w:hint="eastAsia" w:ascii="宋体" w:hAnsi="宋体"/>
                <w:sz w:val="21"/>
              </w:rPr>
            </w:pPr>
          </w:p>
        </w:tc>
        <w:tc>
          <w:tcPr>
            <w:tcW w:w="1924" w:type="dxa"/>
            <w:noWrap w:val="0"/>
            <w:vAlign w:val="top"/>
          </w:tcPr>
          <w:p w14:paraId="303363C6">
            <w:pPr>
              <w:adjustRightInd w:val="0"/>
              <w:snapToGrid w:val="0"/>
              <w:spacing w:line="360" w:lineRule="exact"/>
              <w:rPr>
                <w:rFonts w:hint="eastAsia" w:ascii="宋体" w:hAnsi="宋体"/>
                <w:sz w:val="21"/>
              </w:rPr>
            </w:pPr>
          </w:p>
        </w:tc>
        <w:tc>
          <w:tcPr>
            <w:tcW w:w="1236" w:type="dxa"/>
            <w:noWrap w:val="0"/>
            <w:vAlign w:val="top"/>
          </w:tcPr>
          <w:p w14:paraId="1A4D9203">
            <w:pPr>
              <w:adjustRightInd w:val="0"/>
              <w:snapToGrid w:val="0"/>
              <w:spacing w:line="360" w:lineRule="exact"/>
              <w:rPr>
                <w:rFonts w:hint="eastAsia" w:ascii="宋体" w:hAnsi="宋体"/>
                <w:sz w:val="21"/>
              </w:rPr>
            </w:pPr>
          </w:p>
        </w:tc>
        <w:tc>
          <w:tcPr>
            <w:tcW w:w="720" w:type="dxa"/>
            <w:noWrap w:val="0"/>
            <w:vAlign w:val="top"/>
          </w:tcPr>
          <w:p w14:paraId="10E6F8A6">
            <w:pPr>
              <w:adjustRightInd w:val="0"/>
              <w:snapToGrid w:val="0"/>
              <w:spacing w:line="360" w:lineRule="exact"/>
              <w:jc w:val="center"/>
              <w:rPr>
                <w:rFonts w:hint="eastAsia" w:ascii="宋体" w:hAnsi="宋体"/>
                <w:sz w:val="21"/>
              </w:rPr>
            </w:pPr>
          </w:p>
        </w:tc>
        <w:tc>
          <w:tcPr>
            <w:tcW w:w="720" w:type="dxa"/>
            <w:noWrap w:val="0"/>
            <w:vAlign w:val="top"/>
          </w:tcPr>
          <w:p w14:paraId="50D1D40E">
            <w:pPr>
              <w:adjustRightInd w:val="0"/>
              <w:snapToGrid w:val="0"/>
              <w:spacing w:line="360" w:lineRule="exact"/>
              <w:jc w:val="center"/>
              <w:rPr>
                <w:rFonts w:hint="eastAsia" w:ascii="宋体" w:hAnsi="宋体"/>
                <w:sz w:val="21"/>
              </w:rPr>
            </w:pPr>
          </w:p>
        </w:tc>
        <w:tc>
          <w:tcPr>
            <w:tcW w:w="720" w:type="dxa"/>
            <w:noWrap w:val="0"/>
            <w:vAlign w:val="top"/>
          </w:tcPr>
          <w:p w14:paraId="69DA5547">
            <w:pPr>
              <w:adjustRightInd w:val="0"/>
              <w:snapToGrid w:val="0"/>
              <w:spacing w:line="360" w:lineRule="exact"/>
              <w:jc w:val="center"/>
              <w:rPr>
                <w:rFonts w:hint="eastAsia" w:ascii="宋体" w:hAnsi="宋体"/>
                <w:sz w:val="21"/>
              </w:rPr>
            </w:pPr>
          </w:p>
        </w:tc>
        <w:tc>
          <w:tcPr>
            <w:tcW w:w="720" w:type="dxa"/>
            <w:noWrap w:val="0"/>
            <w:vAlign w:val="top"/>
          </w:tcPr>
          <w:p w14:paraId="69C595F5">
            <w:pPr>
              <w:adjustRightInd w:val="0"/>
              <w:snapToGrid w:val="0"/>
              <w:spacing w:line="360" w:lineRule="exact"/>
              <w:jc w:val="center"/>
              <w:rPr>
                <w:rFonts w:hint="eastAsia" w:ascii="宋体" w:hAnsi="宋体"/>
                <w:sz w:val="21"/>
              </w:rPr>
            </w:pPr>
          </w:p>
        </w:tc>
        <w:tc>
          <w:tcPr>
            <w:tcW w:w="2235" w:type="dxa"/>
            <w:noWrap w:val="0"/>
            <w:vAlign w:val="top"/>
          </w:tcPr>
          <w:p w14:paraId="1C99C1BA">
            <w:pPr>
              <w:adjustRightInd w:val="0"/>
              <w:snapToGrid w:val="0"/>
              <w:spacing w:line="360" w:lineRule="exact"/>
              <w:rPr>
                <w:rFonts w:hint="eastAsia" w:ascii="宋体" w:hAnsi="宋体"/>
                <w:sz w:val="21"/>
              </w:rPr>
            </w:pPr>
          </w:p>
        </w:tc>
      </w:tr>
      <w:tr w14:paraId="639A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4D85987C">
            <w:pPr>
              <w:adjustRightInd w:val="0"/>
              <w:snapToGrid w:val="0"/>
              <w:spacing w:line="360" w:lineRule="exact"/>
              <w:jc w:val="center"/>
              <w:rPr>
                <w:rFonts w:hint="eastAsia" w:ascii="宋体" w:hAnsi="宋体"/>
                <w:sz w:val="21"/>
              </w:rPr>
            </w:pPr>
          </w:p>
        </w:tc>
        <w:tc>
          <w:tcPr>
            <w:tcW w:w="1924" w:type="dxa"/>
            <w:noWrap w:val="0"/>
            <w:vAlign w:val="top"/>
          </w:tcPr>
          <w:p w14:paraId="49921141">
            <w:pPr>
              <w:adjustRightInd w:val="0"/>
              <w:snapToGrid w:val="0"/>
              <w:spacing w:line="360" w:lineRule="exact"/>
              <w:rPr>
                <w:rFonts w:hint="eastAsia" w:ascii="宋体" w:hAnsi="宋体"/>
                <w:sz w:val="21"/>
              </w:rPr>
            </w:pPr>
          </w:p>
        </w:tc>
        <w:tc>
          <w:tcPr>
            <w:tcW w:w="1236" w:type="dxa"/>
            <w:noWrap w:val="0"/>
            <w:vAlign w:val="top"/>
          </w:tcPr>
          <w:p w14:paraId="3ABBCBC3">
            <w:pPr>
              <w:adjustRightInd w:val="0"/>
              <w:snapToGrid w:val="0"/>
              <w:spacing w:line="360" w:lineRule="exact"/>
              <w:rPr>
                <w:rFonts w:hint="eastAsia" w:ascii="宋体" w:hAnsi="宋体"/>
                <w:sz w:val="21"/>
              </w:rPr>
            </w:pPr>
          </w:p>
        </w:tc>
        <w:tc>
          <w:tcPr>
            <w:tcW w:w="720" w:type="dxa"/>
            <w:noWrap w:val="0"/>
            <w:vAlign w:val="top"/>
          </w:tcPr>
          <w:p w14:paraId="5BE94708">
            <w:pPr>
              <w:adjustRightInd w:val="0"/>
              <w:snapToGrid w:val="0"/>
              <w:spacing w:line="360" w:lineRule="exact"/>
              <w:jc w:val="center"/>
              <w:rPr>
                <w:rFonts w:hint="eastAsia" w:ascii="宋体" w:hAnsi="宋体"/>
                <w:sz w:val="21"/>
              </w:rPr>
            </w:pPr>
          </w:p>
        </w:tc>
        <w:tc>
          <w:tcPr>
            <w:tcW w:w="720" w:type="dxa"/>
            <w:noWrap w:val="0"/>
            <w:vAlign w:val="top"/>
          </w:tcPr>
          <w:p w14:paraId="0B96891C">
            <w:pPr>
              <w:adjustRightInd w:val="0"/>
              <w:snapToGrid w:val="0"/>
              <w:spacing w:line="360" w:lineRule="exact"/>
              <w:jc w:val="center"/>
              <w:rPr>
                <w:rFonts w:hint="eastAsia" w:ascii="宋体" w:hAnsi="宋体"/>
                <w:sz w:val="21"/>
              </w:rPr>
            </w:pPr>
          </w:p>
        </w:tc>
        <w:tc>
          <w:tcPr>
            <w:tcW w:w="720" w:type="dxa"/>
            <w:noWrap w:val="0"/>
            <w:vAlign w:val="top"/>
          </w:tcPr>
          <w:p w14:paraId="04E6AF23">
            <w:pPr>
              <w:adjustRightInd w:val="0"/>
              <w:snapToGrid w:val="0"/>
              <w:spacing w:line="360" w:lineRule="exact"/>
              <w:jc w:val="center"/>
              <w:rPr>
                <w:rFonts w:hint="eastAsia" w:ascii="宋体" w:hAnsi="宋体"/>
                <w:sz w:val="21"/>
              </w:rPr>
            </w:pPr>
          </w:p>
        </w:tc>
        <w:tc>
          <w:tcPr>
            <w:tcW w:w="720" w:type="dxa"/>
            <w:noWrap w:val="0"/>
            <w:vAlign w:val="top"/>
          </w:tcPr>
          <w:p w14:paraId="1AFC498B">
            <w:pPr>
              <w:adjustRightInd w:val="0"/>
              <w:snapToGrid w:val="0"/>
              <w:spacing w:line="360" w:lineRule="exact"/>
              <w:jc w:val="center"/>
              <w:rPr>
                <w:rFonts w:hint="eastAsia" w:ascii="宋体" w:hAnsi="宋体"/>
                <w:sz w:val="21"/>
              </w:rPr>
            </w:pPr>
          </w:p>
        </w:tc>
        <w:tc>
          <w:tcPr>
            <w:tcW w:w="2235" w:type="dxa"/>
            <w:noWrap w:val="0"/>
            <w:vAlign w:val="top"/>
          </w:tcPr>
          <w:p w14:paraId="604E7F63">
            <w:pPr>
              <w:adjustRightInd w:val="0"/>
              <w:snapToGrid w:val="0"/>
              <w:spacing w:line="360" w:lineRule="exact"/>
              <w:rPr>
                <w:rFonts w:hint="eastAsia" w:ascii="宋体" w:hAnsi="宋体"/>
                <w:sz w:val="21"/>
              </w:rPr>
            </w:pPr>
          </w:p>
        </w:tc>
      </w:tr>
      <w:tr w14:paraId="352F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6A9853A9">
            <w:pPr>
              <w:adjustRightInd w:val="0"/>
              <w:snapToGrid w:val="0"/>
              <w:spacing w:line="360" w:lineRule="exact"/>
              <w:jc w:val="center"/>
              <w:rPr>
                <w:rFonts w:hint="eastAsia" w:ascii="宋体" w:hAnsi="宋体"/>
                <w:sz w:val="21"/>
              </w:rPr>
            </w:pPr>
          </w:p>
        </w:tc>
        <w:tc>
          <w:tcPr>
            <w:tcW w:w="1924" w:type="dxa"/>
            <w:noWrap w:val="0"/>
            <w:vAlign w:val="top"/>
          </w:tcPr>
          <w:p w14:paraId="5E64B96E">
            <w:pPr>
              <w:adjustRightInd w:val="0"/>
              <w:snapToGrid w:val="0"/>
              <w:spacing w:line="360" w:lineRule="exact"/>
              <w:rPr>
                <w:rFonts w:hint="eastAsia" w:ascii="宋体" w:hAnsi="宋体"/>
                <w:sz w:val="21"/>
              </w:rPr>
            </w:pPr>
          </w:p>
        </w:tc>
        <w:tc>
          <w:tcPr>
            <w:tcW w:w="1236" w:type="dxa"/>
            <w:noWrap w:val="0"/>
            <w:vAlign w:val="top"/>
          </w:tcPr>
          <w:p w14:paraId="57826264">
            <w:pPr>
              <w:adjustRightInd w:val="0"/>
              <w:snapToGrid w:val="0"/>
              <w:spacing w:line="360" w:lineRule="exact"/>
              <w:rPr>
                <w:rFonts w:hint="eastAsia" w:ascii="宋体" w:hAnsi="宋体"/>
                <w:sz w:val="21"/>
              </w:rPr>
            </w:pPr>
          </w:p>
        </w:tc>
        <w:tc>
          <w:tcPr>
            <w:tcW w:w="720" w:type="dxa"/>
            <w:noWrap w:val="0"/>
            <w:vAlign w:val="top"/>
          </w:tcPr>
          <w:p w14:paraId="313277EA">
            <w:pPr>
              <w:adjustRightInd w:val="0"/>
              <w:snapToGrid w:val="0"/>
              <w:spacing w:line="360" w:lineRule="exact"/>
              <w:jc w:val="center"/>
              <w:rPr>
                <w:rFonts w:hint="eastAsia" w:ascii="宋体" w:hAnsi="宋体"/>
                <w:sz w:val="21"/>
              </w:rPr>
            </w:pPr>
          </w:p>
        </w:tc>
        <w:tc>
          <w:tcPr>
            <w:tcW w:w="720" w:type="dxa"/>
            <w:noWrap w:val="0"/>
            <w:vAlign w:val="top"/>
          </w:tcPr>
          <w:p w14:paraId="4188D9B4">
            <w:pPr>
              <w:adjustRightInd w:val="0"/>
              <w:snapToGrid w:val="0"/>
              <w:spacing w:line="360" w:lineRule="exact"/>
              <w:jc w:val="center"/>
              <w:rPr>
                <w:rFonts w:hint="eastAsia" w:ascii="宋体" w:hAnsi="宋体"/>
                <w:sz w:val="21"/>
              </w:rPr>
            </w:pPr>
          </w:p>
        </w:tc>
        <w:tc>
          <w:tcPr>
            <w:tcW w:w="720" w:type="dxa"/>
            <w:noWrap w:val="0"/>
            <w:vAlign w:val="top"/>
          </w:tcPr>
          <w:p w14:paraId="1DCBF8EC">
            <w:pPr>
              <w:adjustRightInd w:val="0"/>
              <w:snapToGrid w:val="0"/>
              <w:spacing w:line="360" w:lineRule="exact"/>
              <w:jc w:val="center"/>
              <w:rPr>
                <w:rFonts w:hint="eastAsia" w:ascii="宋体" w:hAnsi="宋体"/>
                <w:sz w:val="21"/>
              </w:rPr>
            </w:pPr>
          </w:p>
        </w:tc>
        <w:tc>
          <w:tcPr>
            <w:tcW w:w="720" w:type="dxa"/>
            <w:noWrap w:val="0"/>
            <w:vAlign w:val="top"/>
          </w:tcPr>
          <w:p w14:paraId="1244A102">
            <w:pPr>
              <w:adjustRightInd w:val="0"/>
              <w:snapToGrid w:val="0"/>
              <w:spacing w:line="360" w:lineRule="exact"/>
              <w:jc w:val="center"/>
              <w:rPr>
                <w:rFonts w:hint="eastAsia" w:ascii="宋体" w:hAnsi="宋体"/>
                <w:sz w:val="21"/>
              </w:rPr>
            </w:pPr>
          </w:p>
        </w:tc>
        <w:tc>
          <w:tcPr>
            <w:tcW w:w="2235" w:type="dxa"/>
            <w:noWrap w:val="0"/>
            <w:vAlign w:val="top"/>
          </w:tcPr>
          <w:p w14:paraId="36FDFC29">
            <w:pPr>
              <w:adjustRightInd w:val="0"/>
              <w:snapToGrid w:val="0"/>
              <w:spacing w:line="360" w:lineRule="exact"/>
              <w:rPr>
                <w:rFonts w:hint="eastAsia" w:ascii="宋体" w:hAnsi="宋体"/>
                <w:sz w:val="21"/>
              </w:rPr>
            </w:pPr>
          </w:p>
        </w:tc>
      </w:tr>
      <w:tr w14:paraId="39C44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04A42B28">
            <w:pPr>
              <w:adjustRightInd w:val="0"/>
              <w:snapToGrid w:val="0"/>
              <w:spacing w:line="360" w:lineRule="exact"/>
              <w:jc w:val="center"/>
              <w:rPr>
                <w:rFonts w:hint="eastAsia" w:ascii="宋体" w:hAnsi="宋体"/>
                <w:sz w:val="21"/>
              </w:rPr>
            </w:pPr>
          </w:p>
        </w:tc>
        <w:tc>
          <w:tcPr>
            <w:tcW w:w="1924" w:type="dxa"/>
            <w:noWrap w:val="0"/>
            <w:vAlign w:val="top"/>
          </w:tcPr>
          <w:p w14:paraId="7FA178DC">
            <w:pPr>
              <w:adjustRightInd w:val="0"/>
              <w:snapToGrid w:val="0"/>
              <w:spacing w:line="360" w:lineRule="exact"/>
              <w:rPr>
                <w:rFonts w:hint="eastAsia" w:ascii="宋体" w:hAnsi="宋体"/>
                <w:sz w:val="21"/>
              </w:rPr>
            </w:pPr>
          </w:p>
        </w:tc>
        <w:tc>
          <w:tcPr>
            <w:tcW w:w="1236" w:type="dxa"/>
            <w:noWrap w:val="0"/>
            <w:vAlign w:val="top"/>
          </w:tcPr>
          <w:p w14:paraId="0D697A08">
            <w:pPr>
              <w:adjustRightInd w:val="0"/>
              <w:snapToGrid w:val="0"/>
              <w:spacing w:line="360" w:lineRule="exact"/>
              <w:rPr>
                <w:rFonts w:hint="eastAsia" w:ascii="宋体" w:hAnsi="宋体"/>
                <w:sz w:val="21"/>
              </w:rPr>
            </w:pPr>
          </w:p>
        </w:tc>
        <w:tc>
          <w:tcPr>
            <w:tcW w:w="720" w:type="dxa"/>
            <w:noWrap w:val="0"/>
            <w:vAlign w:val="top"/>
          </w:tcPr>
          <w:p w14:paraId="1C8D3FC4">
            <w:pPr>
              <w:adjustRightInd w:val="0"/>
              <w:snapToGrid w:val="0"/>
              <w:spacing w:line="360" w:lineRule="exact"/>
              <w:jc w:val="center"/>
              <w:rPr>
                <w:rFonts w:hint="eastAsia" w:ascii="宋体" w:hAnsi="宋体"/>
                <w:sz w:val="21"/>
              </w:rPr>
            </w:pPr>
          </w:p>
        </w:tc>
        <w:tc>
          <w:tcPr>
            <w:tcW w:w="720" w:type="dxa"/>
            <w:noWrap w:val="0"/>
            <w:vAlign w:val="top"/>
          </w:tcPr>
          <w:p w14:paraId="4CCFF614">
            <w:pPr>
              <w:adjustRightInd w:val="0"/>
              <w:snapToGrid w:val="0"/>
              <w:spacing w:line="360" w:lineRule="exact"/>
              <w:jc w:val="center"/>
              <w:rPr>
                <w:rFonts w:hint="eastAsia" w:ascii="宋体" w:hAnsi="宋体"/>
                <w:sz w:val="21"/>
              </w:rPr>
            </w:pPr>
          </w:p>
        </w:tc>
        <w:tc>
          <w:tcPr>
            <w:tcW w:w="720" w:type="dxa"/>
            <w:noWrap w:val="0"/>
            <w:vAlign w:val="top"/>
          </w:tcPr>
          <w:p w14:paraId="2F787E1F">
            <w:pPr>
              <w:adjustRightInd w:val="0"/>
              <w:snapToGrid w:val="0"/>
              <w:spacing w:line="360" w:lineRule="exact"/>
              <w:jc w:val="center"/>
              <w:rPr>
                <w:rFonts w:hint="eastAsia" w:ascii="宋体" w:hAnsi="宋体"/>
                <w:sz w:val="21"/>
              </w:rPr>
            </w:pPr>
          </w:p>
        </w:tc>
        <w:tc>
          <w:tcPr>
            <w:tcW w:w="720" w:type="dxa"/>
            <w:noWrap w:val="0"/>
            <w:vAlign w:val="top"/>
          </w:tcPr>
          <w:p w14:paraId="4E9FF0E9">
            <w:pPr>
              <w:adjustRightInd w:val="0"/>
              <w:snapToGrid w:val="0"/>
              <w:spacing w:line="360" w:lineRule="exact"/>
              <w:jc w:val="center"/>
              <w:rPr>
                <w:rFonts w:hint="eastAsia" w:ascii="宋体" w:hAnsi="宋体"/>
                <w:sz w:val="21"/>
              </w:rPr>
            </w:pPr>
          </w:p>
        </w:tc>
        <w:tc>
          <w:tcPr>
            <w:tcW w:w="2235" w:type="dxa"/>
            <w:noWrap w:val="0"/>
            <w:vAlign w:val="top"/>
          </w:tcPr>
          <w:p w14:paraId="77887B70">
            <w:pPr>
              <w:adjustRightInd w:val="0"/>
              <w:snapToGrid w:val="0"/>
              <w:spacing w:line="360" w:lineRule="exact"/>
              <w:rPr>
                <w:rFonts w:hint="eastAsia" w:ascii="宋体" w:hAnsi="宋体"/>
                <w:sz w:val="21"/>
              </w:rPr>
            </w:pPr>
          </w:p>
        </w:tc>
      </w:tr>
      <w:tr w14:paraId="0ECE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EFD9F03">
            <w:pPr>
              <w:adjustRightInd w:val="0"/>
              <w:snapToGrid w:val="0"/>
              <w:spacing w:line="360" w:lineRule="exact"/>
              <w:jc w:val="center"/>
              <w:rPr>
                <w:rFonts w:hint="eastAsia" w:ascii="宋体" w:hAnsi="宋体"/>
                <w:sz w:val="21"/>
              </w:rPr>
            </w:pPr>
          </w:p>
        </w:tc>
        <w:tc>
          <w:tcPr>
            <w:tcW w:w="1924" w:type="dxa"/>
            <w:noWrap w:val="0"/>
            <w:vAlign w:val="top"/>
          </w:tcPr>
          <w:p w14:paraId="13010330">
            <w:pPr>
              <w:adjustRightInd w:val="0"/>
              <w:snapToGrid w:val="0"/>
              <w:spacing w:line="360" w:lineRule="exact"/>
              <w:rPr>
                <w:rFonts w:hint="eastAsia" w:ascii="宋体" w:hAnsi="宋体"/>
                <w:sz w:val="21"/>
              </w:rPr>
            </w:pPr>
          </w:p>
        </w:tc>
        <w:tc>
          <w:tcPr>
            <w:tcW w:w="1236" w:type="dxa"/>
            <w:noWrap w:val="0"/>
            <w:vAlign w:val="top"/>
          </w:tcPr>
          <w:p w14:paraId="75B258A6">
            <w:pPr>
              <w:adjustRightInd w:val="0"/>
              <w:snapToGrid w:val="0"/>
              <w:spacing w:line="360" w:lineRule="exact"/>
              <w:rPr>
                <w:rFonts w:hint="eastAsia" w:ascii="宋体" w:hAnsi="宋体"/>
                <w:sz w:val="21"/>
              </w:rPr>
            </w:pPr>
          </w:p>
        </w:tc>
        <w:tc>
          <w:tcPr>
            <w:tcW w:w="720" w:type="dxa"/>
            <w:noWrap w:val="0"/>
            <w:vAlign w:val="top"/>
          </w:tcPr>
          <w:p w14:paraId="194EF76C">
            <w:pPr>
              <w:adjustRightInd w:val="0"/>
              <w:snapToGrid w:val="0"/>
              <w:spacing w:line="360" w:lineRule="exact"/>
              <w:jc w:val="center"/>
              <w:rPr>
                <w:rFonts w:hint="eastAsia" w:ascii="宋体" w:hAnsi="宋体"/>
                <w:sz w:val="21"/>
              </w:rPr>
            </w:pPr>
          </w:p>
        </w:tc>
        <w:tc>
          <w:tcPr>
            <w:tcW w:w="720" w:type="dxa"/>
            <w:noWrap w:val="0"/>
            <w:vAlign w:val="top"/>
          </w:tcPr>
          <w:p w14:paraId="7A0FB37D">
            <w:pPr>
              <w:adjustRightInd w:val="0"/>
              <w:snapToGrid w:val="0"/>
              <w:spacing w:line="360" w:lineRule="exact"/>
              <w:jc w:val="center"/>
              <w:rPr>
                <w:rFonts w:hint="eastAsia" w:ascii="宋体" w:hAnsi="宋体"/>
                <w:sz w:val="21"/>
              </w:rPr>
            </w:pPr>
          </w:p>
        </w:tc>
        <w:tc>
          <w:tcPr>
            <w:tcW w:w="720" w:type="dxa"/>
            <w:noWrap w:val="0"/>
            <w:vAlign w:val="top"/>
          </w:tcPr>
          <w:p w14:paraId="6E9186CF">
            <w:pPr>
              <w:adjustRightInd w:val="0"/>
              <w:snapToGrid w:val="0"/>
              <w:spacing w:line="360" w:lineRule="exact"/>
              <w:jc w:val="center"/>
              <w:rPr>
                <w:rFonts w:hint="eastAsia" w:ascii="宋体" w:hAnsi="宋体"/>
                <w:sz w:val="21"/>
              </w:rPr>
            </w:pPr>
          </w:p>
        </w:tc>
        <w:tc>
          <w:tcPr>
            <w:tcW w:w="720" w:type="dxa"/>
            <w:noWrap w:val="0"/>
            <w:vAlign w:val="top"/>
          </w:tcPr>
          <w:p w14:paraId="0EF0FA65">
            <w:pPr>
              <w:adjustRightInd w:val="0"/>
              <w:snapToGrid w:val="0"/>
              <w:spacing w:line="360" w:lineRule="exact"/>
              <w:jc w:val="center"/>
              <w:rPr>
                <w:rFonts w:hint="eastAsia" w:ascii="宋体" w:hAnsi="宋体"/>
                <w:sz w:val="21"/>
              </w:rPr>
            </w:pPr>
          </w:p>
        </w:tc>
        <w:tc>
          <w:tcPr>
            <w:tcW w:w="2235" w:type="dxa"/>
            <w:noWrap w:val="0"/>
            <w:vAlign w:val="top"/>
          </w:tcPr>
          <w:p w14:paraId="558D1CB3">
            <w:pPr>
              <w:adjustRightInd w:val="0"/>
              <w:snapToGrid w:val="0"/>
              <w:spacing w:line="360" w:lineRule="exact"/>
              <w:rPr>
                <w:rFonts w:hint="eastAsia" w:ascii="宋体" w:hAnsi="宋体"/>
                <w:sz w:val="21"/>
              </w:rPr>
            </w:pPr>
          </w:p>
        </w:tc>
      </w:tr>
      <w:tr w14:paraId="43F1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23F8D6F4">
            <w:pPr>
              <w:adjustRightInd w:val="0"/>
              <w:snapToGrid w:val="0"/>
              <w:spacing w:line="360" w:lineRule="exact"/>
              <w:jc w:val="center"/>
              <w:rPr>
                <w:rFonts w:hint="eastAsia" w:ascii="宋体" w:hAnsi="宋体"/>
                <w:sz w:val="21"/>
              </w:rPr>
            </w:pPr>
          </w:p>
        </w:tc>
        <w:tc>
          <w:tcPr>
            <w:tcW w:w="1924" w:type="dxa"/>
            <w:noWrap w:val="0"/>
            <w:vAlign w:val="top"/>
          </w:tcPr>
          <w:p w14:paraId="099229F8">
            <w:pPr>
              <w:adjustRightInd w:val="0"/>
              <w:snapToGrid w:val="0"/>
              <w:spacing w:line="360" w:lineRule="exact"/>
              <w:rPr>
                <w:rFonts w:hint="eastAsia" w:ascii="宋体" w:hAnsi="宋体"/>
                <w:sz w:val="21"/>
              </w:rPr>
            </w:pPr>
          </w:p>
        </w:tc>
        <w:tc>
          <w:tcPr>
            <w:tcW w:w="1236" w:type="dxa"/>
            <w:noWrap w:val="0"/>
            <w:vAlign w:val="top"/>
          </w:tcPr>
          <w:p w14:paraId="2700978F">
            <w:pPr>
              <w:adjustRightInd w:val="0"/>
              <w:snapToGrid w:val="0"/>
              <w:spacing w:line="360" w:lineRule="exact"/>
              <w:rPr>
                <w:rFonts w:hint="eastAsia" w:ascii="宋体" w:hAnsi="宋体"/>
                <w:sz w:val="21"/>
              </w:rPr>
            </w:pPr>
          </w:p>
        </w:tc>
        <w:tc>
          <w:tcPr>
            <w:tcW w:w="720" w:type="dxa"/>
            <w:noWrap w:val="0"/>
            <w:vAlign w:val="top"/>
          </w:tcPr>
          <w:p w14:paraId="671EC002">
            <w:pPr>
              <w:adjustRightInd w:val="0"/>
              <w:snapToGrid w:val="0"/>
              <w:spacing w:line="360" w:lineRule="exact"/>
              <w:jc w:val="center"/>
              <w:rPr>
                <w:rFonts w:hint="eastAsia" w:ascii="宋体" w:hAnsi="宋体"/>
                <w:sz w:val="21"/>
              </w:rPr>
            </w:pPr>
          </w:p>
        </w:tc>
        <w:tc>
          <w:tcPr>
            <w:tcW w:w="720" w:type="dxa"/>
            <w:noWrap w:val="0"/>
            <w:vAlign w:val="top"/>
          </w:tcPr>
          <w:p w14:paraId="7361A6B3">
            <w:pPr>
              <w:adjustRightInd w:val="0"/>
              <w:snapToGrid w:val="0"/>
              <w:spacing w:line="360" w:lineRule="exact"/>
              <w:jc w:val="center"/>
              <w:rPr>
                <w:rFonts w:hint="eastAsia" w:ascii="宋体" w:hAnsi="宋体"/>
                <w:sz w:val="21"/>
              </w:rPr>
            </w:pPr>
          </w:p>
        </w:tc>
        <w:tc>
          <w:tcPr>
            <w:tcW w:w="720" w:type="dxa"/>
            <w:noWrap w:val="0"/>
            <w:vAlign w:val="top"/>
          </w:tcPr>
          <w:p w14:paraId="796176A3">
            <w:pPr>
              <w:adjustRightInd w:val="0"/>
              <w:snapToGrid w:val="0"/>
              <w:spacing w:line="360" w:lineRule="exact"/>
              <w:jc w:val="center"/>
              <w:rPr>
                <w:rFonts w:hint="eastAsia" w:ascii="宋体" w:hAnsi="宋体"/>
                <w:sz w:val="21"/>
              </w:rPr>
            </w:pPr>
          </w:p>
        </w:tc>
        <w:tc>
          <w:tcPr>
            <w:tcW w:w="720" w:type="dxa"/>
            <w:noWrap w:val="0"/>
            <w:vAlign w:val="top"/>
          </w:tcPr>
          <w:p w14:paraId="4889097E">
            <w:pPr>
              <w:adjustRightInd w:val="0"/>
              <w:snapToGrid w:val="0"/>
              <w:spacing w:line="360" w:lineRule="exact"/>
              <w:jc w:val="center"/>
              <w:rPr>
                <w:rFonts w:hint="eastAsia" w:ascii="宋体" w:hAnsi="宋体"/>
                <w:sz w:val="21"/>
              </w:rPr>
            </w:pPr>
          </w:p>
        </w:tc>
        <w:tc>
          <w:tcPr>
            <w:tcW w:w="2235" w:type="dxa"/>
            <w:noWrap w:val="0"/>
            <w:vAlign w:val="top"/>
          </w:tcPr>
          <w:p w14:paraId="791AA67B">
            <w:pPr>
              <w:adjustRightInd w:val="0"/>
              <w:snapToGrid w:val="0"/>
              <w:spacing w:line="360" w:lineRule="exact"/>
              <w:rPr>
                <w:rFonts w:hint="eastAsia" w:ascii="宋体" w:hAnsi="宋体"/>
                <w:sz w:val="21"/>
              </w:rPr>
            </w:pPr>
          </w:p>
        </w:tc>
      </w:tr>
    </w:tbl>
    <w:p w14:paraId="1A3347AF">
      <w:pPr>
        <w:adjustRightInd w:val="0"/>
        <w:snapToGrid w:val="0"/>
        <w:spacing w:line="460" w:lineRule="exact"/>
        <w:ind w:firstLine="420" w:firstLineChars="200"/>
        <w:rPr>
          <w:rFonts w:hint="eastAsia" w:ascii="宋体" w:hAnsi="宋体"/>
        </w:rPr>
      </w:pPr>
      <w:r>
        <w:rPr>
          <w:rFonts w:hint="eastAsia" w:ascii="宋体" w:hAnsi="宋体"/>
        </w:rPr>
        <w:t>6.2  备品备件、易损件和专用耗材明细表：</w:t>
      </w:r>
    </w:p>
    <w:p w14:paraId="4C8F0959">
      <w:pPr>
        <w:adjustRightInd w:val="0"/>
        <w:snapToGrid w:val="0"/>
        <w:spacing w:line="460" w:lineRule="exact"/>
        <w:ind w:firstLine="1890" w:firstLineChars="900"/>
        <w:rPr>
          <w:rFonts w:hint="eastAsia" w:ascii="宋体" w:hAnsi="宋体"/>
        </w:rPr>
      </w:pPr>
      <w:r>
        <w:rPr>
          <w:rFonts w:hint="eastAsia" w:ascii="宋体" w:hAnsi="宋体"/>
        </w:rPr>
        <w:t xml:space="preserve">备品备件、易损件和专用耗材明细表             </w:t>
      </w:r>
      <w:r>
        <w:rPr>
          <w:rFonts w:hint="eastAsia" w:ascii="宋体" w:hAnsi="宋体"/>
          <w:sz w:val="21"/>
        </w:rPr>
        <w:t>单位：元</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924"/>
        <w:gridCol w:w="1236"/>
        <w:gridCol w:w="720"/>
        <w:gridCol w:w="720"/>
        <w:gridCol w:w="720"/>
        <w:gridCol w:w="720"/>
        <w:gridCol w:w="2235"/>
      </w:tblGrid>
      <w:tr w14:paraId="7657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37F27E18">
            <w:pPr>
              <w:adjustRightInd w:val="0"/>
              <w:snapToGrid w:val="0"/>
              <w:spacing w:line="360" w:lineRule="exact"/>
              <w:jc w:val="center"/>
              <w:rPr>
                <w:rFonts w:hint="eastAsia" w:ascii="宋体" w:hAnsi="宋体"/>
                <w:sz w:val="21"/>
              </w:rPr>
            </w:pPr>
            <w:r>
              <w:rPr>
                <w:rFonts w:hint="eastAsia" w:ascii="宋体" w:hAnsi="宋体"/>
                <w:sz w:val="21"/>
              </w:rPr>
              <w:t>序号</w:t>
            </w:r>
          </w:p>
        </w:tc>
        <w:tc>
          <w:tcPr>
            <w:tcW w:w="1924" w:type="dxa"/>
            <w:noWrap w:val="0"/>
            <w:vAlign w:val="top"/>
          </w:tcPr>
          <w:p w14:paraId="623468B6">
            <w:pPr>
              <w:adjustRightInd w:val="0"/>
              <w:snapToGrid w:val="0"/>
              <w:spacing w:line="360" w:lineRule="exact"/>
              <w:jc w:val="center"/>
              <w:rPr>
                <w:rFonts w:hint="eastAsia" w:ascii="宋体" w:hAnsi="宋体"/>
                <w:sz w:val="21"/>
              </w:rPr>
            </w:pPr>
            <w:r>
              <w:rPr>
                <w:rFonts w:hint="eastAsia" w:ascii="宋体" w:hAnsi="宋体"/>
                <w:sz w:val="21"/>
              </w:rPr>
              <w:t>名称</w:t>
            </w:r>
          </w:p>
        </w:tc>
        <w:tc>
          <w:tcPr>
            <w:tcW w:w="1236" w:type="dxa"/>
            <w:noWrap w:val="0"/>
            <w:vAlign w:val="top"/>
          </w:tcPr>
          <w:p w14:paraId="09F80702">
            <w:pPr>
              <w:adjustRightInd w:val="0"/>
              <w:snapToGrid w:val="0"/>
              <w:spacing w:line="360" w:lineRule="exact"/>
              <w:jc w:val="center"/>
              <w:rPr>
                <w:rFonts w:hint="eastAsia" w:ascii="宋体" w:hAnsi="宋体"/>
                <w:sz w:val="21"/>
              </w:rPr>
            </w:pPr>
            <w:r>
              <w:rPr>
                <w:rFonts w:hint="eastAsia" w:ascii="宋体" w:hAnsi="宋体"/>
                <w:sz w:val="21"/>
              </w:rPr>
              <w:t>型号规格</w:t>
            </w:r>
          </w:p>
        </w:tc>
        <w:tc>
          <w:tcPr>
            <w:tcW w:w="720" w:type="dxa"/>
            <w:noWrap w:val="0"/>
            <w:vAlign w:val="top"/>
          </w:tcPr>
          <w:p w14:paraId="0C8B2F5C">
            <w:pPr>
              <w:adjustRightInd w:val="0"/>
              <w:snapToGrid w:val="0"/>
              <w:spacing w:line="360" w:lineRule="exact"/>
              <w:jc w:val="center"/>
              <w:rPr>
                <w:rFonts w:hint="eastAsia" w:ascii="宋体" w:hAnsi="宋体"/>
                <w:sz w:val="21"/>
              </w:rPr>
            </w:pPr>
            <w:r>
              <w:rPr>
                <w:rFonts w:hint="eastAsia" w:ascii="宋体" w:hAnsi="宋体"/>
                <w:sz w:val="21"/>
              </w:rPr>
              <w:t>单位</w:t>
            </w:r>
          </w:p>
        </w:tc>
        <w:tc>
          <w:tcPr>
            <w:tcW w:w="720" w:type="dxa"/>
            <w:noWrap w:val="0"/>
            <w:vAlign w:val="top"/>
          </w:tcPr>
          <w:p w14:paraId="4315C88D">
            <w:pPr>
              <w:adjustRightInd w:val="0"/>
              <w:snapToGrid w:val="0"/>
              <w:spacing w:line="360" w:lineRule="exact"/>
              <w:jc w:val="center"/>
              <w:rPr>
                <w:rFonts w:hint="eastAsia" w:ascii="宋体" w:hAnsi="宋体"/>
                <w:sz w:val="21"/>
              </w:rPr>
            </w:pPr>
            <w:r>
              <w:rPr>
                <w:rFonts w:hint="eastAsia" w:ascii="宋体" w:hAnsi="宋体"/>
                <w:sz w:val="21"/>
              </w:rPr>
              <w:t>数量</w:t>
            </w:r>
          </w:p>
        </w:tc>
        <w:tc>
          <w:tcPr>
            <w:tcW w:w="720" w:type="dxa"/>
            <w:noWrap w:val="0"/>
            <w:vAlign w:val="top"/>
          </w:tcPr>
          <w:p w14:paraId="6E01E57C">
            <w:pPr>
              <w:adjustRightInd w:val="0"/>
              <w:snapToGrid w:val="0"/>
              <w:spacing w:line="360" w:lineRule="exact"/>
              <w:jc w:val="center"/>
              <w:rPr>
                <w:rFonts w:hint="eastAsia" w:ascii="宋体" w:hAnsi="宋体"/>
                <w:sz w:val="21"/>
              </w:rPr>
            </w:pPr>
            <w:r>
              <w:rPr>
                <w:rFonts w:hint="eastAsia" w:ascii="宋体" w:hAnsi="宋体"/>
                <w:sz w:val="21"/>
              </w:rPr>
              <w:t>单价</w:t>
            </w:r>
          </w:p>
        </w:tc>
        <w:tc>
          <w:tcPr>
            <w:tcW w:w="720" w:type="dxa"/>
            <w:noWrap w:val="0"/>
            <w:vAlign w:val="top"/>
          </w:tcPr>
          <w:p w14:paraId="2EEE4634">
            <w:pPr>
              <w:adjustRightInd w:val="0"/>
              <w:snapToGrid w:val="0"/>
              <w:spacing w:line="360" w:lineRule="exact"/>
              <w:jc w:val="center"/>
              <w:rPr>
                <w:rFonts w:hint="eastAsia" w:ascii="宋体" w:hAnsi="宋体"/>
                <w:sz w:val="21"/>
              </w:rPr>
            </w:pPr>
            <w:r>
              <w:rPr>
                <w:rFonts w:hint="eastAsia" w:ascii="宋体" w:hAnsi="宋体"/>
                <w:sz w:val="21"/>
              </w:rPr>
              <w:t>总价</w:t>
            </w:r>
          </w:p>
        </w:tc>
        <w:tc>
          <w:tcPr>
            <w:tcW w:w="2235" w:type="dxa"/>
            <w:noWrap w:val="0"/>
            <w:vAlign w:val="top"/>
          </w:tcPr>
          <w:p w14:paraId="6AE71EFF">
            <w:pPr>
              <w:adjustRightInd w:val="0"/>
              <w:snapToGrid w:val="0"/>
              <w:spacing w:line="360" w:lineRule="exact"/>
              <w:jc w:val="center"/>
              <w:rPr>
                <w:rFonts w:hint="eastAsia" w:ascii="宋体" w:hAnsi="宋体"/>
                <w:sz w:val="21"/>
              </w:rPr>
            </w:pPr>
            <w:r>
              <w:rPr>
                <w:rFonts w:hint="eastAsia" w:ascii="宋体" w:hAnsi="宋体"/>
                <w:sz w:val="21"/>
              </w:rPr>
              <w:t>制造商</w:t>
            </w:r>
          </w:p>
        </w:tc>
      </w:tr>
      <w:tr w14:paraId="7FBA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18D7264F">
            <w:pPr>
              <w:adjustRightInd w:val="0"/>
              <w:snapToGrid w:val="0"/>
              <w:spacing w:line="360" w:lineRule="exact"/>
              <w:jc w:val="center"/>
              <w:rPr>
                <w:rFonts w:hint="eastAsia" w:ascii="宋体" w:hAnsi="宋体"/>
                <w:sz w:val="21"/>
              </w:rPr>
            </w:pPr>
          </w:p>
        </w:tc>
        <w:tc>
          <w:tcPr>
            <w:tcW w:w="1924" w:type="dxa"/>
            <w:noWrap w:val="0"/>
            <w:vAlign w:val="top"/>
          </w:tcPr>
          <w:p w14:paraId="7B55D291">
            <w:pPr>
              <w:adjustRightInd w:val="0"/>
              <w:snapToGrid w:val="0"/>
              <w:spacing w:line="360" w:lineRule="exact"/>
              <w:rPr>
                <w:rFonts w:hint="eastAsia" w:ascii="宋体" w:hAnsi="宋体"/>
                <w:sz w:val="21"/>
              </w:rPr>
            </w:pPr>
          </w:p>
        </w:tc>
        <w:tc>
          <w:tcPr>
            <w:tcW w:w="1236" w:type="dxa"/>
            <w:noWrap w:val="0"/>
            <w:vAlign w:val="top"/>
          </w:tcPr>
          <w:p w14:paraId="398F1C92">
            <w:pPr>
              <w:adjustRightInd w:val="0"/>
              <w:snapToGrid w:val="0"/>
              <w:spacing w:line="360" w:lineRule="exact"/>
              <w:rPr>
                <w:rFonts w:hint="eastAsia" w:ascii="宋体" w:hAnsi="宋体"/>
                <w:sz w:val="21"/>
              </w:rPr>
            </w:pPr>
          </w:p>
        </w:tc>
        <w:tc>
          <w:tcPr>
            <w:tcW w:w="720" w:type="dxa"/>
            <w:noWrap w:val="0"/>
            <w:vAlign w:val="top"/>
          </w:tcPr>
          <w:p w14:paraId="7C379DCB">
            <w:pPr>
              <w:adjustRightInd w:val="0"/>
              <w:snapToGrid w:val="0"/>
              <w:spacing w:line="360" w:lineRule="exact"/>
              <w:jc w:val="center"/>
              <w:rPr>
                <w:rFonts w:hint="eastAsia" w:ascii="宋体" w:hAnsi="宋体"/>
                <w:sz w:val="21"/>
              </w:rPr>
            </w:pPr>
          </w:p>
        </w:tc>
        <w:tc>
          <w:tcPr>
            <w:tcW w:w="720" w:type="dxa"/>
            <w:noWrap w:val="0"/>
            <w:vAlign w:val="top"/>
          </w:tcPr>
          <w:p w14:paraId="6ECB6FC8">
            <w:pPr>
              <w:adjustRightInd w:val="0"/>
              <w:snapToGrid w:val="0"/>
              <w:spacing w:line="360" w:lineRule="exact"/>
              <w:jc w:val="center"/>
              <w:rPr>
                <w:rFonts w:hint="eastAsia" w:ascii="宋体" w:hAnsi="宋体"/>
                <w:sz w:val="21"/>
              </w:rPr>
            </w:pPr>
          </w:p>
        </w:tc>
        <w:tc>
          <w:tcPr>
            <w:tcW w:w="720" w:type="dxa"/>
            <w:noWrap w:val="0"/>
            <w:vAlign w:val="top"/>
          </w:tcPr>
          <w:p w14:paraId="356CB5F6">
            <w:pPr>
              <w:adjustRightInd w:val="0"/>
              <w:snapToGrid w:val="0"/>
              <w:spacing w:line="360" w:lineRule="exact"/>
              <w:jc w:val="center"/>
              <w:rPr>
                <w:rFonts w:hint="eastAsia" w:ascii="宋体" w:hAnsi="宋体"/>
                <w:sz w:val="21"/>
              </w:rPr>
            </w:pPr>
          </w:p>
        </w:tc>
        <w:tc>
          <w:tcPr>
            <w:tcW w:w="720" w:type="dxa"/>
            <w:noWrap w:val="0"/>
            <w:vAlign w:val="top"/>
          </w:tcPr>
          <w:p w14:paraId="7C1FEA87">
            <w:pPr>
              <w:adjustRightInd w:val="0"/>
              <w:snapToGrid w:val="0"/>
              <w:spacing w:line="360" w:lineRule="exact"/>
              <w:jc w:val="center"/>
              <w:rPr>
                <w:rFonts w:hint="eastAsia" w:ascii="宋体" w:hAnsi="宋体"/>
                <w:sz w:val="21"/>
              </w:rPr>
            </w:pPr>
          </w:p>
        </w:tc>
        <w:tc>
          <w:tcPr>
            <w:tcW w:w="2235" w:type="dxa"/>
            <w:noWrap w:val="0"/>
            <w:vAlign w:val="top"/>
          </w:tcPr>
          <w:p w14:paraId="39F1075C">
            <w:pPr>
              <w:adjustRightInd w:val="0"/>
              <w:snapToGrid w:val="0"/>
              <w:spacing w:line="360" w:lineRule="exact"/>
              <w:rPr>
                <w:rFonts w:hint="eastAsia" w:ascii="宋体" w:hAnsi="宋体"/>
                <w:sz w:val="21"/>
              </w:rPr>
            </w:pPr>
          </w:p>
        </w:tc>
      </w:tr>
      <w:tr w14:paraId="7563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4663511E">
            <w:pPr>
              <w:adjustRightInd w:val="0"/>
              <w:snapToGrid w:val="0"/>
              <w:spacing w:line="360" w:lineRule="exact"/>
              <w:jc w:val="center"/>
              <w:rPr>
                <w:rFonts w:hint="eastAsia" w:ascii="宋体" w:hAnsi="宋体"/>
                <w:sz w:val="21"/>
              </w:rPr>
            </w:pPr>
          </w:p>
        </w:tc>
        <w:tc>
          <w:tcPr>
            <w:tcW w:w="1924" w:type="dxa"/>
            <w:noWrap w:val="0"/>
            <w:vAlign w:val="top"/>
          </w:tcPr>
          <w:p w14:paraId="7E335E5B">
            <w:pPr>
              <w:adjustRightInd w:val="0"/>
              <w:snapToGrid w:val="0"/>
              <w:spacing w:line="360" w:lineRule="exact"/>
              <w:rPr>
                <w:rFonts w:hint="eastAsia" w:ascii="宋体" w:hAnsi="宋体"/>
                <w:sz w:val="21"/>
              </w:rPr>
            </w:pPr>
          </w:p>
        </w:tc>
        <w:tc>
          <w:tcPr>
            <w:tcW w:w="1236" w:type="dxa"/>
            <w:noWrap w:val="0"/>
            <w:vAlign w:val="top"/>
          </w:tcPr>
          <w:p w14:paraId="791A64D7">
            <w:pPr>
              <w:adjustRightInd w:val="0"/>
              <w:snapToGrid w:val="0"/>
              <w:spacing w:line="360" w:lineRule="exact"/>
              <w:rPr>
                <w:rFonts w:hint="eastAsia" w:ascii="宋体" w:hAnsi="宋体"/>
                <w:sz w:val="21"/>
              </w:rPr>
            </w:pPr>
          </w:p>
        </w:tc>
        <w:tc>
          <w:tcPr>
            <w:tcW w:w="720" w:type="dxa"/>
            <w:noWrap w:val="0"/>
            <w:vAlign w:val="top"/>
          </w:tcPr>
          <w:p w14:paraId="5C4F9E47">
            <w:pPr>
              <w:adjustRightInd w:val="0"/>
              <w:snapToGrid w:val="0"/>
              <w:spacing w:line="360" w:lineRule="exact"/>
              <w:jc w:val="center"/>
              <w:rPr>
                <w:rFonts w:hint="eastAsia" w:ascii="宋体" w:hAnsi="宋体"/>
                <w:sz w:val="21"/>
              </w:rPr>
            </w:pPr>
          </w:p>
        </w:tc>
        <w:tc>
          <w:tcPr>
            <w:tcW w:w="720" w:type="dxa"/>
            <w:noWrap w:val="0"/>
            <w:vAlign w:val="top"/>
          </w:tcPr>
          <w:p w14:paraId="5A4D2F7E">
            <w:pPr>
              <w:adjustRightInd w:val="0"/>
              <w:snapToGrid w:val="0"/>
              <w:spacing w:line="360" w:lineRule="exact"/>
              <w:jc w:val="center"/>
              <w:rPr>
                <w:rFonts w:hint="eastAsia" w:ascii="宋体" w:hAnsi="宋体"/>
                <w:sz w:val="21"/>
              </w:rPr>
            </w:pPr>
          </w:p>
        </w:tc>
        <w:tc>
          <w:tcPr>
            <w:tcW w:w="720" w:type="dxa"/>
            <w:noWrap w:val="0"/>
            <w:vAlign w:val="top"/>
          </w:tcPr>
          <w:p w14:paraId="60455550">
            <w:pPr>
              <w:adjustRightInd w:val="0"/>
              <w:snapToGrid w:val="0"/>
              <w:spacing w:line="360" w:lineRule="exact"/>
              <w:jc w:val="center"/>
              <w:rPr>
                <w:rFonts w:hint="eastAsia" w:ascii="宋体" w:hAnsi="宋体"/>
                <w:sz w:val="21"/>
              </w:rPr>
            </w:pPr>
          </w:p>
        </w:tc>
        <w:tc>
          <w:tcPr>
            <w:tcW w:w="720" w:type="dxa"/>
            <w:noWrap w:val="0"/>
            <w:vAlign w:val="top"/>
          </w:tcPr>
          <w:p w14:paraId="753DBD47">
            <w:pPr>
              <w:adjustRightInd w:val="0"/>
              <w:snapToGrid w:val="0"/>
              <w:spacing w:line="360" w:lineRule="exact"/>
              <w:jc w:val="center"/>
              <w:rPr>
                <w:rFonts w:hint="eastAsia" w:ascii="宋体" w:hAnsi="宋体"/>
                <w:sz w:val="21"/>
              </w:rPr>
            </w:pPr>
          </w:p>
        </w:tc>
        <w:tc>
          <w:tcPr>
            <w:tcW w:w="2235" w:type="dxa"/>
            <w:noWrap w:val="0"/>
            <w:vAlign w:val="top"/>
          </w:tcPr>
          <w:p w14:paraId="13A1FAC8">
            <w:pPr>
              <w:adjustRightInd w:val="0"/>
              <w:snapToGrid w:val="0"/>
              <w:spacing w:line="360" w:lineRule="exact"/>
              <w:rPr>
                <w:rFonts w:hint="eastAsia" w:ascii="宋体" w:hAnsi="宋体"/>
                <w:sz w:val="21"/>
              </w:rPr>
            </w:pPr>
          </w:p>
        </w:tc>
      </w:tr>
      <w:tr w14:paraId="3311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0A012BB3">
            <w:pPr>
              <w:adjustRightInd w:val="0"/>
              <w:snapToGrid w:val="0"/>
              <w:spacing w:line="360" w:lineRule="exact"/>
              <w:jc w:val="center"/>
              <w:rPr>
                <w:rFonts w:hint="eastAsia" w:ascii="宋体" w:hAnsi="宋体"/>
                <w:sz w:val="21"/>
              </w:rPr>
            </w:pPr>
          </w:p>
        </w:tc>
        <w:tc>
          <w:tcPr>
            <w:tcW w:w="1924" w:type="dxa"/>
            <w:noWrap w:val="0"/>
            <w:vAlign w:val="top"/>
          </w:tcPr>
          <w:p w14:paraId="30DE5F4A">
            <w:pPr>
              <w:adjustRightInd w:val="0"/>
              <w:snapToGrid w:val="0"/>
              <w:spacing w:line="360" w:lineRule="exact"/>
              <w:rPr>
                <w:rFonts w:hint="eastAsia" w:ascii="宋体" w:hAnsi="宋体"/>
                <w:sz w:val="21"/>
              </w:rPr>
            </w:pPr>
          </w:p>
        </w:tc>
        <w:tc>
          <w:tcPr>
            <w:tcW w:w="1236" w:type="dxa"/>
            <w:noWrap w:val="0"/>
            <w:vAlign w:val="top"/>
          </w:tcPr>
          <w:p w14:paraId="7B08E811">
            <w:pPr>
              <w:adjustRightInd w:val="0"/>
              <w:snapToGrid w:val="0"/>
              <w:spacing w:line="360" w:lineRule="exact"/>
              <w:rPr>
                <w:rFonts w:hint="eastAsia" w:ascii="宋体" w:hAnsi="宋体"/>
                <w:sz w:val="21"/>
              </w:rPr>
            </w:pPr>
          </w:p>
        </w:tc>
        <w:tc>
          <w:tcPr>
            <w:tcW w:w="720" w:type="dxa"/>
            <w:noWrap w:val="0"/>
            <w:vAlign w:val="top"/>
          </w:tcPr>
          <w:p w14:paraId="6F8C8FC2">
            <w:pPr>
              <w:adjustRightInd w:val="0"/>
              <w:snapToGrid w:val="0"/>
              <w:spacing w:line="360" w:lineRule="exact"/>
              <w:jc w:val="center"/>
              <w:rPr>
                <w:rFonts w:hint="eastAsia" w:ascii="宋体" w:hAnsi="宋体"/>
                <w:sz w:val="21"/>
              </w:rPr>
            </w:pPr>
          </w:p>
        </w:tc>
        <w:tc>
          <w:tcPr>
            <w:tcW w:w="720" w:type="dxa"/>
            <w:noWrap w:val="0"/>
            <w:vAlign w:val="top"/>
          </w:tcPr>
          <w:p w14:paraId="7206AE39">
            <w:pPr>
              <w:adjustRightInd w:val="0"/>
              <w:snapToGrid w:val="0"/>
              <w:spacing w:line="360" w:lineRule="exact"/>
              <w:jc w:val="center"/>
              <w:rPr>
                <w:rFonts w:hint="eastAsia" w:ascii="宋体" w:hAnsi="宋体"/>
                <w:sz w:val="21"/>
              </w:rPr>
            </w:pPr>
          </w:p>
        </w:tc>
        <w:tc>
          <w:tcPr>
            <w:tcW w:w="720" w:type="dxa"/>
            <w:noWrap w:val="0"/>
            <w:vAlign w:val="top"/>
          </w:tcPr>
          <w:p w14:paraId="6E483C0A">
            <w:pPr>
              <w:adjustRightInd w:val="0"/>
              <w:snapToGrid w:val="0"/>
              <w:spacing w:line="360" w:lineRule="exact"/>
              <w:jc w:val="center"/>
              <w:rPr>
                <w:rFonts w:hint="eastAsia" w:ascii="宋体" w:hAnsi="宋体"/>
                <w:sz w:val="21"/>
              </w:rPr>
            </w:pPr>
          </w:p>
        </w:tc>
        <w:tc>
          <w:tcPr>
            <w:tcW w:w="720" w:type="dxa"/>
            <w:noWrap w:val="0"/>
            <w:vAlign w:val="top"/>
          </w:tcPr>
          <w:p w14:paraId="2139E5DF">
            <w:pPr>
              <w:adjustRightInd w:val="0"/>
              <w:snapToGrid w:val="0"/>
              <w:spacing w:line="360" w:lineRule="exact"/>
              <w:jc w:val="center"/>
              <w:rPr>
                <w:rFonts w:hint="eastAsia" w:ascii="宋体" w:hAnsi="宋体"/>
                <w:sz w:val="21"/>
              </w:rPr>
            </w:pPr>
          </w:p>
        </w:tc>
        <w:tc>
          <w:tcPr>
            <w:tcW w:w="2235" w:type="dxa"/>
            <w:noWrap w:val="0"/>
            <w:vAlign w:val="top"/>
          </w:tcPr>
          <w:p w14:paraId="5DC271A2">
            <w:pPr>
              <w:adjustRightInd w:val="0"/>
              <w:snapToGrid w:val="0"/>
              <w:spacing w:line="360" w:lineRule="exact"/>
              <w:rPr>
                <w:rFonts w:hint="eastAsia" w:ascii="宋体" w:hAnsi="宋体"/>
                <w:sz w:val="21"/>
              </w:rPr>
            </w:pPr>
          </w:p>
        </w:tc>
      </w:tr>
      <w:tr w14:paraId="6AA6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5F5FAB0B">
            <w:pPr>
              <w:adjustRightInd w:val="0"/>
              <w:snapToGrid w:val="0"/>
              <w:spacing w:line="360" w:lineRule="exact"/>
              <w:jc w:val="center"/>
              <w:rPr>
                <w:rFonts w:hint="eastAsia" w:ascii="宋体" w:hAnsi="宋体"/>
                <w:sz w:val="21"/>
              </w:rPr>
            </w:pPr>
          </w:p>
        </w:tc>
        <w:tc>
          <w:tcPr>
            <w:tcW w:w="1924" w:type="dxa"/>
            <w:noWrap w:val="0"/>
            <w:vAlign w:val="top"/>
          </w:tcPr>
          <w:p w14:paraId="54750DA5">
            <w:pPr>
              <w:adjustRightInd w:val="0"/>
              <w:snapToGrid w:val="0"/>
              <w:spacing w:line="360" w:lineRule="exact"/>
              <w:rPr>
                <w:rFonts w:hint="eastAsia" w:ascii="宋体" w:hAnsi="宋体"/>
                <w:sz w:val="21"/>
              </w:rPr>
            </w:pPr>
          </w:p>
        </w:tc>
        <w:tc>
          <w:tcPr>
            <w:tcW w:w="1236" w:type="dxa"/>
            <w:noWrap w:val="0"/>
            <w:vAlign w:val="top"/>
          </w:tcPr>
          <w:p w14:paraId="39C5DC47">
            <w:pPr>
              <w:adjustRightInd w:val="0"/>
              <w:snapToGrid w:val="0"/>
              <w:spacing w:line="360" w:lineRule="exact"/>
              <w:rPr>
                <w:rFonts w:hint="eastAsia" w:ascii="宋体" w:hAnsi="宋体"/>
                <w:sz w:val="21"/>
              </w:rPr>
            </w:pPr>
          </w:p>
        </w:tc>
        <w:tc>
          <w:tcPr>
            <w:tcW w:w="720" w:type="dxa"/>
            <w:noWrap w:val="0"/>
            <w:vAlign w:val="top"/>
          </w:tcPr>
          <w:p w14:paraId="3BEA91C4">
            <w:pPr>
              <w:adjustRightInd w:val="0"/>
              <w:snapToGrid w:val="0"/>
              <w:spacing w:line="360" w:lineRule="exact"/>
              <w:jc w:val="center"/>
              <w:rPr>
                <w:rFonts w:hint="eastAsia" w:ascii="宋体" w:hAnsi="宋体"/>
                <w:sz w:val="21"/>
              </w:rPr>
            </w:pPr>
          </w:p>
        </w:tc>
        <w:tc>
          <w:tcPr>
            <w:tcW w:w="720" w:type="dxa"/>
            <w:noWrap w:val="0"/>
            <w:vAlign w:val="top"/>
          </w:tcPr>
          <w:p w14:paraId="109F430B">
            <w:pPr>
              <w:adjustRightInd w:val="0"/>
              <w:snapToGrid w:val="0"/>
              <w:spacing w:line="360" w:lineRule="exact"/>
              <w:jc w:val="center"/>
              <w:rPr>
                <w:rFonts w:hint="eastAsia" w:ascii="宋体" w:hAnsi="宋体"/>
                <w:sz w:val="21"/>
              </w:rPr>
            </w:pPr>
          </w:p>
        </w:tc>
        <w:tc>
          <w:tcPr>
            <w:tcW w:w="720" w:type="dxa"/>
            <w:noWrap w:val="0"/>
            <w:vAlign w:val="top"/>
          </w:tcPr>
          <w:p w14:paraId="75CE3D0D">
            <w:pPr>
              <w:adjustRightInd w:val="0"/>
              <w:snapToGrid w:val="0"/>
              <w:spacing w:line="360" w:lineRule="exact"/>
              <w:jc w:val="center"/>
              <w:rPr>
                <w:rFonts w:hint="eastAsia" w:ascii="宋体" w:hAnsi="宋体"/>
                <w:sz w:val="21"/>
              </w:rPr>
            </w:pPr>
          </w:p>
        </w:tc>
        <w:tc>
          <w:tcPr>
            <w:tcW w:w="720" w:type="dxa"/>
            <w:noWrap w:val="0"/>
            <w:vAlign w:val="top"/>
          </w:tcPr>
          <w:p w14:paraId="5358B531">
            <w:pPr>
              <w:adjustRightInd w:val="0"/>
              <w:snapToGrid w:val="0"/>
              <w:spacing w:line="360" w:lineRule="exact"/>
              <w:jc w:val="center"/>
              <w:rPr>
                <w:rFonts w:hint="eastAsia" w:ascii="宋体" w:hAnsi="宋体"/>
                <w:sz w:val="21"/>
              </w:rPr>
            </w:pPr>
          </w:p>
        </w:tc>
        <w:tc>
          <w:tcPr>
            <w:tcW w:w="2235" w:type="dxa"/>
            <w:noWrap w:val="0"/>
            <w:vAlign w:val="top"/>
          </w:tcPr>
          <w:p w14:paraId="217A292F">
            <w:pPr>
              <w:adjustRightInd w:val="0"/>
              <w:snapToGrid w:val="0"/>
              <w:spacing w:line="360" w:lineRule="exact"/>
              <w:rPr>
                <w:rFonts w:hint="eastAsia" w:ascii="宋体" w:hAnsi="宋体"/>
                <w:sz w:val="21"/>
              </w:rPr>
            </w:pPr>
          </w:p>
        </w:tc>
      </w:tr>
      <w:tr w14:paraId="1A12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2948CFBE">
            <w:pPr>
              <w:adjustRightInd w:val="0"/>
              <w:snapToGrid w:val="0"/>
              <w:spacing w:line="360" w:lineRule="exact"/>
              <w:jc w:val="center"/>
              <w:rPr>
                <w:rFonts w:hint="eastAsia" w:ascii="宋体" w:hAnsi="宋体"/>
                <w:sz w:val="21"/>
              </w:rPr>
            </w:pPr>
          </w:p>
        </w:tc>
        <w:tc>
          <w:tcPr>
            <w:tcW w:w="1924" w:type="dxa"/>
            <w:noWrap w:val="0"/>
            <w:vAlign w:val="top"/>
          </w:tcPr>
          <w:p w14:paraId="2DB7C60E">
            <w:pPr>
              <w:adjustRightInd w:val="0"/>
              <w:snapToGrid w:val="0"/>
              <w:spacing w:line="360" w:lineRule="exact"/>
              <w:rPr>
                <w:rFonts w:hint="eastAsia" w:ascii="宋体" w:hAnsi="宋体"/>
                <w:sz w:val="21"/>
              </w:rPr>
            </w:pPr>
          </w:p>
        </w:tc>
        <w:tc>
          <w:tcPr>
            <w:tcW w:w="1236" w:type="dxa"/>
            <w:noWrap w:val="0"/>
            <w:vAlign w:val="top"/>
          </w:tcPr>
          <w:p w14:paraId="7CFF3DBE">
            <w:pPr>
              <w:adjustRightInd w:val="0"/>
              <w:snapToGrid w:val="0"/>
              <w:spacing w:line="360" w:lineRule="exact"/>
              <w:rPr>
                <w:rFonts w:hint="eastAsia" w:ascii="宋体" w:hAnsi="宋体"/>
                <w:sz w:val="21"/>
              </w:rPr>
            </w:pPr>
          </w:p>
        </w:tc>
        <w:tc>
          <w:tcPr>
            <w:tcW w:w="720" w:type="dxa"/>
            <w:noWrap w:val="0"/>
            <w:vAlign w:val="top"/>
          </w:tcPr>
          <w:p w14:paraId="5FD1A5EF">
            <w:pPr>
              <w:adjustRightInd w:val="0"/>
              <w:snapToGrid w:val="0"/>
              <w:spacing w:line="360" w:lineRule="exact"/>
              <w:jc w:val="center"/>
              <w:rPr>
                <w:rFonts w:hint="eastAsia" w:ascii="宋体" w:hAnsi="宋体"/>
                <w:sz w:val="21"/>
              </w:rPr>
            </w:pPr>
          </w:p>
        </w:tc>
        <w:tc>
          <w:tcPr>
            <w:tcW w:w="720" w:type="dxa"/>
            <w:noWrap w:val="0"/>
            <w:vAlign w:val="top"/>
          </w:tcPr>
          <w:p w14:paraId="74FD13AA">
            <w:pPr>
              <w:adjustRightInd w:val="0"/>
              <w:snapToGrid w:val="0"/>
              <w:spacing w:line="360" w:lineRule="exact"/>
              <w:jc w:val="center"/>
              <w:rPr>
                <w:rFonts w:hint="eastAsia" w:ascii="宋体" w:hAnsi="宋体"/>
                <w:sz w:val="21"/>
              </w:rPr>
            </w:pPr>
          </w:p>
        </w:tc>
        <w:tc>
          <w:tcPr>
            <w:tcW w:w="720" w:type="dxa"/>
            <w:noWrap w:val="0"/>
            <w:vAlign w:val="top"/>
          </w:tcPr>
          <w:p w14:paraId="7F798889">
            <w:pPr>
              <w:adjustRightInd w:val="0"/>
              <w:snapToGrid w:val="0"/>
              <w:spacing w:line="360" w:lineRule="exact"/>
              <w:jc w:val="center"/>
              <w:rPr>
                <w:rFonts w:hint="eastAsia" w:ascii="宋体" w:hAnsi="宋体"/>
                <w:sz w:val="21"/>
              </w:rPr>
            </w:pPr>
          </w:p>
        </w:tc>
        <w:tc>
          <w:tcPr>
            <w:tcW w:w="720" w:type="dxa"/>
            <w:noWrap w:val="0"/>
            <w:vAlign w:val="top"/>
          </w:tcPr>
          <w:p w14:paraId="3E43484A">
            <w:pPr>
              <w:adjustRightInd w:val="0"/>
              <w:snapToGrid w:val="0"/>
              <w:spacing w:line="360" w:lineRule="exact"/>
              <w:jc w:val="center"/>
              <w:rPr>
                <w:rFonts w:hint="eastAsia" w:ascii="宋体" w:hAnsi="宋体"/>
                <w:sz w:val="21"/>
              </w:rPr>
            </w:pPr>
          </w:p>
        </w:tc>
        <w:tc>
          <w:tcPr>
            <w:tcW w:w="2235" w:type="dxa"/>
            <w:noWrap w:val="0"/>
            <w:vAlign w:val="top"/>
          </w:tcPr>
          <w:p w14:paraId="3FD54298">
            <w:pPr>
              <w:adjustRightInd w:val="0"/>
              <w:snapToGrid w:val="0"/>
              <w:spacing w:line="360" w:lineRule="exact"/>
              <w:rPr>
                <w:rFonts w:hint="eastAsia" w:ascii="宋体" w:hAnsi="宋体"/>
                <w:sz w:val="21"/>
              </w:rPr>
            </w:pPr>
          </w:p>
        </w:tc>
      </w:tr>
      <w:tr w14:paraId="5974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noWrap w:val="0"/>
            <w:vAlign w:val="top"/>
          </w:tcPr>
          <w:p w14:paraId="7579D974">
            <w:pPr>
              <w:adjustRightInd w:val="0"/>
              <w:snapToGrid w:val="0"/>
              <w:spacing w:line="360" w:lineRule="exact"/>
              <w:jc w:val="center"/>
              <w:rPr>
                <w:rFonts w:hint="eastAsia" w:ascii="宋体" w:hAnsi="宋体"/>
                <w:sz w:val="21"/>
              </w:rPr>
            </w:pPr>
          </w:p>
        </w:tc>
        <w:tc>
          <w:tcPr>
            <w:tcW w:w="1924" w:type="dxa"/>
            <w:noWrap w:val="0"/>
            <w:vAlign w:val="top"/>
          </w:tcPr>
          <w:p w14:paraId="75BB7B5E">
            <w:pPr>
              <w:adjustRightInd w:val="0"/>
              <w:snapToGrid w:val="0"/>
              <w:spacing w:line="360" w:lineRule="exact"/>
              <w:rPr>
                <w:rFonts w:hint="eastAsia" w:ascii="宋体" w:hAnsi="宋体"/>
                <w:sz w:val="21"/>
              </w:rPr>
            </w:pPr>
          </w:p>
        </w:tc>
        <w:tc>
          <w:tcPr>
            <w:tcW w:w="1236" w:type="dxa"/>
            <w:noWrap w:val="0"/>
            <w:vAlign w:val="top"/>
          </w:tcPr>
          <w:p w14:paraId="541C345D">
            <w:pPr>
              <w:adjustRightInd w:val="0"/>
              <w:snapToGrid w:val="0"/>
              <w:spacing w:line="360" w:lineRule="exact"/>
              <w:rPr>
                <w:rFonts w:hint="eastAsia" w:ascii="宋体" w:hAnsi="宋体"/>
                <w:sz w:val="21"/>
              </w:rPr>
            </w:pPr>
          </w:p>
        </w:tc>
        <w:tc>
          <w:tcPr>
            <w:tcW w:w="720" w:type="dxa"/>
            <w:noWrap w:val="0"/>
            <w:vAlign w:val="top"/>
          </w:tcPr>
          <w:p w14:paraId="5D6A9C88">
            <w:pPr>
              <w:adjustRightInd w:val="0"/>
              <w:snapToGrid w:val="0"/>
              <w:spacing w:line="360" w:lineRule="exact"/>
              <w:jc w:val="center"/>
              <w:rPr>
                <w:rFonts w:hint="eastAsia" w:ascii="宋体" w:hAnsi="宋体"/>
                <w:sz w:val="21"/>
              </w:rPr>
            </w:pPr>
          </w:p>
        </w:tc>
        <w:tc>
          <w:tcPr>
            <w:tcW w:w="720" w:type="dxa"/>
            <w:noWrap w:val="0"/>
            <w:vAlign w:val="top"/>
          </w:tcPr>
          <w:p w14:paraId="14E26977">
            <w:pPr>
              <w:adjustRightInd w:val="0"/>
              <w:snapToGrid w:val="0"/>
              <w:spacing w:line="360" w:lineRule="exact"/>
              <w:jc w:val="center"/>
              <w:rPr>
                <w:rFonts w:hint="eastAsia" w:ascii="宋体" w:hAnsi="宋体"/>
                <w:sz w:val="21"/>
              </w:rPr>
            </w:pPr>
          </w:p>
        </w:tc>
        <w:tc>
          <w:tcPr>
            <w:tcW w:w="720" w:type="dxa"/>
            <w:noWrap w:val="0"/>
            <w:vAlign w:val="top"/>
          </w:tcPr>
          <w:p w14:paraId="17FAA80F">
            <w:pPr>
              <w:adjustRightInd w:val="0"/>
              <w:snapToGrid w:val="0"/>
              <w:spacing w:line="360" w:lineRule="exact"/>
              <w:jc w:val="center"/>
              <w:rPr>
                <w:rFonts w:hint="eastAsia" w:ascii="宋体" w:hAnsi="宋体"/>
                <w:sz w:val="21"/>
              </w:rPr>
            </w:pPr>
          </w:p>
        </w:tc>
        <w:tc>
          <w:tcPr>
            <w:tcW w:w="720" w:type="dxa"/>
            <w:noWrap w:val="0"/>
            <w:vAlign w:val="top"/>
          </w:tcPr>
          <w:p w14:paraId="799C96AB">
            <w:pPr>
              <w:adjustRightInd w:val="0"/>
              <w:snapToGrid w:val="0"/>
              <w:spacing w:line="360" w:lineRule="exact"/>
              <w:jc w:val="center"/>
              <w:rPr>
                <w:rFonts w:hint="eastAsia" w:ascii="宋体" w:hAnsi="宋体"/>
                <w:sz w:val="21"/>
              </w:rPr>
            </w:pPr>
          </w:p>
        </w:tc>
        <w:tc>
          <w:tcPr>
            <w:tcW w:w="2235" w:type="dxa"/>
            <w:noWrap w:val="0"/>
            <w:vAlign w:val="top"/>
          </w:tcPr>
          <w:p w14:paraId="32126B48">
            <w:pPr>
              <w:adjustRightInd w:val="0"/>
              <w:snapToGrid w:val="0"/>
              <w:spacing w:line="360" w:lineRule="exact"/>
              <w:rPr>
                <w:rFonts w:hint="eastAsia" w:ascii="宋体" w:hAnsi="宋体"/>
                <w:sz w:val="21"/>
              </w:rPr>
            </w:pPr>
          </w:p>
        </w:tc>
      </w:tr>
    </w:tbl>
    <w:p w14:paraId="763A5F04">
      <w:pPr>
        <w:adjustRightInd w:val="0"/>
        <w:snapToGrid w:val="0"/>
        <w:spacing w:line="360" w:lineRule="exact"/>
        <w:ind w:firstLine="420" w:firstLineChars="200"/>
        <w:rPr>
          <w:rFonts w:hint="eastAsia" w:ascii="宋体" w:hAnsi="宋体"/>
          <w:sz w:val="21"/>
        </w:rPr>
      </w:pPr>
    </w:p>
    <w:p w14:paraId="17BA986D">
      <w:pPr>
        <w:spacing w:line="480" w:lineRule="exact"/>
        <w:ind w:firstLine="420" w:firstLineChars="200"/>
        <w:rPr>
          <w:rFonts w:hint="eastAsia" w:ascii="宋体" w:hAnsi="宋体"/>
        </w:rPr>
      </w:pPr>
      <w:r>
        <w:rPr>
          <w:rFonts w:hint="eastAsia" w:ascii="宋体" w:hAnsi="宋体"/>
        </w:rPr>
        <w:t>6.3  “一览表”和“明细表”仅作为投标方编制投标技术文件的一般格式。其中序号编写应当便于招标方了解分类或分项货物之间的所属关系，如1、1.1、1.2。</w:t>
      </w:r>
    </w:p>
    <w:p w14:paraId="172FEF77">
      <w:pPr>
        <w:spacing w:line="480" w:lineRule="exact"/>
        <w:ind w:firstLine="420" w:firstLineChars="200"/>
        <w:rPr>
          <w:rFonts w:hint="eastAsia" w:ascii="宋体" w:hAnsi="宋体"/>
        </w:rPr>
      </w:pPr>
      <w:r>
        <w:rPr>
          <w:rFonts w:hint="eastAsia" w:ascii="宋体" w:hAnsi="宋体"/>
        </w:rPr>
        <w:t>6.4  应当尽可能将设备的配置列全、列细，这将有助于投标方胜出。</w:t>
      </w:r>
    </w:p>
    <w:p w14:paraId="7EC9D7B7">
      <w:pPr>
        <w:spacing w:line="480" w:lineRule="exact"/>
        <w:ind w:firstLine="420" w:firstLineChars="200"/>
        <w:rPr>
          <w:rFonts w:hint="eastAsia" w:ascii="宋体" w:hAnsi="宋体"/>
        </w:rPr>
      </w:pPr>
      <w:r>
        <w:rPr>
          <w:rFonts w:hint="eastAsia" w:ascii="宋体" w:hAnsi="宋体"/>
        </w:rPr>
        <w:t>6.5  单价与总价之间、总价与分类小计价之间、分类小计价与合计价之间数据应当齐全而且准确。</w:t>
      </w:r>
    </w:p>
    <w:p w14:paraId="07492085">
      <w:pPr>
        <w:spacing w:line="480" w:lineRule="exact"/>
        <w:ind w:firstLine="420" w:firstLineChars="200"/>
        <w:rPr>
          <w:rFonts w:hint="eastAsia" w:ascii="宋体" w:hAnsi="宋体"/>
        </w:rPr>
      </w:pPr>
      <w:r>
        <w:rPr>
          <w:rFonts w:hint="eastAsia" w:ascii="宋体" w:hAnsi="宋体"/>
        </w:rPr>
        <w:t>6.6  本条款表格中的制造商，应当为全称或公认的简称。</w:t>
      </w:r>
    </w:p>
    <w:p w14:paraId="3C78D882">
      <w:pPr>
        <w:spacing w:line="480" w:lineRule="exact"/>
        <w:ind w:firstLine="420" w:firstLineChars="200"/>
        <w:rPr>
          <w:rFonts w:hint="eastAsia" w:ascii="黑体" w:hAnsi="宋体" w:eastAsia="黑体"/>
        </w:rPr>
      </w:pPr>
      <w:r>
        <w:rPr>
          <w:rFonts w:hint="eastAsia" w:ascii="黑体" w:hAnsi="宋体" w:eastAsia="黑体"/>
        </w:rPr>
        <w:t>二、技术文件中设备报价格式要求</w:t>
      </w:r>
    </w:p>
    <w:p w14:paraId="1F70A6D9">
      <w:pPr>
        <w:spacing w:line="480" w:lineRule="exact"/>
        <w:ind w:firstLine="420" w:firstLineChars="200"/>
        <w:rPr>
          <w:rFonts w:hint="eastAsia" w:ascii="宋体" w:hAnsi="宋体"/>
        </w:rPr>
      </w:pPr>
      <w:r>
        <w:rPr>
          <w:rFonts w:hint="eastAsia" w:ascii="宋体" w:hAnsi="宋体"/>
        </w:rPr>
        <w:t>1、设备配置一览表合计价以及备品备件、易损件和专用耗材明细表合计价应当在投标总报价内对应重现而且应当数据准确。其中，质保期之内需要的备品备件、易损件和专用耗材，需要在配置一览表内单独分类列出并计入设备配置一览表合计价。</w:t>
      </w:r>
    </w:p>
    <w:p w14:paraId="3BFDC993">
      <w:pPr>
        <w:spacing w:line="480" w:lineRule="exact"/>
        <w:ind w:firstLine="420" w:firstLineChars="200"/>
        <w:rPr>
          <w:rFonts w:hint="eastAsia" w:ascii="宋体" w:hAnsi="宋体"/>
        </w:rPr>
      </w:pPr>
      <w:r>
        <w:rPr>
          <w:rFonts w:hint="eastAsia" w:ascii="宋体" w:hAnsi="宋体"/>
        </w:rPr>
        <w:t>2、投标技术文件中，如未按照要求编写、或者存在漏项和缺项，将有可能造成对投标方不必要的误解；必要时，漏项和缺项涉及的费用，将有可能以其它投标方中，相同或相似项目的最高价，计入投标方的投标总报价之内，作为评标的依据之一。</w:t>
      </w:r>
    </w:p>
    <w:p w14:paraId="215DFB45">
      <w:pPr>
        <w:spacing w:line="480" w:lineRule="exact"/>
        <w:ind w:firstLine="420" w:firstLineChars="200"/>
        <w:rPr>
          <w:rFonts w:hint="eastAsia" w:ascii="宋体" w:hAnsi="宋体"/>
        </w:rPr>
      </w:pPr>
      <w:r>
        <w:rPr>
          <w:rFonts w:hint="eastAsia" w:ascii="宋体" w:hAnsi="宋体"/>
        </w:rPr>
        <w:t>3、如果投标总报价与其它价格出现错误或不一致，将有可能导致废标。</w:t>
      </w:r>
    </w:p>
    <w:p w14:paraId="4077F1E4">
      <w:pPr>
        <w:spacing w:line="480" w:lineRule="exact"/>
        <w:ind w:firstLine="420" w:firstLineChars="200"/>
        <w:rPr>
          <w:rFonts w:hint="eastAsia" w:ascii="宋体" w:hAnsi="宋体"/>
        </w:rPr>
      </w:pPr>
      <w:r>
        <w:rPr>
          <w:rFonts w:hint="eastAsia" w:ascii="宋体" w:hAnsi="宋体"/>
        </w:rPr>
        <w:t>4、投标总报价为自合同签定生效至合同无异议执行完毕涉及的招标方需要支付的全部费用。如投标方认为本招标及投标设备涉及专门的设计，应当列明设计费。</w:t>
      </w:r>
    </w:p>
    <w:p w14:paraId="086E3B9E">
      <w:pPr>
        <w:spacing w:line="480" w:lineRule="exact"/>
        <w:ind w:firstLine="420" w:firstLineChars="200"/>
        <w:rPr>
          <w:rFonts w:hint="eastAsia" w:ascii="宋体" w:hAnsi="宋体"/>
        </w:rPr>
      </w:pPr>
      <w:r>
        <w:rPr>
          <w:rFonts w:hint="eastAsia" w:ascii="宋体" w:hAnsi="宋体"/>
        </w:rPr>
        <w:t>5、备品备件、易损件和专用耗材，招标方将可能与投标方按照投标价格另行签署供货合同。</w:t>
      </w:r>
    </w:p>
    <w:p w14:paraId="4427E882">
      <w:pPr>
        <w:spacing w:line="480" w:lineRule="exact"/>
        <w:ind w:firstLine="420" w:firstLineChars="200"/>
        <w:rPr>
          <w:rFonts w:hint="eastAsia" w:ascii="宋体" w:hAnsi="宋体"/>
        </w:rPr>
      </w:pPr>
      <w:r>
        <w:rPr>
          <w:rFonts w:hint="eastAsia" w:ascii="宋体" w:hAnsi="宋体"/>
        </w:rPr>
        <w:t>6、要求投标总报价、分项报价、明细报价之间应当具有相互间对应关系以及填报分项和明细报价，仅为便于评标而不妨碍投标人以最合适的形式签署合同。</w:t>
      </w:r>
    </w:p>
    <w:p w14:paraId="2002412E">
      <w:pPr>
        <w:adjustRightInd w:val="0"/>
        <w:snapToGrid w:val="0"/>
        <w:spacing w:line="460" w:lineRule="exact"/>
        <w:ind w:firstLine="420" w:firstLineChars="200"/>
        <w:rPr>
          <w:rFonts w:hint="eastAsia" w:ascii="黑体" w:hAnsi="宋体" w:eastAsia="黑体"/>
        </w:rPr>
      </w:pPr>
      <w:r>
        <w:rPr>
          <w:rFonts w:hint="eastAsia" w:ascii="黑体" w:hAnsi="宋体" w:eastAsia="黑体"/>
        </w:rPr>
        <w:t>三、验收标准及内容要求</w:t>
      </w:r>
    </w:p>
    <w:p w14:paraId="4D767F16">
      <w:pPr>
        <w:adjustRightInd w:val="0"/>
        <w:snapToGrid w:val="0"/>
        <w:spacing w:line="460" w:lineRule="exact"/>
        <w:ind w:firstLine="420" w:firstLineChars="200"/>
        <w:rPr>
          <w:rFonts w:hint="eastAsia" w:ascii="宋体" w:hAnsi="宋体"/>
        </w:rPr>
      </w:pPr>
      <w:r>
        <w:rPr>
          <w:rFonts w:hint="eastAsia" w:ascii="宋体" w:hAnsi="宋体"/>
        </w:rPr>
        <w:t>除招标文件明确的验收标准或内容之外，投标方应当在投标文件中提供预验收（必要时）和终验收的标准以及规程；在合同签定之前，经投标方和招标方双方洽谈确认并签署，以作为验收标准执行。</w:t>
      </w:r>
    </w:p>
    <w:p w14:paraId="61DF0EB8">
      <w:pPr>
        <w:pStyle w:val="3"/>
        <w:spacing w:before="120" w:after="120" w:line="480" w:lineRule="exact"/>
        <w:jc w:val="center"/>
        <w:rPr>
          <w:rFonts w:hint="eastAsia" w:ascii="黑体" w:eastAsia="黑体"/>
          <w:b w:val="0"/>
          <w:sz w:val="24"/>
          <w:szCs w:val="24"/>
        </w:rPr>
      </w:pPr>
      <w:r>
        <w:rPr>
          <w:rFonts w:ascii="宋体" w:hAnsi="宋体"/>
        </w:rPr>
        <w:br w:type="page"/>
      </w:r>
      <w:bookmarkStart w:id="63" w:name="_Toc6037"/>
      <w:bookmarkStart w:id="64" w:name="_Toc137705875"/>
      <w:bookmarkStart w:id="65" w:name="_Toc15099"/>
      <w:bookmarkStart w:id="66" w:name="_Toc31849"/>
      <w:bookmarkStart w:id="67" w:name="_Toc5388"/>
      <w:r>
        <w:rPr>
          <w:rFonts w:hint="eastAsia" w:ascii="黑体" w:eastAsia="黑体"/>
          <w:b w:val="0"/>
          <w:sz w:val="24"/>
          <w:szCs w:val="24"/>
        </w:rPr>
        <w:t>第七章  其它要求及说明</w:t>
      </w:r>
      <w:bookmarkEnd w:id="63"/>
      <w:bookmarkEnd w:id="64"/>
      <w:bookmarkEnd w:id="65"/>
      <w:bookmarkEnd w:id="66"/>
      <w:bookmarkEnd w:id="67"/>
    </w:p>
    <w:p w14:paraId="270C8AC0">
      <w:pPr>
        <w:spacing w:line="480" w:lineRule="exact"/>
        <w:ind w:firstLine="420" w:firstLineChars="200"/>
        <w:rPr>
          <w:rFonts w:hint="eastAsia" w:ascii="黑体" w:hAnsi="宋体" w:eastAsia="黑体"/>
        </w:rPr>
      </w:pPr>
      <w:r>
        <w:rPr>
          <w:rFonts w:hint="eastAsia" w:ascii="黑体" w:hAnsi="宋体" w:eastAsia="黑体"/>
        </w:rPr>
        <w:t>一、要求</w:t>
      </w:r>
    </w:p>
    <w:p w14:paraId="43D78752">
      <w:pPr>
        <w:pStyle w:val="16"/>
        <w:rPr>
          <w:rFonts w:hint="eastAsia"/>
        </w:rPr>
      </w:pPr>
      <w:r>
        <w:rPr>
          <w:rFonts w:hint="eastAsia"/>
        </w:rPr>
        <w:t>为保证本技术标书所列采购设备的质量以及先进性、可靠性、经济性和实用性，要求投标方在投标文件中，至少应具备以下资格证明文件或资料：</w:t>
      </w:r>
    </w:p>
    <w:p w14:paraId="51FCF6D9">
      <w:pPr>
        <w:spacing w:line="520" w:lineRule="exact"/>
        <w:ind w:firstLine="417" w:firstLineChars="199"/>
        <w:rPr>
          <w:rFonts w:hint="eastAsia" w:ascii="宋体" w:hAnsi="宋体"/>
        </w:rPr>
      </w:pPr>
      <w:r>
        <w:rPr>
          <w:rFonts w:hint="eastAsia" w:ascii="宋体" w:hAnsi="宋体"/>
        </w:rPr>
        <w:t>1、投标方应是独立法人或得到法人授权的机构。应当在投标文件中提供法人营业执照（复印件）、税务登记证以及组织机构代码证（国外供应商参考该要求提供有效证明文件），并保证其真实性和有效性。</w:t>
      </w:r>
    </w:p>
    <w:p w14:paraId="01D55BB5">
      <w:pPr>
        <w:spacing w:line="520" w:lineRule="exact"/>
        <w:ind w:firstLine="417" w:firstLineChars="199"/>
        <w:rPr>
          <w:rFonts w:hint="eastAsia"/>
        </w:rPr>
      </w:pPr>
      <w:r>
        <w:rPr>
          <w:rFonts w:hint="eastAsia" w:ascii="宋体" w:hAnsi="宋体"/>
        </w:rPr>
        <w:t>2、投标方应当是通过有关资格认证的法人。应当在投标文件中提供有效期内的资格认证证</w:t>
      </w:r>
      <w:r>
        <w:rPr>
          <w:rFonts w:hint="eastAsia"/>
        </w:rPr>
        <w:t>书，如：ISO9001、VDA6.1、QS9000等。</w:t>
      </w:r>
    </w:p>
    <w:p w14:paraId="4D7A488C">
      <w:pPr>
        <w:spacing w:line="520" w:lineRule="exact"/>
        <w:ind w:firstLine="417" w:firstLineChars="199"/>
        <w:rPr>
          <w:rFonts w:hint="eastAsia" w:ascii="宋体" w:hAnsi="宋体"/>
        </w:rPr>
      </w:pPr>
      <w:r>
        <w:rPr>
          <w:rFonts w:hint="eastAsia" w:ascii="宋体" w:hAnsi="宋体"/>
        </w:rPr>
        <w:t>3、国产设备应附有采购设备涉及的由“中国质量认证中心”颁发的《中国国家强制性产品认证证书》（CCC证书）。</w:t>
      </w:r>
    </w:p>
    <w:p w14:paraId="5546FE3B">
      <w:pPr>
        <w:spacing w:line="520" w:lineRule="exact"/>
        <w:ind w:firstLine="417" w:firstLineChars="199"/>
        <w:rPr>
          <w:rFonts w:hint="eastAsia" w:ascii="宋体" w:hAnsi="宋体"/>
        </w:rPr>
      </w:pPr>
      <w:r>
        <w:rPr>
          <w:rFonts w:hint="eastAsia" w:ascii="宋体" w:hAnsi="宋体"/>
        </w:rPr>
        <w:t>4、应附有其它与投标单位、采购货物有关的荣誉证书或资料。</w:t>
      </w:r>
    </w:p>
    <w:p w14:paraId="2A97F74A">
      <w:pPr>
        <w:spacing w:line="520" w:lineRule="exact"/>
        <w:ind w:firstLine="417" w:firstLineChars="199"/>
        <w:rPr>
          <w:rFonts w:hint="eastAsia" w:ascii="宋体" w:hAnsi="宋体"/>
        </w:rPr>
      </w:pPr>
      <w:r>
        <w:rPr>
          <w:rFonts w:hint="eastAsia" w:ascii="宋体" w:hAnsi="宋体"/>
        </w:rPr>
        <w:t>5、必须附有投标货物涉及产品要求的、国家或行业管理规定要求的、或者投标方认为能够体现其投标货物合法性及先进性的最高级别的证明材料（投标货物不涉及的除外）：</w:t>
      </w:r>
    </w:p>
    <w:p w14:paraId="190B25A8">
      <w:pPr>
        <w:spacing w:line="520" w:lineRule="exact"/>
        <w:ind w:firstLine="417" w:firstLineChars="199"/>
        <w:rPr>
          <w:rFonts w:hint="eastAsia" w:ascii="宋体" w:hAnsi="宋体"/>
        </w:rPr>
      </w:pPr>
      <w:r>
        <w:rPr>
          <w:rFonts w:hint="eastAsia" w:ascii="宋体" w:hAnsi="宋体"/>
        </w:rPr>
        <w:t>5.1  国家相关机构颁发的有效期之内所必需的《生产许可证》。</w:t>
      </w:r>
    </w:p>
    <w:p w14:paraId="6658901D">
      <w:pPr>
        <w:spacing w:line="520" w:lineRule="exact"/>
        <w:ind w:firstLine="417" w:firstLineChars="199"/>
        <w:rPr>
          <w:rFonts w:hint="eastAsia" w:ascii="宋体" w:hAnsi="宋体"/>
        </w:rPr>
      </w:pPr>
      <w:r>
        <w:rPr>
          <w:rFonts w:hint="eastAsia" w:ascii="宋体" w:hAnsi="宋体"/>
        </w:rPr>
        <w:t>5.2  产品（或技术）鉴定报告/证书、专利证书或专利许可证书、新技术成果证书等。</w:t>
      </w:r>
    </w:p>
    <w:p w14:paraId="05CB2CF7">
      <w:pPr>
        <w:spacing w:line="520" w:lineRule="exact"/>
        <w:ind w:firstLine="417" w:firstLineChars="199"/>
        <w:rPr>
          <w:rFonts w:hint="eastAsia" w:ascii="宋体" w:hAnsi="宋体"/>
        </w:rPr>
      </w:pPr>
      <w:r>
        <w:rPr>
          <w:rFonts w:hint="eastAsia" w:ascii="宋体" w:hAnsi="宋体"/>
        </w:rPr>
        <w:t>5.3  产品相关检验、试验报告，如：型式试验检验报告、安全试验检验报告、电弧效应试验报告、噪声检测报告等</w:t>
      </w:r>
    </w:p>
    <w:p w14:paraId="1947B4A5">
      <w:pPr>
        <w:spacing w:line="520" w:lineRule="exact"/>
        <w:ind w:firstLine="417" w:firstLineChars="199"/>
        <w:rPr>
          <w:rFonts w:hint="eastAsia" w:ascii="宋体" w:hAnsi="宋体"/>
        </w:rPr>
      </w:pPr>
      <w:r>
        <w:rPr>
          <w:rFonts w:hint="eastAsia" w:ascii="宋体" w:hAnsi="宋体"/>
        </w:rPr>
        <w:t>5.4  其它能够证明所供设备的质量水平、技术水平、安全性水平、节能性水平、环保性水平等相关的其它证明文件或资料、报告等。</w:t>
      </w:r>
    </w:p>
    <w:p w14:paraId="3EAC416E">
      <w:pPr>
        <w:spacing w:line="520" w:lineRule="exact"/>
        <w:ind w:firstLine="417" w:firstLineChars="199"/>
        <w:rPr>
          <w:rFonts w:hint="eastAsia" w:ascii="宋体" w:hAnsi="宋体"/>
        </w:rPr>
      </w:pPr>
      <w:r>
        <w:rPr>
          <w:rFonts w:hint="eastAsia" w:ascii="宋体" w:hAnsi="宋体"/>
        </w:rPr>
        <w:t>5.5  该类报告或证明材料对于投标方胜出乃至中标极为重要！</w:t>
      </w:r>
    </w:p>
    <w:p w14:paraId="01B6508D">
      <w:pPr>
        <w:spacing w:line="520" w:lineRule="exact"/>
        <w:ind w:firstLine="417" w:firstLineChars="199"/>
        <w:rPr>
          <w:rFonts w:hint="eastAsia" w:ascii="宋体" w:hAnsi="宋体"/>
        </w:rPr>
      </w:pPr>
      <w:r>
        <w:rPr>
          <w:rFonts w:hint="eastAsia" w:ascii="宋体" w:hAnsi="宋体"/>
        </w:rPr>
        <w:t>6、必须附有与本采购设备相同或相似技术规格、型号的而且已经正常使用或通过验收的近三年以上的设备的市场销售业绩清单，清单中应具备：招标方单位名称、销售设备的规格型号、数量、（交货）时间、联系人和联系电话（非移动通信号码）等条目内容；投标方应当保证其业绩的真实性，否则将影响投标或中标资格。</w:t>
      </w:r>
    </w:p>
    <w:p w14:paraId="32C13C68">
      <w:pPr>
        <w:spacing w:line="520" w:lineRule="exact"/>
        <w:ind w:firstLine="417" w:firstLineChars="199"/>
        <w:rPr>
          <w:rFonts w:hint="eastAsia" w:ascii="黑体" w:hAnsi="宋体" w:eastAsia="黑体"/>
        </w:rPr>
      </w:pPr>
      <w:r>
        <w:rPr>
          <w:rFonts w:hint="eastAsia" w:ascii="黑体" w:hAnsi="宋体" w:eastAsia="黑体"/>
        </w:rPr>
        <w:t>二、说明</w:t>
      </w:r>
    </w:p>
    <w:p w14:paraId="5126982D">
      <w:pPr>
        <w:spacing w:line="480" w:lineRule="exact"/>
        <w:ind w:firstLine="420" w:firstLineChars="200"/>
        <w:rPr>
          <w:rFonts w:hint="eastAsia" w:ascii="宋体" w:hAnsi="宋体"/>
        </w:rPr>
      </w:pPr>
      <w:r>
        <w:rPr>
          <w:rFonts w:hint="eastAsia" w:ascii="宋体" w:hAnsi="宋体"/>
        </w:rPr>
        <w:t>1、投标方可以根据自身的技术、经验等优势以及对招标文件和本技术标书的理解，写明对招标方所采购设备的优化方案或建议意见。投标方的这些努力，招标方表示感谢，并将有助于投标方优先胜出。</w:t>
      </w:r>
    </w:p>
    <w:p w14:paraId="08FF02C0">
      <w:pPr>
        <w:spacing w:line="480" w:lineRule="exact"/>
        <w:ind w:firstLine="420" w:firstLineChars="200"/>
        <w:rPr>
          <w:rFonts w:hint="eastAsia" w:ascii="宋体" w:hAnsi="宋体"/>
        </w:rPr>
      </w:pPr>
      <w:r>
        <w:rPr>
          <w:rFonts w:hint="eastAsia" w:ascii="宋体" w:hAnsi="宋体"/>
        </w:rPr>
        <w:t>2、即使有建议意见或建议方案，仍应依据招标文件和本技术标书要求，编写符合要求的投标文件。建议方案或建议意见，应以单独篇章或文件，予以说明。</w:t>
      </w:r>
    </w:p>
    <w:p w14:paraId="21D0BA3E">
      <w:pPr>
        <w:spacing w:line="480" w:lineRule="exact"/>
        <w:ind w:firstLine="420" w:firstLineChars="200"/>
        <w:rPr>
          <w:rFonts w:hint="eastAsia" w:ascii="宋体" w:hAnsi="宋体"/>
        </w:rPr>
      </w:pPr>
      <w:r>
        <w:rPr>
          <w:rFonts w:hint="eastAsia" w:ascii="宋体" w:hAnsi="宋体"/>
        </w:rPr>
        <w:t>3、请投标方仔细阅读“采购货物概况”章节内说明，针对允许分投分中的设备，招标方有权利选择其中优秀设备或服务，作为投标方合同供货范围中的指定选用设备或服务（替代投标方分投而未中标部分）。</w:t>
      </w:r>
    </w:p>
    <w:p w14:paraId="4FBEFDDB">
      <w:pPr>
        <w:spacing w:line="480" w:lineRule="exact"/>
        <w:ind w:firstLine="420" w:firstLineChars="200"/>
        <w:rPr>
          <w:rFonts w:hint="eastAsia" w:ascii="宋体" w:hAnsi="宋体"/>
        </w:rPr>
      </w:pPr>
      <w:r>
        <w:rPr>
          <w:rFonts w:hint="eastAsia" w:ascii="宋体" w:hAnsi="宋体"/>
        </w:rPr>
        <w:t>4、招标文件、投标文件、答疑文件、技术交流文件、技术协议书等，在采购过程全部为有效文件，如有差异，以对招标方最有利的条款为准。</w:t>
      </w:r>
    </w:p>
    <w:p w14:paraId="06D28B51">
      <w:pPr>
        <w:spacing w:line="480" w:lineRule="exact"/>
        <w:ind w:firstLine="420" w:firstLineChars="200"/>
        <w:rPr>
          <w:rFonts w:hint="eastAsia" w:ascii="宋体" w:hAnsi="宋体"/>
        </w:rPr>
      </w:pPr>
      <w:r>
        <w:rPr>
          <w:rFonts w:hint="eastAsia" w:ascii="宋体" w:hAnsi="宋体"/>
        </w:rPr>
        <w:t>5、为避免歧异，本技术标书涉及招投标环节的条款，均将潜在的卖方称为投标方、将买方称为招标方；定标后合同签署环节以及后续的合同执行环节条款，招标方称为买方、投标方中的中标方称为卖方。</w:t>
      </w:r>
    </w:p>
    <w:p w14:paraId="4AD03AFD">
      <w:pPr>
        <w:spacing w:line="480" w:lineRule="exact"/>
        <w:rPr>
          <w:rFonts w:hint="eastAsia" w:ascii="宋体" w:hAnsi="宋体"/>
        </w:rPr>
      </w:pPr>
    </w:p>
    <w:p w14:paraId="6CCC0D24">
      <w:pPr>
        <w:spacing w:line="480" w:lineRule="exact"/>
        <w:ind w:firstLine="422" w:firstLineChars="200"/>
        <w:rPr>
          <w:rFonts w:hint="default" w:ascii="宋体" w:hAnsi="宋体" w:eastAsia="宋体"/>
          <w:lang w:val="en-US" w:eastAsia="zh-CN"/>
        </w:rPr>
      </w:pPr>
      <w:r>
        <w:rPr>
          <w:rFonts w:hint="eastAsia" w:ascii="宋体" w:hAnsi="宋体"/>
          <w:b/>
        </w:rPr>
        <w:t xml:space="preserve">技术部分答疑人： </w:t>
      </w:r>
      <w:r>
        <w:rPr>
          <w:rFonts w:hint="eastAsia" w:ascii="宋体" w:hAnsi="宋体"/>
          <w:b/>
          <w:lang w:val="en-US" w:eastAsia="zh-CN"/>
        </w:rPr>
        <w:t>李浩宁：19588971023    何文亮</w:t>
      </w:r>
      <w:r>
        <w:rPr>
          <w:rFonts w:hint="eastAsia" w:ascii="宋体" w:hAnsi="宋体"/>
          <w:b/>
        </w:rPr>
        <w:t xml:space="preserve"> </w:t>
      </w:r>
      <w:r>
        <w:rPr>
          <w:rFonts w:hint="eastAsia" w:ascii="宋体" w:hAnsi="宋体"/>
          <w:b/>
          <w:lang w:val="en-US" w:eastAsia="zh-CN"/>
        </w:rPr>
        <w:t>15066696050</w:t>
      </w:r>
    </w:p>
    <w:p w14:paraId="45FE4665">
      <w:pPr>
        <w:pStyle w:val="5"/>
        <w:rPr>
          <w:rFonts w:hint="eastAsia" w:ascii="宋体" w:hAnsi="宋体"/>
          <w:b/>
          <w:color w:val="auto"/>
          <w:lang w:val="en-US" w:eastAsia="zh-CN"/>
        </w:rPr>
      </w:pPr>
    </w:p>
    <w:p w14:paraId="344B1BDD">
      <w:pPr>
        <w:rPr>
          <w:rFonts w:hint="eastAsia" w:ascii="宋体" w:hAnsi="宋体"/>
          <w:b/>
          <w:color w:val="auto"/>
          <w:lang w:val="en-US" w:eastAsia="zh-CN"/>
        </w:rPr>
      </w:pPr>
    </w:p>
    <w:p w14:paraId="0DBCC43B">
      <w:pPr>
        <w:pStyle w:val="5"/>
        <w:rPr>
          <w:rFonts w:hint="eastAsia" w:ascii="宋体" w:hAnsi="宋体"/>
          <w:b/>
          <w:color w:val="auto"/>
          <w:lang w:val="en-US" w:eastAsia="zh-CN"/>
        </w:rPr>
      </w:pPr>
    </w:p>
    <w:p w14:paraId="5D634716">
      <w:pPr>
        <w:rPr>
          <w:rFonts w:hint="eastAsia" w:ascii="宋体" w:hAnsi="宋体"/>
          <w:b/>
          <w:color w:val="auto"/>
          <w:lang w:val="en-US" w:eastAsia="zh-CN"/>
        </w:rPr>
      </w:pPr>
    </w:p>
    <w:p w14:paraId="6F621784">
      <w:pPr>
        <w:pStyle w:val="5"/>
        <w:rPr>
          <w:rFonts w:hint="eastAsia" w:ascii="宋体" w:hAnsi="宋体"/>
          <w:b/>
          <w:color w:val="auto"/>
          <w:lang w:val="en-US" w:eastAsia="zh-CN"/>
        </w:rPr>
      </w:pPr>
    </w:p>
    <w:p w14:paraId="1CF54198">
      <w:pPr>
        <w:rPr>
          <w:rFonts w:hint="eastAsia" w:ascii="宋体" w:hAnsi="宋体"/>
          <w:b/>
          <w:color w:val="auto"/>
          <w:lang w:val="en-US" w:eastAsia="zh-CN"/>
        </w:rPr>
      </w:pPr>
    </w:p>
    <w:p w14:paraId="00EA86F7">
      <w:pPr>
        <w:pStyle w:val="5"/>
        <w:rPr>
          <w:rFonts w:hint="eastAsia" w:ascii="宋体" w:hAnsi="宋体"/>
          <w:b/>
          <w:color w:val="auto"/>
          <w:lang w:val="en-US" w:eastAsia="zh-CN"/>
        </w:rPr>
      </w:pPr>
    </w:p>
    <w:p w14:paraId="585C4EC3">
      <w:pPr>
        <w:rPr>
          <w:rFonts w:hint="eastAsia" w:ascii="宋体" w:hAnsi="宋体"/>
          <w:b/>
          <w:color w:val="auto"/>
          <w:lang w:val="en-US" w:eastAsia="zh-CN"/>
        </w:rPr>
      </w:pPr>
    </w:p>
    <w:p w14:paraId="54415BC0">
      <w:pPr>
        <w:pStyle w:val="5"/>
        <w:rPr>
          <w:rFonts w:hint="eastAsia"/>
          <w:lang w:val="en-US" w:eastAsia="zh-CN"/>
        </w:rPr>
      </w:pPr>
    </w:p>
    <w:p w14:paraId="0132E746">
      <w:pPr>
        <w:rPr>
          <w:rFonts w:hint="default"/>
          <w:lang w:val="en-US" w:eastAsia="zh-CN"/>
        </w:rPr>
      </w:pPr>
    </w:p>
    <w:p w14:paraId="207E7CFA">
      <w:pPr>
        <w:pStyle w:val="71"/>
        <w:numPr>
          <w:ilvl w:val="0"/>
          <w:numId w:val="29"/>
        </w:numPr>
        <w:rPr>
          <w:rFonts w:hint="eastAsia"/>
        </w:rPr>
      </w:pPr>
      <w:r>
        <w:rPr>
          <w:rFonts w:hint="eastAsia"/>
        </w:rPr>
        <w:t>合同主要条款</w:t>
      </w:r>
      <w:bookmarkEnd w:id="18"/>
      <w:bookmarkEnd w:id="19"/>
    </w:p>
    <w:p w14:paraId="6D55CBFE">
      <w:pPr>
        <w:wordWrap w:val="0"/>
        <w:adjustRightInd w:val="0"/>
        <w:snapToGrid w:val="0"/>
        <w:spacing w:line="360" w:lineRule="auto"/>
        <w:jc w:val="right"/>
        <w:rPr>
          <w:rFonts w:ascii="宋体" w:hAnsi="宋体"/>
          <w:b/>
          <w:sz w:val="28"/>
          <w:szCs w:val="28"/>
        </w:rPr>
      </w:pPr>
    </w:p>
    <w:p w14:paraId="79E0CBCC">
      <w:pPr>
        <w:pStyle w:val="72"/>
        <w:numPr>
          <w:ilvl w:val="0"/>
          <w:numId w:val="30"/>
        </w:numPr>
        <w:ind w:left="420"/>
      </w:pPr>
      <w:bookmarkStart w:id="68" w:name="_Toc47976610"/>
      <w:bookmarkStart w:id="69" w:name="_Toc47976615"/>
      <w:r>
        <w:rPr>
          <w:rFonts w:hint="eastAsia"/>
          <w:lang w:val="en-US" w:eastAsia="zh-CN"/>
        </w:rPr>
        <w:t>标的、数量、</w:t>
      </w:r>
      <w:r>
        <w:rPr>
          <w:rFonts w:hint="eastAsia"/>
        </w:rPr>
        <w:t>交货期</w:t>
      </w:r>
      <w:bookmarkEnd w:id="68"/>
    </w:p>
    <w:p w14:paraId="0608A0A3">
      <w:pPr>
        <w:pStyle w:val="72"/>
      </w:pPr>
      <w:bookmarkStart w:id="70" w:name="_Toc47976611"/>
      <w:r>
        <w:rPr>
          <w:rFonts w:hint="eastAsia"/>
        </w:rPr>
        <w:t>交货地点</w:t>
      </w:r>
      <w:bookmarkEnd w:id="70"/>
    </w:p>
    <w:p w14:paraId="125B1828">
      <w:pPr>
        <w:pStyle w:val="72"/>
      </w:pPr>
      <w:bookmarkStart w:id="71" w:name="_Toc47976612"/>
      <w:r>
        <w:rPr>
          <w:rFonts w:hint="eastAsia"/>
          <w:lang w:val="en-US" w:eastAsia="zh-CN"/>
        </w:rPr>
        <w:t>价款及</w:t>
      </w:r>
      <w:r>
        <w:rPr>
          <w:rFonts w:hint="eastAsia"/>
        </w:rPr>
        <w:t>付款方式</w:t>
      </w:r>
      <w:bookmarkEnd w:id="71"/>
    </w:p>
    <w:p w14:paraId="263DD439">
      <w:pPr>
        <w:pStyle w:val="72"/>
      </w:pPr>
      <w:bookmarkStart w:id="72" w:name="_Toc47976613"/>
      <w:r>
        <w:rPr>
          <w:rFonts w:hint="eastAsia"/>
          <w:lang w:val="en-US" w:eastAsia="zh-CN"/>
        </w:rPr>
        <w:t>质量要求、</w:t>
      </w:r>
      <w:r>
        <w:rPr>
          <w:rFonts w:hint="eastAsia"/>
        </w:rPr>
        <w:t>保修期及售后服务</w:t>
      </w:r>
      <w:bookmarkEnd w:id="72"/>
    </w:p>
    <w:p w14:paraId="29701DDC">
      <w:pPr>
        <w:pStyle w:val="72"/>
      </w:pPr>
      <w:bookmarkStart w:id="73" w:name="_Toc47976614"/>
      <w:r>
        <w:rPr>
          <w:rFonts w:hint="eastAsia"/>
        </w:rPr>
        <w:t>安装、调试及验收要求</w:t>
      </w:r>
      <w:bookmarkEnd w:id="73"/>
    </w:p>
    <w:p w14:paraId="357B7309">
      <w:pPr>
        <w:pStyle w:val="72"/>
      </w:pPr>
      <w:r>
        <w:rPr>
          <w:rFonts w:hint="eastAsia"/>
          <w:lang w:val="en-US" w:eastAsia="zh-CN"/>
        </w:rPr>
        <w:t>违约责任</w:t>
      </w:r>
    </w:p>
    <w:p w14:paraId="57FB2450">
      <w:pPr>
        <w:pStyle w:val="72"/>
      </w:pPr>
      <w:r>
        <w:rPr>
          <w:rFonts w:hint="eastAsia"/>
          <w:lang w:val="en-US" w:eastAsia="zh-CN"/>
        </w:rPr>
        <w:t>争议解决方式</w:t>
      </w:r>
    </w:p>
    <w:p w14:paraId="5C521FC8">
      <w:pPr>
        <w:rPr>
          <w:rFonts w:hint="eastAsia"/>
        </w:rPr>
      </w:pPr>
    </w:p>
    <w:p w14:paraId="0047C608">
      <w:pPr>
        <w:rPr>
          <w:rFonts w:hint="eastAsia"/>
        </w:rPr>
      </w:pPr>
      <w:r>
        <w:rPr>
          <w:rFonts w:hint="eastAsia"/>
        </w:rPr>
        <w:br w:type="page"/>
      </w:r>
    </w:p>
    <w:p w14:paraId="5F7FEE17">
      <w:pPr>
        <w:pStyle w:val="71"/>
        <w:rPr>
          <w:rFonts w:ascii="黑体" w:hAnsi="Calibri" w:eastAsia="黑体" w:cs="Times New Roman"/>
          <w:color w:val="000000"/>
          <w:sz w:val="24"/>
          <w:szCs w:val="24"/>
        </w:rPr>
      </w:pPr>
      <w:bookmarkStart w:id="74" w:name="_Toc16500"/>
      <w:r>
        <w:rPr>
          <w:rFonts w:hint="eastAsia"/>
        </w:rPr>
        <w:t>第四部分　</w:t>
      </w:r>
      <w:bookmarkEnd w:id="69"/>
      <w:r>
        <w:rPr>
          <w:rFonts w:hint="eastAsia"/>
          <w:lang w:val="en-US" w:eastAsia="zh-CN"/>
        </w:rPr>
        <w:t>投标文件附件</w:t>
      </w:r>
      <w:bookmarkEnd w:id="74"/>
    </w:p>
    <w:p w14:paraId="50DFD905">
      <w:pPr>
        <w:jc w:val="both"/>
        <w:rPr>
          <w:rFonts w:ascii="宋体"/>
          <w:b/>
          <w:color w:val="000000"/>
          <w:szCs w:val="24"/>
        </w:rPr>
      </w:pPr>
    </w:p>
    <w:p w14:paraId="64861DDE">
      <w:pPr>
        <w:pStyle w:val="14"/>
      </w:pPr>
    </w:p>
    <w:p w14:paraId="63BCB7E4">
      <w:pPr>
        <w:pStyle w:val="72"/>
        <w:numPr>
          <w:ilvl w:val="0"/>
          <w:numId w:val="0"/>
        </w:numPr>
        <w:ind w:leftChars="0"/>
        <w:outlineLvl w:val="1"/>
        <w:rPr>
          <w:rFonts w:hint="default" w:ascii="宋体" w:hAnsi="宋体" w:eastAsia="宋体" w:cs="宋体"/>
          <w:sz w:val="32"/>
          <w:szCs w:val="32"/>
          <w:highlight w:val="yellow"/>
          <w:lang w:val="en-US" w:eastAsia="zh-CN"/>
        </w:rPr>
      </w:pPr>
      <w:bookmarkStart w:id="75" w:name="_Toc47976618"/>
      <w:bookmarkStart w:id="76" w:name="_Toc29366865"/>
      <w:bookmarkStart w:id="77" w:name="_Toc29366869"/>
      <w:r>
        <w:rPr>
          <w:rFonts w:hint="eastAsia" w:ascii="宋体" w:hAnsi="宋体" w:eastAsia="宋体" w:cs="宋体"/>
          <w:sz w:val="32"/>
          <w:szCs w:val="32"/>
          <w:highlight w:val="none"/>
          <w:lang w:val="en-US" w:eastAsia="zh-CN"/>
        </w:rPr>
        <w:t>附件1 法定代表人授权委托书</w:t>
      </w:r>
    </w:p>
    <w:bookmarkEnd w:id="75"/>
    <w:p w14:paraId="0CDEF286">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74B63EA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eastAsia="宋体" w:cs="Times New Roman"/>
          <w:b/>
          <w:bCs/>
          <w:color w:val="000000"/>
          <w:sz w:val="24"/>
          <w:szCs w:val="24"/>
          <w:u w:val="single"/>
        </w:rPr>
        <w:t>特种车公司空压机设备更新技改项目</w:t>
      </w:r>
      <w:r>
        <w:rPr>
          <w:rFonts w:hint="eastAsia" w:ascii="宋体" w:hAnsi="宋体" w:cs="Times New Roman"/>
          <w:b/>
          <w:bCs/>
          <w:color w:val="000000"/>
          <w:sz w:val="24"/>
          <w:szCs w:val="24"/>
          <w:highlight w:val="none"/>
          <w:u w:val="single"/>
          <w:lang w:val="en-US" w:eastAsia="zh-CN"/>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40EF336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69B903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18F67E61">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67B67B8">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1E3DF32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084A3F9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7F91A4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4A3C3D6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7FCB0B5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6114BDC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5B9795B6">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284D91AC">
      <w:pPr>
        <w:spacing w:line="460" w:lineRule="exact"/>
        <w:ind w:firstLine="5520" w:firstLineChars="2300"/>
        <w:rPr>
          <w:rFonts w:ascii="宋体" w:hAnsi="Calibri" w:eastAsia="宋体" w:cs="Times New Roman"/>
          <w:sz w:val="24"/>
          <w:szCs w:val="20"/>
          <w:u w:val="single"/>
        </w:rPr>
      </w:pPr>
    </w:p>
    <w:p w14:paraId="49937AB2">
      <w:pPr>
        <w:rPr>
          <w:rFonts w:ascii="Calibri" w:hAnsi="Calibri" w:eastAsia="黑体" w:cs="Times New Roman"/>
          <w:b/>
          <w:bCs/>
          <w:color w:val="000000"/>
          <w:sz w:val="28"/>
          <w:szCs w:val="20"/>
        </w:rPr>
      </w:pPr>
    </w:p>
    <w:p w14:paraId="385ECC3A">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88D216">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618B0AD3">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0EABE4D4">
      <w:pPr>
        <w:spacing w:line="240" w:lineRule="exact"/>
        <w:jc w:val="center"/>
        <w:rPr>
          <w:rFonts w:ascii="宋体" w:hAnsi="Calibri" w:eastAsia="宋体" w:cs="Times New Roman"/>
          <w:b/>
          <w:bCs/>
          <w:sz w:val="36"/>
          <w:szCs w:val="20"/>
        </w:rPr>
      </w:pPr>
    </w:p>
    <w:p w14:paraId="19B42E48">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项目名称：特种车公司空压机设备更新技改项目</w:t>
      </w:r>
    </w:p>
    <w:p w14:paraId="070A8EA0">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w:t>
      </w:r>
      <w:r>
        <w:rPr>
          <w:rFonts w:hint="eastAsia" w:ascii="宋体" w:hAnsi="宋体" w:cs="Times New Roman"/>
          <w:b/>
          <w:bCs/>
          <w:sz w:val="24"/>
          <w:szCs w:val="20"/>
          <w:highlight w:val="none"/>
          <w:lang w:val="en-US" w:eastAsia="zh-CN"/>
        </w:rPr>
        <w:t>特种车</w:t>
      </w:r>
      <w:r>
        <w:rPr>
          <w:rFonts w:hint="eastAsia" w:ascii="宋体" w:hAnsi="宋体" w:cs="Times New Roman"/>
          <w:b/>
          <w:bCs/>
          <w:sz w:val="24"/>
          <w:szCs w:val="20"/>
          <w:highlight w:val="none"/>
          <w:lang w:eastAsia="zh-CN"/>
        </w:rPr>
        <w:t>有限公司</w:t>
      </w:r>
      <w:r>
        <w:rPr>
          <w:rFonts w:hint="eastAsia" w:ascii="宋体" w:hAnsi="宋体" w:eastAsia="宋体" w:cs="Times New Roman"/>
          <w:b/>
          <w:bCs/>
          <w:sz w:val="24"/>
          <w:szCs w:val="20"/>
          <w:highlight w:val="none"/>
        </w:rPr>
        <w:t>：</w:t>
      </w:r>
    </w:p>
    <w:p w14:paraId="6CDD141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6429E792">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19EA48F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FB26E2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08B324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8BDB381">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D2F61D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7D8E3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87966C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B427372">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45D308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60DF78B">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F46CFB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70C5EF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4C54562">
      <w:pPr>
        <w:spacing w:line="360" w:lineRule="auto"/>
        <w:ind w:firstLine="480" w:firstLineChars="200"/>
        <w:rPr>
          <w:rFonts w:ascii="宋体" w:hAnsi="宋体" w:eastAsia="宋体" w:cs="Times New Roman"/>
          <w:sz w:val="24"/>
          <w:szCs w:val="20"/>
          <w:u w:val="single"/>
        </w:rPr>
      </w:pPr>
    </w:p>
    <w:p w14:paraId="766E9CD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27C6EFB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4E4A12B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76"/>
    <w:bookmarkEnd w:id="77"/>
    <w:p w14:paraId="185112E1">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046B564C">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12682288">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项目名称：特种车公司空压机设备更新技改项目</w:t>
      </w:r>
      <w:r>
        <w:rPr>
          <w:rFonts w:hint="default" w:ascii="Times New Roman" w:hAnsi="Times New Roman" w:eastAsia="宋体" w:cs="Times New Roman"/>
          <w:color w:val="000000"/>
          <w:sz w:val="24"/>
          <w:szCs w:val="24"/>
          <w:u w:val="single"/>
        </w:rPr>
        <w:t xml:space="preserve"> </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75E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0F7F4984">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53395A">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3AB0CFF6">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741FF31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3FE3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A65257">
            <w:pPr>
              <w:jc w:val="both"/>
              <w:rPr>
                <w:rFonts w:hint="default" w:ascii="Times New Roman" w:hAnsi="Times New Roman" w:eastAsia="宋体" w:cs="Times New Roman"/>
                <w:b/>
                <w:sz w:val="24"/>
                <w:szCs w:val="20"/>
              </w:rPr>
            </w:pPr>
          </w:p>
        </w:tc>
        <w:tc>
          <w:tcPr>
            <w:tcW w:w="3449" w:type="dxa"/>
          </w:tcPr>
          <w:p w14:paraId="4F8C55D6">
            <w:pPr>
              <w:jc w:val="both"/>
              <w:rPr>
                <w:rFonts w:hint="default" w:ascii="Times New Roman" w:hAnsi="Times New Roman" w:eastAsia="宋体" w:cs="Times New Roman"/>
                <w:b/>
                <w:sz w:val="24"/>
                <w:szCs w:val="20"/>
              </w:rPr>
            </w:pPr>
          </w:p>
        </w:tc>
        <w:tc>
          <w:tcPr>
            <w:tcW w:w="2414" w:type="dxa"/>
          </w:tcPr>
          <w:p w14:paraId="612B376F">
            <w:pPr>
              <w:jc w:val="both"/>
              <w:rPr>
                <w:rFonts w:hint="default" w:ascii="Times New Roman" w:hAnsi="Times New Roman" w:eastAsia="宋体" w:cs="Times New Roman"/>
                <w:b/>
                <w:sz w:val="24"/>
                <w:szCs w:val="20"/>
              </w:rPr>
            </w:pPr>
          </w:p>
        </w:tc>
        <w:tc>
          <w:tcPr>
            <w:tcW w:w="1608" w:type="dxa"/>
          </w:tcPr>
          <w:p w14:paraId="16334D71">
            <w:pPr>
              <w:jc w:val="both"/>
              <w:rPr>
                <w:rFonts w:hint="default" w:ascii="Times New Roman" w:hAnsi="Times New Roman" w:eastAsia="宋体" w:cs="Times New Roman"/>
                <w:b/>
                <w:sz w:val="24"/>
                <w:szCs w:val="20"/>
              </w:rPr>
            </w:pPr>
          </w:p>
        </w:tc>
      </w:tr>
      <w:tr w14:paraId="3D3A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B103747">
            <w:pPr>
              <w:jc w:val="both"/>
              <w:rPr>
                <w:rFonts w:hint="default" w:ascii="Times New Roman" w:hAnsi="Times New Roman" w:eastAsia="宋体" w:cs="Times New Roman"/>
                <w:b/>
                <w:sz w:val="24"/>
                <w:szCs w:val="20"/>
              </w:rPr>
            </w:pPr>
          </w:p>
        </w:tc>
        <w:tc>
          <w:tcPr>
            <w:tcW w:w="3449" w:type="dxa"/>
          </w:tcPr>
          <w:p w14:paraId="48DCD05E">
            <w:pPr>
              <w:jc w:val="both"/>
              <w:rPr>
                <w:rFonts w:hint="default" w:ascii="Times New Roman" w:hAnsi="Times New Roman" w:eastAsia="宋体" w:cs="Times New Roman"/>
                <w:b/>
                <w:sz w:val="24"/>
                <w:szCs w:val="20"/>
              </w:rPr>
            </w:pPr>
          </w:p>
        </w:tc>
        <w:tc>
          <w:tcPr>
            <w:tcW w:w="2414" w:type="dxa"/>
          </w:tcPr>
          <w:p w14:paraId="2B85A087">
            <w:pPr>
              <w:jc w:val="both"/>
              <w:rPr>
                <w:rFonts w:hint="default" w:ascii="Times New Roman" w:hAnsi="Times New Roman" w:eastAsia="宋体" w:cs="Times New Roman"/>
                <w:b/>
                <w:sz w:val="24"/>
                <w:szCs w:val="20"/>
              </w:rPr>
            </w:pPr>
          </w:p>
        </w:tc>
        <w:tc>
          <w:tcPr>
            <w:tcW w:w="1608" w:type="dxa"/>
          </w:tcPr>
          <w:p w14:paraId="2897E9E5">
            <w:pPr>
              <w:jc w:val="both"/>
              <w:rPr>
                <w:rFonts w:hint="default" w:ascii="Times New Roman" w:hAnsi="Times New Roman" w:eastAsia="宋体" w:cs="Times New Roman"/>
                <w:b/>
                <w:sz w:val="24"/>
                <w:szCs w:val="20"/>
              </w:rPr>
            </w:pPr>
          </w:p>
        </w:tc>
      </w:tr>
      <w:tr w14:paraId="418E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1176C6B4">
            <w:pPr>
              <w:jc w:val="both"/>
              <w:rPr>
                <w:rFonts w:hint="default" w:ascii="Times New Roman" w:hAnsi="Times New Roman" w:eastAsia="宋体" w:cs="Times New Roman"/>
                <w:b/>
                <w:sz w:val="24"/>
                <w:szCs w:val="20"/>
              </w:rPr>
            </w:pPr>
          </w:p>
        </w:tc>
        <w:tc>
          <w:tcPr>
            <w:tcW w:w="3449" w:type="dxa"/>
          </w:tcPr>
          <w:p w14:paraId="6AFB3C9F">
            <w:pPr>
              <w:jc w:val="both"/>
              <w:rPr>
                <w:rFonts w:hint="default" w:ascii="Times New Roman" w:hAnsi="Times New Roman" w:eastAsia="宋体" w:cs="Times New Roman"/>
                <w:b/>
                <w:sz w:val="24"/>
                <w:szCs w:val="20"/>
              </w:rPr>
            </w:pPr>
          </w:p>
        </w:tc>
        <w:tc>
          <w:tcPr>
            <w:tcW w:w="2414" w:type="dxa"/>
          </w:tcPr>
          <w:p w14:paraId="2213BF02">
            <w:pPr>
              <w:jc w:val="both"/>
              <w:rPr>
                <w:rFonts w:hint="default" w:ascii="Times New Roman" w:hAnsi="Times New Roman" w:eastAsia="宋体" w:cs="Times New Roman"/>
                <w:b/>
                <w:sz w:val="24"/>
                <w:szCs w:val="20"/>
              </w:rPr>
            </w:pPr>
          </w:p>
        </w:tc>
        <w:tc>
          <w:tcPr>
            <w:tcW w:w="1608" w:type="dxa"/>
          </w:tcPr>
          <w:p w14:paraId="6966F408">
            <w:pPr>
              <w:jc w:val="both"/>
              <w:rPr>
                <w:rFonts w:hint="default" w:ascii="Times New Roman" w:hAnsi="Times New Roman" w:eastAsia="宋体" w:cs="Times New Roman"/>
                <w:b/>
                <w:sz w:val="24"/>
                <w:szCs w:val="20"/>
              </w:rPr>
            </w:pPr>
          </w:p>
        </w:tc>
      </w:tr>
      <w:tr w14:paraId="1755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7F3ED41F">
            <w:pPr>
              <w:jc w:val="both"/>
              <w:rPr>
                <w:rFonts w:hint="default" w:ascii="Times New Roman" w:hAnsi="Times New Roman" w:eastAsia="宋体" w:cs="Times New Roman"/>
                <w:b/>
                <w:sz w:val="24"/>
                <w:szCs w:val="20"/>
              </w:rPr>
            </w:pPr>
          </w:p>
        </w:tc>
        <w:tc>
          <w:tcPr>
            <w:tcW w:w="3449" w:type="dxa"/>
          </w:tcPr>
          <w:p w14:paraId="172B6E08">
            <w:pPr>
              <w:jc w:val="both"/>
              <w:rPr>
                <w:rFonts w:hint="default" w:ascii="Times New Roman" w:hAnsi="Times New Roman" w:eastAsia="宋体" w:cs="Times New Roman"/>
                <w:b/>
                <w:sz w:val="24"/>
                <w:szCs w:val="20"/>
              </w:rPr>
            </w:pPr>
          </w:p>
        </w:tc>
        <w:tc>
          <w:tcPr>
            <w:tcW w:w="2414" w:type="dxa"/>
          </w:tcPr>
          <w:p w14:paraId="193973A3">
            <w:pPr>
              <w:jc w:val="both"/>
              <w:rPr>
                <w:rFonts w:hint="default" w:ascii="Times New Roman" w:hAnsi="Times New Roman" w:eastAsia="宋体" w:cs="Times New Roman"/>
                <w:b/>
                <w:sz w:val="24"/>
                <w:szCs w:val="20"/>
              </w:rPr>
            </w:pPr>
          </w:p>
        </w:tc>
        <w:tc>
          <w:tcPr>
            <w:tcW w:w="1608" w:type="dxa"/>
          </w:tcPr>
          <w:p w14:paraId="1092C7D9">
            <w:pPr>
              <w:jc w:val="both"/>
              <w:rPr>
                <w:rFonts w:hint="default" w:ascii="Times New Roman" w:hAnsi="Times New Roman" w:eastAsia="宋体" w:cs="Times New Roman"/>
                <w:b/>
                <w:sz w:val="24"/>
                <w:szCs w:val="20"/>
              </w:rPr>
            </w:pPr>
          </w:p>
        </w:tc>
      </w:tr>
      <w:tr w14:paraId="4FD5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9B8D10">
            <w:pPr>
              <w:jc w:val="both"/>
              <w:rPr>
                <w:rFonts w:hint="default" w:ascii="Times New Roman" w:hAnsi="Times New Roman" w:eastAsia="宋体" w:cs="Times New Roman"/>
                <w:b/>
                <w:sz w:val="24"/>
                <w:szCs w:val="20"/>
              </w:rPr>
            </w:pPr>
          </w:p>
        </w:tc>
        <w:tc>
          <w:tcPr>
            <w:tcW w:w="3449" w:type="dxa"/>
          </w:tcPr>
          <w:p w14:paraId="4AD1E274">
            <w:pPr>
              <w:jc w:val="both"/>
              <w:rPr>
                <w:rFonts w:hint="default" w:ascii="Times New Roman" w:hAnsi="Times New Roman" w:eastAsia="宋体" w:cs="Times New Roman"/>
                <w:b/>
                <w:sz w:val="24"/>
                <w:szCs w:val="20"/>
              </w:rPr>
            </w:pPr>
          </w:p>
        </w:tc>
        <w:tc>
          <w:tcPr>
            <w:tcW w:w="2414" w:type="dxa"/>
          </w:tcPr>
          <w:p w14:paraId="2FD4F9EE">
            <w:pPr>
              <w:jc w:val="both"/>
              <w:rPr>
                <w:rFonts w:hint="default" w:ascii="Times New Roman" w:hAnsi="Times New Roman" w:eastAsia="宋体" w:cs="Times New Roman"/>
                <w:b/>
                <w:sz w:val="24"/>
                <w:szCs w:val="20"/>
              </w:rPr>
            </w:pPr>
          </w:p>
        </w:tc>
        <w:tc>
          <w:tcPr>
            <w:tcW w:w="1608" w:type="dxa"/>
          </w:tcPr>
          <w:p w14:paraId="6C579792">
            <w:pPr>
              <w:jc w:val="both"/>
              <w:rPr>
                <w:rFonts w:hint="default" w:ascii="Times New Roman" w:hAnsi="Times New Roman" w:eastAsia="宋体" w:cs="Times New Roman"/>
                <w:b/>
                <w:sz w:val="24"/>
                <w:szCs w:val="20"/>
              </w:rPr>
            </w:pPr>
          </w:p>
        </w:tc>
      </w:tr>
      <w:tr w14:paraId="2F0B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9D52B24">
            <w:pPr>
              <w:jc w:val="both"/>
              <w:rPr>
                <w:rFonts w:hint="default" w:ascii="Times New Roman" w:hAnsi="Times New Roman" w:eastAsia="宋体" w:cs="Times New Roman"/>
                <w:b/>
                <w:sz w:val="24"/>
                <w:szCs w:val="20"/>
              </w:rPr>
            </w:pPr>
          </w:p>
        </w:tc>
        <w:tc>
          <w:tcPr>
            <w:tcW w:w="3449" w:type="dxa"/>
          </w:tcPr>
          <w:p w14:paraId="5C2B5003">
            <w:pPr>
              <w:jc w:val="both"/>
              <w:rPr>
                <w:rFonts w:hint="default" w:ascii="Times New Roman" w:hAnsi="Times New Roman" w:eastAsia="宋体" w:cs="Times New Roman"/>
                <w:b/>
                <w:sz w:val="24"/>
                <w:szCs w:val="20"/>
              </w:rPr>
            </w:pPr>
          </w:p>
        </w:tc>
        <w:tc>
          <w:tcPr>
            <w:tcW w:w="2414" w:type="dxa"/>
          </w:tcPr>
          <w:p w14:paraId="6728DA64">
            <w:pPr>
              <w:jc w:val="both"/>
              <w:rPr>
                <w:rFonts w:hint="default" w:ascii="Times New Roman" w:hAnsi="Times New Roman" w:eastAsia="宋体" w:cs="Times New Roman"/>
                <w:b/>
                <w:sz w:val="24"/>
                <w:szCs w:val="20"/>
              </w:rPr>
            </w:pPr>
          </w:p>
        </w:tc>
        <w:tc>
          <w:tcPr>
            <w:tcW w:w="1608" w:type="dxa"/>
          </w:tcPr>
          <w:p w14:paraId="6A2C503A">
            <w:pPr>
              <w:jc w:val="both"/>
              <w:rPr>
                <w:rFonts w:hint="default" w:ascii="Times New Roman" w:hAnsi="Times New Roman" w:eastAsia="宋体" w:cs="Times New Roman"/>
                <w:b/>
                <w:sz w:val="24"/>
                <w:szCs w:val="20"/>
              </w:rPr>
            </w:pPr>
          </w:p>
        </w:tc>
      </w:tr>
      <w:tr w14:paraId="4178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EA085E9">
            <w:pPr>
              <w:jc w:val="both"/>
              <w:rPr>
                <w:rFonts w:hint="default" w:ascii="Times New Roman" w:hAnsi="Times New Roman" w:eastAsia="宋体" w:cs="Times New Roman"/>
                <w:b/>
                <w:sz w:val="24"/>
                <w:szCs w:val="20"/>
              </w:rPr>
            </w:pPr>
          </w:p>
        </w:tc>
        <w:tc>
          <w:tcPr>
            <w:tcW w:w="3449" w:type="dxa"/>
          </w:tcPr>
          <w:p w14:paraId="202609EE">
            <w:pPr>
              <w:jc w:val="both"/>
              <w:rPr>
                <w:rFonts w:hint="default" w:ascii="Times New Roman" w:hAnsi="Times New Roman" w:eastAsia="宋体" w:cs="Times New Roman"/>
                <w:b/>
                <w:sz w:val="24"/>
                <w:szCs w:val="20"/>
              </w:rPr>
            </w:pPr>
          </w:p>
        </w:tc>
        <w:tc>
          <w:tcPr>
            <w:tcW w:w="2414" w:type="dxa"/>
          </w:tcPr>
          <w:p w14:paraId="1CC0FAA5">
            <w:pPr>
              <w:jc w:val="both"/>
              <w:rPr>
                <w:rFonts w:hint="default" w:ascii="Times New Roman" w:hAnsi="Times New Roman" w:eastAsia="宋体" w:cs="Times New Roman"/>
                <w:b/>
                <w:sz w:val="24"/>
                <w:szCs w:val="20"/>
              </w:rPr>
            </w:pPr>
          </w:p>
        </w:tc>
        <w:tc>
          <w:tcPr>
            <w:tcW w:w="1608" w:type="dxa"/>
          </w:tcPr>
          <w:p w14:paraId="5BE12FD0">
            <w:pPr>
              <w:jc w:val="both"/>
              <w:rPr>
                <w:rFonts w:hint="default" w:ascii="Times New Roman" w:hAnsi="Times New Roman" w:eastAsia="宋体" w:cs="Times New Roman"/>
                <w:b/>
                <w:sz w:val="24"/>
                <w:szCs w:val="20"/>
              </w:rPr>
            </w:pPr>
          </w:p>
        </w:tc>
      </w:tr>
      <w:tr w14:paraId="0CB5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668CD151">
            <w:pPr>
              <w:jc w:val="both"/>
              <w:rPr>
                <w:rFonts w:hint="default" w:ascii="Times New Roman" w:hAnsi="Times New Roman" w:eastAsia="宋体" w:cs="Times New Roman"/>
                <w:b/>
                <w:sz w:val="24"/>
                <w:szCs w:val="20"/>
              </w:rPr>
            </w:pPr>
          </w:p>
        </w:tc>
        <w:tc>
          <w:tcPr>
            <w:tcW w:w="3449" w:type="dxa"/>
          </w:tcPr>
          <w:p w14:paraId="309D6B63">
            <w:pPr>
              <w:jc w:val="both"/>
              <w:rPr>
                <w:rFonts w:hint="default" w:ascii="Times New Roman" w:hAnsi="Times New Roman" w:eastAsia="宋体" w:cs="Times New Roman"/>
                <w:b/>
                <w:sz w:val="24"/>
                <w:szCs w:val="20"/>
              </w:rPr>
            </w:pPr>
          </w:p>
        </w:tc>
        <w:tc>
          <w:tcPr>
            <w:tcW w:w="2414" w:type="dxa"/>
          </w:tcPr>
          <w:p w14:paraId="265BFF68">
            <w:pPr>
              <w:jc w:val="both"/>
              <w:rPr>
                <w:rFonts w:hint="default" w:ascii="Times New Roman" w:hAnsi="Times New Roman" w:eastAsia="宋体" w:cs="Times New Roman"/>
                <w:b/>
                <w:sz w:val="24"/>
                <w:szCs w:val="20"/>
              </w:rPr>
            </w:pPr>
          </w:p>
        </w:tc>
        <w:tc>
          <w:tcPr>
            <w:tcW w:w="1608" w:type="dxa"/>
          </w:tcPr>
          <w:p w14:paraId="2993B54E">
            <w:pPr>
              <w:jc w:val="both"/>
              <w:rPr>
                <w:rFonts w:hint="default" w:ascii="Times New Roman" w:hAnsi="Times New Roman" w:eastAsia="宋体" w:cs="Times New Roman"/>
                <w:b/>
                <w:sz w:val="24"/>
                <w:szCs w:val="20"/>
              </w:rPr>
            </w:pPr>
          </w:p>
        </w:tc>
      </w:tr>
      <w:tr w14:paraId="1E98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trPr>
        <w:tc>
          <w:tcPr>
            <w:tcW w:w="1585" w:type="dxa"/>
          </w:tcPr>
          <w:p w14:paraId="4C675E78">
            <w:pPr>
              <w:jc w:val="both"/>
              <w:rPr>
                <w:rFonts w:hint="default" w:ascii="Times New Roman" w:hAnsi="Times New Roman" w:eastAsia="宋体" w:cs="Times New Roman"/>
                <w:b/>
                <w:sz w:val="24"/>
                <w:szCs w:val="20"/>
              </w:rPr>
            </w:pPr>
          </w:p>
        </w:tc>
        <w:tc>
          <w:tcPr>
            <w:tcW w:w="3449" w:type="dxa"/>
          </w:tcPr>
          <w:p w14:paraId="55FCB82C">
            <w:pPr>
              <w:jc w:val="both"/>
              <w:rPr>
                <w:rFonts w:hint="default" w:ascii="Times New Roman" w:hAnsi="Times New Roman" w:eastAsia="宋体" w:cs="Times New Roman"/>
                <w:b/>
                <w:sz w:val="24"/>
                <w:szCs w:val="20"/>
              </w:rPr>
            </w:pPr>
          </w:p>
        </w:tc>
        <w:tc>
          <w:tcPr>
            <w:tcW w:w="2414" w:type="dxa"/>
          </w:tcPr>
          <w:p w14:paraId="37BA3A88">
            <w:pPr>
              <w:jc w:val="both"/>
              <w:rPr>
                <w:rFonts w:hint="default" w:ascii="Times New Roman" w:hAnsi="Times New Roman" w:eastAsia="宋体" w:cs="Times New Roman"/>
                <w:b/>
                <w:sz w:val="24"/>
                <w:szCs w:val="20"/>
              </w:rPr>
            </w:pPr>
          </w:p>
        </w:tc>
        <w:tc>
          <w:tcPr>
            <w:tcW w:w="1608" w:type="dxa"/>
          </w:tcPr>
          <w:p w14:paraId="55761853">
            <w:pPr>
              <w:jc w:val="both"/>
              <w:rPr>
                <w:rFonts w:hint="default" w:ascii="Times New Roman" w:hAnsi="Times New Roman" w:eastAsia="宋体" w:cs="Times New Roman"/>
                <w:b/>
                <w:sz w:val="24"/>
                <w:szCs w:val="20"/>
              </w:rPr>
            </w:pPr>
          </w:p>
        </w:tc>
      </w:tr>
      <w:tr w14:paraId="0D776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4D0687A">
            <w:pPr>
              <w:jc w:val="both"/>
              <w:rPr>
                <w:rFonts w:hint="default" w:ascii="Times New Roman" w:hAnsi="Times New Roman" w:eastAsia="宋体" w:cs="Times New Roman"/>
                <w:b/>
                <w:sz w:val="24"/>
                <w:szCs w:val="20"/>
              </w:rPr>
            </w:pPr>
          </w:p>
        </w:tc>
        <w:tc>
          <w:tcPr>
            <w:tcW w:w="3449" w:type="dxa"/>
          </w:tcPr>
          <w:p w14:paraId="24B03495">
            <w:pPr>
              <w:jc w:val="both"/>
              <w:rPr>
                <w:rFonts w:hint="default" w:ascii="Times New Roman" w:hAnsi="Times New Roman" w:eastAsia="宋体" w:cs="Times New Roman"/>
                <w:b/>
                <w:sz w:val="24"/>
                <w:szCs w:val="20"/>
              </w:rPr>
            </w:pPr>
          </w:p>
        </w:tc>
        <w:tc>
          <w:tcPr>
            <w:tcW w:w="2414" w:type="dxa"/>
          </w:tcPr>
          <w:p w14:paraId="1A0BA760">
            <w:pPr>
              <w:jc w:val="both"/>
              <w:rPr>
                <w:rFonts w:hint="default" w:ascii="Times New Roman" w:hAnsi="Times New Roman" w:eastAsia="宋体" w:cs="Times New Roman"/>
                <w:b/>
                <w:sz w:val="24"/>
                <w:szCs w:val="20"/>
              </w:rPr>
            </w:pPr>
          </w:p>
        </w:tc>
        <w:tc>
          <w:tcPr>
            <w:tcW w:w="1608" w:type="dxa"/>
          </w:tcPr>
          <w:p w14:paraId="4F93446F">
            <w:pPr>
              <w:jc w:val="both"/>
              <w:rPr>
                <w:rFonts w:hint="default" w:ascii="Times New Roman" w:hAnsi="Times New Roman" w:eastAsia="宋体" w:cs="Times New Roman"/>
                <w:b/>
                <w:sz w:val="24"/>
                <w:szCs w:val="20"/>
              </w:rPr>
            </w:pPr>
          </w:p>
        </w:tc>
      </w:tr>
      <w:tr w14:paraId="7CBF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E46CB34">
            <w:pPr>
              <w:jc w:val="both"/>
              <w:rPr>
                <w:rFonts w:hint="default" w:ascii="Times New Roman" w:hAnsi="Times New Roman" w:eastAsia="宋体" w:cs="Times New Roman"/>
                <w:b/>
                <w:sz w:val="24"/>
                <w:szCs w:val="20"/>
              </w:rPr>
            </w:pPr>
          </w:p>
        </w:tc>
        <w:tc>
          <w:tcPr>
            <w:tcW w:w="3449" w:type="dxa"/>
          </w:tcPr>
          <w:p w14:paraId="75A43AB6">
            <w:pPr>
              <w:jc w:val="both"/>
              <w:rPr>
                <w:rFonts w:hint="default" w:ascii="Times New Roman" w:hAnsi="Times New Roman" w:eastAsia="宋体" w:cs="Times New Roman"/>
                <w:b/>
                <w:sz w:val="24"/>
                <w:szCs w:val="20"/>
              </w:rPr>
            </w:pPr>
          </w:p>
        </w:tc>
        <w:tc>
          <w:tcPr>
            <w:tcW w:w="2414" w:type="dxa"/>
          </w:tcPr>
          <w:p w14:paraId="085E19ED">
            <w:pPr>
              <w:jc w:val="both"/>
              <w:rPr>
                <w:rFonts w:hint="default" w:ascii="Times New Roman" w:hAnsi="Times New Roman" w:eastAsia="宋体" w:cs="Times New Roman"/>
                <w:b/>
                <w:sz w:val="24"/>
                <w:szCs w:val="20"/>
              </w:rPr>
            </w:pPr>
          </w:p>
        </w:tc>
        <w:tc>
          <w:tcPr>
            <w:tcW w:w="1608" w:type="dxa"/>
          </w:tcPr>
          <w:p w14:paraId="00BA8E17">
            <w:pPr>
              <w:jc w:val="both"/>
              <w:rPr>
                <w:rFonts w:hint="default" w:ascii="Times New Roman" w:hAnsi="Times New Roman" w:eastAsia="宋体" w:cs="Times New Roman"/>
                <w:b/>
                <w:sz w:val="24"/>
                <w:szCs w:val="20"/>
              </w:rPr>
            </w:pPr>
          </w:p>
        </w:tc>
      </w:tr>
      <w:tr w14:paraId="1B91C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672BFA3">
            <w:pPr>
              <w:jc w:val="both"/>
              <w:rPr>
                <w:rFonts w:hint="default" w:ascii="Times New Roman" w:hAnsi="Times New Roman" w:eastAsia="宋体" w:cs="Times New Roman"/>
                <w:b/>
                <w:sz w:val="24"/>
                <w:szCs w:val="20"/>
              </w:rPr>
            </w:pPr>
          </w:p>
        </w:tc>
        <w:tc>
          <w:tcPr>
            <w:tcW w:w="3449" w:type="dxa"/>
          </w:tcPr>
          <w:p w14:paraId="2B55D7A1">
            <w:pPr>
              <w:jc w:val="both"/>
              <w:rPr>
                <w:rFonts w:hint="default" w:ascii="Times New Roman" w:hAnsi="Times New Roman" w:eastAsia="宋体" w:cs="Times New Roman"/>
                <w:b/>
                <w:sz w:val="24"/>
                <w:szCs w:val="20"/>
              </w:rPr>
            </w:pPr>
          </w:p>
        </w:tc>
        <w:tc>
          <w:tcPr>
            <w:tcW w:w="2414" w:type="dxa"/>
          </w:tcPr>
          <w:p w14:paraId="122C3F72">
            <w:pPr>
              <w:jc w:val="both"/>
              <w:rPr>
                <w:rFonts w:hint="default" w:ascii="Times New Roman" w:hAnsi="Times New Roman" w:eastAsia="宋体" w:cs="Times New Roman"/>
                <w:b/>
                <w:sz w:val="24"/>
                <w:szCs w:val="20"/>
              </w:rPr>
            </w:pPr>
          </w:p>
        </w:tc>
        <w:tc>
          <w:tcPr>
            <w:tcW w:w="1608" w:type="dxa"/>
          </w:tcPr>
          <w:p w14:paraId="11AF55CB">
            <w:pPr>
              <w:jc w:val="both"/>
              <w:rPr>
                <w:rFonts w:hint="default" w:ascii="Times New Roman" w:hAnsi="Times New Roman" w:eastAsia="宋体" w:cs="Times New Roman"/>
                <w:b/>
                <w:sz w:val="24"/>
                <w:szCs w:val="20"/>
              </w:rPr>
            </w:pPr>
          </w:p>
        </w:tc>
      </w:tr>
      <w:tr w14:paraId="2936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1800531">
            <w:pPr>
              <w:jc w:val="both"/>
              <w:rPr>
                <w:rFonts w:hint="default" w:ascii="Times New Roman" w:hAnsi="Times New Roman" w:eastAsia="宋体" w:cs="Times New Roman"/>
                <w:b/>
                <w:sz w:val="24"/>
                <w:szCs w:val="20"/>
              </w:rPr>
            </w:pPr>
          </w:p>
        </w:tc>
        <w:tc>
          <w:tcPr>
            <w:tcW w:w="3449" w:type="dxa"/>
          </w:tcPr>
          <w:p w14:paraId="6DD7015C">
            <w:pPr>
              <w:jc w:val="both"/>
              <w:rPr>
                <w:rFonts w:hint="default" w:ascii="Times New Roman" w:hAnsi="Times New Roman" w:eastAsia="宋体" w:cs="Times New Roman"/>
                <w:b/>
                <w:sz w:val="24"/>
                <w:szCs w:val="20"/>
              </w:rPr>
            </w:pPr>
          </w:p>
        </w:tc>
        <w:tc>
          <w:tcPr>
            <w:tcW w:w="2414" w:type="dxa"/>
          </w:tcPr>
          <w:p w14:paraId="4DB69D9F">
            <w:pPr>
              <w:jc w:val="both"/>
              <w:rPr>
                <w:rFonts w:hint="default" w:ascii="Times New Roman" w:hAnsi="Times New Roman" w:eastAsia="宋体" w:cs="Times New Roman"/>
                <w:b/>
                <w:sz w:val="24"/>
                <w:szCs w:val="20"/>
              </w:rPr>
            </w:pPr>
          </w:p>
        </w:tc>
        <w:tc>
          <w:tcPr>
            <w:tcW w:w="1608" w:type="dxa"/>
          </w:tcPr>
          <w:p w14:paraId="28A71E85">
            <w:pPr>
              <w:jc w:val="both"/>
              <w:rPr>
                <w:rFonts w:hint="default" w:ascii="Times New Roman" w:hAnsi="Times New Roman" w:eastAsia="宋体" w:cs="Times New Roman"/>
                <w:b/>
                <w:sz w:val="24"/>
                <w:szCs w:val="20"/>
              </w:rPr>
            </w:pPr>
          </w:p>
        </w:tc>
      </w:tr>
      <w:tr w14:paraId="4A2B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3285A3A">
            <w:pPr>
              <w:jc w:val="both"/>
              <w:rPr>
                <w:rFonts w:hint="default" w:ascii="Times New Roman" w:hAnsi="Times New Roman" w:eastAsia="宋体" w:cs="Times New Roman"/>
                <w:b/>
                <w:sz w:val="24"/>
                <w:szCs w:val="20"/>
              </w:rPr>
            </w:pPr>
          </w:p>
        </w:tc>
        <w:tc>
          <w:tcPr>
            <w:tcW w:w="3449" w:type="dxa"/>
          </w:tcPr>
          <w:p w14:paraId="1331CEBC">
            <w:pPr>
              <w:jc w:val="both"/>
              <w:rPr>
                <w:rFonts w:hint="default" w:ascii="Times New Roman" w:hAnsi="Times New Roman" w:eastAsia="宋体" w:cs="Times New Roman"/>
                <w:b/>
                <w:sz w:val="24"/>
                <w:szCs w:val="20"/>
              </w:rPr>
            </w:pPr>
          </w:p>
        </w:tc>
        <w:tc>
          <w:tcPr>
            <w:tcW w:w="2414" w:type="dxa"/>
          </w:tcPr>
          <w:p w14:paraId="2673190E">
            <w:pPr>
              <w:jc w:val="both"/>
              <w:rPr>
                <w:rFonts w:hint="default" w:ascii="Times New Roman" w:hAnsi="Times New Roman" w:eastAsia="宋体" w:cs="Times New Roman"/>
                <w:b/>
                <w:sz w:val="24"/>
                <w:szCs w:val="20"/>
              </w:rPr>
            </w:pPr>
          </w:p>
        </w:tc>
        <w:tc>
          <w:tcPr>
            <w:tcW w:w="1608" w:type="dxa"/>
          </w:tcPr>
          <w:p w14:paraId="7128E168">
            <w:pPr>
              <w:jc w:val="both"/>
              <w:rPr>
                <w:rFonts w:hint="default" w:ascii="Times New Roman" w:hAnsi="Times New Roman" w:eastAsia="宋体" w:cs="Times New Roman"/>
                <w:b/>
                <w:sz w:val="24"/>
                <w:szCs w:val="20"/>
              </w:rPr>
            </w:pPr>
          </w:p>
        </w:tc>
      </w:tr>
    </w:tbl>
    <w:p w14:paraId="39598F96">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380945F3">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7A0B3535">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0F131DE3">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61C8DA6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特种车公司空压机设备更新技改项目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573"/>
        <w:gridCol w:w="571"/>
        <w:gridCol w:w="2556"/>
        <w:gridCol w:w="715"/>
        <w:gridCol w:w="1866"/>
        <w:gridCol w:w="1434"/>
      </w:tblGrid>
      <w:tr w14:paraId="7871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29F3014C">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23FC3AB2">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0574E83">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45A0F700">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614A1B17">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0B4BF5F8">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106A8101">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36D9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3E3241DB">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1B373155">
            <w:pPr>
              <w:jc w:val="center"/>
              <w:rPr>
                <w:rFonts w:hint="eastAsia" w:ascii="Times New Roman" w:hAnsi="Times New Roman" w:eastAsia="宋体" w:cs="Times New Roman"/>
                <w:b/>
                <w:szCs w:val="20"/>
                <w:lang w:val="en-US" w:eastAsia="zh-CN"/>
              </w:rPr>
            </w:pPr>
            <w:r>
              <w:rPr>
                <w:rFonts w:hint="eastAsia" w:ascii="宋体" w:hAnsi="宋体" w:eastAsia="宋体" w:cs="宋体"/>
                <w:sz w:val="21"/>
                <w:szCs w:val="21"/>
                <w:vertAlign w:val="baseline"/>
                <w:lang w:val="en-US" w:eastAsia="zh-CN"/>
              </w:rPr>
              <w:t>永磁变频空气压缩机</w:t>
            </w:r>
          </w:p>
        </w:tc>
        <w:tc>
          <w:tcPr>
            <w:tcW w:w="0" w:type="auto"/>
            <w:vAlign w:val="center"/>
          </w:tcPr>
          <w:p w14:paraId="6D3ABF27">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2D89E801">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AADDBD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69836C96">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0BF7354B">
            <w:pPr>
              <w:jc w:val="center"/>
              <w:rPr>
                <w:rFonts w:ascii="Times New Roman" w:hAnsi="Times New Roman" w:eastAsia="宋体" w:cs="Times New Roman"/>
                <w:b/>
                <w:szCs w:val="20"/>
              </w:rPr>
            </w:pPr>
          </w:p>
        </w:tc>
        <w:tc>
          <w:tcPr>
            <w:tcW w:w="0" w:type="auto"/>
            <w:vAlign w:val="center"/>
          </w:tcPr>
          <w:p w14:paraId="777CA003">
            <w:pPr>
              <w:jc w:val="center"/>
              <w:rPr>
                <w:rFonts w:ascii="Times New Roman" w:hAnsi="Times New Roman" w:eastAsia="宋体" w:cs="Times New Roman"/>
                <w:b/>
                <w:szCs w:val="20"/>
              </w:rPr>
            </w:pPr>
          </w:p>
        </w:tc>
        <w:tc>
          <w:tcPr>
            <w:tcW w:w="0" w:type="auto"/>
            <w:vAlign w:val="center"/>
          </w:tcPr>
          <w:p w14:paraId="3E079C43">
            <w:pPr>
              <w:jc w:val="center"/>
              <w:rPr>
                <w:rFonts w:ascii="Times New Roman" w:hAnsi="Times New Roman" w:eastAsia="宋体" w:cs="Times New Roman"/>
                <w:b/>
                <w:szCs w:val="20"/>
              </w:rPr>
            </w:pPr>
          </w:p>
        </w:tc>
      </w:tr>
    </w:tbl>
    <w:p w14:paraId="4D757D88">
      <w:pPr>
        <w:rPr>
          <w:rFonts w:ascii="宋体" w:hAnsi="Arial" w:eastAsia="宋体" w:cs="Times New Roman"/>
          <w:sz w:val="24"/>
          <w:szCs w:val="24"/>
        </w:rPr>
      </w:pPr>
    </w:p>
    <w:p w14:paraId="2BFBB5CD">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7550449C">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3A5C49E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79DF0C60">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0B6D547E">
      <w:pPr>
        <w:pStyle w:val="14"/>
        <w:rPr>
          <w:rFonts w:hint="eastAsia" w:hAnsi="宋体" w:eastAsia="宋体" w:cs="Times New Roman"/>
          <w:b/>
          <w:bCs/>
          <w:szCs w:val="21"/>
          <w:highlight w:val="yellow"/>
        </w:rPr>
      </w:pPr>
    </w:p>
    <w:p w14:paraId="257AB1D1">
      <w:pPr>
        <w:pStyle w:val="14"/>
        <w:rPr>
          <w:rFonts w:hint="eastAsia" w:hAnsi="宋体" w:eastAsia="宋体" w:cs="Times New Roman"/>
          <w:b/>
          <w:bCs/>
          <w:szCs w:val="21"/>
          <w:highlight w:val="yellow"/>
        </w:rPr>
      </w:pPr>
    </w:p>
    <w:p w14:paraId="4FE7E487">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10FF5B38">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24C716C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01636B8E">
      <w:pPr>
        <w:pStyle w:val="76"/>
        <w:bidi w:val="0"/>
      </w:pPr>
      <w:r>
        <w:t xml:space="preserve"> </w:t>
      </w:r>
    </w:p>
    <w:p w14:paraId="4B1D3C52">
      <w:pPr>
        <w:pStyle w:val="76"/>
        <w:bidi w:val="0"/>
      </w:pPr>
    </w:p>
    <w:p w14:paraId="2F114915">
      <w:pPr>
        <w:pStyle w:val="76"/>
        <w:bidi w:val="0"/>
      </w:pPr>
    </w:p>
    <w:p w14:paraId="36845885">
      <w:pPr>
        <w:rPr>
          <w:rFonts w:hint="eastAsia" w:ascii="宋体" w:hAnsi="宋体" w:eastAsia="宋体" w:cs="宋体"/>
          <w:sz w:val="32"/>
          <w:szCs w:val="32"/>
          <w:highlight w:val="none"/>
          <w:lang w:val="en-US" w:eastAsia="zh-CN"/>
        </w:rPr>
      </w:pPr>
      <w:bookmarkStart w:id="78" w:name="_Toc47976616"/>
      <w:bookmarkStart w:id="79" w:name="_Toc4225"/>
      <w:r>
        <w:rPr>
          <w:rFonts w:hint="eastAsia" w:ascii="宋体" w:hAnsi="宋体" w:eastAsia="宋体" w:cs="宋体"/>
          <w:sz w:val="32"/>
          <w:szCs w:val="32"/>
          <w:highlight w:val="none"/>
          <w:lang w:val="en-US" w:eastAsia="zh-CN"/>
        </w:rPr>
        <w:br w:type="page"/>
      </w:r>
    </w:p>
    <w:p w14:paraId="78F54405">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78"/>
      <w:bookmarkEnd w:id="79"/>
      <w:r>
        <w:rPr>
          <w:rFonts w:hint="eastAsia" w:ascii="宋体" w:hAnsi="宋体" w:eastAsia="宋体" w:cs="宋体"/>
          <w:sz w:val="32"/>
          <w:szCs w:val="32"/>
          <w:highlight w:val="none"/>
          <w:lang w:val="en-US" w:eastAsia="zh-CN"/>
        </w:rPr>
        <w:t>5 投标函</w:t>
      </w:r>
    </w:p>
    <w:p w14:paraId="19EF38D3">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028CB77">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w:t>
      </w:r>
      <w:r>
        <w:rPr>
          <w:rFonts w:hint="eastAsia" w:ascii="宋体" w:hAnsi="宋体" w:cs="Times New Roman"/>
          <w:color w:val="000000"/>
          <w:sz w:val="24"/>
          <w:szCs w:val="24"/>
          <w:highlight w:val="none"/>
          <w:lang w:val="en-US" w:eastAsia="zh-CN"/>
        </w:rPr>
        <w:t>特种车</w:t>
      </w:r>
      <w:r>
        <w:rPr>
          <w:rFonts w:hint="eastAsia" w:ascii="宋体" w:hAnsi="宋体" w:cs="Times New Roman"/>
          <w:color w:val="000000"/>
          <w:sz w:val="24"/>
          <w:szCs w:val="24"/>
          <w:highlight w:val="none"/>
          <w:lang w:eastAsia="zh-CN"/>
        </w:rPr>
        <w:t>有限公司</w:t>
      </w:r>
      <w:r>
        <w:rPr>
          <w:rFonts w:hint="eastAsia" w:ascii="宋体" w:hAnsi="宋体" w:eastAsia="宋体" w:cs="Times New Roman"/>
          <w:color w:val="000000"/>
          <w:sz w:val="24"/>
          <w:szCs w:val="24"/>
          <w:highlight w:val="none"/>
        </w:rPr>
        <w:t>：</w:t>
      </w:r>
    </w:p>
    <w:p w14:paraId="206B43E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eastAsia="宋体" w:cs="Times New Roman"/>
          <w:color w:val="000000"/>
          <w:sz w:val="24"/>
          <w:szCs w:val="24"/>
          <w:highlight w:val="none"/>
          <w:u w:val="single"/>
        </w:rPr>
        <w:t>特种车公司空压机设备更新技改项目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03E0DB7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2B74787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56F2813B">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B2357AC">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5DBE875D">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3F01B889">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18A65B44">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11471D7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40F4EFF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15176FB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5C1D0EF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70E750D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65E34E8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0AFD11A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6172B0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51C525A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23C5FA0">
      <w:pPr>
        <w:pStyle w:val="76"/>
        <w:bidi w:val="0"/>
      </w:pPr>
    </w:p>
    <w:p w14:paraId="699AE92D">
      <w:pPr>
        <w:pStyle w:val="76"/>
        <w:bidi w:val="0"/>
      </w:pPr>
    </w:p>
    <w:p w14:paraId="4F616785">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A2A4ED5">
      <w:pPr>
        <w:spacing w:line="240" w:lineRule="exact"/>
        <w:jc w:val="both"/>
        <w:rPr>
          <w:rFonts w:hint="default" w:ascii="Times New Roman" w:hAnsi="Times New Roman" w:eastAsia="宋体" w:cs="Times New Roman"/>
          <w:b/>
          <w:bCs/>
          <w:sz w:val="36"/>
          <w:szCs w:val="20"/>
        </w:rPr>
      </w:pPr>
    </w:p>
    <w:p w14:paraId="610B2500">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项目名称：特种车公司空压机设备更新技改项目</w:t>
      </w:r>
    </w:p>
    <w:p w14:paraId="646BEFD0">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w:t>
      </w:r>
      <w:r>
        <w:rPr>
          <w:rFonts w:hint="eastAsia" w:cs="Times New Roman"/>
          <w:b/>
          <w:bCs/>
          <w:sz w:val="24"/>
          <w:szCs w:val="20"/>
          <w:lang w:val="en-US" w:eastAsia="zh-CN"/>
        </w:rPr>
        <w:t>特种车</w:t>
      </w:r>
      <w:r>
        <w:rPr>
          <w:rFonts w:hint="eastAsia" w:cs="Times New Roman"/>
          <w:b/>
          <w:bCs/>
          <w:sz w:val="24"/>
          <w:szCs w:val="20"/>
          <w:lang w:eastAsia="zh-CN"/>
        </w:rPr>
        <w:t>有限公司</w:t>
      </w:r>
      <w:r>
        <w:rPr>
          <w:rFonts w:hint="default" w:ascii="Times New Roman" w:hAnsi="Times New Roman" w:eastAsia="宋体" w:cs="Times New Roman"/>
          <w:b/>
          <w:bCs/>
          <w:sz w:val="24"/>
          <w:szCs w:val="20"/>
        </w:rPr>
        <w:t>：</w:t>
      </w:r>
    </w:p>
    <w:p w14:paraId="6A0E3C51">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51E94AB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D751B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73C709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B07D1A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FF555F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B93E074">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E13227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CF5DA8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FB0B06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C4FDE6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1DAEE6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D01B7A0">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ACEA89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7E713A6E">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F9AC128">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3A87B5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97669C">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4CE09A1">
      <w:pPr>
        <w:spacing w:line="360" w:lineRule="auto"/>
        <w:ind w:firstLine="480" w:firstLineChars="200"/>
        <w:jc w:val="both"/>
        <w:rPr>
          <w:rFonts w:hint="default" w:ascii="Times New Roman" w:hAnsi="Times New Roman" w:eastAsia="宋体" w:cs="Times New Roman"/>
          <w:sz w:val="24"/>
          <w:szCs w:val="20"/>
          <w:u w:val="single"/>
        </w:rPr>
      </w:pPr>
    </w:p>
    <w:p w14:paraId="1C3D93D2">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62CFB385">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613A459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640A81BD">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6FE7CC5B">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3E4921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B57EE0C">
            <w:pPr>
              <w:jc w:val="center"/>
              <w:rPr>
                <w:rFonts w:hint="default" w:ascii="Times New Roman" w:hAnsi="Times New Roman" w:eastAsia="宋体" w:cs="Times New Roman"/>
                <w:b/>
                <w:szCs w:val="20"/>
                <w:lang w:val="en-US"/>
              </w:rPr>
            </w:pPr>
            <w:r>
              <w:rPr>
                <w:rFonts w:hint="default" w:ascii="Times New Roman" w:hAnsi="Times New Roman" w:eastAsia="宋体" w:cs="Times New Roman"/>
                <w:b/>
                <w:szCs w:val="20"/>
                <w:lang w:val="en-US"/>
              </w:rPr>
              <w:t>特种车公司空压机设备更新技改项目</w:t>
            </w:r>
          </w:p>
        </w:tc>
        <w:tc>
          <w:tcPr>
            <w:tcW w:w="2875" w:type="dxa"/>
            <w:tcBorders>
              <w:top w:val="single" w:color="auto" w:sz="4" w:space="0"/>
              <w:left w:val="single" w:color="auto" w:sz="4" w:space="0"/>
              <w:bottom w:val="single" w:color="auto" w:sz="4" w:space="0"/>
              <w:right w:val="single" w:color="auto" w:sz="4" w:space="0"/>
            </w:tcBorders>
            <w:vAlign w:val="center"/>
          </w:tcPr>
          <w:p w14:paraId="39F919B6">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0EBA3DCA">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01DCE9BB">
            <w:pPr>
              <w:jc w:val="center"/>
              <w:rPr>
                <w:rFonts w:ascii="Times New Roman" w:hAnsi="Times New Roman" w:eastAsia="宋体" w:cs="Times New Roman"/>
                <w:b/>
                <w:szCs w:val="20"/>
              </w:rPr>
            </w:pPr>
            <w:r>
              <w:rPr>
                <w:rFonts w:hint="eastAsia" w:ascii="宋体" w:hAnsi="宋体" w:eastAsia="宋体" w:cs="宋体"/>
                <w:b/>
                <w:szCs w:val="20"/>
              </w:rPr>
              <w:t>是否偏离</w:t>
            </w:r>
          </w:p>
          <w:p w14:paraId="399B6B6D">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1F62BD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150574A">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335AB52D">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7F72303">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8D19032">
            <w:pPr>
              <w:jc w:val="center"/>
              <w:rPr>
                <w:rFonts w:ascii="Times New Roman" w:hAnsi="Times New Roman" w:eastAsia="宋体" w:cs="Times New Roman"/>
                <w:b/>
                <w:szCs w:val="20"/>
              </w:rPr>
            </w:pPr>
          </w:p>
        </w:tc>
      </w:tr>
      <w:tr w14:paraId="1BCD59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4DD132">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ADA0E96">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DEB4A8A">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24B4C06">
            <w:pPr>
              <w:jc w:val="center"/>
              <w:rPr>
                <w:rFonts w:ascii="Times New Roman" w:hAnsi="Times New Roman" w:eastAsia="宋体" w:cs="Times New Roman"/>
                <w:b/>
                <w:szCs w:val="21"/>
              </w:rPr>
            </w:pPr>
          </w:p>
        </w:tc>
      </w:tr>
      <w:tr w14:paraId="1B49F6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40C6424">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1FA8E0F3">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594B8BE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5E8A8FC">
            <w:pPr>
              <w:jc w:val="center"/>
              <w:rPr>
                <w:rFonts w:ascii="Times New Roman" w:hAnsi="Times New Roman" w:eastAsia="宋体" w:cs="Times New Roman"/>
                <w:b/>
                <w:szCs w:val="20"/>
              </w:rPr>
            </w:pPr>
          </w:p>
        </w:tc>
      </w:tr>
      <w:tr w14:paraId="426D07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8C73E12">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25D5041B">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46F9A4C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7B5DD489">
            <w:pPr>
              <w:jc w:val="center"/>
              <w:rPr>
                <w:rFonts w:ascii="Times New Roman" w:hAnsi="Times New Roman" w:eastAsia="宋体" w:cs="Times New Roman"/>
                <w:b/>
                <w:szCs w:val="21"/>
              </w:rPr>
            </w:pPr>
          </w:p>
          <w:p w14:paraId="61E84D3A">
            <w:pPr>
              <w:jc w:val="center"/>
              <w:rPr>
                <w:rFonts w:ascii="Times New Roman" w:hAnsi="Times New Roman" w:eastAsia="宋体" w:cs="Times New Roman"/>
                <w:b/>
                <w:szCs w:val="21"/>
              </w:rPr>
            </w:pPr>
          </w:p>
          <w:p w14:paraId="0E4F106A">
            <w:pPr>
              <w:jc w:val="center"/>
              <w:rPr>
                <w:rFonts w:ascii="Times New Roman" w:hAnsi="Times New Roman" w:eastAsia="宋体" w:cs="Times New Roman"/>
                <w:b/>
                <w:szCs w:val="21"/>
              </w:rPr>
            </w:pPr>
          </w:p>
          <w:p w14:paraId="104C0105">
            <w:pPr>
              <w:jc w:val="center"/>
              <w:rPr>
                <w:rFonts w:ascii="Times New Roman" w:hAnsi="Times New Roman" w:eastAsia="宋体" w:cs="Times New Roman"/>
                <w:b/>
                <w:szCs w:val="21"/>
              </w:rPr>
            </w:pPr>
          </w:p>
          <w:p w14:paraId="1CDBBE35">
            <w:pPr>
              <w:jc w:val="center"/>
              <w:rPr>
                <w:rFonts w:ascii="Times New Roman" w:hAnsi="Times New Roman" w:eastAsia="宋体" w:cs="Times New Roman"/>
                <w:b/>
                <w:szCs w:val="21"/>
              </w:rPr>
            </w:pPr>
          </w:p>
          <w:p w14:paraId="001832A6">
            <w:pPr>
              <w:jc w:val="center"/>
              <w:rPr>
                <w:rFonts w:ascii="Times New Roman" w:hAnsi="Times New Roman" w:eastAsia="宋体" w:cs="Times New Roman"/>
                <w:b/>
                <w:szCs w:val="21"/>
              </w:rPr>
            </w:pPr>
          </w:p>
          <w:p w14:paraId="0E3D189F">
            <w:pPr>
              <w:jc w:val="center"/>
              <w:rPr>
                <w:rFonts w:ascii="Times New Roman" w:hAnsi="Times New Roman" w:eastAsia="宋体" w:cs="Times New Roman"/>
                <w:b/>
                <w:szCs w:val="21"/>
              </w:rPr>
            </w:pPr>
          </w:p>
          <w:p w14:paraId="286EEB97">
            <w:pPr>
              <w:jc w:val="center"/>
              <w:rPr>
                <w:rFonts w:ascii="Times New Roman" w:hAnsi="Times New Roman" w:eastAsia="宋体" w:cs="Times New Roman"/>
                <w:b/>
                <w:szCs w:val="21"/>
              </w:rPr>
            </w:pPr>
          </w:p>
          <w:p w14:paraId="6D53835A">
            <w:pPr>
              <w:jc w:val="center"/>
              <w:rPr>
                <w:rFonts w:ascii="Times New Roman" w:hAnsi="Times New Roman" w:eastAsia="宋体" w:cs="Times New Roman"/>
                <w:b/>
                <w:szCs w:val="21"/>
              </w:rPr>
            </w:pPr>
          </w:p>
          <w:p w14:paraId="4F00E0A6">
            <w:pPr>
              <w:jc w:val="center"/>
              <w:rPr>
                <w:rFonts w:ascii="Times New Roman" w:hAnsi="Times New Roman" w:eastAsia="宋体" w:cs="Times New Roman"/>
                <w:b/>
                <w:szCs w:val="21"/>
              </w:rPr>
            </w:pPr>
          </w:p>
          <w:p w14:paraId="3E7818E6">
            <w:pPr>
              <w:jc w:val="center"/>
              <w:rPr>
                <w:rFonts w:ascii="Times New Roman" w:hAnsi="Times New Roman" w:eastAsia="宋体" w:cs="Times New Roman"/>
                <w:b/>
                <w:szCs w:val="21"/>
              </w:rPr>
            </w:pPr>
          </w:p>
          <w:p w14:paraId="4C93CD95">
            <w:pPr>
              <w:jc w:val="center"/>
              <w:rPr>
                <w:rFonts w:ascii="Times New Roman" w:hAnsi="Times New Roman" w:eastAsia="宋体" w:cs="Times New Roman"/>
                <w:b/>
                <w:szCs w:val="21"/>
              </w:rPr>
            </w:pPr>
          </w:p>
          <w:p w14:paraId="000E56D0">
            <w:pPr>
              <w:jc w:val="center"/>
              <w:rPr>
                <w:rFonts w:ascii="Times New Roman" w:hAnsi="Times New Roman" w:eastAsia="宋体" w:cs="Times New Roman"/>
                <w:b/>
                <w:szCs w:val="21"/>
              </w:rPr>
            </w:pPr>
          </w:p>
          <w:p w14:paraId="1864AB02">
            <w:pPr>
              <w:jc w:val="center"/>
              <w:rPr>
                <w:rFonts w:ascii="Times New Roman" w:hAnsi="Times New Roman" w:eastAsia="宋体" w:cs="Times New Roman"/>
                <w:b/>
                <w:szCs w:val="21"/>
              </w:rPr>
            </w:pPr>
          </w:p>
          <w:p w14:paraId="3A7D6A03">
            <w:pPr>
              <w:jc w:val="center"/>
              <w:rPr>
                <w:rFonts w:ascii="Times New Roman" w:hAnsi="Times New Roman" w:eastAsia="宋体" w:cs="Times New Roman"/>
                <w:b/>
                <w:szCs w:val="21"/>
              </w:rPr>
            </w:pPr>
          </w:p>
          <w:p w14:paraId="3BA73B63">
            <w:pPr>
              <w:jc w:val="center"/>
              <w:rPr>
                <w:rFonts w:ascii="Times New Roman" w:hAnsi="Times New Roman" w:eastAsia="宋体" w:cs="Times New Roman"/>
                <w:b/>
                <w:szCs w:val="21"/>
              </w:rPr>
            </w:pPr>
          </w:p>
          <w:p w14:paraId="295B4EB8">
            <w:pPr>
              <w:jc w:val="center"/>
              <w:rPr>
                <w:rFonts w:ascii="Times New Roman" w:hAnsi="Times New Roman" w:eastAsia="宋体" w:cs="Times New Roman"/>
                <w:b/>
                <w:szCs w:val="20"/>
              </w:rPr>
            </w:pPr>
          </w:p>
        </w:tc>
      </w:tr>
      <w:tr w14:paraId="515B47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51FCFB8">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12E53BFF">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27F050BA">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545B3AFE">
            <w:pPr>
              <w:jc w:val="center"/>
              <w:rPr>
                <w:rFonts w:ascii="Times New Roman" w:hAnsi="Times New Roman" w:eastAsia="宋体" w:cs="Times New Roman"/>
                <w:b/>
                <w:szCs w:val="20"/>
              </w:rPr>
            </w:pPr>
          </w:p>
        </w:tc>
      </w:tr>
    </w:tbl>
    <w:p w14:paraId="4B9BE53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1CF734E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5007A198">
      <w:pPr>
        <w:pStyle w:val="2"/>
        <w:rPr>
          <w:rFonts w:hint="default"/>
          <w:lang w:val="en-US" w:eastAsia="zh-CN"/>
        </w:rPr>
      </w:pPr>
    </w:p>
    <w:p w14:paraId="60368235">
      <w:pPr>
        <w:pStyle w:val="76"/>
        <w:rPr>
          <w:rFonts w:hint="default" w:hAnsi="宋体"/>
          <w:sz w:val="24"/>
          <w:lang w:val="en-US"/>
        </w:rPr>
      </w:pPr>
    </w:p>
    <w:p w14:paraId="3525343D">
      <w:pPr>
        <w:pStyle w:val="76"/>
        <w:rPr>
          <w:rFonts w:hint="default" w:hAnsi="宋体"/>
          <w:sz w:val="24"/>
          <w:lang w:val="en-US"/>
        </w:rPr>
      </w:pPr>
    </w:p>
    <w:p w14:paraId="59B45C72">
      <w:pPr>
        <w:pStyle w:val="76"/>
        <w:rPr>
          <w:rFonts w:hint="default" w:hAnsi="宋体"/>
          <w:sz w:val="24"/>
          <w:lang w:val="en-US"/>
        </w:rPr>
      </w:pPr>
    </w:p>
    <w:p w14:paraId="6CACCE28">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708E23EA">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分项报价表</w:t>
      </w:r>
    </w:p>
    <w:tbl>
      <w:tblPr>
        <w:tblStyle w:val="3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7"/>
        <w:gridCol w:w="2318"/>
        <w:gridCol w:w="3648"/>
        <w:gridCol w:w="1361"/>
        <w:gridCol w:w="992"/>
      </w:tblGrid>
      <w:tr w14:paraId="6BAA7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5997">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特种车公司空压机设备更新技改项目分项报价表</w:t>
            </w:r>
          </w:p>
        </w:tc>
      </w:tr>
      <w:tr w14:paraId="35604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A61C388">
            <w:pPr>
              <w:keepNext w:val="0"/>
              <w:keepLines w:val="0"/>
              <w:widowControl/>
              <w:suppressLineNumbers w:val="0"/>
              <w:jc w:val="center"/>
              <w:textAlignment w:val="center"/>
              <w:rPr>
                <w:rFonts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序号</w:t>
            </w:r>
          </w:p>
        </w:tc>
        <w:tc>
          <w:tcPr>
            <w:tcW w:w="1248"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2895A6F">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269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51DA071">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金额(元)</w:t>
            </w:r>
          </w:p>
        </w:tc>
        <w:tc>
          <w:tcPr>
            <w:tcW w:w="53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DF39085">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备注</w:t>
            </w:r>
          </w:p>
        </w:tc>
      </w:tr>
      <w:tr w14:paraId="31207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6336B56">
            <w:pPr>
              <w:jc w:val="center"/>
              <w:rPr>
                <w:rFonts w:hint="eastAsia" w:ascii="黑体" w:hAnsi="宋体" w:eastAsia="黑体" w:cs="黑体"/>
                <w:i w:val="0"/>
                <w:iCs w:val="0"/>
                <w:color w:val="000000"/>
                <w:sz w:val="22"/>
                <w:szCs w:val="22"/>
                <w:u w:val="none"/>
              </w:rPr>
            </w:pPr>
          </w:p>
        </w:tc>
        <w:tc>
          <w:tcPr>
            <w:tcW w:w="1248"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5590A6B">
            <w:pPr>
              <w:jc w:val="center"/>
              <w:rPr>
                <w:rFonts w:hint="eastAsia" w:ascii="黑体" w:hAnsi="宋体" w:eastAsia="黑体" w:cs="黑体"/>
                <w:i w:val="0"/>
                <w:iCs w:val="0"/>
                <w:color w:val="000000"/>
                <w:sz w:val="22"/>
                <w:szCs w:val="22"/>
                <w:u w:val="none"/>
              </w:rPr>
            </w:pPr>
          </w:p>
        </w:tc>
        <w:tc>
          <w:tcPr>
            <w:tcW w:w="1964"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8A6700">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未税金额</w:t>
            </w:r>
          </w:p>
        </w:tc>
        <w:tc>
          <w:tcPr>
            <w:tcW w:w="732"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8399B28">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含税金额</w:t>
            </w:r>
          </w:p>
        </w:tc>
        <w:tc>
          <w:tcPr>
            <w:tcW w:w="533"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485378D">
            <w:pPr>
              <w:jc w:val="center"/>
              <w:rPr>
                <w:rFonts w:hint="eastAsia" w:ascii="黑体" w:hAnsi="宋体" w:eastAsia="黑体" w:cs="黑体"/>
                <w:i w:val="0"/>
                <w:iCs w:val="0"/>
                <w:color w:val="000000"/>
                <w:sz w:val="22"/>
                <w:szCs w:val="22"/>
                <w:u w:val="none"/>
              </w:rPr>
            </w:pPr>
          </w:p>
        </w:tc>
      </w:tr>
      <w:tr w14:paraId="1C77A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3B0F3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w:t>
            </w:r>
          </w:p>
        </w:tc>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2FE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项目一分表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5D111">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18BB">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7BE8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62C0F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62E9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E659">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永磁变频空气压缩机</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C14C">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DD2DF">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E9C78">
            <w:pPr>
              <w:jc w:val="center"/>
              <w:rPr>
                <w:rFonts w:hint="eastAsia" w:ascii="宋体" w:hAnsi="宋体" w:eastAsia="宋体" w:cs="宋体"/>
                <w:i w:val="0"/>
                <w:iCs w:val="0"/>
                <w:color w:val="000000"/>
                <w:sz w:val="22"/>
                <w:szCs w:val="22"/>
                <w:u w:val="none"/>
              </w:rPr>
            </w:pPr>
          </w:p>
        </w:tc>
      </w:tr>
      <w:tr w14:paraId="3062E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608B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E1BC6">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冷冻式干燥机</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861F">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A0C0C">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839D7">
            <w:pPr>
              <w:jc w:val="center"/>
              <w:rPr>
                <w:rFonts w:hint="eastAsia" w:ascii="宋体" w:hAnsi="宋体" w:eastAsia="宋体" w:cs="宋体"/>
                <w:i w:val="0"/>
                <w:iCs w:val="0"/>
                <w:color w:val="000000"/>
                <w:sz w:val="22"/>
                <w:szCs w:val="22"/>
                <w:u w:val="none"/>
              </w:rPr>
            </w:pPr>
          </w:p>
        </w:tc>
      </w:tr>
      <w:tr w14:paraId="7A672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B52F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417F">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除水过滤器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8E74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7746">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B1877">
            <w:pPr>
              <w:jc w:val="center"/>
              <w:rPr>
                <w:rFonts w:hint="eastAsia" w:ascii="宋体" w:hAnsi="宋体" w:eastAsia="宋体" w:cs="宋体"/>
                <w:i w:val="0"/>
                <w:iCs w:val="0"/>
                <w:color w:val="000000"/>
                <w:sz w:val="22"/>
                <w:szCs w:val="22"/>
                <w:u w:val="none"/>
              </w:rPr>
            </w:pPr>
          </w:p>
        </w:tc>
      </w:tr>
      <w:tr w14:paraId="111BE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ECA4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A75CB">
            <w:pPr>
              <w:jc w:val="center"/>
              <w:rPr>
                <w:rFonts w:hint="eastAsia" w:ascii="宋体" w:hAnsi="宋体" w:eastAsia="宋体" w:cs="宋体"/>
                <w:i w:val="0"/>
                <w:iCs w:val="0"/>
                <w:color w:val="000000"/>
                <w:sz w:val="24"/>
                <w:szCs w:val="24"/>
                <w:u w:val="none"/>
              </w:rPr>
            </w:pPr>
            <w:r>
              <w:rPr>
                <w:rFonts w:hint="eastAsia" w:ascii="宋体" w:hAnsi="宋体" w:eastAsia="宋体" w:cs="宋体"/>
                <w:sz w:val="21"/>
                <w:szCs w:val="21"/>
                <w:vertAlign w:val="baseline"/>
                <w:lang w:val="en-US" w:eastAsia="zh-CN"/>
              </w:rPr>
              <w:t>除尘过滤器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8D4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A97A">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9FF1">
            <w:pPr>
              <w:jc w:val="center"/>
              <w:rPr>
                <w:rFonts w:hint="eastAsia" w:ascii="宋体" w:hAnsi="宋体" w:eastAsia="宋体" w:cs="宋体"/>
                <w:i w:val="0"/>
                <w:iCs w:val="0"/>
                <w:color w:val="000000"/>
                <w:sz w:val="22"/>
                <w:szCs w:val="22"/>
                <w:u w:val="none"/>
              </w:rPr>
            </w:pPr>
          </w:p>
        </w:tc>
      </w:tr>
      <w:tr w14:paraId="2FD48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501C547">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1.5</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916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除油过滤器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21DFE">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4D97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2456">
            <w:pPr>
              <w:jc w:val="center"/>
              <w:rPr>
                <w:rFonts w:hint="eastAsia" w:ascii="宋体" w:hAnsi="宋体" w:eastAsia="宋体" w:cs="宋体"/>
                <w:i w:val="0"/>
                <w:iCs w:val="0"/>
                <w:color w:val="000000"/>
                <w:sz w:val="22"/>
                <w:szCs w:val="22"/>
                <w:u w:val="none"/>
              </w:rPr>
            </w:pPr>
          </w:p>
        </w:tc>
      </w:tr>
      <w:tr w14:paraId="6875C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227B7A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1.6</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688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压力声光报警系统</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EF7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1ACF6">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81747">
            <w:pPr>
              <w:jc w:val="center"/>
              <w:rPr>
                <w:rFonts w:hint="eastAsia" w:ascii="宋体" w:hAnsi="宋体" w:eastAsia="宋体" w:cs="宋体"/>
                <w:i w:val="0"/>
                <w:iCs w:val="0"/>
                <w:color w:val="000000"/>
                <w:sz w:val="22"/>
                <w:szCs w:val="22"/>
                <w:u w:val="none"/>
              </w:rPr>
            </w:pPr>
          </w:p>
        </w:tc>
      </w:tr>
      <w:tr w14:paraId="5963A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EA6843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1.7</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8295D">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联控装置</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B3B4B">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655A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32B9D">
            <w:pPr>
              <w:jc w:val="center"/>
              <w:rPr>
                <w:rFonts w:hint="eastAsia" w:ascii="宋体" w:hAnsi="宋体" w:eastAsia="宋体" w:cs="宋体"/>
                <w:i w:val="0"/>
                <w:iCs w:val="0"/>
                <w:color w:val="000000"/>
                <w:sz w:val="22"/>
                <w:szCs w:val="22"/>
                <w:u w:val="none"/>
              </w:rPr>
            </w:pPr>
          </w:p>
        </w:tc>
      </w:tr>
      <w:tr w14:paraId="4256E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960008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1.8</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A4AB">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油水分离器滤芯</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A1D6">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6956E">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6351">
            <w:pPr>
              <w:jc w:val="center"/>
              <w:rPr>
                <w:rFonts w:hint="eastAsia" w:ascii="宋体" w:hAnsi="宋体" w:eastAsia="宋体" w:cs="宋体"/>
                <w:i w:val="0"/>
                <w:iCs w:val="0"/>
                <w:color w:val="000000"/>
                <w:sz w:val="22"/>
                <w:szCs w:val="22"/>
                <w:u w:val="none"/>
              </w:rPr>
            </w:pPr>
          </w:p>
        </w:tc>
      </w:tr>
      <w:tr w14:paraId="2E46C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16FAA9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1.9</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67EC2">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线缆及桥架</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6D261">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6175">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06321">
            <w:pPr>
              <w:jc w:val="center"/>
              <w:rPr>
                <w:rFonts w:hint="eastAsia" w:ascii="宋体" w:hAnsi="宋体" w:eastAsia="宋体" w:cs="宋体"/>
                <w:i w:val="0"/>
                <w:iCs w:val="0"/>
                <w:color w:val="000000"/>
                <w:sz w:val="22"/>
                <w:szCs w:val="22"/>
                <w:u w:val="none"/>
              </w:rPr>
            </w:pPr>
          </w:p>
        </w:tc>
      </w:tr>
      <w:tr w14:paraId="58D07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FC34C5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1.10</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0AAFD">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管道及施工</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8BBAD">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74347">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A201D">
            <w:pPr>
              <w:jc w:val="center"/>
              <w:rPr>
                <w:rFonts w:hint="eastAsia" w:ascii="宋体" w:hAnsi="宋体" w:eastAsia="宋体" w:cs="宋体"/>
                <w:i w:val="0"/>
                <w:iCs w:val="0"/>
                <w:color w:val="000000"/>
                <w:sz w:val="22"/>
                <w:szCs w:val="22"/>
                <w:u w:val="none"/>
              </w:rPr>
            </w:pPr>
          </w:p>
        </w:tc>
      </w:tr>
      <w:tr w14:paraId="658EE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9A50E1">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1.11</w:t>
            </w:r>
          </w:p>
        </w:tc>
        <w:tc>
          <w:tcPr>
            <w:tcW w:w="23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3F0C">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sz w:val="21"/>
                <w:szCs w:val="21"/>
                <w:vertAlign w:val="baseline"/>
                <w:lang w:val="en-US" w:eastAsia="zh-CN"/>
              </w:rPr>
              <w:t>检定证书</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40BE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912B">
            <w:pPr>
              <w:jc w:val="left"/>
              <w:rPr>
                <w:rFonts w:hint="eastAsia" w:ascii="宋体" w:hAnsi="宋体" w:eastAsia="宋体" w:cs="宋体"/>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60847">
            <w:pPr>
              <w:jc w:val="center"/>
              <w:rPr>
                <w:rFonts w:hint="eastAsia" w:ascii="宋体" w:hAnsi="宋体" w:eastAsia="宋体" w:cs="宋体"/>
                <w:i w:val="0"/>
                <w:iCs w:val="0"/>
                <w:color w:val="000000"/>
                <w:sz w:val="22"/>
                <w:szCs w:val="22"/>
                <w:u w:val="none"/>
              </w:rPr>
            </w:pPr>
          </w:p>
        </w:tc>
      </w:tr>
      <w:tr w14:paraId="7CD7A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A9E42C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二</w:t>
            </w:r>
          </w:p>
        </w:tc>
        <w:tc>
          <w:tcPr>
            <w:tcW w:w="1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653D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r>
              <w:rPr>
                <w:rFonts w:hint="eastAsia" w:ascii="宋体" w:hAnsi="宋体" w:cs="宋体"/>
                <w:b/>
                <w:bCs/>
                <w:i w:val="0"/>
                <w:iCs w:val="0"/>
                <w:color w:val="000000"/>
                <w:kern w:val="0"/>
                <w:sz w:val="22"/>
                <w:szCs w:val="22"/>
                <w:u w:val="none"/>
                <w:lang w:val="en-US" w:eastAsia="zh-CN" w:bidi="ar"/>
              </w:rPr>
              <w:t>二</w:t>
            </w:r>
            <w:r>
              <w:rPr>
                <w:rFonts w:hint="eastAsia" w:ascii="宋体" w:hAnsi="宋体" w:eastAsia="宋体" w:cs="宋体"/>
                <w:b/>
                <w:bCs/>
                <w:i w:val="0"/>
                <w:iCs w:val="0"/>
                <w:color w:val="000000"/>
                <w:kern w:val="0"/>
                <w:sz w:val="22"/>
                <w:szCs w:val="22"/>
                <w:u w:val="none"/>
                <w:lang w:val="en-US" w:eastAsia="zh-CN" w:bidi="ar"/>
              </w:rPr>
              <w:t>分表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8867">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DD08">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8F3B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r>
      <w:tr w14:paraId="369CC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3DA78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.1</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A0F4135">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包装箱</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27750">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BEE91">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6A6D3">
            <w:pPr>
              <w:rPr>
                <w:rFonts w:hint="eastAsia" w:ascii="宋体" w:hAnsi="宋体" w:eastAsia="宋体" w:cs="宋体"/>
                <w:i w:val="0"/>
                <w:iCs w:val="0"/>
                <w:color w:val="000000"/>
                <w:sz w:val="22"/>
                <w:szCs w:val="22"/>
                <w:u w:val="none"/>
              </w:rPr>
            </w:pPr>
          </w:p>
        </w:tc>
      </w:tr>
      <w:tr w14:paraId="2CEF5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AC4A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.2</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81472F1">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运输、安装</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9DCE">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5EA0D">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05DA">
            <w:pPr>
              <w:rPr>
                <w:rFonts w:hint="eastAsia" w:ascii="宋体" w:hAnsi="宋体" w:eastAsia="宋体" w:cs="宋体"/>
                <w:i w:val="0"/>
                <w:iCs w:val="0"/>
                <w:color w:val="000000"/>
                <w:sz w:val="22"/>
                <w:szCs w:val="22"/>
                <w:u w:val="none"/>
              </w:rPr>
            </w:pPr>
          </w:p>
        </w:tc>
      </w:tr>
      <w:tr w14:paraId="29257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CF9E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.3</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B2E9DB2">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现场调试费用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30C0">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ED4FB">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2BC2">
            <w:pPr>
              <w:rPr>
                <w:rFonts w:hint="eastAsia" w:ascii="宋体" w:hAnsi="宋体" w:eastAsia="宋体" w:cs="宋体"/>
                <w:i w:val="0"/>
                <w:iCs w:val="0"/>
                <w:color w:val="000000"/>
                <w:sz w:val="22"/>
                <w:szCs w:val="22"/>
                <w:u w:val="none"/>
              </w:rPr>
            </w:pPr>
          </w:p>
        </w:tc>
      </w:tr>
      <w:tr w14:paraId="17A8C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EF5C0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.4</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44CD1CA">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售后服务费用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EF7E9">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EDDB0">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C758">
            <w:pPr>
              <w:rPr>
                <w:rFonts w:hint="eastAsia" w:ascii="宋体" w:hAnsi="宋体" w:eastAsia="宋体" w:cs="宋体"/>
                <w:i w:val="0"/>
                <w:iCs w:val="0"/>
                <w:color w:val="000000"/>
                <w:sz w:val="22"/>
                <w:szCs w:val="22"/>
                <w:u w:val="none"/>
              </w:rPr>
            </w:pPr>
          </w:p>
        </w:tc>
      </w:tr>
      <w:tr w14:paraId="17716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00B89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.5</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D5A9A1B">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公司管理费用</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7D771">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3CCE9">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F18E">
            <w:pPr>
              <w:rPr>
                <w:rFonts w:hint="eastAsia" w:ascii="宋体" w:hAnsi="宋体" w:eastAsia="宋体" w:cs="宋体"/>
                <w:i w:val="0"/>
                <w:iCs w:val="0"/>
                <w:color w:val="000000"/>
                <w:sz w:val="22"/>
                <w:szCs w:val="22"/>
                <w:u w:val="none"/>
              </w:rPr>
            </w:pPr>
          </w:p>
        </w:tc>
      </w:tr>
      <w:tr w14:paraId="20E52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CE37B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.6</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FB3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设备利润</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95D8">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4DA62">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E72A2">
            <w:pPr>
              <w:rPr>
                <w:rFonts w:hint="eastAsia" w:ascii="宋体" w:hAnsi="宋体" w:eastAsia="宋体" w:cs="宋体"/>
                <w:i w:val="0"/>
                <w:iCs w:val="0"/>
                <w:color w:val="000000"/>
                <w:sz w:val="22"/>
                <w:szCs w:val="22"/>
                <w:u w:val="none"/>
              </w:rPr>
            </w:pPr>
          </w:p>
        </w:tc>
      </w:tr>
      <w:tr w14:paraId="23879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D13C085">
            <w:pPr>
              <w:jc w:val="center"/>
              <w:rPr>
                <w:rFonts w:hint="eastAsia" w:ascii="宋体" w:hAnsi="宋体" w:eastAsia="宋体" w:cs="宋体"/>
                <w:i w:val="0"/>
                <w:iCs w:val="0"/>
                <w:color w:val="000000"/>
                <w:sz w:val="22"/>
                <w:szCs w:val="22"/>
                <w:u w:val="none"/>
              </w:rPr>
            </w:pP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00F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财税</w:t>
            </w:r>
          </w:p>
        </w:tc>
        <w:tc>
          <w:tcPr>
            <w:tcW w:w="1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146C4">
            <w:pPr>
              <w:jc w:val="left"/>
              <w:rPr>
                <w:rFonts w:hint="eastAsia" w:ascii="宋体" w:hAnsi="宋体" w:eastAsia="宋体" w:cs="宋体"/>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2D26">
            <w:pPr>
              <w:jc w:val="left"/>
              <w:rPr>
                <w:rFonts w:hint="eastAsia" w:ascii="宋体" w:hAnsi="宋体" w:eastAsia="宋体" w:cs="宋体"/>
                <w:i w:val="0"/>
                <w:iCs w:val="0"/>
                <w:color w:val="000000"/>
                <w:sz w:val="24"/>
                <w:szCs w:val="24"/>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7364B">
            <w:pPr>
              <w:rPr>
                <w:rFonts w:hint="eastAsia" w:ascii="宋体" w:hAnsi="宋体" w:eastAsia="宋体" w:cs="宋体"/>
                <w:i w:val="0"/>
                <w:iCs w:val="0"/>
                <w:color w:val="000000"/>
                <w:sz w:val="22"/>
                <w:szCs w:val="22"/>
                <w:u w:val="none"/>
              </w:rPr>
            </w:pPr>
          </w:p>
        </w:tc>
      </w:tr>
      <w:tr w14:paraId="224DC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69"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A1224D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预算合计=一+二</w:t>
            </w:r>
          </w:p>
        </w:tc>
        <w:tc>
          <w:tcPr>
            <w:tcW w:w="1964"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EFEAA5">
            <w:pPr>
              <w:jc w:val="center"/>
              <w:rPr>
                <w:rFonts w:hint="eastAsia" w:ascii="宋体" w:hAnsi="宋体" w:eastAsia="宋体" w:cs="宋体"/>
                <w:b/>
                <w:bCs/>
                <w:i w:val="0"/>
                <w:iCs w:val="0"/>
                <w:color w:val="000000"/>
                <w:sz w:val="22"/>
                <w:szCs w:val="22"/>
                <w:u w:val="none"/>
              </w:rPr>
            </w:pPr>
          </w:p>
        </w:tc>
        <w:tc>
          <w:tcPr>
            <w:tcW w:w="732"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41C64C">
            <w:pPr>
              <w:jc w:val="center"/>
              <w:rPr>
                <w:rFonts w:hint="eastAsia" w:ascii="宋体" w:hAnsi="宋体" w:eastAsia="宋体" w:cs="宋体"/>
                <w:b/>
                <w:bCs/>
                <w:i w:val="0"/>
                <w:iCs w:val="0"/>
                <w:color w:val="000000"/>
                <w:sz w:val="22"/>
                <w:szCs w:val="22"/>
                <w:u w:val="none"/>
              </w:rPr>
            </w:pPr>
          </w:p>
        </w:tc>
        <w:tc>
          <w:tcPr>
            <w:tcW w:w="5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4ECC">
            <w:pPr>
              <w:rPr>
                <w:rFonts w:hint="eastAsia" w:ascii="宋体" w:hAnsi="宋体" w:eastAsia="宋体" w:cs="宋体"/>
                <w:i w:val="0"/>
                <w:iCs w:val="0"/>
                <w:color w:val="000000"/>
                <w:sz w:val="22"/>
                <w:szCs w:val="22"/>
                <w:u w:val="none"/>
              </w:rPr>
            </w:pPr>
          </w:p>
        </w:tc>
      </w:tr>
    </w:tbl>
    <w:p w14:paraId="6B8DBF2C">
      <w:pPr>
        <w:rPr>
          <w:rFonts w:hint="default" w:hAnsi="宋体"/>
          <w:sz w:val="24"/>
          <w:lang w:val="en-US"/>
        </w:rPr>
      </w:pPr>
    </w:p>
    <w:p w14:paraId="33BC2BC7">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2D748AB7">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附件9 SRM系统供应商用户手册</w:t>
      </w:r>
    </w:p>
    <w:p w14:paraId="161408C5">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04DE0811">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13C12A74">
      <w:pPr>
        <w:pStyle w:val="2"/>
        <w:rPr>
          <w:rFonts w:hint="eastAsia"/>
        </w:rPr>
      </w:pPr>
      <w:r>
        <w:rPr>
          <w:rFonts w:hint="eastAsia"/>
          <w:sz w:val="24"/>
          <w:highlight w:val="none"/>
        </w:rPr>
        <w:t>初始密码为scm@2022或@2023</w:t>
      </w:r>
    </w:p>
    <w:p w14:paraId="6568BDE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0C0560A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2B32DD14">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7B3062D6">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511F392C">
      <w:pPr>
        <w:snapToGrid/>
        <w:spacing w:before="0" w:after="0" w:line="240" w:lineRule="auto"/>
        <w:ind w:left="0" w:right="0"/>
        <w:jc w:val="both"/>
      </w:pPr>
    </w:p>
    <w:p w14:paraId="11744FF5">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2683AED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6611BF83">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5C3E57E7">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10F7F5A2">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F560F64">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48152AB8">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7815C65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1FBCB23E">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1C1D9B5">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4C91FF3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5CF48AC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1DC02F3">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5B64BE78">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3291003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0932D30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16B41B2F">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C791DA9">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0DEC3D3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0776F39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39284981">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4AE3B36C">
      <w:pPr>
        <w:rPr>
          <w:rFonts w:hint="default" w:hAnsi="宋体"/>
          <w:sz w:val="24"/>
          <w:lang w:val="en-US"/>
        </w:rPr>
      </w:pPr>
      <w:r>
        <w:rPr>
          <w:rFonts w:hint="default" w:hAnsi="宋体"/>
          <w:sz w:val="24"/>
          <w:lang w:val="en-US"/>
        </w:rPr>
        <w:br w:type="page"/>
      </w:r>
    </w:p>
    <w:p w14:paraId="47CBAAA9">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1B02C77F">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2F088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6BB10D2">
            <w:pPr>
              <w:jc w:val="center"/>
              <w:rPr>
                <w:rFonts w:ascii="Times New Roman" w:hAnsi="Times New Roman" w:eastAsia="宋体" w:cs="Times New Roman"/>
                <w:b/>
                <w:szCs w:val="20"/>
              </w:rPr>
            </w:pPr>
          </w:p>
          <w:p w14:paraId="0B551F98">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6BBEB6EE">
            <w:pPr>
              <w:rPr>
                <w:rFonts w:ascii="Times New Roman" w:hAnsi="Times New Roman" w:eastAsia="等线" w:cs="Times New Roman"/>
                <w:b/>
                <w:sz w:val="30"/>
                <w:szCs w:val="30"/>
              </w:rPr>
            </w:pPr>
          </w:p>
          <w:p w14:paraId="16FEA21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2</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4C52C042">
            <w:pPr>
              <w:jc w:val="center"/>
              <w:rPr>
                <w:rFonts w:ascii="Times New Roman" w:hAnsi="Times New Roman" w:eastAsia="宋体" w:cs="Times New Roman"/>
                <w:b/>
                <w:szCs w:val="20"/>
              </w:rPr>
            </w:pPr>
          </w:p>
          <w:p w14:paraId="05389DF4">
            <w:pPr>
              <w:jc w:val="center"/>
              <w:rPr>
                <w:rFonts w:ascii="Times New Roman" w:hAnsi="Times New Roman" w:eastAsia="宋体" w:cs="Times New Roman"/>
                <w:b/>
                <w:szCs w:val="20"/>
              </w:rPr>
            </w:pPr>
          </w:p>
          <w:p w14:paraId="2D664E66">
            <w:pPr>
              <w:jc w:val="center"/>
              <w:rPr>
                <w:rFonts w:hint="eastAsia" w:ascii="宋体" w:hAnsi="宋体" w:eastAsia="宋体" w:cs="宋体"/>
                <w:b/>
                <w:szCs w:val="20"/>
              </w:rPr>
            </w:pPr>
            <w:r>
              <w:rPr>
                <w:rFonts w:hint="eastAsia" w:ascii="宋体" w:hAnsi="宋体" w:eastAsia="宋体" w:cs="宋体"/>
                <w:b/>
                <w:szCs w:val="20"/>
              </w:rPr>
              <w:t>项目名称：特种车公司空压机设备更新技改项目</w:t>
            </w:r>
          </w:p>
          <w:p w14:paraId="3A073926">
            <w:pPr>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3952CF78">
            <w:pPr>
              <w:jc w:val="center"/>
              <w:rPr>
                <w:rFonts w:ascii="Times New Roman" w:hAnsi="Times New Roman" w:eastAsia="宋体" w:cs="Times New Roman"/>
                <w:b/>
                <w:szCs w:val="20"/>
              </w:rPr>
            </w:pPr>
            <w:r>
              <w:rPr>
                <w:rFonts w:hint="eastAsia" w:ascii="宋体" w:hAnsi="宋体" w:eastAsia="宋体" w:cs="宋体"/>
                <w:b/>
                <w:szCs w:val="20"/>
              </w:rPr>
              <w:t>地址：</w:t>
            </w:r>
          </w:p>
          <w:p w14:paraId="47260128">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5E28C2C6">
            <w:pPr>
              <w:jc w:val="center"/>
              <w:rPr>
                <w:rFonts w:ascii="Times New Roman" w:hAnsi="Times New Roman" w:eastAsia="宋体" w:cs="Times New Roman"/>
                <w:b/>
                <w:szCs w:val="20"/>
              </w:rPr>
            </w:pPr>
            <w:r>
              <w:rPr>
                <w:rFonts w:hint="eastAsia" w:ascii="宋体" w:hAnsi="宋体" w:eastAsia="宋体" w:cs="宋体"/>
                <w:b/>
                <w:szCs w:val="20"/>
              </w:rPr>
              <w:t>传真：</w:t>
            </w:r>
          </w:p>
          <w:p w14:paraId="1E8D1792">
            <w:pPr>
              <w:jc w:val="center"/>
              <w:rPr>
                <w:rFonts w:ascii="Times New Roman" w:hAnsi="Times New Roman" w:eastAsia="宋体" w:cs="Times New Roman"/>
                <w:b/>
                <w:szCs w:val="20"/>
              </w:rPr>
            </w:pPr>
          </w:p>
          <w:p w14:paraId="2189FAC8">
            <w:pPr>
              <w:jc w:val="center"/>
              <w:rPr>
                <w:rFonts w:ascii="Times New Roman" w:hAnsi="Times New Roman" w:eastAsia="宋体" w:cs="Times New Roman"/>
                <w:b/>
                <w:szCs w:val="20"/>
              </w:rPr>
            </w:pPr>
          </w:p>
        </w:tc>
      </w:tr>
    </w:tbl>
    <w:p w14:paraId="3F00C21B">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62E2B">
    <w:pPr>
      <w:pStyle w:val="18"/>
      <w:framePr w:wrap="around" w:vAnchor="text" w:hAnchor="margin" w:xAlign="center" w:y="1"/>
      <w:rPr>
        <w:rStyle w:val="34"/>
      </w:rPr>
    </w:pPr>
    <w:r>
      <w:fldChar w:fldCharType="begin"/>
    </w:r>
    <w:r>
      <w:rPr>
        <w:rStyle w:val="34"/>
      </w:rPr>
      <w:instrText xml:space="preserve">PAGE  </w:instrText>
    </w:r>
    <w:r>
      <w:fldChar w:fldCharType="end"/>
    </w:r>
  </w:p>
  <w:p w14:paraId="491E2D54">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E37F9">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4A32">
    <w:pPr>
      <w:pStyle w:val="18"/>
      <w:jc w:val="right"/>
      <w:rPr>
        <w:rFonts w:hint="eastAsia"/>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D860C94">
                          <w:pPr>
                            <w:pStyle w:val="18"/>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28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1D860C94">
                    <w:pPr>
                      <w:pStyle w:val="18"/>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28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2CD3C">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8FD98">
    <w:pPr>
      <w:pStyle w:val="18"/>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6DDDB">
    <w:pPr>
      <w:spacing w:line="179" w:lineRule="auto"/>
      <w:ind w:left="6868"/>
      <w:rPr>
        <w:rFonts w:ascii="宋体" w:hAnsi="宋体" w:eastAsia="宋体" w:cs="宋体"/>
        <w:sz w:val="17"/>
        <w:szCs w:val="17"/>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46B40">
    <w:pPr>
      <w:pStyle w:val="18"/>
      <w:jc w:val="center"/>
    </w:pPr>
  </w:p>
  <w:p w14:paraId="79D10F47"/>
  <w:p w14:paraId="6A798E5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C93E3">
    <w:pPr>
      <w:pStyle w:val="19"/>
      <w:ind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18672">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A39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DECDA7B"/>
    <w:multiLevelType w:val="singleLevel"/>
    <w:tmpl w:val="1DECDA7B"/>
    <w:lvl w:ilvl="0" w:tentative="0">
      <w:start w:val="3"/>
      <w:numFmt w:val="chineseCounting"/>
      <w:suff w:val="nothing"/>
      <w:lvlText w:val="%1、"/>
      <w:lvlJc w:val="left"/>
      <w:rPr>
        <w:rFonts w:hint="eastAsia"/>
      </w:rPr>
    </w:lvl>
  </w:abstractNum>
  <w:abstractNum w:abstractNumId="16">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7">
    <w:nsid w:val="2B8672BE"/>
    <w:multiLevelType w:val="singleLevel"/>
    <w:tmpl w:val="2B8672BE"/>
    <w:lvl w:ilvl="0" w:tentative="0">
      <w:start w:val="1"/>
      <w:numFmt w:val="decimal"/>
      <w:lvlText w:val="%1."/>
      <w:lvlJc w:val="left"/>
      <w:pPr>
        <w:ind w:left="425" w:hanging="425"/>
      </w:pPr>
      <w:rPr>
        <w:rFonts w:hint="default"/>
      </w:rPr>
    </w:lvl>
  </w:abstractNum>
  <w:abstractNum w:abstractNumId="18">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9">
    <w:nsid w:val="4CB32FC8"/>
    <w:multiLevelType w:val="multilevel"/>
    <w:tmpl w:val="4CB32FC8"/>
    <w:lvl w:ilvl="0" w:tentative="0">
      <w:start w:val="1"/>
      <w:numFmt w:val="upperLetter"/>
      <w:pStyle w:val="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3">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4">
    <w:nsid w:val="5A6836EF"/>
    <w:multiLevelType w:val="singleLevel"/>
    <w:tmpl w:val="5A6836EF"/>
    <w:lvl w:ilvl="0" w:tentative="0">
      <w:start w:val="1"/>
      <w:numFmt w:val="decimal"/>
      <w:suff w:val="nothing"/>
      <w:lvlText w:val="%1."/>
      <w:lvlJc w:val="left"/>
      <w:pPr>
        <w:ind w:left="0" w:firstLine="0"/>
      </w:pPr>
    </w:lvl>
  </w:abstractNum>
  <w:abstractNum w:abstractNumId="25">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6">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7">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68D339DE"/>
    <w:multiLevelType w:val="multilevel"/>
    <w:tmpl w:val="68D339DE"/>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19"/>
  </w:num>
  <w:num w:numId="2">
    <w:abstractNumId w:val="27"/>
  </w:num>
  <w:num w:numId="3">
    <w:abstractNumId w:val="22"/>
  </w:num>
  <w:num w:numId="4">
    <w:abstractNumId w:val="20"/>
  </w:num>
  <w:num w:numId="5">
    <w:abstractNumId w:val="8"/>
  </w:num>
  <w:num w:numId="6">
    <w:abstractNumId w:val="13"/>
  </w:num>
  <w:num w:numId="7">
    <w:abstractNumId w:val="16"/>
  </w:num>
  <w:num w:numId="8">
    <w:abstractNumId w:val="21"/>
  </w:num>
  <w:num w:numId="9">
    <w:abstractNumId w:val="23"/>
  </w:num>
  <w:num w:numId="10">
    <w:abstractNumId w:val="12"/>
  </w:num>
  <w:num w:numId="11">
    <w:abstractNumId w:val="10"/>
  </w:num>
  <w:num w:numId="12">
    <w:abstractNumId w:val="28"/>
  </w:num>
  <w:num w:numId="13">
    <w:abstractNumId w:val="0"/>
  </w:num>
  <w:num w:numId="14">
    <w:abstractNumId w:val="4"/>
  </w:num>
  <w:num w:numId="15">
    <w:abstractNumId w:val="5"/>
  </w:num>
  <w:num w:numId="16">
    <w:abstractNumId w:val="3"/>
  </w:num>
  <w:num w:numId="17">
    <w:abstractNumId w:val="9"/>
  </w:num>
  <w:num w:numId="18">
    <w:abstractNumId w:val="14"/>
  </w:num>
  <w:num w:numId="19">
    <w:abstractNumId w:val="2"/>
  </w:num>
  <w:num w:numId="20">
    <w:abstractNumId w:val="26"/>
  </w:num>
  <w:num w:numId="21">
    <w:abstractNumId w:val="6"/>
  </w:num>
  <w:num w:numId="22">
    <w:abstractNumId w:val="25"/>
  </w:num>
  <w:num w:numId="23">
    <w:abstractNumId w:val="7"/>
  </w:num>
  <w:num w:numId="24">
    <w:abstractNumId w:val="1"/>
  </w:num>
  <w:num w:numId="25">
    <w:abstractNumId w:val="18"/>
  </w:num>
  <w:num w:numId="26">
    <w:abstractNumId w:val="24"/>
  </w:num>
  <w:num w:numId="27">
    <w:abstractNumId w:val="17"/>
  </w:num>
  <w:num w:numId="28">
    <w:abstractNumId w:val="15"/>
  </w:num>
  <w:num w:numId="29">
    <w:abstractNumId w:val="11"/>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2173A21"/>
    <w:rsid w:val="02CC3DCA"/>
    <w:rsid w:val="02FE76EF"/>
    <w:rsid w:val="034E1239"/>
    <w:rsid w:val="036848C6"/>
    <w:rsid w:val="03F033B0"/>
    <w:rsid w:val="04472DF8"/>
    <w:rsid w:val="05612989"/>
    <w:rsid w:val="057C1D39"/>
    <w:rsid w:val="05891259"/>
    <w:rsid w:val="05D554DB"/>
    <w:rsid w:val="05F572F9"/>
    <w:rsid w:val="0654565B"/>
    <w:rsid w:val="07253DF6"/>
    <w:rsid w:val="07613623"/>
    <w:rsid w:val="08633479"/>
    <w:rsid w:val="08940DDD"/>
    <w:rsid w:val="09630A6C"/>
    <w:rsid w:val="0A63147A"/>
    <w:rsid w:val="0ADB2EF0"/>
    <w:rsid w:val="0ADD4CBE"/>
    <w:rsid w:val="0B415BB4"/>
    <w:rsid w:val="0C83309C"/>
    <w:rsid w:val="0CB51572"/>
    <w:rsid w:val="0D01045C"/>
    <w:rsid w:val="0DE73E36"/>
    <w:rsid w:val="0E4D31E3"/>
    <w:rsid w:val="0E530E38"/>
    <w:rsid w:val="10DC2AA3"/>
    <w:rsid w:val="10FA7C8C"/>
    <w:rsid w:val="12174CE2"/>
    <w:rsid w:val="121D1E44"/>
    <w:rsid w:val="12F64B6E"/>
    <w:rsid w:val="130B198F"/>
    <w:rsid w:val="13FA68E0"/>
    <w:rsid w:val="15BB1367"/>
    <w:rsid w:val="16A918E4"/>
    <w:rsid w:val="17D966D6"/>
    <w:rsid w:val="18146E94"/>
    <w:rsid w:val="18945E62"/>
    <w:rsid w:val="19517BDA"/>
    <w:rsid w:val="19581095"/>
    <w:rsid w:val="19AE68D1"/>
    <w:rsid w:val="19E33213"/>
    <w:rsid w:val="1A273FCA"/>
    <w:rsid w:val="1A463A67"/>
    <w:rsid w:val="1A4856D7"/>
    <w:rsid w:val="1A9829AF"/>
    <w:rsid w:val="1B481CDF"/>
    <w:rsid w:val="1B9B4505"/>
    <w:rsid w:val="1BA3160C"/>
    <w:rsid w:val="1BC71D3B"/>
    <w:rsid w:val="1C59115B"/>
    <w:rsid w:val="1D596BD7"/>
    <w:rsid w:val="1DFE17D9"/>
    <w:rsid w:val="1E296445"/>
    <w:rsid w:val="1EFD1680"/>
    <w:rsid w:val="1F6C766B"/>
    <w:rsid w:val="1F6D42D7"/>
    <w:rsid w:val="1FB23E60"/>
    <w:rsid w:val="1FBA79B4"/>
    <w:rsid w:val="21183ED7"/>
    <w:rsid w:val="212F23EA"/>
    <w:rsid w:val="21F50ADF"/>
    <w:rsid w:val="2225345A"/>
    <w:rsid w:val="226A2E83"/>
    <w:rsid w:val="227640E7"/>
    <w:rsid w:val="227F2CA6"/>
    <w:rsid w:val="22C5630B"/>
    <w:rsid w:val="23EC0BA6"/>
    <w:rsid w:val="24701A48"/>
    <w:rsid w:val="247E07FE"/>
    <w:rsid w:val="24AB04CD"/>
    <w:rsid w:val="25113A8A"/>
    <w:rsid w:val="25EC6AF8"/>
    <w:rsid w:val="268B0052"/>
    <w:rsid w:val="26CF6817"/>
    <w:rsid w:val="272A6A1B"/>
    <w:rsid w:val="27743C90"/>
    <w:rsid w:val="27B358EA"/>
    <w:rsid w:val="283931F7"/>
    <w:rsid w:val="284A307C"/>
    <w:rsid w:val="28B55739"/>
    <w:rsid w:val="29CA2459"/>
    <w:rsid w:val="2A5440C4"/>
    <w:rsid w:val="2B271A58"/>
    <w:rsid w:val="2B4D164C"/>
    <w:rsid w:val="2B6304A7"/>
    <w:rsid w:val="2C642D3E"/>
    <w:rsid w:val="2CF6734C"/>
    <w:rsid w:val="2D4D284A"/>
    <w:rsid w:val="2D663463"/>
    <w:rsid w:val="2E112A52"/>
    <w:rsid w:val="2EDD38C8"/>
    <w:rsid w:val="2EF96EE4"/>
    <w:rsid w:val="2EFB779B"/>
    <w:rsid w:val="2FF10008"/>
    <w:rsid w:val="309126EA"/>
    <w:rsid w:val="30C9346B"/>
    <w:rsid w:val="317E4255"/>
    <w:rsid w:val="31E37A09"/>
    <w:rsid w:val="32C207BF"/>
    <w:rsid w:val="3380787D"/>
    <w:rsid w:val="33822A0F"/>
    <w:rsid w:val="34F565DC"/>
    <w:rsid w:val="352E7115"/>
    <w:rsid w:val="35D271A0"/>
    <w:rsid w:val="36254FE4"/>
    <w:rsid w:val="36AA39B8"/>
    <w:rsid w:val="372F61E0"/>
    <w:rsid w:val="39322FCA"/>
    <w:rsid w:val="3A503E1E"/>
    <w:rsid w:val="3AB90991"/>
    <w:rsid w:val="3B706131"/>
    <w:rsid w:val="3BF833EC"/>
    <w:rsid w:val="3C8E02FC"/>
    <w:rsid w:val="3C931866"/>
    <w:rsid w:val="3D3346FD"/>
    <w:rsid w:val="3DE11DF4"/>
    <w:rsid w:val="3E6F041E"/>
    <w:rsid w:val="3E846635"/>
    <w:rsid w:val="3EC02A3D"/>
    <w:rsid w:val="3F2F74FF"/>
    <w:rsid w:val="3F9D2397"/>
    <w:rsid w:val="4020131E"/>
    <w:rsid w:val="40AC20A0"/>
    <w:rsid w:val="41A5482C"/>
    <w:rsid w:val="4275481E"/>
    <w:rsid w:val="428B617A"/>
    <w:rsid w:val="42CE288A"/>
    <w:rsid w:val="433D7BDC"/>
    <w:rsid w:val="437E1813"/>
    <w:rsid w:val="43A427AA"/>
    <w:rsid w:val="43E96A97"/>
    <w:rsid w:val="444E2202"/>
    <w:rsid w:val="45354CBC"/>
    <w:rsid w:val="45BD47FC"/>
    <w:rsid w:val="45CC5FB2"/>
    <w:rsid w:val="46B75BA8"/>
    <w:rsid w:val="46E91D19"/>
    <w:rsid w:val="476E5648"/>
    <w:rsid w:val="47DE0683"/>
    <w:rsid w:val="48C97955"/>
    <w:rsid w:val="48D805C0"/>
    <w:rsid w:val="492E2C7C"/>
    <w:rsid w:val="49880C8F"/>
    <w:rsid w:val="4A1A43A3"/>
    <w:rsid w:val="4A1E2A29"/>
    <w:rsid w:val="4A2007F8"/>
    <w:rsid w:val="4A8835F7"/>
    <w:rsid w:val="4AB619BA"/>
    <w:rsid w:val="4B1A4B97"/>
    <w:rsid w:val="4B592E71"/>
    <w:rsid w:val="4BFA7044"/>
    <w:rsid w:val="4C851584"/>
    <w:rsid w:val="4CB314C9"/>
    <w:rsid w:val="4DF75369"/>
    <w:rsid w:val="4E9E572E"/>
    <w:rsid w:val="4EA23B01"/>
    <w:rsid w:val="4EB0217D"/>
    <w:rsid w:val="4F8B220C"/>
    <w:rsid w:val="504F4EAF"/>
    <w:rsid w:val="516C4BAA"/>
    <w:rsid w:val="51BF13F4"/>
    <w:rsid w:val="51D51447"/>
    <w:rsid w:val="528B5CF4"/>
    <w:rsid w:val="52B9239A"/>
    <w:rsid w:val="52D52A7F"/>
    <w:rsid w:val="54287EA1"/>
    <w:rsid w:val="54BD78FD"/>
    <w:rsid w:val="552A3C28"/>
    <w:rsid w:val="555A2DA3"/>
    <w:rsid w:val="555B06B0"/>
    <w:rsid w:val="56901A99"/>
    <w:rsid w:val="571B2939"/>
    <w:rsid w:val="581925FA"/>
    <w:rsid w:val="58A86DDE"/>
    <w:rsid w:val="59154AD7"/>
    <w:rsid w:val="59254E33"/>
    <w:rsid w:val="5A3C6E2C"/>
    <w:rsid w:val="5A542AB4"/>
    <w:rsid w:val="5ADF548D"/>
    <w:rsid w:val="5BF95104"/>
    <w:rsid w:val="5C4627AE"/>
    <w:rsid w:val="5C9249CA"/>
    <w:rsid w:val="5D5C60B4"/>
    <w:rsid w:val="5DA23E51"/>
    <w:rsid w:val="5E5B22B9"/>
    <w:rsid w:val="5F9B694B"/>
    <w:rsid w:val="60027C70"/>
    <w:rsid w:val="605E6D10"/>
    <w:rsid w:val="60651FB9"/>
    <w:rsid w:val="614B322B"/>
    <w:rsid w:val="614E12EC"/>
    <w:rsid w:val="616D6769"/>
    <w:rsid w:val="619522AC"/>
    <w:rsid w:val="61A93542"/>
    <w:rsid w:val="62BD60DC"/>
    <w:rsid w:val="63F04A69"/>
    <w:rsid w:val="646A3D0C"/>
    <w:rsid w:val="64A82747"/>
    <w:rsid w:val="65336B29"/>
    <w:rsid w:val="65C45128"/>
    <w:rsid w:val="66526AE4"/>
    <w:rsid w:val="66822954"/>
    <w:rsid w:val="66A50B1E"/>
    <w:rsid w:val="67095CF1"/>
    <w:rsid w:val="674E3DF4"/>
    <w:rsid w:val="67B2063C"/>
    <w:rsid w:val="67C97AC3"/>
    <w:rsid w:val="67D5595A"/>
    <w:rsid w:val="67E30EC1"/>
    <w:rsid w:val="695D046C"/>
    <w:rsid w:val="6A4E3B2B"/>
    <w:rsid w:val="6A7B1191"/>
    <w:rsid w:val="6AC55E33"/>
    <w:rsid w:val="6AC838A9"/>
    <w:rsid w:val="6AED682D"/>
    <w:rsid w:val="6B481C3B"/>
    <w:rsid w:val="6B875383"/>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45D47C3"/>
    <w:rsid w:val="75341FA7"/>
    <w:rsid w:val="755404B8"/>
    <w:rsid w:val="75C77DAC"/>
    <w:rsid w:val="764F7753"/>
    <w:rsid w:val="76AC3757"/>
    <w:rsid w:val="76DC0C04"/>
    <w:rsid w:val="775939AE"/>
    <w:rsid w:val="77D4005C"/>
    <w:rsid w:val="78292927"/>
    <w:rsid w:val="78D35C78"/>
    <w:rsid w:val="78D62583"/>
    <w:rsid w:val="78F33EC6"/>
    <w:rsid w:val="78F37D6B"/>
    <w:rsid w:val="7A6B48EE"/>
    <w:rsid w:val="7B8A3D70"/>
    <w:rsid w:val="7B902651"/>
    <w:rsid w:val="7C6021A7"/>
    <w:rsid w:val="7C982F6B"/>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67"/>
    <w:semiHidden/>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111"/>
    <w:semiHidden/>
    <w:qFormat/>
    <w:uiPriority w:val="0"/>
    <w:pPr>
      <w:keepNext/>
      <w:keepLines/>
      <w:spacing w:line="416" w:lineRule="auto"/>
      <w:outlineLvl w:val="2"/>
    </w:pPr>
    <w:rPr>
      <w:b/>
      <w:bCs/>
      <w:sz w:val="32"/>
      <w:szCs w:val="32"/>
    </w:rPr>
  </w:style>
  <w:style w:type="paragraph" w:styleId="7">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8">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semiHidden/>
    <w:qFormat/>
    <w:uiPriority w:val="98"/>
    <w:rPr>
      <w:rFonts w:ascii="仿宋_GB2312" w:eastAsia="仿宋_GB2312"/>
      <w:sz w:val="32"/>
    </w:rPr>
  </w:style>
  <w:style w:type="paragraph" w:styleId="4">
    <w:name w:val="toc 3"/>
    <w:basedOn w:val="1"/>
    <w:next w:val="1"/>
    <w:semiHidden/>
    <w:qFormat/>
    <w:uiPriority w:val="39"/>
    <w:pPr>
      <w:adjustRightInd w:val="0"/>
      <w:spacing w:line="312" w:lineRule="atLeast"/>
      <w:ind w:left="840" w:leftChars="400"/>
      <w:textAlignment w:val="baseline"/>
    </w:pPr>
    <w:rPr>
      <w:kern w:val="0"/>
      <w:sz w:val="24"/>
    </w:rPr>
  </w:style>
  <w:style w:type="paragraph" w:styleId="9">
    <w:name w:val="E-mail Signature"/>
    <w:basedOn w:val="1"/>
    <w:link w:val="104"/>
    <w:semiHidden/>
    <w:qFormat/>
    <w:uiPriority w:val="99"/>
    <w:pPr>
      <w:spacing w:after="200" w:line="276" w:lineRule="auto"/>
      <w:jc w:val="left"/>
    </w:pPr>
    <w:rPr>
      <w:rFonts w:ascii="Calibri" w:hAnsi="Calibri"/>
      <w:kern w:val="0"/>
      <w:szCs w:val="21"/>
    </w:rPr>
  </w:style>
  <w:style w:type="paragraph" w:styleId="10">
    <w:name w:val="caption"/>
    <w:basedOn w:val="1"/>
    <w:next w:val="1"/>
    <w:semiHidden/>
    <w:qFormat/>
    <w:uiPriority w:val="98"/>
    <w:pPr>
      <w:spacing w:before="152" w:after="160"/>
    </w:pPr>
    <w:rPr>
      <w:rFonts w:ascii="Arial" w:hAnsi="Arial" w:eastAsia="黑体" w:cs="Arial"/>
      <w:sz w:val="20"/>
    </w:rPr>
  </w:style>
  <w:style w:type="paragraph" w:styleId="11">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2">
    <w:name w:val="annotation text"/>
    <w:basedOn w:val="1"/>
    <w:link w:val="46"/>
    <w:qFormat/>
    <w:uiPriority w:val="99"/>
    <w:pPr>
      <w:jc w:val="left"/>
    </w:p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2"/>
    <w:next w:val="12"/>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6"/>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2"/>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3"/>
    <w:semiHidden/>
    <w:qFormat/>
    <w:uiPriority w:val="0"/>
    <w:rPr>
      <w:b/>
      <w:bCs/>
      <w:kern w:val="44"/>
      <w:sz w:val="44"/>
      <w:szCs w:val="44"/>
    </w:rPr>
  </w:style>
  <w:style w:type="paragraph" w:customStyle="1" w:styleId="68">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5"/>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7"/>
    <w:semiHidden/>
    <w:qFormat/>
    <w:uiPriority w:val="0"/>
    <w:rPr>
      <w:rFonts w:ascii="Arial" w:hAnsi="Arial"/>
      <w:b/>
      <w:bCs/>
      <w:kern w:val="2"/>
      <w:sz w:val="21"/>
      <w:szCs w:val="28"/>
    </w:rPr>
  </w:style>
  <w:style w:type="character" w:customStyle="1" w:styleId="78">
    <w:name w:val="标题 5 字符"/>
    <w:basedOn w:val="32"/>
    <w:link w:val="8"/>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5"/>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1"/>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9"/>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6"/>
    <w:qFormat/>
    <w:uiPriority w:val="0"/>
    <w:rPr>
      <w:b/>
      <w:sz w:val="32"/>
    </w:rPr>
  </w:style>
  <w:style w:type="paragraph" w:customStyle="1" w:styleId="112">
    <w:name w:val="Table Paragraph"/>
    <w:basedOn w:val="1"/>
    <w:qFormat/>
    <w:uiPriority w:val="1"/>
    <w:rPr>
      <w:rFonts w:ascii="宋体" w:hAnsi="宋体" w:eastAsia="宋体" w:cs="宋体"/>
    </w:rPr>
  </w:style>
  <w:style w:type="table" w:customStyle="1" w:styleId="113">
    <w:name w:val="Table Normal"/>
    <w:qFormat/>
    <w:uiPriority w:val="0"/>
    <w:tblPr>
      <w:tblCellMar>
        <w:top w:w="0" w:type="dxa"/>
        <w:left w:w="0" w:type="dxa"/>
        <w:bottom w:w="0" w:type="dxa"/>
        <w:right w:w="0" w:type="dxa"/>
      </w:tblCellMar>
    </w:tblPr>
  </w:style>
  <w:style w:type="paragraph" w:customStyle="1" w:styleId="114">
    <w:name w:val="1正文段落"/>
    <w:basedOn w:val="1"/>
    <w:qFormat/>
    <w:uiPriority w:val="0"/>
    <w:pPr>
      <w:spacing w:line="360" w:lineRule="auto"/>
      <w:ind w:firstLine="480" w:firstLineChars="200"/>
      <w:jc w:val="left"/>
    </w:pPr>
    <w:rPr>
      <w:snapToGrid w:val="0"/>
      <w:kern w:val="0"/>
      <w:sz w:val="24"/>
      <w:szCs w:val="24"/>
    </w:rPr>
  </w:style>
  <w:style w:type="paragraph" w:customStyle="1" w:styleId="115">
    <w:name w:val="日期1"/>
    <w:basedOn w:val="1"/>
    <w:next w:val="1"/>
    <w:qFormat/>
    <w:uiPriority w:val="0"/>
    <w:pPr>
      <w:adjustRightInd w:val="0"/>
      <w:textAlignment w:val="baseline"/>
    </w:pPr>
    <w:rPr>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49</Pages>
  <Words>7948</Words>
  <Characters>8351</Characters>
  <Lines>127</Lines>
  <Paragraphs>35</Paragraphs>
  <TotalTime>12</TotalTime>
  <ScaleCrop>false</ScaleCrop>
  <LinksUpToDate>false</LinksUpToDate>
  <CharactersWithSpaces>8432</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李苗</cp:lastModifiedBy>
  <cp:lastPrinted>2020-06-28T02:28:00Z</cp:lastPrinted>
  <dcterms:modified xsi:type="dcterms:W3CDTF">2026-04-20T01:44:00Z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601B26793BCA4CB693BEEF5E7AE0A0EE_13</vt:lpwstr>
  </property>
  <property fmtid="{D5CDD505-2E9C-101B-9397-08002B2CF9AE}" pid="4" name="KSOTemplateDocerSaveRecord">
    <vt:lpwstr>eyJoZGlkIjoiN2YwOWM0YjY3OWY0MGEyNDM3ZWYyMjNhOTc0MmZhNjEiLCJ1c2VySWQiOiIxNzY1MTA3MDY1In0=</vt:lpwstr>
  </property>
</Properties>
</file>