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rPr>
          <w:highlight w:val="none"/>
        </w:rPr>
      </w:pPr>
      <w:r>
        <w:rPr>
          <w:sz w:val="48"/>
          <w:szCs w:val="48"/>
          <w:highlight w:val="none"/>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highlight w:val="none"/>
        </w:rPr>
      </w:pPr>
    </w:p>
    <w:p w14:paraId="3EA24C15">
      <w:pPr>
        <w:ind w:right="280"/>
        <w:jc w:val="center"/>
        <w:rPr>
          <w:rFonts w:ascii="宋体" w:hAnsi="宋体"/>
          <w:sz w:val="48"/>
          <w:szCs w:val="48"/>
          <w:highlight w:val="none"/>
        </w:rPr>
      </w:pPr>
    </w:p>
    <w:p w14:paraId="734DA162">
      <w:pPr>
        <w:ind w:right="280"/>
        <w:jc w:val="center"/>
        <w:rPr>
          <w:rFonts w:ascii="宋体" w:hAnsi="宋体"/>
          <w:sz w:val="48"/>
          <w:szCs w:val="48"/>
          <w:highlight w:val="none"/>
        </w:rPr>
      </w:pPr>
    </w:p>
    <w:p w14:paraId="0435320E">
      <w:pPr>
        <w:ind w:right="280"/>
        <w:jc w:val="center"/>
        <w:rPr>
          <w:rFonts w:ascii="宋体" w:hAnsi="宋体"/>
          <w:sz w:val="48"/>
          <w:szCs w:val="48"/>
          <w:highlight w:val="none"/>
        </w:rPr>
      </w:pPr>
    </w:p>
    <w:p w14:paraId="07CDE389">
      <w:pPr>
        <w:ind w:right="280"/>
        <w:jc w:val="center"/>
        <w:rPr>
          <w:rFonts w:ascii="楷体_GB2312" w:hAnsi="宋体" w:eastAsia="楷体_GB2312"/>
          <w:sz w:val="52"/>
          <w:szCs w:val="52"/>
          <w:highlight w:val="none"/>
        </w:rPr>
      </w:pPr>
    </w:p>
    <w:p w14:paraId="009EA4D6">
      <w:pPr>
        <w:ind w:right="280"/>
        <w:jc w:val="center"/>
        <w:rPr>
          <w:rFonts w:ascii="楷体_GB2312" w:hAnsi="宋体" w:eastAsia="楷体_GB2312"/>
          <w:sz w:val="52"/>
          <w:szCs w:val="52"/>
          <w:highlight w:val="none"/>
        </w:rPr>
      </w:pPr>
      <w:r>
        <w:rPr>
          <w:rFonts w:hint="eastAsia" w:ascii="楷体_GB2312" w:hAnsi="宋体" w:eastAsia="楷体_GB2312"/>
          <w:color w:val="auto"/>
          <w:sz w:val="52"/>
          <w:szCs w:val="52"/>
          <w:highlight w:val="none"/>
        </w:rPr>
        <w:t>中国重汽</w:t>
      </w:r>
      <w:r>
        <w:rPr>
          <w:rFonts w:hint="eastAsia" w:ascii="楷体_GB2312" w:hAnsi="宋体" w:eastAsia="楷体_GB2312"/>
          <w:color w:val="auto"/>
          <w:sz w:val="52"/>
          <w:szCs w:val="52"/>
          <w:highlight w:val="none"/>
          <w:lang w:val="en-US" w:eastAsia="zh-CN"/>
        </w:rPr>
        <w:t>集团济南商用车有限公司轻卡制造公司</w:t>
      </w:r>
      <w:r>
        <w:rPr>
          <w:rFonts w:hint="eastAsia" w:ascii="楷体_GB2312" w:hAnsi="宋体" w:eastAsia="楷体_GB2312"/>
          <w:color w:val="auto"/>
          <w:sz w:val="52"/>
          <w:szCs w:val="52"/>
          <w:highlight w:val="none"/>
        </w:rPr>
        <w:t>质量管理体系培训</w:t>
      </w:r>
      <w:r>
        <w:rPr>
          <w:rFonts w:hint="eastAsia" w:ascii="楷体_GB2312" w:hAnsi="宋体" w:eastAsia="楷体_GB2312"/>
          <w:sz w:val="52"/>
          <w:szCs w:val="52"/>
          <w:highlight w:val="none"/>
        </w:rPr>
        <w:t>项目</w:t>
      </w:r>
    </w:p>
    <w:p w14:paraId="612663B5">
      <w:pPr>
        <w:ind w:right="280"/>
        <w:jc w:val="center"/>
        <w:rPr>
          <w:sz w:val="28"/>
          <w:szCs w:val="28"/>
          <w:highlight w:val="none"/>
        </w:rPr>
      </w:pP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ascii="宋体" w:hAnsi="宋体" w:cs="宋体"/>
          <w:b/>
          <w:bCs/>
          <w:kern w:val="0"/>
          <w:sz w:val="32"/>
          <w:szCs w:val="32"/>
          <w:highlight w:val="none"/>
          <w:u w:val="none"/>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lang w:val="en-US" w:eastAsia="zh-CN"/>
        </w:rPr>
        <w:t xml:space="preserve"> </w:t>
      </w:r>
      <w:r>
        <w:rPr>
          <w:rFonts w:hint="eastAsia" w:ascii="宋体" w:hAnsi="宋体" w:cs="宋体"/>
          <w:b/>
          <w:bCs/>
          <w:kern w:val="0"/>
          <w:sz w:val="32"/>
          <w:szCs w:val="32"/>
          <w:highlight w:val="none"/>
          <w:u w:val="none"/>
          <w:lang w:val="en-US" w:eastAsia="zh-CN"/>
        </w:rPr>
        <w:t>ZBGL2026030217</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hint="default" w:ascii="宋体" w:hAnsi="宋体" w:eastAsia="宋体"/>
          <w:sz w:val="28"/>
          <w:szCs w:val="28"/>
          <w:highlight w:val="none"/>
          <w:u w:val="none"/>
          <w:lang w:val="en-US" w:eastAsia="zh-CN"/>
        </w:rPr>
      </w:pPr>
      <w:r>
        <w:rPr>
          <w:rFonts w:hint="eastAsia" w:ascii="宋体" w:hAnsi="宋体"/>
          <w:sz w:val="28"/>
          <w:szCs w:val="28"/>
          <w:highlight w:val="none"/>
        </w:rPr>
        <w:t>招 标 人：中国重</w:t>
      </w:r>
      <w:r>
        <w:rPr>
          <w:rFonts w:hint="eastAsia" w:ascii="宋体" w:hAnsi="宋体"/>
          <w:sz w:val="28"/>
          <w:szCs w:val="28"/>
          <w:highlight w:val="none"/>
          <w:u w:val="none"/>
        </w:rPr>
        <w:t>汽集团</w:t>
      </w:r>
      <w:r>
        <w:rPr>
          <w:rFonts w:hint="eastAsia" w:ascii="宋体" w:hAnsi="宋体"/>
          <w:sz w:val="28"/>
          <w:szCs w:val="28"/>
          <w:highlight w:val="none"/>
          <w:u w:val="none"/>
          <w:lang w:val="en-US" w:eastAsia="zh-CN"/>
        </w:rPr>
        <w:t>济南商用车</w:t>
      </w:r>
      <w:r>
        <w:rPr>
          <w:rFonts w:hint="eastAsia" w:ascii="宋体" w:hAnsi="宋体"/>
          <w:sz w:val="28"/>
          <w:szCs w:val="28"/>
          <w:highlight w:val="none"/>
          <w:u w:val="none"/>
        </w:rPr>
        <w:t>有限公司</w:t>
      </w:r>
      <w:r>
        <w:rPr>
          <w:rFonts w:hint="eastAsia" w:ascii="宋体" w:hAnsi="宋体"/>
          <w:sz w:val="28"/>
          <w:szCs w:val="28"/>
          <w:highlight w:val="none"/>
          <w:u w:val="none"/>
          <w:lang w:val="en-US" w:eastAsia="zh-CN"/>
        </w:rPr>
        <w:t>轻卡制造公司</w:t>
      </w:r>
    </w:p>
    <w:p w14:paraId="0D8A0D9A">
      <w:pPr>
        <w:jc w:val="center"/>
        <w:rPr>
          <w:rFonts w:ascii="宋体" w:hAnsi="宋体"/>
          <w:sz w:val="28"/>
          <w:szCs w:val="28"/>
          <w:highlight w:val="none"/>
        </w:rPr>
      </w:pPr>
    </w:p>
    <w:p w14:paraId="09CB3C92">
      <w:pPr>
        <w:jc w:val="center"/>
        <w:rPr>
          <w:rFonts w:ascii="宋体" w:hAnsi="宋体"/>
          <w:b/>
          <w:bCs/>
          <w:sz w:val="48"/>
          <w:szCs w:val="48"/>
          <w:highlight w:val="none"/>
          <w:u w:val="none"/>
        </w:rPr>
      </w:pPr>
      <w:r>
        <w:rPr>
          <w:rFonts w:hint="eastAsia" w:ascii="宋体" w:hAnsi="宋体"/>
          <w:sz w:val="28"/>
          <w:szCs w:val="28"/>
          <w:highlight w:val="none"/>
          <w:u w:val="none"/>
        </w:rPr>
        <w:t>20</w:t>
      </w:r>
      <w:r>
        <w:rPr>
          <w:rFonts w:hint="eastAsia" w:ascii="宋体" w:hAnsi="宋体"/>
          <w:sz w:val="28"/>
          <w:szCs w:val="28"/>
          <w:highlight w:val="none"/>
          <w:u w:val="none"/>
          <w:lang w:val="en-US" w:eastAsia="zh-CN"/>
        </w:rPr>
        <w:t>26</w:t>
      </w:r>
      <w:r>
        <w:rPr>
          <w:rFonts w:hint="eastAsia" w:ascii="宋体" w:hAnsi="宋体"/>
          <w:sz w:val="28"/>
          <w:szCs w:val="28"/>
          <w:highlight w:val="none"/>
          <w:u w:val="none"/>
        </w:rPr>
        <w:t>年</w:t>
      </w:r>
      <w:r>
        <w:rPr>
          <w:rFonts w:hint="eastAsia" w:ascii="宋体" w:hAnsi="宋体"/>
          <w:sz w:val="28"/>
          <w:szCs w:val="28"/>
          <w:highlight w:val="none"/>
          <w:u w:val="none"/>
          <w:lang w:val="en-US" w:eastAsia="zh-CN"/>
        </w:rPr>
        <w:t>4</w:t>
      </w:r>
      <w:r>
        <w:rPr>
          <w:rFonts w:hint="eastAsia" w:ascii="宋体" w:hAnsi="宋体"/>
          <w:sz w:val="28"/>
          <w:szCs w:val="28"/>
          <w:highlight w:val="none"/>
          <w:u w:val="none"/>
        </w:rPr>
        <w:t>月</w:t>
      </w:r>
    </w:p>
    <w:p w14:paraId="2E11C4D8">
      <w:pPr>
        <w:spacing w:line="480" w:lineRule="auto"/>
        <w:jc w:val="center"/>
        <w:rPr>
          <w:rFonts w:ascii="宋体" w:hAnsi="宋体"/>
          <w:b/>
          <w:bCs/>
          <w:sz w:val="48"/>
          <w:szCs w:val="48"/>
          <w:highlight w:val="none"/>
          <w:u w:val="none"/>
        </w:rPr>
        <w:sectPr>
          <w:headerReference r:id="rId4" w:type="first"/>
          <w:footerReference r:id="rId7" w:type="first"/>
          <w:headerReference r:id="rId3" w:type="default"/>
          <w:footerReference r:id="rId5" w:type="default"/>
          <w:footerReference r:id="rId6"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highlight w:val="none"/>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highlight w:val="none"/>
          <w:lang w:val="zh-CN"/>
        </w:rPr>
      </w:sdtEndPr>
      <w:sdtContent>
        <w:p w14:paraId="176426B1">
          <w:pPr>
            <w:pStyle w:val="68"/>
            <w:jc w:val="center"/>
            <w:rPr>
              <w:rFonts w:ascii="黑体" w:hAnsi="黑体" w:eastAsia="黑体"/>
              <w:b/>
              <w:color w:val="auto"/>
              <w:sz w:val="44"/>
              <w:szCs w:val="44"/>
              <w:highlight w:val="none"/>
              <w:lang w:val="zh-CN"/>
            </w:rPr>
          </w:pPr>
          <w:r>
            <w:rPr>
              <w:rFonts w:ascii="黑体" w:hAnsi="黑体" w:eastAsia="黑体"/>
              <w:b/>
              <w:color w:val="auto"/>
              <w:sz w:val="44"/>
              <w:szCs w:val="44"/>
              <w:highlight w:val="none"/>
              <w:lang w:val="zh-CN"/>
            </w:rPr>
            <w:t>目</w:t>
          </w:r>
          <w:r>
            <w:rPr>
              <w:rFonts w:hint="eastAsia" w:ascii="黑体" w:hAnsi="黑体" w:eastAsia="黑体"/>
              <w:b/>
              <w:color w:val="auto"/>
              <w:sz w:val="44"/>
              <w:szCs w:val="44"/>
              <w:highlight w:val="none"/>
              <w:lang w:val="zh-CN"/>
            </w:rPr>
            <w:t xml:space="preserve"> </w:t>
          </w:r>
          <w:r>
            <w:rPr>
              <w:rFonts w:ascii="黑体" w:hAnsi="黑体" w:eastAsia="黑体"/>
              <w:b/>
              <w:color w:val="auto"/>
              <w:sz w:val="44"/>
              <w:szCs w:val="44"/>
              <w:highlight w:val="none"/>
              <w:lang w:val="zh-CN"/>
            </w:rPr>
            <w:t xml:space="preserve">    录</w:t>
          </w:r>
        </w:p>
        <w:p w14:paraId="46B5AC1E">
          <w:pPr>
            <w:pStyle w:val="20"/>
            <w:tabs>
              <w:tab w:val="right" w:leader="middleDot" w:pos="9070"/>
              <w:tab w:val="clear" w:pos="8729"/>
            </w:tabs>
            <w:rPr>
              <w:highlight w:val="none"/>
            </w:rPr>
          </w:pPr>
          <w:r>
            <w:rPr>
              <w:rFonts w:hint="eastAsia" w:ascii="Calibri" w:hAnsi="Calibri"/>
              <w:bCs/>
              <w:kern w:val="44"/>
              <w:sz w:val="36"/>
              <w:szCs w:val="44"/>
              <w:highlight w:val="none"/>
            </w:rPr>
            <w:fldChar w:fldCharType="begin"/>
          </w:r>
          <w:r>
            <w:rPr>
              <w:rFonts w:hint="eastAsia" w:ascii="Calibri" w:hAnsi="Calibri"/>
              <w:bCs/>
              <w:kern w:val="44"/>
              <w:sz w:val="36"/>
              <w:szCs w:val="44"/>
              <w:highlight w:val="none"/>
            </w:rPr>
            <w:instrText xml:space="preserve">TOC \o "1-1" \h \u </w:instrText>
          </w:r>
          <w:r>
            <w:rPr>
              <w:rFonts w:hint="eastAsia" w:ascii="Calibri" w:hAnsi="Calibri"/>
              <w:bCs/>
              <w:kern w:val="44"/>
              <w:sz w:val="36"/>
              <w:szCs w:val="44"/>
              <w:highlight w:val="none"/>
            </w:rPr>
            <w:fldChar w:fldCharType="separate"/>
          </w:r>
          <w:r>
            <w:rPr>
              <w:rFonts w:hint="eastAsia" w:ascii="Calibri" w:hAnsi="Calibri"/>
              <w:bCs/>
              <w:kern w:val="44"/>
              <w:szCs w:val="44"/>
              <w:highlight w:val="none"/>
            </w:rPr>
            <w:fldChar w:fldCharType="begin"/>
          </w:r>
          <w:r>
            <w:rPr>
              <w:rFonts w:hint="eastAsia" w:ascii="Calibri" w:hAnsi="Calibri"/>
              <w:bCs/>
              <w:kern w:val="44"/>
              <w:szCs w:val="44"/>
              <w:highlight w:val="none"/>
            </w:rPr>
            <w:instrText xml:space="preserve"> HYPERLINK \l _Toc7104 </w:instrText>
          </w:r>
          <w:r>
            <w:rPr>
              <w:rFonts w:hint="eastAsia" w:ascii="Calibri" w:hAnsi="Calibri"/>
              <w:bCs/>
              <w:kern w:val="44"/>
              <w:szCs w:val="44"/>
              <w:highlight w:val="none"/>
            </w:rPr>
            <w:fldChar w:fldCharType="separate"/>
          </w:r>
          <w:r>
            <w:rPr>
              <w:rFonts w:hint="eastAsia"/>
              <w:highlight w:val="none"/>
            </w:rPr>
            <w:t>招标公告（适用于公开招标）</w:t>
          </w:r>
          <w:r>
            <w:rPr>
              <w:highlight w:val="none"/>
            </w:rPr>
            <w:tab/>
          </w:r>
          <w:r>
            <w:rPr>
              <w:highlight w:val="none"/>
            </w:rPr>
            <w:fldChar w:fldCharType="begin"/>
          </w:r>
          <w:r>
            <w:rPr>
              <w:highlight w:val="none"/>
            </w:rPr>
            <w:instrText xml:space="preserve"> PAGEREF _Toc7104 \h </w:instrText>
          </w:r>
          <w:r>
            <w:rPr>
              <w:highlight w:val="none"/>
            </w:rPr>
            <w:fldChar w:fldCharType="separate"/>
          </w:r>
          <w:r>
            <w:rPr>
              <w:highlight w:val="none"/>
            </w:rPr>
            <w:t>- 1 -</w:t>
          </w:r>
          <w:r>
            <w:rPr>
              <w:highlight w:val="none"/>
            </w:rPr>
            <w:fldChar w:fldCharType="end"/>
          </w:r>
          <w:r>
            <w:rPr>
              <w:rFonts w:hint="eastAsia" w:ascii="Calibri" w:hAnsi="Calibri"/>
              <w:bCs/>
              <w:kern w:val="44"/>
              <w:szCs w:val="44"/>
              <w:highlight w:val="none"/>
            </w:rPr>
            <w:fldChar w:fldCharType="end"/>
          </w:r>
        </w:p>
        <w:p w14:paraId="3718B9B5">
          <w:pPr>
            <w:pStyle w:val="20"/>
            <w:tabs>
              <w:tab w:val="right" w:leader="middle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_Toc7753 </w:instrText>
          </w:r>
          <w:r>
            <w:rPr>
              <w:rFonts w:hint="eastAsia" w:ascii="Calibri" w:hAnsi="Calibri" w:eastAsia="宋体" w:cs="Times New Roman"/>
              <w:bCs/>
              <w:kern w:val="44"/>
              <w:szCs w:val="44"/>
              <w:highlight w:val="none"/>
            </w:rPr>
            <w:fldChar w:fldCharType="separate"/>
          </w:r>
          <w:r>
            <w:rPr>
              <w:rFonts w:hint="eastAsia"/>
              <w:highlight w:val="none"/>
            </w:rPr>
            <w:t>第一部分  投标人须知</w:t>
          </w:r>
          <w:r>
            <w:rPr>
              <w:highlight w:val="none"/>
            </w:rPr>
            <w:tab/>
          </w:r>
          <w:r>
            <w:rPr>
              <w:highlight w:val="none"/>
            </w:rPr>
            <w:fldChar w:fldCharType="begin"/>
          </w:r>
          <w:r>
            <w:rPr>
              <w:highlight w:val="none"/>
            </w:rPr>
            <w:instrText xml:space="preserve"> PAGEREF _Toc7753 \h </w:instrText>
          </w:r>
          <w:r>
            <w:rPr>
              <w:highlight w:val="none"/>
            </w:rPr>
            <w:fldChar w:fldCharType="separate"/>
          </w:r>
          <w:r>
            <w:rPr>
              <w:highlight w:val="none"/>
            </w:rPr>
            <w:t>- 2 -</w:t>
          </w:r>
          <w:r>
            <w:rPr>
              <w:highlight w:val="none"/>
            </w:rPr>
            <w:fldChar w:fldCharType="end"/>
          </w:r>
          <w:r>
            <w:rPr>
              <w:rFonts w:hint="eastAsia" w:ascii="Calibri" w:hAnsi="Calibri" w:eastAsia="宋体" w:cs="Times New Roman"/>
              <w:bCs/>
              <w:kern w:val="44"/>
              <w:szCs w:val="44"/>
              <w:highlight w:val="none"/>
            </w:rPr>
            <w:fldChar w:fldCharType="end"/>
          </w:r>
        </w:p>
        <w:p w14:paraId="4D6E9C52">
          <w:pPr>
            <w:pStyle w:val="20"/>
            <w:tabs>
              <w:tab w:val="right" w:leader="middle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_Toc1910 </w:instrText>
          </w:r>
          <w:r>
            <w:rPr>
              <w:rFonts w:hint="eastAsia" w:ascii="Calibri" w:hAnsi="Calibri" w:eastAsia="宋体" w:cs="Times New Roman"/>
              <w:bCs/>
              <w:kern w:val="44"/>
              <w:szCs w:val="44"/>
              <w:highlight w:val="none"/>
            </w:rPr>
            <w:fldChar w:fldCharType="separate"/>
          </w:r>
          <w:r>
            <w:rPr>
              <w:rFonts w:hint="eastAsia"/>
              <w:highlight w:val="none"/>
            </w:rPr>
            <w:t>第二部分　</w:t>
          </w:r>
          <w:r>
            <w:rPr>
              <w:rFonts w:hint="eastAsia"/>
              <w:highlight w:val="none"/>
              <w:lang w:val="en-US" w:eastAsia="zh-CN"/>
            </w:rPr>
            <w:t>技术标书</w:t>
          </w:r>
          <w:r>
            <w:rPr>
              <w:highlight w:val="none"/>
            </w:rPr>
            <w:tab/>
          </w:r>
          <w:r>
            <w:rPr>
              <w:highlight w:val="none"/>
            </w:rPr>
            <w:fldChar w:fldCharType="begin"/>
          </w:r>
          <w:r>
            <w:rPr>
              <w:highlight w:val="none"/>
            </w:rPr>
            <w:instrText xml:space="preserve"> PAGEREF _Toc1910 \h </w:instrText>
          </w:r>
          <w:r>
            <w:rPr>
              <w:highlight w:val="none"/>
            </w:rPr>
            <w:fldChar w:fldCharType="separate"/>
          </w:r>
          <w:r>
            <w:rPr>
              <w:highlight w:val="none"/>
            </w:rPr>
            <w:t>- 8 -</w:t>
          </w:r>
          <w:r>
            <w:rPr>
              <w:highlight w:val="none"/>
            </w:rPr>
            <w:fldChar w:fldCharType="end"/>
          </w:r>
          <w:r>
            <w:rPr>
              <w:rFonts w:hint="eastAsia" w:ascii="Calibri" w:hAnsi="Calibri" w:eastAsia="宋体" w:cs="Times New Roman"/>
              <w:bCs/>
              <w:kern w:val="44"/>
              <w:szCs w:val="44"/>
              <w:highlight w:val="none"/>
            </w:rPr>
            <w:fldChar w:fldCharType="end"/>
          </w:r>
        </w:p>
        <w:p w14:paraId="5D6BEB3E">
          <w:pPr>
            <w:pStyle w:val="20"/>
            <w:tabs>
              <w:tab w:val="right" w:leader="middle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_Toc20595 </w:instrText>
          </w:r>
          <w:r>
            <w:rPr>
              <w:rFonts w:hint="eastAsia" w:ascii="Calibri" w:hAnsi="Calibri" w:eastAsia="宋体" w:cs="Times New Roman"/>
              <w:bCs/>
              <w:kern w:val="44"/>
              <w:szCs w:val="44"/>
              <w:highlight w:val="none"/>
            </w:rPr>
            <w:fldChar w:fldCharType="separate"/>
          </w:r>
          <w:r>
            <w:rPr>
              <w:rFonts w:hint="eastAsia"/>
              <w:highlight w:val="none"/>
            </w:rPr>
            <w:t>第三部分　合同主要条款</w:t>
          </w:r>
          <w:r>
            <w:rPr>
              <w:highlight w:val="none"/>
            </w:rPr>
            <w:tab/>
          </w:r>
          <w:r>
            <w:rPr>
              <w:highlight w:val="none"/>
            </w:rPr>
            <w:fldChar w:fldCharType="begin"/>
          </w:r>
          <w:r>
            <w:rPr>
              <w:highlight w:val="none"/>
            </w:rPr>
            <w:instrText xml:space="preserve"> PAGEREF _Toc20595 \h </w:instrText>
          </w:r>
          <w:r>
            <w:rPr>
              <w:highlight w:val="none"/>
            </w:rPr>
            <w:fldChar w:fldCharType="separate"/>
          </w:r>
          <w:r>
            <w:rPr>
              <w:highlight w:val="none"/>
            </w:rPr>
            <w:t>- 8 -</w:t>
          </w:r>
          <w:r>
            <w:rPr>
              <w:highlight w:val="none"/>
            </w:rPr>
            <w:fldChar w:fldCharType="end"/>
          </w:r>
          <w:r>
            <w:rPr>
              <w:rFonts w:hint="eastAsia" w:ascii="Calibri" w:hAnsi="Calibri" w:eastAsia="宋体" w:cs="Times New Roman"/>
              <w:bCs/>
              <w:kern w:val="44"/>
              <w:szCs w:val="44"/>
              <w:highlight w:val="none"/>
            </w:rPr>
            <w:fldChar w:fldCharType="end"/>
          </w:r>
        </w:p>
        <w:p w14:paraId="7691DBF9">
          <w:pPr>
            <w:pStyle w:val="20"/>
            <w:tabs>
              <w:tab w:val="right" w:leader="middle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_Toc5925 </w:instrText>
          </w:r>
          <w:r>
            <w:rPr>
              <w:rFonts w:hint="eastAsia" w:ascii="Calibri" w:hAnsi="Calibri" w:eastAsia="宋体" w:cs="Times New Roman"/>
              <w:bCs/>
              <w:kern w:val="44"/>
              <w:szCs w:val="44"/>
              <w:highlight w:val="none"/>
            </w:rPr>
            <w:fldChar w:fldCharType="separate"/>
          </w:r>
          <w:r>
            <w:rPr>
              <w:rFonts w:hint="eastAsia"/>
              <w:highlight w:val="none"/>
            </w:rPr>
            <w:t>第四部分　</w:t>
          </w:r>
          <w:r>
            <w:rPr>
              <w:rFonts w:hint="eastAsia"/>
              <w:highlight w:val="none"/>
              <w:lang w:val="en-US" w:eastAsia="zh-CN"/>
            </w:rPr>
            <w:t>投标文件附件</w:t>
          </w:r>
          <w:r>
            <w:rPr>
              <w:highlight w:val="none"/>
            </w:rPr>
            <w:tab/>
          </w:r>
          <w:r>
            <w:rPr>
              <w:highlight w:val="none"/>
            </w:rPr>
            <w:fldChar w:fldCharType="begin"/>
          </w:r>
          <w:r>
            <w:rPr>
              <w:highlight w:val="none"/>
            </w:rPr>
            <w:instrText xml:space="preserve"> PAGEREF _Toc5925 \h </w:instrText>
          </w:r>
          <w:r>
            <w:rPr>
              <w:highlight w:val="none"/>
            </w:rPr>
            <w:fldChar w:fldCharType="separate"/>
          </w:r>
          <w:r>
            <w:rPr>
              <w:highlight w:val="none"/>
            </w:rPr>
            <w:t>- 9 -</w:t>
          </w:r>
          <w:r>
            <w:rPr>
              <w:highlight w:val="none"/>
            </w:rPr>
            <w:fldChar w:fldCharType="end"/>
          </w:r>
          <w:r>
            <w:rPr>
              <w:rFonts w:hint="eastAsia" w:ascii="Calibri" w:hAnsi="Calibri" w:eastAsia="宋体" w:cs="Times New Roman"/>
              <w:bCs/>
              <w:kern w:val="44"/>
              <w:szCs w:val="44"/>
              <w:highlight w:val="none"/>
            </w:rPr>
            <w:fldChar w:fldCharType="end"/>
          </w:r>
        </w:p>
        <w:p w14:paraId="6617A57C">
          <w:pPr>
            <w:pStyle w:val="20"/>
            <w:rPr>
              <w:highlight w:val="none"/>
            </w:rPr>
          </w:pPr>
          <w:r>
            <w:rPr>
              <w:rFonts w:hint="eastAsia" w:ascii="Calibri" w:hAnsi="Calibri" w:eastAsia="宋体" w:cs="Times New Roman"/>
              <w:bCs/>
              <w:kern w:val="44"/>
              <w:szCs w:val="44"/>
              <w:highlight w:val="none"/>
            </w:rPr>
            <w:fldChar w:fldCharType="end"/>
          </w:r>
        </w:p>
      </w:sdtContent>
    </w:sdt>
    <w:p w14:paraId="582BF911">
      <w:pPr>
        <w:pStyle w:val="14"/>
        <w:tabs>
          <w:tab w:val="left" w:pos="2940"/>
        </w:tabs>
        <w:spacing w:line="360" w:lineRule="auto"/>
        <w:rPr>
          <w:highlight w:val="none"/>
        </w:rPr>
      </w:pPr>
      <w:r>
        <w:rPr>
          <w:highlight w:val="none"/>
        </w:rPr>
        <w:tab/>
      </w:r>
    </w:p>
    <w:p w14:paraId="29FEE1FC">
      <w:pPr>
        <w:pStyle w:val="14"/>
        <w:spacing w:line="360" w:lineRule="auto"/>
        <w:jc w:val="center"/>
        <w:rPr>
          <w:highlight w:val="none"/>
        </w:rPr>
      </w:pPr>
    </w:p>
    <w:p w14:paraId="1A6E7B1A">
      <w:pPr>
        <w:pStyle w:val="14"/>
        <w:spacing w:line="360" w:lineRule="auto"/>
        <w:jc w:val="center"/>
        <w:rPr>
          <w:highlight w:val="none"/>
        </w:rPr>
        <w:sectPr>
          <w:pgSz w:w="11906" w:h="16838"/>
          <w:pgMar w:top="1701" w:right="1418" w:bottom="1134" w:left="1418" w:header="851" w:footer="992" w:gutter="0"/>
          <w:pgNumType w:fmt="numberInDash" w:start="1"/>
          <w:cols w:space="720" w:num="1"/>
          <w:titlePg/>
          <w:docGrid w:type="lines" w:linePitch="312" w:charSpace="0"/>
        </w:sectPr>
      </w:pPr>
    </w:p>
    <w:p w14:paraId="1575B427">
      <w:pPr>
        <w:pStyle w:val="71"/>
        <w:rPr>
          <w:rFonts w:hint="eastAsia"/>
          <w:highlight w:val="none"/>
        </w:rPr>
      </w:pPr>
      <w:bookmarkStart w:id="0" w:name="_Toc7104"/>
      <w:bookmarkStart w:id="1" w:name="_Toc47976587"/>
      <w:r>
        <w:rPr>
          <w:rFonts w:hint="eastAsia"/>
          <w:highlight w:val="none"/>
        </w:rPr>
        <w:t>招标公告</w:t>
      </w:r>
      <w:bookmarkEnd w:id="0"/>
      <w:bookmarkEnd w:id="1"/>
      <w:bookmarkStart w:id="2" w:name="_Toc32474"/>
    </w:p>
    <w:p w14:paraId="5953C7BF">
      <w:pPr>
        <w:pStyle w:val="71"/>
        <w:rPr>
          <w:rFonts w:hint="eastAsia"/>
          <w:sz w:val="28"/>
          <w:highlight w:val="none"/>
          <w:u w:val="none"/>
        </w:rPr>
      </w:pPr>
      <w:r>
        <w:rPr>
          <w:rFonts w:hint="eastAsia"/>
          <w:sz w:val="28"/>
          <w:highlight w:val="none"/>
          <w:u w:val="none"/>
        </w:rPr>
        <w:t>中国重汽集团济南商用车有限公司</w:t>
      </w:r>
      <w:r>
        <w:rPr>
          <w:rFonts w:hint="eastAsia"/>
          <w:sz w:val="28"/>
          <w:highlight w:val="none"/>
          <w:u w:val="none"/>
          <w:lang w:val="en-US" w:eastAsia="zh-CN"/>
        </w:rPr>
        <w:t>轻卡制造公司</w:t>
      </w:r>
      <w:r>
        <w:rPr>
          <w:rFonts w:hint="eastAsia"/>
          <w:sz w:val="28"/>
          <w:highlight w:val="none"/>
          <w:u w:val="none"/>
        </w:rPr>
        <w:t>质量管理体系培训项目招标公告</w:t>
      </w:r>
      <w:bookmarkEnd w:id="2"/>
    </w:p>
    <w:p w14:paraId="3B867C39">
      <w:pPr>
        <w:pStyle w:val="71"/>
        <w:rPr>
          <w:rFonts w:hint="eastAsia"/>
          <w:highlight w:val="none"/>
        </w:rPr>
      </w:pPr>
    </w:p>
    <w:p w14:paraId="2A47C58A">
      <w:pPr>
        <w:pStyle w:val="72"/>
        <w:rPr>
          <w:highlight w:val="none"/>
        </w:rPr>
      </w:pPr>
      <w:bookmarkStart w:id="3" w:name="_Toc47976588"/>
      <w:r>
        <w:rPr>
          <w:rFonts w:hint="eastAsia"/>
          <w:highlight w:val="none"/>
        </w:rPr>
        <w:t>项目名称及项目编号</w:t>
      </w:r>
      <w:bookmarkEnd w:id="3"/>
    </w:p>
    <w:p w14:paraId="4A3C51C8">
      <w:pPr>
        <w:pStyle w:val="73"/>
        <w:rPr>
          <w:highlight w:val="none"/>
        </w:rPr>
      </w:pPr>
      <w:r>
        <w:rPr>
          <w:rFonts w:hint="eastAsia"/>
          <w:highlight w:val="none"/>
        </w:rPr>
        <w:t>项目名称：中国重汽集团济南商用车有限公司</w:t>
      </w:r>
      <w:r>
        <w:rPr>
          <w:rFonts w:hint="eastAsia"/>
          <w:highlight w:val="none"/>
          <w:lang w:val="en-US" w:eastAsia="zh-CN"/>
        </w:rPr>
        <w:t>轻卡制造公司</w:t>
      </w:r>
      <w:r>
        <w:rPr>
          <w:rFonts w:hint="eastAsia"/>
          <w:highlight w:val="none"/>
        </w:rPr>
        <w:t>质量管理体系培训项目</w:t>
      </w:r>
    </w:p>
    <w:p w14:paraId="15020D03">
      <w:pPr>
        <w:pStyle w:val="73"/>
        <w:rPr>
          <w:rFonts w:hint="eastAsia"/>
          <w:highlight w:val="none"/>
          <w:lang w:val="en-US" w:eastAsia="zh-CN"/>
        </w:rPr>
      </w:pPr>
      <w:r>
        <w:rPr>
          <w:rFonts w:hint="eastAsia"/>
          <w:highlight w:val="none"/>
        </w:rPr>
        <w:t>项目编号：</w:t>
      </w:r>
      <w:r>
        <w:rPr>
          <w:rFonts w:hint="eastAsia"/>
          <w:highlight w:val="none"/>
          <w:lang w:val="en-US" w:eastAsia="zh-CN"/>
        </w:rPr>
        <w:t>ZBGL2026030217</w:t>
      </w:r>
    </w:p>
    <w:p w14:paraId="0AB9F24D">
      <w:pPr>
        <w:pStyle w:val="72"/>
        <w:rPr>
          <w:highlight w:val="none"/>
        </w:rPr>
      </w:pPr>
      <w:bookmarkStart w:id="4" w:name="_Toc47976589"/>
      <w:r>
        <w:rPr>
          <w:rFonts w:hint="eastAsia"/>
          <w:highlight w:val="none"/>
          <w:lang w:val="en-US" w:eastAsia="zh-CN"/>
        </w:rPr>
        <w:t>项目概况</w:t>
      </w:r>
      <w:r>
        <w:rPr>
          <w:rFonts w:hint="eastAsia"/>
          <w:highlight w:val="none"/>
        </w:rPr>
        <w:t>及招标形式</w:t>
      </w:r>
      <w:bookmarkEnd w:id="4"/>
    </w:p>
    <w:p w14:paraId="1A912F05">
      <w:pPr>
        <w:pStyle w:val="73"/>
        <w:numPr>
          <w:ilvl w:val="0"/>
          <w:numId w:val="9"/>
        </w:numPr>
        <w:rPr>
          <w:highlight w:val="none"/>
        </w:rPr>
      </w:pPr>
      <w:r>
        <w:rPr>
          <w:rFonts w:hint="eastAsia"/>
          <w:highlight w:val="none"/>
        </w:rPr>
        <w:t>招标内容：</w:t>
      </w:r>
      <w:r>
        <w:rPr>
          <w:rFonts w:hint="eastAsia"/>
          <w:highlight w:val="none"/>
          <w:lang w:val="en-US" w:eastAsia="zh-CN"/>
        </w:rPr>
        <w:t>项目共2期，每期一个班，约60人，招标课程为《质量管理体系培训课程》：包括六大工具、VDA6.3和VDA6.5培训等</w:t>
      </w:r>
    </w:p>
    <w:p w14:paraId="4EC58B63">
      <w:pPr>
        <w:pStyle w:val="73"/>
        <w:rPr>
          <w:highlight w:val="none"/>
        </w:rPr>
      </w:pPr>
      <w:r>
        <w:rPr>
          <w:rFonts w:hint="eastAsia"/>
          <w:highlight w:val="none"/>
        </w:rPr>
        <w:t>招标形式：</w:t>
      </w:r>
      <w:r>
        <w:rPr>
          <w:rFonts w:hint="eastAsia"/>
          <w:highlight w:val="none"/>
          <w:lang w:val="en-US" w:eastAsia="zh-CN"/>
        </w:rPr>
        <w:t>公开招标</w:t>
      </w:r>
    </w:p>
    <w:p w14:paraId="0B813421">
      <w:pPr>
        <w:pStyle w:val="72"/>
        <w:rPr>
          <w:highlight w:val="none"/>
        </w:rPr>
      </w:pPr>
      <w:bookmarkStart w:id="5" w:name="_Toc47976590"/>
      <w:r>
        <w:rPr>
          <w:rFonts w:hint="eastAsia"/>
          <w:highlight w:val="none"/>
        </w:rPr>
        <w:t>投标人资格要求</w:t>
      </w:r>
      <w:bookmarkEnd w:id="5"/>
    </w:p>
    <w:p w14:paraId="66FBD174">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1.所有拟投标人需满足以下条件：</w:t>
      </w:r>
    </w:p>
    <w:p w14:paraId="47A09E79">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1）投标人是企业法人的，必须是在中华人民共和国境内注册的独立法人机构，具有独立承担民事责任能力，原则上投标人注册资金不低于项目标的额或不低于300万元；公司成立三年以上（以营业执照成立日期到开标当日满三年为准）；且经营范围满足招标人需求；并在人员、设备、资金等方面具有承担本项目的能力；投标人是事业单位和社会团体及其分支机构，且经营范围满足招标方需求并在人员、设备、资金等方面具有承担本项目的能力的，可不受注册资金和成立时间限制；</w:t>
      </w:r>
    </w:p>
    <w:p w14:paraId="747D9B7E">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（2）投标人应遵守《中华人民共和国招投标法》及有关的法律和法规。具备独立法人资格，具有独立承担民事责任能力、良好的财务状况并具有一定的垫资能力，能切实履行合同。</w:t>
      </w:r>
    </w:p>
    <w:p w14:paraId="58EBC9DD">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（3）投标人在国家企业信用信息公示系统中有不良记录、近三年的公司财务报表异常、存在与本项目有关的违法及严重违规或被列入招标人“黑名单”的，招标人有权取消其投标资格。</w:t>
      </w:r>
    </w:p>
    <w:p w14:paraId="7F718265">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4）投标人应有相关或类似培训项目策划执行实施经验，具有良好的风险应对能力，能够认可招标人的工作指令，包括节假日能正常开展工作等要求，并在开标时携带以往项目策划执行资料、企业资信材料、财务报表及完税证明等备查；</w:t>
      </w:r>
    </w:p>
    <w:p w14:paraId="673E1C54">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投标人须知：应明确要求投标人提供</w:t>
      </w:r>
    </w:p>
    <w:p w14:paraId="164EC550">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 xml:space="preserve">①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14:paraId="438E8817">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 xml:space="preserve">②企业最近半年完税证明、信用证明材料（中国人民银行信用代码证+征信报告）； </w:t>
      </w:r>
    </w:p>
    <w:p w14:paraId="67933FD8">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 xml:space="preserve">③年度纳税信用评价信息（可从电子税务局查询截图，需加盖公章）； </w:t>
      </w:r>
    </w:p>
    <w:p w14:paraId="07E0C23F">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④企业对外担保说明（写明贵单位对外有无对外担保和质押业务，需加盖公章）。</w:t>
      </w:r>
    </w:p>
    <w:p w14:paraId="36DBDB75">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2.投标人对课程材料拥有合法的知识产权或具有合法的来源，有关知识产权中不存在任何侵犯第三方的权益。</w:t>
      </w:r>
    </w:p>
    <w:p w14:paraId="54FA6564">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highlight w:val="none"/>
        </w:rPr>
      </w:pPr>
      <w:r>
        <w:rPr>
          <w:rFonts w:hint="eastAsia" w:ascii="宋体" w:hAnsi="宋体" w:eastAsia="宋体" w:cs="宋体"/>
          <w:b w:val="0"/>
          <w:bCs w:val="0"/>
          <w:color w:val="000000"/>
          <w:sz w:val="24"/>
          <w:szCs w:val="24"/>
          <w:highlight w:val="none"/>
        </w:rPr>
        <w:t xml:space="preserve">3.投标方的直接或间接股东、法定代表人、董事、监事、高管非重汽员工及其亲属。 </w:t>
      </w:r>
    </w:p>
    <w:p w14:paraId="76B97D53">
      <w:pPr>
        <w:pStyle w:val="72"/>
        <w:rPr>
          <w:highlight w:val="none"/>
        </w:rPr>
      </w:pPr>
      <w:bookmarkStart w:id="6" w:name="_Toc47976591"/>
      <w:r>
        <w:rPr>
          <w:rFonts w:hint="eastAsia"/>
          <w:highlight w:val="none"/>
        </w:rPr>
        <w:t>报名及招标文件的获取</w:t>
      </w:r>
      <w:bookmarkEnd w:id="6"/>
    </w:p>
    <w:p w14:paraId="5DF18DB2">
      <w:pPr>
        <w:pStyle w:val="7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b w:val="0"/>
          <w:bCs w:val="0"/>
          <w:color w:val="000000"/>
          <w:sz w:val="24"/>
          <w:szCs w:val="24"/>
          <w:highlight w:val="none"/>
          <w:lang w:val="en-US"/>
        </w:rPr>
      </w:pPr>
      <w:bookmarkStart w:id="7" w:name="_Toc47976592"/>
      <w:r>
        <w:rPr>
          <w:rFonts w:hint="eastAsia" w:ascii="宋体" w:hAnsi="宋体" w:eastAsia="宋体" w:cs="宋体"/>
          <w:b w:val="0"/>
          <w:bCs w:val="0"/>
          <w:color w:val="000000"/>
          <w:sz w:val="24"/>
          <w:szCs w:val="24"/>
          <w:highlight w:val="none"/>
        </w:rPr>
        <w:t>中国重汽</w:t>
      </w:r>
      <w:r>
        <w:rPr>
          <w:rFonts w:hint="eastAsia" w:ascii="宋体" w:hAnsi="宋体" w:eastAsia="宋体" w:cs="宋体"/>
          <w:b w:val="0"/>
          <w:bCs w:val="0"/>
          <w:color w:val="000000"/>
          <w:sz w:val="24"/>
          <w:szCs w:val="24"/>
          <w:highlight w:val="none"/>
          <w:lang w:val="en-US" w:eastAsia="zh-CN"/>
        </w:rPr>
        <w:t>官网+重汽e采通</w:t>
      </w:r>
    </w:p>
    <w:p w14:paraId="4509C0DA">
      <w:pPr>
        <w:pStyle w:val="72"/>
        <w:rPr>
          <w:highlight w:val="none"/>
        </w:rPr>
      </w:pPr>
      <w:r>
        <w:rPr>
          <w:rFonts w:hint="eastAsia"/>
          <w:highlight w:val="none"/>
        </w:rPr>
        <w:t>投标文件的递交</w:t>
      </w:r>
      <w:bookmarkEnd w:id="7"/>
    </w:p>
    <w:p w14:paraId="29499F7F">
      <w:pPr>
        <w:pStyle w:val="14"/>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bCs/>
          <w:color w:val="000000"/>
          <w:sz w:val="24"/>
          <w:szCs w:val="24"/>
          <w:highlight w:val="none"/>
          <w:lang w:val="en-US" w:eastAsia="zh-CN"/>
        </w:rPr>
        <w:t>1、报名方式：</w:t>
      </w:r>
      <w:r>
        <w:rPr>
          <w:rFonts w:hint="eastAsia" w:ascii="宋体" w:hAnsi="宋体" w:eastAsia="宋体" w:cs="宋体"/>
          <w:b w:val="0"/>
          <w:bCs w:val="0"/>
          <w:color w:val="000000"/>
          <w:sz w:val="24"/>
          <w:szCs w:val="24"/>
          <w:highlight w:val="none"/>
        </w:rPr>
        <w:t>拟投标人根据招标人在中国重汽官网等公开媒体上发布的招标信息，在“中国重汽e采通”平台报名。按照中国重汽e采通“SRM非生产供应商注册手册”（附件</w:t>
      </w:r>
      <w:r>
        <w:rPr>
          <w:rFonts w:hint="eastAsia" w:hAnsi="宋体" w:eastAsia="宋体" w:cs="宋体"/>
          <w:b w:val="0"/>
          <w:bCs w:val="0"/>
          <w:color w:val="000000"/>
          <w:sz w:val="24"/>
          <w:szCs w:val="24"/>
          <w:highlight w:val="none"/>
          <w:lang w:val="en-US" w:eastAsia="zh-CN"/>
        </w:rPr>
        <w:t>1</w:t>
      </w:r>
      <w:r>
        <w:rPr>
          <w:rFonts w:hint="eastAsia" w:hAnsi="宋体" w:cs="宋体"/>
          <w:b w:val="0"/>
          <w:bCs w:val="0"/>
          <w:color w:val="000000"/>
          <w:sz w:val="24"/>
          <w:szCs w:val="24"/>
          <w:highlight w:val="none"/>
          <w:lang w:val="en-US" w:eastAsia="zh-CN"/>
        </w:rPr>
        <w:t>0</w:t>
      </w:r>
      <w:r>
        <w:rPr>
          <w:rFonts w:hint="eastAsia" w:ascii="宋体" w:hAnsi="宋体" w:eastAsia="宋体" w:cs="宋体"/>
          <w:b w:val="0"/>
          <w:bCs w:val="0"/>
          <w:color w:val="000000"/>
          <w:sz w:val="24"/>
          <w:szCs w:val="24"/>
          <w:highlight w:val="none"/>
        </w:rPr>
        <w:t>）进行注册，注册完毕后按照“SRM系统供应商用户手册（附件1</w:t>
      </w:r>
      <w:r>
        <w:rPr>
          <w:rFonts w:hint="eastAsia" w:hAnsi="宋体" w:cs="宋体"/>
          <w:b w:val="0"/>
          <w:bCs w:val="0"/>
          <w:color w:val="000000"/>
          <w:sz w:val="24"/>
          <w:szCs w:val="24"/>
          <w:highlight w:val="none"/>
          <w:lang w:val="en-US" w:eastAsia="zh-CN"/>
        </w:rPr>
        <w:t>1</w:t>
      </w:r>
      <w:r>
        <w:rPr>
          <w:rFonts w:hint="eastAsia" w:ascii="宋体" w:hAnsi="宋体" w:eastAsia="宋体" w:cs="宋体"/>
          <w:b w:val="0"/>
          <w:bCs w:val="0"/>
          <w:color w:val="000000"/>
          <w:sz w:val="24"/>
          <w:szCs w:val="24"/>
          <w:highlight w:val="none"/>
        </w:rPr>
        <w:t>）”，登录重汽e采通平台后进入“供应商应标”，选择对应的项目，点击“应标”后按照招标文件第三部分投标文件组成资格证明文件中的1.1-1.1</w:t>
      </w:r>
      <w:r>
        <w:rPr>
          <w:rFonts w:hint="eastAsia" w:hAnsi="宋体" w:cs="宋体"/>
          <w:b w:val="0"/>
          <w:bCs w:val="0"/>
          <w:color w:val="000000"/>
          <w:sz w:val="24"/>
          <w:szCs w:val="24"/>
          <w:highlight w:val="none"/>
          <w:lang w:val="en-US" w:eastAsia="zh-CN"/>
        </w:rPr>
        <w:t>1</w:t>
      </w:r>
      <w:r>
        <w:rPr>
          <w:rFonts w:hint="eastAsia" w:ascii="宋体" w:hAnsi="宋体" w:eastAsia="宋体" w:cs="宋体"/>
          <w:b w:val="0"/>
          <w:bCs w:val="0"/>
          <w:color w:val="000000"/>
          <w:sz w:val="24"/>
          <w:szCs w:val="24"/>
          <w:highlight w:val="none"/>
        </w:rPr>
        <w:t>准备资料并上传，资质审查通过即为报名成功；公示期间请尽快报名。</w:t>
      </w:r>
    </w:p>
    <w:p w14:paraId="74F16209">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报名时提供的资料不合格的会在系统被驳回，请及时查阅审核状态并及时补齐资料，不能按时补充资料的视为自动放弃本次投标。</w:t>
      </w:r>
    </w:p>
    <w:p w14:paraId="0E7E22E6">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请投标人自行确认中国重汽e采通系统中供应商信息完整、准确，因供应商信息不全或错误导致的报名不成功，由投标人自行承担。</w:t>
      </w:r>
    </w:p>
    <w:p w14:paraId="31DAA474">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w:t>
      </w:r>
      <w:r>
        <w:rPr>
          <w:rFonts w:hint="eastAsia" w:hAnsi="宋体" w:cs="宋体"/>
          <w:b w:val="0"/>
          <w:bCs w:val="0"/>
          <w:color w:val="000000"/>
          <w:sz w:val="24"/>
          <w:szCs w:val="24"/>
          <w:highlight w:val="none"/>
          <w:lang w:val="en-US" w:eastAsia="zh-CN"/>
        </w:rPr>
        <w:t>1</w:t>
      </w:r>
      <w:r>
        <w:rPr>
          <w:rFonts w:hint="eastAsia" w:ascii="宋体" w:hAnsi="宋体" w:eastAsia="宋体" w:cs="宋体"/>
          <w:b w:val="0"/>
          <w:bCs w:val="0"/>
          <w:color w:val="000000"/>
          <w:sz w:val="24"/>
          <w:szCs w:val="24"/>
          <w:highlight w:val="none"/>
        </w:rPr>
        <w:t>）</w:t>
      </w:r>
    </w:p>
    <w:p w14:paraId="67405165">
      <w:pPr>
        <w:pStyle w:val="14"/>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2、应标截止时间</w:t>
      </w:r>
      <w:r>
        <w:rPr>
          <w:rFonts w:hint="eastAsia" w:ascii="宋体" w:hAnsi="宋体" w:eastAsia="宋体" w:cs="宋体"/>
          <w:b w:val="0"/>
          <w:bCs w:val="0"/>
          <w:color w:val="000000"/>
          <w:sz w:val="24"/>
          <w:szCs w:val="24"/>
          <w:highlight w:val="none"/>
          <w:lang w:val="en-US" w:eastAsia="zh-CN"/>
        </w:rPr>
        <w:t>：2026年</w:t>
      </w:r>
      <w:r>
        <w:rPr>
          <w:rFonts w:hint="eastAsia" w:hAnsi="宋体" w:cs="宋体"/>
          <w:b w:val="0"/>
          <w:bCs w:val="0"/>
          <w:color w:val="000000"/>
          <w:sz w:val="24"/>
          <w:szCs w:val="24"/>
          <w:highlight w:val="none"/>
          <w:lang w:val="en-US" w:eastAsia="zh-CN"/>
        </w:rPr>
        <w:t>4</w:t>
      </w:r>
      <w:r>
        <w:rPr>
          <w:rFonts w:hint="eastAsia" w:ascii="宋体" w:hAnsi="宋体" w:eastAsia="宋体" w:cs="宋体"/>
          <w:b w:val="0"/>
          <w:bCs w:val="0"/>
          <w:color w:val="000000"/>
          <w:sz w:val="24"/>
          <w:szCs w:val="24"/>
          <w:highlight w:val="none"/>
          <w:lang w:val="en-US" w:eastAsia="zh-CN"/>
        </w:rPr>
        <w:t>月</w:t>
      </w:r>
      <w:r>
        <w:rPr>
          <w:rFonts w:hint="eastAsia" w:hAnsi="宋体" w:cs="宋体"/>
          <w:b w:val="0"/>
          <w:bCs w:val="0"/>
          <w:color w:val="000000"/>
          <w:sz w:val="24"/>
          <w:szCs w:val="24"/>
          <w:highlight w:val="none"/>
          <w:lang w:val="en-US" w:eastAsia="zh-CN"/>
        </w:rPr>
        <w:t>20</w:t>
      </w:r>
      <w:r>
        <w:rPr>
          <w:rFonts w:hint="eastAsia" w:ascii="宋体" w:hAnsi="宋体" w:eastAsia="宋体" w:cs="宋体"/>
          <w:b w:val="0"/>
          <w:bCs w:val="0"/>
          <w:color w:val="000000"/>
          <w:sz w:val="24"/>
          <w:szCs w:val="24"/>
          <w:highlight w:val="none"/>
          <w:lang w:val="en-US" w:eastAsia="zh-CN"/>
        </w:rPr>
        <w:t>日17时00分00秒</w:t>
      </w:r>
    </w:p>
    <w:p w14:paraId="12959CF4">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注：请务必在应标截止时间前完成注册及应标操作，注册审核需2-4日，应标截止时间精确到秒，逾期将无法应标。请自行掌握时间，避免无法应标。</w:t>
      </w:r>
    </w:p>
    <w:p w14:paraId="700EB19F">
      <w:pPr>
        <w:pStyle w:val="14"/>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3、投标方式</w:t>
      </w:r>
      <w:r>
        <w:rPr>
          <w:rFonts w:hint="eastAsia" w:ascii="宋体" w:hAnsi="宋体" w:eastAsia="宋体" w:cs="宋体"/>
          <w:b w:val="0"/>
          <w:bCs w:val="0"/>
          <w:color w:val="000000"/>
          <w:sz w:val="24"/>
          <w:szCs w:val="24"/>
          <w:highlight w:val="none"/>
          <w:lang w:val="en-US" w:eastAsia="zh-CN"/>
        </w:rPr>
        <w:t>：</w:t>
      </w:r>
      <w:r>
        <w:rPr>
          <w:rFonts w:hint="eastAsia" w:ascii="宋体" w:hAnsi="宋体" w:eastAsia="宋体" w:cs="宋体"/>
          <w:b/>
          <w:bCs/>
          <w:color w:val="000000"/>
          <w:sz w:val="24"/>
          <w:szCs w:val="24"/>
          <w:highlight w:val="none"/>
          <w:lang w:val="en-US" w:eastAsia="zh-CN"/>
        </w:rPr>
        <w:t>在中国重汽e采通平台应标成功后，进入“供应商投标”环节，投递盖章扫描版电子标书（包含资质标书、技术标书、商务标书）</w:t>
      </w:r>
      <w:r>
        <w:rPr>
          <w:rFonts w:hint="eastAsia" w:ascii="宋体" w:hAnsi="宋体" w:eastAsia="宋体" w:cs="宋体"/>
          <w:b w:val="0"/>
          <w:bCs w:val="0"/>
          <w:color w:val="000000"/>
          <w:sz w:val="24"/>
          <w:szCs w:val="24"/>
          <w:highlight w:val="none"/>
          <w:lang w:val="en-US" w:eastAsia="zh-CN"/>
        </w:rPr>
        <w:t>，若逾期未在中国重汽e采通平台上传电子标书，即便递交了纸版投标文件，一律视为无效投标。</w:t>
      </w:r>
    </w:p>
    <w:p w14:paraId="40141445">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纸质版投标文件的份数要求为正本一份，副本</w:t>
      </w:r>
      <w:r>
        <w:rPr>
          <w:rFonts w:hint="eastAsia" w:hAnsi="宋体" w:cs="宋体"/>
          <w:b w:val="0"/>
          <w:bCs w:val="0"/>
          <w:color w:val="000000"/>
          <w:sz w:val="24"/>
          <w:szCs w:val="24"/>
          <w:highlight w:val="none"/>
          <w:lang w:val="en-US" w:eastAsia="zh-CN"/>
        </w:rPr>
        <w:t>二</w:t>
      </w:r>
      <w:r>
        <w:rPr>
          <w:rFonts w:hint="eastAsia" w:ascii="宋体" w:hAnsi="宋体" w:eastAsia="宋体" w:cs="宋体"/>
          <w:b w:val="0"/>
          <w:bCs w:val="0"/>
          <w:color w:val="000000"/>
          <w:sz w:val="24"/>
          <w:szCs w:val="24"/>
          <w:highlight w:val="none"/>
          <w:lang w:val="en-US" w:eastAsia="zh-CN"/>
        </w:rPr>
        <w:t>份，资质投标书、技术投标书及商务投标书的同类文件封装在一个包封里，包封表面按照附件</w:t>
      </w:r>
      <w:r>
        <w:rPr>
          <w:rFonts w:hint="eastAsia" w:hAnsi="宋体" w:cs="宋体"/>
          <w:b w:val="0"/>
          <w:bCs w:val="0"/>
          <w:color w:val="000000"/>
          <w:sz w:val="24"/>
          <w:szCs w:val="24"/>
          <w:highlight w:val="none"/>
          <w:lang w:val="en-US" w:eastAsia="zh-CN"/>
        </w:rPr>
        <w:t>9</w:t>
      </w:r>
      <w:r>
        <w:rPr>
          <w:rFonts w:hint="eastAsia" w:ascii="宋体" w:hAnsi="宋体" w:eastAsia="宋体" w:cs="宋体"/>
          <w:b w:val="0"/>
          <w:bCs w:val="0"/>
          <w:color w:val="000000"/>
          <w:sz w:val="24"/>
          <w:szCs w:val="24"/>
          <w:highlight w:val="none"/>
          <w:lang w:val="en-US" w:eastAsia="zh-CN"/>
        </w:rPr>
        <w:t>标注文件信息；共计三个包封。</w:t>
      </w:r>
    </w:p>
    <w:p w14:paraId="64E5D85A">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如选择到场参与开标，自行携带纸质投标文件于开标前至开标地点即可。</w:t>
      </w:r>
    </w:p>
    <w:p w14:paraId="69C65734">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如选择线上参与开标，纸质投标文件需在开标日前两天，邮寄到指定地址。</w:t>
      </w:r>
    </w:p>
    <w:p w14:paraId="28CA4BC0">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邮寄地址：山东省济南市章丘区潘王路东园区十一号路北，轻卡</w:t>
      </w:r>
      <w:r>
        <w:rPr>
          <w:rFonts w:hint="eastAsia" w:hAnsi="宋体" w:cs="宋体"/>
          <w:b w:val="0"/>
          <w:bCs w:val="0"/>
          <w:color w:val="000000"/>
          <w:sz w:val="24"/>
          <w:szCs w:val="24"/>
          <w:highlight w:val="none"/>
          <w:lang w:val="en-US" w:eastAsia="zh-CN"/>
        </w:rPr>
        <w:t>制造</w:t>
      </w:r>
      <w:r>
        <w:rPr>
          <w:rFonts w:hint="eastAsia" w:ascii="宋体" w:hAnsi="宋体" w:eastAsia="宋体" w:cs="宋体"/>
          <w:b w:val="0"/>
          <w:bCs w:val="0"/>
          <w:color w:val="000000"/>
          <w:sz w:val="24"/>
          <w:szCs w:val="24"/>
          <w:highlight w:val="none"/>
          <w:lang w:val="en-US" w:eastAsia="zh-CN"/>
        </w:rPr>
        <w:t>公司</w:t>
      </w:r>
    </w:p>
    <w:p w14:paraId="2DC5F1AF">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联系人及联系方式：</w:t>
      </w:r>
      <w:r>
        <w:rPr>
          <w:rFonts w:hint="eastAsia" w:hAnsi="宋体" w:cs="宋体"/>
          <w:b w:val="0"/>
          <w:bCs w:val="0"/>
          <w:color w:val="000000"/>
          <w:sz w:val="24"/>
          <w:szCs w:val="24"/>
          <w:highlight w:val="none"/>
          <w:lang w:val="en-US" w:eastAsia="zh-CN"/>
        </w:rPr>
        <w:t>王苒</w:t>
      </w:r>
      <w:r>
        <w:rPr>
          <w:rFonts w:hint="eastAsia" w:ascii="宋体" w:hAnsi="宋体" w:eastAsia="宋体" w:cs="宋体"/>
          <w:b w:val="0"/>
          <w:bCs w:val="0"/>
          <w:color w:val="000000"/>
          <w:sz w:val="24"/>
          <w:szCs w:val="24"/>
          <w:highlight w:val="none"/>
          <w:lang w:val="en-US" w:eastAsia="zh-CN"/>
        </w:rPr>
        <w:t>/1</w:t>
      </w:r>
      <w:r>
        <w:rPr>
          <w:rFonts w:hint="eastAsia" w:hAnsi="宋体" w:cs="宋体"/>
          <w:b w:val="0"/>
          <w:bCs w:val="0"/>
          <w:color w:val="000000"/>
          <w:sz w:val="24"/>
          <w:szCs w:val="24"/>
          <w:highlight w:val="none"/>
          <w:lang w:val="en-US" w:eastAsia="zh-CN"/>
        </w:rPr>
        <w:t>8834913536</w:t>
      </w:r>
    </w:p>
    <w:p w14:paraId="4E2904DA">
      <w:pPr>
        <w:pStyle w:val="14"/>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highlight w:val="none"/>
          <w:lang w:val="en-US" w:eastAsia="zh-CN"/>
        </w:rPr>
      </w:pPr>
      <w:r>
        <w:rPr>
          <w:rFonts w:hint="eastAsia" w:hAnsi="宋体" w:eastAsia="宋体" w:cs="宋体"/>
          <w:b/>
          <w:bCs/>
          <w:sz w:val="24"/>
          <w:highlight w:val="none"/>
        </w:rPr>
        <w:t>纸质版投标文件和电子版投标文件必须保证内容一致；如确实存在不一致的，以电子标书为准，同时要求投标人对纸版标书做出修正。</w:t>
      </w:r>
    </w:p>
    <w:p w14:paraId="0BDBF25C">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Ansi="宋体" w:eastAsia="宋体" w:cs="宋体"/>
          <w:sz w:val="24"/>
          <w:szCs w:val="24"/>
          <w:highlight w:val="none"/>
        </w:rPr>
      </w:pPr>
      <w:r>
        <w:rPr>
          <w:rFonts w:hint="eastAsia" w:ascii="宋体" w:hAnsi="宋体" w:eastAsia="宋体" w:cs="宋体"/>
          <w:b w:val="0"/>
          <w:bCs w:val="0"/>
          <w:color w:val="000000"/>
          <w:sz w:val="24"/>
          <w:szCs w:val="24"/>
          <w:highlight w:val="none"/>
          <w:lang w:val="en-US" w:eastAsia="zh-CN"/>
        </w:rPr>
        <w:t>4、</w:t>
      </w:r>
      <w:r>
        <w:rPr>
          <w:rFonts w:hint="eastAsia" w:hAnsi="宋体" w:eastAsia="宋体" w:cs="宋体"/>
          <w:b/>
          <w:bCs/>
          <w:sz w:val="24"/>
          <w:szCs w:val="24"/>
          <w:highlight w:val="none"/>
        </w:rPr>
        <w:t>投标文件递交截止时间：</w:t>
      </w:r>
      <w:r>
        <w:rPr>
          <w:rFonts w:hint="eastAsia" w:ascii="宋体" w:hAnsi="宋体" w:eastAsia="宋体" w:cs="宋体"/>
          <w:bCs/>
          <w:sz w:val="24"/>
          <w:szCs w:val="24"/>
          <w:highlight w:val="none"/>
        </w:rPr>
        <w:t>202</w:t>
      </w:r>
      <w:r>
        <w:rPr>
          <w:rFonts w:hint="eastAsia" w:hAnsi="宋体" w:eastAsia="宋体" w:cs="宋体"/>
          <w:bCs/>
          <w:sz w:val="24"/>
          <w:szCs w:val="24"/>
          <w:highlight w:val="none"/>
          <w:lang w:val="en-US" w:eastAsia="zh-CN"/>
        </w:rPr>
        <w:t>6</w:t>
      </w:r>
      <w:r>
        <w:rPr>
          <w:rFonts w:hint="eastAsia" w:ascii="宋体" w:hAnsi="宋体" w:eastAsia="宋体" w:cs="宋体"/>
          <w:bCs/>
          <w:sz w:val="24"/>
          <w:szCs w:val="24"/>
          <w:highlight w:val="none"/>
        </w:rPr>
        <w:t>年</w:t>
      </w:r>
      <w:r>
        <w:rPr>
          <w:rFonts w:hint="eastAsia" w:hAnsi="宋体" w:cs="宋体"/>
          <w:bCs/>
          <w:sz w:val="24"/>
          <w:szCs w:val="24"/>
          <w:highlight w:val="none"/>
          <w:lang w:val="en-US" w:eastAsia="zh-CN"/>
        </w:rPr>
        <w:t>4</w:t>
      </w:r>
      <w:r>
        <w:rPr>
          <w:rFonts w:hint="eastAsia" w:hAnsi="宋体" w:eastAsia="宋体" w:cs="宋体"/>
          <w:bCs/>
          <w:sz w:val="24"/>
          <w:szCs w:val="24"/>
          <w:highlight w:val="none"/>
          <w:lang w:val="en-US" w:eastAsia="zh-CN"/>
        </w:rPr>
        <w:t>月</w:t>
      </w:r>
      <w:r>
        <w:rPr>
          <w:rFonts w:hint="eastAsia" w:hAnsi="宋体" w:cs="宋体"/>
          <w:bCs/>
          <w:sz w:val="24"/>
          <w:szCs w:val="24"/>
          <w:highlight w:val="none"/>
          <w:lang w:val="en-US" w:eastAsia="zh-CN"/>
        </w:rPr>
        <w:t>30</w:t>
      </w:r>
      <w:r>
        <w:rPr>
          <w:rFonts w:hint="eastAsia" w:hAnsi="宋体" w:eastAsia="宋体" w:cs="宋体"/>
          <w:bCs/>
          <w:sz w:val="24"/>
          <w:szCs w:val="24"/>
          <w:highlight w:val="none"/>
          <w:lang w:val="en-US" w:eastAsia="zh-CN"/>
        </w:rPr>
        <w:t>日</w:t>
      </w:r>
      <w:r>
        <w:rPr>
          <w:rFonts w:hint="eastAsia" w:hAnsi="宋体" w:cs="宋体"/>
          <w:bCs/>
          <w:sz w:val="24"/>
          <w:szCs w:val="24"/>
          <w:highlight w:val="none"/>
          <w:lang w:val="en-US" w:eastAsia="zh-CN"/>
        </w:rPr>
        <w:t>上午9</w:t>
      </w:r>
      <w:r>
        <w:rPr>
          <w:rFonts w:hint="eastAsia" w:hAnsi="宋体" w:eastAsia="宋体" w:cs="宋体"/>
          <w:sz w:val="24"/>
          <w:szCs w:val="24"/>
          <w:highlight w:val="none"/>
          <w:shd w:val="clear"/>
        </w:rPr>
        <w:t>:00:00</w:t>
      </w:r>
      <w:r>
        <w:rPr>
          <w:rFonts w:hint="eastAsia" w:hAnsi="宋体" w:eastAsia="宋体" w:cs="宋体"/>
          <w:sz w:val="24"/>
          <w:szCs w:val="24"/>
          <w:highlight w:val="none"/>
        </w:rPr>
        <w:t>（北京时间）</w:t>
      </w:r>
    </w:p>
    <w:p w14:paraId="33A24519">
      <w:pPr>
        <w:pStyle w:val="14"/>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 w:val="0"/>
          <w:bCs w:val="0"/>
          <w:color w:val="000000"/>
          <w:sz w:val="24"/>
          <w:szCs w:val="24"/>
          <w:highlight w:val="none"/>
          <w:lang w:val="en-US" w:eastAsia="zh-CN"/>
        </w:rPr>
      </w:pPr>
      <w:r>
        <w:rPr>
          <w:rFonts w:hint="eastAsia" w:hAnsi="宋体" w:eastAsia="宋体" w:cs="宋体"/>
          <w:b/>
          <w:bCs/>
          <w:sz w:val="24"/>
          <w:szCs w:val="24"/>
          <w:highlight w:val="none"/>
        </w:rPr>
        <w:t>注：请务必在投标文件递交截止时间前完成投标操作，截止时间精确到秒，逾期将无法投标。请自行掌握时间，避免无法投标</w:t>
      </w:r>
      <w:r>
        <w:rPr>
          <w:rFonts w:hint="eastAsia" w:eastAsia="宋体" w:cs="宋体"/>
          <w:b/>
          <w:bCs/>
          <w:sz w:val="24"/>
          <w:szCs w:val="28"/>
          <w:highlight w:val="none"/>
        </w:rPr>
        <w:t>。</w:t>
      </w:r>
    </w:p>
    <w:p w14:paraId="6ABD7639">
      <w:pPr>
        <w:pStyle w:val="72"/>
        <w:numPr>
          <w:ilvl w:val="0"/>
          <w:numId w:val="0"/>
        </w:numPr>
        <w:ind w:leftChars="0"/>
        <w:rPr>
          <w:highlight w:val="none"/>
        </w:rPr>
      </w:pPr>
    </w:p>
    <w:p w14:paraId="27B65ABD">
      <w:pPr>
        <w:pStyle w:val="72"/>
        <w:rPr>
          <w:highlight w:val="none"/>
        </w:rPr>
      </w:pPr>
      <w:r>
        <w:rPr>
          <w:rFonts w:hint="eastAsia"/>
          <w:highlight w:val="none"/>
          <w:lang w:val="en-US" w:eastAsia="zh-CN"/>
        </w:rPr>
        <w:t>开标时间和地点</w:t>
      </w:r>
    </w:p>
    <w:p w14:paraId="3A641E6B">
      <w:pPr>
        <w:spacing w:line="500" w:lineRule="exact"/>
        <w:ind w:firstLine="480" w:firstLineChars="200"/>
        <w:jc w:val="left"/>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计划时间：2026年</w:t>
      </w:r>
      <w:r>
        <w:rPr>
          <w:rFonts w:hint="eastAsia" w:ascii="宋体" w:hAnsi="宋体" w:cs="宋体"/>
          <w:b w:val="0"/>
          <w:bCs w:val="0"/>
          <w:color w:val="000000"/>
          <w:kern w:val="2"/>
          <w:sz w:val="24"/>
          <w:szCs w:val="24"/>
          <w:highlight w:val="none"/>
          <w:lang w:val="en-US" w:eastAsia="zh-CN" w:bidi="ar-SA"/>
        </w:rPr>
        <w:t>4</w:t>
      </w:r>
      <w:r>
        <w:rPr>
          <w:rFonts w:hint="eastAsia" w:ascii="宋体" w:hAnsi="宋体" w:eastAsia="宋体" w:cs="宋体"/>
          <w:b w:val="0"/>
          <w:bCs w:val="0"/>
          <w:color w:val="000000"/>
          <w:kern w:val="2"/>
          <w:sz w:val="24"/>
          <w:szCs w:val="24"/>
          <w:highlight w:val="none"/>
          <w:lang w:val="en-US" w:eastAsia="zh-CN" w:bidi="ar-SA"/>
        </w:rPr>
        <w:t>月</w:t>
      </w:r>
      <w:r>
        <w:rPr>
          <w:rFonts w:hint="eastAsia" w:ascii="宋体" w:hAnsi="宋体" w:cs="宋体"/>
          <w:b w:val="0"/>
          <w:bCs w:val="0"/>
          <w:color w:val="000000"/>
          <w:kern w:val="2"/>
          <w:sz w:val="24"/>
          <w:szCs w:val="24"/>
          <w:highlight w:val="none"/>
          <w:lang w:val="en-US" w:eastAsia="zh-CN" w:bidi="ar-SA"/>
        </w:rPr>
        <w:t>30</w:t>
      </w:r>
      <w:r>
        <w:rPr>
          <w:rFonts w:hint="eastAsia" w:ascii="宋体" w:hAnsi="宋体" w:eastAsia="宋体" w:cs="宋体"/>
          <w:b w:val="0"/>
          <w:bCs w:val="0"/>
          <w:color w:val="000000"/>
          <w:kern w:val="2"/>
          <w:sz w:val="24"/>
          <w:szCs w:val="24"/>
          <w:highlight w:val="none"/>
          <w:lang w:val="en-US" w:eastAsia="zh-CN" w:bidi="ar-SA"/>
        </w:rPr>
        <w:t>日上午9:00:00（北京时间</w:t>
      </w:r>
      <w:r>
        <w:rPr>
          <w:rFonts w:hint="eastAsia" w:ascii="宋体" w:hAnsi="宋体" w:cs="宋体"/>
          <w:b w:val="0"/>
          <w:bCs w:val="0"/>
          <w:color w:val="000000"/>
          <w:kern w:val="2"/>
          <w:sz w:val="24"/>
          <w:szCs w:val="24"/>
          <w:highlight w:val="none"/>
          <w:lang w:val="en-US" w:eastAsia="zh-CN" w:bidi="ar-SA"/>
        </w:rPr>
        <w:t>；暂定，以实际通知为准</w:t>
      </w:r>
      <w:r>
        <w:rPr>
          <w:rFonts w:hint="eastAsia" w:ascii="宋体" w:hAnsi="宋体" w:eastAsia="宋体" w:cs="宋体"/>
          <w:b w:val="0"/>
          <w:bCs w:val="0"/>
          <w:color w:val="000000"/>
          <w:kern w:val="2"/>
          <w:sz w:val="24"/>
          <w:szCs w:val="24"/>
          <w:highlight w:val="none"/>
          <w:lang w:val="en-US" w:eastAsia="zh-CN" w:bidi="ar-SA"/>
        </w:rPr>
        <w:t>）</w:t>
      </w:r>
    </w:p>
    <w:p w14:paraId="663C194B">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highlight w:val="none"/>
        </w:rPr>
      </w:pPr>
      <w:r>
        <w:rPr>
          <w:rFonts w:hint="eastAsia" w:ascii="宋体" w:hAnsi="宋体" w:eastAsia="宋体" w:cs="宋体"/>
          <w:b w:val="0"/>
          <w:bCs w:val="0"/>
          <w:color w:val="000000"/>
          <w:kern w:val="2"/>
          <w:sz w:val="24"/>
          <w:szCs w:val="24"/>
          <w:highlight w:val="none"/>
          <w:lang w:val="en-US" w:eastAsia="zh-CN" w:bidi="ar-SA"/>
        </w:rPr>
        <w:t>地点：山东省</w:t>
      </w:r>
      <w:r>
        <w:rPr>
          <w:rFonts w:hint="eastAsia" w:ascii="宋体" w:hAnsi="宋体" w:eastAsia="宋体" w:cs="宋体"/>
          <w:b w:val="0"/>
          <w:bCs w:val="0"/>
          <w:color w:val="000000"/>
          <w:sz w:val="24"/>
          <w:szCs w:val="24"/>
          <w:highlight w:val="none"/>
        </w:rPr>
        <w:t>济南市章丘区潘王路东园区十一号路北，济南轻卡制造公司</w:t>
      </w:r>
    </w:p>
    <w:p w14:paraId="22385406">
      <w:pPr>
        <w:pStyle w:val="72"/>
        <w:rPr>
          <w:highlight w:val="none"/>
        </w:rPr>
      </w:pPr>
      <w:bookmarkStart w:id="8" w:name="_Toc47976593"/>
      <w:r>
        <w:rPr>
          <w:rFonts w:hint="eastAsia"/>
          <w:highlight w:val="none"/>
        </w:rPr>
        <w:t>招标公告发布媒介</w:t>
      </w:r>
      <w:bookmarkEnd w:id="8"/>
    </w:p>
    <w:p w14:paraId="20264AB3">
      <w:pPr>
        <w:pStyle w:val="73"/>
        <w:keepNext w:val="0"/>
        <w:keepLines w:val="0"/>
        <w:pageBreakBefore w:val="0"/>
        <w:widowControl w:val="0"/>
        <w:numPr>
          <w:ilvl w:val="0"/>
          <w:numId w:val="0"/>
        </w:numPr>
        <w:kinsoku/>
        <w:wordWrap/>
        <w:overflowPunct/>
        <w:topLinePunct w:val="0"/>
        <w:autoSpaceDE/>
        <w:autoSpaceDN/>
        <w:bidi w:val="0"/>
        <w:adjustRightInd/>
        <w:snapToGrid/>
        <w:ind w:left="0" w:firstLine="480" w:firstLineChars="200"/>
        <w:textAlignment w:val="auto"/>
        <w:rPr>
          <w:rFonts w:hint="eastAsia" w:ascii="宋体" w:hAnsi="宋体" w:eastAsia="宋体" w:cs="宋体"/>
          <w:b w:val="0"/>
          <w:bCs w:val="0"/>
          <w:color w:val="000000"/>
          <w:kern w:val="2"/>
          <w:sz w:val="24"/>
          <w:szCs w:val="24"/>
          <w:highlight w:val="none"/>
          <w:lang w:val="en-US" w:eastAsia="zh-CN" w:bidi="ar-SA"/>
        </w:rPr>
      </w:pPr>
      <w:bookmarkStart w:id="9" w:name="_Toc47976594"/>
      <w:r>
        <w:rPr>
          <w:rFonts w:hint="eastAsia" w:ascii="宋体" w:hAnsi="宋体" w:eastAsia="宋体" w:cs="宋体"/>
          <w:b w:val="0"/>
          <w:bCs w:val="0"/>
          <w:color w:val="000000"/>
          <w:kern w:val="2"/>
          <w:sz w:val="24"/>
          <w:szCs w:val="24"/>
          <w:highlight w:val="none"/>
          <w:lang w:val="en-US" w:eastAsia="zh-CN" w:bidi="ar-SA"/>
        </w:rPr>
        <w:t>中国重汽官网+中国重汽e采通等公开媒体公布</w:t>
      </w:r>
    </w:p>
    <w:p w14:paraId="65FC2213">
      <w:pPr>
        <w:pStyle w:val="72"/>
        <w:rPr>
          <w:highlight w:val="none"/>
        </w:rPr>
      </w:pPr>
      <w:r>
        <w:rPr>
          <w:rFonts w:hint="eastAsia"/>
          <w:highlight w:val="none"/>
        </w:rPr>
        <w:t>联系方式</w:t>
      </w:r>
      <w:bookmarkEnd w:id="9"/>
    </w:p>
    <w:p w14:paraId="2E7B8D95">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highlight w:val="none"/>
          <w:lang w:val="en-US" w:eastAsia="zh-CN"/>
        </w:rPr>
      </w:pPr>
      <w:r>
        <w:rPr>
          <w:rFonts w:hint="eastAsia"/>
          <w:highlight w:val="none"/>
          <w:lang w:val="en-US" w:eastAsia="zh-CN"/>
        </w:rPr>
        <w:t>招标人名称：中国重汽集团济南商用车有限公司轻卡制造公司</w:t>
      </w:r>
    </w:p>
    <w:p w14:paraId="2DE6C248">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highlight w:val="none"/>
          <w:lang w:val="en-US" w:eastAsia="zh-CN"/>
        </w:rPr>
      </w:pPr>
      <w:r>
        <w:rPr>
          <w:rFonts w:hint="eastAsia"/>
          <w:highlight w:val="none"/>
          <w:lang w:val="en-US" w:eastAsia="zh-CN"/>
        </w:rPr>
        <w:t>招标人地址：山东省济南市章丘区潘王路东园区十一号路北，济南轻卡制造公司</w:t>
      </w:r>
    </w:p>
    <w:p w14:paraId="7C80DE9B">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highlight w:val="none"/>
          <w:lang w:val="en-US" w:eastAsia="zh-CN"/>
        </w:rPr>
      </w:pPr>
      <w:r>
        <w:rPr>
          <w:rFonts w:hint="eastAsia"/>
          <w:highlight w:val="none"/>
          <w:lang w:val="en-US" w:eastAsia="zh-CN"/>
        </w:rPr>
        <w:t>商务联系人：王苒</w:t>
      </w:r>
    </w:p>
    <w:p w14:paraId="1C09D0BE">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highlight w:val="none"/>
          <w:lang w:val="en-US" w:eastAsia="zh-CN"/>
        </w:rPr>
      </w:pPr>
      <w:r>
        <w:rPr>
          <w:rFonts w:hint="eastAsia"/>
          <w:highlight w:val="none"/>
          <w:lang w:val="en-US" w:eastAsia="zh-CN"/>
        </w:rPr>
        <w:t>电话：18834913536</w:t>
      </w:r>
    </w:p>
    <w:p w14:paraId="6B9F4391">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highlight w:val="none"/>
          <w:lang w:val="en-US" w:eastAsia="zh-CN"/>
        </w:rPr>
      </w:pPr>
      <w:r>
        <w:rPr>
          <w:rFonts w:hint="eastAsia"/>
          <w:highlight w:val="none"/>
          <w:lang w:val="en-US" w:eastAsia="zh-CN"/>
        </w:rPr>
        <w:t>邮箱：</w:t>
      </w:r>
      <w:r>
        <w:rPr>
          <w:rFonts w:hint="eastAsia"/>
          <w:highlight w:val="none"/>
          <w:lang w:val="en-US" w:eastAsia="zh-CN"/>
        </w:rPr>
        <w:fldChar w:fldCharType="begin"/>
      </w:r>
      <w:r>
        <w:rPr>
          <w:rFonts w:hint="eastAsia"/>
          <w:highlight w:val="none"/>
          <w:lang w:val="en-US" w:eastAsia="zh-CN"/>
        </w:rPr>
        <w:instrText xml:space="preserve"> HYPERLINK "mailto:wangran@sinotruk.com" </w:instrText>
      </w:r>
      <w:r>
        <w:rPr>
          <w:rFonts w:hint="eastAsia"/>
          <w:highlight w:val="none"/>
          <w:lang w:val="en-US" w:eastAsia="zh-CN"/>
        </w:rPr>
        <w:fldChar w:fldCharType="separate"/>
      </w:r>
      <w:r>
        <w:rPr>
          <w:rFonts w:hint="eastAsia"/>
          <w:highlight w:val="none"/>
          <w:lang w:val="en-US" w:eastAsia="zh-CN"/>
        </w:rPr>
        <w:t>wangran@sinotruk.com</w:t>
      </w:r>
      <w:r>
        <w:rPr>
          <w:rFonts w:hint="eastAsia"/>
          <w:highlight w:val="none"/>
          <w:lang w:val="en-US" w:eastAsia="zh-CN"/>
        </w:rPr>
        <w:fldChar w:fldCharType="end"/>
      </w:r>
    </w:p>
    <w:p w14:paraId="3A7E2D48">
      <w:pPr>
        <w:pStyle w:val="76"/>
        <w:jc w:val="right"/>
        <w:rPr>
          <w:rFonts w:hint="eastAsia"/>
          <w:highlight w:val="none"/>
          <w:u w:val="single"/>
          <w:lang w:val="en-US" w:eastAsia="zh-CN"/>
        </w:rPr>
      </w:pPr>
    </w:p>
    <w:p w14:paraId="22C6BEDA">
      <w:pPr>
        <w:pStyle w:val="76"/>
        <w:jc w:val="right"/>
        <w:rPr>
          <w:rFonts w:hint="eastAsia"/>
          <w:highlight w:val="none"/>
          <w:u w:val="single"/>
          <w:lang w:val="en-US" w:eastAsia="zh-CN"/>
        </w:rPr>
      </w:pPr>
    </w:p>
    <w:p w14:paraId="410F58AB">
      <w:pPr>
        <w:pStyle w:val="76"/>
        <w:ind w:firstLine="6510" w:firstLineChars="3100"/>
        <w:jc w:val="both"/>
        <w:rPr>
          <w:highlight w:val="none"/>
        </w:rPr>
      </w:pPr>
      <w:r>
        <w:rPr>
          <w:rFonts w:hint="eastAsia"/>
          <w:highlight w:val="none"/>
          <w:u w:val="none"/>
          <w:lang w:val="en-US" w:eastAsia="zh-CN"/>
        </w:rPr>
        <w:t>2026</w:t>
      </w:r>
      <w:r>
        <w:rPr>
          <w:rFonts w:hint="eastAsia"/>
          <w:highlight w:val="none"/>
        </w:rPr>
        <w:t>年</w:t>
      </w:r>
      <w:r>
        <w:rPr>
          <w:rFonts w:hint="eastAsia"/>
          <w:highlight w:val="none"/>
          <w:lang w:val="en-US" w:eastAsia="zh-CN"/>
        </w:rPr>
        <w:t>4</w:t>
      </w:r>
      <w:r>
        <w:rPr>
          <w:rFonts w:hint="eastAsia"/>
          <w:highlight w:val="none"/>
        </w:rPr>
        <w:t>月</w:t>
      </w:r>
      <w:r>
        <w:rPr>
          <w:rFonts w:hint="eastAsia"/>
          <w:highlight w:val="none"/>
          <w:lang w:val="en-US" w:eastAsia="zh-CN"/>
        </w:rPr>
        <w:t>6</w:t>
      </w:r>
      <w:r>
        <w:rPr>
          <w:rFonts w:hint="eastAsia"/>
          <w:highlight w:val="none"/>
        </w:rPr>
        <w:t>日</w:t>
      </w:r>
    </w:p>
    <w:p w14:paraId="04C96706">
      <w:pPr>
        <w:rPr>
          <w:highlight w:val="none"/>
        </w:rPr>
      </w:pPr>
      <w:r>
        <w:rPr>
          <w:highlight w:val="none"/>
        </w:rPr>
        <w:br w:type="page"/>
      </w:r>
    </w:p>
    <w:p w14:paraId="10BBAD5C">
      <w:pPr>
        <w:pStyle w:val="76"/>
        <w:rPr>
          <w:highlight w:val="none"/>
        </w:rPr>
      </w:pPr>
    </w:p>
    <w:p w14:paraId="3D820EEC">
      <w:pPr>
        <w:pStyle w:val="71"/>
        <w:rPr>
          <w:highlight w:val="none"/>
        </w:rPr>
      </w:pPr>
      <w:bookmarkStart w:id="10" w:name="_Toc47976595"/>
      <w:bookmarkStart w:id="11" w:name="_Toc7753"/>
      <w:r>
        <w:rPr>
          <w:rFonts w:hint="eastAsia"/>
          <w:highlight w:val="none"/>
        </w:rPr>
        <w:t>第一部分  投标人须知</w:t>
      </w:r>
      <w:bookmarkEnd w:id="10"/>
      <w:bookmarkEnd w:id="11"/>
    </w:p>
    <w:p w14:paraId="418340FC">
      <w:pPr>
        <w:pStyle w:val="72"/>
        <w:numPr>
          <w:ilvl w:val="0"/>
          <w:numId w:val="10"/>
        </w:numPr>
        <w:ind w:left="420"/>
        <w:jc w:val="left"/>
        <w:rPr>
          <w:highlight w:val="none"/>
        </w:rPr>
      </w:pPr>
      <w:bookmarkStart w:id="12" w:name="_Toc47976596"/>
      <w:r>
        <w:rPr>
          <w:rFonts w:hint="eastAsia"/>
          <w:highlight w:val="none"/>
        </w:rPr>
        <w:t>项目介绍</w:t>
      </w:r>
      <w:bookmarkEnd w:id="12"/>
    </w:p>
    <w:p w14:paraId="6360E7CD">
      <w:pPr>
        <w:pStyle w:val="76"/>
        <w:numPr>
          <w:ilvl w:val="0"/>
          <w:numId w:val="11"/>
        </w:numPr>
        <w:ind w:left="425" w:leftChars="0" w:hanging="425" w:firstLineChars="0"/>
        <w:rPr>
          <w:highlight w:val="none"/>
        </w:rPr>
      </w:pPr>
      <w:r>
        <w:rPr>
          <w:rFonts w:hint="eastAsia"/>
          <w:highlight w:val="none"/>
        </w:rPr>
        <w:t>项目名称：中国重汽集团济南商用车有限公司</w:t>
      </w:r>
      <w:r>
        <w:rPr>
          <w:rFonts w:hint="eastAsia"/>
          <w:highlight w:val="none"/>
          <w:lang w:val="en-US" w:eastAsia="zh-CN"/>
        </w:rPr>
        <w:t>轻卡制造公司质量管理体系培训项目</w:t>
      </w:r>
    </w:p>
    <w:p w14:paraId="17A97EAA">
      <w:pPr>
        <w:pStyle w:val="76"/>
        <w:numPr>
          <w:ilvl w:val="0"/>
          <w:numId w:val="11"/>
        </w:numPr>
        <w:ind w:left="425" w:leftChars="0" w:hanging="425" w:firstLineChars="0"/>
        <w:rPr>
          <w:highlight w:val="none"/>
        </w:rPr>
      </w:pPr>
      <w:r>
        <w:rPr>
          <w:rFonts w:hint="eastAsia"/>
          <w:highlight w:val="none"/>
        </w:rPr>
        <w:t>项目编号：</w:t>
      </w:r>
      <w:r>
        <w:rPr>
          <w:rFonts w:hint="eastAsia"/>
          <w:highlight w:val="none"/>
          <w:lang w:val="en-US" w:eastAsia="zh-CN"/>
        </w:rPr>
        <w:t>ZBGL2026030217</w:t>
      </w:r>
    </w:p>
    <w:p w14:paraId="5C6CF568">
      <w:pPr>
        <w:pStyle w:val="76"/>
        <w:numPr>
          <w:ilvl w:val="0"/>
          <w:numId w:val="11"/>
        </w:numPr>
        <w:ind w:left="425" w:leftChars="0" w:hanging="425" w:firstLineChars="0"/>
        <w:rPr>
          <w:highlight w:val="none"/>
        </w:rPr>
      </w:pPr>
      <w:r>
        <w:rPr>
          <w:rFonts w:hint="eastAsia"/>
          <w:highlight w:val="none"/>
        </w:rPr>
        <w:t>招标形式：</w:t>
      </w:r>
      <w:bookmarkStart w:id="13" w:name="_Toc47112482"/>
      <w:r>
        <w:rPr>
          <w:rFonts w:hint="eastAsia"/>
          <w:highlight w:val="none"/>
          <w:lang w:val="en-US" w:eastAsia="zh-CN"/>
        </w:rPr>
        <w:t>公开招标</w:t>
      </w:r>
    </w:p>
    <w:p w14:paraId="742B3A80">
      <w:pPr>
        <w:pStyle w:val="76"/>
        <w:numPr>
          <w:ilvl w:val="0"/>
          <w:numId w:val="11"/>
        </w:numPr>
        <w:ind w:left="425" w:leftChars="0" w:hanging="425" w:firstLineChars="0"/>
        <w:rPr>
          <w:highlight w:val="none"/>
        </w:rPr>
      </w:pPr>
      <w:r>
        <w:rPr>
          <w:rFonts w:hint="eastAsia"/>
          <w:highlight w:val="none"/>
          <w:lang w:val="en-US" w:eastAsia="zh-CN"/>
        </w:rPr>
        <w:t>项目概况：面向济南商用车有限公司轻卡制造公司的工程管理人员/内部审核员实施质量管理体系知识培训。</w:t>
      </w:r>
    </w:p>
    <w:p w14:paraId="151561C8">
      <w:pPr>
        <w:pStyle w:val="76"/>
        <w:numPr>
          <w:ilvl w:val="0"/>
          <w:numId w:val="11"/>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1"/>
        </w:numPr>
        <w:ind w:left="425" w:leftChars="0" w:hanging="425" w:firstLineChars="0"/>
        <w:rPr>
          <w:rFonts w:hint="default"/>
          <w:highlight w:val="none"/>
          <w:lang w:val="en-US" w:eastAsia="zh-CN"/>
        </w:rPr>
      </w:pPr>
      <w:r>
        <w:rPr>
          <w:rFonts w:hint="eastAsia"/>
          <w:highlight w:val="none"/>
          <w:lang w:val="en-US" w:eastAsia="zh-CN"/>
        </w:rPr>
        <w:t>报价：报价货币：人民币（应同时报含税价和不含税价，写明税率）。</w:t>
      </w:r>
    </w:p>
    <w:p w14:paraId="1C601B12">
      <w:pPr>
        <w:pStyle w:val="76"/>
        <w:numPr>
          <w:ilvl w:val="0"/>
          <w:numId w:val="11"/>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bookmarkEnd w:id="13"/>
    <w:p w14:paraId="4CEC32A9">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highlight w:val="none"/>
          <w:lang w:val="en-US" w:eastAsia="zh-CN"/>
        </w:rPr>
      </w:pPr>
      <w:bookmarkStart w:id="14" w:name="_Toc47976598"/>
      <w:r>
        <w:rPr>
          <w:rFonts w:hint="eastAsia"/>
          <w:highlight w:val="none"/>
          <w:lang w:val="en-US" w:eastAsia="zh-CN"/>
        </w:rPr>
        <w:t>招标人名称：中国重汽集团济南商用车有限公司轻卡制造公司</w:t>
      </w:r>
    </w:p>
    <w:p w14:paraId="42077611">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highlight w:val="none"/>
          <w:lang w:val="en-US" w:eastAsia="zh-CN"/>
        </w:rPr>
      </w:pPr>
      <w:r>
        <w:rPr>
          <w:rFonts w:hint="eastAsia"/>
          <w:highlight w:val="none"/>
          <w:lang w:val="en-US" w:eastAsia="zh-CN"/>
        </w:rPr>
        <w:t>招标人地址：山东省济南市章丘区潘王路东园区十一号路北，济南轻卡制造公司</w:t>
      </w:r>
    </w:p>
    <w:p w14:paraId="2E01D5EA">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highlight w:val="none"/>
          <w:lang w:val="en-US" w:eastAsia="zh-CN"/>
        </w:rPr>
      </w:pPr>
      <w:r>
        <w:rPr>
          <w:rFonts w:hint="eastAsia"/>
          <w:highlight w:val="none"/>
          <w:lang w:val="en-US" w:eastAsia="zh-CN"/>
        </w:rPr>
        <w:t>商务联系人：王苒</w:t>
      </w:r>
    </w:p>
    <w:p w14:paraId="7DCEDE1F">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highlight w:val="none"/>
          <w:lang w:val="en-US" w:eastAsia="zh-CN"/>
        </w:rPr>
      </w:pPr>
      <w:r>
        <w:rPr>
          <w:rFonts w:hint="eastAsia"/>
          <w:highlight w:val="none"/>
          <w:lang w:val="en-US" w:eastAsia="zh-CN"/>
        </w:rPr>
        <w:t>电话：18834913536</w:t>
      </w:r>
    </w:p>
    <w:p w14:paraId="4BCF7D9C">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highlight w:val="none"/>
          <w:lang w:val="en-US" w:eastAsia="zh-CN"/>
        </w:rPr>
      </w:pPr>
      <w:r>
        <w:rPr>
          <w:rFonts w:hint="eastAsia"/>
          <w:highlight w:val="none"/>
          <w:lang w:val="en-US" w:eastAsia="zh-CN"/>
        </w:rPr>
        <w:t>邮箱：</w:t>
      </w:r>
      <w:r>
        <w:rPr>
          <w:rFonts w:hint="eastAsia"/>
          <w:highlight w:val="none"/>
          <w:lang w:val="en-US" w:eastAsia="zh-CN"/>
        </w:rPr>
        <w:fldChar w:fldCharType="begin"/>
      </w:r>
      <w:r>
        <w:rPr>
          <w:rFonts w:hint="eastAsia"/>
          <w:highlight w:val="none"/>
          <w:lang w:val="en-US" w:eastAsia="zh-CN"/>
        </w:rPr>
        <w:instrText xml:space="preserve"> HYPERLINK "mailto:wangran@sinotruk.com" </w:instrText>
      </w:r>
      <w:r>
        <w:rPr>
          <w:rFonts w:hint="eastAsia"/>
          <w:highlight w:val="none"/>
          <w:lang w:val="en-US" w:eastAsia="zh-CN"/>
        </w:rPr>
        <w:fldChar w:fldCharType="separate"/>
      </w:r>
      <w:r>
        <w:rPr>
          <w:rFonts w:hint="eastAsia"/>
          <w:highlight w:val="none"/>
          <w:lang w:val="en-US" w:eastAsia="zh-CN"/>
        </w:rPr>
        <w:t>wangran@sinotruk.com</w:t>
      </w:r>
      <w:r>
        <w:rPr>
          <w:rFonts w:hint="eastAsia"/>
          <w:highlight w:val="none"/>
          <w:lang w:val="en-US" w:eastAsia="zh-CN"/>
        </w:rPr>
        <w:fldChar w:fldCharType="end"/>
      </w:r>
    </w:p>
    <w:p w14:paraId="50DC6C75">
      <w:pPr>
        <w:pStyle w:val="72"/>
        <w:rPr>
          <w:highlight w:val="none"/>
        </w:rPr>
      </w:pPr>
      <w:r>
        <w:rPr>
          <w:rFonts w:hint="eastAsia"/>
          <w:highlight w:val="none"/>
        </w:rPr>
        <w:t>合格的投标人。</w:t>
      </w:r>
      <w:bookmarkEnd w:id="14"/>
    </w:p>
    <w:p w14:paraId="3C8DE851">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 xml:space="preserve">300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三</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三</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2"/>
        </w:numPr>
        <w:ind w:left="0" w:firstLine="0"/>
        <w:rPr>
          <w:b w:val="0"/>
          <w:bCs/>
          <w:highlight w:val="none"/>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2"/>
        </w:numPr>
        <w:ind w:left="0" w:firstLine="0"/>
        <w:rPr>
          <w:rFonts w:hint="eastAsia" w:ascii="宋体" w:hAnsi="Courier New" w:eastAsia="宋体" w:cs="Times New Roman"/>
          <w:b w:val="0"/>
          <w:bCs/>
          <w:strike w:val="0"/>
          <w:dstrike w:val="0"/>
          <w:highlight w:val="none"/>
        </w:rPr>
      </w:pPr>
      <w:r>
        <w:rPr>
          <w:rFonts w:hint="eastAsia"/>
          <w:b w:val="0"/>
          <w:bCs/>
          <w:highlight w:val="none"/>
        </w:rPr>
        <w:t>近三年内在经营活动中无与本项目有关的违法及重大违规情况</w:t>
      </w:r>
      <w:r>
        <w:rPr>
          <w:rFonts w:hint="eastAsia"/>
          <w:b w:val="0"/>
          <w:bCs/>
          <w:highlight w:val="none"/>
          <w:lang w:eastAsia="zh-CN"/>
        </w:rPr>
        <w:t>；</w:t>
      </w:r>
    </w:p>
    <w:p w14:paraId="7F71A33C">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本次招标项目</w:t>
      </w:r>
      <w:r>
        <w:rPr>
          <w:rFonts w:hint="eastAsia"/>
          <w:b w:val="0"/>
          <w:bCs/>
          <w:strike w:val="0"/>
          <w:dstrike w:val="0"/>
          <w:highlight w:val="none"/>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03924ECC">
      <w:pPr>
        <w:pStyle w:val="76"/>
        <w:numPr>
          <w:ilvl w:val="0"/>
          <w:numId w:val="13"/>
        </w:numPr>
        <w:ind w:left="425" w:leftChars="0" w:hanging="425" w:firstLineChars="0"/>
        <w:jc w:val="both"/>
        <w:rPr>
          <w:rFonts w:hint="eastAsia" w:ascii="宋体" w:hAnsi="Courier New" w:eastAsia="宋体" w:cs="Times New Roman"/>
          <w:sz w:val="21"/>
          <w:szCs w:val="21"/>
          <w:highlight w:val="none"/>
          <w:lang w:val="en-US" w:eastAsia="zh-CN"/>
        </w:rPr>
      </w:pPr>
      <w:r>
        <w:rPr>
          <w:rFonts w:hint="eastAsia" w:ascii="宋体" w:hAnsi="Courier New" w:eastAsia="宋体" w:cs="Times New Roman"/>
          <w:b/>
          <w:bCs/>
          <w:sz w:val="21"/>
          <w:szCs w:val="21"/>
          <w:highlight w:val="none"/>
          <w:lang w:val="en-US" w:eastAsia="zh-CN"/>
        </w:rPr>
        <w:t>发标时间：</w:t>
      </w:r>
      <w:r>
        <w:rPr>
          <w:rFonts w:hint="eastAsia" w:ascii="宋体" w:hAnsi="Courier New" w:eastAsia="宋体" w:cs="Times New Roman"/>
          <w:sz w:val="21"/>
          <w:szCs w:val="21"/>
          <w:highlight w:val="none"/>
          <w:lang w:val="en-US" w:eastAsia="zh-CN"/>
        </w:rPr>
        <w:t>2026年</w:t>
      </w:r>
      <w:r>
        <w:rPr>
          <w:rFonts w:hint="eastAsia" w:cs="Times New Roman"/>
          <w:sz w:val="21"/>
          <w:szCs w:val="21"/>
          <w:highlight w:val="none"/>
          <w:lang w:val="en-US" w:eastAsia="zh-CN"/>
        </w:rPr>
        <w:t>4</w:t>
      </w:r>
      <w:r>
        <w:rPr>
          <w:rFonts w:hint="eastAsia" w:ascii="宋体" w:hAnsi="Courier New" w:eastAsia="宋体" w:cs="Times New Roman"/>
          <w:sz w:val="21"/>
          <w:szCs w:val="21"/>
          <w:highlight w:val="none"/>
          <w:lang w:val="en-US" w:eastAsia="zh-CN"/>
        </w:rPr>
        <w:t>月</w:t>
      </w:r>
      <w:r>
        <w:rPr>
          <w:rFonts w:hint="eastAsia" w:cs="Times New Roman"/>
          <w:sz w:val="21"/>
          <w:szCs w:val="21"/>
          <w:highlight w:val="none"/>
          <w:lang w:val="en-US" w:eastAsia="zh-CN"/>
        </w:rPr>
        <w:t>9</w:t>
      </w:r>
      <w:r>
        <w:rPr>
          <w:rFonts w:hint="eastAsia" w:ascii="宋体" w:hAnsi="Courier New" w:eastAsia="宋体" w:cs="Times New Roman"/>
          <w:sz w:val="21"/>
          <w:szCs w:val="21"/>
          <w:highlight w:val="none"/>
          <w:lang w:val="en-US" w:eastAsia="zh-CN"/>
        </w:rPr>
        <w:t>日</w:t>
      </w:r>
    </w:p>
    <w:p w14:paraId="3E83CBE4">
      <w:pPr>
        <w:pStyle w:val="76"/>
        <w:numPr>
          <w:ilvl w:val="0"/>
          <w:numId w:val="13"/>
        </w:numPr>
        <w:ind w:left="425" w:leftChars="0" w:hanging="425" w:firstLineChars="0"/>
        <w:jc w:val="both"/>
        <w:rPr>
          <w:b/>
          <w:bCs/>
          <w:sz w:val="21"/>
          <w:szCs w:val="21"/>
          <w:highlight w:val="none"/>
        </w:rPr>
      </w:pPr>
      <w:r>
        <w:rPr>
          <w:rFonts w:hint="eastAsia" w:ascii="宋体" w:hAnsi="Courier New" w:eastAsia="宋体" w:cs="Times New Roman"/>
          <w:b/>
          <w:bCs/>
          <w:sz w:val="21"/>
          <w:szCs w:val="21"/>
          <w:highlight w:val="none"/>
          <w:lang w:val="en-US" w:eastAsia="zh-CN"/>
        </w:rPr>
        <w:t>招标文件领取方式、地点及领取截止时间</w:t>
      </w:r>
      <w:r>
        <w:rPr>
          <w:rFonts w:hint="eastAsia" w:cs="Times New Roman"/>
          <w:b/>
          <w:bCs/>
          <w:sz w:val="21"/>
          <w:szCs w:val="21"/>
          <w:highlight w:val="none"/>
          <w:lang w:val="en-US" w:eastAsia="zh-CN"/>
        </w:rPr>
        <w:t>：</w:t>
      </w:r>
    </w:p>
    <w:p w14:paraId="2A86024D">
      <w:pPr>
        <w:pStyle w:val="76"/>
        <w:ind w:firstLine="211" w:firstLineChars="100"/>
        <w:jc w:val="both"/>
        <w:rPr>
          <w:rFonts w:hint="default" w:eastAsia="宋体"/>
          <w:sz w:val="21"/>
          <w:szCs w:val="21"/>
          <w:highlight w:val="none"/>
          <w:lang w:val="en-US" w:eastAsia="zh-CN"/>
        </w:rPr>
      </w:pPr>
      <w:r>
        <w:rPr>
          <w:rFonts w:hint="eastAsia" w:ascii="宋体" w:hAnsi="Courier New" w:eastAsia="宋体" w:cs="Times New Roman"/>
          <w:b/>
          <w:bCs/>
          <w:sz w:val="21"/>
          <w:szCs w:val="21"/>
          <w:highlight w:val="none"/>
          <w:lang w:val="en-US" w:eastAsia="zh-CN"/>
        </w:rPr>
        <w:t>地点（线上）：</w:t>
      </w:r>
      <w:r>
        <w:rPr>
          <w:rFonts w:hint="eastAsia"/>
          <w:sz w:val="21"/>
          <w:szCs w:val="21"/>
          <w:highlight w:val="none"/>
        </w:rPr>
        <w:t>中国重汽e采通平台</w:t>
      </w:r>
      <w:r>
        <w:rPr>
          <w:rFonts w:hint="eastAsia"/>
          <w:sz w:val="21"/>
          <w:szCs w:val="21"/>
          <w:highlight w:val="none"/>
          <w:lang w:eastAsia="zh-CN"/>
        </w:rPr>
        <w:t>、</w:t>
      </w:r>
      <w:r>
        <w:rPr>
          <w:rFonts w:hint="eastAsia"/>
          <w:sz w:val="21"/>
          <w:szCs w:val="21"/>
          <w:highlight w:val="none"/>
          <w:lang w:val="en-US" w:eastAsia="zh-CN"/>
        </w:rPr>
        <w:t>中国重汽官网</w:t>
      </w:r>
    </w:p>
    <w:p w14:paraId="3A1CA64C">
      <w:pPr>
        <w:pStyle w:val="76"/>
        <w:ind w:firstLine="211" w:firstLineChars="100"/>
        <w:jc w:val="both"/>
        <w:rPr>
          <w:rFonts w:hint="default" w:ascii="宋体" w:hAnsi="Courier New" w:eastAsia="宋体" w:cs="Times New Roman"/>
          <w:sz w:val="21"/>
          <w:szCs w:val="21"/>
          <w:highlight w:val="none"/>
          <w:lang w:val="en-US" w:eastAsia="zh-CN"/>
        </w:rPr>
      </w:pPr>
      <w:r>
        <w:rPr>
          <w:rFonts w:hint="eastAsia" w:ascii="宋体" w:hAnsi="Courier New" w:eastAsia="宋体" w:cs="Times New Roman"/>
          <w:b/>
          <w:bCs/>
          <w:sz w:val="21"/>
          <w:szCs w:val="21"/>
          <w:highlight w:val="none"/>
          <w:lang w:val="en-US" w:eastAsia="zh-CN"/>
        </w:rPr>
        <w:t>领取截止时间：</w:t>
      </w:r>
      <w:r>
        <w:rPr>
          <w:rFonts w:hint="eastAsia" w:ascii="宋体" w:eastAsia="宋体" w:cs="Times New Roman"/>
          <w:sz w:val="21"/>
          <w:szCs w:val="21"/>
          <w:highlight w:val="none"/>
        </w:rPr>
        <w:t>202</w:t>
      </w:r>
      <w:r>
        <w:rPr>
          <w:rFonts w:hint="eastAsia" w:ascii="宋体" w:eastAsia="宋体" w:cs="Times New Roman"/>
          <w:sz w:val="21"/>
          <w:szCs w:val="21"/>
          <w:highlight w:val="none"/>
          <w:lang w:val="en-US" w:eastAsia="zh-CN"/>
        </w:rPr>
        <w:t>6</w:t>
      </w:r>
      <w:r>
        <w:rPr>
          <w:rFonts w:hint="eastAsia"/>
          <w:sz w:val="21"/>
          <w:szCs w:val="21"/>
          <w:highlight w:val="none"/>
        </w:rPr>
        <w:t>年</w:t>
      </w:r>
      <w:r>
        <w:rPr>
          <w:rFonts w:hint="eastAsia"/>
          <w:sz w:val="21"/>
          <w:szCs w:val="21"/>
          <w:highlight w:val="none"/>
          <w:lang w:val="en-US" w:eastAsia="zh-CN"/>
        </w:rPr>
        <w:t>4</w:t>
      </w:r>
      <w:r>
        <w:rPr>
          <w:rFonts w:hint="eastAsia"/>
          <w:sz w:val="21"/>
          <w:szCs w:val="21"/>
          <w:highlight w:val="none"/>
        </w:rPr>
        <w:t>月</w:t>
      </w:r>
      <w:r>
        <w:rPr>
          <w:rFonts w:hint="eastAsia"/>
          <w:sz w:val="21"/>
          <w:szCs w:val="21"/>
          <w:highlight w:val="none"/>
          <w:lang w:val="en-US" w:eastAsia="zh-CN"/>
        </w:rPr>
        <w:t>17</w:t>
      </w:r>
      <w:r>
        <w:rPr>
          <w:rFonts w:hint="eastAsia"/>
          <w:sz w:val="21"/>
          <w:szCs w:val="21"/>
          <w:highlight w:val="none"/>
        </w:rPr>
        <w:t>日</w:t>
      </w:r>
    </w:p>
    <w:p w14:paraId="211CD786">
      <w:pPr>
        <w:pStyle w:val="76"/>
        <w:numPr>
          <w:ilvl w:val="0"/>
          <w:numId w:val="13"/>
        </w:numPr>
        <w:ind w:left="425" w:leftChars="0" w:hanging="425" w:firstLineChars="0"/>
        <w:jc w:val="both"/>
        <w:rPr>
          <w:rFonts w:hint="eastAsia" w:ascii="宋体" w:hAnsi="Courier New" w:eastAsia="宋体" w:cs="Times New Roman"/>
          <w:b w:val="0"/>
          <w:bCs w:val="0"/>
          <w:sz w:val="21"/>
          <w:szCs w:val="21"/>
          <w:highlight w:val="none"/>
          <w:lang w:val="en-US" w:eastAsia="zh-CN"/>
        </w:rPr>
      </w:pPr>
      <w:r>
        <w:rPr>
          <w:rFonts w:hint="eastAsia" w:ascii="宋体" w:hAnsi="Courier New" w:eastAsia="宋体" w:cs="Times New Roman"/>
          <w:b/>
          <w:bCs/>
          <w:sz w:val="21"/>
          <w:szCs w:val="21"/>
          <w:highlight w:val="none"/>
          <w:lang w:val="en-US" w:eastAsia="zh-CN"/>
        </w:rPr>
        <w:t>答疑时间：</w:t>
      </w:r>
      <w:r>
        <w:rPr>
          <w:rFonts w:hint="eastAsia" w:ascii="宋体" w:hAnsi="Courier New" w:eastAsia="宋体" w:cs="Times New Roman"/>
          <w:sz w:val="21"/>
          <w:szCs w:val="21"/>
          <w:highlight w:val="none"/>
          <w:lang w:val="en-US" w:eastAsia="zh-CN"/>
        </w:rPr>
        <w:t>2026年</w:t>
      </w:r>
      <w:r>
        <w:rPr>
          <w:rFonts w:hint="eastAsia" w:cs="Times New Roman"/>
          <w:sz w:val="21"/>
          <w:szCs w:val="21"/>
          <w:highlight w:val="none"/>
          <w:lang w:val="en-US" w:eastAsia="zh-CN"/>
        </w:rPr>
        <w:t>4</w:t>
      </w:r>
      <w:r>
        <w:rPr>
          <w:rFonts w:hint="eastAsia" w:ascii="宋体" w:hAnsi="Courier New" w:eastAsia="宋体" w:cs="Times New Roman"/>
          <w:sz w:val="21"/>
          <w:szCs w:val="21"/>
          <w:highlight w:val="none"/>
          <w:lang w:val="en-US" w:eastAsia="zh-CN"/>
        </w:rPr>
        <w:t>月</w:t>
      </w:r>
      <w:r>
        <w:rPr>
          <w:rFonts w:hint="eastAsia" w:cs="Times New Roman"/>
          <w:sz w:val="21"/>
          <w:szCs w:val="21"/>
          <w:highlight w:val="none"/>
          <w:lang w:val="en-US" w:eastAsia="zh-CN"/>
        </w:rPr>
        <w:t>18</w:t>
      </w:r>
      <w:r>
        <w:rPr>
          <w:rFonts w:hint="eastAsia" w:ascii="宋体" w:hAnsi="Courier New" w:eastAsia="宋体" w:cs="Times New Roman"/>
          <w:sz w:val="21"/>
          <w:szCs w:val="21"/>
          <w:highlight w:val="none"/>
          <w:lang w:val="en-US" w:eastAsia="zh-CN"/>
        </w:rPr>
        <w:t>日</w:t>
      </w:r>
      <w:r>
        <w:rPr>
          <w:rFonts w:hint="eastAsia" w:cs="Times New Roman"/>
          <w:sz w:val="21"/>
          <w:szCs w:val="21"/>
          <w:highlight w:val="none"/>
          <w:lang w:val="en-US" w:eastAsia="zh-CN"/>
        </w:rPr>
        <w:t>17</w:t>
      </w:r>
      <w:r>
        <w:rPr>
          <w:rFonts w:hint="eastAsia" w:cs="Times New Roman"/>
          <w:b w:val="0"/>
          <w:bCs w:val="0"/>
          <w:sz w:val="21"/>
          <w:szCs w:val="21"/>
          <w:highlight w:val="none"/>
          <w:lang w:val="en-US" w:eastAsia="zh-CN"/>
        </w:rPr>
        <w:t>:00前</w:t>
      </w:r>
    </w:p>
    <w:p w14:paraId="40EF44E9">
      <w:pPr>
        <w:pStyle w:val="76"/>
        <w:numPr>
          <w:ilvl w:val="0"/>
          <w:numId w:val="13"/>
        </w:numPr>
        <w:ind w:left="425" w:leftChars="0" w:hanging="425" w:firstLineChars="0"/>
        <w:jc w:val="both"/>
        <w:rPr>
          <w:rFonts w:hint="eastAsia" w:ascii="宋体" w:hAnsi="Courier New" w:eastAsia="宋体" w:cs="Times New Roman"/>
          <w:b/>
          <w:bCs/>
          <w:sz w:val="21"/>
          <w:szCs w:val="21"/>
          <w:highlight w:val="none"/>
          <w:lang w:val="en-US" w:eastAsia="zh-CN"/>
        </w:rPr>
      </w:pPr>
      <w:r>
        <w:rPr>
          <w:rFonts w:hint="eastAsia" w:ascii="宋体" w:hAnsi="Courier New" w:eastAsia="宋体" w:cs="Times New Roman"/>
          <w:b/>
          <w:bCs/>
          <w:sz w:val="21"/>
          <w:szCs w:val="21"/>
          <w:highlight w:val="none"/>
          <w:lang w:val="en-US" w:eastAsia="zh-CN"/>
        </w:rPr>
        <w:t>提交疑问方式：</w:t>
      </w:r>
    </w:p>
    <w:p w14:paraId="24D6AE88">
      <w:pPr>
        <w:pStyle w:val="76"/>
        <w:ind w:firstLine="210" w:firstLineChars="100"/>
        <w:jc w:val="both"/>
        <w:rPr>
          <w:rFonts w:hint="eastAsia" w:ascii="宋体" w:eastAsia="宋体" w:cs="Times New Roman"/>
          <w:sz w:val="21"/>
          <w:szCs w:val="21"/>
          <w:highlight w:val="none"/>
        </w:rPr>
      </w:pPr>
      <w:r>
        <w:rPr>
          <w:rFonts w:hint="eastAsia" w:ascii="宋体" w:eastAsia="宋体" w:cs="Times New Roman"/>
          <w:sz w:val="21"/>
          <w:szCs w:val="21"/>
          <w:highlight w:val="none"/>
        </w:rPr>
        <w:t>如果投标人对招标文件商务部分、技术部分有疑问，请各投标人在本答疑环节提出。</w:t>
      </w:r>
    </w:p>
    <w:p w14:paraId="5AF25D50">
      <w:pPr>
        <w:pStyle w:val="76"/>
        <w:ind w:firstLine="211" w:firstLineChars="100"/>
        <w:jc w:val="both"/>
        <w:rPr>
          <w:rFonts w:hint="eastAsia" w:ascii="宋体" w:eastAsia="宋体" w:cs="Times New Roman"/>
          <w:sz w:val="21"/>
          <w:szCs w:val="21"/>
          <w:highlight w:val="none"/>
        </w:rPr>
      </w:pPr>
      <w:r>
        <w:rPr>
          <w:rFonts w:hint="eastAsia" w:ascii="宋体" w:eastAsia="宋体" w:cs="Times New Roman"/>
          <w:b/>
          <w:bCs/>
          <w:sz w:val="21"/>
          <w:szCs w:val="21"/>
          <w:highlight w:val="none"/>
        </w:rPr>
        <w:t>提交疑问时间：</w:t>
      </w:r>
      <w:r>
        <w:rPr>
          <w:rFonts w:hint="eastAsia" w:ascii="宋体" w:eastAsia="宋体" w:cs="Times New Roman"/>
          <w:sz w:val="21"/>
          <w:szCs w:val="21"/>
          <w:highlight w:val="none"/>
        </w:rPr>
        <w:t>202</w:t>
      </w:r>
      <w:r>
        <w:rPr>
          <w:rFonts w:hint="eastAsia" w:ascii="宋体" w:eastAsia="宋体" w:cs="Times New Roman"/>
          <w:sz w:val="21"/>
          <w:szCs w:val="21"/>
          <w:highlight w:val="none"/>
          <w:lang w:val="en-US" w:eastAsia="zh-CN"/>
        </w:rPr>
        <w:t>6</w:t>
      </w:r>
      <w:r>
        <w:rPr>
          <w:rFonts w:hint="eastAsia" w:ascii="宋体" w:eastAsia="宋体" w:cs="Times New Roman"/>
          <w:sz w:val="21"/>
          <w:szCs w:val="21"/>
          <w:highlight w:val="none"/>
        </w:rPr>
        <w:t>年</w:t>
      </w:r>
      <w:r>
        <w:rPr>
          <w:rFonts w:hint="eastAsia" w:cs="Times New Roman"/>
          <w:sz w:val="21"/>
          <w:szCs w:val="21"/>
          <w:highlight w:val="none"/>
          <w:lang w:val="en-US" w:eastAsia="zh-CN"/>
        </w:rPr>
        <w:t>4</w:t>
      </w:r>
      <w:r>
        <w:rPr>
          <w:rFonts w:hint="eastAsia" w:ascii="宋体" w:eastAsia="宋体" w:cs="Times New Roman"/>
          <w:sz w:val="21"/>
          <w:szCs w:val="21"/>
          <w:highlight w:val="none"/>
        </w:rPr>
        <w:t>月</w:t>
      </w:r>
      <w:r>
        <w:rPr>
          <w:rFonts w:hint="eastAsia" w:cs="Times New Roman"/>
          <w:sz w:val="21"/>
          <w:szCs w:val="21"/>
          <w:highlight w:val="none"/>
          <w:lang w:val="en-US" w:eastAsia="zh-CN"/>
        </w:rPr>
        <w:t>18</w:t>
      </w:r>
      <w:r>
        <w:rPr>
          <w:rFonts w:hint="eastAsia" w:ascii="宋体" w:eastAsia="宋体" w:cs="Times New Roman"/>
          <w:sz w:val="21"/>
          <w:szCs w:val="21"/>
          <w:highlight w:val="none"/>
        </w:rPr>
        <w:t>日12:00前</w:t>
      </w:r>
    </w:p>
    <w:p w14:paraId="1EF2B1F6">
      <w:pPr>
        <w:pStyle w:val="76"/>
        <w:ind w:firstLine="211" w:firstLineChars="100"/>
        <w:jc w:val="both"/>
        <w:rPr>
          <w:rFonts w:hint="eastAsia" w:ascii="宋体" w:eastAsia="宋体" w:cs="Times New Roman"/>
          <w:sz w:val="21"/>
          <w:szCs w:val="21"/>
          <w:highlight w:val="none"/>
        </w:rPr>
      </w:pPr>
      <w:r>
        <w:rPr>
          <w:rFonts w:hint="eastAsia" w:ascii="宋体" w:eastAsia="宋体" w:cs="Times New Roman"/>
          <w:b/>
          <w:bCs/>
          <w:sz w:val="21"/>
          <w:szCs w:val="21"/>
          <w:highlight w:val="none"/>
        </w:rPr>
        <w:t>提交疑问方式：</w:t>
      </w:r>
      <w:r>
        <w:rPr>
          <w:rFonts w:hint="eastAsia" w:ascii="宋体" w:eastAsia="宋体" w:cs="Times New Roman"/>
          <w:sz w:val="21"/>
          <w:szCs w:val="21"/>
          <w:highlight w:val="none"/>
        </w:rPr>
        <w:t>将答疑问题以word文件格式发送至联系人邮件内，</w:t>
      </w:r>
      <w:r>
        <w:rPr>
          <w:rFonts w:hint="eastAsia" w:ascii="宋体" w:eastAsia="宋体" w:cs="Times New Roman"/>
          <w:sz w:val="21"/>
          <w:szCs w:val="21"/>
          <w:highlight w:val="none"/>
          <w:lang w:val="en-US" w:eastAsia="zh-CN"/>
        </w:rPr>
        <w:t>同时发送技术联系人及商务联系人，并</w:t>
      </w:r>
      <w:r>
        <w:rPr>
          <w:rFonts w:hint="eastAsia" w:ascii="宋体" w:eastAsia="宋体" w:cs="Times New Roman"/>
          <w:sz w:val="21"/>
          <w:szCs w:val="21"/>
          <w:highlight w:val="none"/>
        </w:rPr>
        <w:t>电话联系工作人员查收，邮件名格式为：XXX公司（五个字以内公司简称）XX项目答疑文件。</w:t>
      </w:r>
    </w:p>
    <w:p w14:paraId="17E8B3FF">
      <w:pPr>
        <w:pStyle w:val="76"/>
        <w:ind w:firstLine="210" w:firstLineChars="100"/>
        <w:jc w:val="both"/>
        <w:rPr>
          <w:rFonts w:hint="eastAsia" w:ascii="宋体" w:eastAsia="宋体" w:cs="Times New Roman"/>
          <w:sz w:val="21"/>
          <w:szCs w:val="21"/>
          <w:highlight w:val="none"/>
          <w:lang w:val="en-US" w:eastAsia="zh-CN"/>
        </w:rPr>
      </w:pPr>
      <w:r>
        <w:rPr>
          <w:rFonts w:hint="eastAsia" w:ascii="宋体" w:eastAsia="宋体" w:cs="Times New Roman"/>
          <w:sz w:val="21"/>
          <w:szCs w:val="21"/>
          <w:highlight w:val="none"/>
        </w:rPr>
        <w:t>同时必须在邮件中以文字方式提供投标人全称、投标授权人姓名、联系方式（固定电话、手机、电子邮箱），并提供附件2法定代表人授权委托书。</w:t>
      </w:r>
    </w:p>
    <w:p w14:paraId="136C5D2F">
      <w:pPr>
        <w:pStyle w:val="76"/>
        <w:numPr>
          <w:ilvl w:val="0"/>
          <w:numId w:val="13"/>
        </w:numPr>
        <w:ind w:left="425" w:leftChars="0" w:hanging="425" w:firstLineChars="0"/>
        <w:jc w:val="both"/>
        <w:rPr>
          <w:rFonts w:hint="eastAsia" w:ascii="宋体" w:hAnsi="Courier New" w:eastAsia="宋体" w:cs="Times New Roman"/>
          <w:sz w:val="21"/>
          <w:szCs w:val="21"/>
          <w:highlight w:val="none"/>
          <w:lang w:val="en-US" w:eastAsia="zh-CN"/>
        </w:rPr>
      </w:pPr>
      <w:r>
        <w:rPr>
          <w:rFonts w:hint="eastAsia" w:ascii="宋体" w:hAnsi="Courier New" w:eastAsia="宋体" w:cs="Times New Roman"/>
          <w:b/>
          <w:bCs/>
          <w:sz w:val="21"/>
          <w:szCs w:val="21"/>
          <w:highlight w:val="none"/>
          <w:lang w:val="en-US" w:eastAsia="zh-CN"/>
        </w:rPr>
        <w:t>领取答疑、澄清和修改文件时间</w:t>
      </w:r>
      <w:r>
        <w:rPr>
          <w:rFonts w:hint="eastAsia" w:ascii="宋体" w:hAnsi="Courier New" w:eastAsia="宋体" w:cs="Times New Roman"/>
          <w:sz w:val="21"/>
          <w:szCs w:val="21"/>
          <w:highlight w:val="none"/>
          <w:lang w:val="en-US" w:eastAsia="zh-CN"/>
        </w:rPr>
        <w:t>：20</w:t>
      </w:r>
      <w:r>
        <w:rPr>
          <w:rFonts w:hint="eastAsia" w:cs="Times New Roman"/>
          <w:sz w:val="21"/>
          <w:szCs w:val="21"/>
          <w:highlight w:val="none"/>
          <w:lang w:val="en-US" w:eastAsia="zh-CN"/>
        </w:rPr>
        <w:t>26</w:t>
      </w:r>
      <w:r>
        <w:rPr>
          <w:rFonts w:hint="eastAsia" w:ascii="宋体" w:hAnsi="Courier New" w:eastAsia="宋体" w:cs="Times New Roman"/>
          <w:sz w:val="21"/>
          <w:szCs w:val="21"/>
          <w:highlight w:val="none"/>
          <w:lang w:val="en-US" w:eastAsia="zh-CN"/>
        </w:rPr>
        <w:t>年</w:t>
      </w:r>
      <w:r>
        <w:rPr>
          <w:rFonts w:hint="eastAsia" w:cs="Times New Roman"/>
          <w:sz w:val="21"/>
          <w:szCs w:val="21"/>
          <w:highlight w:val="none"/>
          <w:lang w:val="en-US" w:eastAsia="zh-CN"/>
        </w:rPr>
        <w:t>4</w:t>
      </w:r>
      <w:r>
        <w:rPr>
          <w:rFonts w:hint="eastAsia" w:ascii="宋体" w:hAnsi="Courier New" w:eastAsia="宋体" w:cs="Times New Roman"/>
          <w:sz w:val="21"/>
          <w:szCs w:val="21"/>
          <w:highlight w:val="none"/>
          <w:lang w:val="en-US" w:eastAsia="zh-CN"/>
        </w:rPr>
        <w:t>月</w:t>
      </w:r>
      <w:r>
        <w:rPr>
          <w:rFonts w:hint="eastAsia" w:cs="Times New Roman"/>
          <w:sz w:val="21"/>
          <w:szCs w:val="21"/>
          <w:highlight w:val="none"/>
          <w:lang w:val="en-US" w:eastAsia="zh-CN"/>
        </w:rPr>
        <w:t>18</w:t>
      </w:r>
      <w:r>
        <w:rPr>
          <w:rFonts w:hint="eastAsia" w:ascii="宋体" w:hAnsi="Courier New" w:eastAsia="宋体" w:cs="Times New Roman"/>
          <w:sz w:val="21"/>
          <w:szCs w:val="21"/>
          <w:highlight w:val="none"/>
          <w:lang w:val="en-US" w:eastAsia="zh-CN"/>
        </w:rPr>
        <w:t>日</w:t>
      </w:r>
      <w:r>
        <w:rPr>
          <w:rFonts w:hint="eastAsia" w:cs="Times New Roman"/>
          <w:sz w:val="21"/>
          <w:szCs w:val="21"/>
          <w:highlight w:val="none"/>
          <w:lang w:val="en-US" w:eastAsia="zh-CN"/>
        </w:rPr>
        <w:t>17:00</w:t>
      </w:r>
      <w:r>
        <w:rPr>
          <w:rFonts w:hint="eastAsia" w:ascii="宋体" w:hAnsi="Courier New" w:eastAsia="宋体" w:cs="Times New Roman"/>
          <w:sz w:val="21"/>
          <w:szCs w:val="21"/>
          <w:highlight w:val="none"/>
          <w:lang w:val="en-US" w:eastAsia="zh-CN"/>
        </w:rPr>
        <w:t>前</w:t>
      </w:r>
      <w:r>
        <w:rPr>
          <w:rFonts w:hint="eastAsia" w:cs="Times New Roman"/>
          <w:sz w:val="21"/>
          <w:szCs w:val="21"/>
          <w:highlight w:val="none"/>
          <w:lang w:val="en-US" w:eastAsia="zh-CN"/>
        </w:rPr>
        <w:t>；</w:t>
      </w:r>
    </w:p>
    <w:p w14:paraId="4581A02D">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sz w:val="21"/>
          <w:szCs w:val="21"/>
          <w:highlight w:val="none"/>
          <w:lang w:val="en-US" w:eastAsia="zh-CN"/>
        </w:rPr>
      </w:pPr>
      <w:r>
        <w:rPr>
          <w:rFonts w:hint="eastAsia" w:ascii="宋体" w:hAnsi="Courier New" w:eastAsia="宋体" w:cs="Times New Roman"/>
          <w:b/>
          <w:bCs/>
          <w:sz w:val="21"/>
          <w:szCs w:val="21"/>
          <w:highlight w:val="none"/>
          <w:lang w:val="en-US" w:eastAsia="zh-CN"/>
        </w:rPr>
        <w:t>答疑、澄清和修改文件方式</w:t>
      </w:r>
      <w:r>
        <w:rPr>
          <w:rFonts w:hint="eastAsia" w:ascii="宋体" w:hAnsi="Courier New" w:eastAsia="宋体" w:cs="Times New Roman"/>
          <w:sz w:val="21"/>
          <w:szCs w:val="21"/>
          <w:highlight w:val="none"/>
          <w:lang w:val="en-US" w:eastAsia="zh-CN"/>
        </w:rPr>
        <w:t>：招标人将以电子邮件的方式将招标文件的答疑澄清文件发送至答疑文件提交时登记的电子邮箱。</w:t>
      </w:r>
    </w:p>
    <w:p w14:paraId="7AB51490">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报名方式</w:t>
      </w:r>
    </w:p>
    <w:p w14:paraId="76035EE9">
      <w:pPr>
        <w:pStyle w:val="113"/>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拟投标人根据招标人在中国重汽官网等公开媒体上发布的招标信息，在“中国重汽e采通”平台报名。</w:t>
      </w:r>
      <w:r>
        <w:rPr>
          <w:rFonts w:hint="eastAsia" w:ascii="宋体" w:hAnsi="宋体" w:eastAsia="宋体" w:cs="宋体"/>
          <w:b/>
          <w:bCs/>
          <w:sz w:val="21"/>
          <w:szCs w:val="21"/>
          <w:highlight w:val="none"/>
        </w:rPr>
        <w:t>按照中国重汽e采通“SRM非生产供应商注册手册”（附件</w:t>
      </w:r>
      <w:r>
        <w:rPr>
          <w:rFonts w:hint="eastAsia" w:eastAsia="宋体" w:cs="宋体"/>
          <w:b/>
          <w:bCs/>
          <w:sz w:val="21"/>
          <w:szCs w:val="21"/>
          <w:highlight w:val="none"/>
          <w:lang w:val="en-US" w:eastAsia="zh-CN"/>
        </w:rPr>
        <w:t>10</w:t>
      </w:r>
      <w:r>
        <w:rPr>
          <w:rFonts w:hint="eastAsia" w:ascii="宋体" w:hAnsi="宋体" w:eastAsia="宋体" w:cs="宋体"/>
          <w:b/>
          <w:bCs/>
          <w:sz w:val="21"/>
          <w:szCs w:val="21"/>
          <w:highlight w:val="none"/>
        </w:rPr>
        <w:t>）进行注册</w:t>
      </w:r>
      <w:r>
        <w:rPr>
          <w:rFonts w:hint="eastAsia" w:ascii="宋体" w:hAnsi="宋体" w:eastAsia="宋体" w:cs="宋体"/>
          <w:sz w:val="21"/>
          <w:szCs w:val="21"/>
          <w:highlight w:val="none"/>
        </w:rPr>
        <w:t>，注册完毕后按照</w:t>
      </w:r>
      <w:r>
        <w:rPr>
          <w:rFonts w:hint="eastAsia" w:ascii="宋体" w:hAnsi="宋体" w:eastAsia="宋体" w:cs="宋体"/>
          <w:b/>
          <w:sz w:val="21"/>
          <w:szCs w:val="21"/>
          <w:highlight w:val="none"/>
        </w:rPr>
        <w:t>“SRM系统供应商用户手册（附件1</w:t>
      </w:r>
      <w:r>
        <w:rPr>
          <w:rFonts w:hint="eastAsia" w:eastAsia="宋体" w:cs="宋体"/>
          <w:b/>
          <w:sz w:val="21"/>
          <w:szCs w:val="21"/>
          <w:highlight w:val="none"/>
          <w:lang w:val="en-US" w:eastAsia="zh-CN"/>
        </w:rPr>
        <w:t>1</w:t>
      </w:r>
      <w:r>
        <w:rPr>
          <w:rFonts w:hint="eastAsia" w:ascii="宋体" w:hAnsi="宋体" w:eastAsia="宋体" w:cs="宋体"/>
          <w:b/>
          <w:sz w:val="21"/>
          <w:szCs w:val="21"/>
          <w:highlight w:val="none"/>
        </w:rPr>
        <w:t>）”，</w:t>
      </w:r>
      <w:r>
        <w:rPr>
          <w:rFonts w:hint="eastAsia" w:ascii="宋体" w:hAnsi="宋体" w:eastAsia="宋体" w:cs="宋体"/>
          <w:sz w:val="21"/>
          <w:szCs w:val="21"/>
          <w:highlight w:val="none"/>
        </w:rPr>
        <w:t>登录</w:t>
      </w:r>
      <w:r>
        <w:rPr>
          <w:rFonts w:hint="eastAsia" w:ascii="宋体" w:hAnsi="宋体" w:eastAsia="宋体" w:cs="宋体"/>
          <w:b/>
          <w:sz w:val="21"/>
          <w:szCs w:val="21"/>
          <w:highlight w:val="none"/>
        </w:rPr>
        <w:t>重汽e采通平台</w:t>
      </w:r>
      <w:r>
        <w:rPr>
          <w:rFonts w:hint="eastAsia" w:ascii="宋体" w:hAnsi="宋体" w:eastAsia="宋体" w:cs="宋体"/>
          <w:sz w:val="21"/>
          <w:szCs w:val="21"/>
          <w:highlight w:val="none"/>
        </w:rPr>
        <w:t>后进入“供应商应标”，选择对应的项目，点击“</w:t>
      </w:r>
      <w:r>
        <w:rPr>
          <w:rFonts w:hint="eastAsia" w:ascii="宋体" w:hAnsi="宋体" w:eastAsia="宋体" w:cs="宋体"/>
          <w:b/>
          <w:bCs/>
          <w:sz w:val="21"/>
          <w:szCs w:val="21"/>
          <w:highlight w:val="none"/>
        </w:rPr>
        <w:t>应标</w:t>
      </w:r>
      <w:r>
        <w:rPr>
          <w:rFonts w:hint="eastAsia" w:ascii="宋体" w:hAnsi="宋体" w:eastAsia="宋体" w:cs="宋体"/>
          <w:sz w:val="21"/>
          <w:szCs w:val="21"/>
          <w:highlight w:val="none"/>
        </w:rPr>
        <w:t>”</w:t>
      </w:r>
      <w:r>
        <w:rPr>
          <w:rFonts w:hint="eastAsia" w:ascii="宋体" w:hAnsi="宋体" w:eastAsia="宋体" w:cs="宋体"/>
          <w:b/>
          <w:bCs/>
          <w:sz w:val="21"/>
          <w:szCs w:val="21"/>
          <w:highlight w:val="none"/>
        </w:rPr>
        <w:t>后按照招标文件第三部分投标文件组成资格证明文件中的1.1-1.13准备资料并</w:t>
      </w:r>
      <w:r>
        <w:rPr>
          <w:rFonts w:hint="eastAsia" w:ascii="宋体" w:hAnsi="宋体" w:eastAsia="宋体" w:cs="宋体"/>
          <w:sz w:val="21"/>
          <w:szCs w:val="21"/>
          <w:highlight w:val="none"/>
        </w:rPr>
        <w:t>上传，资质审查通过即为报名成功；公示期间请尽快报名。</w:t>
      </w:r>
    </w:p>
    <w:p w14:paraId="0999CAE3">
      <w:pPr>
        <w:pStyle w:val="113"/>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报名时提供的资料不合格的会在系统被驳回，请及时查阅审核状态并及时补齐资料，不能按时补充资料的视为自动放弃本次投标。</w:t>
      </w:r>
    </w:p>
    <w:p w14:paraId="787B56BC">
      <w:pPr>
        <w:pStyle w:val="113"/>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请投标人自行确认中国重汽e采通系统中供应商信息完整、准确，因供应商信息不全或错误导致的报名不成功，由投标人自行承担。</w:t>
      </w:r>
    </w:p>
    <w:p w14:paraId="3336D7C8">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w:t>
      </w:r>
      <w:r>
        <w:rPr>
          <w:rFonts w:hint="eastAsia" w:hAnsi="宋体" w:cs="宋体"/>
          <w:sz w:val="21"/>
          <w:szCs w:val="21"/>
          <w:highlight w:val="none"/>
          <w:lang w:val="en-US" w:eastAsia="zh-CN"/>
        </w:rPr>
        <w:t>1</w:t>
      </w:r>
      <w:r>
        <w:rPr>
          <w:rFonts w:hint="eastAsia" w:ascii="宋体" w:hAnsi="宋体" w:eastAsia="宋体" w:cs="宋体"/>
          <w:sz w:val="21"/>
          <w:szCs w:val="21"/>
          <w:highlight w:val="none"/>
          <w:lang w:val="en-US" w:eastAsia="zh-CN"/>
        </w:rPr>
        <w:t>）</w:t>
      </w:r>
    </w:p>
    <w:p w14:paraId="6EC8D6E7">
      <w:pPr>
        <w:pStyle w:val="76"/>
        <w:numPr>
          <w:ilvl w:val="0"/>
          <w:numId w:val="13"/>
        </w:numPr>
        <w:ind w:left="425" w:leftChars="0" w:hanging="425" w:firstLineChars="0"/>
        <w:jc w:val="both"/>
        <w:rPr>
          <w:rFonts w:hint="eastAsia" w:ascii="宋体" w:hAnsi="Courier New" w:eastAsia="宋体" w:cs="Times New Roman"/>
          <w:b/>
          <w:bCs/>
          <w:color w:val="auto"/>
          <w:sz w:val="21"/>
          <w:szCs w:val="21"/>
          <w:highlight w:val="none"/>
          <w:lang w:val="en-US" w:eastAsia="zh-CN"/>
        </w:rPr>
      </w:pPr>
      <w:r>
        <w:rPr>
          <w:rFonts w:hint="eastAsia" w:ascii="宋体" w:hAnsi="Courier New" w:eastAsia="宋体" w:cs="Times New Roman"/>
          <w:b/>
          <w:bCs/>
          <w:color w:val="auto"/>
          <w:sz w:val="21"/>
          <w:szCs w:val="21"/>
          <w:highlight w:val="none"/>
          <w:lang w:val="en-US" w:eastAsia="zh-CN"/>
        </w:rPr>
        <w:t>应标截止时间</w:t>
      </w:r>
    </w:p>
    <w:p w14:paraId="0131723F">
      <w:pPr>
        <w:pStyle w:val="113"/>
        <w:keepNext w:val="0"/>
        <w:keepLines w:val="0"/>
        <w:pageBreakBefore w:val="0"/>
        <w:widowControl w:val="0"/>
        <w:kinsoku/>
        <w:wordWrap/>
        <w:overflowPunct/>
        <w:topLinePunct w:val="0"/>
        <w:autoSpaceDE/>
        <w:autoSpaceDN/>
        <w:bidi w:val="0"/>
        <w:adjustRightInd/>
        <w:snapToGrid/>
        <w:spacing w:after="0" w:line="240" w:lineRule="auto"/>
        <w:ind w:firstLine="482"/>
        <w:textAlignment w:val="auto"/>
        <w:rPr>
          <w:rFonts w:eastAsia="宋体" w:cs="宋体"/>
          <w:sz w:val="21"/>
          <w:szCs w:val="21"/>
          <w:highlight w:val="none"/>
        </w:rPr>
      </w:pPr>
      <w:r>
        <w:rPr>
          <w:rFonts w:hint="eastAsia" w:ascii="宋体" w:hAnsi="宋体" w:eastAsia="宋体" w:cs="宋体"/>
          <w:bCs/>
          <w:sz w:val="21"/>
          <w:szCs w:val="21"/>
          <w:highlight w:val="none"/>
        </w:rPr>
        <w:t>202</w:t>
      </w:r>
      <w:r>
        <w:rPr>
          <w:rFonts w:hint="eastAsia" w:eastAsia="宋体" w:cs="宋体"/>
          <w:bCs/>
          <w:sz w:val="21"/>
          <w:szCs w:val="21"/>
          <w:highlight w:val="none"/>
          <w:lang w:val="en-US" w:eastAsia="zh-CN"/>
        </w:rPr>
        <w:t>6</w:t>
      </w:r>
      <w:r>
        <w:rPr>
          <w:rFonts w:hint="eastAsia" w:ascii="宋体" w:hAnsi="宋体" w:eastAsia="宋体" w:cs="宋体"/>
          <w:bCs/>
          <w:sz w:val="21"/>
          <w:szCs w:val="21"/>
          <w:highlight w:val="none"/>
        </w:rPr>
        <w:t>年</w:t>
      </w:r>
      <w:r>
        <w:rPr>
          <w:rFonts w:hint="eastAsia" w:eastAsia="宋体" w:cs="宋体"/>
          <w:bCs/>
          <w:sz w:val="21"/>
          <w:szCs w:val="21"/>
          <w:highlight w:val="none"/>
          <w:lang w:val="en-US" w:eastAsia="zh-CN"/>
        </w:rPr>
        <w:t>4</w:t>
      </w:r>
      <w:r>
        <w:rPr>
          <w:rFonts w:hint="eastAsia" w:ascii="宋体" w:hAnsi="宋体" w:eastAsia="宋体" w:cs="宋体"/>
          <w:bCs/>
          <w:sz w:val="21"/>
          <w:szCs w:val="21"/>
          <w:highlight w:val="none"/>
        </w:rPr>
        <w:t>月</w:t>
      </w:r>
      <w:r>
        <w:rPr>
          <w:rFonts w:hint="eastAsia" w:eastAsia="宋体" w:cs="宋体"/>
          <w:bCs/>
          <w:sz w:val="21"/>
          <w:szCs w:val="21"/>
          <w:highlight w:val="none"/>
          <w:lang w:val="en-US" w:eastAsia="zh-CN"/>
        </w:rPr>
        <w:t>20</w:t>
      </w:r>
      <w:r>
        <w:rPr>
          <w:rFonts w:hint="eastAsia" w:ascii="宋体" w:hAnsi="宋体" w:eastAsia="宋体" w:cs="宋体"/>
          <w:bCs/>
          <w:sz w:val="21"/>
          <w:szCs w:val="21"/>
          <w:highlight w:val="none"/>
        </w:rPr>
        <w:t>日</w:t>
      </w:r>
      <w:r>
        <w:rPr>
          <w:rFonts w:hint="eastAsia" w:eastAsia="宋体" w:cs="宋体"/>
          <w:sz w:val="21"/>
          <w:szCs w:val="21"/>
          <w:highlight w:val="none"/>
          <w:shd w:val="clear"/>
        </w:rPr>
        <w:t>17时00分00秒</w:t>
      </w:r>
    </w:p>
    <w:p w14:paraId="73A7FB78">
      <w:pPr>
        <w:pStyle w:val="76"/>
        <w:numPr>
          <w:ilvl w:val="0"/>
          <w:numId w:val="0"/>
        </w:numPr>
        <w:ind w:leftChars="0"/>
        <w:jc w:val="both"/>
        <w:rPr>
          <w:rFonts w:hint="eastAsia" w:ascii="宋体" w:hAnsi="Courier New" w:eastAsia="宋体" w:cs="Times New Roman"/>
          <w:sz w:val="21"/>
          <w:szCs w:val="21"/>
          <w:highlight w:val="none"/>
          <w:lang w:val="en-US" w:eastAsia="zh-CN"/>
        </w:rPr>
      </w:pPr>
      <w:r>
        <w:rPr>
          <w:rFonts w:hint="eastAsia" w:eastAsia="宋体" w:cs="宋体"/>
          <w:b/>
          <w:bCs/>
          <w:sz w:val="21"/>
          <w:szCs w:val="21"/>
          <w:highlight w:val="none"/>
        </w:rPr>
        <w:t>注：请务必在应标截止时间前完成注册及应标操作，注册审核需2-4日，应标截止时间精确到秒，逾期将无法应标。请自行掌握时间，避免无法应标。</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highlight w:val="none"/>
        </w:rPr>
      </w:pPr>
      <w:r>
        <w:rPr>
          <w:rFonts w:hint="eastAsia"/>
          <w:b w:val="0"/>
          <w:highlight w:val="none"/>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投标人编写的投标文件由《投标文件（资质标）》、《投标文件（技术标）》、《投标文件（商务标）》（开标一览表）文件组成，共计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1</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5"/>
        </w:numPr>
        <w:ind w:left="425" w:leftChars="0" w:hanging="425" w:firstLineChars="0"/>
        <w:rPr>
          <w:b w:val="0"/>
          <w:bCs/>
          <w:highlight w:val="none"/>
        </w:rPr>
      </w:pPr>
      <w:r>
        <w:rPr>
          <w:rFonts w:hint="eastAsia"/>
          <w:b w:val="0"/>
          <w:bCs/>
          <w:highlight w:val="none"/>
        </w:rPr>
        <w:t>资质文件：</w:t>
      </w:r>
    </w:p>
    <w:p w14:paraId="13BAC003">
      <w:pPr>
        <w:pStyle w:val="75"/>
        <w:numPr>
          <w:ilvl w:val="0"/>
          <w:numId w:val="16"/>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6"/>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6"/>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6"/>
        </w:numPr>
        <w:ind w:left="425" w:leftChars="0" w:hanging="425" w:firstLineChars="0"/>
        <w:rPr>
          <w:b w:val="0"/>
          <w:bCs/>
          <w:highlight w:val="none"/>
        </w:rPr>
      </w:pPr>
      <w:r>
        <w:rPr>
          <w:rFonts w:hint="eastAsia"/>
          <w:b w:val="0"/>
          <w:bCs/>
          <w:highlight w:val="none"/>
        </w:rPr>
        <w:t>信用中国截图或国家企业信用信息公示系统截图；</w:t>
      </w:r>
    </w:p>
    <w:p w14:paraId="08F8AAFD">
      <w:pPr>
        <w:pStyle w:val="75"/>
        <w:numPr>
          <w:ilvl w:val="0"/>
          <w:numId w:val="16"/>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5"/>
        </w:numPr>
        <w:ind w:left="425" w:leftChars="0" w:hanging="425" w:firstLineChars="0"/>
        <w:rPr>
          <w:rFonts w:hint="eastAsia" w:cs="Times New Roman"/>
          <w:b w:val="0"/>
          <w:bCs/>
          <w:highlight w:val="none"/>
        </w:rPr>
      </w:pPr>
      <w:r>
        <w:rPr>
          <w:rFonts w:hint="eastAsia" w:cs="Times New Roman"/>
          <w:b w:val="0"/>
          <w:bCs/>
          <w:highlight w:val="none"/>
        </w:rPr>
        <w:t>技术标：</w:t>
      </w:r>
    </w:p>
    <w:p w14:paraId="7CB8DE54">
      <w:pPr>
        <w:pStyle w:val="75"/>
        <w:numPr>
          <w:ilvl w:val="0"/>
          <w:numId w:val="18"/>
        </w:numPr>
        <w:ind w:left="425" w:leftChars="0" w:hanging="425" w:firstLineChars="0"/>
        <w:rPr>
          <w:b w:val="0"/>
          <w:bCs/>
          <w:highlight w:val="none"/>
        </w:rPr>
      </w:pPr>
      <w:r>
        <w:rPr>
          <w:rFonts w:hint="eastAsia"/>
          <w:b w:val="0"/>
          <w:bCs/>
          <w:highlight w:val="none"/>
          <w:lang w:val="en-US" w:eastAsia="zh-CN"/>
        </w:rPr>
        <w:t>培训名称</w:t>
      </w:r>
      <w:r>
        <w:rPr>
          <w:rFonts w:hint="eastAsia"/>
          <w:b w:val="0"/>
          <w:bCs/>
          <w:highlight w:val="none"/>
        </w:rPr>
        <w:t>。</w:t>
      </w:r>
    </w:p>
    <w:p w14:paraId="3D6F729D">
      <w:pPr>
        <w:pStyle w:val="75"/>
        <w:numPr>
          <w:ilvl w:val="0"/>
          <w:numId w:val="18"/>
        </w:numPr>
        <w:ind w:left="425" w:leftChars="0" w:hanging="425" w:firstLineChars="0"/>
        <w:rPr>
          <w:b w:val="0"/>
          <w:bCs/>
          <w:highlight w:val="none"/>
        </w:rPr>
      </w:pPr>
      <w:r>
        <w:rPr>
          <w:rFonts w:hint="eastAsia"/>
          <w:b w:val="0"/>
          <w:bCs/>
          <w:highlight w:val="none"/>
          <w:lang w:val="en-US" w:eastAsia="zh-CN"/>
        </w:rPr>
        <w:t>培训组成及分类</w:t>
      </w:r>
      <w:r>
        <w:rPr>
          <w:rFonts w:hint="eastAsia"/>
          <w:b w:val="0"/>
          <w:bCs/>
          <w:highlight w:val="none"/>
        </w:rPr>
        <w:t>；</w:t>
      </w:r>
    </w:p>
    <w:p w14:paraId="69AE970B">
      <w:pPr>
        <w:pStyle w:val="75"/>
        <w:numPr>
          <w:ilvl w:val="0"/>
          <w:numId w:val="18"/>
        </w:numPr>
        <w:ind w:left="425" w:leftChars="0" w:hanging="425" w:firstLineChars="0"/>
        <w:rPr>
          <w:b w:val="0"/>
          <w:bCs/>
          <w:highlight w:val="none"/>
        </w:rPr>
      </w:pPr>
      <w:r>
        <w:rPr>
          <w:rFonts w:hint="eastAsia"/>
          <w:b w:val="0"/>
          <w:bCs/>
          <w:highlight w:val="none"/>
        </w:rPr>
        <w:t>技术</w:t>
      </w:r>
      <w:r>
        <w:rPr>
          <w:rFonts w:hint="eastAsia"/>
          <w:b w:val="0"/>
          <w:bCs/>
          <w:highlight w:val="none"/>
          <w:lang w:val="en-US" w:eastAsia="zh-CN"/>
        </w:rPr>
        <w:t>要求</w:t>
      </w:r>
      <w:r>
        <w:rPr>
          <w:rFonts w:hint="eastAsia"/>
          <w:b w:val="0"/>
          <w:bCs/>
          <w:highlight w:val="none"/>
        </w:rPr>
        <w:t>；</w:t>
      </w:r>
    </w:p>
    <w:p w14:paraId="5D2BBFAC">
      <w:pPr>
        <w:pStyle w:val="75"/>
        <w:numPr>
          <w:ilvl w:val="0"/>
          <w:numId w:val="18"/>
        </w:numPr>
        <w:ind w:left="425" w:leftChars="0" w:hanging="425" w:firstLineChars="0"/>
        <w:rPr>
          <w:b w:val="0"/>
          <w:bCs/>
          <w:highlight w:val="none"/>
        </w:rPr>
      </w:pPr>
      <w:r>
        <w:rPr>
          <w:rFonts w:hint="eastAsia"/>
          <w:b w:val="0"/>
          <w:bCs/>
          <w:highlight w:val="none"/>
          <w:lang w:val="en-US" w:eastAsia="zh-CN"/>
        </w:rPr>
        <w:t>其他要求</w:t>
      </w:r>
      <w:r>
        <w:rPr>
          <w:rFonts w:hint="eastAsia"/>
          <w:b w:val="0"/>
          <w:bCs/>
          <w:highlight w:val="none"/>
        </w:rPr>
        <w:t>；</w:t>
      </w:r>
      <w:r>
        <w:rPr>
          <w:b w:val="0"/>
          <w:bCs/>
          <w:highlight w:val="none"/>
        </w:rPr>
        <w:t xml:space="preserve"> </w:t>
      </w:r>
    </w:p>
    <w:p w14:paraId="47175D6D">
      <w:pPr>
        <w:pStyle w:val="74"/>
        <w:numPr>
          <w:ilvl w:val="0"/>
          <w:numId w:val="15"/>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19"/>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w:t>
      </w:r>
    </w:p>
    <w:p w14:paraId="0DFA5CBE">
      <w:pPr>
        <w:pStyle w:val="75"/>
        <w:numPr>
          <w:ilvl w:val="0"/>
          <w:numId w:val="19"/>
        </w:numPr>
        <w:ind w:left="425" w:leftChars="0" w:hanging="425" w:firstLineChars="0"/>
        <w:rPr>
          <w:b w:val="0"/>
          <w:bCs/>
          <w:highlight w:val="none"/>
        </w:rPr>
      </w:pPr>
      <w:r>
        <w:rPr>
          <w:rFonts w:hint="eastAsia"/>
          <w:b w:val="0"/>
          <w:bCs/>
          <w:highlight w:val="none"/>
        </w:rPr>
        <w:t>投标函（格式见附件）;</w:t>
      </w:r>
    </w:p>
    <w:p w14:paraId="5C36F232">
      <w:pPr>
        <w:pStyle w:val="75"/>
        <w:keepNext w:val="0"/>
        <w:keepLines w:val="0"/>
        <w:pageBreakBefore w:val="0"/>
        <w:numPr>
          <w:ilvl w:val="0"/>
          <w:numId w:val="19"/>
        </w:numPr>
        <w:kinsoku/>
        <w:wordWrap/>
        <w:overflowPunct/>
        <w:topLinePunct w:val="0"/>
        <w:autoSpaceDE/>
        <w:autoSpaceDN/>
        <w:bidi w:val="0"/>
        <w:adjustRightInd/>
        <w:snapToGrid/>
        <w:spacing w:line="360" w:lineRule="auto"/>
        <w:ind w:left="425" w:leftChars="0" w:hanging="425" w:firstLineChars="0"/>
        <w:textAlignment w:val="auto"/>
        <w:rPr>
          <w:b w:val="0"/>
          <w:bCs/>
          <w:highlight w:val="none"/>
        </w:rPr>
      </w:pPr>
      <w:r>
        <w:rPr>
          <w:rFonts w:hint="eastAsia"/>
          <w:b w:val="0"/>
          <w:bCs/>
          <w:highlight w:val="none"/>
        </w:rPr>
        <w:t>商务条款偏离表；</w:t>
      </w:r>
    </w:p>
    <w:p w14:paraId="30D8B5FA">
      <w:pPr>
        <w:pStyle w:val="75"/>
        <w:keepNext w:val="0"/>
        <w:keepLines w:val="0"/>
        <w:pageBreakBefore w:val="0"/>
        <w:widowControl/>
        <w:numPr>
          <w:ilvl w:val="0"/>
          <w:numId w:val="19"/>
        </w:numPr>
        <w:kinsoku/>
        <w:wordWrap/>
        <w:overflowPunct/>
        <w:topLinePunct w:val="0"/>
        <w:autoSpaceDE/>
        <w:autoSpaceDN/>
        <w:bidi w:val="0"/>
        <w:adjustRightInd/>
        <w:snapToGrid/>
        <w:spacing w:line="360" w:lineRule="auto"/>
        <w:ind w:left="425" w:hanging="425"/>
        <w:jc w:val="left"/>
        <w:textAlignment w:val="auto"/>
        <w:outlineLvl w:val="9"/>
        <w:rPr>
          <w:rFonts w:hint="eastAsia"/>
          <w:b w:val="0"/>
          <w:bCs/>
          <w:highlight w:val="none"/>
        </w:rPr>
      </w:pPr>
      <w:r>
        <w:rPr>
          <w:rFonts w:hint="eastAsia"/>
          <w:b w:val="0"/>
          <w:bCs/>
          <w:highlight w:val="none"/>
        </w:rPr>
        <w:t>投标报价明细表；</w:t>
      </w:r>
    </w:p>
    <w:p w14:paraId="53DECED4">
      <w:pPr>
        <w:pStyle w:val="75"/>
        <w:keepNext w:val="0"/>
        <w:keepLines w:val="0"/>
        <w:pageBreakBefore w:val="0"/>
        <w:widowControl w:val="0"/>
        <w:numPr>
          <w:ilvl w:val="0"/>
          <w:numId w:val="17"/>
        </w:numPr>
        <w:kinsoku/>
        <w:wordWrap/>
        <w:overflowPunct/>
        <w:topLinePunct w:val="0"/>
        <w:autoSpaceDE/>
        <w:autoSpaceDN/>
        <w:bidi w:val="0"/>
        <w:adjustRightInd/>
        <w:snapToGrid/>
        <w:spacing w:line="360" w:lineRule="auto"/>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ascii="宋体" w:hAnsi="宋体" w:eastAsia="宋体" w:cs="宋体"/>
          <w:kern w:val="2"/>
          <w:sz w:val="21"/>
          <w:szCs w:val="21"/>
          <w:highlight w:val="none"/>
          <w:lang w:val="en-US" w:eastAsia="zh-CN" w:bidi="ar-SA"/>
        </w:rPr>
        <w:t>：最高投标限价（招标控制价）：人民币</w:t>
      </w:r>
      <w:r>
        <w:rPr>
          <w:rFonts w:hint="eastAsia" w:ascii="宋体" w:hAnsi="宋体" w:eastAsia="宋体" w:cs="宋体"/>
          <w:kern w:val="2"/>
          <w:sz w:val="21"/>
          <w:szCs w:val="21"/>
          <w:highlight w:val="none"/>
          <w:u w:val="single"/>
          <w:lang w:val="en-US" w:eastAsia="zh-CN" w:bidi="ar-SA"/>
        </w:rPr>
        <w:t xml:space="preserve">  </w:t>
      </w:r>
      <w:r>
        <w:rPr>
          <w:rFonts w:hint="eastAsia" w:hAnsi="宋体" w:cs="宋体"/>
          <w:kern w:val="2"/>
          <w:sz w:val="21"/>
          <w:szCs w:val="21"/>
          <w:highlight w:val="none"/>
          <w:u w:val="single"/>
          <w:lang w:val="en-US" w:eastAsia="zh-CN" w:bidi="ar-SA"/>
        </w:rPr>
        <w:t>7</w:t>
      </w:r>
      <w:r>
        <w:rPr>
          <w:rFonts w:hint="eastAsia" w:ascii="宋体" w:hAnsi="宋体" w:eastAsia="宋体" w:cs="宋体"/>
          <w:kern w:val="2"/>
          <w:sz w:val="21"/>
          <w:szCs w:val="21"/>
          <w:highlight w:val="none"/>
          <w:u w:val="single"/>
          <w:lang w:val="en-US" w:eastAsia="zh-CN" w:bidi="ar-SA"/>
        </w:rPr>
        <w:t xml:space="preserve">  </w:t>
      </w:r>
      <w:r>
        <w:rPr>
          <w:rFonts w:hint="eastAsia" w:ascii="宋体" w:hAnsi="宋体" w:eastAsia="宋体" w:cs="宋体"/>
          <w:kern w:val="2"/>
          <w:sz w:val="21"/>
          <w:szCs w:val="21"/>
          <w:highlight w:val="none"/>
          <w:lang w:val="en-US" w:eastAsia="zh-CN" w:bidi="ar-SA"/>
        </w:rPr>
        <w:t>万元（含</w:t>
      </w:r>
      <w:r>
        <w:rPr>
          <w:rFonts w:hint="eastAsia" w:hAnsi="宋体" w:cs="宋体"/>
          <w:kern w:val="2"/>
          <w:sz w:val="21"/>
          <w:szCs w:val="21"/>
          <w:highlight w:val="none"/>
          <w:lang w:val="en-US" w:eastAsia="zh-CN" w:bidi="ar-SA"/>
        </w:rPr>
        <w:t>6</w:t>
      </w:r>
      <w:r>
        <w:rPr>
          <w:rFonts w:hint="eastAsia" w:ascii="宋体" w:hAnsi="宋体" w:eastAsia="宋体" w:cs="宋体"/>
          <w:kern w:val="2"/>
          <w:sz w:val="21"/>
          <w:szCs w:val="21"/>
          <w:highlight w:val="none"/>
          <w:lang w:val="en-US" w:eastAsia="zh-CN" w:bidi="ar-SA"/>
        </w:rPr>
        <w:t>%增值税），超过投标限价无法投标。</w:t>
      </w:r>
    </w:p>
    <w:p w14:paraId="70E2A45F">
      <w:pPr>
        <w:pStyle w:val="73"/>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0" w:firstLineChars="0"/>
        <w:textAlignment w:val="auto"/>
        <w:rPr>
          <w:rFonts w:hint="eastAsia" w:cs="Times New Roman"/>
          <w:b w:val="0"/>
          <w:highlight w:val="none"/>
          <w:lang w:val="en-US" w:eastAsia="zh-CN"/>
        </w:rPr>
      </w:pPr>
      <w:r>
        <w:rPr>
          <w:rFonts w:hint="eastAsia" w:cs="Times New Roman"/>
          <w:b w:val="0"/>
          <w:highlight w:val="none"/>
          <w:lang w:val="en-US" w:eastAsia="zh-CN"/>
        </w:rPr>
        <w:t>投标文件的投递</w:t>
      </w:r>
    </w:p>
    <w:p w14:paraId="66ACCFCD">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eastAsia="宋体" w:cs="宋体"/>
          <w:bCs/>
          <w:sz w:val="21"/>
          <w:szCs w:val="21"/>
          <w:highlight w:val="none"/>
        </w:rPr>
      </w:pPr>
      <w:r>
        <w:rPr>
          <w:rFonts w:hint="eastAsia" w:eastAsia="宋体" w:cs="宋体"/>
          <w:b/>
          <w:sz w:val="21"/>
          <w:szCs w:val="21"/>
          <w:highlight w:val="none"/>
        </w:rPr>
        <w:t>在中国重汽e采通平台应标成功后，进入“供应商投标”环节，投递盖章扫描版电子标书（包含资质标书、技术标书、商务标书），</w:t>
      </w:r>
      <w:r>
        <w:rPr>
          <w:rFonts w:ascii="宋体" w:hAnsi="宋体" w:eastAsia="宋体" w:cs="宋体"/>
          <w:sz w:val="21"/>
          <w:szCs w:val="21"/>
          <w:highlight w:val="none"/>
        </w:rPr>
        <w:t>若逾期未</w:t>
      </w:r>
      <w:r>
        <w:rPr>
          <w:rFonts w:hint="eastAsia" w:ascii="宋体" w:hAnsi="宋体" w:eastAsia="宋体" w:cs="宋体"/>
          <w:sz w:val="21"/>
          <w:szCs w:val="21"/>
          <w:highlight w:val="none"/>
        </w:rPr>
        <w:t>在中国</w:t>
      </w:r>
      <w:r>
        <w:rPr>
          <w:rFonts w:ascii="宋体" w:hAnsi="宋体" w:eastAsia="宋体" w:cs="宋体"/>
          <w:sz w:val="21"/>
          <w:szCs w:val="21"/>
          <w:highlight w:val="none"/>
        </w:rPr>
        <w:t>重汽e采通</w:t>
      </w:r>
      <w:r>
        <w:rPr>
          <w:rFonts w:hint="eastAsia" w:ascii="宋体" w:hAnsi="宋体" w:eastAsia="宋体" w:cs="宋体"/>
          <w:sz w:val="21"/>
          <w:szCs w:val="21"/>
          <w:highlight w:val="none"/>
        </w:rPr>
        <w:t>平台</w:t>
      </w:r>
      <w:r>
        <w:rPr>
          <w:rFonts w:ascii="宋体" w:hAnsi="宋体" w:eastAsia="宋体" w:cs="宋体"/>
          <w:sz w:val="21"/>
          <w:szCs w:val="21"/>
          <w:highlight w:val="none"/>
        </w:rPr>
        <w:t>上传</w:t>
      </w:r>
      <w:r>
        <w:rPr>
          <w:rFonts w:hint="eastAsia" w:ascii="宋体" w:hAnsi="宋体" w:eastAsia="宋体" w:cs="宋体"/>
          <w:sz w:val="21"/>
          <w:szCs w:val="21"/>
          <w:highlight w:val="none"/>
        </w:rPr>
        <w:t>电子</w:t>
      </w:r>
      <w:r>
        <w:rPr>
          <w:rFonts w:ascii="宋体" w:hAnsi="宋体" w:eastAsia="宋体" w:cs="宋体"/>
          <w:sz w:val="21"/>
          <w:szCs w:val="21"/>
          <w:highlight w:val="none"/>
        </w:rPr>
        <w:t>标书，即便递交了纸版投标文件，一律视为无效投标</w:t>
      </w:r>
      <w:r>
        <w:rPr>
          <w:rFonts w:hint="eastAsia" w:eastAsia="宋体" w:cs="宋体"/>
          <w:b/>
          <w:sz w:val="21"/>
          <w:szCs w:val="21"/>
          <w:highlight w:val="none"/>
        </w:rPr>
        <w:t>。</w:t>
      </w:r>
    </w:p>
    <w:p w14:paraId="26662468">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eastAsia="宋体" w:cs="宋体"/>
          <w:bCs/>
          <w:sz w:val="21"/>
          <w:szCs w:val="21"/>
          <w:highlight w:val="none"/>
        </w:rPr>
      </w:pPr>
      <w:r>
        <w:rPr>
          <w:rFonts w:hint="eastAsia" w:eastAsia="宋体" w:cs="宋体"/>
          <w:bCs/>
          <w:sz w:val="21"/>
          <w:szCs w:val="21"/>
          <w:highlight w:val="none"/>
        </w:rPr>
        <w:t>纸质版投标文件的份数要求为</w:t>
      </w:r>
      <w:r>
        <w:rPr>
          <w:rFonts w:hint="eastAsia" w:ascii="宋体" w:hAnsi="宋体" w:eastAsia="宋体" w:cs="宋体"/>
          <w:b/>
          <w:sz w:val="21"/>
          <w:szCs w:val="21"/>
          <w:highlight w:val="none"/>
        </w:rPr>
        <w:t>正本一份，副本</w:t>
      </w:r>
      <w:r>
        <w:rPr>
          <w:rFonts w:hint="eastAsia" w:ascii="宋体" w:hAnsi="宋体" w:eastAsia="宋体" w:cs="宋体"/>
          <w:b/>
          <w:sz w:val="21"/>
          <w:szCs w:val="21"/>
          <w:highlight w:val="none"/>
          <w:lang w:val="en-US" w:eastAsia="zh-CN"/>
        </w:rPr>
        <w:t>四</w:t>
      </w:r>
      <w:r>
        <w:rPr>
          <w:rFonts w:hint="eastAsia" w:ascii="宋体" w:hAnsi="宋体" w:eastAsia="宋体" w:cs="宋体"/>
          <w:b/>
          <w:sz w:val="21"/>
          <w:szCs w:val="21"/>
          <w:highlight w:val="none"/>
        </w:rPr>
        <w:t>份</w:t>
      </w:r>
      <w:r>
        <w:rPr>
          <w:rFonts w:hint="eastAsia" w:ascii="宋体" w:hAnsi="宋体" w:eastAsia="宋体" w:cs="宋体"/>
          <w:b/>
          <w:sz w:val="21"/>
          <w:szCs w:val="21"/>
          <w:highlight w:val="none"/>
          <w:lang w:eastAsia="zh-CN"/>
        </w:rPr>
        <w:t>，</w:t>
      </w:r>
      <w:r>
        <w:rPr>
          <w:rFonts w:hint="eastAsia" w:ascii="宋体" w:hAnsi="宋体" w:eastAsia="宋体" w:cs="宋体"/>
          <w:bCs/>
          <w:sz w:val="21"/>
          <w:szCs w:val="21"/>
          <w:highlight w:val="none"/>
        </w:rPr>
        <w:t>资质投标书、技术投标书及商务投标书的</w:t>
      </w:r>
      <w:r>
        <w:rPr>
          <w:rFonts w:hint="eastAsia" w:eastAsia="宋体" w:cs="宋体"/>
          <w:b/>
          <w:sz w:val="21"/>
          <w:szCs w:val="21"/>
          <w:highlight w:val="none"/>
        </w:rPr>
        <w:t>同类文件封装在一个包封里，包封表面按照附件</w:t>
      </w:r>
      <w:r>
        <w:rPr>
          <w:rFonts w:hint="eastAsia" w:cs="宋体"/>
          <w:b/>
          <w:sz w:val="21"/>
          <w:szCs w:val="21"/>
          <w:highlight w:val="none"/>
          <w:lang w:val="en-US" w:eastAsia="zh-CN"/>
        </w:rPr>
        <w:t>9</w:t>
      </w:r>
      <w:r>
        <w:rPr>
          <w:rFonts w:hint="eastAsia" w:eastAsia="宋体" w:cs="宋体"/>
          <w:b/>
          <w:sz w:val="21"/>
          <w:szCs w:val="21"/>
          <w:highlight w:val="none"/>
        </w:rPr>
        <w:t>标注文件信息；共计三个包封</w:t>
      </w:r>
      <w:r>
        <w:rPr>
          <w:rFonts w:hint="eastAsia" w:eastAsia="宋体" w:cs="宋体"/>
          <w:bCs/>
          <w:sz w:val="21"/>
          <w:szCs w:val="21"/>
          <w:highlight w:val="none"/>
        </w:rPr>
        <w:t>。</w:t>
      </w:r>
    </w:p>
    <w:p w14:paraId="5F9B5E05">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eastAsia="宋体" w:cs="宋体" w:asciiTheme="minorHAnsi" w:hAnsiTheme="minorHAnsi"/>
          <w:bCs/>
          <w:sz w:val="21"/>
          <w:szCs w:val="21"/>
          <w:highlight w:val="none"/>
        </w:rPr>
      </w:pPr>
      <w:r>
        <w:rPr>
          <w:rFonts w:hint="eastAsia" w:eastAsia="宋体" w:cs="宋体" w:asciiTheme="minorHAnsi" w:hAnsiTheme="minorHAnsi"/>
          <w:bCs/>
          <w:sz w:val="21"/>
          <w:szCs w:val="21"/>
          <w:highlight w:val="none"/>
        </w:rPr>
        <w:t>如选择到场参与开标，自行携带纸质投标文件于开标前至开标地点即可。</w:t>
      </w:r>
    </w:p>
    <w:p w14:paraId="50A15930">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Courier New" w:eastAsia="宋体" w:cs="Times New Roman"/>
          <w:b w:val="0"/>
          <w:bCs/>
          <w:sz w:val="21"/>
          <w:szCs w:val="21"/>
          <w:highlight w:val="none"/>
          <w:lang w:val="en-US" w:eastAsia="zh-CN"/>
        </w:rPr>
      </w:pPr>
      <w:r>
        <w:rPr>
          <w:rFonts w:hint="eastAsia" w:eastAsia="宋体" w:cs="宋体" w:asciiTheme="minorHAnsi" w:hAnsiTheme="minorHAnsi"/>
          <w:bCs/>
          <w:sz w:val="21"/>
          <w:szCs w:val="21"/>
          <w:highlight w:val="none"/>
        </w:rPr>
        <w:t>如选择线上参与开标，纸质投标文件需在开标日前两天，邮寄到指定地址。</w:t>
      </w:r>
    </w:p>
    <w:p w14:paraId="06C8EA9D">
      <w:pPr>
        <w:pStyle w:val="75"/>
        <w:numPr>
          <w:ilvl w:val="0"/>
          <w:numId w:val="20"/>
        </w:numPr>
        <w:ind w:left="425" w:leftChars="0" w:hanging="425" w:firstLineChars="0"/>
        <w:rPr>
          <w:rFonts w:hint="eastAsia" w:ascii="宋体" w:hAnsi="Courier New" w:eastAsia="宋体" w:cs="Times New Roman"/>
          <w:b w:val="0"/>
          <w:bCs/>
          <w:highlight w:val="none"/>
        </w:rPr>
      </w:pPr>
      <w:r>
        <w:rPr>
          <w:rFonts w:hint="eastAsia" w:ascii="宋体" w:hAnsi="Courier New" w:eastAsia="宋体" w:cs="Times New Roman"/>
          <w:b/>
          <w:bCs w:val="0"/>
          <w:highlight w:val="none"/>
          <w:lang w:val="en-US" w:eastAsia="zh-CN"/>
        </w:rPr>
        <w:t>邮寄地址：</w:t>
      </w:r>
      <w:r>
        <w:rPr>
          <w:rFonts w:hint="eastAsia" w:ascii="宋体" w:hAnsi="Courier New" w:eastAsia="宋体" w:cs="Times New Roman"/>
          <w:b w:val="0"/>
          <w:bCs/>
          <w:highlight w:val="none"/>
          <w:lang w:val="en-US" w:eastAsia="zh-CN"/>
        </w:rPr>
        <w:t>山东省济南市章丘区潘王路东园区十一号路北，</w:t>
      </w:r>
      <w:r>
        <w:rPr>
          <w:rFonts w:hint="eastAsia" w:cs="Times New Roman"/>
          <w:b w:val="0"/>
          <w:bCs/>
          <w:highlight w:val="none"/>
          <w:lang w:val="en-US" w:eastAsia="zh-CN"/>
        </w:rPr>
        <w:t>济南轻卡制造公司</w:t>
      </w:r>
    </w:p>
    <w:p w14:paraId="0222A9BC">
      <w:pPr>
        <w:pStyle w:val="75"/>
        <w:numPr>
          <w:ilvl w:val="0"/>
          <w:numId w:val="20"/>
        </w:numPr>
        <w:ind w:left="425" w:leftChars="0" w:hanging="425" w:firstLineChars="0"/>
        <w:rPr>
          <w:rFonts w:hint="default" w:ascii="宋体" w:hAnsi="Courier New" w:eastAsia="宋体" w:cs="Times New Roman"/>
          <w:b w:val="0"/>
          <w:bCs/>
          <w:highlight w:val="none"/>
          <w:lang w:val="en-US" w:eastAsia="zh-CN"/>
        </w:rPr>
      </w:pPr>
      <w:r>
        <w:rPr>
          <w:rFonts w:hint="eastAsia" w:ascii="宋体" w:hAnsi="Courier New" w:eastAsia="宋体" w:cs="Times New Roman"/>
          <w:b/>
          <w:bCs w:val="0"/>
          <w:highlight w:val="none"/>
          <w:lang w:val="en-US" w:eastAsia="zh-CN"/>
        </w:rPr>
        <w:t>联系人及联系方式：</w:t>
      </w:r>
      <w:r>
        <w:rPr>
          <w:rFonts w:hint="eastAsia" w:cs="Times New Roman"/>
          <w:b w:val="0"/>
          <w:bCs/>
          <w:highlight w:val="none"/>
          <w:lang w:val="en-US" w:eastAsia="zh-CN"/>
        </w:rPr>
        <w:t>王苒</w:t>
      </w:r>
      <w:r>
        <w:rPr>
          <w:rFonts w:hint="eastAsia" w:ascii="宋体" w:hAnsi="Courier New" w:eastAsia="宋体" w:cs="Times New Roman"/>
          <w:b w:val="0"/>
          <w:bCs/>
          <w:highlight w:val="none"/>
          <w:lang w:val="en-US" w:eastAsia="zh-CN"/>
        </w:rPr>
        <w:t>/1</w:t>
      </w:r>
      <w:r>
        <w:rPr>
          <w:rFonts w:hint="eastAsia" w:cs="Times New Roman"/>
          <w:b w:val="0"/>
          <w:bCs/>
          <w:highlight w:val="none"/>
          <w:lang w:val="en-US" w:eastAsia="zh-CN"/>
        </w:rPr>
        <w:t>8834913536</w:t>
      </w:r>
    </w:p>
    <w:p w14:paraId="529C75C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default" w:cs="Times New Roman"/>
          <w:b w:val="0"/>
          <w:highlight w:val="none"/>
          <w:lang w:val="en-US" w:eastAsia="zh-CN"/>
        </w:rPr>
      </w:pPr>
      <w:r>
        <w:rPr>
          <w:rFonts w:hint="eastAsia" w:ascii="宋体" w:hAnsi="Courier New" w:eastAsia="宋体" w:cs="Times New Roman"/>
          <w:b/>
          <w:bCs w:val="0"/>
          <w:highlight w:val="none"/>
          <w:lang w:val="en-US" w:eastAsia="zh-CN"/>
        </w:rPr>
        <w:t>投标文件递交截止时间：</w:t>
      </w:r>
      <w:r>
        <w:rPr>
          <w:rFonts w:hint="eastAsia" w:ascii="宋体" w:hAnsi="Courier New" w:eastAsia="宋体" w:cs="Times New Roman"/>
          <w:b w:val="0"/>
          <w:bCs/>
          <w:highlight w:val="none"/>
          <w:lang w:val="en-US" w:eastAsia="zh-CN"/>
        </w:rPr>
        <w:t>2026年</w:t>
      </w:r>
      <w:r>
        <w:rPr>
          <w:rFonts w:hint="eastAsia" w:cs="Times New Roman"/>
          <w:b w:val="0"/>
          <w:bCs/>
          <w:highlight w:val="none"/>
          <w:lang w:val="en-US" w:eastAsia="zh-CN"/>
        </w:rPr>
        <w:t>4</w:t>
      </w:r>
      <w:r>
        <w:rPr>
          <w:rFonts w:hint="eastAsia" w:eastAsia="宋体" w:cs="Times New Roman"/>
          <w:b w:val="0"/>
          <w:bCs/>
          <w:highlight w:val="none"/>
          <w:lang w:val="en-US" w:eastAsia="zh-CN"/>
        </w:rPr>
        <w:t>月</w:t>
      </w:r>
      <w:r>
        <w:rPr>
          <w:rFonts w:hint="eastAsia" w:cs="Times New Roman"/>
          <w:b w:val="0"/>
          <w:bCs/>
          <w:highlight w:val="none"/>
          <w:lang w:val="en-US" w:eastAsia="zh-CN"/>
        </w:rPr>
        <w:t>30</w:t>
      </w:r>
      <w:r>
        <w:rPr>
          <w:rFonts w:hint="eastAsia" w:eastAsia="宋体" w:cs="Times New Roman"/>
          <w:b w:val="0"/>
          <w:bCs/>
          <w:highlight w:val="none"/>
          <w:lang w:val="en-US" w:eastAsia="zh-CN"/>
        </w:rPr>
        <w:t>日</w:t>
      </w:r>
      <w:r>
        <w:rPr>
          <w:rFonts w:hint="eastAsia" w:cs="Times New Roman"/>
          <w:b w:val="0"/>
          <w:bCs/>
          <w:highlight w:val="none"/>
          <w:lang w:val="en-US" w:eastAsia="zh-CN"/>
        </w:rPr>
        <w:t>上午9</w:t>
      </w:r>
      <w:r>
        <w:rPr>
          <w:rFonts w:hint="eastAsia" w:ascii="宋体" w:hAnsi="Courier New" w:eastAsia="宋体" w:cs="Times New Roman"/>
          <w:b w:val="0"/>
          <w:bCs/>
          <w:highlight w:val="none"/>
          <w:lang w:val="en-US" w:eastAsia="zh-CN"/>
        </w:rPr>
        <w:t>:00:0</w:t>
      </w:r>
      <w:r>
        <w:rPr>
          <w:rFonts w:hint="eastAsia" w:cs="Times New Roman"/>
          <w:b w:val="0"/>
          <w:bCs/>
          <w:highlight w:val="none"/>
          <w:lang w:val="en-US" w:eastAsia="zh-CN"/>
        </w:rPr>
        <w:t>0</w:t>
      </w:r>
    </w:p>
    <w:p w14:paraId="25974AAC">
      <w:pPr>
        <w:pStyle w:val="72"/>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312CEA23">
      <w:pPr>
        <w:pStyle w:val="72"/>
        <w:numPr>
          <w:ilvl w:val="0"/>
          <w:numId w:val="22"/>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形式：电汇</w:t>
      </w:r>
    </w:p>
    <w:p w14:paraId="7F3BD127">
      <w:pPr>
        <w:pStyle w:val="72"/>
        <w:numPr>
          <w:ilvl w:val="0"/>
          <w:numId w:val="22"/>
        </w:numPr>
        <w:ind w:left="425" w:leftChars="0" w:hanging="425" w:firstLineChars="0"/>
        <w:rPr>
          <w:rFonts w:hint="default" w:ascii="宋体" w:hAnsi="宋体" w:eastAsia="宋体" w:cs="宋体"/>
          <w:b/>
          <w:bCs/>
          <w:sz w:val="21"/>
          <w:szCs w:val="21"/>
          <w:highlight w:val="none"/>
          <w:u w:val="single"/>
          <w:lang w:val="en-US" w:eastAsia="zh-CN"/>
        </w:rPr>
      </w:pPr>
      <w:r>
        <w:rPr>
          <w:rFonts w:hint="eastAsia" w:ascii="宋体" w:hAnsi="宋体" w:eastAsia="宋体" w:cs="宋体"/>
          <w:b/>
          <w:bCs/>
          <w:sz w:val="21"/>
          <w:szCs w:val="21"/>
          <w:highlight w:val="none"/>
        </w:rPr>
        <w:t>人民币</w:t>
      </w:r>
      <w:r>
        <w:rPr>
          <w:rFonts w:hint="eastAsia" w:ascii="宋体" w:hAnsi="宋体" w:eastAsia="宋体" w:cs="宋体"/>
          <w:b/>
          <w:bCs/>
          <w:sz w:val="21"/>
          <w:szCs w:val="21"/>
          <w:highlight w:val="none"/>
          <w:u w:val="single"/>
          <w:lang w:val="en-US" w:eastAsia="zh-CN"/>
        </w:rPr>
        <w:t xml:space="preserve"> 5000 </w:t>
      </w:r>
      <w:r>
        <w:rPr>
          <w:rFonts w:hint="eastAsia" w:ascii="宋体" w:hAnsi="宋体" w:eastAsia="宋体" w:cs="宋体"/>
          <w:b/>
          <w:bCs/>
          <w:sz w:val="21"/>
          <w:szCs w:val="21"/>
          <w:highlight w:val="none"/>
        </w:rPr>
        <w:t>元</w:t>
      </w:r>
    </w:p>
    <w:p w14:paraId="2F610038">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开户名称：中国重汽集团济南商用车有限公司</w:t>
      </w:r>
    </w:p>
    <w:p w14:paraId="302C9541">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开户银行：中国银行股份有限公司济南分行</w:t>
      </w:r>
    </w:p>
    <w:p w14:paraId="20810528">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银行账号：237744219844</w:t>
      </w:r>
    </w:p>
    <w:p w14:paraId="2D61FFA7">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联行号：104451039687</w:t>
      </w:r>
    </w:p>
    <w:p w14:paraId="08A3B488">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投标保证金应从投标人的基本账户转出至上述账户并到账，否则视为无效投标。转账附言：公司名称+项目名称+投标保证金。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kern w:val="2"/>
          <w:sz w:val="21"/>
          <w:szCs w:val="21"/>
          <w:highlight w:val="none"/>
          <w:lang w:val="en-US" w:eastAsia="zh-CN" w:bidi="ar-SA"/>
        </w:rPr>
        <w:t>4</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rPr>
        <w:t>保证金缴纳截止时间：202</w:t>
      </w:r>
      <w:r>
        <w:rPr>
          <w:rFonts w:hint="eastAsia" w:ascii="宋体" w:hAnsi="宋体" w:eastAsia="宋体" w:cs="宋体"/>
          <w:b w:val="0"/>
          <w:bCs w:val="0"/>
          <w:sz w:val="21"/>
          <w:szCs w:val="21"/>
          <w:highlight w:val="none"/>
          <w:lang w:val="en-US" w:eastAsia="zh-CN"/>
        </w:rPr>
        <w:t>6</w:t>
      </w:r>
      <w:r>
        <w:rPr>
          <w:rFonts w:hint="eastAsia" w:ascii="宋体" w:hAnsi="宋体" w:eastAsia="宋体" w:cs="宋体"/>
          <w:b w:val="0"/>
          <w:bCs w:val="0"/>
          <w:sz w:val="21"/>
          <w:szCs w:val="21"/>
          <w:highlight w:val="none"/>
        </w:rPr>
        <w:t>年</w:t>
      </w:r>
      <w:r>
        <w:rPr>
          <w:rFonts w:hint="eastAsia" w:ascii="宋体" w:hAnsi="宋体" w:eastAsia="宋体" w:cs="宋体"/>
          <w:b w:val="0"/>
          <w:bCs w:val="0"/>
          <w:sz w:val="21"/>
          <w:szCs w:val="21"/>
          <w:highlight w:val="none"/>
          <w:lang w:val="en-US" w:eastAsia="zh-CN"/>
        </w:rPr>
        <w:t>4</w:t>
      </w:r>
      <w:r>
        <w:rPr>
          <w:rFonts w:hint="eastAsia" w:ascii="宋体" w:hAnsi="宋体" w:eastAsia="宋体" w:cs="宋体"/>
          <w:b w:val="0"/>
          <w:bCs w:val="0"/>
          <w:sz w:val="21"/>
          <w:szCs w:val="21"/>
          <w:highlight w:val="none"/>
        </w:rPr>
        <w:t>月</w:t>
      </w:r>
      <w:r>
        <w:rPr>
          <w:rFonts w:hint="eastAsia" w:ascii="宋体" w:hAnsi="宋体" w:eastAsia="宋体" w:cs="宋体"/>
          <w:b w:val="0"/>
          <w:bCs w:val="0"/>
          <w:sz w:val="21"/>
          <w:szCs w:val="21"/>
          <w:highlight w:val="none"/>
          <w:lang w:val="en-US" w:eastAsia="zh-CN"/>
        </w:rPr>
        <w:t>20</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17</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同应标截止时间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 xml:space="preserve"> 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none"/>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5"/>
    <w:p w14:paraId="368B6990">
      <w:pPr>
        <w:pStyle w:val="72"/>
        <w:rPr>
          <w:highlight w:val="none"/>
        </w:rPr>
      </w:pPr>
      <w:r>
        <w:rPr>
          <w:rFonts w:hint="eastAsia"/>
          <w:highlight w:val="none"/>
          <w:lang w:val="en-US" w:eastAsia="zh-CN"/>
        </w:rPr>
        <w:t>开评标</w:t>
      </w:r>
    </w:p>
    <w:p w14:paraId="009655B5">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开标时间：2026年4月30日上午9:00:00（暂定，以实际通知为准）</w:t>
      </w:r>
    </w:p>
    <w:p w14:paraId="06F7B67A">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开标地点：轻卡制造公司</w:t>
      </w:r>
    </w:p>
    <w:p w14:paraId="420F0E0C">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w:t>
      </w:r>
    </w:p>
    <w:p w14:paraId="4DCBC4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 w:leftChars="0" w:firstLine="420" w:firstLineChars="20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val="0"/>
          <w:sz w:val="21"/>
          <w:szCs w:val="21"/>
          <w:highlight w:val="none"/>
          <w:lang w:val="en-US" w:eastAsia="zh-CN"/>
        </w:rPr>
        <w:t>标：</w:t>
      </w:r>
      <w:r>
        <w:rPr>
          <w:rFonts w:hint="eastAsia" w:ascii="宋体" w:hAnsi="宋体" w:eastAsia="宋体" w:cs="宋体"/>
          <w:color w:val="000000"/>
          <w:sz w:val="21"/>
          <w:szCs w:val="21"/>
          <w:highlight w:val="none"/>
        </w:rPr>
        <w:t>原则上来现场参与开标。如因特殊情况无法现场参与，需在开标前三日，通知招标人，由招标人创建视频链接，并在报名结束后统一通知。</w:t>
      </w:r>
    </w:p>
    <w:p w14:paraId="2C65202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2509BD7C">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11966934">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采用技术入围后，商务实行低价中标。即合理最低价中标</w:t>
      </w:r>
    </w:p>
    <w:p w14:paraId="0A3A33A9">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0BE938E3">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w:t>
      </w:r>
    </w:p>
    <w:p w14:paraId="17C23BB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2754F8F2">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2"/>
        <w:rPr>
          <w:highlight w:val="none"/>
        </w:rPr>
      </w:pPr>
      <w:r>
        <w:rPr>
          <w:rFonts w:hint="eastAsia"/>
          <w:highlight w:val="none"/>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rPr>
          <w:highlight w:val="none"/>
        </w:rPr>
      </w:pPr>
      <w:r>
        <w:rPr>
          <w:rFonts w:hint="eastAsia"/>
          <w:highlight w:val="none"/>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63516D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highlight w:val="none"/>
          <w:lang w:val="en-US" w:eastAsia="zh-CN" w:bidi="ar-SA"/>
        </w:rPr>
        <w:t>2</w:t>
      </w:r>
      <w:r>
        <w:rPr>
          <w:rFonts w:hint="default"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cs="宋体"/>
          <w:b w:val="0"/>
          <w:bCs w:val="0"/>
          <w:color w:val="auto"/>
          <w:kern w:val="2"/>
          <w:sz w:val="21"/>
          <w:szCs w:val="21"/>
          <w:highlight w:val="none"/>
          <w:lang w:val="en-US" w:eastAsia="zh-CN" w:bidi="ar-SA"/>
        </w:rPr>
        <w:t>1</w:t>
      </w: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w:t>
      </w:r>
      <w:r>
        <w:rPr>
          <w:rFonts w:hint="eastAsia" w:ascii="宋体" w:hAnsi="宋体" w:cs="宋体"/>
          <w:kern w:val="2"/>
          <w:sz w:val="21"/>
          <w:szCs w:val="21"/>
          <w:highlight w:val="none"/>
          <w:lang w:val="en-US" w:eastAsia="zh-CN" w:bidi="ar-SA"/>
        </w:rPr>
        <w:t>2</w:t>
      </w:r>
      <w:r>
        <w:rPr>
          <w:rFonts w:hint="default"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highlight w:val="none"/>
          <w:lang w:val="en-US" w:eastAsia="zh-CN" w:bidi="ar-SA"/>
        </w:rPr>
        <w:t>(</w:t>
      </w:r>
      <w:r>
        <w:rPr>
          <w:rFonts w:hint="eastAsia" w:ascii="宋体" w:hAnsi="宋体" w:cs="宋体"/>
          <w:bCs/>
          <w:kern w:val="2"/>
          <w:sz w:val="21"/>
          <w:szCs w:val="21"/>
          <w:highlight w:val="none"/>
          <w:lang w:val="en-US" w:eastAsia="zh-CN" w:bidi="ar-SA"/>
        </w:rPr>
        <w:t>3</w:t>
      </w:r>
      <w:r>
        <w:rPr>
          <w:rFonts w:hint="default" w:ascii="宋体" w:hAnsi="宋体" w:eastAsia="宋体" w:cs="宋体"/>
          <w:bCs/>
          <w:kern w:val="2"/>
          <w:sz w:val="21"/>
          <w:szCs w:val="21"/>
          <w:highlight w:val="none"/>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highlight w:val="none"/>
          <w:lang w:val="en-US" w:eastAsia="zh-CN" w:bidi="ar-SA"/>
        </w:rPr>
        <w:t>(</w:t>
      </w:r>
      <w:r>
        <w:rPr>
          <w:rFonts w:hint="eastAsia" w:ascii="宋体" w:hAnsi="宋体" w:cs="宋体"/>
          <w:bCs/>
          <w:kern w:val="2"/>
          <w:sz w:val="21"/>
          <w:szCs w:val="21"/>
          <w:highlight w:val="none"/>
          <w:lang w:val="en-US" w:eastAsia="zh-CN" w:bidi="ar-SA"/>
        </w:rPr>
        <w:t>4</w:t>
      </w:r>
      <w:r>
        <w:rPr>
          <w:rFonts w:hint="default" w:ascii="宋体" w:hAnsi="宋体" w:eastAsia="宋体" w:cs="宋体"/>
          <w:bCs/>
          <w:kern w:val="2"/>
          <w:sz w:val="21"/>
          <w:szCs w:val="21"/>
          <w:highlight w:val="none"/>
          <w:lang w:val="en-US" w:eastAsia="zh-CN" w:bidi="ar-SA"/>
        </w:rPr>
        <w:t>)</w:t>
      </w:r>
      <w:r>
        <w:rPr>
          <w:rFonts w:hint="eastAsia" w:ascii="宋体" w:hAnsi="宋体" w:eastAsia="宋体" w:cs="宋体"/>
          <w:bCs/>
          <w:sz w:val="21"/>
          <w:szCs w:val="21"/>
          <w:highlight w:val="none"/>
        </w:rPr>
        <w:t>因重大变故，采购任务取消的</w:t>
      </w:r>
      <w:bookmarkStart w:id="16" w:name="OLE_LINK27"/>
      <w:bookmarkStart w:id="17" w:name="OLE_LINK26"/>
      <w:bookmarkStart w:id="18" w:name="OLE_LINK28"/>
      <w:bookmarkStart w:id="19" w:name="OLE_LINK29"/>
      <w:bookmarkStart w:id="20" w:name="OLE_LINK25"/>
      <w:r>
        <w:rPr>
          <w:rFonts w:hint="eastAsia" w:ascii="宋体" w:hAnsi="宋体" w:eastAsia="宋体" w:cs="宋体"/>
          <w:bCs/>
          <w:sz w:val="21"/>
          <w:szCs w:val="21"/>
          <w:highlight w:val="none"/>
        </w:rPr>
        <w:t>；</w:t>
      </w:r>
      <w:bookmarkEnd w:id="16"/>
      <w:bookmarkEnd w:id="17"/>
      <w:bookmarkEnd w:id="18"/>
      <w:bookmarkEnd w:id="19"/>
      <w:bookmarkEnd w:id="20"/>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highlight w:val="none"/>
          <w:lang w:val="en-US" w:eastAsia="zh-CN" w:bidi="ar-SA"/>
        </w:rPr>
        <w:t>(</w:t>
      </w:r>
      <w:r>
        <w:rPr>
          <w:rFonts w:hint="eastAsia" w:hAnsi="宋体" w:cs="宋体"/>
          <w:bCs/>
          <w:kern w:val="2"/>
          <w:sz w:val="21"/>
          <w:szCs w:val="21"/>
          <w:highlight w:val="none"/>
          <w:lang w:val="en-US" w:eastAsia="zh-CN" w:bidi="ar-SA"/>
        </w:rPr>
        <w:t>5</w:t>
      </w:r>
      <w:r>
        <w:rPr>
          <w:rFonts w:hint="default" w:ascii="宋体" w:hAnsi="宋体" w:eastAsia="宋体" w:cs="宋体"/>
          <w:bCs/>
          <w:kern w:val="2"/>
          <w:sz w:val="21"/>
          <w:szCs w:val="21"/>
          <w:highlight w:val="none"/>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highlight w:val="none"/>
        </w:rPr>
      </w:pPr>
      <w:r>
        <w:rPr>
          <w:rFonts w:hint="eastAsia" w:ascii="宋体" w:hAnsi="宋体" w:eastAsia="宋体" w:cs="宋体"/>
          <w:kern w:val="2"/>
          <w:sz w:val="21"/>
          <w:szCs w:val="21"/>
          <w:highlight w:val="none"/>
          <w:lang w:val="en-US" w:eastAsia="zh-CN" w:bidi="ar-SA"/>
        </w:rPr>
        <w:t>3</w:t>
      </w:r>
      <w:r>
        <w:rPr>
          <w:rFonts w:hint="default" w:ascii="Times New Roman" w:hAnsi="Times New Roman" w:eastAsia="宋体" w:cs="Times New Roman"/>
          <w:kern w:val="2"/>
          <w:sz w:val="21"/>
          <w:szCs w:val="21"/>
          <w:highlight w:val="none"/>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rPr>
          <w:highlight w:val="none"/>
        </w:rPr>
      </w:pPr>
      <w:r>
        <w:rPr>
          <w:rFonts w:hint="eastAsia"/>
          <w:highlight w:val="none"/>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highlight w:val="none"/>
        </w:rPr>
      </w:pPr>
      <w:r>
        <w:rPr>
          <w:rFonts w:hint="eastAsia" w:ascii="宋体" w:hAnsi="宋体" w:cs="宋体"/>
          <w:color w:val="000000"/>
          <w:sz w:val="21"/>
          <w:szCs w:val="21"/>
          <w:highlight w:val="none"/>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highlight w:val="none"/>
        </w:rPr>
      </w:pPr>
      <w:r>
        <w:rPr>
          <w:rFonts w:hint="eastAsia" w:ascii="宋体" w:hAnsi="宋体" w:cs="宋体"/>
          <w:color w:val="000000"/>
          <w:sz w:val="21"/>
          <w:szCs w:val="21"/>
          <w:highlight w:val="none"/>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highlight w:val="none"/>
        </w:rPr>
      </w:pPr>
      <w:r>
        <w:rPr>
          <w:rFonts w:hint="eastAsia" w:ascii="宋体" w:hAnsi="宋体" w:cs="宋体"/>
          <w:color w:val="000000"/>
          <w:sz w:val="21"/>
          <w:szCs w:val="21"/>
          <w:highlight w:val="none"/>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highlight w:val="none"/>
        </w:rPr>
      </w:pPr>
      <w:r>
        <w:rPr>
          <w:rFonts w:hint="eastAsia" w:ascii="宋体" w:hAnsi="宋体" w:cs="宋体"/>
          <w:b/>
          <w:sz w:val="21"/>
          <w:szCs w:val="21"/>
          <w:highlight w:val="none"/>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highlight w:val="none"/>
        </w:rPr>
        <w:t>5.合同以双方最终签署的版本为准。</w:t>
      </w:r>
    </w:p>
    <w:p w14:paraId="07FA205A">
      <w:pPr>
        <w:pStyle w:val="72"/>
        <w:rPr>
          <w:highlight w:val="none"/>
        </w:rPr>
      </w:pPr>
      <w:r>
        <w:rPr>
          <w:rFonts w:hint="eastAsia"/>
          <w:highlight w:val="none"/>
          <w:lang w:val="en-US" w:eastAsia="zh-CN"/>
        </w:rPr>
        <w:t>交货及付款</w:t>
      </w:r>
    </w:p>
    <w:p w14:paraId="2FBB0E5F">
      <w:pPr>
        <w:pStyle w:val="72"/>
        <w:numPr>
          <w:ilvl w:val="0"/>
          <w:numId w:val="0"/>
        </w:numPr>
        <w:ind w:left="425" w:leftChars="0" w:hanging="425" w:firstLineChars="0"/>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kern w:val="2"/>
          <w:sz w:val="21"/>
          <w:szCs w:val="21"/>
          <w:highlight w:val="none"/>
          <w:lang w:val="en-US" w:eastAsia="zh-CN" w:bidi="ar-SA"/>
        </w:rPr>
        <w:t>1.</w:t>
      </w:r>
      <w:r>
        <w:rPr>
          <w:rFonts w:hint="eastAsia" w:ascii="宋体" w:hAnsi="宋体" w:eastAsia="宋体" w:cs="宋体"/>
          <w:b w:val="0"/>
          <w:bCs w:val="0"/>
          <w:sz w:val="21"/>
          <w:szCs w:val="21"/>
          <w:highlight w:val="none"/>
          <w:lang w:val="en-US" w:eastAsia="zh-CN"/>
        </w:rPr>
        <w:t>交货期：（1）2026.5.18-5.21 六大工具培训（APQP、SPC）；</w:t>
      </w:r>
      <w:r>
        <w:rPr>
          <w:rFonts w:hint="eastAsia" w:ascii="宋体" w:hAnsi="宋体" w:eastAsia="宋体" w:cs="宋体"/>
          <w:b w:val="0"/>
          <w:bCs w:val="0"/>
          <w:sz w:val="21"/>
          <w:szCs w:val="21"/>
          <w:highlight w:val="none"/>
          <w:lang w:val="en-US" w:eastAsia="zh-CN"/>
        </w:rPr>
        <w:br w:type="textWrapping"/>
      </w:r>
      <w:r>
        <w:rPr>
          <w:rFonts w:hint="eastAsia" w:ascii="宋体" w:hAnsi="宋体" w:eastAsia="宋体" w:cs="宋体"/>
          <w:b w:val="0"/>
          <w:bCs w:val="0"/>
          <w:sz w:val="21"/>
          <w:szCs w:val="21"/>
          <w:highlight w:val="none"/>
          <w:lang w:val="en-US" w:eastAsia="zh-CN"/>
        </w:rPr>
        <w:t xml:space="preserve">      （2）2026.6.8-6.10 六大工具培训（MSA）和VDA6.3、VDA6.5培训。</w:t>
      </w:r>
    </w:p>
    <w:p w14:paraId="1B205C7B">
      <w:pPr>
        <w:pStyle w:val="72"/>
        <w:numPr>
          <w:ilvl w:val="0"/>
          <w:numId w:val="0"/>
        </w:numPr>
        <w:ind w:left="425" w:leftChars="0" w:hanging="425" w:firstLineChars="0"/>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kern w:val="2"/>
          <w:sz w:val="21"/>
          <w:szCs w:val="21"/>
          <w:highlight w:val="none"/>
          <w:lang w:val="en-US" w:eastAsia="zh-CN" w:bidi="ar-SA"/>
        </w:rPr>
        <w:t>2.</w:t>
      </w:r>
      <w:r>
        <w:rPr>
          <w:rFonts w:hint="eastAsia" w:ascii="宋体" w:hAnsi="宋体" w:eastAsia="宋体" w:cs="宋体"/>
          <w:b w:val="0"/>
          <w:bCs w:val="0"/>
          <w:sz w:val="21"/>
          <w:szCs w:val="21"/>
          <w:highlight w:val="none"/>
          <w:lang w:val="en-US" w:eastAsia="zh-CN"/>
        </w:rPr>
        <w:t>交货地点：山东省济南市章丘区圣井潘王路东园区11号路中国重汽集团济南商用车有限公司轻卡制造公司</w:t>
      </w:r>
    </w:p>
    <w:p w14:paraId="32987067">
      <w:pPr>
        <w:pStyle w:val="72"/>
        <w:numPr>
          <w:ilvl w:val="0"/>
          <w:numId w:val="0"/>
        </w:numPr>
        <w:ind w:left="425" w:leftChars="0" w:hanging="425" w:firstLineChars="0"/>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kern w:val="2"/>
          <w:sz w:val="21"/>
          <w:szCs w:val="21"/>
          <w:highlight w:val="none"/>
          <w:lang w:val="en-US" w:eastAsia="zh-CN" w:bidi="ar-SA"/>
        </w:rPr>
        <w:t>3.</w:t>
      </w:r>
      <w:r>
        <w:rPr>
          <w:rFonts w:hint="eastAsia" w:ascii="宋体" w:hAnsi="宋体" w:eastAsia="宋体" w:cs="宋体"/>
          <w:b w:val="0"/>
          <w:bCs w:val="0"/>
          <w:sz w:val="21"/>
          <w:szCs w:val="21"/>
          <w:highlight w:val="none"/>
          <w:lang w:val="en-US" w:eastAsia="zh-CN"/>
        </w:rPr>
        <w:t>交货方式：线下面授</w:t>
      </w:r>
    </w:p>
    <w:p w14:paraId="0881FC1A">
      <w:pPr>
        <w:pStyle w:val="72"/>
        <w:numPr>
          <w:ilvl w:val="0"/>
          <w:numId w:val="0"/>
        </w:numPr>
        <w:ind w:left="425" w:leftChars="0" w:hanging="425" w:firstLineChars="0"/>
        <w:rPr>
          <w:rFonts w:hint="eastAsia" w:ascii="宋体" w:hAnsi="宋体" w:eastAsia="宋体" w:cs="宋体"/>
          <w:b w:val="0"/>
          <w:bCs w:val="0"/>
          <w:sz w:val="21"/>
          <w:szCs w:val="21"/>
          <w:highlight w:val="none"/>
          <w:lang w:eastAsia="zh-CN"/>
        </w:rPr>
      </w:pPr>
      <w:r>
        <w:rPr>
          <w:rFonts w:hint="default" w:ascii="宋体" w:hAnsi="宋体" w:eastAsia="宋体" w:cs="宋体"/>
          <w:b w:val="0"/>
          <w:bCs w:val="0"/>
          <w:kern w:val="2"/>
          <w:sz w:val="21"/>
          <w:szCs w:val="21"/>
          <w:highlight w:val="none"/>
          <w:lang w:val="en-US" w:eastAsia="zh-CN" w:bidi="ar-SA"/>
        </w:rPr>
        <w:t>4.</w:t>
      </w:r>
      <w:r>
        <w:rPr>
          <w:rFonts w:hint="eastAsia" w:ascii="宋体" w:hAnsi="宋体" w:eastAsia="宋体" w:cs="宋体"/>
          <w:b w:val="0"/>
          <w:bCs w:val="0"/>
          <w:sz w:val="21"/>
          <w:szCs w:val="21"/>
          <w:highlight w:val="none"/>
        </w:rPr>
        <w:t>付款方式</w:t>
      </w:r>
      <w:r>
        <w:rPr>
          <w:rFonts w:hint="eastAsia" w:ascii="宋体" w:hAnsi="宋体" w:eastAsia="宋体" w:cs="宋体"/>
          <w:b w:val="0"/>
          <w:bCs w:val="0"/>
          <w:sz w:val="21"/>
          <w:szCs w:val="21"/>
          <w:highlight w:val="none"/>
          <w:lang w:eastAsia="zh-CN"/>
        </w:rPr>
        <w:t>：</w:t>
      </w:r>
    </w:p>
    <w:p w14:paraId="30714443">
      <w:pPr>
        <w:pStyle w:val="72"/>
        <w:numPr>
          <w:ilvl w:val="0"/>
          <w:numId w:val="0"/>
        </w:numPr>
        <w:ind w:left="59" w:leftChars="0"/>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lang w:eastAsia="zh-CN"/>
        </w:rPr>
        <w:t>半年期商业汇票（包括银行承兑汇票和商业承兑汇票）；</w:t>
      </w:r>
    </w:p>
    <w:p w14:paraId="5558522E">
      <w:pPr>
        <w:pStyle w:val="7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2"/>
          <w:sz w:val="21"/>
          <w:szCs w:val="21"/>
          <w:highlight w:val="none"/>
          <w:lang w:val="en-US" w:eastAsia="zh-CN" w:bidi="ar-SA"/>
        </w:rPr>
        <w:t>5</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乙方按照合同约定提供培训服务，项目介绍并经甲方确认后，乙方按合同约定金额开具符合法律规定的增值税专用发票，经招标人依照财务制度审核通过后支付。甲方根据乙方服务质量、评价结果进行结算。培训过程中，对乙方的培训效果进行现场评价，评价采取计分法，满分为100分。得分&gt;85分的，按合同履行金额100%支付；80≤总得分&lt;85分，按合同履行金额80%支付；总得分&lt;80分，按合同履行金额60%支付，并取消其继续合作资格，视情况列入重汽供应商黑名单。</w:t>
      </w:r>
    </w:p>
    <w:p w14:paraId="4E269661">
      <w:pPr>
        <w:pStyle w:val="7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highlight w:val="none"/>
          <w:lang w:val="en-US" w:eastAsia="zh-CN"/>
        </w:rPr>
      </w:pPr>
      <w:r>
        <w:rPr>
          <w:rFonts w:hint="eastAsia" w:ascii="宋体" w:hAnsi="宋体" w:eastAsia="宋体" w:cs="宋体"/>
          <w:b w:val="0"/>
          <w:bCs w:val="0"/>
          <w:sz w:val="21"/>
          <w:szCs w:val="21"/>
          <w:highlight w:val="none"/>
          <w:lang w:val="en-US" w:eastAsia="zh-CN"/>
        </w:rPr>
        <w:t>因发票违规给付款方造成的增值税、所得税等损失，由开票方承担相关责任，包括但不限于税款、滞纳金、罚款及其它相关损失。</w:t>
      </w:r>
    </w:p>
    <w:p w14:paraId="6E0D7439">
      <w:pPr>
        <w:pStyle w:val="72"/>
        <w:rPr>
          <w:rFonts w:hint="eastAsia"/>
          <w:highlight w:val="none"/>
          <w:lang w:val="en-US" w:eastAsia="zh-CN"/>
        </w:rPr>
      </w:pPr>
      <w:r>
        <w:rPr>
          <w:rFonts w:hint="eastAsia"/>
          <w:highlight w:val="none"/>
          <w:lang w:val="en-US" w:eastAsia="zh-CN"/>
        </w:rPr>
        <w:t>本次招标最终解释权归中国重汽集</w:t>
      </w:r>
      <w:r>
        <w:rPr>
          <w:rFonts w:hint="eastAsia"/>
          <w:highlight w:val="none"/>
          <w:u w:val="none"/>
          <w:lang w:val="en-US" w:eastAsia="zh-CN"/>
        </w:rPr>
        <w:t>团济南商用车有限公</w:t>
      </w:r>
      <w:r>
        <w:rPr>
          <w:rFonts w:hint="eastAsia"/>
          <w:highlight w:val="none"/>
          <w:lang w:val="en-US" w:eastAsia="zh-CN"/>
        </w:rPr>
        <w:t>司。</w:t>
      </w:r>
    </w:p>
    <w:p w14:paraId="66BCACD8">
      <w:pPr>
        <w:pStyle w:val="76"/>
        <w:rPr>
          <w:highlight w:val="none"/>
        </w:rPr>
      </w:pPr>
    </w:p>
    <w:p w14:paraId="243FF35F">
      <w:pPr>
        <w:rPr>
          <w:rFonts w:hint="eastAsia"/>
          <w:highlight w:val="none"/>
        </w:rPr>
      </w:pPr>
      <w:bookmarkStart w:id="21" w:name="_Toc47976607"/>
      <w:r>
        <w:rPr>
          <w:rFonts w:hint="eastAsia"/>
          <w:highlight w:val="none"/>
        </w:rPr>
        <w:br w:type="page"/>
      </w:r>
    </w:p>
    <w:p w14:paraId="61165A56">
      <w:pPr>
        <w:pStyle w:val="71"/>
        <w:rPr>
          <w:rFonts w:hint="eastAsia" w:cs="Times New Roman"/>
          <w:highlight w:val="none"/>
        </w:rPr>
      </w:pPr>
      <w:bookmarkStart w:id="22" w:name="_Toc12639"/>
      <w:bookmarkStart w:id="23" w:name="_Toc1910"/>
      <w:r>
        <w:rPr>
          <w:rFonts w:hint="eastAsia"/>
          <w:highlight w:val="none"/>
        </w:rPr>
        <w:t>第</w:t>
      </w:r>
      <w:r>
        <w:rPr>
          <w:rFonts w:hint="eastAsia"/>
          <w:highlight w:val="none"/>
          <w:lang w:val="en-US" w:eastAsia="zh-CN"/>
        </w:rPr>
        <w:t>二</w:t>
      </w:r>
      <w:r>
        <w:rPr>
          <w:rFonts w:hint="eastAsia"/>
          <w:highlight w:val="none"/>
        </w:rPr>
        <w:t>部分 技术标书</w:t>
      </w:r>
      <w:bookmarkEnd w:id="22"/>
    </w:p>
    <w:p w14:paraId="2F5B181C">
      <w:pPr>
        <w:pStyle w:val="14"/>
        <w:rPr>
          <w:highlight w:val="none"/>
        </w:rPr>
      </w:pPr>
    </w:p>
    <w:p w14:paraId="5A7AB996">
      <w:pPr>
        <w:spacing w:line="276" w:lineRule="auto"/>
        <w:jc w:val="center"/>
        <w:rPr>
          <w:rFonts w:hint="eastAsia" w:ascii="Calibri" w:hAnsi="宋体" w:eastAsia="宋体" w:cs="Times New Roman"/>
          <w:b/>
          <w:bCs/>
          <w:color w:val="000000"/>
          <w:spacing w:val="-8"/>
          <w:sz w:val="44"/>
          <w:szCs w:val="44"/>
          <w:highlight w:val="none"/>
        </w:rPr>
      </w:pPr>
      <w:r>
        <w:rPr>
          <w:rFonts w:hint="eastAsia" w:ascii="Calibri" w:hAnsi="宋体" w:eastAsia="宋体" w:cs="Times New Roman"/>
          <w:b/>
          <w:bCs/>
          <w:color w:val="000000"/>
          <w:spacing w:val="-8"/>
          <w:sz w:val="44"/>
          <w:szCs w:val="44"/>
          <w:highlight w:val="none"/>
        </w:rPr>
        <w:t>中国重汽集团济南商用车有限公司</w:t>
      </w:r>
    </w:p>
    <w:p w14:paraId="1E15CC6A">
      <w:pPr>
        <w:spacing w:line="276" w:lineRule="auto"/>
        <w:jc w:val="center"/>
        <w:rPr>
          <w:rFonts w:ascii="Calibri" w:hAnsi="Calibri" w:eastAsia="宋体" w:cs="Times New Roman"/>
          <w:b/>
          <w:bCs/>
          <w:color w:val="000000"/>
          <w:spacing w:val="-8"/>
          <w:sz w:val="48"/>
          <w:szCs w:val="44"/>
          <w:highlight w:val="none"/>
        </w:rPr>
      </w:pPr>
      <w:r>
        <w:rPr>
          <w:rFonts w:hint="eastAsia" w:ascii="Calibri" w:hAnsi="Calibri" w:eastAsia="宋体" w:cs="Times New Roman"/>
          <w:b/>
          <w:bCs/>
          <w:color w:val="000000"/>
          <w:spacing w:val="-8"/>
          <w:sz w:val="48"/>
          <w:szCs w:val="44"/>
          <w:highlight w:val="none"/>
        </w:rPr>
        <w:t>中国重汽质量管理体系培训项目</w:t>
      </w:r>
      <w:r>
        <w:rPr>
          <w:rFonts w:ascii="Calibri" w:hAnsi="Calibri" w:eastAsia="宋体" w:cs="Times New Roman"/>
          <w:b/>
          <w:bCs/>
          <w:color w:val="000000"/>
          <w:spacing w:val="-8"/>
          <w:sz w:val="48"/>
          <w:szCs w:val="44"/>
          <w:highlight w:val="none"/>
        </w:rPr>
        <w:t xml:space="preserve"> </w:t>
      </w:r>
    </w:p>
    <w:p w14:paraId="01C8E31B">
      <w:pPr>
        <w:jc w:val="right"/>
        <w:rPr>
          <w:rFonts w:ascii="Calibri" w:hAnsi="Calibri" w:eastAsia="宋体" w:cs="Times New Roman"/>
          <w:color w:val="000000"/>
          <w:sz w:val="28"/>
          <w:szCs w:val="28"/>
          <w:highlight w:val="none"/>
        </w:rPr>
      </w:pPr>
    </w:p>
    <w:p w14:paraId="0728AB20">
      <w:pPr>
        <w:pStyle w:val="14"/>
        <w:rPr>
          <w:highlight w:val="none"/>
        </w:rPr>
      </w:pPr>
    </w:p>
    <w:p w14:paraId="47BAC180">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技</w:t>
      </w:r>
    </w:p>
    <w:p w14:paraId="05A93C6D">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术</w:t>
      </w:r>
    </w:p>
    <w:p w14:paraId="6BFFA2CC">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571B28E6">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书</w:t>
      </w:r>
    </w:p>
    <w:p w14:paraId="4EB8090B">
      <w:pPr>
        <w:pStyle w:val="14"/>
        <w:rPr>
          <w:highlight w:val="none"/>
        </w:rPr>
      </w:pPr>
    </w:p>
    <w:p w14:paraId="225A05C8">
      <w:pPr>
        <w:pStyle w:val="14"/>
        <w:rPr>
          <w:rFonts w:hint="eastAsia" w:ascii="黑体" w:hAnsi="宋体" w:eastAsia="黑体" w:cs="Times New Roman"/>
          <w:color w:val="000000"/>
          <w:sz w:val="72"/>
          <w:szCs w:val="72"/>
          <w:highlight w:val="none"/>
        </w:rPr>
      </w:pPr>
    </w:p>
    <w:p w14:paraId="32B9AA70">
      <w:pPr>
        <w:pStyle w:val="14"/>
        <w:rPr>
          <w:rFonts w:hint="eastAsia" w:ascii="黑体" w:hAnsi="宋体" w:eastAsia="黑体" w:cs="Times New Roman"/>
          <w:color w:val="000000"/>
          <w:sz w:val="72"/>
          <w:szCs w:val="72"/>
          <w:highlight w:val="none"/>
        </w:rPr>
      </w:pPr>
    </w:p>
    <w:p w14:paraId="778FFCCB">
      <w:pPr>
        <w:pStyle w:val="14"/>
        <w:rPr>
          <w:rFonts w:hint="eastAsia" w:ascii="黑体" w:hAnsi="宋体" w:eastAsia="黑体" w:cs="Times New Roman"/>
          <w:color w:val="000000"/>
          <w:sz w:val="72"/>
          <w:szCs w:val="72"/>
          <w:highlight w:val="none"/>
        </w:rPr>
      </w:pPr>
    </w:p>
    <w:p w14:paraId="23832CED">
      <w:pPr>
        <w:pStyle w:val="14"/>
        <w:rPr>
          <w:rFonts w:hint="eastAsia" w:ascii="黑体" w:hAnsi="宋体" w:eastAsia="黑体" w:cs="Times New Roman"/>
          <w:color w:val="000000"/>
          <w:sz w:val="72"/>
          <w:szCs w:val="72"/>
          <w:highlight w:val="none"/>
        </w:rPr>
      </w:pPr>
    </w:p>
    <w:p w14:paraId="3363BE09">
      <w:pPr>
        <w:spacing w:line="860" w:lineRule="exact"/>
        <w:rPr>
          <w:rFonts w:hint="eastAsia" w:ascii="华文仿宋" w:hAnsi="华文仿宋" w:eastAsia="华文仿宋"/>
          <w:b/>
          <w:bCs/>
          <w:sz w:val="32"/>
          <w:szCs w:val="28"/>
          <w:highlight w:val="none"/>
        </w:rPr>
      </w:pPr>
    </w:p>
    <w:p w14:paraId="1067D42E">
      <w:pPr>
        <w:pStyle w:val="14"/>
        <w:rPr>
          <w:b/>
          <w:bCs/>
          <w:highlight w:val="none"/>
        </w:rPr>
      </w:pPr>
    </w:p>
    <w:p w14:paraId="19E784D2">
      <w:pPr>
        <w:jc w:val="center"/>
        <w:rPr>
          <w:rFonts w:ascii="宋体" w:hAnsi="Calibri"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人：中国重汽集团济南商用车有限公司</w:t>
      </w:r>
    </w:p>
    <w:p w14:paraId="60F16920">
      <w:pPr>
        <w:jc w:val="center"/>
        <w:rPr>
          <w:rFonts w:ascii="Calibri" w:hAnsi="Calibri" w:eastAsia="宋体" w:cs="Times New Roman"/>
          <w:b/>
          <w:bCs/>
          <w:kern w:val="44"/>
          <w:sz w:val="36"/>
          <w:szCs w:val="44"/>
          <w:highlight w:val="none"/>
        </w:rPr>
      </w:pPr>
      <w:r>
        <w:rPr>
          <w:rFonts w:hint="eastAsia"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6</w:t>
      </w:r>
      <w:r>
        <w:rPr>
          <w:rFonts w:hint="eastAsia" w:ascii="Calibri" w:hAnsi="Calibri" w:eastAsia="宋体" w:cs="Times New Roman"/>
          <w:color w:val="000000"/>
          <w:sz w:val="28"/>
          <w:szCs w:val="28"/>
          <w:highlight w:val="none"/>
        </w:rPr>
        <w:t>年</w:t>
      </w:r>
      <w:r>
        <w:rPr>
          <w:rFonts w:hint="eastAsia" w:ascii="Calibri" w:hAnsi="Calibri" w:cs="Times New Roman"/>
          <w:color w:val="000000"/>
          <w:sz w:val="28"/>
          <w:szCs w:val="28"/>
          <w:highlight w:val="none"/>
          <w:lang w:val="en-US" w:eastAsia="zh-CN"/>
        </w:rPr>
        <w:t>4</w:t>
      </w:r>
      <w:r>
        <w:rPr>
          <w:rFonts w:hint="eastAsia" w:ascii="Calibri" w:hAnsi="Calibri" w:eastAsia="宋体" w:cs="Times New Roman"/>
          <w:color w:val="000000"/>
          <w:sz w:val="28"/>
          <w:szCs w:val="28"/>
          <w:highlight w:val="none"/>
        </w:rPr>
        <w:t>月</w:t>
      </w:r>
    </w:p>
    <w:p w14:paraId="20FEAB17">
      <w:pPr>
        <w:spacing w:line="360" w:lineRule="auto"/>
        <w:rPr>
          <w:rFonts w:hint="eastAsia" w:ascii="宋体" w:hAnsi="宋体" w:eastAsia="宋体" w:cs="Times New Roman"/>
          <w:b/>
          <w:sz w:val="36"/>
          <w:szCs w:val="36"/>
          <w:highlight w:val="none"/>
        </w:rPr>
        <w:sectPr>
          <w:headerReference r:id="rId8" w:type="default"/>
          <w:footerReference r:id="rId9"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bookmarkEnd w:id="21"/>
    <w:bookmarkEnd w:id="23"/>
    <w:p w14:paraId="3B6A76FD">
      <w:pPr>
        <w:pStyle w:val="14"/>
        <w:spacing w:line="500" w:lineRule="exact"/>
        <w:ind w:left="1031" w:leftChars="200" w:hanging="611" w:hangingChars="290"/>
        <w:outlineLvl w:val="1"/>
        <w:rPr>
          <w:rFonts w:ascii="黑体" w:hAnsi="黑体" w:eastAsia="黑体"/>
          <w:highlight w:val="none"/>
        </w:rPr>
      </w:pPr>
      <w:r>
        <w:rPr>
          <w:rFonts w:hint="eastAsia" w:ascii="黑体" w:hAnsi="黑体" w:eastAsia="黑体"/>
          <w:b/>
          <w:bCs/>
          <w:highlight w:val="none"/>
        </w:rPr>
        <w:t>一、项目名称</w:t>
      </w:r>
    </w:p>
    <w:p w14:paraId="7B968A86">
      <w:pPr>
        <w:spacing w:line="500" w:lineRule="exact"/>
        <w:ind w:firstLine="420" w:firstLineChars="200"/>
        <w:outlineLvl w:val="1"/>
        <w:rPr>
          <w:rFonts w:ascii="黑体" w:hAnsi="黑体" w:eastAsia="黑体" w:cstheme="minorBidi"/>
          <w:b/>
          <w:bCs/>
          <w:szCs w:val="22"/>
          <w:highlight w:val="none"/>
        </w:rPr>
      </w:pPr>
      <w:r>
        <w:rPr>
          <w:rFonts w:hint="eastAsia"/>
          <w:highlight w:val="none"/>
        </w:rPr>
        <w:t>中国重汽集团济南商用车有限公司</w:t>
      </w:r>
      <w:r>
        <w:rPr>
          <w:rFonts w:hint="eastAsia"/>
          <w:highlight w:val="none"/>
          <w:lang w:val="en-US" w:eastAsia="zh-CN"/>
        </w:rPr>
        <w:t>轻卡制造公司</w:t>
      </w:r>
      <w:r>
        <w:rPr>
          <w:rFonts w:hint="eastAsia" w:ascii="宋体" w:hAnsi="Courier New"/>
          <w:highlight w:val="none"/>
        </w:rPr>
        <w:t>质量管理体系培训项目</w:t>
      </w:r>
      <w:r>
        <w:rPr>
          <w:rFonts w:hint="eastAsia"/>
          <w:highlight w:val="none"/>
        </w:rPr>
        <w:t>。</w:t>
      </w:r>
    </w:p>
    <w:p w14:paraId="0FDA2571">
      <w:pPr>
        <w:spacing w:line="500" w:lineRule="exact"/>
        <w:ind w:firstLine="422" w:firstLineChars="200"/>
        <w:outlineLvl w:val="1"/>
        <w:rPr>
          <w:rFonts w:ascii="黑体" w:hAnsi="黑体" w:eastAsia="黑体"/>
          <w:b/>
          <w:bCs/>
          <w:highlight w:val="none"/>
        </w:rPr>
      </w:pPr>
      <w:r>
        <w:rPr>
          <w:rFonts w:hint="eastAsia" w:ascii="黑体" w:hAnsi="黑体" w:eastAsia="黑体" w:cstheme="minorBidi"/>
          <w:b/>
          <w:bCs/>
          <w:szCs w:val="22"/>
          <w:highlight w:val="none"/>
        </w:rPr>
        <w:t>二、</w:t>
      </w:r>
      <w:r>
        <w:rPr>
          <w:rFonts w:hint="eastAsia" w:ascii="黑体" w:hAnsi="黑体" w:eastAsia="黑体" w:cstheme="minorBidi"/>
          <w:b/>
          <w:bCs/>
          <w:szCs w:val="22"/>
          <w:highlight w:val="none"/>
          <w:lang w:val="en-US" w:eastAsia="zh-CN"/>
        </w:rPr>
        <w:t>培训</w:t>
      </w:r>
      <w:r>
        <w:rPr>
          <w:rFonts w:hint="eastAsia" w:ascii="黑体" w:hAnsi="黑体" w:eastAsia="黑体" w:cstheme="minorBidi"/>
          <w:b/>
          <w:bCs/>
          <w:szCs w:val="22"/>
          <w:highlight w:val="none"/>
        </w:rPr>
        <w:t>组成及分类</w:t>
      </w:r>
    </w:p>
    <w:p w14:paraId="061E5841">
      <w:pPr>
        <w:pStyle w:val="14"/>
        <w:spacing w:line="500" w:lineRule="exact"/>
        <w:ind w:firstLine="420" w:firstLineChars="200"/>
        <w:jc w:val="left"/>
        <w:rPr>
          <w:highlight w:val="none"/>
        </w:rPr>
      </w:pPr>
      <w:r>
        <w:rPr>
          <w:rFonts w:hint="eastAsia"/>
          <w:highlight w:val="none"/>
        </w:rPr>
        <w:t>中国重汽集团济南商用车有限公司</w:t>
      </w:r>
      <w:r>
        <w:rPr>
          <w:rFonts w:hint="eastAsia"/>
          <w:highlight w:val="none"/>
          <w:lang w:val="en-US" w:eastAsia="zh-CN"/>
        </w:rPr>
        <w:t>轻卡制造公司</w:t>
      </w:r>
      <w:r>
        <w:rPr>
          <w:rFonts w:hint="eastAsia"/>
          <w:highlight w:val="none"/>
        </w:rPr>
        <w:t>质量管理体系培训项目共</w:t>
      </w:r>
      <w:r>
        <w:rPr>
          <w:rFonts w:hint="eastAsia"/>
          <w:highlight w:val="none"/>
          <w:lang w:val="en-US" w:eastAsia="zh-CN"/>
        </w:rPr>
        <w:t>2</w:t>
      </w:r>
      <w:r>
        <w:rPr>
          <w:rFonts w:hint="eastAsia"/>
          <w:highlight w:val="none"/>
        </w:rPr>
        <w:t>期，1个班/期，约</w:t>
      </w:r>
      <w:r>
        <w:rPr>
          <w:rFonts w:hint="eastAsia"/>
          <w:highlight w:val="none"/>
          <w:lang w:val="en-US" w:eastAsia="zh-CN"/>
        </w:rPr>
        <w:t>6</w:t>
      </w:r>
      <w:r>
        <w:rPr>
          <w:rFonts w:hint="eastAsia"/>
          <w:highlight w:val="none"/>
        </w:rPr>
        <w:t>0人。具体内容如下：</w:t>
      </w:r>
    </w:p>
    <w:tbl>
      <w:tblPr>
        <w:tblStyle w:val="30"/>
        <w:tblpPr w:leftFromText="180" w:rightFromText="180" w:vertAnchor="text" w:horzAnchor="page" w:tblpX="1866" w:tblpY="366"/>
        <w:tblOverlap w:val="never"/>
        <w:tblW w:w="8320" w:type="dxa"/>
        <w:tblInd w:w="0" w:type="dxa"/>
        <w:tblLayout w:type="autofit"/>
        <w:tblCellMar>
          <w:top w:w="0" w:type="dxa"/>
          <w:left w:w="108" w:type="dxa"/>
          <w:bottom w:w="0" w:type="dxa"/>
          <w:right w:w="108" w:type="dxa"/>
        </w:tblCellMar>
      </w:tblPr>
      <w:tblGrid>
        <w:gridCol w:w="578"/>
        <w:gridCol w:w="2196"/>
        <w:gridCol w:w="1791"/>
        <w:gridCol w:w="794"/>
        <w:gridCol w:w="2961"/>
      </w:tblGrid>
      <w:tr w14:paraId="47B7490A">
        <w:tblPrEx>
          <w:tblCellMar>
            <w:top w:w="0" w:type="dxa"/>
            <w:left w:w="108" w:type="dxa"/>
            <w:bottom w:w="0" w:type="dxa"/>
            <w:right w:w="108" w:type="dxa"/>
          </w:tblCellMar>
        </w:tblPrEx>
        <w:trPr>
          <w:trHeight w:val="454"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9C7C3">
            <w:pPr>
              <w:widowControl/>
              <w:jc w:val="center"/>
              <w:textAlignment w:val="center"/>
              <w:rPr>
                <w:rFonts w:ascii="黑体" w:hAnsi="宋体" w:eastAsia="黑体" w:cs="黑体"/>
                <w:b/>
                <w:bCs/>
                <w:color w:val="000000"/>
                <w:sz w:val="18"/>
                <w:szCs w:val="18"/>
                <w:highlight w:val="none"/>
              </w:rPr>
            </w:pPr>
            <w:r>
              <w:rPr>
                <w:rFonts w:hint="eastAsia" w:ascii="黑体" w:hAnsi="宋体" w:eastAsia="黑体" w:cs="黑体"/>
                <w:b/>
                <w:bCs/>
                <w:color w:val="000000"/>
                <w:kern w:val="0"/>
                <w:sz w:val="18"/>
                <w:szCs w:val="18"/>
                <w:highlight w:val="none"/>
                <w:lang w:bidi="ar"/>
              </w:rPr>
              <w:t>序号</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E4FEE">
            <w:pPr>
              <w:widowControl/>
              <w:jc w:val="center"/>
              <w:textAlignment w:val="center"/>
              <w:rPr>
                <w:rFonts w:ascii="黑体" w:hAnsi="宋体" w:eastAsia="黑体" w:cs="黑体"/>
                <w:b/>
                <w:bCs/>
                <w:color w:val="000000"/>
                <w:sz w:val="18"/>
                <w:szCs w:val="18"/>
                <w:highlight w:val="none"/>
              </w:rPr>
            </w:pPr>
            <w:r>
              <w:rPr>
                <w:rFonts w:hint="eastAsia" w:ascii="黑体" w:hAnsi="宋体" w:eastAsia="黑体" w:cs="黑体"/>
                <w:b/>
                <w:bCs/>
                <w:color w:val="000000"/>
                <w:kern w:val="0"/>
                <w:sz w:val="18"/>
                <w:szCs w:val="18"/>
                <w:highlight w:val="none"/>
                <w:lang w:bidi="ar"/>
              </w:rPr>
              <w:t>课程名称</w:t>
            </w:r>
          </w:p>
        </w:tc>
        <w:tc>
          <w:tcPr>
            <w:tcW w:w="1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1C64C">
            <w:pPr>
              <w:widowControl/>
              <w:jc w:val="center"/>
              <w:textAlignment w:val="center"/>
              <w:rPr>
                <w:rFonts w:ascii="黑体" w:hAnsi="宋体" w:eastAsia="黑体" w:cs="黑体"/>
                <w:b/>
                <w:bCs/>
                <w:color w:val="000000"/>
                <w:sz w:val="18"/>
                <w:szCs w:val="18"/>
                <w:highlight w:val="none"/>
              </w:rPr>
            </w:pPr>
            <w:r>
              <w:rPr>
                <w:rFonts w:hint="eastAsia" w:ascii="黑体" w:hAnsi="宋体" w:eastAsia="黑体" w:cs="黑体"/>
                <w:b/>
                <w:bCs/>
                <w:color w:val="000000"/>
                <w:kern w:val="0"/>
                <w:sz w:val="18"/>
                <w:szCs w:val="18"/>
                <w:highlight w:val="none"/>
                <w:lang w:bidi="ar"/>
              </w:rPr>
              <w:t>规格型号</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06053">
            <w:pPr>
              <w:widowControl/>
              <w:jc w:val="center"/>
              <w:textAlignment w:val="center"/>
              <w:rPr>
                <w:rFonts w:ascii="黑体" w:hAnsi="宋体" w:eastAsia="黑体" w:cs="黑体"/>
                <w:b/>
                <w:bCs/>
                <w:color w:val="000000"/>
                <w:sz w:val="18"/>
                <w:szCs w:val="18"/>
                <w:highlight w:val="none"/>
              </w:rPr>
            </w:pPr>
            <w:r>
              <w:rPr>
                <w:rFonts w:hint="eastAsia" w:ascii="黑体" w:hAnsi="宋体" w:eastAsia="黑体" w:cs="黑体"/>
                <w:b/>
                <w:bCs/>
                <w:color w:val="000000"/>
                <w:kern w:val="0"/>
                <w:sz w:val="18"/>
                <w:szCs w:val="18"/>
                <w:highlight w:val="none"/>
                <w:lang w:bidi="ar"/>
              </w:rPr>
              <w:t>数量</w:t>
            </w:r>
          </w:p>
        </w:tc>
        <w:tc>
          <w:tcPr>
            <w:tcW w:w="2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323EA">
            <w:pPr>
              <w:widowControl/>
              <w:jc w:val="center"/>
              <w:textAlignment w:val="center"/>
              <w:rPr>
                <w:rFonts w:ascii="黑体" w:hAnsi="宋体" w:eastAsia="黑体" w:cs="黑体"/>
                <w:b/>
                <w:bCs/>
                <w:color w:val="000000"/>
                <w:sz w:val="18"/>
                <w:szCs w:val="18"/>
                <w:highlight w:val="none"/>
              </w:rPr>
            </w:pPr>
            <w:r>
              <w:rPr>
                <w:rFonts w:hint="eastAsia" w:ascii="黑体" w:hAnsi="宋体" w:eastAsia="黑体" w:cs="黑体"/>
                <w:b/>
                <w:bCs/>
                <w:color w:val="000000"/>
                <w:kern w:val="0"/>
                <w:sz w:val="18"/>
                <w:szCs w:val="18"/>
                <w:highlight w:val="none"/>
                <w:lang w:bidi="ar"/>
              </w:rPr>
              <w:t>备注</w:t>
            </w:r>
          </w:p>
        </w:tc>
      </w:tr>
      <w:tr w14:paraId="55791633">
        <w:tblPrEx>
          <w:tblCellMar>
            <w:top w:w="0" w:type="dxa"/>
            <w:left w:w="108" w:type="dxa"/>
            <w:bottom w:w="0" w:type="dxa"/>
            <w:right w:w="108" w:type="dxa"/>
          </w:tblCellMar>
        </w:tblPrEx>
        <w:trPr>
          <w:trHeight w:val="454"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658F9">
            <w:pPr>
              <w:widowControl/>
              <w:jc w:val="center"/>
              <w:textAlignment w:val="center"/>
              <w:rPr>
                <w:rFonts w:ascii="宋体" w:hAnsi="宋体" w:cs="宋体"/>
                <w:color w:val="000000"/>
                <w:sz w:val="18"/>
                <w:szCs w:val="18"/>
                <w:highlight w:val="none"/>
              </w:rPr>
            </w:pPr>
            <w:r>
              <w:rPr>
                <w:rFonts w:hint="eastAsia" w:ascii="宋体" w:hAnsi="宋体" w:cs="宋体"/>
                <w:color w:val="000000"/>
                <w:kern w:val="0"/>
                <w:sz w:val="18"/>
                <w:szCs w:val="18"/>
                <w:highlight w:val="none"/>
                <w:lang w:bidi="ar"/>
              </w:rPr>
              <w:t>1</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2CEE4">
            <w:pPr>
              <w:widowControl/>
              <w:jc w:val="center"/>
              <w:textAlignment w:val="center"/>
              <w:rPr>
                <w:rFonts w:ascii="宋体" w:hAnsi="宋体" w:cs="宋体"/>
                <w:color w:val="000000"/>
                <w:sz w:val="18"/>
                <w:szCs w:val="18"/>
                <w:highlight w:val="none"/>
              </w:rPr>
            </w:pPr>
            <w:r>
              <w:rPr>
                <w:rFonts w:hint="eastAsia" w:ascii="宋体" w:hAnsi="Courier New"/>
                <w:highlight w:val="none"/>
                <w:lang w:val="en-US" w:eastAsia="zh-CN"/>
              </w:rPr>
              <w:t>六大工具</w:t>
            </w:r>
            <w:r>
              <w:rPr>
                <w:rFonts w:hint="eastAsia" w:ascii="宋体" w:hAnsi="Courier New"/>
                <w:highlight w:val="none"/>
              </w:rPr>
              <w:t>培训</w:t>
            </w:r>
          </w:p>
        </w:tc>
        <w:tc>
          <w:tcPr>
            <w:tcW w:w="17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668169">
            <w:pPr>
              <w:widowControl/>
              <w:jc w:val="center"/>
              <w:textAlignment w:val="center"/>
              <w:rPr>
                <w:rFonts w:ascii="宋体" w:hAnsi="宋体" w:cs="宋体"/>
                <w:color w:val="000000"/>
                <w:sz w:val="18"/>
                <w:szCs w:val="18"/>
                <w:highlight w:val="none"/>
              </w:rPr>
            </w:pPr>
            <w:r>
              <w:rPr>
                <w:rFonts w:hint="eastAsia" w:ascii="宋体" w:hAnsi="宋体" w:cs="宋体"/>
                <w:color w:val="000000"/>
                <w:kern w:val="0"/>
                <w:sz w:val="18"/>
                <w:szCs w:val="18"/>
                <w:highlight w:val="none"/>
                <w:lang w:bidi="ar"/>
              </w:rPr>
              <w:t>元/小时</w:t>
            </w:r>
          </w:p>
        </w:tc>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BF66DA">
            <w:pPr>
              <w:widowControl/>
              <w:jc w:val="center"/>
              <w:textAlignment w:val="center"/>
              <w:rPr>
                <w:rFonts w:ascii="宋体" w:hAnsi="宋体" w:cs="宋体"/>
                <w:color w:val="000000"/>
                <w:sz w:val="18"/>
                <w:szCs w:val="18"/>
                <w:highlight w:val="none"/>
              </w:rPr>
            </w:pPr>
            <w:r>
              <w:rPr>
                <w:rFonts w:hint="eastAsia" w:ascii="宋体" w:hAnsi="宋体" w:cs="宋体"/>
                <w:color w:val="000000"/>
                <w:kern w:val="0"/>
                <w:sz w:val="18"/>
                <w:szCs w:val="18"/>
                <w:highlight w:val="none"/>
                <w:lang w:val="en-US" w:eastAsia="zh-CN" w:bidi="ar"/>
              </w:rPr>
              <w:t>44</w:t>
            </w:r>
            <w:r>
              <w:rPr>
                <w:rFonts w:hint="eastAsia" w:ascii="宋体" w:hAnsi="宋体" w:cs="宋体"/>
                <w:color w:val="000000"/>
                <w:kern w:val="0"/>
                <w:sz w:val="18"/>
                <w:szCs w:val="18"/>
                <w:highlight w:val="none"/>
                <w:lang w:bidi="ar"/>
              </w:rPr>
              <w:t>小时</w:t>
            </w:r>
          </w:p>
        </w:tc>
        <w:tc>
          <w:tcPr>
            <w:tcW w:w="2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72EA6">
            <w:pPr>
              <w:widowControl/>
              <w:jc w:val="center"/>
              <w:textAlignment w:val="center"/>
              <w:rPr>
                <w:rFonts w:ascii="宋体" w:hAnsi="宋体" w:cs="宋体"/>
                <w:color w:val="000000"/>
                <w:sz w:val="18"/>
                <w:szCs w:val="18"/>
                <w:highlight w:val="none"/>
              </w:rPr>
            </w:pPr>
            <w:r>
              <w:rPr>
                <w:rFonts w:hint="eastAsia" w:ascii="宋体" w:hAnsi="宋体" w:cs="宋体"/>
                <w:color w:val="000000"/>
                <w:kern w:val="0"/>
                <w:sz w:val="18"/>
                <w:szCs w:val="18"/>
                <w:highlight w:val="none"/>
                <w:lang w:bidi="ar"/>
              </w:rPr>
              <w:t>集中授课</w:t>
            </w:r>
          </w:p>
        </w:tc>
      </w:tr>
      <w:tr w14:paraId="52354D0D">
        <w:tblPrEx>
          <w:tblCellMar>
            <w:top w:w="0" w:type="dxa"/>
            <w:left w:w="108" w:type="dxa"/>
            <w:bottom w:w="0" w:type="dxa"/>
            <w:right w:w="108" w:type="dxa"/>
          </w:tblCellMar>
        </w:tblPrEx>
        <w:trPr>
          <w:trHeight w:val="454"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7C82A">
            <w:pPr>
              <w:widowControl/>
              <w:jc w:val="center"/>
              <w:textAlignment w:val="center"/>
              <w:rPr>
                <w:rFonts w:hint="default" w:ascii="宋体" w:hAnsi="宋体" w:eastAsia="宋体" w:cs="宋体"/>
                <w:color w:val="000000"/>
                <w:kern w:val="0"/>
                <w:sz w:val="18"/>
                <w:szCs w:val="18"/>
                <w:highlight w:val="none"/>
                <w:lang w:val="en-US" w:eastAsia="zh-CN" w:bidi="ar"/>
              </w:rPr>
            </w:pPr>
            <w:r>
              <w:rPr>
                <w:rFonts w:hint="eastAsia" w:ascii="宋体" w:hAnsi="宋体" w:cs="宋体"/>
                <w:color w:val="000000"/>
                <w:kern w:val="0"/>
                <w:sz w:val="18"/>
                <w:szCs w:val="18"/>
                <w:highlight w:val="none"/>
                <w:lang w:val="en-US" w:eastAsia="zh-CN" w:bidi="ar"/>
              </w:rPr>
              <w:t>2</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DA18B">
            <w:pPr>
              <w:widowControl/>
              <w:jc w:val="center"/>
              <w:textAlignment w:val="center"/>
              <w:rPr>
                <w:rFonts w:hint="eastAsia" w:ascii="宋体" w:hAnsi="Courier New"/>
                <w:highlight w:val="none"/>
              </w:rPr>
            </w:pPr>
            <w:r>
              <w:rPr>
                <w:rFonts w:hint="eastAsia" w:ascii="宋体" w:hAnsi="Courier New"/>
                <w:highlight w:val="none"/>
                <w:lang w:val="en-US" w:eastAsia="zh-CN"/>
              </w:rPr>
              <w:t>VDA6.3、VDA6.5培训</w:t>
            </w:r>
          </w:p>
        </w:tc>
        <w:tc>
          <w:tcPr>
            <w:tcW w:w="17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B1C6FC">
            <w:pPr>
              <w:widowControl/>
              <w:jc w:val="center"/>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元/小时</w:t>
            </w:r>
          </w:p>
        </w:tc>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EC4A2B">
            <w:pPr>
              <w:widowControl/>
              <w:jc w:val="center"/>
              <w:textAlignment w:val="center"/>
              <w:rPr>
                <w:rFonts w:hint="eastAsia" w:ascii="宋体" w:hAnsi="宋体" w:cs="宋体"/>
                <w:color w:val="000000"/>
                <w:kern w:val="0"/>
                <w:sz w:val="18"/>
                <w:szCs w:val="18"/>
                <w:highlight w:val="none"/>
                <w:lang w:val="en-US" w:eastAsia="zh-CN" w:bidi="ar"/>
              </w:rPr>
            </w:pPr>
            <w:r>
              <w:rPr>
                <w:rFonts w:hint="eastAsia" w:ascii="宋体" w:hAnsi="宋体" w:cs="宋体"/>
                <w:color w:val="000000"/>
                <w:kern w:val="0"/>
                <w:sz w:val="18"/>
                <w:szCs w:val="18"/>
                <w:highlight w:val="none"/>
                <w:lang w:val="en-US" w:eastAsia="zh-CN" w:bidi="ar"/>
              </w:rPr>
              <w:t>12</w:t>
            </w:r>
            <w:r>
              <w:rPr>
                <w:rFonts w:hint="eastAsia" w:ascii="宋体" w:hAnsi="宋体" w:cs="宋体"/>
                <w:color w:val="000000"/>
                <w:kern w:val="0"/>
                <w:sz w:val="18"/>
                <w:szCs w:val="18"/>
                <w:highlight w:val="none"/>
                <w:lang w:bidi="ar"/>
              </w:rPr>
              <w:t>小时</w:t>
            </w:r>
          </w:p>
        </w:tc>
        <w:tc>
          <w:tcPr>
            <w:tcW w:w="2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33776">
            <w:pPr>
              <w:widowControl/>
              <w:jc w:val="center"/>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集中授课</w:t>
            </w:r>
          </w:p>
        </w:tc>
      </w:tr>
    </w:tbl>
    <w:p w14:paraId="6EB5D698">
      <w:pPr>
        <w:pStyle w:val="14"/>
        <w:spacing w:line="500" w:lineRule="exact"/>
        <w:ind w:firstLine="0" w:firstLineChars="0"/>
        <w:jc w:val="left"/>
        <w:rPr>
          <w:highlight w:val="none"/>
        </w:rPr>
      </w:pPr>
    </w:p>
    <w:p w14:paraId="7212A471">
      <w:pPr>
        <w:spacing w:line="500" w:lineRule="exact"/>
        <w:ind w:firstLine="422" w:firstLineChars="200"/>
        <w:outlineLvl w:val="1"/>
        <w:rPr>
          <w:rFonts w:ascii="黑体" w:hAnsi="黑体" w:eastAsia="黑体"/>
          <w:b/>
          <w:bCs/>
          <w:highlight w:val="none"/>
        </w:rPr>
      </w:pPr>
      <w:r>
        <w:rPr>
          <w:rFonts w:hint="eastAsia" w:ascii="黑体" w:hAnsi="黑体" w:eastAsia="黑体" w:cstheme="minorBidi"/>
          <w:b/>
          <w:bCs/>
          <w:szCs w:val="22"/>
          <w:highlight w:val="none"/>
        </w:rPr>
        <w:t>三、技术要求</w:t>
      </w:r>
    </w:p>
    <w:p w14:paraId="53E485D5">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宋体" w:hAnsi="Courier New"/>
          <w:highlight w:val="none"/>
          <w:lang w:val="en-US" w:eastAsia="zh-CN"/>
        </w:rPr>
      </w:pPr>
      <w:r>
        <w:rPr>
          <w:rFonts w:hint="eastAsia" w:ascii="宋体" w:hAnsi="Courier New"/>
          <w:highlight w:val="none"/>
          <w:lang w:val="en-US" w:eastAsia="zh-CN"/>
        </w:rPr>
        <w:t>1.六大工具培训（5.5天/44小时）</w:t>
      </w:r>
    </w:p>
    <w:p w14:paraId="785026C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20" w:firstLineChars="200"/>
        <w:jc w:val="left"/>
        <w:textAlignment w:val="auto"/>
        <w:rPr>
          <w:rFonts w:hint="eastAsia" w:ascii="宋体" w:hAnsi="Courier New"/>
          <w:highlight w:val="none"/>
          <w:lang w:val="en-US" w:eastAsia="zh-CN"/>
        </w:rPr>
      </w:pPr>
      <w:r>
        <w:rPr>
          <w:rFonts w:hint="default" w:ascii="Wingdings" w:hAnsi="Wingdings" w:eastAsia="宋体" w:cs="Times New Roman"/>
          <w:kern w:val="2"/>
          <w:sz w:val="21"/>
          <w:highlight w:val="none"/>
          <w:lang w:val="en-US" w:eastAsia="zh-CN" w:bidi="ar-SA"/>
        </w:rPr>
        <w:t></w:t>
      </w:r>
      <w:r>
        <w:rPr>
          <w:rFonts w:hint="eastAsia" w:ascii="宋体" w:hAnsi="Courier New"/>
          <w:highlight w:val="none"/>
          <w:lang w:val="en-US" w:eastAsia="zh-CN"/>
        </w:rPr>
        <w:t>课程目标：（1）管理人员：理解六大工具在质量管理体系中的战略价值，能够决策资源投入，推动跨部门协作，并通过体系的有效运行来实现客户满意，提升企业品牌形象和市场竞争力。</w:t>
      </w:r>
    </w:p>
    <w:p w14:paraId="34EDCA3B">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Courier New"/>
          <w:highlight w:val="none"/>
          <w:lang w:val="en-US" w:eastAsia="zh-CN"/>
        </w:rPr>
      </w:pPr>
      <w:r>
        <w:rPr>
          <w:rFonts w:hint="eastAsia" w:ascii="宋体" w:hAnsi="Courier New"/>
          <w:highlight w:val="none"/>
          <w:lang w:val="en-US" w:eastAsia="zh-CN"/>
        </w:rPr>
        <w:t>（2）工程技术人员：掌握各工具的基本原理与应用方法，能将工具应用于产品设计、过程开发和问题解决，实现质量、成本和效率的优化。</w:t>
      </w:r>
    </w:p>
    <w:p w14:paraId="2763E4DA">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Courier New"/>
          <w:highlight w:val="none"/>
          <w:lang w:val="en-US" w:eastAsia="zh-CN"/>
        </w:rPr>
      </w:pPr>
      <w:r>
        <w:rPr>
          <w:rFonts w:hint="eastAsia" w:ascii="宋体" w:hAnsi="Courier New"/>
          <w:highlight w:val="none"/>
          <w:lang w:val="en-US" w:eastAsia="zh-CN"/>
        </w:rPr>
        <w:t>（3）内部审核员：熟悉六大工具的审核要点与证据收集方法，能够策划并实施专项审核，验证体系运行的有效性，推动公司质量管理体系的持续改进。</w:t>
      </w:r>
    </w:p>
    <w:p w14:paraId="51AB5E0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20" w:firstLineChars="200"/>
        <w:jc w:val="left"/>
        <w:textAlignment w:val="auto"/>
        <w:rPr>
          <w:rFonts w:hint="eastAsia" w:ascii="宋体" w:hAnsi="Courier New"/>
          <w:highlight w:val="none"/>
          <w:lang w:val="en-US" w:eastAsia="zh-CN"/>
        </w:rPr>
      </w:pPr>
      <w:r>
        <w:rPr>
          <w:rFonts w:hint="default" w:ascii="Wingdings" w:hAnsi="Wingdings" w:eastAsia="宋体" w:cs="Times New Roman"/>
          <w:kern w:val="2"/>
          <w:sz w:val="21"/>
          <w:highlight w:val="none"/>
          <w:lang w:val="en-US" w:eastAsia="zh-CN" w:bidi="ar-SA"/>
        </w:rPr>
        <w:t></w:t>
      </w:r>
      <w:r>
        <w:rPr>
          <w:rFonts w:hint="eastAsia" w:ascii="宋体" w:hAnsi="Courier New"/>
          <w:highlight w:val="none"/>
          <w:lang w:val="en-US" w:eastAsia="zh-CN"/>
        </w:rPr>
        <w:t>课程内容要求：APQP（2天/16小时）：（1）理解APQP与其他工具的关系；</w:t>
      </w:r>
    </w:p>
    <w:p w14:paraId="2ACE5D1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840" w:firstLineChars="400"/>
        <w:jc w:val="left"/>
        <w:textAlignment w:val="auto"/>
        <w:rPr>
          <w:rFonts w:hint="eastAsia" w:ascii="宋体" w:hAnsi="Courier New"/>
          <w:highlight w:val="none"/>
          <w:lang w:val="en-US" w:eastAsia="zh-CN"/>
        </w:rPr>
      </w:pPr>
      <w:r>
        <w:rPr>
          <w:rFonts w:hint="eastAsia" w:ascii="宋体" w:hAnsi="Courier New"/>
          <w:highlight w:val="none"/>
          <w:lang w:val="en-US" w:eastAsia="zh-CN"/>
        </w:rPr>
        <w:t>（2）掌握APQP计划的编制,找到关键路径；</w:t>
      </w:r>
    </w:p>
    <w:p w14:paraId="6BADB0D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840" w:firstLineChars="400"/>
        <w:jc w:val="left"/>
        <w:textAlignment w:val="auto"/>
        <w:rPr>
          <w:rFonts w:hint="eastAsia" w:ascii="宋体" w:hAnsi="Courier New"/>
          <w:highlight w:val="none"/>
          <w:lang w:val="en-US" w:eastAsia="zh-CN"/>
        </w:rPr>
      </w:pPr>
      <w:r>
        <w:rPr>
          <w:rFonts w:hint="eastAsia" w:ascii="宋体" w:hAnsi="Courier New"/>
          <w:highlight w:val="none"/>
          <w:lang w:val="en-US" w:eastAsia="zh-CN"/>
        </w:rPr>
        <w:t>（3）掌握APQP中PFMEA\CP编制方法与相互关系；</w:t>
      </w:r>
    </w:p>
    <w:p w14:paraId="496E240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840" w:firstLineChars="400"/>
        <w:jc w:val="left"/>
        <w:textAlignment w:val="auto"/>
        <w:rPr>
          <w:rFonts w:hint="eastAsia" w:ascii="宋体" w:hAnsi="Courier New"/>
          <w:highlight w:val="none"/>
          <w:lang w:val="en-US" w:eastAsia="zh-CN"/>
        </w:rPr>
      </w:pPr>
      <w:r>
        <w:rPr>
          <w:rFonts w:hint="eastAsia" w:ascii="宋体" w:hAnsi="Courier New"/>
          <w:highlight w:val="none"/>
          <w:lang w:val="en-US" w:eastAsia="zh-CN"/>
        </w:rPr>
        <w:t>（4）掌握特殊特性识别及控制方法；</w:t>
      </w:r>
    </w:p>
    <w:p w14:paraId="0EF572D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840" w:firstLineChars="400"/>
        <w:jc w:val="left"/>
        <w:textAlignment w:val="auto"/>
        <w:rPr>
          <w:rFonts w:hint="eastAsia" w:ascii="宋体" w:hAnsi="Courier New"/>
          <w:highlight w:val="none"/>
          <w:lang w:val="en-US" w:eastAsia="zh-CN"/>
        </w:rPr>
      </w:pPr>
      <w:r>
        <w:rPr>
          <w:rFonts w:hint="eastAsia" w:ascii="宋体" w:hAnsi="Courier New"/>
          <w:highlight w:val="none"/>
          <w:lang w:val="en-US" w:eastAsia="zh-CN"/>
        </w:rPr>
        <w:t>（5）掌握运用APQP提升产品实物质量方法；</w:t>
      </w:r>
    </w:p>
    <w:p w14:paraId="7270F0C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840" w:firstLineChars="400"/>
        <w:jc w:val="left"/>
        <w:textAlignment w:val="auto"/>
        <w:rPr>
          <w:rFonts w:hint="eastAsia" w:ascii="宋体" w:hAnsi="Courier New"/>
          <w:highlight w:val="none"/>
          <w:lang w:val="en-US" w:eastAsia="zh-CN"/>
        </w:rPr>
      </w:pPr>
      <w:r>
        <w:rPr>
          <w:rFonts w:hint="eastAsia" w:ascii="宋体" w:hAnsi="Courier New"/>
          <w:highlight w:val="none"/>
          <w:lang w:val="en-US" w:eastAsia="zh-CN"/>
        </w:rPr>
        <w:t>（6）掌握APQP各阶段文件编制要求及差异。</w:t>
      </w:r>
    </w:p>
    <w:p w14:paraId="455EB449">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Courier New"/>
          <w:highlight w:val="none"/>
          <w:lang w:val="en-US" w:eastAsia="zh-CN"/>
        </w:rPr>
      </w:pPr>
      <w:r>
        <w:rPr>
          <w:rFonts w:hint="eastAsia" w:ascii="宋体" w:hAnsi="Courier New"/>
          <w:highlight w:val="none"/>
          <w:lang w:val="en-US" w:eastAsia="zh-CN"/>
        </w:rPr>
        <w:t>SPC（2天/16小时）：（1）理解统计过程控制的基本概念与原理；</w:t>
      </w:r>
    </w:p>
    <w:p w14:paraId="6632D44F">
      <w:pPr>
        <w:keepNext w:val="0"/>
        <w:keepLines w:val="0"/>
        <w:pageBreakBefore w:val="0"/>
        <w:widowControl w:val="0"/>
        <w:kinsoku/>
        <w:wordWrap/>
        <w:overflowPunct/>
        <w:topLinePunct w:val="0"/>
        <w:autoSpaceDE/>
        <w:autoSpaceDN/>
        <w:bidi w:val="0"/>
        <w:adjustRightInd/>
        <w:snapToGrid/>
        <w:spacing w:line="500" w:lineRule="exact"/>
        <w:ind w:left="0" w:firstLine="840" w:firstLineChars="400"/>
        <w:jc w:val="left"/>
        <w:textAlignment w:val="auto"/>
        <w:rPr>
          <w:rFonts w:hint="eastAsia" w:ascii="宋体" w:hAnsi="Courier New"/>
          <w:highlight w:val="none"/>
          <w:lang w:val="en-US" w:eastAsia="zh-CN"/>
        </w:rPr>
      </w:pPr>
      <w:r>
        <w:rPr>
          <w:rFonts w:hint="eastAsia" w:ascii="宋体" w:hAnsi="Courier New"/>
          <w:highlight w:val="none"/>
          <w:lang w:val="en-US" w:eastAsia="zh-CN"/>
        </w:rPr>
        <w:t>（2）掌握实施SPC的基本流程和关键点；</w:t>
      </w:r>
    </w:p>
    <w:p w14:paraId="23CD4233">
      <w:pPr>
        <w:keepNext w:val="0"/>
        <w:keepLines w:val="0"/>
        <w:pageBreakBefore w:val="0"/>
        <w:widowControl w:val="0"/>
        <w:kinsoku/>
        <w:wordWrap/>
        <w:overflowPunct/>
        <w:topLinePunct w:val="0"/>
        <w:autoSpaceDE/>
        <w:autoSpaceDN/>
        <w:bidi w:val="0"/>
        <w:adjustRightInd/>
        <w:snapToGrid/>
        <w:spacing w:line="500" w:lineRule="exact"/>
        <w:ind w:left="0" w:firstLine="840" w:firstLineChars="400"/>
        <w:jc w:val="left"/>
        <w:textAlignment w:val="auto"/>
        <w:rPr>
          <w:rFonts w:hint="eastAsia" w:ascii="宋体" w:hAnsi="Courier New"/>
          <w:highlight w:val="none"/>
          <w:lang w:val="en-US" w:eastAsia="zh-CN"/>
        </w:rPr>
      </w:pPr>
      <w:r>
        <w:rPr>
          <w:rFonts w:hint="eastAsia" w:ascii="宋体" w:hAnsi="Courier New"/>
          <w:highlight w:val="none"/>
          <w:lang w:val="en-US" w:eastAsia="zh-CN"/>
        </w:rPr>
        <w:t>（3）掌握休哈特控制图的特点与应用技巧；</w:t>
      </w:r>
    </w:p>
    <w:p w14:paraId="1756FD7B">
      <w:pPr>
        <w:keepNext w:val="0"/>
        <w:keepLines w:val="0"/>
        <w:pageBreakBefore w:val="0"/>
        <w:widowControl w:val="0"/>
        <w:kinsoku/>
        <w:wordWrap/>
        <w:overflowPunct/>
        <w:topLinePunct w:val="0"/>
        <w:autoSpaceDE/>
        <w:autoSpaceDN/>
        <w:bidi w:val="0"/>
        <w:adjustRightInd/>
        <w:snapToGrid/>
        <w:spacing w:line="500" w:lineRule="exact"/>
        <w:ind w:left="0" w:firstLine="840" w:firstLineChars="400"/>
        <w:jc w:val="left"/>
        <w:textAlignment w:val="auto"/>
        <w:rPr>
          <w:rFonts w:hint="eastAsia" w:ascii="宋体" w:hAnsi="Courier New"/>
          <w:highlight w:val="none"/>
          <w:lang w:val="en-US" w:eastAsia="zh-CN"/>
        </w:rPr>
      </w:pPr>
      <w:r>
        <w:rPr>
          <w:rFonts w:hint="eastAsia" w:ascii="宋体" w:hAnsi="Courier New"/>
          <w:highlight w:val="none"/>
          <w:lang w:val="en-US" w:eastAsia="zh-CN"/>
        </w:rPr>
        <w:t>（4）掌握正态分布特性的过程能力分析及分析工具使用方法；</w:t>
      </w:r>
    </w:p>
    <w:p w14:paraId="179F439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840" w:firstLineChars="400"/>
        <w:jc w:val="left"/>
        <w:textAlignment w:val="auto"/>
        <w:rPr>
          <w:rFonts w:hint="eastAsia" w:ascii="宋体" w:hAnsi="Courier New"/>
          <w:highlight w:val="none"/>
          <w:lang w:val="en-US" w:eastAsia="zh-CN"/>
        </w:rPr>
      </w:pPr>
      <w:r>
        <w:rPr>
          <w:rFonts w:hint="eastAsia" w:ascii="宋体" w:hAnsi="Courier New"/>
          <w:highlight w:val="none"/>
          <w:lang w:val="en-US" w:eastAsia="zh-CN"/>
        </w:rPr>
        <w:t>（5）纠正SPC应用中常见错误、解决SPC应用中疑难问题，提升对SPC的灵活应用能力。MSA（1.5天/12小时）：（1）掌握常用计量型测量系统分析方法与技巧；</w:t>
      </w:r>
    </w:p>
    <w:p w14:paraId="2CA609A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840" w:firstLineChars="400"/>
        <w:jc w:val="left"/>
        <w:textAlignment w:val="auto"/>
        <w:rPr>
          <w:rFonts w:hint="eastAsia" w:ascii="宋体" w:hAnsi="Courier New"/>
          <w:highlight w:val="none"/>
          <w:lang w:val="en-US" w:eastAsia="zh-CN"/>
        </w:rPr>
      </w:pPr>
      <w:r>
        <w:rPr>
          <w:rFonts w:hint="eastAsia" w:ascii="宋体" w:hAnsi="Courier New"/>
          <w:highlight w:val="none"/>
          <w:lang w:val="en-US" w:eastAsia="zh-CN"/>
        </w:rPr>
        <w:t>（2）掌握常用计数型测量系统分析方法与技巧；</w:t>
      </w:r>
    </w:p>
    <w:p w14:paraId="4D97FC5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840" w:firstLineChars="400"/>
        <w:jc w:val="left"/>
        <w:textAlignment w:val="auto"/>
        <w:rPr>
          <w:rFonts w:hint="eastAsia" w:ascii="宋体" w:hAnsi="Courier New"/>
          <w:highlight w:val="none"/>
          <w:lang w:val="en-US" w:eastAsia="zh-CN"/>
        </w:rPr>
      </w:pPr>
      <w:r>
        <w:rPr>
          <w:rFonts w:hint="eastAsia" w:ascii="宋体" w:hAnsi="Courier New"/>
          <w:highlight w:val="none"/>
          <w:lang w:val="en-US" w:eastAsia="zh-CN"/>
        </w:rPr>
        <w:t>（3）学会用EXCEL或MINITAB进行MSA研究，增强实际应用能力。</w:t>
      </w:r>
    </w:p>
    <w:p w14:paraId="776E50D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20" w:firstLineChars="200"/>
        <w:jc w:val="left"/>
        <w:textAlignment w:val="auto"/>
        <w:rPr>
          <w:rFonts w:hint="default" w:ascii="宋体" w:hAnsi="Courier New"/>
          <w:highlight w:val="none"/>
          <w:lang w:val="en-US" w:eastAsia="zh-CN"/>
        </w:rPr>
      </w:pPr>
      <w:r>
        <w:rPr>
          <w:rFonts w:hint="default" w:ascii="Wingdings" w:hAnsi="Wingdings" w:eastAsia="宋体" w:cs="Times New Roman"/>
          <w:kern w:val="2"/>
          <w:sz w:val="21"/>
          <w:highlight w:val="none"/>
          <w:lang w:val="en-US" w:eastAsia="zh-CN" w:bidi="ar-SA"/>
        </w:rPr>
        <w:t></w:t>
      </w:r>
      <w:r>
        <w:rPr>
          <w:rFonts w:hint="eastAsia" w:ascii="宋体" w:hAnsi="Courier New"/>
          <w:highlight w:val="none"/>
          <w:lang w:val="en-US" w:eastAsia="zh-CN"/>
        </w:rPr>
        <w:t>课程形式要求：至少50%的培训时间用于案例分析和实操练习，并通过考核认证确保学习效果。</w:t>
      </w:r>
    </w:p>
    <w:p w14:paraId="7A3C78E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eastAsia" w:ascii="宋体" w:hAnsi="Courier New"/>
          <w:highlight w:val="none"/>
          <w:lang w:val="en-US" w:eastAsia="zh-CN"/>
        </w:rPr>
      </w:pPr>
      <w:r>
        <w:rPr>
          <w:rFonts w:hint="eastAsia" w:ascii="宋体" w:hAnsi="Courier New"/>
          <w:highlight w:val="none"/>
          <w:lang w:val="en-US" w:eastAsia="zh-CN"/>
        </w:rPr>
        <w:t>2.VDA6.3、VDA6.5培训（1.5天/12小时）</w:t>
      </w:r>
    </w:p>
    <w:p w14:paraId="36D923D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20" w:firstLineChars="200"/>
        <w:jc w:val="left"/>
        <w:textAlignment w:val="auto"/>
        <w:rPr>
          <w:rFonts w:hint="eastAsia" w:ascii="宋体" w:hAnsi="Courier New"/>
          <w:highlight w:val="none"/>
          <w:lang w:val="en-US" w:eastAsia="zh-CN"/>
        </w:rPr>
      </w:pPr>
      <w:r>
        <w:rPr>
          <w:rFonts w:hint="default" w:ascii="Wingdings" w:hAnsi="Wingdings" w:eastAsia="宋体" w:cs="Times New Roman"/>
          <w:kern w:val="2"/>
          <w:sz w:val="21"/>
          <w:highlight w:val="none"/>
          <w:lang w:val="en-US" w:eastAsia="zh-CN" w:bidi="ar-SA"/>
        </w:rPr>
        <w:t></w:t>
      </w:r>
      <w:r>
        <w:rPr>
          <w:rFonts w:hint="eastAsia" w:ascii="宋体" w:hAnsi="Courier New"/>
          <w:highlight w:val="none"/>
          <w:lang w:val="en-US" w:eastAsia="zh-CN"/>
        </w:rPr>
        <w:t>课程目标：系统掌握VDA6.3过程审核、VDA6.5产品审核，提升质量管理能力，确保产品与过程符合标准要求，通过结构化工具应用解决实际问题，推动持续改进与缺陷预防。</w:t>
      </w:r>
    </w:p>
    <w:p w14:paraId="24B85CD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20" w:firstLineChars="200"/>
        <w:jc w:val="left"/>
        <w:textAlignment w:val="auto"/>
        <w:rPr>
          <w:rFonts w:hint="eastAsia" w:ascii="宋体" w:hAnsi="Courier New"/>
          <w:highlight w:val="none"/>
          <w:lang w:val="en-US" w:eastAsia="zh-CN"/>
        </w:rPr>
      </w:pPr>
      <w:r>
        <w:rPr>
          <w:rFonts w:hint="default" w:ascii="Wingdings" w:hAnsi="Wingdings" w:eastAsia="宋体" w:cs="Times New Roman"/>
          <w:kern w:val="2"/>
          <w:sz w:val="21"/>
          <w:highlight w:val="none"/>
          <w:lang w:val="en-US" w:eastAsia="zh-CN" w:bidi="ar-SA"/>
        </w:rPr>
        <w:t></w:t>
      </w:r>
      <w:r>
        <w:rPr>
          <w:rFonts w:hint="eastAsia" w:ascii="宋体" w:hAnsi="Courier New"/>
          <w:highlight w:val="none"/>
          <w:lang w:val="en-US" w:eastAsia="zh-CN"/>
        </w:rPr>
        <w:t>课程内容要求：（1）全面理解及掌握过程审核的要求;</w:t>
      </w:r>
    </w:p>
    <w:p w14:paraId="6443C9D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840" w:firstLineChars="400"/>
        <w:jc w:val="left"/>
        <w:textAlignment w:val="auto"/>
        <w:rPr>
          <w:rFonts w:hint="eastAsia" w:ascii="宋体" w:hAnsi="Courier New"/>
          <w:highlight w:val="none"/>
          <w:lang w:val="en-US" w:eastAsia="zh-CN"/>
        </w:rPr>
      </w:pPr>
      <w:r>
        <w:rPr>
          <w:rFonts w:hint="eastAsia" w:ascii="宋体" w:hAnsi="Courier New"/>
          <w:highlight w:val="none"/>
          <w:lang w:val="en-US" w:eastAsia="zh-CN"/>
        </w:rPr>
        <w:t>（2）掌握基于体系思维的过程审核方法，增强实际应用能力；</w:t>
      </w:r>
    </w:p>
    <w:p w14:paraId="6249E25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840" w:firstLineChars="400"/>
        <w:jc w:val="left"/>
        <w:textAlignment w:val="auto"/>
        <w:rPr>
          <w:rFonts w:hint="eastAsia" w:ascii="宋体" w:hAnsi="Courier New"/>
          <w:highlight w:val="none"/>
          <w:lang w:val="en-US" w:eastAsia="zh-CN"/>
        </w:rPr>
      </w:pPr>
      <w:r>
        <w:rPr>
          <w:rFonts w:hint="eastAsia" w:ascii="宋体" w:hAnsi="Courier New"/>
          <w:highlight w:val="none"/>
          <w:lang w:val="en-US" w:eastAsia="zh-CN"/>
        </w:rPr>
        <w:t>（3）掌握产品审核的目的，意义，程序及实施步骤，增强实际应用能力；</w:t>
      </w:r>
    </w:p>
    <w:p w14:paraId="14E0E80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840" w:firstLineChars="400"/>
        <w:jc w:val="left"/>
        <w:textAlignment w:val="auto"/>
        <w:rPr>
          <w:rFonts w:hint="eastAsia" w:ascii="宋体" w:hAnsi="Courier New"/>
          <w:highlight w:val="none"/>
          <w:lang w:val="en-US" w:eastAsia="zh-CN"/>
        </w:rPr>
      </w:pPr>
      <w:r>
        <w:rPr>
          <w:rFonts w:hint="eastAsia" w:ascii="宋体" w:hAnsi="Courier New"/>
          <w:highlight w:val="none"/>
          <w:lang w:val="en-US" w:eastAsia="zh-CN"/>
        </w:rPr>
        <w:t>（4）获得相应资格的培训证明。</w:t>
      </w:r>
    </w:p>
    <w:p w14:paraId="5483660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20" w:firstLineChars="200"/>
        <w:jc w:val="left"/>
        <w:textAlignment w:val="auto"/>
        <w:rPr>
          <w:rFonts w:hint="default" w:ascii="宋体" w:hAnsi="Courier New"/>
          <w:highlight w:val="none"/>
          <w:lang w:val="en-US" w:eastAsia="zh-CN"/>
        </w:rPr>
      </w:pPr>
      <w:r>
        <w:rPr>
          <w:rFonts w:hint="default" w:ascii="Wingdings" w:hAnsi="Wingdings" w:eastAsia="宋体" w:cs="Times New Roman"/>
          <w:kern w:val="2"/>
          <w:sz w:val="21"/>
          <w:highlight w:val="none"/>
          <w:lang w:val="en-US" w:eastAsia="zh-CN" w:bidi="ar-SA"/>
        </w:rPr>
        <w:t></w:t>
      </w:r>
      <w:r>
        <w:rPr>
          <w:rFonts w:hint="eastAsia" w:ascii="宋体" w:hAnsi="Courier New"/>
          <w:highlight w:val="none"/>
          <w:lang w:val="en-US" w:eastAsia="zh-CN"/>
        </w:rPr>
        <w:t>课程形式要求：采用“理论讲解+案例实战+分组演练”的混合式教学。</w:t>
      </w:r>
    </w:p>
    <w:p w14:paraId="5A095F0C">
      <w:pPr>
        <w:spacing w:line="500" w:lineRule="exact"/>
        <w:ind w:firstLine="420" w:firstLineChars="200"/>
        <w:rPr>
          <w:rFonts w:ascii="宋体" w:hAnsi="Courier New"/>
          <w:highlight w:val="none"/>
        </w:rPr>
      </w:pPr>
      <w:r>
        <w:rPr>
          <w:rFonts w:hint="eastAsia" w:ascii="宋体" w:hAnsi="Courier New"/>
          <w:highlight w:val="none"/>
          <w:lang w:val="en-US" w:eastAsia="zh-CN"/>
        </w:rPr>
        <w:t>四</w:t>
      </w:r>
      <w:r>
        <w:rPr>
          <w:rFonts w:hint="eastAsia" w:ascii="宋体" w:hAnsi="Courier New"/>
          <w:highlight w:val="none"/>
        </w:rPr>
        <w:t>.</w:t>
      </w:r>
      <w:r>
        <w:rPr>
          <w:rFonts w:hint="eastAsia" w:ascii="宋体" w:hAnsi="Courier New"/>
          <w:highlight w:val="none"/>
          <w:lang w:val="en-US" w:eastAsia="zh-CN"/>
        </w:rPr>
        <w:t>其他</w:t>
      </w:r>
      <w:r>
        <w:rPr>
          <w:rFonts w:hint="eastAsia" w:ascii="宋体" w:hAnsi="Courier New"/>
          <w:highlight w:val="none"/>
        </w:rPr>
        <w:t>要求</w:t>
      </w:r>
    </w:p>
    <w:p w14:paraId="73062AD6">
      <w:pPr>
        <w:spacing w:line="500" w:lineRule="exact"/>
        <w:ind w:firstLine="420" w:firstLineChars="200"/>
        <w:rPr>
          <w:rFonts w:ascii="宋体" w:hAnsi="Courier New"/>
          <w:highlight w:val="none"/>
        </w:rPr>
      </w:pPr>
      <w:r>
        <w:rPr>
          <w:rFonts w:hint="eastAsia" w:ascii="宋体" w:hAnsi="Courier New"/>
          <w:highlight w:val="none"/>
        </w:rPr>
        <w:t>（1）培训讲师应具有5年以上的培训经验，具有把教学内容与实践能力相结合的能力，可以将理论知识演绎得生动易懂。</w:t>
      </w:r>
    </w:p>
    <w:p w14:paraId="02E33290">
      <w:pPr>
        <w:spacing w:line="500" w:lineRule="exact"/>
        <w:ind w:firstLine="420" w:firstLineChars="200"/>
        <w:rPr>
          <w:rFonts w:hint="eastAsia" w:ascii="宋体" w:hAnsi="Courier New"/>
          <w:highlight w:val="none"/>
        </w:rPr>
      </w:pPr>
      <w:r>
        <w:rPr>
          <w:rFonts w:hint="eastAsia" w:ascii="宋体" w:hAnsi="Courier New"/>
          <w:highlight w:val="none"/>
        </w:rPr>
        <w:t>（2）培训师应重视和学员之间的互动交流，以此来激发学员充分参与，提高学员关注度，达到最佳的授课效果。</w:t>
      </w:r>
    </w:p>
    <w:p w14:paraId="557490D7">
      <w:pPr>
        <w:spacing w:line="500" w:lineRule="exact"/>
        <w:ind w:firstLine="420" w:firstLineChars="200"/>
        <w:rPr>
          <w:rFonts w:hint="eastAsia" w:ascii="宋体" w:hAnsi="Courier New" w:eastAsia="宋体"/>
          <w:highlight w:val="none"/>
          <w:lang w:eastAsia="zh-CN"/>
        </w:rPr>
      </w:pPr>
      <w:r>
        <w:rPr>
          <w:rFonts w:hint="eastAsia" w:ascii="宋体" w:hAnsi="Courier New"/>
          <w:highlight w:val="none"/>
          <w:lang w:eastAsia="zh-CN"/>
        </w:rPr>
        <w:t>（</w:t>
      </w:r>
      <w:r>
        <w:rPr>
          <w:rFonts w:hint="eastAsia" w:ascii="宋体" w:hAnsi="Courier New"/>
          <w:highlight w:val="none"/>
          <w:lang w:val="en-US" w:eastAsia="zh-CN"/>
        </w:rPr>
        <w:t>3</w:t>
      </w:r>
      <w:r>
        <w:rPr>
          <w:rFonts w:hint="eastAsia" w:ascii="宋体" w:hAnsi="Courier New"/>
          <w:highlight w:val="none"/>
          <w:lang w:eastAsia="zh-CN"/>
        </w:rPr>
        <w:t>）每次培训后，对学员的学习成果进行考核，考核合格者</w:t>
      </w:r>
      <w:r>
        <w:rPr>
          <w:rFonts w:hint="eastAsia" w:ascii="宋体" w:hAnsi="Courier New"/>
          <w:highlight w:val="none"/>
          <w:lang w:val="en-US" w:eastAsia="zh-CN"/>
        </w:rPr>
        <w:t>需要</w:t>
      </w:r>
      <w:r>
        <w:rPr>
          <w:rFonts w:hint="eastAsia" w:ascii="宋体" w:hAnsi="Courier New"/>
          <w:highlight w:val="none"/>
          <w:lang w:eastAsia="zh-CN"/>
        </w:rPr>
        <w:t>颁发结业证书。</w:t>
      </w:r>
    </w:p>
    <w:p w14:paraId="492AE62D">
      <w:pPr>
        <w:pStyle w:val="76"/>
        <w:rPr>
          <w:b/>
          <w:bCs/>
          <w:highlight w:val="none"/>
        </w:rPr>
      </w:pPr>
    </w:p>
    <w:p w14:paraId="41362990">
      <w:pPr>
        <w:pStyle w:val="76"/>
        <w:rPr>
          <w:b/>
          <w:bCs/>
          <w:highlight w:val="none"/>
        </w:rPr>
      </w:pPr>
    </w:p>
    <w:p w14:paraId="2144AA35">
      <w:pPr>
        <w:rPr>
          <w:rFonts w:ascii="宋体" w:hAnsi="宋体" w:eastAsia="宋体"/>
          <w:b/>
          <w:sz w:val="28"/>
          <w:szCs w:val="28"/>
          <w:highlight w:val="none"/>
        </w:rPr>
      </w:pPr>
      <w:r>
        <w:rPr>
          <w:rFonts w:hint="eastAsia" w:eastAsia="宋体"/>
          <w:highlight w:val="none"/>
          <w:lang w:eastAsia="zh-CN"/>
        </w:rPr>
        <w:br w:type="page"/>
      </w:r>
    </w:p>
    <w:p w14:paraId="4A43330D">
      <w:pPr>
        <w:pStyle w:val="71"/>
        <w:rPr>
          <w:rFonts w:hint="eastAsia"/>
          <w:highlight w:val="none"/>
        </w:rPr>
      </w:pPr>
      <w:bookmarkStart w:id="24" w:name="_Toc20595"/>
      <w:bookmarkStart w:id="25" w:name="_Toc47976609"/>
      <w:r>
        <w:rPr>
          <w:rFonts w:hint="eastAsia"/>
          <w:highlight w:val="none"/>
        </w:rPr>
        <w:t>第三部分　合同主要条款</w:t>
      </w:r>
      <w:bookmarkEnd w:id="24"/>
      <w:bookmarkEnd w:id="25"/>
    </w:p>
    <w:p w14:paraId="5871DF53">
      <w:pPr>
        <w:rPr>
          <w:rFonts w:hint="eastAsia"/>
          <w:highlight w:val="none"/>
        </w:rPr>
      </w:pPr>
    </w:p>
    <w:p w14:paraId="63291654">
      <w:pPr>
        <w:wordWrap w:val="0"/>
        <w:adjustRightInd w:val="0"/>
        <w:snapToGrid w:val="0"/>
        <w:spacing w:line="360" w:lineRule="auto"/>
        <w:ind w:firstLine="482" w:firstLineChars="200"/>
        <w:jc w:val="right"/>
        <w:rPr>
          <w:rFonts w:ascii="微软雅黑" w:hAnsi="微软雅黑"/>
          <w:b/>
          <w:bCs/>
          <w:sz w:val="24"/>
          <w:highlight w:val="none"/>
        </w:rPr>
      </w:pPr>
    </w:p>
    <w:p w14:paraId="2E8B9542">
      <w:pPr>
        <w:wordWrap w:val="0"/>
        <w:adjustRightInd w:val="0"/>
        <w:snapToGrid w:val="0"/>
        <w:spacing w:line="360" w:lineRule="auto"/>
        <w:jc w:val="right"/>
        <w:rPr>
          <w:rFonts w:ascii="宋体" w:hAnsi="宋体" w:eastAsia="宋体"/>
          <w:b/>
          <w:sz w:val="28"/>
          <w:szCs w:val="28"/>
          <w:highlight w:val="none"/>
        </w:rPr>
      </w:pPr>
    </w:p>
    <w:p w14:paraId="7574264D">
      <w:pPr>
        <w:adjustRightInd w:val="0"/>
        <w:snapToGrid w:val="0"/>
        <w:spacing w:line="360" w:lineRule="auto"/>
        <w:jc w:val="left"/>
        <w:rPr>
          <w:rFonts w:ascii="宋体" w:hAnsi="宋体"/>
          <w:sz w:val="20"/>
          <w:highlight w:val="none"/>
        </w:rPr>
      </w:pPr>
    </w:p>
    <w:p w14:paraId="5E76AC87">
      <w:pPr>
        <w:adjustRightInd w:val="0"/>
        <w:snapToGrid w:val="0"/>
        <w:spacing w:line="360" w:lineRule="auto"/>
        <w:jc w:val="left"/>
        <w:rPr>
          <w:rFonts w:ascii="宋体" w:hAnsi="宋体"/>
          <w:sz w:val="20"/>
          <w:highlight w:val="none"/>
        </w:rPr>
      </w:pPr>
    </w:p>
    <w:p w14:paraId="28F846A7">
      <w:pPr>
        <w:adjustRightInd w:val="0"/>
        <w:snapToGrid w:val="0"/>
        <w:spacing w:line="360" w:lineRule="auto"/>
        <w:jc w:val="left"/>
        <w:rPr>
          <w:rFonts w:ascii="宋体" w:hAnsi="宋体"/>
          <w:sz w:val="20"/>
          <w:highlight w:val="none"/>
        </w:rPr>
      </w:pPr>
    </w:p>
    <w:p w14:paraId="2983B19A">
      <w:pPr>
        <w:adjustRightInd w:val="0"/>
        <w:snapToGrid w:val="0"/>
        <w:spacing w:line="360" w:lineRule="auto"/>
        <w:jc w:val="left"/>
        <w:rPr>
          <w:rFonts w:ascii="宋体" w:hAnsi="宋体"/>
          <w:sz w:val="20"/>
          <w:highlight w:val="none"/>
        </w:rPr>
      </w:pPr>
    </w:p>
    <w:p w14:paraId="4F4C149E">
      <w:pPr>
        <w:adjustRightInd w:val="0"/>
        <w:snapToGrid w:val="0"/>
        <w:spacing w:line="360" w:lineRule="auto"/>
        <w:jc w:val="left"/>
        <w:rPr>
          <w:rFonts w:ascii="宋体" w:hAnsi="宋体"/>
          <w:sz w:val="20"/>
          <w:highlight w:val="none"/>
        </w:rPr>
      </w:pPr>
    </w:p>
    <w:p w14:paraId="173497E9">
      <w:pPr>
        <w:adjustRightInd w:val="0"/>
        <w:snapToGrid w:val="0"/>
        <w:spacing w:line="360" w:lineRule="auto"/>
        <w:jc w:val="left"/>
        <w:rPr>
          <w:rFonts w:ascii="宋体" w:hAnsi="宋体"/>
          <w:sz w:val="20"/>
          <w:highlight w:val="none"/>
        </w:rPr>
      </w:pPr>
    </w:p>
    <w:p w14:paraId="08D7177A">
      <w:pPr>
        <w:adjustRightInd w:val="0"/>
        <w:snapToGrid w:val="0"/>
        <w:spacing w:line="360" w:lineRule="auto"/>
        <w:jc w:val="left"/>
        <w:rPr>
          <w:rFonts w:ascii="宋体" w:hAnsi="宋体"/>
          <w:sz w:val="20"/>
          <w:highlight w:val="none"/>
        </w:rPr>
      </w:pPr>
    </w:p>
    <w:p w14:paraId="78758B63">
      <w:pPr>
        <w:adjustRightInd w:val="0"/>
        <w:snapToGrid w:val="0"/>
        <w:spacing w:line="360" w:lineRule="auto"/>
        <w:jc w:val="center"/>
        <w:rPr>
          <w:rFonts w:ascii="宋体" w:hAnsi="宋体" w:eastAsia="宋体"/>
          <w:b/>
          <w:sz w:val="52"/>
          <w:szCs w:val="36"/>
          <w:highlight w:val="none"/>
        </w:rPr>
      </w:pPr>
      <w:r>
        <w:rPr>
          <w:rFonts w:hint="eastAsia" w:ascii="宋体" w:hAnsi="宋体" w:eastAsia="宋体"/>
          <w:b/>
          <w:sz w:val="52"/>
          <w:szCs w:val="36"/>
          <w:highlight w:val="none"/>
        </w:rPr>
        <w:t>培训服务合同</w:t>
      </w:r>
    </w:p>
    <w:p w14:paraId="3BE4D175">
      <w:pPr>
        <w:adjustRightInd w:val="0"/>
        <w:snapToGrid w:val="0"/>
        <w:spacing w:line="360" w:lineRule="auto"/>
        <w:jc w:val="center"/>
        <w:rPr>
          <w:rFonts w:ascii="宋体" w:hAnsi="宋体"/>
          <w:b/>
          <w:sz w:val="36"/>
          <w:szCs w:val="36"/>
          <w:highlight w:val="none"/>
        </w:rPr>
      </w:pPr>
      <w:r>
        <w:rPr>
          <w:rFonts w:hint="eastAsia" w:ascii="宋体" w:hAnsi="宋体"/>
          <w:b/>
          <w:sz w:val="36"/>
          <w:szCs w:val="36"/>
          <w:highlight w:val="none"/>
        </w:rPr>
        <w:t>(合同以双方最终签署的版本为准)</w:t>
      </w:r>
    </w:p>
    <w:p w14:paraId="70E6E385">
      <w:pPr>
        <w:adjustRightInd w:val="0"/>
        <w:snapToGrid w:val="0"/>
        <w:spacing w:line="360" w:lineRule="auto"/>
        <w:jc w:val="left"/>
        <w:rPr>
          <w:rFonts w:ascii="宋体" w:hAnsi="宋体"/>
          <w:b/>
          <w:sz w:val="36"/>
          <w:szCs w:val="36"/>
          <w:highlight w:val="none"/>
        </w:rPr>
      </w:pPr>
    </w:p>
    <w:p w14:paraId="3A74958E">
      <w:pPr>
        <w:adjustRightInd w:val="0"/>
        <w:snapToGrid w:val="0"/>
        <w:spacing w:line="360" w:lineRule="auto"/>
        <w:jc w:val="left"/>
        <w:rPr>
          <w:rFonts w:ascii="宋体" w:hAnsi="宋体"/>
          <w:b/>
          <w:sz w:val="36"/>
          <w:szCs w:val="36"/>
          <w:highlight w:val="none"/>
        </w:rPr>
      </w:pPr>
    </w:p>
    <w:p w14:paraId="333D68A8">
      <w:pPr>
        <w:adjustRightInd w:val="0"/>
        <w:snapToGrid w:val="0"/>
        <w:spacing w:line="360" w:lineRule="auto"/>
        <w:jc w:val="left"/>
        <w:rPr>
          <w:rFonts w:ascii="宋体" w:hAnsi="宋体"/>
          <w:b/>
          <w:sz w:val="36"/>
          <w:szCs w:val="36"/>
          <w:highlight w:val="none"/>
        </w:rPr>
      </w:pPr>
    </w:p>
    <w:p w14:paraId="1372E419">
      <w:pPr>
        <w:adjustRightInd w:val="0"/>
        <w:snapToGrid w:val="0"/>
        <w:spacing w:line="360" w:lineRule="auto"/>
        <w:jc w:val="left"/>
        <w:rPr>
          <w:rFonts w:ascii="宋体" w:hAnsi="宋体"/>
          <w:b/>
          <w:sz w:val="36"/>
          <w:szCs w:val="36"/>
          <w:highlight w:val="none"/>
        </w:rPr>
      </w:pPr>
    </w:p>
    <w:p w14:paraId="45C8E337">
      <w:pPr>
        <w:tabs>
          <w:tab w:val="left" w:pos="6395"/>
        </w:tabs>
        <w:adjustRightInd w:val="0"/>
        <w:snapToGrid w:val="0"/>
        <w:spacing w:line="360" w:lineRule="auto"/>
        <w:jc w:val="left"/>
        <w:rPr>
          <w:rFonts w:ascii="宋体" w:hAnsi="宋体"/>
          <w:b/>
          <w:sz w:val="36"/>
          <w:szCs w:val="36"/>
          <w:highlight w:val="none"/>
        </w:rPr>
      </w:pPr>
      <w:r>
        <w:rPr>
          <w:rFonts w:hint="eastAsia" w:ascii="宋体" w:hAnsi="宋体"/>
          <w:b/>
          <w:sz w:val="36"/>
          <w:szCs w:val="36"/>
          <w:highlight w:val="none"/>
        </w:rPr>
        <w:tab/>
      </w:r>
    </w:p>
    <w:p w14:paraId="64478D39">
      <w:pPr>
        <w:adjustRightInd w:val="0"/>
        <w:snapToGrid w:val="0"/>
        <w:spacing w:line="360" w:lineRule="auto"/>
        <w:jc w:val="left"/>
        <w:rPr>
          <w:rFonts w:ascii="宋体" w:hAnsi="宋体"/>
          <w:b/>
          <w:sz w:val="36"/>
          <w:szCs w:val="36"/>
          <w:highlight w:val="none"/>
        </w:rPr>
      </w:pPr>
    </w:p>
    <w:p w14:paraId="66F37D37">
      <w:pPr>
        <w:adjustRightInd w:val="0"/>
        <w:snapToGrid w:val="0"/>
        <w:spacing w:line="360" w:lineRule="auto"/>
        <w:jc w:val="left"/>
        <w:rPr>
          <w:rFonts w:ascii="宋体" w:hAnsi="宋体"/>
          <w:b/>
          <w:sz w:val="36"/>
          <w:szCs w:val="36"/>
          <w:highlight w:val="none"/>
        </w:rPr>
      </w:pPr>
    </w:p>
    <w:p w14:paraId="616D1E79">
      <w:pPr>
        <w:adjustRightInd w:val="0"/>
        <w:snapToGrid w:val="0"/>
        <w:spacing w:line="360" w:lineRule="auto"/>
        <w:ind w:firstLine="1687" w:firstLineChars="600"/>
        <w:jc w:val="left"/>
        <w:rPr>
          <w:rFonts w:ascii="宋体" w:hAnsi="宋体" w:eastAsia="宋体"/>
          <w:b/>
          <w:sz w:val="28"/>
          <w:szCs w:val="36"/>
          <w:highlight w:val="none"/>
        </w:rPr>
      </w:pPr>
      <w:r>
        <w:rPr>
          <w:rFonts w:hint="eastAsia" w:ascii="宋体" w:hAnsi="宋体" w:eastAsia="宋体"/>
          <w:b/>
          <w:sz w:val="28"/>
          <w:szCs w:val="36"/>
          <w:highlight w:val="none"/>
        </w:rPr>
        <w:t>甲  方：</w:t>
      </w:r>
      <w:r>
        <w:rPr>
          <w:rFonts w:ascii="宋体" w:hAnsi="宋体" w:eastAsia="宋体"/>
          <w:b/>
          <w:sz w:val="28"/>
          <w:szCs w:val="36"/>
          <w:highlight w:val="none"/>
          <w:u w:val="thick"/>
        </w:rPr>
        <w:t xml:space="preserve"> </w:t>
      </w:r>
      <w:r>
        <w:rPr>
          <w:rFonts w:hint="eastAsia" w:ascii="宋体" w:hAnsi="宋体" w:eastAsia="宋体"/>
          <w:b/>
          <w:sz w:val="28"/>
          <w:szCs w:val="36"/>
          <w:highlight w:val="none"/>
          <w:u w:val="thick"/>
        </w:rPr>
        <w:t>中国重汽集团济南</w:t>
      </w:r>
      <w:r>
        <w:rPr>
          <w:rFonts w:hint="eastAsia" w:ascii="宋体" w:hAnsi="宋体" w:eastAsia="宋体"/>
          <w:b/>
          <w:sz w:val="28"/>
          <w:szCs w:val="36"/>
          <w:highlight w:val="none"/>
          <w:u w:val="thick"/>
          <w:lang w:val="en-US" w:eastAsia="zh-CN"/>
        </w:rPr>
        <w:t>商用车</w:t>
      </w:r>
      <w:r>
        <w:rPr>
          <w:rFonts w:hint="eastAsia" w:ascii="宋体" w:hAnsi="宋体" w:eastAsia="宋体"/>
          <w:b/>
          <w:sz w:val="28"/>
          <w:szCs w:val="36"/>
          <w:highlight w:val="none"/>
          <w:u w:val="thick"/>
        </w:rPr>
        <w:t xml:space="preserve">有限公司   </w:t>
      </w:r>
      <w:r>
        <w:rPr>
          <w:rFonts w:ascii="宋体" w:hAnsi="宋体" w:eastAsia="宋体"/>
          <w:b/>
          <w:sz w:val="28"/>
          <w:szCs w:val="36"/>
          <w:highlight w:val="none"/>
        </w:rPr>
        <w:t xml:space="preserve">       </w:t>
      </w:r>
    </w:p>
    <w:p w14:paraId="67D9C9C9">
      <w:pPr>
        <w:adjustRightInd w:val="0"/>
        <w:snapToGrid w:val="0"/>
        <w:spacing w:line="360" w:lineRule="auto"/>
        <w:jc w:val="left"/>
        <w:rPr>
          <w:rFonts w:ascii="宋体" w:hAnsi="宋体" w:eastAsia="宋体"/>
          <w:b/>
          <w:sz w:val="28"/>
          <w:szCs w:val="36"/>
          <w:highlight w:val="none"/>
        </w:rPr>
      </w:pPr>
    </w:p>
    <w:p w14:paraId="67CA9639">
      <w:pPr>
        <w:adjustRightInd w:val="0"/>
        <w:snapToGrid w:val="0"/>
        <w:spacing w:line="360" w:lineRule="auto"/>
        <w:ind w:firstLine="1687" w:firstLineChars="600"/>
        <w:jc w:val="left"/>
        <w:rPr>
          <w:rFonts w:ascii="宋体" w:hAnsi="宋体" w:eastAsia="宋体"/>
          <w:b/>
          <w:sz w:val="28"/>
          <w:szCs w:val="36"/>
          <w:highlight w:val="none"/>
        </w:rPr>
      </w:pPr>
      <w:r>
        <w:rPr>
          <w:rFonts w:hint="eastAsia" w:ascii="宋体" w:hAnsi="宋体" w:eastAsia="宋体"/>
          <w:b/>
          <w:sz w:val="28"/>
          <w:szCs w:val="36"/>
          <w:highlight w:val="none"/>
        </w:rPr>
        <w:t>乙  方：</w:t>
      </w:r>
      <w:r>
        <w:rPr>
          <w:rFonts w:ascii="宋体" w:hAnsi="宋体" w:eastAsia="宋体"/>
          <w:b/>
          <w:sz w:val="28"/>
          <w:szCs w:val="36"/>
          <w:highlight w:val="none"/>
          <w:u w:val="thick"/>
        </w:rPr>
        <w:t xml:space="preserve">      </w:t>
      </w:r>
      <w:r>
        <w:rPr>
          <w:rFonts w:hint="eastAsia" w:ascii="宋体" w:hAnsi="宋体" w:eastAsia="宋体"/>
          <w:b/>
          <w:sz w:val="28"/>
          <w:szCs w:val="36"/>
          <w:highlight w:val="none"/>
          <w:u w:val="thick"/>
          <w:lang w:val="en-US" w:eastAsia="zh-CN"/>
        </w:rPr>
        <w:t xml:space="preserve">                      </w:t>
      </w:r>
      <w:r>
        <w:rPr>
          <w:rFonts w:ascii="宋体" w:hAnsi="宋体" w:eastAsia="宋体"/>
          <w:b/>
          <w:sz w:val="28"/>
          <w:szCs w:val="36"/>
          <w:highlight w:val="none"/>
          <w:u w:val="thick"/>
        </w:rPr>
        <w:t xml:space="preserve">    </w:t>
      </w:r>
      <w:r>
        <w:rPr>
          <w:rFonts w:ascii="宋体" w:hAnsi="宋体" w:eastAsia="宋体"/>
          <w:b/>
          <w:sz w:val="28"/>
          <w:szCs w:val="36"/>
          <w:highlight w:val="none"/>
        </w:rPr>
        <w:t xml:space="preserve"> </w:t>
      </w:r>
    </w:p>
    <w:p w14:paraId="55606F56">
      <w:pPr>
        <w:rPr>
          <w:rFonts w:hint="eastAsia"/>
          <w:highlight w:val="none"/>
        </w:rPr>
      </w:pPr>
      <w:r>
        <w:rPr>
          <w:rFonts w:hint="eastAsia"/>
          <w:highlight w:val="none"/>
        </w:rPr>
        <w:br w:type="page"/>
      </w:r>
    </w:p>
    <w:p w14:paraId="3647AA7A">
      <w:pPr>
        <w:pStyle w:val="71"/>
        <w:rPr>
          <w:rFonts w:hint="eastAsia"/>
          <w:highlight w:val="none"/>
        </w:rPr>
      </w:pPr>
    </w:p>
    <w:p w14:paraId="3E63F128">
      <w:pPr>
        <w:pStyle w:val="76"/>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bCs/>
          <w:highlight w:val="none"/>
          <w:lang w:val="en-US" w:eastAsia="zh-CN"/>
        </w:rPr>
      </w:pPr>
      <w:r>
        <w:rPr>
          <w:rFonts w:hint="eastAsia"/>
          <w:b/>
          <w:bCs/>
          <w:highlight w:val="none"/>
        </w:rPr>
        <w:t>甲方：中国重汽集团济南</w:t>
      </w:r>
      <w:r>
        <w:rPr>
          <w:rFonts w:hint="eastAsia"/>
          <w:b/>
          <w:bCs/>
          <w:highlight w:val="none"/>
          <w:lang w:val="en-US" w:eastAsia="zh-CN"/>
        </w:rPr>
        <w:t>商用车有限公司</w:t>
      </w:r>
    </w:p>
    <w:p w14:paraId="6E9AB638">
      <w:pPr>
        <w:pStyle w:val="76"/>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bCs/>
          <w:highlight w:val="none"/>
        </w:rPr>
      </w:pPr>
      <w:bookmarkStart w:id="41" w:name="_GoBack"/>
      <w:bookmarkEnd w:id="41"/>
      <w:r>
        <w:rPr>
          <w:rFonts w:hint="eastAsia"/>
          <w:b/>
          <w:bCs/>
          <w:highlight w:val="none"/>
        </w:rPr>
        <w:t>乙方：</w:t>
      </w:r>
    </w:p>
    <w:p w14:paraId="590998EB">
      <w:pPr>
        <w:spacing w:line="360" w:lineRule="auto"/>
        <w:ind w:firstLine="420" w:firstLineChars="200"/>
        <w:rPr>
          <w:rFonts w:ascii="微软雅黑" w:hAnsi="微软雅黑"/>
          <w:highlight w:val="none"/>
        </w:rPr>
      </w:pPr>
      <w:r>
        <w:rPr>
          <w:rFonts w:hint="eastAsia" w:ascii="微软雅黑" w:hAnsi="微软雅黑"/>
          <w:highlight w:val="none"/>
        </w:rPr>
        <w:t>甲乙双方经过友好协商，在公平、诚实、信任、平等合作、互利互惠的基础上，本着共同发展、共同进步的原则，就甲方委托乙方实施培训等事宜，双方达成如下协议：</w:t>
      </w:r>
    </w:p>
    <w:p w14:paraId="3CD02A45">
      <w:pPr>
        <w:pStyle w:val="76"/>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b/>
          <w:bCs/>
          <w:sz w:val="24"/>
          <w:szCs w:val="24"/>
          <w:highlight w:val="none"/>
        </w:rPr>
      </w:pPr>
      <w:r>
        <w:rPr>
          <w:rFonts w:hint="eastAsia" w:ascii="微软雅黑" w:hAnsi="微软雅黑" w:eastAsia="微软雅黑" w:cs="微软雅黑"/>
          <w:b/>
          <w:bCs/>
          <w:sz w:val="24"/>
          <w:szCs w:val="24"/>
          <w:highlight w:val="none"/>
          <w:lang w:val="en-US" w:eastAsia="zh-CN"/>
        </w:rPr>
        <w:t>1</w:t>
      </w:r>
      <w:r>
        <w:rPr>
          <w:rFonts w:hint="eastAsia" w:ascii="微软雅黑" w:hAnsi="微软雅黑" w:eastAsia="微软雅黑" w:cs="微软雅黑"/>
          <w:b/>
          <w:bCs/>
          <w:sz w:val="24"/>
          <w:szCs w:val="24"/>
          <w:highlight w:val="none"/>
        </w:rPr>
        <w:t>服务内容</w:t>
      </w:r>
    </w:p>
    <w:p w14:paraId="18958FD2">
      <w:pPr>
        <w:pStyle w:val="76"/>
        <w:keepNext w:val="0"/>
        <w:keepLines w:val="0"/>
        <w:pageBreakBefore w:val="0"/>
        <w:widowControl w:val="0"/>
        <w:numPr>
          <w:ilvl w:val="1"/>
          <w:numId w:val="26"/>
        </w:numPr>
        <w:kinsoku/>
        <w:wordWrap/>
        <w:overflowPunct/>
        <w:topLinePunct w:val="0"/>
        <w:autoSpaceDE/>
        <w:autoSpaceDN/>
        <w:bidi w:val="0"/>
        <w:adjustRightInd/>
        <w:snapToGrid/>
        <w:ind w:firstLine="420" w:firstLineChars="200"/>
        <w:textAlignment w:val="auto"/>
        <w:rPr>
          <w:rFonts w:hint="eastAsia"/>
          <w:highlight w:val="none"/>
        </w:rPr>
      </w:pPr>
      <w:r>
        <w:rPr>
          <w:rFonts w:hint="eastAsia"/>
          <w:highlight w:val="none"/>
        </w:rPr>
        <w:t>双方约定由乙方安排老师为甲方员工提供汽车行业</w:t>
      </w:r>
      <w:r>
        <w:rPr>
          <w:rFonts w:hint="eastAsia"/>
          <w:highlight w:val="none"/>
          <w:lang w:val="en-US" w:eastAsia="zh-CN"/>
        </w:rPr>
        <w:t>六大工具培训（5.5天/期，共1期，课程不少于44小时）、VDA6.3、VDA6.5培训</w:t>
      </w:r>
      <w:r>
        <w:rPr>
          <w:rFonts w:hint="eastAsia"/>
          <w:highlight w:val="none"/>
        </w:rPr>
        <w:t>（</w:t>
      </w:r>
      <w:r>
        <w:rPr>
          <w:rFonts w:hint="eastAsia"/>
          <w:highlight w:val="none"/>
          <w:lang w:val="en-US" w:eastAsia="zh-CN"/>
        </w:rPr>
        <w:t>1.5</w:t>
      </w:r>
      <w:r>
        <w:rPr>
          <w:rFonts w:hint="eastAsia"/>
          <w:highlight w:val="none"/>
        </w:rPr>
        <w:t>天/期，共1期，课程时长不少于</w:t>
      </w:r>
      <w:r>
        <w:rPr>
          <w:rFonts w:hint="eastAsia"/>
          <w:highlight w:val="none"/>
          <w:lang w:val="en-US" w:eastAsia="zh-CN"/>
        </w:rPr>
        <w:t>12</w:t>
      </w:r>
      <w:r>
        <w:rPr>
          <w:rFonts w:hint="eastAsia"/>
          <w:highlight w:val="none"/>
        </w:rPr>
        <w:t>小时）</w:t>
      </w:r>
      <w:r>
        <w:rPr>
          <w:rFonts w:hint="eastAsia"/>
          <w:highlight w:val="none"/>
          <w:lang w:val="en-US" w:eastAsia="zh-CN"/>
        </w:rPr>
        <w:t>的</w:t>
      </w:r>
      <w:r>
        <w:rPr>
          <w:rFonts w:hint="eastAsia"/>
          <w:highlight w:val="none"/>
        </w:rPr>
        <w:t>面授课程。</w:t>
      </w:r>
    </w:p>
    <w:p w14:paraId="7E93AA22">
      <w:pPr>
        <w:pStyle w:val="76"/>
        <w:keepNext w:val="0"/>
        <w:keepLines w:val="0"/>
        <w:pageBreakBefore w:val="0"/>
        <w:widowControl w:val="0"/>
        <w:numPr>
          <w:ilvl w:val="1"/>
          <w:numId w:val="0"/>
        </w:numPr>
        <w:kinsoku/>
        <w:wordWrap/>
        <w:overflowPunct/>
        <w:topLinePunct w:val="0"/>
        <w:autoSpaceDE/>
        <w:autoSpaceDN/>
        <w:bidi w:val="0"/>
        <w:adjustRightInd/>
        <w:snapToGrid/>
        <w:ind w:left="0" w:leftChars="0" w:firstLine="420" w:firstLineChars="200"/>
        <w:textAlignment w:val="auto"/>
        <w:rPr>
          <w:rFonts w:hint="eastAsia"/>
          <w:highlight w:val="none"/>
        </w:rPr>
      </w:pPr>
      <w:r>
        <w:rPr>
          <w:rFonts w:hint="default" w:ascii="宋体" w:hAnsi="Courier New" w:eastAsia="宋体" w:cs="Times New Roman"/>
          <w:kern w:val="2"/>
          <w:sz w:val="21"/>
          <w:highlight w:val="none"/>
          <w:lang w:val="en-US" w:eastAsia="zh-CN" w:bidi="ar-SA"/>
        </w:rPr>
        <w:t>1.2</w:t>
      </w:r>
      <w:r>
        <w:rPr>
          <w:rFonts w:hint="eastAsia"/>
          <w:highlight w:val="none"/>
        </w:rPr>
        <w:t>培训对象：甲方在职管理工程人员、质量体系内审员（约</w:t>
      </w:r>
      <w:r>
        <w:rPr>
          <w:rFonts w:hint="eastAsia"/>
          <w:highlight w:val="none"/>
          <w:lang w:val="en-US" w:eastAsia="zh-CN"/>
        </w:rPr>
        <w:t>6</w:t>
      </w:r>
      <w:r>
        <w:rPr>
          <w:rFonts w:hint="eastAsia"/>
          <w:highlight w:val="none"/>
        </w:rPr>
        <w:t>0人）</w:t>
      </w:r>
    </w:p>
    <w:p w14:paraId="3478E7BE">
      <w:pPr>
        <w:pStyle w:val="76"/>
        <w:keepNext w:val="0"/>
        <w:keepLines w:val="0"/>
        <w:pageBreakBefore w:val="0"/>
        <w:widowControl w:val="0"/>
        <w:numPr>
          <w:ilvl w:val="1"/>
          <w:numId w:val="0"/>
        </w:numPr>
        <w:kinsoku/>
        <w:wordWrap/>
        <w:overflowPunct/>
        <w:topLinePunct w:val="0"/>
        <w:autoSpaceDE/>
        <w:autoSpaceDN/>
        <w:bidi w:val="0"/>
        <w:adjustRightInd/>
        <w:snapToGrid/>
        <w:ind w:left="0" w:leftChars="0" w:firstLine="420" w:firstLineChars="200"/>
        <w:textAlignment w:val="auto"/>
        <w:rPr>
          <w:rFonts w:hint="eastAsia"/>
          <w:highlight w:val="none"/>
        </w:rPr>
      </w:pPr>
      <w:r>
        <w:rPr>
          <w:rFonts w:hint="default" w:ascii="宋体" w:hAnsi="Courier New" w:eastAsia="宋体" w:cs="Times New Roman"/>
          <w:kern w:val="2"/>
          <w:sz w:val="21"/>
          <w:highlight w:val="none"/>
          <w:lang w:val="en-US" w:eastAsia="zh-CN" w:bidi="ar-SA"/>
        </w:rPr>
        <w:t>1.3</w:t>
      </w:r>
      <w:r>
        <w:rPr>
          <w:rFonts w:hint="eastAsia"/>
          <w:highlight w:val="none"/>
        </w:rPr>
        <w:t>培训内容及要求：提供参训人数对应的纸质版培训教材（约</w:t>
      </w:r>
      <w:r>
        <w:rPr>
          <w:rFonts w:hint="eastAsia"/>
          <w:highlight w:val="none"/>
          <w:lang w:val="en-US" w:eastAsia="zh-CN"/>
        </w:rPr>
        <w:t>6</w:t>
      </w:r>
      <w:r>
        <w:rPr>
          <w:rFonts w:hint="eastAsia"/>
          <w:highlight w:val="none"/>
        </w:rPr>
        <w:t>0本）以及</w:t>
      </w:r>
      <w:r>
        <w:rPr>
          <w:rFonts w:hint="eastAsia"/>
          <w:highlight w:val="none"/>
          <w:lang w:val="en-US" w:eastAsia="zh-CN"/>
        </w:rPr>
        <w:t>相应</w:t>
      </w:r>
      <w:r>
        <w:rPr>
          <w:rFonts w:hint="eastAsia"/>
          <w:highlight w:val="none"/>
        </w:rPr>
        <w:t>证书（约</w:t>
      </w:r>
      <w:r>
        <w:rPr>
          <w:rFonts w:hint="eastAsia"/>
          <w:highlight w:val="none"/>
          <w:lang w:val="en-US" w:eastAsia="zh-CN"/>
        </w:rPr>
        <w:t>18</w:t>
      </w:r>
      <w:r>
        <w:rPr>
          <w:rFonts w:hint="eastAsia"/>
          <w:highlight w:val="none"/>
        </w:rPr>
        <w:t>0份）</w:t>
      </w:r>
    </w:p>
    <w:p w14:paraId="3F743CC6">
      <w:pPr>
        <w:pStyle w:val="76"/>
        <w:keepNext w:val="0"/>
        <w:keepLines w:val="0"/>
        <w:pageBreakBefore w:val="0"/>
        <w:widowControl w:val="0"/>
        <w:numPr>
          <w:ilvl w:val="1"/>
          <w:numId w:val="0"/>
        </w:numPr>
        <w:kinsoku/>
        <w:wordWrap/>
        <w:overflowPunct/>
        <w:topLinePunct w:val="0"/>
        <w:autoSpaceDE/>
        <w:autoSpaceDN/>
        <w:bidi w:val="0"/>
        <w:adjustRightInd/>
        <w:snapToGrid/>
        <w:ind w:left="0" w:leftChars="0" w:firstLine="420" w:firstLineChars="200"/>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kern w:val="2"/>
          <w:sz w:val="21"/>
          <w:szCs w:val="21"/>
          <w:highlight w:val="none"/>
          <w:lang w:val="en-US" w:eastAsia="zh-CN" w:bidi="ar-SA"/>
        </w:rPr>
        <w:t>1.4</w:t>
      </w:r>
      <w:r>
        <w:rPr>
          <w:rFonts w:hint="eastAsia"/>
          <w:highlight w:val="none"/>
        </w:rPr>
        <w:t>培训方式：面授课程</w:t>
      </w:r>
    </w:p>
    <w:p w14:paraId="624F5BFF">
      <w:pPr>
        <w:pStyle w:val="72"/>
        <w:numPr>
          <w:ilvl w:val="0"/>
          <w:numId w:val="0"/>
        </w:numPr>
        <w:ind w:left="422" w:leftChars="200" w:hanging="2" w:hangingChars="1"/>
        <w:rPr>
          <w:rFonts w:hint="eastAsia"/>
          <w:highlight w:val="none"/>
        </w:rPr>
      </w:pPr>
      <w:r>
        <w:rPr>
          <w:rFonts w:hint="default" w:ascii="宋体" w:hAnsi="宋体" w:eastAsia="宋体" w:cs="宋体"/>
          <w:b w:val="0"/>
          <w:bCs w:val="0"/>
          <w:kern w:val="2"/>
          <w:sz w:val="21"/>
          <w:szCs w:val="21"/>
          <w:highlight w:val="none"/>
          <w:lang w:val="en-US" w:eastAsia="zh-CN" w:bidi="ar-SA"/>
        </w:rPr>
        <w:t>1.5</w:t>
      </w:r>
      <w:r>
        <w:rPr>
          <w:rFonts w:hint="eastAsia" w:ascii="宋体" w:hAnsi="Courier New" w:eastAsia="宋体" w:cs="Times New Roman"/>
          <w:b w:val="0"/>
          <w:bCs w:val="0"/>
          <w:kern w:val="2"/>
          <w:sz w:val="21"/>
          <w:highlight w:val="none"/>
          <w:lang w:val="en-US" w:eastAsia="zh-CN" w:bidi="ar-SA"/>
        </w:rPr>
        <w:t>实施时间：</w:t>
      </w:r>
      <w:r>
        <w:rPr>
          <w:rFonts w:hint="eastAsia" w:ascii="宋体" w:hAnsi="宋体" w:eastAsia="宋体" w:cs="宋体"/>
          <w:b w:val="0"/>
          <w:bCs w:val="0"/>
          <w:sz w:val="21"/>
          <w:szCs w:val="21"/>
          <w:highlight w:val="none"/>
          <w:lang w:val="en-US" w:eastAsia="zh-CN"/>
        </w:rPr>
        <w:t>（1）2026.5.18-5.21 六大工具培训（APQP、SPC）；</w:t>
      </w:r>
      <w:r>
        <w:rPr>
          <w:rFonts w:hint="eastAsia" w:ascii="宋体" w:hAnsi="宋体" w:eastAsia="宋体" w:cs="宋体"/>
          <w:b w:val="0"/>
          <w:bCs w:val="0"/>
          <w:sz w:val="21"/>
          <w:szCs w:val="21"/>
          <w:highlight w:val="none"/>
          <w:lang w:val="en-US" w:eastAsia="zh-CN"/>
        </w:rPr>
        <w:br w:type="textWrapping"/>
      </w:r>
      <w:r>
        <w:rPr>
          <w:rFonts w:hint="eastAsia" w:ascii="宋体" w:hAnsi="宋体" w:eastAsia="宋体" w:cs="宋体"/>
          <w:b w:val="0"/>
          <w:bCs w:val="0"/>
          <w:sz w:val="21"/>
          <w:szCs w:val="21"/>
          <w:highlight w:val="none"/>
          <w:lang w:val="en-US" w:eastAsia="zh-CN"/>
        </w:rPr>
        <w:t xml:space="preserve">      （2）2026.6.8-6.10 六大工具培训（MSA）和VDA6.3、VDA6.5培训。</w:t>
      </w:r>
    </w:p>
    <w:p w14:paraId="2E1E7FB1">
      <w:pPr>
        <w:pStyle w:val="76"/>
        <w:keepNext w:val="0"/>
        <w:keepLines w:val="0"/>
        <w:pageBreakBefore w:val="0"/>
        <w:widowControl w:val="0"/>
        <w:numPr>
          <w:ilvl w:val="1"/>
          <w:numId w:val="0"/>
        </w:numPr>
        <w:kinsoku/>
        <w:wordWrap/>
        <w:overflowPunct/>
        <w:topLinePunct w:val="0"/>
        <w:autoSpaceDE/>
        <w:autoSpaceDN/>
        <w:bidi w:val="0"/>
        <w:adjustRightInd/>
        <w:snapToGrid/>
        <w:ind w:left="0" w:leftChars="0" w:firstLine="420" w:firstLineChars="200"/>
        <w:textAlignment w:val="auto"/>
        <w:rPr>
          <w:rFonts w:hint="eastAsia"/>
          <w:highlight w:val="none"/>
        </w:rPr>
      </w:pPr>
      <w:r>
        <w:rPr>
          <w:rFonts w:hint="default" w:ascii="宋体" w:hAnsi="Courier New" w:eastAsia="宋体" w:cs="Times New Roman"/>
          <w:kern w:val="2"/>
          <w:sz w:val="21"/>
          <w:highlight w:val="none"/>
          <w:lang w:val="en-US" w:eastAsia="zh-CN" w:bidi="ar-SA"/>
        </w:rPr>
        <w:t>1.6</w:t>
      </w:r>
      <w:r>
        <w:rPr>
          <w:rFonts w:hint="eastAsia"/>
          <w:highlight w:val="none"/>
        </w:rPr>
        <w:t>实施地点：</w:t>
      </w:r>
      <w:r>
        <w:rPr>
          <w:rFonts w:hint="eastAsia" w:ascii="宋体" w:hAnsi="Courier New" w:eastAsia="宋体" w:cs="Times New Roman"/>
          <w:b w:val="0"/>
          <w:bCs/>
          <w:highlight w:val="none"/>
          <w:lang w:val="en-US" w:eastAsia="zh-CN"/>
        </w:rPr>
        <w:t>山东省济南市章丘区潘王路东园区十一号路北，轻卡</w:t>
      </w:r>
      <w:r>
        <w:rPr>
          <w:rFonts w:hint="eastAsia" w:cs="Times New Roman"/>
          <w:b w:val="0"/>
          <w:bCs/>
          <w:highlight w:val="none"/>
          <w:lang w:val="en-US" w:eastAsia="zh-CN"/>
        </w:rPr>
        <w:t>制造</w:t>
      </w:r>
      <w:r>
        <w:rPr>
          <w:rFonts w:hint="eastAsia" w:ascii="宋体" w:hAnsi="Courier New" w:eastAsia="宋体" w:cs="Times New Roman"/>
          <w:b w:val="0"/>
          <w:bCs/>
          <w:highlight w:val="none"/>
          <w:lang w:val="en-US" w:eastAsia="zh-CN"/>
        </w:rPr>
        <w:t>公司</w:t>
      </w:r>
    </w:p>
    <w:p w14:paraId="23D122FD">
      <w:pPr>
        <w:pStyle w:val="76"/>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eastAsia" w:ascii="微软雅黑" w:hAnsi="微软雅黑" w:eastAsia="微软雅黑" w:cs="微软雅黑"/>
          <w:b/>
          <w:bCs/>
          <w:sz w:val="24"/>
          <w:szCs w:val="24"/>
          <w:highlight w:val="none"/>
        </w:rPr>
      </w:pPr>
      <w:r>
        <w:rPr>
          <w:rFonts w:hint="eastAsia" w:ascii="微软雅黑" w:hAnsi="微软雅黑" w:eastAsia="微软雅黑" w:cs="微软雅黑"/>
          <w:b/>
          <w:bCs/>
          <w:kern w:val="2"/>
          <w:sz w:val="24"/>
          <w:szCs w:val="24"/>
          <w:highlight w:val="none"/>
          <w:lang w:val="en-US" w:eastAsia="zh-CN" w:bidi="ar-SA"/>
        </w:rPr>
        <w:t>2</w:t>
      </w:r>
      <w:r>
        <w:rPr>
          <w:rFonts w:hint="eastAsia" w:ascii="微软雅黑" w:hAnsi="微软雅黑" w:eastAsia="微软雅黑" w:cs="微软雅黑"/>
          <w:b/>
          <w:bCs/>
          <w:sz w:val="24"/>
          <w:szCs w:val="24"/>
          <w:highlight w:val="none"/>
        </w:rPr>
        <w:t>费用及支付方式</w:t>
      </w:r>
    </w:p>
    <w:p w14:paraId="5D81FFE0">
      <w:pPr>
        <w:pStyle w:val="76"/>
        <w:keepNext w:val="0"/>
        <w:keepLines w:val="0"/>
        <w:pageBreakBefore w:val="0"/>
        <w:widowControl w:val="0"/>
        <w:numPr>
          <w:ilvl w:val="1"/>
          <w:numId w:val="20"/>
        </w:numPr>
        <w:kinsoku/>
        <w:wordWrap/>
        <w:overflowPunct/>
        <w:topLinePunct w:val="0"/>
        <w:autoSpaceDE/>
        <w:autoSpaceDN/>
        <w:bidi w:val="0"/>
        <w:adjustRightInd/>
        <w:snapToGrid/>
        <w:ind w:left="0" w:leftChars="0" w:firstLine="420" w:firstLineChars="200"/>
        <w:textAlignment w:val="auto"/>
        <w:rPr>
          <w:rFonts w:hint="eastAsia" w:ascii="宋体" w:hAnsi="Courier New" w:eastAsia="宋体" w:cs="Times New Roman"/>
          <w:b w:val="0"/>
          <w:bCs w:val="0"/>
          <w:kern w:val="2"/>
          <w:sz w:val="21"/>
          <w:highlight w:val="none"/>
          <w:lang w:val="en-US" w:eastAsia="zh-CN" w:bidi="ar-SA"/>
        </w:rPr>
      </w:pPr>
      <w:r>
        <w:rPr>
          <w:rFonts w:hint="eastAsia" w:ascii="宋体" w:hAnsi="Courier New" w:eastAsia="宋体" w:cs="Times New Roman"/>
          <w:b w:val="0"/>
          <w:bCs w:val="0"/>
          <w:kern w:val="2"/>
          <w:sz w:val="21"/>
          <w:highlight w:val="none"/>
          <w:lang w:val="en-US" w:eastAsia="zh-CN" w:bidi="ar-SA"/>
        </w:rPr>
        <w:t>本合同标的培训费用总额：【】，其中不含税金额：【】，增值税额为：【】，增值税税率为：【】。此费用为甲方就乙方提供培训服务应支付的全部费用，包括但不限于组织讲师服务费、资料费、证书费、讲师交通费及食宿费用等全部费用，除此之外，甲方无需支付任何费用。</w:t>
      </w:r>
    </w:p>
    <w:p w14:paraId="025CD399">
      <w:pPr>
        <w:pStyle w:val="76"/>
        <w:keepNext w:val="0"/>
        <w:keepLines w:val="0"/>
        <w:pageBreakBefore w:val="0"/>
        <w:widowControl w:val="0"/>
        <w:numPr>
          <w:ilvl w:val="1"/>
          <w:numId w:val="20"/>
        </w:numPr>
        <w:kinsoku/>
        <w:wordWrap/>
        <w:overflowPunct/>
        <w:topLinePunct w:val="0"/>
        <w:autoSpaceDE/>
        <w:autoSpaceDN/>
        <w:bidi w:val="0"/>
        <w:adjustRightInd/>
        <w:snapToGrid/>
        <w:ind w:left="0" w:leftChars="0" w:firstLine="420" w:firstLineChars="200"/>
        <w:textAlignment w:val="auto"/>
        <w:rPr>
          <w:rFonts w:hint="eastAsia" w:ascii="宋体" w:hAnsi="Courier New" w:eastAsia="宋体" w:cs="Times New Roman"/>
          <w:b w:val="0"/>
          <w:bCs w:val="0"/>
          <w:kern w:val="2"/>
          <w:sz w:val="21"/>
          <w:szCs w:val="20"/>
          <w:highlight w:val="none"/>
          <w:lang w:val="en-US" w:eastAsia="zh-CN" w:bidi="ar-SA"/>
        </w:rPr>
      </w:pPr>
      <w:r>
        <w:rPr>
          <w:rFonts w:hint="eastAsia" w:ascii="宋体" w:hAnsi="Courier New" w:eastAsia="宋体" w:cs="Times New Roman"/>
          <w:b w:val="0"/>
          <w:bCs w:val="0"/>
          <w:kern w:val="2"/>
          <w:sz w:val="21"/>
          <w:szCs w:val="20"/>
          <w:highlight w:val="none"/>
          <w:lang w:val="en-US" w:eastAsia="zh-CN" w:bidi="ar-SA"/>
        </w:rPr>
        <w:t>付款方式：乙方按照甲方要求培训完毕，经甲方确认通过后通知乙方开票，甲方收到乙方提供的相应金额增值税专用发票及完整报账材料后提交报账流程，甲方财务审核通过后向乙方以半年期商业汇票（包括银行承兑汇票和商业承兑汇票）支付合同金额全款，付款条件为发票挂账后   【SAP付款条件，例：立即到期、30天到期等】。因发票违规给甲方造成的增值税、所得税等损失，由乙方承担相关责任，包括但不限于税款、滞纳金、罚款及其它相关损失。</w:t>
      </w:r>
    </w:p>
    <w:p w14:paraId="6B2A801A">
      <w:pPr>
        <w:pStyle w:val="76"/>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default" w:ascii="宋体" w:hAnsi="Courier New" w:eastAsia="宋体" w:cs="Times New Roman"/>
          <w:b w:val="0"/>
          <w:bCs w:val="0"/>
          <w:kern w:val="2"/>
          <w:sz w:val="21"/>
          <w:szCs w:val="20"/>
          <w:highlight w:val="none"/>
          <w:lang w:val="en-US" w:eastAsia="zh-CN" w:bidi="ar-SA"/>
        </w:rPr>
      </w:pPr>
      <w:r>
        <w:rPr>
          <w:rFonts w:hint="eastAsia" w:cs="Times New Roman"/>
          <w:b w:val="0"/>
          <w:bCs w:val="0"/>
          <w:kern w:val="2"/>
          <w:sz w:val="21"/>
          <w:szCs w:val="20"/>
          <w:highlight w:val="none"/>
          <w:lang w:val="en-US" w:eastAsia="zh-CN" w:bidi="ar-SA"/>
        </w:rPr>
        <w:t>甲方开票信息：</w:t>
      </w:r>
    </w:p>
    <w:p w14:paraId="786250D2">
      <w:pPr>
        <w:spacing w:line="360" w:lineRule="auto"/>
        <w:ind w:firstLine="420"/>
        <w:rPr>
          <w:rFonts w:hint="eastAsia" w:cs="Times New Roman"/>
          <w:b w:val="0"/>
          <w:bCs/>
          <w:highlight w:val="none"/>
          <w:lang w:val="en-US" w:eastAsia="zh-CN"/>
        </w:rPr>
      </w:pPr>
      <w:r>
        <w:rPr>
          <w:rFonts w:hint="eastAsia" w:cs="Times New Roman"/>
          <w:b w:val="0"/>
          <w:bCs/>
          <w:highlight w:val="none"/>
          <w:lang w:val="en-US" w:eastAsia="zh-CN"/>
        </w:rPr>
        <w:t>单位名称：中国重汽集团济南商用车有限公司</w:t>
      </w:r>
    </w:p>
    <w:p w14:paraId="1C90E654">
      <w:pPr>
        <w:spacing w:line="360" w:lineRule="auto"/>
        <w:ind w:firstLine="420"/>
        <w:rPr>
          <w:rFonts w:ascii="微软雅黑" w:hAnsi="微软雅黑"/>
          <w:highlight w:val="none"/>
        </w:rPr>
      </w:pPr>
      <w:r>
        <w:rPr>
          <w:rFonts w:hint="eastAsia" w:ascii="微软雅黑" w:hAnsi="微软雅黑"/>
          <w:highlight w:val="none"/>
        </w:rPr>
        <w:t>公司税号：9137010072624213XP</w:t>
      </w:r>
    </w:p>
    <w:p w14:paraId="778FC21F">
      <w:pPr>
        <w:spacing w:line="360" w:lineRule="auto"/>
        <w:ind w:firstLine="420"/>
        <w:rPr>
          <w:rFonts w:hint="eastAsia" w:ascii="微软雅黑" w:hAnsi="微软雅黑"/>
          <w:highlight w:val="none"/>
          <w:lang w:val="en-US" w:eastAsia="zh-CN"/>
        </w:rPr>
      </w:pPr>
      <w:r>
        <w:rPr>
          <w:rFonts w:hint="eastAsia" w:ascii="微软雅黑" w:hAnsi="微软雅黑"/>
          <w:highlight w:val="none"/>
        </w:rPr>
        <w:t>公司地址及电话：山东省章丘市圣井潘王路西</w:t>
      </w:r>
      <w:r>
        <w:rPr>
          <w:rFonts w:hint="eastAsia" w:ascii="微软雅黑" w:hAnsi="微软雅黑"/>
          <w:highlight w:val="none"/>
          <w:lang w:val="en-US" w:eastAsia="zh-CN"/>
        </w:rPr>
        <w:t>/58069620</w:t>
      </w:r>
    </w:p>
    <w:p w14:paraId="41F96381">
      <w:pPr>
        <w:spacing w:line="360" w:lineRule="auto"/>
        <w:ind w:firstLine="420"/>
        <w:rPr>
          <w:rFonts w:hint="eastAsia" w:ascii="微软雅黑" w:hAnsi="微软雅黑"/>
          <w:highlight w:val="none"/>
          <w:lang w:val="en-US" w:eastAsia="zh-CN"/>
        </w:rPr>
      </w:pPr>
      <w:r>
        <w:rPr>
          <w:rFonts w:hint="eastAsia" w:ascii="微软雅黑" w:hAnsi="微软雅黑"/>
          <w:highlight w:val="none"/>
        </w:rPr>
        <w:t>开户行及账号：中信银行舜耕支行</w:t>
      </w:r>
      <w:r>
        <w:rPr>
          <w:rFonts w:hint="eastAsia" w:ascii="微软雅黑" w:hAnsi="微软雅黑"/>
          <w:highlight w:val="none"/>
          <w:lang w:val="en-US" w:eastAsia="zh-CN"/>
        </w:rPr>
        <w:t>/7372610182600034841</w:t>
      </w:r>
    </w:p>
    <w:p w14:paraId="2E79F983">
      <w:pPr>
        <w:spacing w:line="360" w:lineRule="auto"/>
        <w:ind w:firstLine="420"/>
        <w:rPr>
          <w:rFonts w:ascii="微软雅黑" w:hAnsi="微软雅黑"/>
          <w:highlight w:val="none"/>
        </w:rPr>
      </w:pPr>
      <w:r>
        <w:rPr>
          <w:rFonts w:hint="eastAsia" w:ascii="微软雅黑" w:hAnsi="微软雅黑"/>
          <w:highlight w:val="none"/>
        </w:rPr>
        <w:t>发票类型：增值税专用发票</w:t>
      </w:r>
    </w:p>
    <w:p w14:paraId="6AEEF79B">
      <w:pPr>
        <w:spacing w:line="360" w:lineRule="auto"/>
        <w:ind w:firstLine="420"/>
        <w:rPr>
          <w:rFonts w:hint="eastAsia" w:cs="Times New Roman"/>
          <w:b w:val="0"/>
          <w:bCs/>
          <w:highlight w:val="none"/>
          <w:lang w:val="en-US" w:eastAsia="zh-CN"/>
        </w:rPr>
      </w:pPr>
      <w:r>
        <w:rPr>
          <w:rFonts w:hint="eastAsia" w:ascii="微软雅黑" w:hAnsi="微软雅黑"/>
          <w:highlight w:val="none"/>
        </w:rPr>
        <w:t>发票内容：培训费</w:t>
      </w:r>
      <w:r>
        <w:rPr>
          <w:rFonts w:ascii="微软雅黑" w:hAnsi="微软雅黑"/>
          <w:highlight w:val="none"/>
        </w:rPr>
        <w:t xml:space="preserve"> </w:t>
      </w:r>
    </w:p>
    <w:p w14:paraId="70A9A948">
      <w:pPr>
        <w:spacing w:line="360" w:lineRule="auto"/>
        <w:ind w:firstLine="420"/>
        <w:rPr>
          <w:rFonts w:hint="eastAsia" w:ascii="微软雅黑" w:hAnsi="微软雅黑"/>
          <w:highlight w:val="none"/>
        </w:rPr>
      </w:pPr>
      <w:r>
        <w:rPr>
          <w:rFonts w:hint="eastAsia" w:ascii="微软雅黑" w:hAnsi="微软雅黑"/>
          <w:highlight w:val="none"/>
        </w:rPr>
        <w:t>2.3 乙方指定以下银行账户接受甲方的所有付款：</w:t>
      </w:r>
    </w:p>
    <w:p w14:paraId="208119B4">
      <w:pPr>
        <w:spacing w:line="360" w:lineRule="auto"/>
        <w:ind w:firstLine="420"/>
        <w:rPr>
          <w:rFonts w:hint="eastAsia" w:ascii="微软雅黑" w:hAnsi="微软雅黑"/>
          <w:highlight w:val="none"/>
        </w:rPr>
      </w:pPr>
      <w:r>
        <w:rPr>
          <w:rFonts w:hint="eastAsia" w:ascii="微软雅黑" w:hAnsi="微软雅黑"/>
          <w:highlight w:val="none"/>
        </w:rPr>
        <w:t>户名：【】</w:t>
      </w:r>
    </w:p>
    <w:p w14:paraId="28E55F45">
      <w:pPr>
        <w:spacing w:line="360" w:lineRule="auto"/>
        <w:ind w:firstLine="420"/>
        <w:rPr>
          <w:rFonts w:hint="eastAsia" w:ascii="微软雅黑" w:hAnsi="微软雅黑"/>
          <w:highlight w:val="none"/>
        </w:rPr>
      </w:pPr>
      <w:r>
        <w:rPr>
          <w:rFonts w:hint="eastAsia" w:ascii="微软雅黑" w:hAnsi="微软雅黑"/>
          <w:highlight w:val="none"/>
        </w:rPr>
        <w:t>账号：【】</w:t>
      </w:r>
    </w:p>
    <w:p w14:paraId="73A6B0C1">
      <w:pPr>
        <w:spacing w:line="360" w:lineRule="auto"/>
        <w:ind w:firstLine="420"/>
        <w:rPr>
          <w:rFonts w:hint="eastAsia" w:ascii="微软雅黑" w:hAnsi="微软雅黑"/>
          <w:highlight w:val="none"/>
        </w:rPr>
      </w:pPr>
      <w:r>
        <w:rPr>
          <w:rFonts w:hint="eastAsia" w:ascii="微软雅黑" w:hAnsi="微软雅黑"/>
          <w:highlight w:val="none"/>
        </w:rPr>
        <w:t>开户行：【】</w:t>
      </w:r>
    </w:p>
    <w:p w14:paraId="667B8E18">
      <w:pPr>
        <w:pStyle w:val="76"/>
        <w:keepNext w:val="0"/>
        <w:keepLines w:val="0"/>
        <w:pageBreakBefore w:val="0"/>
        <w:widowControl w:val="0"/>
        <w:numPr>
          <w:ilvl w:val="0"/>
          <w:numId w:val="0"/>
        </w:numPr>
        <w:kinsoku/>
        <w:wordWrap/>
        <w:overflowPunct/>
        <w:topLinePunct w:val="0"/>
        <w:autoSpaceDE/>
        <w:autoSpaceDN/>
        <w:bidi w:val="0"/>
        <w:adjustRightInd/>
        <w:snapToGrid/>
        <w:ind w:left="420" w:leftChars="200" w:firstLine="0" w:firstLineChars="0"/>
        <w:textAlignment w:val="auto"/>
        <w:rPr>
          <w:rFonts w:hint="eastAsia" w:ascii="微软雅黑" w:hAnsi="微软雅黑" w:eastAsia="微软雅黑" w:cs="微软雅黑"/>
          <w:b/>
          <w:bCs/>
          <w:sz w:val="24"/>
          <w:szCs w:val="24"/>
          <w:highlight w:val="none"/>
        </w:rPr>
      </w:pPr>
      <w:r>
        <w:rPr>
          <w:rFonts w:hint="eastAsia" w:ascii="微软雅黑" w:hAnsi="微软雅黑" w:eastAsia="微软雅黑" w:cs="微软雅黑"/>
          <w:b/>
          <w:bCs/>
          <w:kern w:val="2"/>
          <w:sz w:val="24"/>
          <w:szCs w:val="24"/>
          <w:highlight w:val="none"/>
          <w:lang w:val="en-US" w:eastAsia="zh-CN" w:bidi="ar-SA"/>
        </w:rPr>
        <w:t>3</w:t>
      </w:r>
      <w:r>
        <w:rPr>
          <w:rFonts w:hint="eastAsia" w:ascii="微软雅黑" w:hAnsi="微软雅黑" w:eastAsia="微软雅黑" w:cs="微软雅黑"/>
          <w:b/>
          <w:bCs/>
          <w:sz w:val="24"/>
          <w:szCs w:val="24"/>
          <w:highlight w:val="none"/>
        </w:rPr>
        <w:t>双方权利义务</w:t>
      </w:r>
    </w:p>
    <w:p w14:paraId="5FC368F4">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rPr>
      </w:pPr>
      <w:r>
        <w:rPr>
          <w:rFonts w:hint="eastAsia"/>
          <w:highlight w:val="none"/>
          <w:lang w:val="en-US" w:eastAsia="zh-CN"/>
        </w:rPr>
        <w:t>3.1</w:t>
      </w:r>
      <w:r>
        <w:rPr>
          <w:rFonts w:hint="eastAsia"/>
          <w:highlight w:val="none"/>
        </w:rPr>
        <w:t>甲方的权利义务</w:t>
      </w:r>
    </w:p>
    <w:p w14:paraId="1341FE39">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rPr>
      </w:pPr>
      <w:r>
        <w:rPr>
          <w:rFonts w:hint="eastAsia"/>
          <w:highlight w:val="none"/>
          <w:lang w:val="en-US" w:eastAsia="zh-CN"/>
        </w:rPr>
        <w:t>1)</w:t>
      </w:r>
      <w:r>
        <w:rPr>
          <w:rFonts w:hint="eastAsia"/>
          <w:highlight w:val="none"/>
        </w:rPr>
        <w:t>甲方有权事先对乙方提供的培训课件和资料进行审核，提出修改意见和建议。</w:t>
      </w:r>
    </w:p>
    <w:p w14:paraId="50D47C84">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rPr>
      </w:pPr>
      <w:r>
        <w:rPr>
          <w:rFonts w:hint="eastAsia"/>
          <w:highlight w:val="none"/>
          <w:lang w:val="en-US" w:eastAsia="zh-CN"/>
        </w:rPr>
        <w:t>2)</w:t>
      </w:r>
      <w:r>
        <w:rPr>
          <w:rFonts w:hint="eastAsia"/>
          <w:highlight w:val="none"/>
        </w:rPr>
        <w:t>甲方有权并征得乙方同意，对乙方的培训效果进行现场评价，评价采取计分法，满分为100分。得分≥85分的，按合同履行金额100%支付；80≤总得分＜85分，按合同履行金额80%支付；总得分＜80分，按合同履行金额60%支付，并取消其继续合作资格。</w:t>
      </w:r>
    </w:p>
    <w:p w14:paraId="130611F2">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rPr>
      </w:pPr>
      <w:r>
        <w:rPr>
          <w:rFonts w:hint="eastAsia"/>
          <w:highlight w:val="none"/>
          <w:lang w:val="en-US" w:eastAsia="zh-CN"/>
        </w:rPr>
        <w:t>3)</w:t>
      </w:r>
      <w:r>
        <w:rPr>
          <w:rFonts w:hint="eastAsia"/>
          <w:highlight w:val="none"/>
        </w:rPr>
        <w:t>甲方负责指定培训联系负责人，负责与乙方进行相关工作的业务联系，如发现问题应及时与乙方联系，协商解决。</w:t>
      </w:r>
    </w:p>
    <w:p w14:paraId="5A7A58B1">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rPr>
      </w:pPr>
      <w:r>
        <w:rPr>
          <w:rFonts w:hint="eastAsia"/>
          <w:highlight w:val="none"/>
          <w:lang w:val="en-US" w:eastAsia="zh-CN"/>
        </w:rPr>
        <w:t>4)</w:t>
      </w:r>
      <w:r>
        <w:rPr>
          <w:rFonts w:hint="eastAsia"/>
          <w:highlight w:val="none"/>
        </w:rPr>
        <w:t>甲方提供人员教育培训的课程内容与要求，组织人员参加培训。并提供培训场地和培训所需器材。乙方将在培训日前的5日书面通知甲方培训所需器材和其它必要准备工作。</w:t>
      </w:r>
    </w:p>
    <w:p w14:paraId="3168A45E">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rPr>
      </w:pPr>
      <w:r>
        <w:rPr>
          <w:rFonts w:hint="eastAsia"/>
          <w:highlight w:val="none"/>
        </w:rPr>
        <w:t>3）甲方未能按本合同约定时间组织学员上课，导致授课时间延迟的，可通过甲乙双方来共同协商另改时间，如培训取消，甲方应向乙方支付合同总价5%的违约金。</w:t>
      </w:r>
    </w:p>
    <w:p w14:paraId="4C7F6739">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rPr>
      </w:pPr>
      <w:r>
        <w:rPr>
          <w:rFonts w:hint="eastAsia"/>
          <w:highlight w:val="none"/>
        </w:rPr>
        <w:t>4）甲方应协助乙方在培训期间的管理工作，并对乙方培训实施过程进行监督。</w:t>
      </w:r>
    </w:p>
    <w:p w14:paraId="1CEDF63C">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rPr>
      </w:pPr>
      <w:r>
        <w:rPr>
          <w:rFonts w:hint="eastAsia"/>
          <w:highlight w:val="none"/>
        </w:rPr>
        <w:t>5）甲方应当按照本合同约定按时向乙方支付合同金额。</w:t>
      </w:r>
    </w:p>
    <w:p w14:paraId="77927D67">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rPr>
      </w:pPr>
      <w:r>
        <w:rPr>
          <w:rFonts w:hint="eastAsia"/>
          <w:highlight w:val="none"/>
          <w:lang w:val="en-US" w:eastAsia="zh-CN"/>
        </w:rPr>
        <w:t>3.2</w:t>
      </w:r>
      <w:r>
        <w:rPr>
          <w:rFonts w:hint="eastAsia"/>
          <w:highlight w:val="none"/>
        </w:rPr>
        <w:t>乙方的权利义务</w:t>
      </w:r>
    </w:p>
    <w:p w14:paraId="38A151FC">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rPr>
      </w:pPr>
      <w:r>
        <w:rPr>
          <w:rFonts w:hint="eastAsia"/>
          <w:highlight w:val="none"/>
          <w:lang w:val="en-US" w:eastAsia="zh-CN"/>
        </w:rPr>
        <w:t>1)</w:t>
      </w:r>
      <w:r>
        <w:rPr>
          <w:rFonts w:hint="eastAsia"/>
          <w:highlight w:val="none"/>
        </w:rPr>
        <w:t>乙方应当保证按照甲方要求选派专业人员开展本次培训，未经甲方允许不随意变更培训讲师，并按甲方培训要求及合同约定提供完善尽职、专业的培训服务，确保讲师及工作人员准时到场，并有效组织控制培训课程顺利进行，保证培训质量。</w:t>
      </w:r>
    </w:p>
    <w:p w14:paraId="6C376E9E">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rPr>
      </w:pPr>
      <w:r>
        <w:rPr>
          <w:rFonts w:hint="eastAsia"/>
          <w:highlight w:val="none"/>
          <w:lang w:val="en-US" w:eastAsia="zh-CN"/>
        </w:rPr>
        <w:t>2)</w:t>
      </w:r>
      <w:r>
        <w:rPr>
          <w:rFonts w:hint="eastAsia"/>
          <w:highlight w:val="none"/>
        </w:rPr>
        <w:t>乙方负责制作培训讲义等文件，在培训开展之前发给甲方培训班负责人。</w:t>
      </w:r>
    </w:p>
    <w:p w14:paraId="7AB76FE4">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rPr>
      </w:pPr>
      <w:r>
        <w:rPr>
          <w:rFonts w:hint="eastAsia"/>
          <w:highlight w:val="none"/>
          <w:lang w:val="en-US" w:eastAsia="zh-CN"/>
        </w:rPr>
        <w:t>3)</w:t>
      </w:r>
      <w:r>
        <w:rPr>
          <w:rFonts w:hint="eastAsia"/>
          <w:highlight w:val="none"/>
        </w:rPr>
        <w:t>乙方负责课程设计和教材的提供，确保每位学员都有完整的教材，且教材费用包含在培训费中；乙方安排培训后的笔试试题及试卷。</w:t>
      </w:r>
    </w:p>
    <w:p w14:paraId="1815E847">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rPr>
      </w:pPr>
      <w:r>
        <w:rPr>
          <w:rFonts w:hint="eastAsia"/>
          <w:highlight w:val="none"/>
          <w:lang w:val="en-US" w:eastAsia="zh-CN"/>
        </w:rPr>
        <w:t>4)</w:t>
      </w:r>
      <w:r>
        <w:rPr>
          <w:rFonts w:hint="eastAsia"/>
          <w:highlight w:val="none"/>
        </w:rPr>
        <w:t>乙方应当保证提供的文件和培训内容不侵犯任何第三方的知识产权等相关权利，若因乙方提供文件或培训内容发生纠纷的，由乙方负责处理，并承担全部责任。</w:t>
      </w:r>
    </w:p>
    <w:p w14:paraId="4C017D0C">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rPr>
      </w:pPr>
      <w:r>
        <w:rPr>
          <w:rFonts w:hint="eastAsia"/>
          <w:highlight w:val="none"/>
          <w:lang w:val="en-US" w:eastAsia="zh-CN"/>
        </w:rPr>
        <w:t>5)</w:t>
      </w:r>
      <w:r>
        <w:rPr>
          <w:rFonts w:hint="eastAsia"/>
          <w:highlight w:val="none"/>
        </w:rPr>
        <w:t>乙方应保证乙方讲师在培训过程中不使用敏感性、迷惑性、煽动性等不当言论或其他法律、法规禁止的情形，否则甲方有权单方解除合同并要求乙方承担因此给甲方造成的全部损失，出现此类情形所产生的所有法律责任由乙方承担，与甲方无关。</w:t>
      </w:r>
    </w:p>
    <w:p w14:paraId="4E8FFE84">
      <w:pPr>
        <w:pStyle w:val="76"/>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eastAsia" w:ascii="微软雅黑" w:hAnsi="微软雅黑" w:eastAsia="微软雅黑" w:cs="微软雅黑"/>
          <w:b/>
          <w:bCs/>
          <w:kern w:val="2"/>
          <w:sz w:val="24"/>
          <w:szCs w:val="24"/>
          <w:highlight w:val="none"/>
          <w:lang w:val="en-US" w:eastAsia="zh-CN" w:bidi="ar-SA"/>
        </w:rPr>
      </w:pPr>
      <w:r>
        <w:rPr>
          <w:rFonts w:hint="eastAsia" w:ascii="微软雅黑" w:hAnsi="微软雅黑" w:eastAsia="微软雅黑" w:cs="微软雅黑"/>
          <w:b/>
          <w:bCs/>
          <w:kern w:val="2"/>
          <w:sz w:val="24"/>
          <w:szCs w:val="24"/>
          <w:highlight w:val="none"/>
          <w:lang w:val="en-US" w:eastAsia="zh-CN" w:bidi="ar-SA"/>
        </w:rPr>
        <w:t>4确认条款</w:t>
      </w:r>
    </w:p>
    <w:p w14:paraId="32576AE3">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highlight w:val="none"/>
          <w:lang w:val="en-US" w:eastAsia="zh-CN"/>
        </w:rPr>
      </w:pPr>
      <w:r>
        <w:rPr>
          <w:rFonts w:hint="eastAsia"/>
          <w:highlight w:val="none"/>
        </w:rPr>
        <w:t>培训完成后5个工作日内，乙方向甲方提交书面培训服务确认单，甲方应当在收到确认单后15日内向乙方提供盖章确认单。</w:t>
      </w:r>
    </w:p>
    <w:p w14:paraId="38C9EA16">
      <w:pPr>
        <w:pStyle w:val="76"/>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eastAsia" w:ascii="微软雅黑" w:hAnsi="微软雅黑" w:eastAsia="微软雅黑" w:cs="微软雅黑"/>
          <w:b/>
          <w:bCs/>
          <w:kern w:val="2"/>
          <w:sz w:val="24"/>
          <w:szCs w:val="24"/>
          <w:highlight w:val="none"/>
          <w:lang w:val="en-US" w:eastAsia="zh-CN" w:bidi="ar-SA"/>
        </w:rPr>
      </w:pPr>
      <w:r>
        <w:rPr>
          <w:rFonts w:hint="eastAsia" w:ascii="微软雅黑" w:hAnsi="微软雅黑" w:eastAsia="微软雅黑" w:cs="微软雅黑"/>
          <w:b/>
          <w:bCs/>
          <w:kern w:val="2"/>
          <w:sz w:val="24"/>
          <w:szCs w:val="24"/>
          <w:highlight w:val="none"/>
          <w:lang w:val="en-US" w:eastAsia="zh-CN" w:bidi="ar-SA"/>
        </w:rPr>
        <w:t>5违约责任</w:t>
      </w:r>
    </w:p>
    <w:p w14:paraId="0F3B689F">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rPr>
      </w:pPr>
      <w:r>
        <w:rPr>
          <w:rFonts w:hint="eastAsia"/>
          <w:highlight w:val="none"/>
          <w:lang w:val="en-US" w:eastAsia="zh-CN"/>
        </w:rPr>
        <w:t>5.1</w:t>
      </w:r>
      <w:r>
        <w:rPr>
          <w:rFonts w:hint="eastAsia"/>
          <w:highlight w:val="none"/>
        </w:rPr>
        <w:t>任一方未履行或未完全履行其在本协议项下的义务和责任，即构成违约。除本合同另有约定外，守约方有权要求违约方进行赔偿，违约方应赔偿守约方因该等损害所发生的任何损失、损害、责任、成本或支出，包括但不限于合理的诉讼/仲裁费用和律师费。</w:t>
      </w:r>
    </w:p>
    <w:p w14:paraId="6BC7A102">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rPr>
      </w:pPr>
      <w:r>
        <w:rPr>
          <w:rFonts w:hint="eastAsia"/>
          <w:highlight w:val="none"/>
          <w:lang w:val="en-US" w:eastAsia="zh-CN"/>
        </w:rPr>
        <w:t>5.2</w:t>
      </w:r>
      <w:r>
        <w:rPr>
          <w:rFonts w:hint="eastAsia"/>
          <w:highlight w:val="none"/>
        </w:rPr>
        <w:t>甲方未按照本合同约定期限足额支付合同价款的，每逾期一日，甲方应向乙方支付合同价款千分之五的违约金。逾期超过十五日，乙方有权解除本合同。乙方未按照本合同约定提供培训服务的，每逾期一日，乙方应返还甲方已支付的培训费用并向甲方支付合同价款千分之五的违约金。违约超过十五日的，甲方有权解除本合同。</w:t>
      </w:r>
    </w:p>
    <w:p w14:paraId="7970D4E0">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rPr>
      </w:pPr>
      <w:r>
        <w:rPr>
          <w:rFonts w:hint="eastAsia"/>
          <w:highlight w:val="none"/>
          <w:lang w:val="en-US" w:eastAsia="zh-CN"/>
        </w:rPr>
        <w:t>5.3</w:t>
      </w:r>
      <w:r>
        <w:rPr>
          <w:rFonts w:hint="eastAsia"/>
          <w:highlight w:val="none"/>
        </w:rPr>
        <w:t>因不可抗力导致的双方无法履行义务的情况，责任方应予以免责，但应在不可抗力消失的情况下积极履行义务。</w:t>
      </w:r>
    </w:p>
    <w:p w14:paraId="29850E12">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rPr>
      </w:pPr>
      <w:r>
        <w:rPr>
          <w:rFonts w:hint="eastAsia"/>
          <w:highlight w:val="none"/>
          <w:lang w:val="en-US" w:eastAsia="zh-CN"/>
        </w:rPr>
        <w:t>5.4</w:t>
      </w:r>
      <w:r>
        <w:rPr>
          <w:rFonts w:hint="eastAsia"/>
          <w:highlight w:val="none"/>
        </w:rPr>
        <w:t>如果乙方违反本合同约定（含附件，如有）的，除应按本合同约定赔偿损失及违约金外，还应赔偿包括但不限于甲方因此支出的或预计支付的诉讼费、保全申请费、保全保险费、鉴定费、评估费、司法审计费、拍卖费、律师费等一切费用。</w:t>
      </w:r>
    </w:p>
    <w:p w14:paraId="4B632950">
      <w:pPr>
        <w:pStyle w:val="76"/>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eastAsia" w:ascii="微软雅黑" w:hAnsi="微软雅黑" w:eastAsia="微软雅黑" w:cs="微软雅黑"/>
          <w:b/>
          <w:bCs/>
          <w:kern w:val="2"/>
          <w:sz w:val="24"/>
          <w:szCs w:val="24"/>
          <w:highlight w:val="none"/>
          <w:lang w:val="en-US" w:eastAsia="zh-CN" w:bidi="ar-SA"/>
        </w:rPr>
      </w:pPr>
      <w:r>
        <w:rPr>
          <w:rFonts w:hint="eastAsia" w:ascii="微软雅黑" w:hAnsi="微软雅黑" w:eastAsia="微软雅黑" w:cs="微软雅黑"/>
          <w:b/>
          <w:bCs/>
          <w:kern w:val="2"/>
          <w:sz w:val="24"/>
          <w:szCs w:val="24"/>
          <w:highlight w:val="none"/>
          <w:lang w:val="en-US" w:eastAsia="zh-CN" w:bidi="ar-SA"/>
        </w:rPr>
        <w:t>6信息保密</w:t>
      </w:r>
    </w:p>
    <w:p w14:paraId="513D8233">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rPr>
      </w:pPr>
      <w:r>
        <w:rPr>
          <w:rFonts w:hint="eastAsia"/>
          <w:highlight w:val="none"/>
          <w:lang w:val="en-US" w:eastAsia="zh-CN"/>
        </w:rPr>
        <w:t>6.1</w:t>
      </w:r>
      <w:r>
        <w:rPr>
          <w:rFonts w:hint="eastAsia"/>
          <w:highlight w:val="none"/>
        </w:rPr>
        <w:t>除本合同另有约定的以外，任何一方在本合同履行的过程中，或为履行本合同的需要，从对方所获得的、有关对方或属于对方的保密信息，包括但不限于管理的方式、方法与资料、产品技术资料、客户名单、销售渠道、企业战略、及其他被认为是保密的信息。</w:t>
      </w:r>
    </w:p>
    <w:p w14:paraId="61FB7284">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rPr>
      </w:pPr>
      <w:r>
        <w:rPr>
          <w:rFonts w:hint="eastAsia"/>
          <w:highlight w:val="none"/>
          <w:lang w:val="en-US" w:eastAsia="zh-CN"/>
        </w:rPr>
        <w:t>6.2</w:t>
      </w:r>
      <w:r>
        <w:rPr>
          <w:rFonts w:hint="eastAsia"/>
          <w:highlight w:val="none"/>
        </w:rPr>
        <w:t>双方同意，其应并应确保其关联方以及其各自的及其关联方的高级职员、董事、雇员、代理人、代表、会计和法律顾问将其收到或获得的任何保密信息作为机密资料处理，</w:t>
      </w:r>
      <w:bookmarkStart w:id="26" w:name="_DV_M288"/>
      <w:bookmarkEnd w:id="26"/>
      <w:r>
        <w:rPr>
          <w:rFonts w:hint="eastAsia"/>
          <w:highlight w:val="none"/>
        </w:rPr>
        <w:t>予以保密，除非</w:t>
      </w:r>
      <w:bookmarkStart w:id="27" w:name="_DV_C65"/>
      <w:r>
        <w:rPr>
          <w:rFonts w:hint="eastAsia"/>
          <w:highlight w:val="none"/>
        </w:rPr>
        <w:t>得到另一方的事先书面允许，或者</w:t>
      </w:r>
      <w:bookmarkEnd w:id="27"/>
      <w:bookmarkStart w:id="28" w:name="_DV_M289"/>
      <w:bookmarkEnd w:id="28"/>
      <w:r>
        <w:rPr>
          <w:rFonts w:hint="eastAsia"/>
          <w:highlight w:val="none"/>
        </w:rPr>
        <w:t>根据司法、行政程序或其他法律法规、监管机构要求</w:t>
      </w:r>
      <w:bookmarkStart w:id="29" w:name="_DV_C66"/>
      <w:r>
        <w:rPr>
          <w:rFonts w:hint="eastAsia"/>
          <w:highlight w:val="none"/>
        </w:rPr>
        <w:t>，</w:t>
      </w:r>
      <w:bookmarkEnd w:id="29"/>
      <w:bookmarkStart w:id="30" w:name="_DV_M290"/>
      <w:bookmarkEnd w:id="30"/>
      <w:r>
        <w:rPr>
          <w:rFonts w:hint="eastAsia"/>
          <w:highlight w:val="none"/>
        </w:rPr>
        <w:t>不得</w:t>
      </w:r>
      <w:bookmarkStart w:id="31" w:name="_DV_C68"/>
      <w:r>
        <w:rPr>
          <w:rFonts w:hint="eastAsia"/>
          <w:highlight w:val="none"/>
        </w:rPr>
        <w:t>向任何第三方</w:t>
      </w:r>
      <w:bookmarkEnd w:id="31"/>
      <w:bookmarkStart w:id="32" w:name="_DV_M291"/>
      <w:bookmarkEnd w:id="32"/>
      <w:r>
        <w:rPr>
          <w:rFonts w:hint="eastAsia"/>
          <w:highlight w:val="none"/>
        </w:rPr>
        <w:t>披露或使用。</w:t>
      </w:r>
    </w:p>
    <w:p w14:paraId="3751B0C6">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rPr>
      </w:pPr>
      <w:r>
        <w:rPr>
          <w:rFonts w:hint="eastAsia"/>
          <w:highlight w:val="none"/>
          <w:lang w:val="en-US" w:eastAsia="zh-CN"/>
        </w:rPr>
        <w:t>6.3</w:t>
      </w:r>
      <w:r>
        <w:rPr>
          <w:rFonts w:hint="eastAsia"/>
          <w:highlight w:val="none"/>
        </w:rPr>
        <w:t>保密信息不应包括任何以下信息：</w:t>
      </w:r>
    </w:p>
    <w:p w14:paraId="33EB250F">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rPr>
      </w:pPr>
      <w:r>
        <w:rPr>
          <w:rFonts w:hint="eastAsia"/>
          <w:highlight w:val="none"/>
          <w:lang w:val="en-US" w:eastAsia="zh-CN"/>
        </w:rPr>
        <w:t>1)</w:t>
      </w:r>
      <w:r>
        <w:rPr>
          <w:rFonts w:hint="eastAsia"/>
          <w:highlight w:val="none"/>
        </w:rPr>
        <w:t>由一方当事人在不违反本合同的情况下通过合法途径独立获得的信息；</w:t>
      </w:r>
    </w:p>
    <w:p w14:paraId="50D6FDF7">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rPr>
      </w:pPr>
      <w:r>
        <w:rPr>
          <w:rFonts w:hint="eastAsia"/>
          <w:highlight w:val="none"/>
          <w:lang w:val="en-US" w:eastAsia="zh-CN"/>
        </w:rPr>
        <w:t>2)</w:t>
      </w:r>
      <w:r>
        <w:rPr>
          <w:rFonts w:hint="eastAsia"/>
          <w:highlight w:val="none"/>
        </w:rPr>
        <w:t>经过对方事先书面同意而披露的信息；</w:t>
      </w:r>
    </w:p>
    <w:p w14:paraId="39F0A866">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rPr>
      </w:pPr>
      <w:r>
        <w:rPr>
          <w:rFonts w:hint="eastAsia"/>
          <w:highlight w:val="none"/>
          <w:lang w:val="en-US" w:eastAsia="zh-CN"/>
        </w:rPr>
        <w:t>3)</w:t>
      </w:r>
      <w:r>
        <w:rPr>
          <w:rFonts w:hint="eastAsia"/>
          <w:highlight w:val="none"/>
        </w:rPr>
        <w:t>该信息非因一方当事人的过错而成为公共信息；</w:t>
      </w:r>
    </w:p>
    <w:p w14:paraId="0FC63E03">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rPr>
      </w:pPr>
      <w:r>
        <w:rPr>
          <w:rFonts w:hint="eastAsia"/>
          <w:highlight w:val="none"/>
          <w:lang w:val="en-US" w:eastAsia="zh-CN"/>
        </w:rPr>
        <w:t>4)</w:t>
      </w:r>
      <w:r>
        <w:rPr>
          <w:rFonts w:hint="eastAsia"/>
          <w:highlight w:val="none"/>
        </w:rPr>
        <w:t>一方当事人从不负有保密义务的第三方处合法取得该信息。</w:t>
      </w:r>
    </w:p>
    <w:p w14:paraId="501EBA24">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rPr>
      </w:pPr>
      <w:r>
        <w:rPr>
          <w:rFonts w:hint="eastAsia"/>
          <w:highlight w:val="none"/>
          <w:lang w:val="en-US" w:eastAsia="zh-CN"/>
        </w:rPr>
        <w:t>6.4</w:t>
      </w:r>
      <w:r>
        <w:rPr>
          <w:rFonts w:hint="eastAsia"/>
          <w:highlight w:val="none"/>
        </w:rPr>
        <w:t>经甲方审核书面同意后乙方可在相关的宣传或出版物中使用甲方作为案例进行市场推广行为，但不得出现甲方的保密信息和保密数据，也不得用作他用。遵照此例，甲方在条件许可情况下，经审核并书面同意后可允许乙方的客户参观项目，并客观公正地评价项目的执行情况。</w:t>
      </w:r>
    </w:p>
    <w:p w14:paraId="58D0BAFD">
      <w:pPr>
        <w:pStyle w:val="76"/>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eastAsia" w:ascii="微软雅黑" w:hAnsi="微软雅黑" w:eastAsia="微软雅黑" w:cs="微软雅黑"/>
          <w:b/>
          <w:bCs/>
          <w:kern w:val="2"/>
          <w:sz w:val="24"/>
          <w:szCs w:val="24"/>
          <w:highlight w:val="none"/>
          <w:lang w:val="en-US" w:eastAsia="zh-CN" w:bidi="ar-SA"/>
        </w:rPr>
      </w:pPr>
      <w:r>
        <w:rPr>
          <w:rFonts w:hint="eastAsia" w:ascii="微软雅黑" w:hAnsi="微软雅黑" w:eastAsia="微软雅黑" w:cs="微软雅黑"/>
          <w:b/>
          <w:bCs/>
          <w:kern w:val="2"/>
          <w:sz w:val="24"/>
          <w:szCs w:val="24"/>
          <w:highlight w:val="none"/>
          <w:lang w:val="en-US" w:eastAsia="zh-CN" w:bidi="ar-SA"/>
        </w:rPr>
        <w:t>7合同的终止</w:t>
      </w:r>
    </w:p>
    <w:p w14:paraId="1AB8FF50">
      <w:pPr>
        <w:pStyle w:val="76"/>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eastAsia" w:ascii="宋体" w:hAnsi="Courier New" w:eastAsia="宋体" w:cs="Times New Roman"/>
          <w:b w:val="0"/>
          <w:bCs w:val="0"/>
          <w:kern w:val="2"/>
          <w:sz w:val="21"/>
          <w:szCs w:val="20"/>
          <w:highlight w:val="none"/>
          <w:lang w:val="en-US" w:eastAsia="zh-CN" w:bidi="ar-SA"/>
        </w:rPr>
      </w:pPr>
      <w:r>
        <w:rPr>
          <w:rFonts w:hint="eastAsia" w:cs="Times New Roman"/>
          <w:b w:val="0"/>
          <w:bCs w:val="0"/>
          <w:kern w:val="2"/>
          <w:sz w:val="21"/>
          <w:szCs w:val="20"/>
          <w:highlight w:val="none"/>
          <w:lang w:val="en-US" w:eastAsia="zh-CN" w:bidi="ar-SA"/>
        </w:rPr>
        <w:t>7.1除非</w:t>
      </w:r>
      <w:r>
        <w:rPr>
          <w:rFonts w:hint="eastAsia" w:ascii="宋体" w:hAnsi="Courier New" w:eastAsia="宋体" w:cs="Times New Roman"/>
          <w:b w:val="0"/>
          <w:bCs w:val="0"/>
          <w:kern w:val="2"/>
          <w:sz w:val="21"/>
          <w:szCs w:val="20"/>
          <w:highlight w:val="none"/>
          <w:lang w:val="en-US" w:eastAsia="zh-CN" w:bidi="ar-SA"/>
        </w:rPr>
        <w:t>本合同另有约定，否则本合同于双方履行完毕各自的义务后终止；</w:t>
      </w:r>
    </w:p>
    <w:p w14:paraId="408CFF01">
      <w:pPr>
        <w:pStyle w:val="76"/>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eastAsia" w:ascii="宋体" w:hAnsi="Courier New" w:eastAsia="宋体" w:cs="Times New Roman"/>
          <w:b w:val="0"/>
          <w:bCs w:val="0"/>
          <w:kern w:val="2"/>
          <w:sz w:val="21"/>
          <w:szCs w:val="20"/>
          <w:highlight w:val="none"/>
          <w:lang w:val="en-US" w:eastAsia="zh-CN" w:bidi="ar-SA"/>
        </w:rPr>
      </w:pPr>
      <w:r>
        <w:rPr>
          <w:rFonts w:hint="eastAsia" w:cs="Times New Roman"/>
          <w:b w:val="0"/>
          <w:bCs w:val="0"/>
          <w:kern w:val="2"/>
          <w:sz w:val="21"/>
          <w:szCs w:val="20"/>
          <w:highlight w:val="none"/>
          <w:lang w:val="en-US" w:eastAsia="zh-CN" w:bidi="ar-SA"/>
        </w:rPr>
        <w:t>7.2</w:t>
      </w:r>
      <w:r>
        <w:rPr>
          <w:rFonts w:hint="eastAsia" w:ascii="宋体" w:hAnsi="Courier New" w:eastAsia="宋体" w:cs="Times New Roman"/>
          <w:b w:val="0"/>
          <w:bCs w:val="0"/>
          <w:kern w:val="2"/>
          <w:sz w:val="21"/>
          <w:szCs w:val="20"/>
          <w:highlight w:val="none"/>
          <w:lang w:val="en-US" w:eastAsia="zh-CN" w:bidi="ar-SA"/>
        </w:rPr>
        <w:t>除本合同另有约定外，在下述情况下，守约方可书面通知另一方立即终止本合同：</w:t>
      </w:r>
    </w:p>
    <w:p w14:paraId="374C895D">
      <w:pPr>
        <w:spacing w:line="360" w:lineRule="auto"/>
        <w:ind w:firstLine="420"/>
        <w:rPr>
          <w:rFonts w:hint="eastAsia" w:ascii="宋体" w:hAnsi="Courier New" w:eastAsia="宋体" w:cs="Times New Roman"/>
          <w:b w:val="0"/>
          <w:bCs w:val="0"/>
          <w:kern w:val="2"/>
          <w:sz w:val="21"/>
          <w:szCs w:val="20"/>
          <w:highlight w:val="none"/>
          <w:lang w:val="en-US" w:eastAsia="zh-CN" w:bidi="ar-SA"/>
        </w:rPr>
      </w:pPr>
      <w:r>
        <w:rPr>
          <w:rFonts w:hint="eastAsia" w:ascii="宋体" w:hAnsi="Courier New" w:eastAsia="宋体" w:cs="Times New Roman"/>
          <w:b w:val="0"/>
          <w:bCs w:val="0"/>
          <w:kern w:val="2"/>
          <w:sz w:val="21"/>
          <w:szCs w:val="20"/>
          <w:highlight w:val="none"/>
          <w:lang w:val="en-US" w:eastAsia="zh-CN" w:bidi="ar-SA"/>
        </w:rPr>
        <w:t>1)</w:t>
      </w:r>
      <w:r>
        <w:rPr>
          <w:rFonts w:hint="eastAsia" w:ascii="宋体" w:hAnsi="Courier New" w:eastAsia="宋体" w:cs="Times New Roman"/>
          <w:b w:val="0"/>
          <w:bCs w:val="0"/>
          <w:kern w:val="2"/>
          <w:sz w:val="21"/>
          <w:szCs w:val="20"/>
          <w:highlight w:val="none"/>
          <w:lang w:val="en-US" w:eastAsia="zh-CN" w:bidi="ar-SA"/>
        </w:rPr>
        <w:tab/>
      </w:r>
      <w:r>
        <w:rPr>
          <w:rFonts w:hint="eastAsia" w:ascii="宋体" w:hAnsi="Courier New" w:eastAsia="宋体" w:cs="Times New Roman"/>
          <w:b w:val="0"/>
          <w:bCs w:val="0"/>
          <w:kern w:val="2"/>
          <w:sz w:val="21"/>
          <w:szCs w:val="20"/>
          <w:highlight w:val="none"/>
          <w:lang w:val="en-US" w:eastAsia="zh-CN" w:bidi="ar-SA"/>
        </w:rPr>
        <w:t>在履行期限届满之前，一方明确表示或者以自己的行为表明不履行主要义务；</w:t>
      </w:r>
    </w:p>
    <w:p w14:paraId="742B4B0D">
      <w:pPr>
        <w:spacing w:line="360" w:lineRule="auto"/>
        <w:ind w:firstLine="420"/>
        <w:rPr>
          <w:rFonts w:hint="eastAsia" w:ascii="宋体" w:hAnsi="Courier New" w:eastAsia="宋体" w:cs="Times New Roman"/>
          <w:b w:val="0"/>
          <w:bCs w:val="0"/>
          <w:kern w:val="2"/>
          <w:sz w:val="21"/>
          <w:szCs w:val="20"/>
          <w:highlight w:val="none"/>
          <w:lang w:val="en-US" w:eastAsia="zh-CN" w:bidi="ar-SA"/>
        </w:rPr>
      </w:pPr>
      <w:r>
        <w:rPr>
          <w:rFonts w:hint="eastAsia" w:ascii="宋体" w:hAnsi="Courier New" w:eastAsia="宋体" w:cs="Times New Roman"/>
          <w:b w:val="0"/>
          <w:bCs w:val="0"/>
          <w:kern w:val="2"/>
          <w:sz w:val="21"/>
          <w:szCs w:val="20"/>
          <w:highlight w:val="none"/>
          <w:lang w:val="en-US" w:eastAsia="zh-CN" w:bidi="ar-SA"/>
        </w:rPr>
        <w:t>2)</w:t>
      </w:r>
      <w:r>
        <w:rPr>
          <w:rFonts w:hint="eastAsia" w:ascii="宋体" w:hAnsi="Courier New" w:eastAsia="宋体" w:cs="Times New Roman"/>
          <w:b w:val="0"/>
          <w:bCs w:val="0"/>
          <w:kern w:val="2"/>
          <w:sz w:val="21"/>
          <w:szCs w:val="20"/>
          <w:highlight w:val="none"/>
          <w:lang w:val="en-US" w:eastAsia="zh-CN" w:bidi="ar-SA"/>
        </w:rPr>
        <w:tab/>
      </w:r>
      <w:r>
        <w:rPr>
          <w:rFonts w:hint="eastAsia" w:ascii="宋体" w:hAnsi="Courier New" w:eastAsia="宋体" w:cs="Times New Roman"/>
          <w:b w:val="0"/>
          <w:bCs w:val="0"/>
          <w:kern w:val="2"/>
          <w:sz w:val="21"/>
          <w:szCs w:val="20"/>
          <w:highlight w:val="none"/>
          <w:lang w:val="en-US" w:eastAsia="zh-CN" w:bidi="ar-SA"/>
        </w:rPr>
        <w:t>一方迟延履行主要义务，经催告后在30日内仍未履行；</w:t>
      </w:r>
    </w:p>
    <w:p w14:paraId="06067D3A">
      <w:pPr>
        <w:spacing w:line="360" w:lineRule="auto"/>
        <w:ind w:firstLine="420"/>
        <w:rPr>
          <w:rFonts w:hint="eastAsia" w:ascii="宋体" w:hAnsi="Courier New" w:eastAsia="宋体" w:cs="Times New Roman"/>
          <w:b w:val="0"/>
          <w:bCs w:val="0"/>
          <w:kern w:val="2"/>
          <w:sz w:val="21"/>
          <w:szCs w:val="20"/>
          <w:highlight w:val="none"/>
          <w:lang w:val="en-US" w:eastAsia="zh-CN" w:bidi="ar-SA"/>
        </w:rPr>
      </w:pPr>
      <w:r>
        <w:rPr>
          <w:rFonts w:hint="eastAsia" w:ascii="宋体" w:hAnsi="Courier New" w:eastAsia="宋体" w:cs="Times New Roman"/>
          <w:b w:val="0"/>
          <w:bCs w:val="0"/>
          <w:kern w:val="2"/>
          <w:sz w:val="21"/>
          <w:szCs w:val="20"/>
          <w:highlight w:val="none"/>
          <w:lang w:val="en-US" w:eastAsia="zh-CN" w:bidi="ar-SA"/>
        </w:rPr>
        <w:t>3)</w:t>
      </w:r>
      <w:r>
        <w:rPr>
          <w:rFonts w:hint="eastAsia" w:ascii="宋体" w:hAnsi="Courier New" w:eastAsia="宋体" w:cs="Times New Roman"/>
          <w:b w:val="0"/>
          <w:bCs w:val="0"/>
          <w:kern w:val="2"/>
          <w:sz w:val="21"/>
          <w:szCs w:val="20"/>
          <w:highlight w:val="none"/>
          <w:lang w:val="en-US" w:eastAsia="zh-CN" w:bidi="ar-SA"/>
        </w:rPr>
        <w:tab/>
      </w:r>
      <w:r>
        <w:rPr>
          <w:rFonts w:hint="eastAsia" w:ascii="宋体" w:hAnsi="Courier New" w:eastAsia="宋体" w:cs="Times New Roman"/>
          <w:b w:val="0"/>
          <w:bCs w:val="0"/>
          <w:kern w:val="2"/>
          <w:sz w:val="21"/>
          <w:szCs w:val="20"/>
          <w:highlight w:val="none"/>
          <w:lang w:val="en-US" w:eastAsia="zh-CN" w:bidi="ar-SA"/>
        </w:rPr>
        <w:t>一方停业、清算、解散或破产。</w:t>
      </w:r>
    </w:p>
    <w:p w14:paraId="679F7AD6">
      <w:pPr>
        <w:spacing w:line="360" w:lineRule="auto"/>
        <w:ind w:firstLine="420"/>
        <w:rPr>
          <w:rFonts w:hint="eastAsia" w:ascii="宋体" w:hAnsi="Courier New" w:eastAsia="宋体" w:cs="Times New Roman"/>
          <w:b w:val="0"/>
          <w:bCs w:val="0"/>
          <w:kern w:val="2"/>
          <w:sz w:val="21"/>
          <w:szCs w:val="20"/>
          <w:highlight w:val="none"/>
          <w:lang w:val="en-US" w:eastAsia="zh-CN" w:bidi="ar-SA"/>
        </w:rPr>
      </w:pPr>
      <w:r>
        <w:rPr>
          <w:rFonts w:hint="eastAsia" w:ascii="宋体" w:hAnsi="Courier New" w:eastAsia="宋体" w:cs="Times New Roman"/>
          <w:b w:val="0"/>
          <w:bCs w:val="0"/>
          <w:kern w:val="2"/>
          <w:sz w:val="21"/>
          <w:szCs w:val="20"/>
          <w:highlight w:val="none"/>
          <w:lang w:val="en-US" w:eastAsia="zh-CN" w:bidi="ar-SA"/>
        </w:rPr>
        <w:t>合同终止并不免除违约方依据本合同应承担的违约责任。</w:t>
      </w:r>
    </w:p>
    <w:p w14:paraId="38385DA9">
      <w:pPr>
        <w:pStyle w:val="76"/>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eastAsia" w:ascii="微软雅黑" w:hAnsi="微软雅黑" w:eastAsia="微软雅黑" w:cs="微软雅黑"/>
          <w:b/>
          <w:bCs/>
          <w:kern w:val="2"/>
          <w:sz w:val="24"/>
          <w:szCs w:val="24"/>
          <w:highlight w:val="none"/>
          <w:lang w:val="en-US" w:eastAsia="zh-CN" w:bidi="ar-SA"/>
        </w:rPr>
      </w:pPr>
      <w:r>
        <w:rPr>
          <w:rFonts w:hint="eastAsia" w:ascii="微软雅黑" w:hAnsi="微软雅黑" w:eastAsia="微软雅黑" w:cs="微软雅黑"/>
          <w:b/>
          <w:bCs/>
          <w:kern w:val="2"/>
          <w:sz w:val="24"/>
          <w:szCs w:val="24"/>
          <w:highlight w:val="none"/>
          <w:lang w:val="en-US" w:eastAsia="zh-CN" w:bidi="ar-SA"/>
        </w:rPr>
        <w:t>8不可抗力</w:t>
      </w:r>
    </w:p>
    <w:p w14:paraId="5AEBDB0F">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rPr>
      </w:pPr>
      <w:r>
        <w:rPr>
          <w:rFonts w:hint="eastAsia"/>
          <w:highlight w:val="none"/>
          <w:lang w:val="en-US" w:eastAsia="zh-CN"/>
        </w:rPr>
        <w:t>8.1</w:t>
      </w:r>
      <w:r>
        <w:rPr>
          <w:rFonts w:hint="eastAsia"/>
          <w:highlight w:val="none"/>
        </w:rPr>
        <w:t>出现不可抗力事件时，遭遇不可抗力一方应于该事件发生之日起 5 日内向对方以书面形式发出通知（通讯条件允许的情况下），并告知对方该类事件对本合同可能产生的影响，且向其提供不可抗力发生地政府部门出具的证明文件。</w:t>
      </w:r>
    </w:p>
    <w:p w14:paraId="01CC268F">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rPr>
      </w:pPr>
      <w:r>
        <w:rPr>
          <w:rFonts w:hint="eastAsia"/>
          <w:highlight w:val="none"/>
          <w:lang w:val="en-US" w:eastAsia="zh-CN"/>
        </w:rPr>
        <w:t>8.2</w:t>
      </w:r>
      <w:r>
        <w:rPr>
          <w:rFonts w:hint="eastAsia"/>
          <w:highlight w:val="none"/>
        </w:rPr>
        <w:t>由于以上所述不可抗力事件致使合同的部分或全部不能履行或延迟履行，甲乙双方彼此间互不追究因不可抗力而导致合同不能履行的违约责任。</w:t>
      </w:r>
    </w:p>
    <w:p w14:paraId="52CD05DA">
      <w:pPr>
        <w:pStyle w:val="76"/>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eastAsia" w:ascii="微软雅黑" w:hAnsi="微软雅黑" w:eastAsia="微软雅黑" w:cs="微软雅黑"/>
          <w:b/>
          <w:bCs/>
          <w:kern w:val="2"/>
          <w:sz w:val="24"/>
          <w:szCs w:val="24"/>
          <w:highlight w:val="none"/>
          <w:lang w:val="en-US" w:eastAsia="zh-CN" w:bidi="ar-SA"/>
        </w:rPr>
      </w:pPr>
      <w:r>
        <w:rPr>
          <w:rFonts w:hint="eastAsia" w:ascii="微软雅黑" w:hAnsi="微软雅黑" w:eastAsia="微软雅黑" w:cs="微软雅黑"/>
          <w:b/>
          <w:bCs/>
          <w:kern w:val="2"/>
          <w:sz w:val="24"/>
          <w:szCs w:val="24"/>
          <w:highlight w:val="none"/>
          <w:lang w:val="en-US" w:eastAsia="zh-CN" w:bidi="ar-SA"/>
        </w:rPr>
        <w:t>9廉洁承诺</w:t>
      </w:r>
    </w:p>
    <w:p w14:paraId="2CA99292">
      <w:pPr>
        <w:spacing w:line="360" w:lineRule="auto"/>
        <w:ind w:firstLine="420"/>
        <w:rPr>
          <w:rFonts w:ascii="微软雅黑" w:hAnsi="微软雅黑"/>
          <w:highlight w:val="none"/>
        </w:rPr>
      </w:pPr>
      <w:r>
        <w:rPr>
          <w:rFonts w:hint="eastAsia" w:ascii="微软雅黑" w:hAnsi="微软雅黑"/>
          <w:highlight w:val="none"/>
        </w:rPr>
        <w:t>甲乙双方承诺共同遵守国家法律法规。坚持廉洁、诚信的原则，恪守商业道德和职业道德规范。甲乙各方及关联人员均不得以任何方式贿赂对方人员，若违反本承诺即构成违约，违约方需承担违约责任。</w:t>
      </w:r>
    </w:p>
    <w:p w14:paraId="5E656A98">
      <w:pPr>
        <w:pStyle w:val="76"/>
        <w:keepNext w:val="0"/>
        <w:keepLines w:val="0"/>
        <w:pageBreakBefore w:val="0"/>
        <w:widowControl w:val="0"/>
        <w:numPr>
          <w:ilvl w:val="0"/>
          <w:numId w:val="0"/>
        </w:numPr>
        <w:kinsoku/>
        <w:wordWrap/>
        <w:overflowPunct/>
        <w:topLinePunct w:val="0"/>
        <w:autoSpaceDE/>
        <w:autoSpaceDN/>
        <w:bidi w:val="0"/>
        <w:adjustRightInd/>
        <w:snapToGrid/>
        <w:ind w:left="420" w:leftChars="200"/>
        <w:textAlignment w:val="auto"/>
        <w:rPr>
          <w:rFonts w:hint="eastAsia" w:ascii="微软雅黑" w:hAnsi="微软雅黑" w:eastAsia="微软雅黑" w:cs="微软雅黑"/>
          <w:b/>
          <w:bCs/>
          <w:kern w:val="2"/>
          <w:sz w:val="24"/>
          <w:szCs w:val="24"/>
          <w:highlight w:val="none"/>
          <w:lang w:val="en-US" w:eastAsia="zh-CN" w:bidi="ar-SA"/>
        </w:rPr>
      </w:pPr>
      <w:r>
        <w:rPr>
          <w:rFonts w:hint="eastAsia" w:ascii="微软雅黑" w:hAnsi="微软雅黑" w:eastAsia="微软雅黑" w:cs="微软雅黑"/>
          <w:b/>
          <w:bCs/>
          <w:kern w:val="2"/>
          <w:sz w:val="24"/>
          <w:szCs w:val="24"/>
          <w:highlight w:val="none"/>
          <w:lang w:val="en-US" w:eastAsia="zh-CN" w:bidi="ar-SA"/>
        </w:rPr>
        <w:t>10争议的解决</w:t>
      </w:r>
    </w:p>
    <w:p w14:paraId="7F759C88">
      <w:pPr>
        <w:pStyle w:val="3"/>
        <w:numPr>
          <w:ilvl w:val="0"/>
          <w:numId w:val="0"/>
        </w:numPr>
        <w:spacing w:before="0" w:after="0" w:line="360" w:lineRule="auto"/>
        <w:ind w:left="840" w:leftChars="0" w:hanging="420" w:firstLineChars="0"/>
        <w:rPr>
          <w:rFonts w:hint="eastAsia" w:ascii="宋体" w:hAnsi="Courier New" w:eastAsia="宋体" w:cs="Times New Roman"/>
          <w:b w:val="0"/>
          <w:bCs w:val="0"/>
          <w:kern w:val="2"/>
          <w:sz w:val="21"/>
          <w:szCs w:val="20"/>
          <w:highlight w:val="none"/>
          <w:lang w:val="en-US" w:eastAsia="zh-CN" w:bidi="ar-SA"/>
        </w:rPr>
      </w:pPr>
      <w:r>
        <w:rPr>
          <w:rFonts w:hint="eastAsia" w:ascii="微软雅黑" w:hAnsi="微软雅黑" w:eastAsia="微软雅黑" w:cs="Times New Roman"/>
          <w:b w:val="0"/>
          <w:bCs/>
          <w:kern w:val="2"/>
          <w:sz w:val="21"/>
          <w:szCs w:val="32"/>
          <w:highlight w:val="none"/>
          <w:lang w:val="en-US" w:eastAsia="zh-CN" w:bidi="ar-SA"/>
        </w:rPr>
        <w:t>1</w:t>
      </w:r>
      <w:r>
        <w:rPr>
          <w:rFonts w:hint="eastAsia" w:ascii="宋体" w:hAnsi="Courier New" w:eastAsia="宋体" w:cs="Times New Roman"/>
          <w:b w:val="0"/>
          <w:bCs w:val="0"/>
          <w:kern w:val="2"/>
          <w:sz w:val="21"/>
          <w:szCs w:val="20"/>
          <w:highlight w:val="none"/>
          <w:lang w:val="en-US" w:eastAsia="zh-CN" w:bidi="ar-SA"/>
        </w:rPr>
        <w:t>0.1双方就本合同所发生的任何争议，应秉承友好合作的精神协商解决，协商无法达成一致的，任何一方可向原告方所在地人民法院提起诉讼。</w:t>
      </w:r>
    </w:p>
    <w:p w14:paraId="5A68EA21">
      <w:pPr>
        <w:pStyle w:val="3"/>
        <w:numPr>
          <w:ilvl w:val="0"/>
          <w:numId w:val="0"/>
        </w:numPr>
        <w:spacing w:before="0" w:after="0" w:line="360" w:lineRule="auto"/>
        <w:ind w:left="840" w:leftChars="0" w:hanging="420" w:firstLineChars="0"/>
        <w:rPr>
          <w:rFonts w:hint="eastAsia" w:ascii="宋体" w:hAnsi="Courier New" w:eastAsia="宋体" w:cs="Times New Roman"/>
          <w:b w:val="0"/>
          <w:bCs w:val="0"/>
          <w:kern w:val="2"/>
          <w:sz w:val="21"/>
          <w:szCs w:val="20"/>
          <w:highlight w:val="none"/>
          <w:lang w:val="en-US" w:eastAsia="zh-CN" w:bidi="ar-SA"/>
        </w:rPr>
      </w:pPr>
      <w:r>
        <w:rPr>
          <w:rFonts w:hint="eastAsia" w:ascii="宋体" w:hAnsi="Courier New" w:eastAsia="宋体" w:cs="Times New Roman"/>
          <w:b w:val="0"/>
          <w:bCs w:val="0"/>
          <w:kern w:val="2"/>
          <w:sz w:val="21"/>
          <w:szCs w:val="20"/>
          <w:highlight w:val="none"/>
          <w:lang w:val="en-US" w:eastAsia="zh-CN" w:bidi="ar-SA"/>
        </w:rPr>
        <w:t>10.2除正在进行诉讼的部分外，本合同其他部分应继续执行。</w:t>
      </w:r>
    </w:p>
    <w:p w14:paraId="24FADEAD">
      <w:pPr>
        <w:pStyle w:val="3"/>
        <w:numPr>
          <w:ilvl w:val="0"/>
          <w:numId w:val="0"/>
        </w:numPr>
        <w:spacing w:before="0" w:after="0" w:line="360" w:lineRule="auto"/>
        <w:ind w:left="840" w:leftChars="0" w:hanging="420" w:firstLineChars="0"/>
        <w:rPr>
          <w:rFonts w:hint="eastAsia" w:ascii="宋体" w:hAnsi="Courier New" w:eastAsia="宋体" w:cs="Times New Roman"/>
          <w:b w:val="0"/>
          <w:bCs w:val="0"/>
          <w:kern w:val="2"/>
          <w:sz w:val="21"/>
          <w:szCs w:val="20"/>
          <w:highlight w:val="none"/>
          <w:lang w:val="en-US" w:eastAsia="zh-CN" w:bidi="ar-SA"/>
        </w:rPr>
      </w:pPr>
      <w:r>
        <w:rPr>
          <w:rFonts w:hint="eastAsia" w:ascii="宋体" w:hAnsi="Courier New" w:eastAsia="宋体" w:cs="Times New Roman"/>
          <w:b w:val="0"/>
          <w:bCs w:val="0"/>
          <w:kern w:val="2"/>
          <w:sz w:val="21"/>
          <w:szCs w:val="20"/>
          <w:highlight w:val="none"/>
          <w:lang w:val="en-US" w:eastAsia="zh-CN" w:bidi="ar-SA"/>
        </w:rPr>
        <w:t>10.3案件受理费用、公证费用、保全费用、律师费、差旅费等与诉讼有关的费用由败诉的一方承担。</w:t>
      </w:r>
    </w:p>
    <w:p w14:paraId="312BA35C">
      <w:pPr>
        <w:spacing w:line="360" w:lineRule="auto"/>
        <w:ind w:firstLine="420" w:firstLineChars="200"/>
        <w:rPr>
          <w:rFonts w:hint="eastAsia" w:ascii="宋体" w:hAnsi="Courier New" w:eastAsia="宋体" w:cs="Times New Roman"/>
          <w:b w:val="0"/>
          <w:bCs w:val="0"/>
          <w:kern w:val="2"/>
          <w:sz w:val="21"/>
          <w:szCs w:val="20"/>
          <w:highlight w:val="none"/>
          <w:lang w:val="en-US" w:eastAsia="zh-CN" w:bidi="ar-SA"/>
        </w:rPr>
      </w:pPr>
      <w:r>
        <w:rPr>
          <w:rFonts w:hint="eastAsia" w:ascii="宋体" w:hAnsi="Courier New" w:eastAsia="宋体" w:cs="Times New Roman"/>
          <w:b w:val="0"/>
          <w:bCs w:val="0"/>
          <w:kern w:val="2"/>
          <w:sz w:val="21"/>
          <w:szCs w:val="20"/>
          <w:highlight w:val="none"/>
          <w:lang w:val="en-US" w:eastAsia="zh-CN" w:bidi="ar-SA"/>
        </w:rPr>
        <w:t>双方确认，对于本合同项下服务或合作内容相关的通知、评价、验收、保密等文件，项目负责人通过书面、邮件等方式的签字、确认均视为双方的正式意见，具有法律效力。</w:t>
      </w:r>
    </w:p>
    <w:p w14:paraId="458E7EE9">
      <w:pPr>
        <w:spacing w:line="360" w:lineRule="auto"/>
        <w:ind w:firstLine="420"/>
        <w:rPr>
          <w:rFonts w:hint="eastAsia" w:ascii="宋体" w:hAnsi="Courier New" w:eastAsia="宋体" w:cs="Times New Roman"/>
          <w:b w:val="0"/>
          <w:bCs w:val="0"/>
          <w:kern w:val="2"/>
          <w:sz w:val="21"/>
          <w:szCs w:val="20"/>
          <w:highlight w:val="none"/>
          <w:lang w:val="en-US" w:eastAsia="zh-CN" w:bidi="ar-SA"/>
        </w:rPr>
      </w:pPr>
      <w:bookmarkStart w:id="33" w:name="_DV_M287"/>
      <w:bookmarkEnd w:id="33"/>
      <w:r>
        <w:rPr>
          <w:rFonts w:hint="eastAsia" w:ascii="宋体" w:hAnsi="Courier New" w:eastAsia="宋体" w:cs="Times New Roman"/>
          <w:b w:val="0"/>
          <w:bCs w:val="0"/>
          <w:kern w:val="2"/>
          <w:sz w:val="21"/>
          <w:szCs w:val="20"/>
          <w:highlight w:val="none"/>
          <w:lang w:val="en-US" w:eastAsia="zh-CN" w:bidi="ar-SA"/>
        </w:rPr>
        <w:t>本合同未尽事宜，双方可进一步协商，并签订补充协议或附件，补充协议或附件与本合同具有同等法律效力。本合同一式肆份，甲乙双方各持贰份，具有同等法律效力。经双方法定代表人或授权代表签字盖章后生效。</w:t>
      </w:r>
    </w:p>
    <w:p w14:paraId="75374471">
      <w:pPr>
        <w:spacing w:line="360" w:lineRule="auto"/>
        <w:ind w:firstLine="422" w:firstLineChars="200"/>
        <w:rPr>
          <w:rFonts w:ascii="宋体" w:hAnsi="宋体" w:eastAsia="宋体" w:cs="宋体"/>
          <w:b/>
          <w:szCs w:val="21"/>
          <w:highlight w:val="none"/>
        </w:rPr>
      </w:pPr>
      <w:r>
        <w:rPr>
          <w:rFonts w:hint="eastAsia" w:ascii="宋体" w:hAnsi="宋体" w:eastAsia="宋体" w:cs="宋体"/>
          <w:b/>
          <w:szCs w:val="21"/>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57FDAEB0">
      <w:pPr>
        <w:spacing w:line="360" w:lineRule="auto"/>
        <w:ind w:firstLine="422" w:firstLineChars="200"/>
        <w:rPr>
          <w:rFonts w:ascii="宋体" w:hAnsi="宋体" w:eastAsia="宋体" w:cs="宋体"/>
          <w:b/>
          <w:szCs w:val="21"/>
          <w:highlight w:val="none"/>
        </w:rPr>
      </w:pPr>
      <w:r>
        <w:rPr>
          <w:rFonts w:hint="eastAsia" w:ascii="宋体" w:hAnsi="宋体" w:eastAsia="宋体" w:cs="宋体"/>
          <w:b/>
          <w:szCs w:val="21"/>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6A94F426">
      <w:pPr>
        <w:spacing w:line="360" w:lineRule="auto"/>
        <w:ind w:firstLine="420"/>
        <w:rPr>
          <w:rFonts w:ascii="微软雅黑" w:hAnsi="微软雅黑" w:cs="Arial"/>
          <w:highlight w:val="none"/>
        </w:rPr>
      </w:pPr>
      <w:r>
        <w:rPr>
          <w:rFonts w:hint="eastAsia" w:ascii="微软雅黑" w:hAnsi="微软雅黑" w:cs="Arial"/>
          <w:highlight w:val="none"/>
        </w:rPr>
        <w:t>【以下无正文】</w:t>
      </w:r>
    </w:p>
    <w:tbl>
      <w:tblPr>
        <w:tblStyle w:val="30"/>
        <w:tblW w:w="5000" w:type="pct"/>
        <w:tblInd w:w="0" w:type="dxa"/>
        <w:tblLayout w:type="autofit"/>
        <w:tblCellMar>
          <w:top w:w="0" w:type="dxa"/>
          <w:left w:w="108" w:type="dxa"/>
          <w:bottom w:w="0" w:type="dxa"/>
          <w:right w:w="108" w:type="dxa"/>
        </w:tblCellMar>
      </w:tblPr>
      <w:tblGrid>
        <w:gridCol w:w="2219"/>
        <w:gridCol w:w="2424"/>
        <w:gridCol w:w="2173"/>
        <w:gridCol w:w="2470"/>
      </w:tblGrid>
      <w:tr w14:paraId="0E53C633">
        <w:tblPrEx>
          <w:tblCellMar>
            <w:top w:w="0" w:type="dxa"/>
            <w:left w:w="108" w:type="dxa"/>
            <w:bottom w:w="0" w:type="dxa"/>
            <w:right w:w="108" w:type="dxa"/>
          </w:tblCellMar>
        </w:tblPrEx>
        <w:trPr>
          <w:trHeight w:val="717" w:hRule="atLeast"/>
        </w:trPr>
        <w:tc>
          <w:tcPr>
            <w:tcW w:w="1195" w:type="pct"/>
            <w:vAlign w:val="center"/>
          </w:tcPr>
          <w:p w14:paraId="509254DB">
            <w:pPr>
              <w:spacing w:line="360" w:lineRule="auto"/>
              <w:rPr>
                <w:rFonts w:ascii="微软雅黑" w:hAnsi="微软雅黑"/>
                <w:szCs w:val="21"/>
                <w:highlight w:val="none"/>
              </w:rPr>
            </w:pPr>
            <w:r>
              <w:rPr>
                <w:rFonts w:hint="eastAsia" w:ascii="微软雅黑" w:hAnsi="微软雅黑"/>
                <w:szCs w:val="21"/>
                <w:highlight w:val="none"/>
              </w:rPr>
              <w:t>甲方（盖章）：</w:t>
            </w:r>
          </w:p>
        </w:tc>
        <w:tc>
          <w:tcPr>
            <w:tcW w:w="1305" w:type="pct"/>
            <w:vAlign w:val="center"/>
          </w:tcPr>
          <w:p w14:paraId="69DC6F07">
            <w:pPr>
              <w:spacing w:line="360" w:lineRule="auto"/>
              <w:rPr>
                <w:rFonts w:ascii="微软雅黑" w:hAnsi="微软雅黑"/>
                <w:szCs w:val="21"/>
                <w:highlight w:val="none"/>
              </w:rPr>
            </w:pPr>
          </w:p>
        </w:tc>
        <w:tc>
          <w:tcPr>
            <w:tcW w:w="1170" w:type="pct"/>
            <w:vAlign w:val="center"/>
          </w:tcPr>
          <w:p w14:paraId="655FA744">
            <w:pPr>
              <w:spacing w:line="360" w:lineRule="auto"/>
              <w:rPr>
                <w:rFonts w:ascii="微软雅黑" w:hAnsi="微软雅黑"/>
                <w:szCs w:val="21"/>
                <w:highlight w:val="none"/>
              </w:rPr>
            </w:pPr>
            <w:r>
              <w:rPr>
                <w:rFonts w:hint="eastAsia" w:ascii="微软雅黑" w:hAnsi="微软雅黑"/>
                <w:szCs w:val="21"/>
                <w:highlight w:val="none"/>
              </w:rPr>
              <w:t>乙方（盖章）：</w:t>
            </w:r>
          </w:p>
        </w:tc>
        <w:tc>
          <w:tcPr>
            <w:tcW w:w="1330" w:type="pct"/>
            <w:vAlign w:val="center"/>
          </w:tcPr>
          <w:p w14:paraId="15EBCE1B">
            <w:pPr>
              <w:spacing w:line="360" w:lineRule="auto"/>
              <w:rPr>
                <w:rFonts w:ascii="微软雅黑" w:hAnsi="微软雅黑"/>
                <w:szCs w:val="21"/>
                <w:highlight w:val="none"/>
              </w:rPr>
            </w:pPr>
          </w:p>
        </w:tc>
      </w:tr>
      <w:tr w14:paraId="0459447E">
        <w:tblPrEx>
          <w:tblCellMar>
            <w:top w:w="0" w:type="dxa"/>
            <w:left w:w="108" w:type="dxa"/>
            <w:bottom w:w="0" w:type="dxa"/>
            <w:right w:w="108" w:type="dxa"/>
          </w:tblCellMar>
        </w:tblPrEx>
        <w:trPr>
          <w:trHeight w:val="1079" w:hRule="atLeast"/>
        </w:trPr>
        <w:tc>
          <w:tcPr>
            <w:tcW w:w="1195" w:type="pct"/>
            <w:vAlign w:val="center"/>
          </w:tcPr>
          <w:p w14:paraId="17A3D2FF">
            <w:pPr>
              <w:spacing w:line="360" w:lineRule="auto"/>
              <w:rPr>
                <w:rFonts w:ascii="微软雅黑" w:hAnsi="微软雅黑"/>
                <w:szCs w:val="21"/>
                <w:highlight w:val="none"/>
              </w:rPr>
            </w:pPr>
            <w:r>
              <w:rPr>
                <w:rFonts w:hint="eastAsia" w:ascii="微软雅黑" w:hAnsi="微软雅黑"/>
                <w:szCs w:val="21"/>
                <w:highlight w:val="none"/>
              </w:rPr>
              <w:t>法定代表人或授权代表（签字）：</w:t>
            </w:r>
          </w:p>
        </w:tc>
        <w:tc>
          <w:tcPr>
            <w:tcW w:w="1305" w:type="pct"/>
            <w:vAlign w:val="center"/>
          </w:tcPr>
          <w:p w14:paraId="2F91E016">
            <w:pPr>
              <w:spacing w:line="360" w:lineRule="auto"/>
              <w:rPr>
                <w:rFonts w:ascii="微软雅黑" w:hAnsi="微软雅黑"/>
                <w:szCs w:val="21"/>
                <w:highlight w:val="none"/>
              </w:rPr>
            </w:pPr>
          </w:p>
        </w:tc>
        <w:tc>
          <w:tcPr>
            <w:tcW w:w="1170" w:type="pct"/>
            <w:vAlign w:val="center"/>
          </w:tcPr>
          <w:p w14:paraId="520C4351">
            <w:pPr>
              <w:spacing w:line="360" w:lineRule="auto"/>
              <w:rPr>
                <w:rFonts w:ascii="微软雅黑" w:hAnsi="微软雅黑"/>
                <w:szCs w:val="21"/>
                <w:highlight w:val="none"/>
              </w:rPr>
            </w:pPr>
            <w:r>
              <w:rPr>
                <w:rFonts w:hint="eastAsia" w:ascii="微软雅黑" w:hAnsi="微软雅黑"/>
                <w:szCs w:val="21"/>
                <w:highlight w:val="none"/>
              </w:rPr>
              <w:t>法定代表人或授权代表（签字）：</w:t>
            </w:r>
          </w:p>
        </w:tc>
        <w:tc>
          <w:tcPr>
            <w:tcW w:w="1330" w:type="pct"/>
            <w:vAlign w:val="center"/>
          </w:tcPr>
          <w:p w14:paraId="16C9140A">
            <w:pPr>
              <w:spacing w:line="360" w:lineRule="auto"/>
              <w:rPr>
                <w:rFonts w:ascii="微软雅黑" w:hAnsi="微软雅黑"/>
                <w:szCs w:val="21"/>
                <w:highlight w:val="none"/>
              </w:rPr>
            </w:pPr>
          </w:p>
          <w:p w14:paraId="39B4C90D">
            <w:pPr>
              <w:spacing w:line="360" w:lineRule="auto"/>
              <w:rPr>
                <w:rFonts w:ascii="微软雅黑" w:hAnsi="微软雅黑"/>
                <w:szCs w:val="21"/>
                <w:highlight w:val="none"/>
              </w:rPr>
            </w:pPr>
          </w:p>
        </w:tc>
      </w:tr>
      <w:tr w14:paraId="552B83BA">
        <w:tblPrEx>
          <w:tblCellMar>
            <w:top w:w="0" w:type="dxa"/>
            <w:left w:w="108" w:type="dxa"/>
            <w:bottom w:w="0" w:type="dxa"/>
            <w:right w:w="108" w:type="dxa"/>
          </w:tblCellMar>
        </w:tblPrEx>
        <w:trPr>
          <w:trHeight w:val="548" w:hRule="atLeast"/>
        </w:trPr>
        <w:tc>
          <w:tcPr>
            <w:tcW w:w="1195" w:type="pct"/>
            <w:vAlign w:val="center"/>
          </w:tcPr>
          <w:p w14:paraId="749C8826">
            <w:pPr>
              <w:spacing w:line="360" w:lineRule="auto"/>
              <w:rPr>
                <w:rFonts w:ascii="微软雅黑" w:hAnsi="微软雅黑"/>
                <w:szCs w:val="21"/>
                <w:highlight w:val="none"/>
              </w:rPr>
            </w:pPr>
            <w:r>
              <w:rPr>
                <w:rFonts w:hint="eastAsia" w:ascii="微软雅黑" w:hAnsi="微软雅黑"/>
                <w:szCs w:val="21"/>
                <w:highlight w:val="none"/>
              </w:rPr>
              <w:t>日期：</w:t>
            </w:r>
          </w:p>
        </w:tc>
        <w:tc>
          <w:tcPr>
            <w:tcW w:w="1305" w:type="pct"/>
            <w:vAlign w:val="center"/>
          </w:tcPr>
          <w:p w14:paraId="631DD1C4">
            <w:pPr>
              <w:spacing w:line="360" w:lineRule="auto"/>
              <w:rPr>
                <w:rFonts w:ascii="微软雅黑" w:hAnsi="微软雅黑"/>
                <w:szCs w:val="21"/>
                <w:highlight w:val="none"/>
              </w:rPr>
            </w:pPr>
          </w:p>
        </w:tc>
        <w:tc>
          <w:tcPr>
            <w:tcW w:w="1170" w:type="pct"/>
            <w:vAlign w:val="center"/>
          </w:tcPr>
          <w:p w14:paraId="5823E2E8">
            <w:pPr>
              <w:spacing w:line="360" w:lineRule="auto"/>
              <w:rPr>
                <w:rFonts w:ascii="微软雅黑" w:hAnsi="微软雅黑"/>
                <w:szCs w:val="21"/>
                <w:highlight w:val="none"/>
              </w:rPr>
            </w:pPr>
            <w:r>
              <w:rPr>
                <w:rFonts w:hint="eastAsia" w:ascii="微软雅黑" w:hAnsi="微软雅黑"/>
                <w:szCs w:val="21"/>
                <w:highlight w:val="none"/>
              </w:rPr>
              <w:t>日期：</w:t>
            </w:r>
          </w:p>
        </w:tc>
        <w:tc>
          <w:tcPr>
            <w:tcW w:w="1330" w:type="pct"/>
            <w:vAlign w:val="center"/>
          </w:tcPr>
          <w:p w14:paraId="52B5D961">
            <w:pPr>
              <w:spacing w:line="360" w:lineRule="auto"/>
              <w:rPr>
                <w:rFonts w:ascii="微软雅黑" w:hAnsi="微软雅黑"/>
                <w:szCs w:val="21"/>
                <w:highlight w:val="none"/>
              </w:rPr>
            </w:pPr>
          </w:p>
        </w:tc>
      </w:tr>
    </w:tbl>
    <w:p w14:paraId="7B7A02CA">
      <w:pPr>
        <w:adjustRightInd w:val="0"/>
        <w:snapToGrid w:val="0"/>
        <w:spacing w:line="360" w:lineRule="auto"/>
        <w:rPr>
          <w:rFonts w:ascii="微软雅黑" w:hAnsi="微软雅黑"/>
          <w:bCs/>
          <w:sz w:val="22"/>
          <w:szCs w:val="21"/>
          <w:highlight w:val="none"/>
        </w:rPr>
      </w:pPr>
    </w:p>
    <w:p w14:paraId="46ECF401">
      <w:pP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br w:type="page"/>
      </w:r>
    </w:p>
    <w:p w14:paraId="0AAF40B9">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微软雅黑" w:hAnsi="微软雅黑" w:eastAsia="微软雅黑" w:cs="微软雅黑"/>
          <w:b/>
          <w:bCs/>
          <w:sz w:val="21"/>
          <w:szCs w:val="21"/>
          <w:highlight w:val="none"/>
        </w:rPr>
      </w:pPr>
    </w:p>
    <w:p w14:paraId="0EB8BBEB">
      <w:pPr>
        <w:pStyle w:val="71"/>
        <w:rPr>
          <w:rFonts w:hint="default" w:eastAsia="黑体"/>
          <w:highlight w:val="none"/>
          <w:lang w:val="en-US" w:eastAsia="zh-CN"/>
        </w:rPr>
      </w:pPr>
      <w:bookmarkStart w:id="34" w:name="_Toc47976615"/>
      <w:bookmarkStart w:id="35" w:name="_Toc5925"/>
      <w:r>
        <w:rPr>
          <w:rFonts w:hint="eastAsia"/>
          <w:highlight w:val="none"/>
        </w:rPr>
        <w:t>第四部分　</w:t>
      </w:r>
      <w:bookmarkEnd w:id="34"/>
      <w:r>
        <w:rPr>
          <w:rFonts w:hint="eastAsia"/>
          <w:highlight w:val="none"/>
          <w:lang w:val="en-US" w:eastAsia="zh-CN"/>
        </w:rPr>
        <w:t>投标文件附件</w:t>
      </w:r>
      <w:bookmarkEnd w:id="35"/>
    </w:p>
    <w:p w14:paraId="600DE1DD">
      <w:pPr>
        <w:pStyle w:val="71"/>
        <w:jc w:val="left"/>
        <w:rPr>
          <w:rFonts w:hint="eastAsia" w:ascii="宋体" w:hAnsi="宋体" w:eastAsia="宋体" w:cs="宋体"/>
          <w:sz w:val="32"/>
          <w:szCs w:val="32"/>
          <w:highlight w:val="none"/>
          <w:lang w:eastAsia="zh-CN"/>
        </w:rPr>
      </w:pPr>
      <w:bookmarkStart w:id="36" w:name="_Toc4225"/>
      <w:bookmarkStart w:id="37" w:name="_Toc47976616"/>
      <w:r>
        <w:rPr>
          <w:rFonts w:hint="eastAsia" w:ascii="宋体" w:hAnsi="宋体" w:eastAsia="宋体" w:cs="宋体"/>
          <w:sz w:val="32"/>
          <w:szCs w:val="32"/>
          <w:highlight w:val="none"/>
        </w:rPr>
        <w:t>附件</w:t>
      </w:r>
      <w:bookmarkEnd w:id="36"/>
      <w:bookmarkEnd w:id="37"/>
      <w:r>
        <w:rPr>
          <w:rFonts w:hint="eastAsia" w:ascii="宋体" w:hAnsi="宋体" w:eastAsia="宋体" w:cs="宋体"/>
          <w:sz w:val="32"/>
          <w:szCs w:val="32"/>
          <w:highlight w:val="none"/>
          <w:lang w:val="en-US" w:eastAsia="zh-CN"/>
        </w:rPr>
        <w:t>1</w:t>
      </w:r>
    </w:p>
    <w:p w14:paraId="3D26BC99">
      <w:pPr>
        <w:keepNext/>
        <w:keepLines/>
        <w:jc w:val="center"/>
        <w:outlineLvl w:val="2"/>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投标函</w:t>
      </w:r>
    </w:p>
    <w:p w14:paraId="0B39DB8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有限公司：</w:t>
      </w:r>
    </w:p>
    <w:p w14:paraId="7F916B1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份、副本</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份；电子版投标文件一份。</w:t>
      </w:r>
    </w:p>
    <w:p w14:paraId="26D6294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71FBB532">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w:t>
      </w:r>
      <w:r>
        <w:rPr>
          <w:rFonts w:hint="eastAsia" w:ascii="宋体" w:hAnsi="宋体" w:cs="Times New Roman"/>
          <w:bCs/>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个日历日。</w:t>
      </w:r>
    </w:p>
    <w:p w14:paraId="459E3F15">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24E63A1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40F28EC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1D482AF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43152E4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2F8C4A4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0446231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7045671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284F62A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50D9D845">
      <w:pPr>
        <w:rPr>
          <w:rFonts w:ascii="黑体" w:hAnsi="Calibri" w:eastAsia="黑体" w:cs="Times New Roman"/>
          <w:color w:val="000000"/>
          <w:sz w:val="24"/>
          <w:szCs w:val="24"/>
          <w:highlight w:val="none"/>
        </w:rPr>
      </w:pPr>
    </w:p>
    <w:p w14:paraId="32681108">
      <w:pPr>
        <w:rPr>
          <w:rFonts w:ascii="宋体"/>
          <w:b/>
          <w:color w:val="000000"/>
          <w:szCs w:val="24"/>
          <w:highlight w:val="none"/>
        </w:rPr>
      </w:pPr>
      <w:r>
        <w:rPr>
          <w:rFonts w:ascii="宋体"/>
          <w:b/>
          <w:color w:val="000000"/>
          <w:szCs w:val="24"/>
          <w:highlight w:val="none"/>
        </w:rPr>
        <w:br w:type="page"/>
      </w:r>
    </w:p>
    <w:p w14:paraId="208444E5">
      <w:pPr>
        <w:jc w:val="both"/>
        <w:rPr>
          <w:rFonts w:ascii="宋体"/>
          <w:b/>
          <w:color w:val="000000"/>
          <w:szCs w:val="24"/>
          <w:highlight w:val="none"/>
        </w:rPr>
      </w:pPr>
    </w:p>
    <w:p w14:paraId="57006D89">
      <w:pPr>
        <w:pStyle w:val="72"/>
        <w:numPr>
          <w:ilvl w:val="0"/>
          <w:numId w:val="0"/>
        </w:numPr>
        <w:ind w:leftChars="0"/>
        <w:rPr>
          <w:rFonts w:hint="eastAsia" w:ascii="宋体" w:hAnsi="宋体" w:eastAsia="宋体" w:cs="宋体"/>
          <w:sz w:val="32"/>
          <w:szCs w:val="32"/>
          <w:highlight w:val="none"/>
          <w:lang w:val="en-US" w:eastAsia="zh-CN"/>
        </w:rPr>
      </w:pPr>
      <w:bookmarkStart w:id="38" w:name="_Toc47976618"/>
      <w:bookmarkStart w:id="39" w:name="_Toc29366869"/>
      <w:bookmarkStart w:id="40" w:name="_Toc29366865"/>
      <w:r>
        <w:rPr>
          <w:rFonts w:hint="eastAsia" w:ascii="宋体" w:hAnsi="宋体" w:eastAsia="宋体" w:cs="宋体"/>
          <w:sz w:val="32"/>
          <w:szCs w:val="32"/>
          <w:highlight w:val="none"/>
          <w:lang w:val="en-US" w:eastAsia="zh-CN"/>
        </w:rPr>
        <w:t>附件2</w:t>
      </w:r>
    </w:p>
    <w:bookmarkEnd w:id="38"/>
    <w:p w14:paraId="0179E87D">
      <w:pPr>
        <w:spacing w:line="360" w:lineRule="auto"/>
        <w:jc w:val="center"/>
        <w:rPr>
          <w:rFonts w:hint="eastAsia" w:ascii="宋体" w:hAnsi="宋体" w:eastAsia="宋体" w:cs="宋体"/>
          <w:color w:val="000000"/>
          <w:sz w:val="32"/>
          <w:szCs w:val="32"/>
          <w:highlight w:val="none"/>
        </w:rPr>
      </w:pPr>
      <w:r>
        <w:rPr>
          <w:rFonts w:hint="eastAsia" w:ascii="宋体" w:hAnsi="宋体" w:eastAsia="宋体" w:cs="宋体"/>
          <w:b/>
          <w:bCs/>
          <w:color w:val="000000"/>
          <w:sz w:val="32"/>
          <w:szCs w:val="32"/>
          <w:highlight w:val="none"/>
        </w:rPr>
        <w:t>法定代表人授权委托书</w:t>
      </w:r>
    </w:p>
    <w:p w14:paraId="19A97CD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cs="Times New Roman"/>
          <w:b/>
          <w:bCs/>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highlight w:val="none"/>
                <w:u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sz w:val="24"/>
                <w:szCs w:val="20"/>
                <w:highlight w:val="none"/>
                <w:u w:val="none"/>
                <w:lang w:eastAsia="zh-CN"/>
              </w:rPr>
              <w:t>（</w:t>
            </w:r>
            <w:r>
              <w:rPr>
                <w:rFonts w:hint="eastAsia" w:ascii="宋体" w:hAnsi="宋体" w:eastAsia="宋体" w:cs="Times New Roman"/>
                <w:color w:val="000000" w:themeColor="text1"/>
                <w:sz w:val="24"/>
                <w:szCs w:val="20"/>
                <w:highlight w:val="none"/>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w:t>
            </w:r>
            <w:r>
              <w:rPr>
                <w:rFonts w:hint="eastAsia" w:ascii="宋体" w:hAnsi="宋体" w:eastAsia="宋体" w:cs="Times New Roman"/>
                <w:sz w:val="24"/>
                <w:szCs w:val="20"/>
                <w:highlight w:val="none"/>
                <w:lang w:eastAsia="zh-CN"/>
              </w:rPr>
              <w:t>（</w:t>
            </w:r>
            <w:r>
              <w:rPr>
                <w:rFonts w:hint="eastAsia" w:ascii="宋体" w:hAnsi="宋体" w:eastAsia="宋体" w:cs="Times New Roman"/>
                <w:sz w:val="24"/>
                <w:szCs w:val="20"/>
                <w:highlight w:val="none"/>
                <w:lang w:val="en-US" w:eastAsia="zh-CN"/>
              </w:rPr>
              <w:t>正反面</w:t>
            </w:r>
            <w:r>
              <w:rPr>
                <w:rFonts w:hint="eastAsia" w:ascii="宋体" w:hAnsi="宋体" w:eastAsia="宋体" w:cs="Times New Roman"/>
                <w:sz w:val="24"/>
                <w:szCs w:val="20"/>
                <w:highlight w:val="none"/>
                <w:lang w:eastAsia="zh-CN"/>
              </w:rPr>
              <w:t>）</w:t>
            </w:r>
          </w:p>
        </w:tc>
      </w:tr>
    </w:tbl>
    <w:p w14:paraId="37BFA8A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14:paraId="3B6DD36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14:paraId="0F64A2A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14:paraId="100F211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14:paraId="7B47F76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14:paraId="6B9DBB7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14:paraId="152336F1">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758E3B4E">
      <w:pPr>
        <w:spacing w:line="360" w:lineRule="auto"/>
        <w:rPr>
          <w:rFonts w:ascii="宋体" w:hAnsi="宋体" w:cs="宋体"/>
          <w:sz w:val="24"/>
          <w:szCs w:val="21"/>
          <w:highlight w:val="none"/>
        </w:rPr>
      </w:pPr>
    </w:p>
    <w:p w14:paraId="69663AF6">
      <w:pPr>
        <w:pStyle w:val="14"/>
        <w:rPr>
          <w:highlight w:val="none"/>
        </w:rPr>
      </w:pPr>
    </w:p>
    <w:p w14:paraId="3A5DEF51">
      <w:pPr>
        <w:rPr>
          <w:rFonts w:ascii="宋体" w:hAnsi="宋体" w:cs="宋体"/>
          <w:sz w:val="24"/>
          <w:szCs w:val="21"/>
          <w:highlight w:val="none"/>
        </w:rPr>
      </w:pPr>
      <w:r>
        <w:rPr>
          <w:rFonts w:ascii="宋体" w:hAnsi="宋体" w:cs="宋体"/>
          <w:sz w:val="24"/>
          <w:szCs w:val="21"/>
          <w:highlight w:val="none"/>
        </w:rPr>
        <w:br w:type="page"/>
      </w:r>
    </w:p>
    <w:p w14:paraId="3C66A997">
      <w:pPr>
        <w:spacing w:line="360" w:lineRule="auto"/>
        <w:rPr>
          <w:rFonts w:ascii="宋体" w:hAnsi="宋体" w:cs="宋体"/>
          <w:sz w:val="24"/>
          <w:szCs w:val="21"/>
          <w:highlight w:val="none"/>
        </w:rPr>
      </w:pPr>
    </w:p>
    <w:bookmarkEnd w:id="39"/>
    <w:bookmarkEnd w:id="40"/>
    <w:p w14:paraId="53E6B306">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w:t>
      </w:r>
    </w:p>
    <w:p w14:paraId="769BF465">
      <w:pPr>
        <w:pStyle w:val="72"/>
        <w:numPr>
          <w:ilvl w:val="0"/>
          <w:numId w:val="0"/>
        </w:numPr>
        <w:ind w:leftChars="0"/>
        <w:jc w:val="center"/>
        <w:rPr>
          <w:rFonts w:hint="eastAsia"/>
          <w:highlight w:val="none"/>
          <w:lang w:val="en-US" w:eastAsia="zh-CN"/>
        </w:rPr>
      </w:pPr>
      <w:r>
        <w:rPr>
          <w:rFonts w:hint="eastAsia"/>
          <w:highlight w:val="none"/>
          <w:lang w:val="en-US" w:eastAsia="zh-CN"/>
        </w:rPr>
        <w:t>开标一览表</w:t>
      </w:r>
    </w:p>
    <w:p w14:paraId="71C63D3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cs="Times New Roman"/>
          <w:color w:val="000000"/>
          <w:sz w:val="24"/>
          <w:szCs w:val="24"/>
          <w:highlight w:val="none"/>
          <w:u w:val="single"/>
          <w:lang w:val="en-US" w:eastAsia="zh-CN"/>
        </w:rPr>
        <w:t xml:space="preserve">                          </w:t>
      </w:r>
      <w:r>
        <w:rPr>
          <w:rFonts w:ascii="宋体" w:hAnsi="宋体" w:eastAsia="宋体" w:cs="Times New Roman"/>
          <w:color w:val="000000"/>
          <w:sz w:val="24"/>
          <w:szCs w:val="24"/>
          <w:highlight w:val="none"/>
        </w:rPr>
        <w:t xml:space="preserve">                                                        </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序号</w:t>
            </w:r>
          </w:p>
        </w:tc>
        <w:tc>
          <w:tcPr>
            <w:tcW w:w="1518" w:type="dxa"/>
            <w:vAlign w:val="center"/>
          </w:tcPr>
          <w:p w14:paraId="0CB9085E">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货物名称</w:t>
            </w:r>
          </w:p>
        </w:tc>
        <w:tc>
          <w:tcPr>
            <w:tcW w:w="848" w:type="dxa"/>
            <w:vAlign w:val="center"/>
          </w:tcPr>
          <w:p w14:paraId="7FD1C6AE">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数量</w:t>
            </w:r>
          </w:p>
        </w:tc>
        <w:tc>
          <w:tcPr>
            <w:tcW w:w="2270" w:type="dxa"/>
            <w:vAlign w:val="center"/>
          </w:tcPr>
          <w:p w14:paraId="7E8CB28F">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投标总价</w:t>
            </w:r>
            <w:r>
              <w:rPr>
                <w:rFonts w:hint="eastAsia" w:ascii="等线" w:hAnsi="等线" w:eastAsia="等线" w:cs="Times New Roman"/>
                <w:b/>
                <w:szCs w:val="20"/>
                <w:highlight w:val="none"/>
              </w:rPr>
              <w:t>（元）</w:t>
            </w:r>
          </w:p>
        </w:tc>
        <w:tc>
          <w:tcPr>
            <w:tcW w:w="1100" w:type="dxa"/>
            <w:vAlign w:val="center"/>
          </w:tcPr>
          <w:p w14:paraId="43B51BBB">
            <w:pPr>
              <w:jc w:val="center"/>
              <w:rPr>
                <w:rFonts w:hint="eastAsia" w:ascii="Times New Roman" w:hAnsi="Times New Roman" w:eastAsia="宋体" w:cs="Times New Roman"/>
                <w:b/>
                <w:szCs w:val="20"/>
                <w:highlight w:val="none"/>
                <w:lang w:val="en-US" w:eastAsia="zh-CN"/>
              </w:rPr>
            </w:pPr>
            <w:r>
              <w:rPr>
                <w:rFonts w:hint="eastAsia" w:cs="Times New Roman"/>
                <w:b/>
                <w:szCs w:val="20"/>
                <w:highlight w:val="none"/>
                <w:lang w:val="en-US" w:eastAsia="zh-CN"/>
              </w:rPr>
              <w:t>XX</w:t>
            </w:r>
          </w:p>
        </w:tc>
        <w:tc>
          <w:tcPr>
            <w:tcW w:w="1243" w:type="dxa"/>
            <w:vAlign w:val="center"/>
          </w:tcPr>
          <w:p w14:paraId="5BE19F44">
            <w:pPr>
              <w:jc w:val="center"/>
              <w:rPr>
                <w:rFonts w:ascii="Times New Roman" w:hAnsi="Times New Roman" w:eastAsia="宋体" w:cs="Times New Roman"/>
                <w:b/>
                <w:szCs w:val="20"/>
                <w:highlight w:val="none"/>
              </w:rPr>
            </w:pPr>
            <w:r>
              <w:rPr>
                <w:rFonts w:hint="eastAsia" w:cs="Times New Roman"/>
                <w:b/>
                <w:szCs w:val="20"/>
                <w:highlight w:val="none"/>
                <w:lang w:val="en-US" w:eastAsia="zh-CN"/>
              </w:rPr>
              <w:t>XX</w:t>
            </w:r>
          </w:p>
        </w:tc>
        <w:tc>
          <w:tcPr>
            <w:tcW w:w="705" w:type="dxa"/>
            <w:vAlign w:val="center"/>
          </w:tcPr>
          <w:p w14:paraId="669E8072">
            <w:pPr>
              <w:jc w:val="center"/>
              <w:rPr>
                <w:rFonts w:ascii="Times New Roman" w:hAnsi="Times New Roman" w:eastAsia="宋体" w:cs="Times New Roman"/>
                <w:b/>
                <w:szCs w:val="20"/>
                <w:highlight w:val="none"/>
              </w:rPr>
            </w:pPr>
            <w:r>
              <w:rPr>
                <w:rFonts w:hint="eastAsia" w:cs="Times New Roman"/>
                <w:b/>
                <w:szCs w:val="20"/>
                <w:highlight w:val="none"/>
                <w:lang w:val="en-US" w:eastAsia="zh-CN"/>
              </w:rPr>
              <w:t>XX</w:t>
            </w:r>
          </w:p>
        </w:tc>
        <w:tc>
          <w:tcPr>
            <w:tcW w:w="699" w:type="dxa"/>
            <w:vAlign w:val="center"/>
          </w:tcPr>
          <w:p w14:paraId="0DA60CF4">
            <w:pPr>
              <w:jc w:val="center"/>
              <w:rPr>
                <w:rFonts w:hint="default" w:ascii="等线" w:hAnsi="等线" w:eastAsia="等线" w:cs="Times New Roman"/>
                <w:b/>
                <w:szCs w:val="20"/>
                <w:highlight w:val="none"/>
                <w:lang w:val="en-US"/>
              </w:rPr>
            </w:pPr>
            <w:r>
              <w:rPr>
                <w:rFonts w:hint="eastAsia" w:cs="Times New Roman"/>
                <w:b/>
                <w:szCs w:val="20"/>
                <w:highlight w:val="none"/>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ascii="Times New Roman" w:hAnsi="Times New Roman" w:eastAsia="宋体" w:cs="Times New Roman"/>
                <w:b/>
                <w:szCs w:val="20"/>
                <w:highlight w:val="none"/>
              </w:rPr>
            </w:pPr>
          </w:p>
        </w:tc>
        <w:tc>
          <w:tcPr>
            <w:tcW w:w="1518" w:type="dxa"/>
            <w:vAlign w:val="center"/>
          </w:tcPr>
          <w:p w14:paraId="01DDB5C4">
            <w:pPr>
              <w:jc w:val="center"/>
              <w:rPr>
                <w:rFonts w:hint="eastAsia" w:ascii="Times New Roman" w:hAnsi="Times New Roman" w:eastAsia="宋体" w:cs="Times New Roman"/>
                <w:b/>
                <w:szCs w:val="20"/>
                <w:highlight w:val="none"/>
                <w:lang w:eastAsia="zh-CN"/>
              </w:rPr>
            </w:pPr>
          </w:p>
        </w:tc>
        <w:tc>
          <w:tcPr>
            <w:tcW w:w="848" w:type="dxa"/>
            <w:vAlign w:val="center"/>
          </w:tcPr>
          <w:p w14:paraId="5754ED5A">
            <w:pPr>
              <w:jc w:val="center"/>
              <w:rPr>
                <w:rFonts w:hint="eastAsia" w:ascii="Times New Roman" w:hAnsi="Times New Roman" w:eastAsia="宋体" w:cs="Times New Roman"/>
                <w:b/>
                <w:szCs w:val="20"/>
                <w:highlight w:val="none"/>
                <w:lang w:val="en-US" w:eastAsia="zh-CN"/>
              </w:rPr>
            </w:pPr>
          </w:p>
        </w:tc>
        <w:tc>
          <w:tcPr>
            <w:tcW w:w="2270" w:type="dxa"/>
            <w:vAlign w:val="center"/>
          </w:tcPr>
          <w:p w14:paraId="63A1C48D">
            <w:pPr>
              <w:jc w:val="left"/>
              <w:rPr>
                <w:rFonts w:hint="eastAsia" w:ascii="等线" w:hAnsi="等线" w:eastAsia="等线" w:cs="Times New Roman"/>
                <w:b/>
                <w:szCs w:val="20"/>
                <w:highlight w:val="none"/>
                <w:lang w:val="en-US" w:eastAsia="zh-CN"/>
              </w:rPr>
            </w:pPr>
            <w:r>
              <w:rPr>
                <w:rFonts w:hint="eastAsia" w:ascii="等线" w:hAnsi="等线" w:eastAsia="等线" w:cs="Times New Roman"/>
                <w:b/>
                <w:szCs w:val="20"/>
                <w:highlight w:val="none"/>
              </w:rPr>
              <w:t>不含税价</w:t>
            </w:r>
            <w:r>
              <w:rPr>
                <w:rFonts w:hint="eastAsia" w:ascii="等线" w:hAnsi="等线" w:eastAsia="等线" w:cs="Times New Roman"/>
                <w:b/>
                <w:szCs w:val="20"/>
                <w:highlight w:val="none"/>
                <w:lang w:eastAsia="zh-CN"/>
              </w:rPr>
              <w:t>：</w:t>
            </w:r>
          </w:p>
          <w:p w14:paraId="6C6D0F49">
            <w:pPr>
              <w:jc w:val="left"/>
              <w:rPr>
                <w:rFonts w:hint="default" w:ascii="等线" w:hAnsi="等线" w:eastAsia="等线" w:cs="Times New Roman"/>
                <w:b/>
                <w:szCs w:val="20"/>
                <w:highlight w:val="none"/>
                <w:lang w:val="en-US" w:eastAsia="zh-CN"/>
              </w:rPr>
            </w:pPr>
            <w:r>
              <w:rPr>
                <w:rFonts w:hint="eastAsia" w:ascii="等线" w:hAnsi="等线" w:eastAsia="等线" w:cs="Times New Roman"/>
                <w:b/>
                <w:szCs w:val="20"/>
                <w:highlight w:val="none"/>
              </w:rPr>
              <w:t>含税价格：</w:t>
            </w:r>
            <w:r>
              <w:rPr>
                <w:rFonts w:hint="eastAsia" w:ascii="等线" w:hAnsi="等线" w:eastAsia="等线" w:cs="Times New Roman"/>
                <w:b/>
                <w:szCs w:val="20"/>
                <w:highlight w:val="none"/>
                <w:u w:val="single"/>
                <w:lang w:val="en-US" w:eastAsia="zh-CN"/>
              </w:rPr>
              <w:t xml:space="preserve">    （大写：    ）</w:t>
            </w:r>
          </w:p>
          <w:p w14:paraId="34B462C2">
            <w:pPr>
              <w:jc w:val="left"/>
              <w:rPr>
                <w:rFonts w:ascii="Times New Roman" w:hAnsi="Times New Roman" w:eastAsia="宋体" w:cs="Times New Roman"/>
                <w:b/>
                <w:szCs w:val="20"/>
                <w:highlight w:val="none"/>
              </w:rPr>
            </w:pPr>
            <w:r>
              <w:rPr>
                <w:rFonts w:hint="eastAsia" w:ascii="等线" w:hAnsi="等线" w:eastAsia="等线" w:cs="Times New Roman"/>
                <w:b/>
                <w:szCs w:val="20"/>
                <w:highlight w:val="none"/>
              </w:rPr>
              <w:t>税率：</w:t>
            </w:r>
          </w:p>
        </w:tc>
        <w:tc>
          <w:tcPr>
            <w:tcW w:w="1100" w:type="dxa"/>
            <w:vAlign w:val="center"/>
          </w:tcPr>
          <w:p w14:paraId="1E0AF0C2">
            <w:pPr>
              <w:jc w:val="center"/>
              <w:rPr>
                <w:rFonts w:ascii="Times New Roman" w:hAnsi="Times New Roman" w:eastAsia="宋体" w:cs="Times New Roman"/>
                <w:b/>
                <w:szCs w:val="20"/>
                <w:highlight w:val="none"/>
              </w:rPr>
            </w:pPr>
          </w:p>
        </w:tc>
        <w:tc>
          <w:tcPr>
            <w:tcW w:w="1243" w:type="dxa"/>
            <w:vAlign w:val="center"/>
          </w:tcPr>
          <w:p w14:paraId="2E7E4711">
            <w:pPr>
              <w:jc w:val="center"/>
              <w:rPr>
                <w:rFonts w:ascii="Times New Roman" w:hAnsi="Times New Roman" w:eastAsia="宋体" w:cs="Times New Roman"/>
                <w:b/>
                <w:szCs w:val="20"/>
                <w:highlight w:val="none"/>
              </w:rPr>
            </w:pPr>
          </w:p>
        </w:tc>
        <w:tc>
          <w:tcPr>
            <w:tcW w:w="705" w:type="dxa"/>
            <w:vAlign w:val="center"/>
          </w:tcPr>
          <w:p w14:paraId="2516E961">
            <w:pPr>
              <w:jc w:val="center"/>
              <w:rPr>
                <w:rFonts w:ascii="Times New Roman" w:hAnsi="Times New Roman" w:eastAsia="宋体" w:cs="Times New Roman"/>
                <w:b/>
                <w:szCs w:val="20"/>
                <w:highlight w:val="none"/>
              </w:rPr>
            </w:pPr>
          </w:p>
        </w:tc>
        <w:tc>
          <w:tcPr>
            <w:tcW w:w="699" w:type="dxa"/>
            <w:vAlign w:val="center"/>
          </w:tcPr>
          <w:p w14:paraId="14D620AB">
            <w:pPr>
              <w:jc w:val="center"/>
              <w:rPr>
                <w:rFonts w:ascii="Times New Roman" w:hAnsi="Times New Roman" w:eastAsia="宋体" w:cs="Times New Roman"/>
                <w:b/>
                <w:szCs w:val="20"/>
                <w:highlight w:val="none"/>
              </w:rPr>
            </w:pPr>
          </w:p>
        </w:tc>
      </w:tr>
    </w:tbl>
    <w:p w14:paraId="2AC98F24">
      <w:pPr>
        <w:rPr>
          <w:rFonts w:ascii="宋体" w:hAnsi="Arial" w:eastAsia="宋体" w:cs="Times New Roman"/>
          <w:sz w:val="24"/>
          <w:szCs w:val="24"/>
          <w:highlight w:val="none"/>
        </w:rPr>
      </w:pPr>
    </w:p>
    <w:p w14:paraId="0B093042">
      <w:pPr>
        <w:spacing w:line="400" w:lineRule="exact"/>
        <w:rPr>
          <w:rFonts w:ascii="宋体" w:hAnsi="Calibri" w:eastAsia="宋体" w:cs="Times New Roman"/>
          <w:szCs w:val="21"/>
          <w:highlight w:val="none"/>
        </w:rPr>
      </w:pPr>
      <w:r>
        <w:rPr>
          <w:rFonts w:hint="eastAsia" w:ascii="宋体" w:hAnsi="宋体" w:eastAsia="宋体" w:cs="Times New Roman"/>
          <w:b/>
          <w:bCs/>
          <w:szCs w:val="21"/>
          <w:highlight w:val="none"/>
        </w:rPr>
        <w:t>注：</w:t>
      </w:r>
    </w:p>
    <w:p w14:paraId="440943D3">
      <w:pPr>
        <w:spacing w:line="520" w:lineRule="exact"/>
        <w:rPr>
          <w:rFonts w:ascii="宋体" w:hAnsi="Calibri" w:eastAsia="宋体" w:cs="Times New Roman"/>
          <w:b/>
          <w:bCs/>
          <w:szCs w:val="21"/>
          <w:highlight w:val="none"/>
        </w:rPr>
      </w:pPr>
      <w:r>
        <w:rPr>
          <w:rFonts w:ascii="宋体" w:hAnsi="宋体" w:eastAsia="宋体" w:cs="Times New Roman"/>
          <w:b/>
          <w:bCs/>
          <w:szCs w:val="21"/>
          <w:highlight w:val="none"/>
        </w:rPr>
        <w:t>1</w:t>
      </w:r>
      <w:r>
        <w:rPr>
          <w:rFonts w:hint="eastAsia" w:ascii="宋体" w:hAnsi="宋体" w:eastAsia="宋体" w:cs="Times New Roman"/>
          <w:b/>
          <w:bCs/>
          <w:szCs w:val="21"/>
          <w:highlight w:val="none"/>
        </w:rPr>
        <w:t>.此表中的报价必须与相应的报价明细表中的报价一致。</w:t>
      </w:r>
    </w:p>
    <w:p w14:paraId="4A5EE63D">
      <w:pPr>
        <w:spacing w:line="300" w:lineRule="auto"/>
        <w:rPr>
          <w:rFonts w:ascii="宋体" w:hAnsi="宋体" w:eastAsia="宋体" w:cs="宋体"/>
          <w:b/>
          <w:szCs w:val="20"/>
          <w:highlight w:val="none"/>
        </w:rPr>
      </w:pPr>
      <w:r>
        <w:rPr>
          <w:rFonts w:hint="eastAsia" w:ascii="宋体" w:hAnsi="宋体" w:cs="宋体"/>
          <w:b/>
          <w:szCs w:val="20"/>
          <w:highlight w:val="none"/>
          <w:lang w:val="en-US" w:eastAsia="zh-CN"/>
        </w:rPr>
        <w:t>2</w:t>
      </w:r>
      <w:r>
        <w:rPr>
          <w:rFonts w:hint="eastAsia" w:ascii="宋体" w:hAnsi="宋体" w:eastAsia="宋体" w:cs="宋体"/>
          <w:b/>
          <w:szCs w:val="20"/>
          <w:highlight w:val="none"/>
        </w:rPr>
        <w:t>.需写明含税价、不含税价格、税率。</w:t>
      </w:r>
    </w:p>
    <w:p w14:paraId="716860CE">
      <w:pPr>
        <w:pStyle w:val="14"/>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6381D8BE">
      <w:pPr>
        <w:pStyle w:val="14"/>
        <w:rPr>
          <w:rFonts w:hint="eastAsia" w:hAnsi="宋体" w:eastAsia="宋体" w:cs="Times New Roman"/>
          <w:b/>
          <w:bCs/>
          <w:szCs w:val="21"/>
          <w:highlight w:val="none"/>
          <w:lang w:val="en-US" w:eastAsia="zh-CN"/>
        </w:rPr>
      </w:pPr>
      <w:r>
        <w:rPr>
          <w:rFonts w:hint="eastAsia" w:hAnsi="宋体" w:cs="Times New Roman"/>
          <w:b/>
          <w:bCs/>
          <w:szCs w:val="21"/>
          <w:highlight w:val="none"/>
          <w:lang w:val="en-US" w:eastAsia="zh-CN"/>
        </w:rPr>
        <w:t>4</w:t>
      </w:r>
      <w:r>
        <w:rPr>
          <w:rFonts w:hint="eastAsia" w:hAnsi="宋体" w:eastAsia="宋体" w:cs="宋体"/>
          <w:b/>
          <w:szCs w:val="20"/>
          <w:highlight w:val="none"/>
        </w:rPr>
        <w:t>.</w:t>
      </w:r>
      <w:r>
        <w:rPr>
          <w:rFonts w:hint="eastAsia" w:hAnsi="宋体" w:cs="宋体"/>
          <w:b/>
          <w:szCs w:val="20"/>
          <w:highlight w:val="none"/>
          <w:lang w:val="en-US" w:eastAsia="zh-CN"/>
        </w:rPr>
        <w:t>其他</w:t>
      </w:r>
      <w:r>
        <w:rPr>
          <w:rFonts w:hint="eastAsia" w:ascii="宋体" w:hAnsi="宋体" w:eastAsia="宋体" w:cs="宋体"/>
          <w:b/>
          <w:bCs w:val="0"/>
          <w:color w:val="FF0000"/>
          <w:sz w:val="18"/>
          <w:szCs w:val="18"/>
          <w:highlight w:val="none"/>
          <w:lang w:val="en-US" w:eastAsia="zh-CN"/>
        </w:rPr>
        <w:t>（</w:t>
      </w:r>
      <w:r>
        <w:rPr>
          <w:rFonts w:hint="eastAsia" w:hAnsi="宋体" w:cs="宋体"/>
          <w:b/>
          <w:bCs w:val="0"/>
          <w:color w:val="FF0000"/>
          <w:sz w:val="18"/>
          <w:szCs w:val="18"/>
          <w:highlight w:val="none"/>
          <w:lang w:val="en-US" w:eastAsia="zh-CN"/>
        </w:rPr>
        <w:t>注：</w:t>
      </w:r>
      <w:r>
        <w:rPr>
          <w:rFonts w:hint="eastAsia" w:ascii="宋体" w:hAnsi="宋体" w:eastAsia="宋体" w:cs="宋体"/>
          <w:b/>
          <w:bCs w:val="0"/>
          <w:color w:val="FF0000"/>
          <w:sz w:val="18"/>
          <w:szCs w:val="18"/>
          <w:highlight w:val="none"/>
          <w:lang w:val="en-US" w:eastAsia="zh-CN"/>
        </w:rPr>
        <w:t>若无，该条删除。正式标书删除红字内容）</w:t>
      </w:r>
    </w:p>
    <w:p w14:paraId="7CA9A866">
      <w:pPr>
        <w:pStyle w:val="14"/>
        <w:rPr>
          <w:rFonts w:hint="eastAsia" w:hAnsi="宋体" w:eastAsia="宋体" w:cs="Times New Roman"/>
          <w:b/>
          <w:bCs/>
          <w:szCs w:val="21"/>
          <w:highlight w:val="none"/>
        </w:rPr>
      </w:pPr>
    </w:p>
    <w:p w14:paraId="31061A95">
      <w:pPr>
        <w:pStyle w:val="14"/>
        <w:rPr>
          <w:rFonts w:hint="eastAsia" w:hAnsi="宋体" w:eastAsia="宋体" w:cs="Times New Roman"/>
          <w:b/>
          <w:bCs/>
          <w:szCs w:val="21"/>
          <w:highlight w:val="none"/>
        </w:rPr>
      </w:pPr>
    </w:p>
    <w:p w14:paraId="5A2F2EC2">
      <w:pPr>
        <w:spacing w:line="660" w:lineRule="exact"/>
        <w:jc w:val="center"/>
        <w:rPr>
          <w:rFonts w:ascii="宋体" w:hAnsi="Calibri" w:eastAsia="宋体" w:cs="Times New Roman"/>
          <w:sz w:val="24"/>
          <w:szCs w:val="20"/>
          <w:highlight w:val="none"/>
        </w:rPr>
      </w:pPr>
      <w:r>
        <w:rPr>
          <w:rFonts w:hint="eastAsia" w:ascii="宋体" w:hAnsi="宋体" w:cs="Times New Roman"/>
          <w:sz w:val="24"/>
          <w:szCs w:val="20"/>
          <w:highlight w:val="none"/>
          <w:lang w:val="en-US" w:eastAsia="zh-CN"/>
        </w:rPr>
        <w:t xml:space="preserve">                        </w:t>
      </w:r>
      <w:r>
        <w:rPr>
          <w:rFonts w:hint="eastAsia" w:ascii="宋体" w:hAnsi="宋体" w:eastAsia="宋体" w:cs="Times New Roman"/>
          <w:sz w:val="24"/>
          <w:szCs w:val="20"/>
          <w:highlight w:val="none"/>
        </w:rPr>
        <w:t>投标人：（盖章）</w:t>
      </w:r>
    </w:p>
    <w:p w14:paraId="3B316BD5">
      <w:pPr>
        <w:spacing w:line="660" w:lineRule="exact"/>
        <w:jc w:val="righ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5E5A5D5F">
      <w:pPr>
        <w:spacing w:line="660" w:lineRule="exact"/>
        <w:jc w:val="center"/>
        <w:rPr>
          <w:rFonts w:ascii="宋体" w:hAnsi="Calibri" w:eastAsia="宋体" w:cs="Times New Roman"/>
          <w:sz w:val="24"/>
          <w:szCs w:val="20"/>
          <w:highlight w:val="none"/>
        </w:rPr>
      </w:pPr>
      <w:r>
        <w:rPr>
          <w:rFonts w:hint="eastAsia" w:ascii="宋体" w:hAnsi="宋体" w:cs="Times New Roman"/>
          <w:sz w:val="24"/>
          <w:szCs w:val="20"/>
          <w:highlight w:val="none"/>
          <w:lang w:val="en-US" w:eastAsia="zh-CN"/>
        </w:rPr>
        <w:t xml:space="preserve">                                     </w:t>
      </w: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0172BB9F">
      <w:pPr>
        <w:pStyle w:val="72"/>
        <w:numPr>
          <w:ilvl w:val="0"/>
          <w:numId w:val="0"/>
        </w:numPr>
        <w:ind w:leftChars="0"/>
        <w:rPr>
          <w:rFonts w:hint="eastAsia" w:eastAsia="黑体"/>
          <w:highlight w:val="none"/>
          <w:lang w:val="en-US" w:eastAsia="zh-CN"/>
        </w:rPr>
      </w:pPr>
    </w:p>
    <w:p w14:paraId="1D8A3199">
      <w:pPr>
        <w:rPr>
          <w:rFonts w:hint="eastAsia"/>
          <w:highlight w:val="none"/>
        </w:rPr>
      </w:pPr>
      <w:r>
        <w:rPr>
          <w:rFonts w:hint="eastAsia"/>
          <w:highlight w:val="none"/>
        </w:rPr>
        <w:br w:type="page"/>
      </w:r>
    </w:p>
    <w:p w14:paraId="71211F3B">
      <w:pPr>
        <w:pStyle w:val="76"/>
        <w:ind w:firstLine="630" w:firstLineChars="300"/>
        <w:rPr>
          <w:rFonts w:hint="eastAsia"/>
          <w:highlight w:val="none"/>
        </w:rPr>
      </w:pPr>
    </w:p>
    <w:p w14:paraId="3E26D445">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 xml:space="preserve">附件4 </w:t>
      </w:r>
    </w:p>
    <w:p w14:paraId="697BBF5F">
      <w:pPr>
        <w:keepNext/>
        <w:keepLines/>
        <w:jc w:val="center"/>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保密承诺函</w:t>
      </w:r>
    </w:p>
    <w:p w14:paraId="4B69930D">
      <w:pPr>
        <w:spacing w:line="240" w:lineRule="exact"/>
        <w:jc w:val="center"/>
        <w:rPr>
          <w:rFonts w:ascii="宋体" w:hAnsi="Calibri" w:eastAsia="宋体" w:cs="Times New Roman"/>
          <w:b/>
          <w:bCs/>
          <w:sz w:val="36"/>
          <w:szCs w:val="20"/>
          <w:highlight w:val="none"/>
        </w:rPr>
      </w:pPr>
    </w:p>
    <w:p w14:paraId="2C3B3703">
      <w:pPr>
        <w:spacing w:line="360" w:lineRule="auto"/>
        <w:rPr>
          <w:rFonts w:ascii="宋体" w:hAnsi="Calibri" w:eastAsia="宋体" w:cs="Times New Roman"/>
          <w:sz w:val="24"/>
          <w:szCs w:val="20"/>
          <w:highlight w:val="none"/>
        </w:rPr>
      </w:pPr>
      <w:r>
        <w:rPr>
          <w:rFonts w:hint="eastAsia" w:ascii="宋体" w:hAnsi="宋体" w:eastAsia="宋体" w:cs="Times New Roman"/>
          <w:sz w:val="24"/>
          <w:szCs w:val="20"/>
          <w:highlight w:val="none"/>
        </w:rPr>
        <w:t>项目名称：</w:t>
      </w:r>
      <w:r>
        <w:rPr>
          <w:rFonts w:ascii="宋体" w:hAnsi="宋体" w:eastAsia="宋体" w:cs="Times New Roman"/>
          <w:b/>
          <w:color w:val="000000"/>
          <w:sz w:val="24"/>
          <w:szCs w:val="24"/>
          <w:highlight w:val="none"/>
          <w:u w:val="single"/>
        </w:rPr>
        <w:t xml:space="preserve">            </w:t>
      </w:r>
    </w:p>
    <w:p w14:paraId="76BA2708">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14:paraId="5E785FE8">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我代表（投标人名称）对招标人的商业秘密作如下承诺：</w:t>
      </w:r>
    </w:p>
    <w:p w14:paraId="4B0426D1">
      <w:pPr>
        <w:spacing w:line="360" w:lineRule="auto"/>
        <w:ind w:left="479" w:leftChars="228"/>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highlight w:val="none"/>
          <w:u w:val="single"/>
        </w:rPr>
        <w:t xml:space="preserve">                                                                 </w:t>
      </w:r>
    </w:p>
    <w:p w14:paraId="7951EA1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68EE0E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256E8B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B29A1E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735A97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59382C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70D9217">
      <w:pPr>
        <w:spacing w:line="360" w:lineRule="auto"/>
        <w:ind w:firstLine="480" w:firstLineChars="200"/>
        <w:rPr>
          <w:rFonts w:ascii="宋体" w:hAnsi="宋体" w:eastAsia="宋体" w:cs="Times New Roman"/>
          <w:sz w:val="24"/>
          <w:szCs w:val="20"/>
          <w:highlight w:val="none"/>
          <w:u w:val="single"/>
        </w:rPr>
      </w:pPr>
    </w:p>
    <w:p w14:paraId="0EAA6F3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3B79A2A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44614B9D">
      <w:pPr>
        <w:keepNext w:val="0"/>
        <w:keepLines w:val="0"/>
        <w:spacing w:line="360" w:lineRule="auto"/>
        <w:ind w:firstLine="480" w:firstLineChars="200"/>
        <w:outlineLvl w:val="9"/>
        <w:rPr>
          <w:rFonts w:hint="eastAsia" w:ascii="Times New Roman" w:hAnsi="Times New Roman" w:eastAsia="宋体" w:cs="Times New Roman"/>
          <w:b/>
          <w:bCs/>
          <w:color w:val="000000"/>
          <w:sz w:val="24"/>
          <w:szCs w:val="24"/>
          <w:highlight w:val="none"/>
        </w:rPr>
        <w:sectPr>
          <w:pgSz w:w="11906" w:h="16838"/>
          <w:pgMar w:top="1588" w:right="1418" w:bottom="1134" w:left="1418" w:header="851" w:footer="992" w:gutter="0"/>
          <w:pgNumType w:fmt="numberInDash"/>
          <w:cols w:space="720" w:num="1"/>
          <w:titlePg/>
          <w:docGrid w:type="lines" w:linePitch="312" w:charSpace="0"/>
        </w:sect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5AC35DAD">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 xml:space="preserve">附件5  </w:t>
      </w:r>
    </w:p>
    <w:p w14:paraId="747E1911">
      <w:pPr>
        <w:keepNext/>
        <w:keepLines/>
        <w:jc w:val="center"/>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202</w:t>
      </w:r>
      <w:r>
        <w:rPr>
          <w:rFonts w:hint="eastAsia" w:ascii="Times New Roman" w:hAnsi="Times New Roman" w:eastAsia="宋体" w:cs="Times New Roman"/>
          <w:b/>
          <w:bCs/>
          <w:color w:val="000000"/>
          <w:sz w:val="24"/>
          <w:szCs w:val="24"/>
          <w:highlight w:val="none"/>
          <w:lang w:val="en-US" w:eastAsia="zh-CN"/>
        </w:rPr>
        <w:t>2</w:t>
      </w:r>
      <w:r>
        <w:rPr>
          <w:rFonts w:hint="eastAsia" w:ascii="Times New Roman" w:hAnsi="Times New Roman" w:eastAsia="宋体" w:cs="Times New Roman"/>
          <w:b/>
          <w:bCs/>
          <w:color w:val="000000"/>
          <w:sz w:val="24"/>
          <w:szCs w:val="24"/>
          <w:highlight w:val="none"/>
        </w:rPr>
        <w:t>年1月1日至今同类项目业绩一览表</w:t>
      </w:r>
    </w:p>
    <w:p w14:paraId="2494935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ascii="宋体" w:hAnsi="宋体" w:eastAsia="宋体" w:cs="Times New Roman"/>
          <w:b/>
          <w:color w:val="000000"/>
          <w:sz w:val="24"/>
          <w:szCs w:val="24"/>
          <w:highlight w:val="none"/>
          <w:u w:val="single"/>
        </w:rPr>
        <w:t xml:space="preserve">            </w:t>
      </w:r>
      <w:r>
        <w:rPr>
          <w:rFonts w:ascii="宋体" w:hAnsi="宋体" w:eastAsia="宋体" w:cs="Times New Roman"/>
          <w:color w:val="000000"/>
          <w:sz w:val="24"/>
          <w:szCs w:val="24"/>
          <w:highlight w:val="none"/>
        </w:rPr>
        <w:t xml:space="preserve">      </w:t>
      </w:r>
    </w:p>
    <w:tbl>
      <w:tblPr>
        <w:tblStyle w:val="30"/>
        <w:tblW w:w="8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2008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860" w:type="dxa"/>
            <w:vAlign w:val="center"/>
          </w:tcPr>
          <w:p w14:paraId="72E65017">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highlight w:val="none"/>
              </w:rPr>
            </w:pPr>
            <w:r>
              <w:rPr>
                <w:rFonts w:hint="eastAsia" w:ascii="宋体" w:hAnsi="宋体" w:eastAsia="宋体" w:cs="Times New Roman"/>
                <w:b/>
                <w:szCs w:val="21"/>
                <w:highlight w:val="none"/>
              </w:rPr>
              <w:t>序号</w:t>
            </w:r>
          </w:p>
        </w:tc>
        <w:tc>
          <w:tcPr>
            <w:tcW w:w="2082" w:type="dxa"/>
            <w:vAlign w:val="center"/>
          </w:tcPr>
          <w:p w14:paraId="089B857C">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highlight w:val="none"/>
              </w:rPr>
            </w:pPr>
            <w:r>
              <w:rPr>
                <w:rFonts w:hint="eastAsia" w:ascii="宋体" w:hAnsi="宋体" w:eastAsia="宋体" w:cs="Times New Roman"/>
                <w:b/>
                <w:szCs w:val="21"/>
                <w:highlight w:val="none"/>
              </w:rPr>
              <w:t>采购单位</w:t>
            </w:r>
          </w:p>
        </w:tc>
        <w:tc>
          <w:tcPr>
            <w:tcW w:w="1355" w:type="dxa"/>
            <w:vAlign w:val="center"/>
          </w:tcPr>
          <w:p w14:paraId="515C94BA">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highlight w:val="none"/>
              </w:rPr>
            </w:pPr>
            <w:r>
              <w:rPr>
                <w:rFonts w:hint="eastAsia" w:ascii="宋体" w:hAnsi="宋体" w:eastAsia="宋体" w:cs="Times New Roman"/>
                <w:b/>
                <w:szCs w:val="21"/>
                <w:highlight w:val="none"/>
              </w:rPr>
              <w:t>项目名称</w:t>
            </w:r>
          </w:p>
          <w:p w14:paraId="67C283A0">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highlight w:val="none"/>
              </w:rPr>
            </w:pPr>
            <w:r>
              <w:rPr>
                <w:rFonts w:hint="eastAsia" w:ascii="宋体" w:hAnsi="宋体" w:eastAsia="宋体" w:cs="Times New Roman"/>
                <w:b/>
                <w:szCs w:val="21"/>
                <w:highlight w:val="none"/>
              </w:rPr>
              <w:t>（万元）</w:t>
            </w:r>
          </w:p>
        </w:tc>
        <w:tc>
          <w:tcPr>
            <w:tcW w:w="1320" w:type="dxa"/>
            <w:vAlign w:val="center"/>
          </w:tcPr>
          <w:p w14:paraId="2C408C15">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Fonts w:ascii="宋体" w:hAnsi="Times New Roman" w:eastAsia="宋体" w:cs="Times New Roman"/>
                <w:b/>
                <w:szCs w:val="21"/>
                <w:highlight w:val="none"/>
              </w:rPr>
            </w:pPr>
            <w:r>
              <w:rPr>
                <w:rFonts w:hint="eastAsia" w:ascii="宋体" w:hAnsi="宋体" w:eastAsia="宋体" w:cs="Times New Roman"/>
                <w:b/>
                <w:szCs w:val="21"/>
                <w:highlight w:val="none"/>
              </w:rPr>
              <w:t>合同金额</w:t>
            </w:r>
          </w:p>
        </w:tc>
        <w:tc>
          <w:tcPr>
            <w:tcW w:w="1023" w:type="dxa"/>
            <w:vAlign w:val="center"/>
          </w:tcPr>
          <w:p w14:paraId="434ADE3E">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Fonts w:ascii="宋体" w:hAnsi="Times New Roman" w:eastAsia="宋体" w:cs="Times New Roman"/>
                <w:b/>
                <w:szCs w:val="21"/>
                <w:highlight w:val="none"/>
              </w:rPr>
            </w:pPr>
            <w:r>
              <w:rPr>
                <w:rFonts w:hint="eastAsia" w:ascii="宋体" w:hAnsi="宋体" w:eastAsia="宋体" w:cs="Times New Roman"/>
                <w:b/>
                <w:szCs w:val="21"/>
                <w:highlight w:val="none"/>
              </w:rPr>
              <w:t>合同签订时间</w:t>
            </w:r>
          </w:p>
        </w:tc>
        <w:tc>
          <w:tcPr>
            <w:tcW w:w="1590" w:type="dxa"/>
            <w:vAlign w:val="center"/>
          </w:tcPr>
          <w:p w14:paraId="2A3CB77B">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highlight w:val="none"/>
              </w:rPr>
            </w:pPr>
            <w:r>
              <w:rPr>
                <w:rFonts w:hint="eastAsia" w:ascii="宋体" w:hAnsi="宋体" w:eastAsia="宋体" w:cs="Times New Roman"/>
                <w:b/>
                <w:szCs w:val="21"/>
                <w:highlight w:val="none"/>
              </w:rPr>
              <w:t>联系人及</w:t>
            </w:r>
          </w:p>
          <w:p w14:paraId="7657C40B">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highlight w:val="none"/>
              </w:rPr>
            </w:pPr>
            <w:r>
              <w:rPr>
                <w:rFonts w:hint="eastAsia" w:ascii="宋体" w:hAnsi="宋体" w:eastAsia="宋体" w:cs="Times New Roman"/>
                <w:b/>
                <w:szCs w:val="21"/>
                <w:highlight w:val="none"/>
              </w:rPr>
              <w:t>联系电话</w:t>
            </w:r>
          </w:p>
        </w:tc>
      </w:tr>
      <w:tr w14:paraId="1DF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0EFDE466">
            <w:pPr>
              <w:ind w:left="420" w:hanging="420"/>
              <w:rPr>
                <w:rFonts w:ascii="宋体" w:hAnsi="Times New Roman" w:eastAsia="宋体" w:cs="Times New Roman"/>
                <w:b/>
                <w:szCs w:val="20"/>
                <w:highlight w:val="none"/>
              </w:rPr>
            </w:pPr>
          </w:p>
        </w:tc>
        <w:tc>
          <w:tcPr>
            <w:tcW w:w="2082" w:type="dxa"/>
          </w:tcPr>
          <w:p w14:paraId="3D2FCE82">
            <w:pPr>
              <w:ind w:left="420" w:hanging="420"/>
              <w:rPr>
                <w:rFonts w:ascii="宋体" w:hAnsi="Times New Roman" w:eastAsia="宋体" w:cs="Times New Roman"/>
                <w:b/>
                <w:szCs w:val="20"/>
                <w:highlight w:val="none"/>
              </w:rPr>
            </w:pPr>
          </w:p>
        </w:tc>
        <w:tc>
          <w:tcPr>
            <w:tcW w:w="1355" w:type="dxa"/>
          </w:tcPr>
          <w:p w14:paraId="6E122691">
            <w:pPr>
              <w:ind w:left="420" w:hanging="420"/>
              <w:rPr>
                <w:rFonts w:ascii="宋体" w:hAnsi="Times New Roman" w:eastAsia="宋体" w:cs="Times New Roman"/>
                <w:b/>
                <w:szCs w:val="20"/>
                <w:highlight w:val="none"/>
              </w:rPr>
            </w:pPr>
          </w:p>
        </w:tc>
        <w:tc>
          <w:tcPr>
            <w:tcW w:w="1320" w:type="dxa"/>
          </w:tcPr>
          <w:p w14:paraId="495E849B">
            <w:pPr>
              <w:ind w:left="420" w:hanging="420"/>
              <w:rPr>
                <w:rFonts w:ascii="宋体" w:hAnsi="Times New Roman" w:eastAsia="宋体" w:cs="Times New Roman"/>
                <w:b/>
                <w:szCs w:val="20"/>
                <w:highlight w:val="none"/>
              </w:rPr>
            </w:pPr>
          </w:p>
        </w:tc>
        <w:tc>
          <w:tcPr>
            <w:tcW w:w="1023" w:type="dxa"/>
          </w:tcPr>
          <w:p w14:paraId="4A1218EE">
            <w:pPr>
              <w:ind w:left="420" w:hanging="420"/>
              <w:rPr>
                <w:rFonts w:ascii="宋体" w:hAnsi="Times New Roman" w:eastAsia="宋体" w:cs="Times New Roman"/>
                <w:b/>
                <w:szCs w:val="20"/>
                <w:highlight w:val="none"/>
              </w:rPr>
            </w:pPr>
          </w:p>
        </w:tc>
        <w:tc>
          <w:tcPr>
            <w:tcW w:w="1590" w:type="dxa"/>
          </w:tcPr>
          <w:p w14:paraId="33534E82">
            <w:pPr>
              <w:ind w:left="420" w:hanging="420"/>
              <w:rPr>
                <w:rFonts w:ascii="宋体" w:hAnsi="Times New Roman" w:eastAsia="宋体" w:cs="Times New Roman"/>
                <w:b/>
                <w:szCs w:val="20"/>
                <w:highlight w:val="none"/>
              </w:rPr>
            </w:pPr>
          </w:p>
        </w:tc>
      </w:tr>
      <w:tr w14:paraId="5A3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0FD41C3">
            <w:pPr>
              <w:ind w:left="420" w:hanging="420"/>
              <w:rPr>
                <w:rFonts w:ascii="宋体" w:hAnsi="Times New Roman" w:eastAsia="宋体" w:cs="Times New Roman"/>
                <w:b/>
                <w:szCs w:val="20"/>
                <w:highlight w:val="none"/>
              </w:rPr>
            </w:pPr>
          </w:p>
        </w:tc>
        <w:tc>
          <w:tcPr>
            <w:tcW w:w="2082" w:type="dxa"/>
          </w:tcPr>
          <w:p w14:paraId="4ED0B260">
            <w:pPr>
              <w:ind w:left="420" w:hanging="420"/>
              <w:rPr>
                <w:rFonts w:ascii="宋体" w:hAnsi="Times New Roman" w:eastAsia="宋体" w:cs="Times New Roman"/>
                <w:b/>
                <w:szCs w:val="20"/>
                <w:highlight w:val="none"/>
              </w:rPr>
            </w:pPr>
          </w:p>
        </w:tc>
        <w:tc>
          <w:tcPr>
            <w:tcW w:w="1355" w:type="dxa"/>
          </w:tcPr>
          <w:p w14:paraId="3757F33A">
            <w:pPr>
              <w:ind w:left="420" w:hanging="420"/>
              <w:rPr>
                <w:rFonts w:ascii="宋体" w:hAnsi="Times New Roman" w:eastAsia="宋体" w:cs="Times New Roman"/>
                <w:b/>
                <w:szCs w:val="20"/>
                <w:highlight w:val="none"/>
              </w:rPr>
            </w:pPr>
          </w:p>
        </w:tc>
        <w:tc>
          <w:tcPr>
            <w:tcW w:w="1320" w:type="dxa"/>
          </w:tcPr>
          <w:p w14:paraId="441AD68E">
            <w:pPr>
              <w:ind w:left="420" w:hanging="420"/>
              <w:rPr>
                <w:rFonts w:ascii="宋体" w:hAnsi="Times New Roman" w:eastAsia="宋体" w:cs="Times New Roman"/>
                <w:b/>
                <w:szCs w:val="20"/>
                <w:highlight w:val="none"/>
              </w:rPr>
            </w:pPr>
          </w:p>
        </w:tc>
        <w:tc>
          <w:tcPr>
            <w:tcW w:w="1023" w:type="dxa"/>
          </w:tcPr>
          <w:p w14:paraId="54A5E14C">
            <w:pPr>
              <w:ind w:left="420" w:hanging="420"/>
              <w:rPr>
                <w:rFonts w:ascii="宋体" w:hAnsi="Times New Roman" w:eastAsia="宋体" w:cs="Times New Roman"/>
                <w:b/>
                <w:szCs w:val="20"/>
                <w:highlight w:val="none"/>
              </w:rPr>
            </w:pPr>
          </w:p>
        </w:tc>
        <w:tc>
          <w:tcPr>
            <w:tcW w:w="1590" w:type="dxa"/>
          </w:tcPr>
          <w:p w14:paraId="7AC10708">
            <w:pPr>
              <w:ind w:left="420" w:hanging="420"/>
              <w:rPr>
                <w:rFonts w:ascii="宋体" w:hAnsi="Times New Roman" w:eastAsia="宋体" w:cs="Times New Roman"/>
                <w:b/>
                <w:szCs w:val="20"/>
                <w:highlight w:val="none"/>
              </w:rPr>
            </w:pPr>
          </w:p>
        </w:tc>
      </w:tr>
      <w:tr w14:paraId="6D93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294295F3">
            <w:pPr>
              <w:ind w:left="420" w:hanging="420"/>
              <w:rPr>
                <w:rFonts w:ascii="宋体" w:hAnsi="Times New Roman" w:eastAsia="宋体" w:cs="Times New Roman"/>
                <w:b/>
                <w:szCs w:val="20"/>
                <w:highlight w:val="none"/>
              </w:rPr>
            </w:pPr>
          </w:p>
        </w:tc>
        <w:tc>
          <w:tcPr>
            <w:tcW w:w="2082" w:type="dxa"/>
          </w:tcPr>
          <w:p w14:paraId="7A7F59A6">
            <w:pPr>
              <w:ind w:left="420" w:hanging="420"/>
              <w:rPr>
                <w:rFonts w:ascii="宋体" w:hAnsi="Times New Roman" w:eastAsia="宋体" w:cs="Times New Roman"/>
                <w:b/>
                <w:szCs w:val="20"/>
                <w:highlight w:val="none"/>
              </w:rPr>
            </w:pPr>
          </w:p>
        </w:tc>
        <w:tc>
          <w:tcPr>
            <w:tcW w:w="1355" w:type="dxa"/>
          </w:tcPr>
          <w:p w14:paraId="029F355C">
            <w:pPr>
              <w:ind w:left="420" w:hanging="420"/>
              <w:rPr>
                <w:rFonts w:ascii="宋体" w:hAnsi="Times New Roman" w:eastAsia="宋体" w:cs="Times New Roman"/>
                <w:b/>
                <w:szCs w:val="20"/>
                <w:highlight w:val="none"/>
              </w:rPr>
            </w:pPr>
          </w:p>
        </w:tc>
        <w:tc>
          <w:tcPr>
            <w:tcW w:w="1320" w:type="dxa"/>
          </w:tcPr>
          <w:p w14:paraId="30CECE3C">
            <w:pPr>
              <w:ind w:left="420" w:hanging="420"/>
              <w:rPr>
                <w:rFonts w:ascii="宋体" w:hAnsi="Times New Roman" w:eastAsia="宋体" w:cs="Times New Roman"/>
                <w:b/>
                <w:szCs w:val="20"/>
                <w:highlight w:val="none"/>
              </w:rPr>
            </w:pPr>
          </w:p>
        </w:tc>
        <w:tc>
          <w:tcPr>
            <w:tcW w:w="1023" w:type="dxa"/>
          </w:tcPr>
          <w:p w14:paraId="08CA960A">
            <w:pPr>
              <w:ind w:left="420" w:hanging="420"/>
              <w:rPr>
                <w:rFonts w:ascii="宋体" w:hAnsi="Times New Roman" w:eastAsia="宋体" w:cs="Times New Roman"/>
                <w:b/>
                <w:szCs w:val="20"/>
                <w:highlight w:val="none"/>
              </w:rPr>
            </w:pPr>
          </w:p>
        </w:tc>
        <w:tc>
          <w:tcPr>
            <w:tcW w:w="1590" w:type="dxa"/>
          </w:tcPr>
          <w:p w14:paraId="5EEAB7A0">
            <w:pPr>
              <w:ind w:left="420" w:hanging="420"/>
              <w:rPr>
                <w:rFonts w:ascii="宋体" w:hAnsi="Times New Roman" w:eastAsia="宋体" w:cs="Times New Roman"/>
                <w:b/>
                <w:szCs w:val="20"/>
                <w:highlight w:val="none"/>
              </w:rPr>
            </w:pPr>
          </w:p>
        </w:tc>
      </w:tr>
      <w:tr w14:paraId="69F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AAD4458">
            <w:pPr>
              <w:ind w:left="420" w:hanging="420"/>
              <w:rPr>
                <w:rFonts w:ascii="宋体" w:hAnsi="Times New Roman" w:eastAsia="宋体" w:cs="Times New Roman"/>
                <w:b/>
                <w:szCs w:val="20"/>
                <w:highlight w:val="none"/>
              </w:rPr>
            </w:pPr>
          </w:p>
        </w:tc>
        <w:tc>
          <w:tcPr>
            <w:tcW w:w="2082" w:type="dxa"/>
          </w:tcPr>
          <w:p w14:paraId="7423D2C9">
            <w:pPr>
              <w:ind w:left="420" w:hanging="420"/>
              <w:rPr>
                <w:rFonts w:ascii="宋体" w:hAnsi="Times New Roman" w:eastAsia="宋体" w:cs="Times New Roman"/>
                <w:b/>
                <w:szCs w:val="20"/>
                <w:highlight w:val="none"/>
              </w:rPr>
            </w:pPr>
          </w:p>
        </w:tc>
        <w:tc>
          <w:tcPr>
            <w:tcW w:w="1355" w:type="dxa"/>
          </w:tcPr>
          <w:p w14:paraId="1D5A5BAA">
            <w:pPr>
              <w:ind w:left="420" w:hanging="420"/>
              <w:rPr>
                <w:rFonts w:ascii="宋体" w:hAnsi="Times New Roman" w:eastAsia="宋体" w:cs="Times New Roman"/>
                <w:b/>
                <w:szCs w:val="20"/>
                <w:highlight w:val="none"/>
              </w:rPr>
            </w:pPr>
          </w:p>
        </w:tc>
        <w:tc>
          <w:tcPr>
            <w:tcW w:w="1320" w:type="dxa"/>
          </w:tcPr>
          <w:p w14:paraId="2E7B38F0">
            <w:pPr>
              <w:ind w:left="420" w:hanging="420"/>
              <w:rPr>
                <w:rFonts w:ascii="宋体" w:hAnsi="Times New Roman" w:eastAsia="宋体" w:cs="Times New Roman"/>
                <w:b/>
                <w:szCs w:val="20"/>
                <w:highlight w:val="none"/>
              </w:rPr>
            </w:pPr>
          </w:p>
        </w:tc>
        <w:tc>
          <w:tcPr>
            <w:tcW w:w="1023" w:type="dxa"/>
          </w:tcPr>
          <w:p w14:paraId="48442129">
            <w:pPr>
              <w:ind w:left="420" w:hanging="420"/>
              <w:rPr>
                <w:rFonts w:ascii="宋体" w:hAnsi="Times New Roman" w:eastAsia="宋体" w:cs="Times New Roman"/>
                <w:b/>
                <w:szCs w:val="20"/>
                <w:highlight w:val="none"/>
              </w:rPr>
            </w:pPr>
          </w:p>
        </w:tc>
        <w:tc>
          <w:tcPr>
            <w:tcW w:w="1590" w:type="dxa"/>
          </w:tcPr>
          <w:p w14:paraId="78B8F0CA">
            <w:pPr>
              <w:ind w:left="420" w:hanging="420"/>
              <w:rPr>
                <w:rFonts w:ascii="宋体" w:hAnsi="Times New Roman" w:eastAsia="宋体" w:cs="Times New Roman"/>
                <w:b/>
                <w:szCs w:val="20"/>
                <w:highlight w:val="none"/>
              </w:rPr>
            </w:pPr>
          </w:p>
        </w:tc>
      </w:tr>
      <w:tr w14:paraId="5228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A079B72">
            <w:pPr>
              <w:ind w:left="420" w:hanging="420"/>
              <w:rPr>
                <w:rFonts w:ascii="宋体" w:hAnsi="Times New Roman" w:eastAsia="宋体" w:cs="Times New Roman"/>
                <w:b/>
                <w:szCs w:val="20"/>
                <w:highlight w:val="none"/>
              </w:rPr>
            </w:pPr>
          </w:p>
        </w:tc>
        <w:tc>
          <w:tcPr>
            <w:tcW w:w="2082" w:type="dxa"/>
          </w:tcPr>
          <w:p w14:paraId="20E348AC">
            <w:pPr>
              <w:ind w:left="420" w:hanging="420"/>
              <w:rPr>
                <w:rFonts w:ascii="宋体" w:hAnsi="Times New Roman" w:eastAsia="宋体" w:cs="Times New Roman"/>
                <w:b/>
                <w:szCs w:val="20"/>
                <w:highlight w:val="none"/>
              </w:rPr>
            </w:pPr>
          </w:p>
        </w:tc>
        <w:tc>
          <w:tcPr>
            <w:tcW w:w="1355" w:type="dxa"/>
          </w:tcPr>
          <w:p w14:paraId="4A67A34F">
            <w:pPr>
              <w:ind w:left="420" w:hanging="420"/>
              <w:rPr>
                <w:rFonts w:ascii="宋体" w:hAnsi="Times New Roman" w:eastAsia="宋体" w:cs="Times New Roman"/>
                <w:b/>
                <w:szCs w:val="20"/>
                <w:highlight w:val="none"/>
              </w:rPr>
            </w:pPr>
          </w:p>
        </w:tc>
        <w:tc>
          <w:tcPr>
            <w:tcW w:w="1320" w:type="dxa"/>
          </w:tcPr>
          <w:p w14:paraId="04F0E9B7">
            <w:pPr>
              <w:ind w:left="420" w:hanging="420"/>
              <w:rPr>
                <w:rFonts w:ascii="宋体" w:hAnsi="Times New Roman" w:eastAsia="宋体" w:cs="Times New Roman"/>
                <w:b/>
                <w:szCs w:val="20"/>
                <w:highlight w:val="none"/>
              </w:rPr>
            </w:pPr>
          </w:p>
        </w:tc>
        <w:tc>
          <w:tcPr>
            <w:tcW w:w="1023" w:type="dxa"/>
          </w:tcPr>
          <w:p w14:paraId="2942C70E">
            <w:pPr>
              <w:ind w:left="420" w:hanging="420"/>
              <w:rPr>
                <w:rFonts w:ascii="宋体" w:hAnsi="Times New Roman" w:eastAsia="宋体" w:cs="Times New Roman"/>
                <w:b/>
                <w:szCs w:val="20"/>
                <w:highlight w:val="none"/>
              </w:rPr>
            </w:pPr>
          </w:p>
        </w:tc>
        <w:tc>
          <w:tcPr>
            <w:tcW w:w="1590" w:type="dxa"/>
          </w:tcPr>
          <w:p w14:paraId="01DB390F">
            <w:pPr>
              <w:ind w:left="420" w:hanging="420"/>
              <w:rPr>
                <w:rFonts w:ascii="宋体" w:hAnsi="Times New Roman" w:eastAsia="宋体" w:cs="Times New Roman"/>
                <w:b/>
                <w:szCs w:val="20"/>
                <w:highlight w:val="none"/>
              </w:rPr>
            </w:pPr>
          </w:p>
        </w:tc>
      </w:tr>
      <w:tr w14:paraId="032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7CA24210">
            <w:pPr>
              <w:ind w:left="420" w:hanging="420"/>
              <w:rPr>
                <w:rFonts w:ascii="宋体" w:hAnsi="Times New Roman" w:eastAsia="宋体" w:cs="Times New Roman"/>
                <w:b/>
                <w:szCs w:val="20"/>
                <w:highlight w:val="none"/>
              </w:rPr>
            </w:pPr>
          </w:p>
        </w:tc>
        <w:tc>
          <w:tcPr>
            <w:tcW w:w="2082" w:type="dxa"/>
          </w:tcPr>
          <w:p w14:paraId="77CD530D">
            <w:pPr>
              <w:ind w:left="420" w:hanging="420"/>
              <w:rPr>
                <w:rFonts w:ascii="宋体" w:hAnsi="Times New Roman" w:eastAsia="宋体" w:cs="Times New Roman"/>
                <w:b/>
                <w:szCs w:val="20"/>
                <w:highlight w:val="none"/>
              </w:rPr>
            </w:pPr>
          </w:p>
        </w:tc>
        <w:tc>
          <w:tcPr>
            <w:tcW w:w="1355" w:type="dxa"/>
          </w:tcPr>
          <w:p w14:paraId="1AF801A7">
            <w:pPr>
              <w:ind w:left="420" w:hanging="420"/>
              <w:rPr>
                <w:rFonts w:ascii="宋体" w:hAnsi="Times New Roman" w:eastAsia="宋体" w:cs="Times New Roman"/>
                <w:b/>
                <w:szCs w:val="20"/>
                <w:highlight w:val="none"/>
              </w:rPr>
            </w:pPr>
          </w:p>
        </w:tc>
        <w:tc>
          <w:tcPr>
            <w:tcW w:w="1320" w:type="dxa"/>
          </w:tcPr>
          <w:p w14:paraId="376414BF">
            <w:pPr>
              <w:ind w:left="420" w:hanging="420"/>
              <w:rPr>
                <w:rFonts w:ascii="宋体" w:hAnsi="Times New Roman" w:eastAsia="宋体" w:cs="Times New Roman"/>
                <w:b/>
                <w:szCs w:val="20"/>
                <w:highlight w:val="none"/>
              </w:rPr>
            </w:pPr>
          </w:p>
        </w:tc>
        <w:tc>
          <w:tcPr>
            <w:tcW w:w="1023" w:type="dxa"/>
          </w:tcPr>
          <w:p w14:paraId="157CBC41">
            <w:pPr>
              <w:ind w:left="420" w:hanging="420"/>
              <w:rPr>
                <w:rFonts w:ascii="宋体" w:hAnsi="Times New Roman" w:eastAsia="宋体" w:cs="Times New Roman"/>
                <w:b/>
                <w:szCs w:val="20"/>
                <w:highlight w:val="none"/>
              </w:rPr>
            </w:pPr>
          </w:p>
        </w:tc>
        <w:tc>
          <w:tcPr>
            <w:tcW w:w="1590" w:type="dxa"/>
          </w:tcPr>
          <w:p w14:paraId="6D4ECD6C">
            <w:pPr>
              <w:ind w:left="420" w:hanging="420"/>
              <w:rPr>
                <w:rFonts w:ascii="宋体" w:hAnsi="Times New Roman" w:eastAsia="宋体" w:cs="Times New Roman"/>
                <w:b/>
                <w:szCs w:val="20"/>
                <w:highlight w:val="none"/>
              </w:rPr>
            </w:pPr>
          </w:p>
        </w:tc>
      </w:tr>
      <w:tr w14:paraId="5418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39602B19">
            <w:pPr>
              <w:ind w:left="420" w:hanging="420"/>
              <w:rPr>
                <w:rFonts w:ascii="宋体" w:hAnsi="Times New Roman" w:eastAsia="宋体" w:cs="Times New Roman"/>
                <w:b/>
                <w:szCs w:val="20"/>
                <w:highlight w:val="none"/>
              </w:rPr>
            </w:pPr>
          </w:p>
        </w:tc>
        <w:tc>
          <w:tcPr>
            <w:tcW w:w="2082" w:type="dxa"/>
          </w:tcPr>
          <w:p w14:paraId="39623141">
            <w:pPr>
              <w:ind w:left="420" w:hanging="420"/>
              <w:rPr>
                <w:rFonts w:ascii="宋体" w:hAnsi="Times New Roman" w:eastAsia="宋体" w:cs="Times New Roman"/>
                <w:b/>
                <w:szCs w:val="20"/>
                <w:highlight w:val="none"/>
              </w:rPr>
            </w:pPr>
          </w:p>
        </w:tc>
        <w:tc>
          <w:tcPr>
            <w:tcW w:w="1355" w:type="dxa"/>
          </w:tcPr>
          <w:p w14:paraId="07086CEC">
            <w:pPr>
              <w:ind w:left="420" w:hanging="420"/>
              <w:rPr>
                <w:rFonts w:ascii="宋体" w:hAnsi="Times New Roman" w:eastAsia="宋体" w:cs="Times New Roman"/>
                <w:b/>
                <w:szCs w:val="20"/>
                <w:highlight w:val="none"/>
              </w:rPr>
            </w:pPr>
          </w:p>
        </w:tc>
        <w:tc>
          <w:tcPr>
            <w:tcW w:w="1320" w:type="dxa"/>
          </w:tcPr>
          <w:p w14:paraId="69475932">
            <w:pPr>
              <w:ind w:left="420" w:hanging="420"/>
              <w:rPr>
                <w:rFonts w:ascii="宋体" w:hAnsi="Times New Roman" w:eastAsia="宋体" w:cs="Times New Roman"/>
                <w:b/>
                <w:szCs w:val="20"/>
                <w:highlight w:val="none"/>
              </w:rPr>
            </w:pPr>
          </w:p>
        </w:tc>
        <w:tc>
          <w:tcPr>
            <w:tcW w:w="1023" w:type="dxa"/>
          </w:tcPr>
          <w:p w14:paraId="7135CD98">
            <w:pPr>
              <w:ind w:left="420" w:hanging="420"/>
              <w:rPr>
                <w:rFonts w:ascii="宋体" w:hAnsi="Times New Roman" w:eastAsia="宋体" w:cs="Times New Roman"/>
                <w:b/>
                <w:szCs w:val="20"/>
                <w:highlight w:val="none"/>
              </w:rPr>
            </w:pPr>
          </w:p>
        </w:tc>
        <w:tc>
          <w:tcPr>
            <w:tcW w:w="1590" w:type="dxa"/>
          </w:tcPr>
          <w:p w14:paraId="381D38C7">
            <w:pPr>
              <w:ind w:left="420" w:hanging="420"/>
              <w:rPr>
                <w:rFonts w:ascii="宋体" w:hAnsi="Times New Roman" w:eastAsia="宋体" w:cs="Times New Roman"/>
                <w:b/>
                <w:szCs w:val="20"/>
                <w:highlight w:val="none"/>
              </w:rPr>
            </w:pPr>
          </w:p>
        </w:tc>
      </w:tr>
      <w:tr w14:paraId="64A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39E48CB2">
            <w:pPr>
              <w:ind w:left="420" w:hanging="420"/>
              <w:rPr>
                <w:rFonts w:ascii="宋体" w:hAnsi="Times New Roman" w:eastAsia="宋体" w:cs="Times New Roman"/>
                <w:b/>
                <w:szCs w:val="20"/>
                <w:highlight w:val="none"/>
              </w:rPr>
            </w:pPr>
          </w:p>
        </w:tc>
        <w:tc>
          <w:tcPr>
            <w:tcW w:w="2082" w:type="dxa"/>
          </w:tcPr>
          <w:p w14:paraId="0FF652EC">
            <w:pPr>
              <w:ind w:left="420" w:hanging="420"/>
              <w:rPr>
                <w:rFonts w:ascii="宋体" w:hAnsi="Times New Roman" w:eastAsia="宋体" w:cs="Times New Roman"/>
                <w:b/>
                <w:szCs w:val="20"/>
                <w:highlight w:val="none"/>
              </w:rPr>
            </w:pPr>
          </w:p>
        </w:tc>
        <w:tc>
          <w:tcPr>
            <w:tcW w:w="1355" w:type="dxa"/>
          </w:tcPr>
          <w:p w14:paraId="77D7DB6F">
            <w:pPr>
              <w:ind w:left="420" w:hanging="420"/>
              <w:rPr>
                <w:rFonts w:ascii="宋体" w:hAnsi="Times New Roman" w:eastAsia="宋体" w:cs="Times New Roman"/>
                <w:b/>
                <w:szCs w:val="20"/>
                <w:highlight w:val="none"/>
              </w:rPr>
            </w:pPr>
          </w:p>
        </w:tc>
        <w:tc>
          <w:tcPr>
            <w:tcW w:w="1320" w:type="dxa"/>
          </w:tcPr>
          <w:p w14:paraId="2F0A17E7">
            <w:pPr>
              <w:ind w:left="420" w:hanging="420"/>
              <w:rPr>
                <w:rFonts w:ascii="宋体" w:hAnsi="Times New Roman" w:eastAsia="宋体" w:cs="Times New Roman"/>
                <w:b/>
                <w:szCs w:val="20"/>
                <w:highlight w:val="none"/>
              </w:rPr>
            </w:pPr>
          </w:p>
        </w:tc>
        <w:tc>
          <w:tcPr>
            <w:tcW w:w="1023" w:type="dxa"/>
          </w:tcPr>
          <w:p w14:paraId="3143C605">
            <w:pPr>
              <w:ind w:left="420" w:hanging="420"/>
              <w:rPr>
                <w:rFonts w:ascii="宋体" w:hAnsi="Times New Roman" w:eastAsia="宋体" w:cs="Times New Roman"/>
                <w:b/>
                <w:szCs w:val="20"/>
                <w:highlight w:val="none"/>
              </w:rPr>
            </w:pPr>
          </w:p>
        </w:tc>
        <w:tc>
          <w:tcPr>
            <w:tcW w:w="1590" w:type="dxa"/>
          </w:tcPr>
          <w:p w14:paraId="10108423">
            <w:pPr>
              <w:ind w:left="420" w:hanging="420"/>
              <w:rPr>
                <w:rFonts w:ascii="宋体" w:hAnsi="Times New Roman" w:eastAsia="宋体" w:cs="Times New Roman"/>
                <w:b/>
                <w:szCs w:val="20"/>
                <w:highlight w:val="none"/>
              </w:rPr>
            </w:pPr>
          </w:p>
        </w:tc>
      </w:tr>
      <w:tr w14:paraId="034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6660A6EB">
            <w:pPr>
              <w:ind w:left="420" w:hanging="420"/>
              <w:rPr>
                <w:rFonts w:ascii="宋体" w:hAnsi="Times New Roman" w:eastAsia="宋体" w:cs="Times New Roman"/>
                <w:b/>
                <w:szCs w:val="20"/>
                <w:highlight w:val="none"/>
              </w:rPr>
            </w:pPr>
          </w:p>
        </w:tc>
        <w:tc>
          <w:tcPr>
            <w:tcW w:w="2082" w:type="dxa"/>
          </w:tcPr>
          <w:p w14:paraId="24F0685A">
            <w:pPr>
              <w:ind w:left="420" w:hanging="420"/>
              <w:rPr>
                <w:rFonts w:ascii="宋体" w:hAnsi="Times New Roman" w:eastAsia="宋体" w:cs="Times New Roman"/>
                <w:b/>
                <w:szCs w:val="20"/>
                <w:highlight w:val="none"/>
              </w:rPr>
            </w:pPr>
          </w:p>
        </w:tc>
        <w:tc>
          <w:tcPr>
            <w:tcW w:w="1355" w:type="dxa"/>
          </w:tcPr>
          <w:p w14:paraId="35E01C83">
            <w:pPr>
              <w:ind w:left="420" w:hanging="420"/>
              <w:rPr>
                <w:rFonts w:ascii="宋体" w:hAnsi="Times New Roman" w:eastAsia="宋体" w:cs="Times New Roman"/>
                <w:b/>
                <w:szCs w:val="20"/>
                <w:highlight w:val="none"/>
              </w:rPr>
            </w:pPr>
          </w:p>
        </w:tc>
        <w:tc>
          <w:tcPr>
            <w:tcW w:w="1320" w:type="dxa"/>
          </w:tcPr>
          <w:p w14:paraId="71B2A2EE">
            <w:pPr>
              <w:ind w:left="420" w:hanging="420"/>
              <w:rPr>
                <w:rFonts w:ascii="宋体" w:hAnsi="Times New Roman" w:eastAsia="宋体" w:cs="Times New Roman"/>
                <w:b/>
                <w:szCs w:val="20"/>
                <w:highlight w:val="none"/>
              </w:rPr>
            </w:pPr>
          </w:p>
        </w:tc>
        <w:tc>
          <w:tcPr>
            <w:tcW w:w="1023" w:type="dxa"/>
          </w:tcPr>
          <w:p w14:paraId="6D218064">
            <w:pPr>
              <w:ind w:left="420" w:hanging="420"/>
              <w:rPr>
                <w:rFonts w:ascii="宋体" w:hAnsi="Times New Roman" w:eastAsia="宋体" w:cs="Times New Roman"/>
                <w:b/>
                <w:szCs w:val="20"/>
                <w:highlight w:val="none"/>
              </w:rPr>
            </w:pPr>
          </w:p>
        </w:tc>
        <w:tc>
          <w:tcPr>
            <w:tcW w:w="1590" w:type="dxa"/>
          </w:tcPr>
          <w:p w14:paraId="394766F4">
            <w:pPr>
              <w:ind w:left="420" w:hanging="420"/>
              <w:rPr>
                <w:rFonts w:ascii="宋体" w:hAnsi="Times New Roman" w:eastAsia="宋体" w:cs="Times New Roman"/>
                <w:b/>
                <w:szCs w:val="20"/>
                <w:highlight w:val="none"/>
              </w:rPr>
            </w:pPr>
          </w:p>
        </w:tc>
      </w:tr>
      <w:tr w14:paraId="5DCA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18297B04">
            <w:pPr>
              <w:ind w:left="420" w:hanging="420"/>
              <w:rPr>
                <w:rFonts w:ascii="宋体" w:hAnsi="Times New Roman" w:eastAsia="宋体" w:cs="Times New Roman"/>
                <w:b/>
                <w:szCs w:val="20"/>
                <w:highlight w:val="none"/>
              </w:rPr>
            </w:pPr>
          </w:p>
        </w:tc>
        <w:tc>
          <w:tcPr>
            <w:tcW w:w="2082" w:type="dxa"/>
          </w:tcPr>
          <w:p w14:paraId="0A6119C2">
            <w:pPr>
              <w:ind w:left="420" w:hanging="420"/>
              <w:rPr>
                <w:rFonts w:ascii="宋体" w:hAnsi="Times New Roman" w:eastAsia="宋体" w:cs="Times New Roman"/>
                <w:b/>
                <w:szCs w:val="20"/>
                <w:highlight w:val="none"/>
              </w:rPr>
            </w:pPr>
          </w:p>
        </w:tc>
        <w:tc>
          <w:tcPr>
            <w:tcW w:w="1355" w:type="dxa"/>
          </w:tcPr>
          <w:p w14:paraId="4A25CEAA">
            <w:pPr>
              <w:ind w:left="420" w:hanging="420"/>
              <w:rPr>
                <w:rFonts w:ascii="宋体" w:hAnsi="Times New Roman" w:eastAsia="宋体" w:cs="Times New Roman"/>
                <w:b/>
                <w:szCs w:val="20"/>
                <w:highlight w:val="none"/>
              </w:rPr>
            </w:pPr>
          </w:p>
        </w:tc>
        <w:tc>
          <w:tcPr>
            <w:tcW w:w="1320" w:type="dxa"/>
          </w:tcPr>
          <w:p w14:paraId="27762986">
            <w:pPr>
              <w:ind w:left="420" w:hanging="420"/>
              <w:rPr>
                <w:rFonts w:ascii="宋体" w:hAnsi="Times New Roman" w:eastAsia="宋体" w:cs="Times New Roman"/>
                <w:b/>
                <w:szCs w:val="20"/>
                <w:highlight w:val="none"/>
              </w:rPr>
            </w:pPr>
          </w:p>
        </w:tc>
        <w:tc>
          <w:tcPr>
            <w:tcW w:w="1023" w:type="dxa"/>
          </w:tcPr>
          <w:p w14:paraId="7B23C461">
            <w:pPr>
              <w:ind w:left="420" w:hanging="420"/>
              <w:rPr>
                <w:rFonts w:ascii="宋体" w:hAnsi="Times New Roman" w:eastAsia="宋体" w:cs="Times New Roman"/>
                <w:b/>
                <w:szCs w:val="20"/>
                <w:highlight w:val="none"/>
              </w:rPr>
            </w:pPr>
          </w:p>
        </w:tc>
        <w:tc>
          <w:tcPr>
            <w:tcW w:w="1590" w:type="dxa"/>
          </w:tcPr>
          <w:p w14:paraId="2631C11D">
            <w:pPr>
              <w:ind w:left="420" w:hanging="420"/>
              <w:rPr>
                <w:rFonts w:ascii="宋体" w:hAnsi="Times New Roman" w:eastAsia="宋体" w:cs="Times New Roman"/>
                <w:b/>
                <w:szCs w:val="20"/>
                <w:highlight w:val="none"/>
              </w:rPr>
            </w:pPr>
          </w:p>
        </w:tc>
      </w:tr>
      <w:tr w14:paraId="3E7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297" w:type="dxa"/>
            <w:gridSpan w:val="3"/>
          </w:tcPr>
          <w:p w14:paraId="7D299EF7">
            <w:pPr>
              <w:ind w:left="420" w:hanging="420"/>
              <w:rPr>
                <w:rFonts w:ascii="宋体" w:hAnsi="Times New Roman" w:eastAsia="宋体" w:cs="Times New Roman"/>
                <w:b/>
                <w:szCs w:val="20"/>
                <w:highlight w:val="none"/>
              </w:rPr>
            </w:pPr>
            <w:r>
              <w:rPr>
                <w:rFonts w:ascii="宋体" w:hAnsi="宋体" w:eastAsia="宋体" w:cs="宋体"/>
                <w:sz w:val="24"/>
                <w:szCs w:val="24"/>
                <w:highlight w:val="none"/>
              </w:rPr>
              <w:t>20</w:t>
            </w: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2</w:t>
            </w:r>
            <w:r>
              <w:rPr>
                <w:rFonts w:ascii="宋体" w:hAnsi="宋体" w:eastAsia="宋体" w:cs="宋体"/>
                <w:sz w:val="24"/>
                <w:szCs w:val="24"/>
                <w:highlight w:val="none"/>
              </w:rPr>
              <w:t>年1月1日至今所有业绩合同总额汇总（必填）</w:t>
            </w:r>
          </w:p>
        </w:tc>
        <w:tc>
          <w:tcPr>
            <w:tcW w:w="1320" w:type="dxa"/>
          </w:tcPr>
          <w:p w14:paraId="40C45986">
            <w:pPr>
              <w:ind w:left="420" w:hanging="420"/>
              <w:rPr>
                <w:rFonts w:ascii="宋体" w:hAnsi="Times New Roman" w:eastAsia="宋体" w:cs="Times New Roman"/>
                <w:b/>
                <w:szCs w:val="20"/>
                <w:highlight w:val="none"/>
              </w:rPr>
            </w:pPr>
          </w:p>
        </w:tc>
        <w:tc>
          <w:tcPr>
            <w:tcW w:w="1023" w:type="dxa"/>
          </w:tcPr>
          <w:p w14:paraId="47AB43D1">
            <w:pPr>
              <w:ind w:left="420" w:hanging="420"/>
              <w:rPr>
                <w:rFonts w:ascii="宋体" w:hAnsi="Times New Roman" w:eastAsia="宋体" w:cs="Times New Roman"/>
                <w:b/>
                <w:szCs w:val="20"/>
                <w:highlight w:val="none"/>
              </w:rPr>
            </w:pPr>
          </w:p>
        </w:tc>
        <w:tc>
          <w:tcPr>
            <w:tcW w:w="1590" w:type="dxa"/>
          </w:tcPr>
          <w:p w14:paraId="10559679">
            <w:pPr>
              <w:ind w:left="420" w:hanging="420"/>
              <w:rPr>
                <w:rFonts w:ascii="宋体" w:hAnsi="Times New Roman" w:eastAsia="宋体" w:cs="Times New Roman"/>
                <w:b/>
                <w:szCs w:val="20"/>
                <w:highlight w:val="none"/>
              </w:rPr>
            </w:pPr>
          </w:p>
        </w:tc>
      </w:tr>
    </w:tbl>
    <w:p w14:paraId="7915B601">
      <w:pPr>
        <w:spacing w:line="240" w:lineRule="atLeast"/>
        <w:rPr>
          <w:rFonts w:ascii="宋体" w:hAnsi="Calibri" w:eastAsia="宋体" w:cs="Times New Roman"/>
          <w:sz w:val="24"/>
          <w:szCs w:val="20"/>
          <w:highlight w:val="none"/>
        </w:rPr>
      </w:pPr>
      <w:r>
        <w:rPr>
          <w:rFonts w:hint="eastAsia" w:ascii="宋体" w:hAnsi="宋体" w:eastAsia="宋体" w:cs="Times New Roman"/>
          <w:sz w:val="24"/>
          <w:szCs w:val="20"/>
          <w:highlight w:val="none"/>
        </w:rPr>
        <w:t>注：</w:t>
      </w:r>
      <w:r>
        <w:rPr>
          <w:rFonts w:hint="eastAsia" w:ascii="宋体" w:hAnsi="宋体" w:eastAsia="宋体" w:cs="宋体"/>
          <w:kern w:val="0"/>
          <w:sz w:val="24"/>
          <w:szCs w:val="20"/>
          <w:highlight w:val="none"/>
        </w:rPr>
        <w:t>提供202</w:t>
      </w:r>
      <w:r>
        <w:rPr>
          <w:rFonts w:hint="eastAsia" w:ascii="宋体" w:hAnsi="宋体" w:eastAsia="宋体" w:cs="宋体"/>
          <w:kern w:val="0"/>
          <w:sz w:val="24"/>
          <w:szCs w:val="20"/>
          <w:highlight w:val="none"/>
          <w:lang w:val="en-US" w:eastAsia="zh-CN"/>
        </w:rPr>
        <w:t>2</w:t>
      </w:r>
      <w:r>
        <w:rPr>
          <w:rFonts w:hint="eastAsia" w:ascii="宋体" w:hAnsi="宋体" w:eastAsia="宋体" w:cs="宋体"/>
          <w:kern w:val="0"/>
          <w:sz w:val="24"/>
          <w:szCs w:val="20"/>
          <w:highlight w:val="none"/>
        </w:rPr>
        <w:t>年1月1日以来同类产品的制造销售业绩（用户名单、联系方式）</w:t>
      </w:r>
      <w:r>
        <w:rPr>
          <w:rFonts w:hint="eastAsia" w:ascii="宋体" w:hAnsi="宋体" w:eastAsia="宋体" w:cs="Times New Roman"/>
          <w:sz w:val="24"/>
          <w:szCs w:val="20"/>
          <w:highlight w:val="none"/>
        </w:rPr>
        <w:t>，并附合同复印件。</w:t>
      </w:r>
      <w:r>
        <w:rPr>
          <w:rFonts w:hint="eastAsia" w:ascii="宋体" w:hAnsi="宋体" w:eastAsia="宋体" w:cs="宋体"/>
          <w:kern w:val="0"/>
          <w:sz w:val="24"/>
          <w:szCs w:val="20"/>
          <w:highlight w:val="none"/>
        </w:rPr>
        <w:t>该同类项目业绩一览表</w:t>
      </w:r>
      <w:r>
        <w:rPr>
          <w:rFonts w:hint="eastAsia" w:ascii="宋体" w:hAnsi="宋体" w:eastAsia="宋体" w:cs="宋体"/>
          <w:b/>
          <w:bCs/>
          <w:kern w:val="0"/>
          <w:sz w:val="24"/>
          <w:szCs w:val="20"/>
          <w:highlight w:val="none"/>
        </w:rPr>
        <w:t>必须如实填写，应全尽全</w:t>
      </w:r>
      <w:r>
        <w:rPr>
          <w:rFonts w:hint="eastAsia" w:ascii="宋体" w:hAnsi="宋体" w:eastAsia="宋体" w:cs="宋体"/>
          <w:kern w:val="0"/>
          <w:sz w:val="24"/>
          <w:szCs w:val="20"/>
          <w:highlight w:val="none"/>
        </w:rPr>
        <w:t>；一览表最终的所有业绩</w:t>
      </w:r>
      <w:r>
        <w:rPr>
          <w:rFonts w:hint="eastAsia" w:ascii="宋体" w:hAnsi="宋体" w:eastAsia="宋体" w:cs="宋体"/>
          <w:b/>
          <w:bCs/>
          <w:kern w:val="0"/>
          <w:sz w:val="24"/>
          <w:szCs w:val="20"/>
          <w:highlight w:val="none"/>
        </w:rPr>
        <w:t>合同总额汇总必填</w:t>
      </w:r>
      <w:r>
        <w:rPr>
          <w:rFonts w:hint="eastAsia" w:ascii="宋体" w:hAnsi="宋体" w:eastAsia="宋体" w:cs="宋体"/>
          <w:kern w:val="0"/>
          <w:sz w:val="24"/>
          <w:szCs w:val="20"/>
          <w:highlight w:val="none"/>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highlight w:val="none"/>
        </w:rPr>
        <w:t>。</w:t>
      </w:r>
    </w:p>
    <w:p w14:paraId="50F44EC1">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77E2ED6">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4ED790B9">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144B3589">
      <w:pPr>
        <w:rPr>
          <w:rFonts w:hint="eastAsia" w:hAnsi="宋体" w:cs="宋体"/>
          <w:b/>
          <w:bCs/>
          <w:kern w:val="2"/>
          <w:sz w:val="32"/>
          <w:szCs w:val="32"/>
          <w:highlight w:val="none"/>
          <w:lang w:val="en-US" w:eastAsia="zh-CN" w:bidi="ar-SA"/>
        </w:rPr>
      </w:pPr>
      <w:r>
        <w:rPr>
          <w:rFonts w:hint="eastAsia" w:ascii="Times New Roman" w:hAnsi="Times New Roman" w:eastAsia="宋体" w:cs="Times New Roman"/>
          <w:b/>
          <w:bCs/>
          <w:color w:val="000000"/>
          <w:sz w:val="24"/>
          <w:szCs w:val="24"/>
          <w:highlight w:val="none"/>
        </w:rPr>
        <w:br w:type="page"/>
      </w:r>
    </w:p>
    <w:p w14:paraId="2DC96BAA">
      <w:pPr>
        <w:keepNext/>
        <w:keepLines/>
        <w:pageBreakBefore w:val="0"/>
        <w:kinsoku/>
        <w:wordWrap/>
        <w:overflowPunct/>
        <w:topLinePunct w:val="0"/>
        <w:autoSpaceDE/>
        <w:autoSpaceDN/>
        <w:bidi w:val="0"/>
        <w:spacing w:after="0"/>
        <w:outlineLvl w:val="2"/>
        <w:rPr>
          <w:rFonts w:hint="eastAsia" w:ascii="宋体" w:hAnsi="宋体" w:eastAsia="宋体" w:cs="宋体"/>
          <w:b/>
          <w:bCs/>
          <w:kern w:val="2"/>
          <w:sz w:val="32"/>
          <w:szCs w:val="32"/>
          <w:highlight w:val="none"/>
          <w:lang w:val="en-US" w:eastAsia="zh-CN" w:bidi="ar-SA"/>
        </w:rPr>
      </w:pPr>
      <w:r>
        <w:rPr>
          <w:rFonts w:hint="eastAsia" w:ascii="宋体" w:hAnsi="宋体" w:eastAsia="宋体" w:cs="宋体"/>
          <w:b/>
          <w:bCs/>
          <w:kern w:val="2"/>
          <w:sz w:val="32"/>
          <w:szCs w:val="32"/>
          <w:highlight w:val="none"/>
          <w:lang w:val="en-US" w:eastAsia="zh-CN" w:bidi="ar-SA"/>
        </w:rPr>
        <w:t xml:space="preserve">附件6 </w:t>
      </w:r>
    </w:p>
    <w:p w14:paraId="4995ADAB">
      <w:pPr>
        <w:keepNext/>
        <w:keepLines/>
        <w:pageBreakBefore w:val="0"/>
        <w:kinsoku/>
        <w:wordWrap/>
        <w:overflowPunct/>
        <w:topLinePunct w:val="0"/>
        <w:autoSpaceDE/>
        <w:autoSpaceDN/>
        <w:bidi w:val="0"/>
        <w:spacing w:after="0"/>
        <w:jc w:val="center"/>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商务条款偏离表</w:t>
      </w:r>
    </w:p>
    <w:p w14:paraId="0E344BEC">
      <w:pPr>
        <w:pageBreakBefore w:val="0"/>
        <w:kinsoku/>
        <w:wordWrap/>
        <w:overflowPunct/>
        <w:topLinePunct w:val="0"/>
        <w:autoSpaceDE/>
        <w:autoSpaceDN/>
        <w:bidi w:val="0"/>
        <w:spacing w:after="0"/>
        <w:rPr>
          <w:rFonts w:ascii="Calibri" w:hAnsi="Calibri" w:eastAsia="宋体" w:cs="Times New Roman"/>
          <w:szCs w:val="20"/>
          <w:highlight w:val="none"/>
        </w:rPr>
      </w:pP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4"/>
        <w:gridCol w:w="2622"/>
        <w:gridCol w:w="2885"/>
        <w:gridCol w:w="1645"/>
      </w:tblGrid>
      <w:tr w14:paraId="02867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07514533">
            <w:pPr>
              <w:pageBreakBefore w:val="0"/>
              <w:kinsoku/>
              <w:wordWrap/>
              <w:overflowPunct/>
              <w:topLinePunct w:val="0"/>
              <w:autoSpaceDE/>
              <w:autoSpaceDN/>
              <w:bidi w:val="0"/>
              <w:spacing w:after="0"/>
              <w:jc w:val="center"/>
              <w:rPr>
                <w:rFonts w:ascii="Times New Roman" w:hAnsi="Times New Roman" w:eastAsia="宋体" w:cs="Times New Roman"/>
                <w:b/>
                <w:szCs w:val="20"/>
                <w:highlight w:val="none"/>
              </w:rPr>
            </w:pPr>
            <w:r>
              <w:rPr>
                <w:rFonts w:hint="eastAsia" w:ascii="宋体" w:hAnsi="宋体" w:eastAsia="宋体" w:cs="宋体"/>
                <w:b/>
                <w:szCs w:val="20"/>
                <w:highlight w:val="none"/>
                <w:lang w:val="en-US" w:eastAsia="zh-CN"/>
              </w:rPr>
              <w:t>项目</w:t>
            </w:r>
          </w:p>
        </w:tc>
        <w:tc>
          <w:tcPr>
            <w:tcW w:w="2622" w:type="dxa"/>
            <w:tcBorders>
              <w:top w:val="single" w:color="auto" w:sz="4" w:space="0"/>
              <w:left w:val="single" w:color="auto" w:sz="4" w:space="0"/>
              <w:bottom w:val="single" w:color="auto" w:sz="4" w:space="0"/>
              <w:right w:val="single" w:color="auto" w:sz="4" w:space="0"/>
            </w:tcBorders>
            <w:vAlign w:val="center"/>
          </w:tcPr>
          <w:p w14:paraId="53D86C4D">
            <w:pPr>
              <w:pageBreakBefore w:val="0"/>
              <w:kinsoku/>
              <w:wordWrap/>
              <w:overflowPunct/>
              <w:topLinePunct w:val="0"/>
              <w:autoSpaceDE/>
              <w:autoSpaceDN/>
              <w:bidi w:val="0"/>
              <w:spacing w:after="0"/>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0BF9759">
            <w:pPr>
              <w:pageBreakBefore w:val="0"/>
              <w:kinsoku/>
              <w:wordWrap/>
              <w:overflowPunct/>
              <w:topLinePunct w:val="0"/>
              <w:autoSpaceDE/>
              <w:autoSpaceDN/>
              <w:bidi w:val="0"/>
              <w:spacing w:after="0"/>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45" w:type="dxa"/>
            <w:tcBorders>
              <w:top w:val="single" w:color="auto" w:sz="4" w:space="0"/>
              <w:left w:val="single" w:color="auto" w:sz="4" w:space="0"/>
              <w:bottom w:val="single" w:color="auto" w:sz="4" w:space="0"/>
            </w:tcBorders>
            <w:vAlign w:val="center"/>
          </w:tcPr>
          <w:p w14:paraId="411DEED9">
            <w:pPr>
              <w:pageBreakBefore w:val="0"/>
              <w:kinsoku/>
              <w:wordWrap/>
              <w:overflowPunct/>
              <w:topLinePunct w:val="0"/>
              <w:autoSpaceDE/>
              <w:autoSpaceDN/>
              <w:bidi w:val="0"/>
              <w:spacing w:after="0"/>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p w14:paraId="3460D98B">
            <w:pPr>
              <w:pageBreakBefore w:val="0"/>
              <w:kinsoku/>
              <w:wordWrap/>
              <w:overflowPunct/>
              <w:topLinePunct w:val="0"/>
              <w:autoSpaceDE/>
              <w:autoSpaceDN/>
              <w:bidi w:val="0"/>
              <w:spacing w:after="0"/>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（提供说明）</w:t>
            </w:r>
          </w:p>
        </w:tc>
      </w:tr>
      <w:tr w14:paraId="02255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7B1366CF">
            <w:pPr>
              <w:pageBreakBefore w:val="0"/>
              <w:kinsoku/>
              <w:wordWrap/>
              <w:overflowPunct/>
              <w:topLinePunct w:val="0"/>
              <w:autoSpaceDE/>
              <w:autoSpaceDN/>
              <w:bidi w:val="0"/>
              <w:spacing w:after="0"/>
              <w:jc w:val="center"/>
              <w:rPr>
                <w:rFonts w:ascii="Times New Roman" w:hAnsi="Times New Roman" w:eastAsia="宋体" w:cs="Times New Roman"/>
                <w:b/>
                <w:szCs w:val="20"/>
                <w:highlight w:val="none"/>
              </w:rPr>
            </w:pPr>
            <w:r>
              <w:rPr>
                <w:rFonts w:hint="eastAsia" w:ascii="宋体" w:hAnsi="宋体" w:eastAsia="宋体" w:cs="宋体"/>
                <w:b/>
                <w:szCs w:val="20"/>
                <w:highlight w:val="none"/>
              </w:rPr>
              <w:t>质保期</w:t>
            </w:r>
          </w:p>
        </w:tc>
        <w:tc>
          <w:tcPr>
            <w:tcW w:w="2622" w:type="dxa"/>
            <w:tcBorders>
              <w:top w:val="single" w:color="auto" w:sz="4" w:space="0"/>
              <w:left w:val="single" w:color="auto" w:sz="4" w:space="0"/>
              <w:bottom w:val="single" w:color="auto" w:sz="4" w:space="0"/>
              <w:right w:val="single" w:color="auto" w:sz="4" w:space="0"/>
            </w:tcBorders>
            <w:vAlign w:val="center"/>
          </w:tcPr>
          <w:p w14:paraId="325C2025">
            <w:pPr>
              <w:pageBreakBefore w:val="0"/>
              <w:kinsoku/>
              <w:wordWrap/>
              <w:overflowPunct/>
              <w:topLinePunct w:val="0"/>
              <w:autoSpaceDE/>
              <w:autoSpaceDN/>
              <w:bidi w:val="0"/>
              <w:spacing w:after="0"/>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1349E91C">
            <w:pPr>
              <w:pageBreakBefore w:val="0"/>
              <w:kinsoku/>
              <w:wordWrap/>
              <w:overflowPunct/>
              <w:topLinePunct w:val="0"/>
              <w:autoSpaceDE/>
              <w:autoSpaceDN/>
              <w:bidi w:val="0"/>
              <w:spacing w:after="0"/>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15809D75">
            <w:pPr>
              <w:pageBreakBefore w:val="0"/>
              <w:kinsoku/>
              <w:wordWrap/>
              <w:overflowPunct/>
              <w:topLinePunct w:val="0"/>
              <w:autoSpaceDE/>
              <w:autoSpaceDN/>
              <w:bidi w:val="0"/>
              <w:spacing w:after="0"/>
              <w:jc w:val="center"/>
              <w:rPr>
                <w:rFonts w:ascii="Times New Roman" w:hAnsi="Times New Roman" w:eastAsia="宋体" w:cs="Times New Roman"/>
                <w:b/>
                <w:szCs w:val="20"/>
                <w:highlight w:val="none"/>
              </w:rPr>
            </w:pPr>
          </w:p>
        </w:tc>
      </w:tr>
      <w:tr w14:paraId="7211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6D01C9C4">
            <w:pPr>
              <w:pageBreakBefore w:val="0"/>
              <w:kinsoku/>
              <w:wordWrap/>
              <w:overflowPunct/>
              <w:topLinePunct w:val="0"/>
              <w:autoSpaceDE/>
              <w:autoSpaceDN/>
              <w:bidi w:val="0"/>
              <w:spacing w:after="0"/>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交货时间及地点</w:t>
            </w:r>
          </w:p>
        </w:tc>
        <w:tc>
          <w:tcPr>
            <w:tcW w:w="2622" w:type="dxa"/>
            <w:tcBorders>
              <w:top w:val="single" w:color="auto" w:sz="4" w:space="0"/>
              <w:left w:val="single" w:color="auto" w:sz="4" w:space="0"/>
              <w:bottom w:val="single" w:color="auto" w:sz="4" w:space="0"/>
              <w:right w:val="single" w:color="auto" w:sz="4" w:space="0"/>
            </w:tcBorders>
            <w:vAlign w:val="center"/>
          </w:tcPr>
          <w:p w14:paraId="78A643BC">
            <w:pPr>
              <w:pageBreakBefore w:val="0"/>
              <w:kinsoku/>
              <w:wordWrap/>
              <w:overflowPunct/>
              <w:topLinePunct w:val="0"/>
              <w:autoSpaceDE/>
              <w:autoSpaceDN/>
              <w:bidi w:val="0"/>
              <w:spacing w:after="0"/>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1D818AD8">
            <w:pPr>
              <w:pageBreakBefore w:val="0"/>
              <w:kinsoku/>
              <w:wordWrap/>
              <w:overflowPunct/>
              <w:topLinePunct w:val="0"/>
              <w:autoSpaceDE/>
              <w:autoSpaceDN/>
              <w:bidi w:val="0"/>
              <w:spacing w:after="0"/>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0DB84A94">
            <w:pPr>
              <w:pageBreakBefore w:val="0"/>
              <w:kinsoku/>
              <w:wordWrap/>
              <w:overflowPunct/>
              <w:topLinePunct w:val="0"/>
              <w:autoSpaceDE/>
              <w:autoSpaceDN/>
              <w:bidi w:val="0"/>
              <w:spacing w:after="0"/>
              <w:jc w:val="center"/>
              <w:rPr>
                <w:rFonts w:ascii="Times New Roman" w:hAnsi="Times New Roman" w:eastAsia="宋体" w:cs="Times New Roman"/>
                <w:b/>
                <w:szCs w:val="21"/>
                <w:highlight w:val="none"/>
              </w:rPr>
            </w:pPr>
          </w:p>
        </w:tc>
      </w:tr>
      <w:tr w14:paraId="3139CE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1351C12D">
            <w:pPr>
              <w:pageBreakBefore w:val="0"/>
              <w:kinsoku/>
              <w:wordWrap/>
              <w:overflowPunct/>
              <w:topLinePunct w:val="0"/>
              <w:autoSpaceDE/>
              <w:autoSpaceDN/>
              <w:bidi w:val="0"/>
              <w:spacing w:after="0"/>
              <w:jc w:val="center"/>
              <w:rPr>
                <w:rFonts w:hint="eastAsia" w:ascii="宋体" w:hAnsi="宋体" w:eastAsia="宋体" w:cs="宋体"/>
                <w:b/>
                <w:szCs w:val="20"/>
                <w:highlight w:val="none"/>
                <w:lang w:val="en-US" w:eastAsia="zh-CN"/>
              </w:rPr>
            </w:pPr>
            <w:r>
              <w:rPr>
                <w:rFonts w:hint="eastAsia" w:ascii="宋体" w:hAnsi="宋体" w:eastAsia="宋体" w:cs="宋体"/>
                <w:b/>
                <w:szCs w:val="20"/>
                <w:highlight w:val="none"/>
                <w:lang w:val="en-US" w:eastAsia="zh-CN"/>
              </w:rPr>
              <w:t>付款方式</w:t>
            </w:r>
          </w:p>
        </w:tc>
        <w:tc>
          <w:tcPr>
            <w:tcW w:w="2622" w:type="dxa"/>
            <w:tcBorders>
              <w:top w:val="single" w:color="auto" w:sz="4" w:space="0"/>
              <w:left w:val="single" w:color="auto" w:sz="4" w:space="0"/>
              <w:bottom w:val="single" w:color="auto" w:sz="4" w:space="0"/>
              <w:right w:val="single" w:color="auto" w:sz="4" w:space="0"/>
            </w:tcBorders>
          </w:tcPr>
          <w:p w14:paraId="4DE440C2">
            <w:pPr>
              <w:pageBreakBefore w:val="0"/>
              <w:kinsoku/>
              <w:wordWrap/>
              <w:overflowPunct/>
              <w:topLinePunct w:val="0"/>
              <w:autoSpaceDE/>
              <w:autoSpaceDN/>
              <w:bidi w:val="0"/>
              <w:spacing w:after="0"/>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0D4DC2EB">
            <w:pPr>
              <w:pageBreakBefore w:val="0"/>
              <w:kinsoku/>
              <w:wordWrap/>
              <w:overflowPunct/>
              <w:topLinePunct w:val="0"/>
              <w:autoSpaceDE/>
              <w:autoSpaceDN/>
              <w:bidi w:val="0"/>
              <w:spacing w:after="0"/>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2377B23D">
            <w:pPr>
              <w:pageBreakBefore w:val="0"/>
              <w:kinsoku/>
              <w:wordWrap/>
              <w:overflowPunct/>
              <w:topLinePunct w:val="0"/>
              <w:autoSpaceDE/>
              <w:autoSpaceDN/>
              <w:bidi w:val="0"/>
              <w:spacing w:after="0"/>
              <w:jc w:val="center"/>
              <w:rPr>
                <w:rFonts w:ascii="Times New Roman" w:hAnsi="Times New Roman" w:eastAsia="宋体" w:cs="Times New Roman"/>
                <w:b/>
                <w:szCs w:val="20"/>
                <w:highlight w:val="none"/>
              </w:rPr>
            </w:pPr>
          </w:p>
        </w:tc>
      </w:tr>
      <w:tr w14:paraId="3785B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2C6DEADD">
            <w:pPr>
              <w:pageBreakBefore w:val="0"/>
              <w:kinsoku/>
              <w:wordWrap/>
              <w:overflowPunct/>
              <w:topLinePunct w:val="0"/>
              <w:autoSpaceDE/>
              <w:autoSpaceDN/>
              <w:bidi w:val="0"/>
              <w:spacing w:after="0"/>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付款条件</w:t>
            </w:r>
          </w:p>
        </w:tc>
        <w:tc>
          <w:tcPr>
            <w:tcW w:w="2622" w:type="dxa"/>
            <w:tcBorders>
              <w:top w:val="single" w:color="auto" w:sz="4" w:space="0"/>
              <w:left w:val="single" w:color="auto" w:sz="4" w:space="0"/>
              <w:bottom w:val="single" w:color="auto" w:sz="4" w:space="0"/>
              <w:right w:val="single" w:color="auto" w:sz="4" w:space="0"/>
            </w:tcBorders>
          </w:tcPr>
          <w:p w14:paraId="0FD7ECA4">
            <w:pPr>
              <w:pageBreakBefore w:val="0"/>
              <w:kinsoku/>
              <w:wordWrap/>
              <w:overflowPunct/>
              <w:topLinePunct w:val="0"/>
              <w:autoSpaceDE/>
              <w:autoSpaceDN/>
              <w:bidi w:val="0"/>
              <w:spacing w:after="0"/>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699E0693">
            <w:pPr>
              <w:pageBreakBefore w:val="0"/>
              <w:kinsoku/>
              <w:wordWrap/>
              <w:overflowPunct/>
              <w:topLinePunct w:val="0"/>
              <w:autoSpaceDE/>
              <w:autoSpaceDN/>
              <w:bidi w:val="0"/>
              <w:spacing w:after="0"/>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6E6F1BAD">
            <w:pPr>
              <w:pageBreakBefore w:val="0"/>
              <w:kinsoku/>
              <w:wordWrap/>
              <w:overflowPunct/>
              <w:topLinePunct w:val="0"/>
              <w:autoSpaceDE/>
              <w:autoSpaceDN/>
              <w:bidi w:val="0"/>
              <w:spacing w:after="0"/>
              <w:jc w:val="center"/>
              <w:rPr>
                <w:rFonts w:ascii="Times New Roman" w:hAnsi="Times New Roman" w:eastAsia="宋体" w:cs="Times New Roman"/>
                <w:b/>
                <w:szCs w:val="20"/>
                <w:highlight w:val="none"/>
              </w:rPr>
            </w:pPr>
          </w:p>
        </w:tc>
      </w:tr>
      <w:tr w14:paraId="6D9D9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2032F468">
            <w:pPr>
              <w:pageBreakBefore w:val="0"/>
              <w:kinsoku/>
              <w:wordWrap/>
              <w:overflowPunct/>
              <w:topLinePunct w:val="0"/>
              <w:autoSpaceDE/>
              <w:autoSpaceDN/>
              <w:bidi w:val="0"/>
              <w:spacing w:after="0"/>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售后技术服务要求</w:t>
            </w:r>
          </w:p>
        </w:tc>
        <w:tc>
          <w:tcPr>
            <w:tcW w:w="2622" w:type="dxa"/>
            <w:tcBorders>
              <w:top w:val="single" w:color="auto" w:sz="4" w:space="0"/>
              <w:left w:val="single" w:color="auto" w:sz="4" w:space="0"/>
              <w:bottom w:val="single" w:color="auto" w:sz="4" w:space="0"/>
              <w:right w:val="single" w:color="auto" w:sz="4" w:space="0"/>
            </w:tcBorders>
            <w:vAlign w:val="center"/>
          </w:tcPr>
          <w:p w14:paraId="5DD6F978">
            <w:pPr>
              <w:pageBreakBefore w:val="0"/>
              <w:kinsoku/>
              <w:wordWrap/>
              <w:overflowPunct/>
              <w:topLinePunct w:val="0"/>
              <w:autoSpaceDE/>
              <w:autoSpaceDN/>
              <w:bidi w:val="0"/>
              <w:spacing w:after="0"/>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1B2D5992">
            <w:pPr>
              <w:pageBreakBefore w:val="0"/>
              <w:kinsoku/>
              <w:wordWrap/>
              <w:overflowPunct/>
              <w:topLinePunct w:val="0"/>
              <w:autoSpaceDE/>
              <w:autoSpaceDN/>
              <w:bidi w:val="0"/>
              <w:spacing w:after="0"/>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35D1FBE0">
            <w:pPr>
              <w:pageBreakBefore w:val="0"/>
              <w:kinsoku/>
              <w:wordWrap/>
              <w:overflowPunct/>
              <w:topLinePunct w:val="0"/>
              <w:autoSpaceDE/>
              <w:autoSpaceDN/>
              <w:bidi w:val="0"/>
              <w:spacing w:after="0"/>
              <w:jc w:val="center"/>
              <w:rPr>
                <w:rFonts w:ascii="Times New Roman" w:hAnsi="Times New Roman" w:eastAsia="宋体" w:cs="Times New Roman"/>
                <w:b/>
                <w:szCs w:val="21"/>
                <w:highlight w:val="none"/>
              </w:rPr>
            </w:pPr>
          </w:p>
          <w:p w14:paraId="53B87EF0">
            <w:pPr>
              <w:pageBreakBefore w:val="0"/>
              <w:kinsoku/>
              <w:wordWrap/>
              <w:overflowPunct/>
              <w:topLinePunct w:val="0"/>
              <w:autoSpaceDE/>
              <w:autoSpaceDN/>
              <w:bidi w:val="0"/>
              <w:spacing w:after="0"/>
              <w:jc w:val="center"/>
              <w:rPr>
                <w:rFonts w:ascii="Times New Roman" w:hAnsi="Times New Roman" w:eastAsia="宋体" w:cs="Times New Roman"/>
                <w:b/>
                <w:szCs w:val="21"/>
                <w:highlight w:val="none"/>
              </w:rPr>
            </w:pPr>
          </w:p>
          <w:p w14:paraId="67EAB0BA">
            <w:pPr>
              <w:pageBreakBefore w:val="0"/>
              <w:kinsoku/>
              <w:wordWrap/>
              <w:overflowPunct/>
              <w:topLinePunct w:val="0"/>
              <w:autoSpaceDE/>
              <w:autoSpaceDN/>
              <w:bidi w:val="0"/>
              <w:spacing w:after="0"/>
              <w:jc w:val="center"/>
              <w:rPr>
                <w:rFonts w:ascii="Times New Roman" w:hAnsi="Times New Roman" w:eastAsia="宋体" w:cs="Times New Roman"/>
                <w:b/>
                <w:szCs w:val="21"/>
                <w:highlight w:val="none"/>
              </w:rPr>
            </w:pPr>
          </w:p>
          <w:p w14:paraId="318AACDB">
            <w:pPr>
              <w:pageBreakBefore w:val="0"/>
              <w:kinsoku/>
              <w:wordWrap/>
              <w:overflowPunct/>
              <w:topLinePunct w:val="0"/>
              <w:autoSpaceDE/>
              <w:autoSpaceDN/>
              <w:bidi w:val="0"/>
              <w:spacing w:after="0"/>
              <w:jc w:val="center"/>
              <w:rPr>
                <w:rFonts w:ascii="Times New Roman" w:hAnsi="Times New Roman" w:eastAsia="宋体" w:cs="Times New Roman"/>
                <w:b/>
                <w:szCs w:val="21"/>
                <w:highlight w:val="none"/>
              </w:rPr>
            </w:pPr>
          </w:p>
          <w:p w14:paraId="30162CDE">
            <w:pPr>
              <w:pageBreakBefore w:val="0"/>
              <w:kinsoku/>
              <w:wordWrap/>
              <w:overflowPunct/>
              <w:topLinePunct w:val="0"/>
              <w:autoSpaceDE/>
              <w:autoSpaceDN/>
              <w:bidi w:val="0"/>
              <w:spacing w:after="0"/>
              <w:jc w:val="center"/>
              <w:rPr>
                <w:rFonts w:ascii="Times New Roman" w:hAnsi="Times New Roman" w:eastAsia="宋体" w:cs="Times New Roman"/>
                <w:b/>
                <w:szCs w:val="21"/>
                <w:highlight w:val="none"/>
              </w:rPr>
            </w:pPr>
          </w:p>
          <w:p w14:paraId="5DC41C49">
            <w:pPr>
              <w:pageBreakBefore w:val="0"/>
              <w:kinsoku/>
              <w:wordWrap/>
              <w:overflowPunct/>
              <w:topLinePunct w:val="0"/>
              <w:autoSpaceDE/>
              <w:autoSpaceDN/>
              <w:bidi w:val="0"/>
              <w:spacing w:after="0"/>
              <w:jc w:val="center"/>
              <w:rPr>
                <w:rFonts w:ascii="Times New Roman" w:hAnsi="Times New Roman" w:eastAsia="宋体" w:cs="Times New Roman"/>
                <w:b/>
                <w:szCs w:val="21"/>
                <w:highlight w:val="none"/>
              </w:rPr>
            </w:pPr>
          </w:p>
          <w:p w14:paraId="477DFBFA">
            <w:pPr>
              <w:pageBreakBefore w:val="0"/>
              <w:kinsoku/>
              <w:wordWrap/>
              <w:overflowPunct/>
              <w:topLinePunct w:val="0"/>
              <w:autoSpaceDE/>
              <w:autoSpaceDN/>
              <w:bidi w:val="0"/>
              <w:spacing w:after="0"/>
              <w:jc w:val="center"/>
              <w:rPr>
                <w:rFonts w:ascii="Times New Roman" w:hAnsi="Times New Roman" w:eastAsia="宋体" w:cs="Times New Roman"/>
                <w:b/>
                <w:szCs w:val="21"/>
                <w:highlight w:val="none"/>
              </w:rPr>
            </w:pPr>
          </w:p>
          <w:p w14:paraId="47388F65">
            <w:pPr>
              <w:pageBreakBefore w:val="0"/>
              <w:kinsoku/>
              <w:wordWrap/>
              <w:overflowPunct/>
              <w:topLinePunct w:val="0"/>
              <w:autoSpaceDE/>
              <w:autoSpaceDN/>
              <w:bidi w:val="0"/>
              <w:spacing w:after="0"/>
              <w:jc w:val="center"/>
              <w:rPr>
                <w:rFonts w:ascii="Times New Roman" w:hAnsi="Times New Roman" w:eastAsia="宋体" w:cs="Times New Roman"/>
                <w:b/>
                <w:szCs w:val="21"/>
                <w:highlight w:val="none"/>
              </w:rPr>
            </w:pPr>
          </w:p>
          <w:p w14:paraId="5FE1ECE8">
            <w:pPr>
              <w:pageBreakBefore w:val="0"/>
              <w:kinsoku/>
              <w:wordWrap/>
              <w:overflowPunct/>
              <w:topLinePunct w:val="0"/>
              <w:autoSpaceDE/>
              <w:autoSpaceDN/>
              <w:bidi w:val="0"/>
              <w:spacing w:after="0"/>
              <w:jc w:val="center"/>
              <w:rPr>
                <w:rFonts w:ascii="Times New Roman" w:hAnsi="Times New Roman" w:eastAsia="宋体" w:cs="Times New Roman"/>
                <w:b/>
                <w:szCs w:val="21"/>
                <w:highlight w:val="none"/>
              </w:rPr>
            </w:pPr>
          </w:p>
          <w:p w14:paraId="794A6A9A">
            <w:pPr>
              <w:pageBreakBefore w:val="0"/>
              <w:kinsoku/>
              <w:wordWrap/>
              <w:overflowPunct/>
              <w:topLinePunct w:val="0"/>
              <w:autoSpaceDE/>
              <w:autoSpaceDN/>
              <w:bidi w:val="0"/>
              <w:spacing w:after="0"/>
              <w:jc w:val="center"/>
              <w:rPr>
                <w:rFonts w:ascii="Times New Roman" w:hAnsi="Times New Roman" w:eastAsia="宋体" w:cs="Times New Roman"/>
                <w:b/>
                <w:szCs w:val="21"/>
                <w:highlight w:val="none"/>
              </w:rPr>
            </w:pPr>
          </w:p>
          <w:p w14:paraId="36E88C7C">
            <w:pPr>
              <w:pageBreakBefore w:val="0"/>
              <w:kinsoku/>
              <w:wordWrap/>
              <w:overflowPunct/>
              <w:topLinePunct w:val="0"/>
              <w:autoSpaceDE/>
              <w:autoSpaceDN/>
              <w:bidi w:val="0"/>
              <w:spacing w:after="0"/>
              <w:jc w:val="center"/>
              <w:rPr>
                <w:rFonts w:ascii="Times New Roman" w:hAnsi="Times New Roman" w:eastAsia="宋体" w:cs="Times New Roman"/>
                <w:b/>
                <w:szCs w:val="21"/>
                <w:highlight w:val="none"/>
              </w:rPr>
            </w:pPr>
          </w:p>
          <w:p w14:paraId="12623250">
            <w:pPr>
              <w:pageBreakBefore w:val="0"/>
              <w:kinsoku/>
              <w:wordWrap/>
              <w:overflowPunct/>
              <w:topLinePunct w:val="0"/>
              <w:autoSpaceDE/>
              <w:autoSpaceDN/>
              <w:bidi w:val="0"/>
              <w:spacing w:after="0"/>
              <w:jc w:val="center"/>
              <w:rPr>
                <w:rFonts w:ascii="Times New Roman" w:hAnsi="Times New Roman" w:eastAsia="宋体" w:cs="Times New Roman"/>
                <w:b/>
                <w:szCs w:val="21"/>
                <w:highlight w:val="none"/>
              </w:rPr>
            </w:pPr>
          </w:p>
          <w:p w14:paraId="5C30E28E">
            <w:pPr>
              <w:pageBreakBefore w:val="0"/>
              <w:kinsoku/>
              <w:wordWrap/>
              <w:overflowPunct/>
              <w:topLinePunct w:val="0"/>
              <w:autoSpaceDE/>
              <w:autoSpaceDN/>
              <w:bidi w:val="0"/>
              <w:spacing w:after="0"/>
              <w:jc w:val="center"/>
              <w:rPr>
                <w:rFonts w:ascii="Times New Roman" w:hAnsi="Times New Roman" w:eastAsia="宋体" w:cs="Times New Roman"/>
                <w:b/>
                <w:szCs w:val="21"/>
                <w:highlight w:val="none"/>
              </w:rPr>
            </w:pPr>
          </w:p>
          <w:p w14:paraId="5A7043F7">
            <w:pPr>
              <w:pageBreakBefore w:val="0"/>
              <w:kinsoku/>
              <w:wordWrap/>
              <w:overflowPunct/>
              <w:topLinePunct w:val="0"/>
              <w:autoSpaceDE/>
              <w:autoSpaceDN/>
              <w:bidi w:val="0"/>
              <w:spacing w:after="0"/>
              <w:jc w:val="center"/>
              <w:rPr>
                <w:rFonts w:ascii="Times New Roman" w:hAnsi="Times New Roman" w:eastAsia="宋体" w:cs="Times New Roman"/>
                <w:b/>
                <w:szCs w:val="21"/>
                <w:highlight w:val="none"/>
              </w:rPr>
            </w:pPr>
          </w:p>
          <w:p w14:paraId="1FEC4787">
            <w:pPr>
              <w:pageBreakBefore w:val="0"/>
              <w:kinsoku/>
              <w:wordWrap/>
              <w:overflowPunct/>
              <w:topLinePunct w:val="0"/>
              <w:autoSpaceDE/>
              <w:autoSpaceDN/>
              <w:bidi w:val="0"/>
              <w:spacing w:after="0"/>
              <w:jc w:val="center"/>
              <w:rPr>
                <w:rFonts w:ascii="Times New Roman" w:hAnsi="Times New Roman" w:eastAsia="宋体" w:cs="Times New Roman"/>
                <w:b/>
                <w:szCs w:val="21"/>
                <w:highlight w:val="none"/>
              </w:rPr>
            </w:pPr>
          </w:p>
          <w:p w14:paraId="4680D5FE">
            <w:pPr>
              <w:pageBreakBefore w:val="0"/>
              <w:kinsoku/>
              <w:wordWrap/>
              <w:overflowPunct/>
              <w:topLinePunct w:val="0"/>
              <w:autoSpaceDE/>
              <w:autoSpaceDN/>
              <w:bidi w:val="0"/>
              <w:spacing w:after="0"/>
              <w:jc w:val="center"/>
              <w:rPr>
                <w:rFonts w:ascii="Times New Roman" w:hAnsi="Times New Roman" w:eastAsia="宋体" w:cs="Times New Roman"/>
                <w:b/>
                <w:szCs w:val="21"/>
                <w:highlight w:val="none"/>
              </w:rPr>
            </w:pPr>
          </w:p>
          <w:p w14:paraId="579E43D8">
            <w:pPr>
              <w:pageBreakBefore w:val="0"/>
              <w:kinsoku/>
              <w:wordWrap/>
              <w:overflowPunct/>
              <w:topLinePunct w:val="0"/>
              <w:autoSpaceDE/>
              <w:autoSpaceDN/>
              <w:bidi w:val="0"/>
              <w:spacing w:after="0"/>
              <w:jc w:val="center"/>
              <w:rPr>
                <w:rFonts w:ascii="Times New Roman" w:hAnsi="Times New Roman" w:eastAsia="宋体" w:cs="Times New Roman"/>
                <w:b/>
                <w:szCs w:val="20"/>
                <w:highlight w:val="none"/>
              </w:rPr>
            </w:pPr>
          </w:p>
        </w:tc>
      </w:tr>
      <w:tr w14:paraId="56841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5186D040">
            <w:pPr>
              <w:pageBreakBefore w:val="0"/>
              <w:kinsoku/>
              <w:wordWrap/>
              <w:overflowPunct/>
              <w:topLinePunct w:val="0"/>
              <w:autoSpaceDE/>
              <w:autoSpaceDN/>
              <w:bidi w:val="0"/>
              <w:spacing w:after="0"/>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备品备件及耗材等要求</w:t>
            </w:r>
          </w:p>
        </w:tc>
        <w:tc>
          <w:tcPr>
            <w:tcW w:w="2622" w:type="dxa"/>
            <w:tcBorders>
              <w:top w:val="single" w:color="auto" w:sz="4" w:space="0"/>
              <w:left w:val="single" w:color="auto" w:sz="4" w:space="0"/>
              <w:bottom w:val="single" w:color="auto" w:sz="4" w:space="0"/>
              <w:right w:val="single" w:color="auto" w:sz="4" w:space="0"/>
            </w:tcBorders>
            <w:vAlign w:val="center"/>
          </w:tcPr>
          <w:p w14:paraId="3BEFF780">
            <w:pPr>
              <w:pageBreakBefore w:val="0"/>
              <w:kinsoku/>
              <w:wordWrap/>
              <w:overflowPunct/>
              <w:topLinePunct w:val="0"/>
              <w:autoSpaceDE/>
              <w:autoSpaceDN/>
              <w:bidi w:val="0"/>
              <w:spacing w:after="0"/>
              <w:jc w:val="center"/>
              <w:rPr>
                <w:rFonts w:ascii="Times New Roman" w:hAnsi="Times New Roman" w:eastAsia="宋体" w:cs="Times New Roman"/>
                <w:b/>
                <w:szCs w:val="20"/>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7FF6B194">
            <w:pPr>
              <w:pageBreakBefore w:val="0"/>
              <w:kinsoku/>
              <w:wordWrap/>
              <w:overflowPunct/>
              <w:topLinePunct w:val="0"/>
              <w:autoSpaceDE/>
              <w:autoSpaceDN/>
              <w:bidi w:val="0"/>
              <w:spacing w:after="0"/>
              <w:jc w:val="center"/>
              <w:rPr>
                <w:rFonts w:ascii="Times New Roman" w:hAnsi="Times New Roman" w:eastAsia="宋体" w:cs="Times New Roman"/>
                <w:b/>
                <w:szCs w:val="20"/>
                <w:highlight w:val="none"/>
              </w:rPr>
            </w:pPr>
          </w:p>
        </w:tc>
        <w:tc>
          <w:tcPr>
            <w:tcW w:w="1645" w:type="dxa"/>
            <w:tcBorders>
              <w:top w:val="single" w:color="auto" w:sz="4" w:space="0"/>
              <w:left w:val="single" w:color="auto" w:sz="4" w:space="0"/>
              <w:bottom w:val="single" w:color="auto" w:sz="4" w:space="0"/>
            </w:tcBorders>
            <w:vAlign w:val="center"/>
          </w:tcPr>
          <w:p w14:paraId="360770EE">
            <w:pPr>
              <w:pageBreakBefore w:val="0"/>
              <w:kinsoku/>
              <w:wordWrap/>
              <w:overflowPunct/>
              <w:topLinePunct w:val="0"/>
              <w:autoSpaceDE/>
              <w:autoSpaceDN/>
              <w:bidi w:val="0"/>
              <w:spacing w:after="0"/>
              <w:jc w:val="center"/>
              <w:rPr>
                <w:rFonts w:ascii="Times New Roman" w:hAnsi="Times New Roman" w:eastAsia="宋体" w:cs="Times New Roman"/>
                <w:b/>
                <w:szCs w:val="20"/>
                <w:highlight w:val="none"/>
              </w:rPr>
            </w:pPr>
          </w:p>
        </w:tc>
      </w:tr>
    </w:tbl>
    <w:p w14:paraId="25ACA41E">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6B20D129">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注：为避免歧义，无偏离也应要提报该表，并注明“无”字。如无该表则即使在其它部分已反映，将也被视为“无偏离”。</w:t>
      </w:r>
    </w:p>
    <w:p w14:paraId="7585FF3F">
      <w:pPr>
        <w:rPr>
          <w:rFonts w:hint="default" w:hAnsi="宋体"/>
          <w:sz w:val="24"/>
          <w:highlight w:val="none"/>
          <w:lang w:val="en-US"/>
        </w:rPr>
      </w:pPr>
      <w:r>
        <w:rPr>
          <w:rFonts w:hint="default" w:hAnsi="宋体"/>
          <w:sz w:val="24"/>
          <w:highlight w:val="none"/>
          <w:lang w:val="en-US"/>
        </w:rPr>
        <w:br w:type="page"/>
      </w:r>
    </w:p>
    <w:p w14:paraId="51863F14">
      <w:pPr>
        <w:keepNext/>
        <w:keepLines/>
        <w:pageBreakBefore w:val="0"/>
        <w:kinsoku/>
        <w:wordWrap/>
        <w:overflowPunct/>
        <w:topLinePunct w:val="0"/>
        <w:autoSpaceDE/>
        <w:autoSpaceDN/>
        <w:bidi w:val="0"/>
        <w:spacing w:after="0"/>
        <w:outlineLvl w:val="2"/>
        <w:rPr>
          <w:rFonts w:hint="eastAsia" w:ascii="宋体" w:hAnsi="宋体" w:eastAsia="宋体" w:cs="宋体"/>
          <w:b/>
          <w:bCs/>
          <w:kern w:val="2"/>
          <w:sz w:val="32"/>
          <w:szCs w:val="32"/>
          <w:highlight w:val="none"/>
          <w:lang w:val="en-US" w:eastAsia="zh-CN" w:bidi="ar-SA"/>
        </w:rPr>
      </w:pPr>
      <w:r>
        <w:rPr>
          <w:rFonts w:hint="eastAsia" w:ascii="宋体" w:hAnsi="宋体" w:eastAsia="宋体" w:cs="宋体"/>
          <w:b/>
          <w:bCs/>
          <w:kern w:val="2"/>
          <w:sz w:val="32"/>
          <w:szCs w:val="32"/>
          <w:highlight w:val="none"/>
          <w:lang w:val="en-US" w:eastAsia="zh-CN" w:bidi="ar-SA"/>
        </w:rPr>
        <w:t xml:space="preserve">附件7 </w:t>
      </w:r>
    </w:p>
    <w:p w14:paraId="64DEF86A">
      <w:pPr>
        <w:pageBreakBefore w:val="0"/>
        <w:kinsoku/>
        <w:wordWrap/>
        <w:overflowPunct/>
        <w:topLinePunct w:val="0"/>
        <w:autoSpaceDE/>
        <w:autoSpaceDN/>
        <w:bidi w:val="0"/>
        <w:spacing w:before="110" w:after="0" w:line="227" w:lineRule="auto"/>
        <w:ind w:left="29"/>
        <w:jc w:val="center"/>
        <w:outlineLvl w:val="2"/>
        <w:rPr>
          <w:rFonts w:ascii="宋体" w:hAnsi="宋体" w:eastAsia="宋体" w:cs="宋体"/>
          <w:sz w:val="24"/>
          <w:szCs w:val="24"/>
          <w:highlight w:val="none"/>
        </w:rPr>
      </w:pPr>
      <w:r>
        <w:rPr>
          <w:rFonts w:hint="eastAsia" w:ascii="Times New Roman" w:hAnsi="Times New Roman" w:eastAsia="宋体" w:cs="Times New Roman"/>
          <w:b/>
          <w:bCs/>
          <w:color w:val="000000"/>
          <w:sz w:val="24"/>
          <w:szCs w:val="24"/>
          <w:highlight w:val="none"/>
        </w:rPr>
        <w:t>投标人承诺</w:t>
      </w:r>
    </w:p>
    <w:p w14:paraId="58ECDBFD">
      <w:pPr>
        <w:pageBreakBefore w:val="0"/>
        <w:kinsoku/>
        <w:wordWrap/>
        <w:overflowPunct/>
        <w:topLinePunct w:val="0"/>
        <w:autoSpaceDE/>
        <w:autoSpaceDN/>
        <w:bidi w:val="0"/>
        <w:spacing w:after="0" w:line="272" w:lineRule="auto"/>
        <w:rPr>
          <w:rFonts w:ascii="Arial"/>
          <w:highlight w:val="none"/>
        </w:rPr>
      </w:pPr>
    </w:p>
    <w:p w14:paraId="11C05ED1">
      <w:pPr>
        <w:pageBreakBefore w:val="0"/>
        <w:kinsoku/>
        <w:wordWrap/>
        <w:overflowPunct/>
        <w:topLinePunct w:val="0"/>
        <w:autoSpaceDE/>
        <w:autoSpaceDN/>
        <w:bidi w:val="0"/>
        <w:spacing w:before="75" w:after="0" w:line="228" w:lineRule="auto"/>
        <w:ind w:left="134"/>
        <w:rPr>
          <w:rFonts w:ascii="宋体" w:hAnsi="宋体" w:eastAsia="宋体" w:cs="宋体"/>
          <w:sz w:val="24"/>
          <w:szCs w:val="24"/>
          <w:highlight w:val="none"/>
        </w:rPr>
      </w:pPr>
      <w:r>
        <w:rPr>
          <w:rFonts w:ascii="宋体" w:hAnsi="宋体" w:eastAsia="宋体" w:cs="宋体"/>
          <w:spacing w:val="-10"/>
          <w:sz w:val="24"/>
          <w:szCs w:val="24"/>
          <w:highlight w:val="none"/>
        </w:rPr>
        <w:t>项</w:t>
      </w:r>
      <w:r>
        <w:rPr>
          <w:rFonts w:ascii="宋体" w:hAnsi="宋体" w:eastAsia="宋体" w:cs="宋体"/>
          <w:spacing w:val="-9"/>
          <w:sz w:val="24"/>
          <w:szCs w:val="24"/>
          <w:highlight w:val="none"/>
        </w:rPr>
        <w:t>目</w:t>
      </w:r>
      <w:r>
        <w:rPr>
          <w:rFonts w:ascii="宋体" w:hAnsi="宋体" w:eastAsia="宋体" w:cs="宋体"/>
          <w:spacing w:val="-5"/>
          <w:sz w:val="24"/>
          <w:szCs w:val="24"/>
          <w:highlight w:val="none"/>
        </w:rPr>
        <w:t>名称：</w:t>
      </w:r>
      <w:r>
        <w:rPr>
          <w:rFonts w:ascii="宋体" w:hAnsi="宋体" w:eastAsia="宋体" w:cs="Times New Roman"/>
          <w:b/>
          <w:color w:val="000000"/>
          <w:sz w:val="24"/>
          <w:szCs w:val="24"/>
          <w:highlight w:val="none"/>
          <w:u w:val="single"/>
        </w:rPr>
        <w:t xml:space="preserve">            </w:t>
      </w:r>
    </w:p>
    <w:p w14:paraId="1C022C9A">
      <w:pPr>
        <w:pageBreakBefore w:val="0"/>
        <w:kinsoku/>
        <w:wordWrap/>
        <w:overflowPunct/>
        <w:topLinePunct w:val="0"/>
        <w:autoSpaceDE/>
        <w:autoSpaceDN/>
        <w:bidi w:val="0"/>
        <w:spacing w:before="306" w:after="0" w:line="227" w:lineRule="auto"/>
        <w:ind w:left="205"/>
        <w:rPr>
          <w:rFonts w:ascii="宋体" w:hAnsi="宋体" w:eastAsia="宋体" w:cs="宋体"/>
          <w:sz w:val="24"/>
          <w:szCs w:val="24"/>
          <w:highlight w:val="none"/>
        </w:rPr>
      </w:pPr>
      <w:r>
        <w:rPr>
          <w:rFonts w:ascii="宋体" w:hAnsi="宋体" w:eastAsia="宋体" w:cs="宋体"/>
          <w:spacing w:val="-4"/>
          <w:sz w:val="24"/>
          <w:szCs w:val="24"/>
          <w:highlight w:val="none"/>
        </w:rPr>
        <w:t xml:space="preserve">日期： </w:t>
      </w:r>
      <w:r>
        <w:rPr>
          <w:rFonts w:ascii="宋体" w:hAnsi="宋体" w:eastAsia="宋体" w:cs="宋体"/>
          <w:spacing w:val="-2"/>
          <w:sz w:val="24"/>
          <w:szCs w:val="24"/>
          <w:highlight w:val="none"/>
        </w:rPr>
        <w:t xml:space="preserve">   年   月   日</w:t>
      </w:r>
    </w:p>
    <w:p w14:paraId="1A75DE06">
      <w:pPr>
        <w:pageBreakBefore w:val="0"/>
        <w:kinsoku/>
        <w:wordWrap/>
        <w:overflowPunct/>
        <w:topLinePunct w:val="0"/>
        <w:autoSpaceDE/>
        <w:autoSpaceDN/>
        <w:bidi w:val="0"/>
        <w:spacing w:after="0"/>
        <w:rPr>
          <w:highlight w:val="none"/>
        </w:rPr>
      </w:pPr>
    </w:p>
    <w:p w14:paraId="36D349FF">
      <w:pPr>
        <w:pageBreakBefore w:val="0"/>
        <w:kinsoku/>
        <w:wordWrap/>
        <w:overflowPunct/>
        <w:topLinePunct w:val="0"/>
        <w:autoSpaceDE/>
        <w:autoSpaceDN/>
        <w:bidi w:val="0"/>
        <w:spacing w:after="0" w:line="109" w:lineRule="exact"/>
        <w:rPr>
          <w:highlight w:val="none"/>
        </w:rPr>
      </w:pPr>
    </w:p>
    <w:tbl>
      <w:tblPr>
        <w:tblStyle w:val="114"/>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0A3F5D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4186" w:hRule="atLeast"/>
        </w:trPr>
        <w:tc>
          <w:tcPr>
            <w:tcW w:w="9289" w:type="dxa"/>
          </w:tcPr>
          <w:p w14:paraId="62CA8FDB">
            <w:pPr>
              <w:pageBreakBefore w:val="0"/>
              <w:kinsoku/>
              <w:wordWrap/>
              <w:overflowPunct/>
              <w:topLinePunct w:val="0"/>
              <w:autoSpaceDE/>
              <w:autoSpaceDN/>
              <w:bidi w:val="0"/>
              <w:spacing w:before="52" w:after="0" w:line="227" w:lineRule="auto"/>
              <w:ind w:left="128"/>
              <w:rPr>
                <w:rFonts w:ascii="宋体" w:hAnsi="宋体" w:eastAsia="宋体" w:cs="宋体"/>
                <w:sz w:val="24"/>
                <w:szCs w:val="24"/>
                <w:highlight w:val="none"/>
              </w:rPr>
            </w:pPr>
            <w:r>
              <w:rPr>
                <w:rFonts w:ascii="宋体" w:hAnsi="宋体" w:eastAsia="宋体" w:cs="宋体"/>
                <w:spacing w:val="5"/>
                <w:sz w:val="24"/>
                <w:szCs w:val="24"/>
                <w:highlight w:val="none"/>
              </w:rPr>
              <w:t>投</w:t>
            </w:r>
            <w:r>
              <w:rPr>
                <w:rFonts w:ascii="宋体" w:hAnsi="宋体" w:eastAsia="宋体" w:cs="宋体"/>
                <w:spacing w:val="3"/>
                <w:sz w:val="24"/>
                <w:szCs w:val="24"/>
                <w:highlight w:val="none"/>
              </w:rPr>
              <w:t>标人承诺：</w:t>
            </w:r>
          </w:p>
          <w:p w14:paraId="0FFDA4B2">
            <w:pPr>
              <w:pageBreakBefore w:val="0"/>
              <w:kinsoku/>
              <w:wordWrap/>
              <w:overflowPunct/>
              <w:topLinePunct w:val="0"/>
              <w:autoSpaceDE/>
              <w:autoSpaceDN/>
              <w:bidi w:val="0"/>
              <w:spacing w:before="48" w:after="0" w:line="391" w:lineRule="auto"/>
              <w:ind w:left="125" w:right="115" w:firstLine="491"/>
              <w:rPr>
                <w:rFonts w:ascii="宋体" w:hAnsi="宋体" w:eastAsia="宋体" w:cs="宋体"/>
                <w:sz w:val="23"/>
                <w:szCs w:val="23"/>
                <w:highlight w:val="none"/>
              </w:rPr>
            </w:pPr>
            <w:r>
              <w:rPr>
                <w:rFonts w:ascii="宋体" w:hAnsi="宋体" w:eastAsia="宋体" w:cs="宋体"/>
                <w:spacing w:val="38"/>
                <w:sz w:val="24"/>
                <w:szCs w:val="24"/>
                <w:highlight w:val="none"/>
              </w:rPr>
              <w:t>我</w:t>
            </w:r>
            <w:r>
              <w:rPr>
                <w:rFonts w:ascii="宋体" w:hAnsi="宋体" w:eastAsia="宋体" w:cs="宋体"/>
                <w:spacing w:val="21"/>
                <w:sz w:val="24"/>
                <w:szCs w:val="24"/>
                <w:highlight w:val="none"/>
              </w:rPr>
              <w:t>公司承诺遵守贵公司由于招标人公司政策变化引起的随时终止项目的要求并</w:t>
            </w:r>
            <w:r>
              <w:rPr>
                <w:rFonts w:ascii="宋体" w:hAnsi="宋体" w:eastAsia="宋体" w:cs="宋体"/>
                <w:spacing w:val="12"/>
                <w:sz w:val="24"/>
                <w:szCs w:val="24"/>
                <w:highlight w:val="none"/>
              </w:rPr>
              <w:t>承</w:t>
            </w:r>
            <w:r>
              <w:rPr>
                <w:rFonts w:ascii="宋体" w:hAnsi="宋体" w:eastAsia="宋体" w:cs="宋体"/>
                <w:spacing w:val="6"/>
                <w:sz w:val="24"/>
                <w:szCs w:val="24"/>
                <w:highlight w:val="none"/>
              </w:rPr>
              <w:t>担由此带来的一切损失</w:t>
            </w:r>
            <w:r>
              <w:rPr>
                <w:rFonts w:ascii="宋体" w:hAnsi="宋体" w:eastAsia="宋体" w:cs="宋体"/>
                <w:spacing w:val="6"/>
                <w:sz w:val="23"/>
                <w:szCs w:val="23"/>
                <w:highlight w:val="none"/>
              </w:rPr>
              <w:t>。</w:t>
            </w:r>
          </w:p>
        </w:tc>
      </w:tr>
    </w:tbl>
    <w:p w14:paraId="7D1BF7C6">
      <w:pPr>
        <w:keepNext/>
        <w:keepLines/>
        <w:pageBreakBefore w:val="0"/>
        <w:kinsoku/>
        <w:wordWrap/>
        <w:overflowPunct/>
        <w:topLinePunct w:val="0"/>
        <w:autoSpaceDE/>
        <w:autoSpaceDN/>
        <w:bidi w:val="0"/>
        <w:spacing w:after="0"/>
        <w:rPr>
          <w:rFonts w:ascii="Times New Roman" w:hAnsi="Times New Roman" w:eastAsia="宋体" w:cs="Times New Roman"/>
          <w:b/>
          <w:bCs/>
          <w:color w:val="000000"/>
          <w:sz w:val="24"/>
          <w:szCs w:val="24"/>
          <w:highlight w:val="none"/>
        </w:rPr>
      </w:pPr>
    </w:p>
    <w:p w14:paraId="34FD54A0">
      <w:pPr>
        <w:pageBreakBefore w:val="0"/>
        <w:kinsoku/>
        <w:wordWrap/>
        <w:overflowPunct/>
        <w:topLinePunct w:val="0"/>
        <w:autoSpaceDE/>
        <w:autoSpaceDN/>
        <w:bidi w:val="0"/>
        <w:spacing w:before="75" w:after="0" w:line="227" w:lineRule="auto"/>
        <w:ind w:left="135"/>
        <w:rPr>
          <w:rFonts w:ascii="宋体" w:hAnsi="宋体" w:eastAsia="宋体" w:cs="宋体"/>
          <w:spacing w:val="-2"/>
          <w:sz w:val="24"/>
          <w:szCs w:val="24"/>
          <w:highlight w:val="none"/>
        </w:rPr>
      </w:pPr>
    </w:p>
    <w:p w14:paraId="75A454F7">
      <w:pPr>
        <w:pageBreakBefore w:val="0"/>
        <w:kinsoku/>
        <w:wordWrap/>
        <w:overflowPunct/>
        <w:topLinePunct w:val="0"/>
        <w:autoSpaceDE/>
        <w:autoSpaceDN/>
        <w:bidi w:val="0"/>
        <w:spacing w:before="75" w:after="0" w:line="227" w:lineRule="auto"/>
        <w:ind w:left="135"/>
        <w:rPr>
          <w:rFonts w:ascii="宋体" w:hAnsi="宋体" w:eastAsia="宋体" w:cs="宋体"/>
          <w:spacing w:val="-2"/>
          <w:sz w:val="24"/>
          <w:szCs w:val="24"/>
          <w:highlight w:val="none"/>
        </w:rPr>
      </w:pPr>
    </w:p>
    <w:p w14:paraId="58CE7B3D">
      <w:pPr>
        <w:pageBreakBefore w:val="0"/>
        <w:kinsoku/>
        <w:wordWrap/>
        <w:overflowPunct/>
        <w:topLinePunct w:val="0"/>
        <w:autoSpaceDE/>
        <w:autoSpaceDN/>
        <w:bidi w:val="0"/>
        <w:spacing w:before="75" w:after="0" w:line="227" w:lineRule="auto"/>
        <w:ind w:left="135"/>
        <w:rPr>
          <w:rFonts w:hint="eastAsia" w:ascii="宋体" w:hAnsi="宋体" w:eastAsia="宋体" w:cs="宋体"/>
          <w:sz w:val="24"/>
          <w:szCs w:val="24"/>
          <w:highlight w:val="none"/>
        </w:rPr>
      </w:pPr>
      <w:r>
        <w:rPr>
          <w:rFonts w:ascii="宋体" w:hAnsi="宋体" w:eastAsia="宋体" w:cs="宋体"/>
          <w:spacing w:val="-2"/>
          <w:sz w:val="24"/>
          <w:szCs w:val="24"/>
          <w:highlight w:val="none"/>
        </w:rPr>
        <w:t>投标人名称 (盖章)：                法定代表人或授权代表(签字</w:t>
      </w:r>
      <w:r>
        <w:rPr>
          <w:rFonts w:ascii="宋体" w:hAnsi="宋体" w:eastAsia="宋体" w:cs="宋体"/>
          <w:sz w:val="24"/>
          <w:szCs w:val="24"/>
          <w:highlight w:val="none"/>
        </w:rPr>
        <w:t>)</w:t>
      </w:r>
      <w:r>
        <w:rPr>
          <w:rFonts w:hint="eastAsia" w:ascii="宋体" w:hAnsi="宋体" w:eastAsia="宋体" w:cs="宋体"/>
          <w:sz w:val="24"/>
          <w:szCs w:val="24"/>
          <w:highlight w:val="none"/>
        </w:rPr>
        <w:t>：</w:t>
      </w:r>
    </w:p>
    <w:p w14:paraId="2C1AED88">
      <w:pPr>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24FE7D3B">
      <w:pPr>
        <w:keepNext/>
        <w:keepLines/>
        <w:pageBreakBefore w:val="0"/>
        <w:kinsoku/>
        <w:wordWrap/>
        <w:overflowPunct/>
        <w:topLinePunct w:val="0"/>
        <w:autoSpaceDE/>
        <w:autoSpaceDN/>
        <w:bidi w:val="0"/>
        <w:spacing w:after="0"/>
        <w:outlineLvl w:val="2"/>
        <w:rPr>
          <w:rFonts w:hint="eastAsia" w:ascii="宋体" w:hAnsi="宋体" w:eastAsia="宋体" w:cs="宋体"/>
          <w:b/>
          <w:bCs/>
          <w:kern w:val="2"/>
          <w:sz w:val="32"/>
          <w:szCs w:val="32"/>
          <w:highlight w:val="none"/>
          <w:lang w:val="en-US" w:eastAsia="zh-CN" w:bidi="ar-SA"/>
        </w:rPr>
      </w:pPr>
      <w:r>
        <w:rPr>
          <w:rFonts w:hint="eastAsia" w:ascii="宋体" w:hAnsi="宋体" w:eastAsia="宋体" w:cs="宋体"/>
          <w:b/>
          <w:bCs/>
          <w:kern w:val="2"/>
          <w:sz w:val="32"/>
          <w:szCs w:val="32"/>
          <w:highlight w:val="none"/>
          <w:lang w:val="en-US" w:eastAsia="zh-CN" w:bidi="ar-SA"/>
        </w:rPr>
        <w:t xml:space="preserve">附件8 </w:t>
      </w:r>
    </w:p>
    <w:p w14:paraId="42176D55">
      <w:pPr>
        <w:pageBreakBefore w:val="0"/>
        <w:kinsoku/>
        <w:wordWrap/>
        <w:overflowPunct/>
        <w:topLinePunct w:val="0"/>
        <w:autoSpaceDE/>
        <w:autoSpaceDN/>
        <w:bidi w:val="0"/>
        <w:spacing w:before="75" w:after="0" w:line="227" w:lineRule="auto"/>
        <w:ind w:left="135"/>
        <w:jc w:val="center"/>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服务承诺函</w:t>
      </w:r>
    </w:p>
    <w:p w14:paraId="17CA230F">
      <w:pPr>
        <w:pageBreakBefore w:val="0"/>
        <w:kinsoku/>
        <w:wordWrap/>
        <w:overflowPunct/>
        <w:topLinePunct w:val="0"/>
        <w:autoSpaceDE/>
        <w:autoSpaceDN/>
        <w:bidi w:val="0"/>
        <w:spacing w:after="0" w:line="240" w:lineRule="exact"/>
        <w:jc w:val="center"/>
        <w:rPr>
          <w:rFonts w:ascii="宋体" w:hAnsi="Calibri" w:eastAsia="宋体" w:cs="Times New Roman"/>
          <w:b/>
          <w:bCs/>
          <w:sz w:val="36"/>
          <w:szCs w:val="20"/>
          <w:highlight w:val="none"/>
        </w:rPr>
      </w:pPr>
    </w:p>
    <w:p w14:paraId="40AFAD5F">
      <w:pPr>
        <w:pageBreakBefore w:val="0"/>
        <w:kinsoku/>
        <w:wordWrap/>
        <w:overflowPunct/>
        <w:topLinePunct w:val="0"/>
        <w:autoSpaceDE/>
        <w:autoSpaceDN/>
        <w:bidi w:val="0"/>
        <w:spacing w:after="0" w:line="360" w:lineRule="auto"/>
        <w:rPr>
          <w:rFonts w:ascii="宋体" w:hAnsi="Calibri" w:eastAsia="宋体" w:cs="Times New Roman"/>
          <w:sz w:val="24"/>
          <w:szCs w:val="20"/>
          <w:highlight w:val="none"/>
        </w:rPr>
      </w:pPr>
      <w:r>
        <w:rPr>
          <w:rFonts w:hint="eastAsia" w:ascii="宋体" w:hAnsi="宋体" w:eastAsia="宋体" w:cs="Times New Roman"/>
          <w:sz w:val="24"/>
          <w:szCs w:val="20"/>
          <w:highlight w:val="none"/>
        </w:rPr>
        <w:t>项目名称：</w:t>
      </w:r>
      <w:r>
        <w:rPr>
          <w:rFonts w:ascii="宋体" w:hAnsi="宋体" w:eastAsia="宋体" w:cs="Times New Roman"/>
          <w:b/>
          <w:color w:val="000000"/>
          <w:sz w:val="24"/>
          <w:szCs w:val="24"/>
          <w:highlight w:val="none"/>
          <w:u w:val="single"/>
        </w:rPr>
        <w:t xml:space="preserve">            </w:t>
      </w:r>
    </w:p>
    <w:p w14:paraId="2E9AF4D2">
      <w:pPr>
        <w:pageBreakBefore w:val="0"/>
        <w:kinsoku/>
        <w:wordWrap/>
        <w:overflowPunct/>
        <w:topLinePunct w:val="0"/>
        <w:autoSpaceDE/>
        <w:autoSpaceDN/>
        <w:bidi w:val="0"/>
        <w:spacing w:after="0"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14:paraId="09AEF7EE">
      <w:pPr>
        <w:pageBreakBefore w:val="0"/>
        <w:kinsoku/>
        <w:wordWrap/>
        <w:overflowPunct/>
        <w:topLinePunct w:val="0"/>
        <w:autoSpaceDE/>
        <w:autoSpaceDN/>
        <w:bidi w:val="0"/>
        <w:spacing w:after="0"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我代表（投标人名称）对中标合同产品的服务作如下承诺：</w:t>
      </w:r>
    </w:p>
    <w:p w14:paraId="186A1E8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A231729">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3C571C">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8E6B77E">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61A5363">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AFDC51E">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4800D0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80AC91">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6692D9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C06B78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8BB55F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5DDA6E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358619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0A4420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8870460">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EBFC94A">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E9A03C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590F3A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highlight w:val="none"/>
          <w:u w:val="single"/>
        </w:rPr>
      </w:pPr>
    </w:p>
    <w:p w14:paraId="24DFB372">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34F3E03A">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0AEDD34F">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2406AC8E">
      <w:pPr>
        <w:pStyle w:val="14"/>
        <w:pageBreakBefore w:val="0"/>
        <w:kinsoku/>
        <w:wordWrap/>
        <w:overflowPunct/>
        <w:topLinePunct w:val="0"/>
        <w:autoSpaceDE/>
        <w:autoSpaceDN/>
        <w:bidi w:val="0"/>
        <w:spacing w:after="0"/>
        <w:outlineLvl w:val="2"/>
        <w:rPr>
          <w:rFonts w:hint="eastAsia" w:hAnsi="宋体" w:eastAsia="宋体" w:cs="宋体"/>
          <w:b/>
          <w:bCs/>
          <w:color w:val="000000"/>
          <w:sz w:val="24"/>
          <w:szCs w:val="24"/>
          <w:highlight w:val="none"/>
        </w:rPr>
      </w:pPr>
    </w:p>
    <w:p w14:paraId="647D5D5B">
      <w:pPr>
        <w:pStyle w:val="14"/>
        <w:pageBreakBefore w:val="0"/>
        <w:kinsoku/>
        <w:wordWrap/>
        <w:overflowPunct/>
        <w:topLinePunct w:val="0"/>
        <w:autoSpaceDE/>
        <w:autoSpaceDN/>
        <w:bidi w:val="0"/>
        <w:spacing w:after="0"/>
        <w:outlineLvl w:val="2"/>
        <w:rPr>
          <w:rFonts w:hint="eastAsia" w:hAnsi="宋体" w:eastAsia="宋体" w:cs="宋体"/>
          <w:b/>
          <w:bCs/>
          <w:color w:val="000000"/>
          <w:sz w:val="24"/>
          <w:szCs w:val="24"/>
          <w:highlight w:val="none"/>
        </w:rPr>
        <w:sectPr>
          <w:pgSz w:w="11906" w:h="16838"/>
          <w:pgMar w:top="1588" w:right="1418" w:bottom="1134" w:left="1418" w:header="851" w:footer="992" w:gutter="0"/>
          <w:pgNumType w:fmt="numberInDash"/>
          <w:cols w:space="720" w:num="1"/>
          <w:titlePg/>
          <w:docGrid w:type="lines" w:linePitch="312" w:charSpace="0"/>
        </w:sectPr>
      </w:pPr>
    </w:p>
    <w:p w14:paraId="76CC8ACD">
      <w:pPr>
        <w:keepNext/>
        <w:keepLines/>
        <w:pageBreakBefore w:val="0"/>
        <w:kinsoku/>
        <w:wordWrap/>
        <w:overflowPunct/>
        <w:topLinePunct w:val="0"/>
        <w:autoSpaceDE/>
        <w:autoSpaceDN/>
        <w:bidi w:val="0"/>
        <w:spacing w:after="0"/>
        <w:outlineLvl w:val="2"/>
        <w:rPr>
          <w:rFonts w:hint="eastAsia" w:ascii="宋体" w:hAnsi="宋体" w:eastAsia="宋体" w:cs="宋体"/>
          <w:b/>
          <w:bCs/>
          <w:kern w:val="2"/>
          <w:sz w:val="32"/>
          <w:szCs w:val="32"/>
          <w:highlight w:val="none"/>
          <w:lang w:val="en-US" w:eastAsia="zh-CN" w:bidi="ar-SA"/>
        </w:rPr>
      </w:pPr>
      <w:r>
        <w:rPr>
          <w:rFonts w:hint="eastAsia" w:ascii="宋体" w:hAnsi="宋体" w:eastAsia="宋体" w:cs="宋体"/>
          <w:b/>
          <w:bCs/>
          <w:kern w:val="2"/>
          <w:sz w:val="32"/>
          <w:szCs w:val="32"/>
          <w:highlight w:val="none"/>
          <w:lang w:val="en-US" w:eastAsia="zh-CN" w:bidi="ar-SA"/>
        </w:rPr>
        <w:t xml:space="preserve">附件9 </w:t>
      </w:r>
    </w:p>
    <w:p w14:paraId="47CBD4B0">
      <w:pPr>
        <w:pageBreakBefore w:val="0"/>
        <w:kinsoku/>
        <w:wordWrap/>
        <w:overflowPunct/>
        <w:topLinePunct w:val="0"/>
        <w:autoSpaceDE/>
        <w:autoSpaceDN/>
        <w:bidi w:val="0"/>
        <w:spacing w:after="0"/>
        <w:jc w:val="center"/>
        <w:outlineLvl w:val="2"/>
        <w:rPr>
          <w:rFonts w:ascii="Calibri" w:hAnsi="Calibri" w:eastAsia="宋体" w:cs="Times New Roman"/>
          <w:szCs w:val="20"/>
          <w:highlight w:val="none"/>
        </w:rPr>
      </w:pPr>
      <w:r>
        <w:rPr>
          <w:rFonts w:hint="eastAsia" w:ascii="Times New Roman" w:hAnsi="Times New Roman" w:eastAsia="宋体" w:cs="Times New Roman"/>
          <w:b/>
          <w:bCs/>
          <w:color w:val="000000"/>
          <w:sz w:val="24"/>
          <w:szCs w:val="24"/>
          <w:highlight w:val="none"/>
        </w:rPr>
        <w:t>投标文件封面及封口格式</w:t>
      </w:r>
    </w:p>
    <w:p w14:paraId="71AB372E">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封面格式：</w:t>
      </w:r>
    </w:p>
    <w:tbl>
      <w:tblPr>
        <w:tblStyle w:val="3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4D0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070D858">
            <w:pPr>
              <w:pageBreakBefore w:val="0"/>
              <w:kinsoku/>
              <w:wordWrap/>
              <w:overflowPunct/>
              <w:topLinePunct w:val="0"/>
              <w:autoSpaceDE/>
              <w:autoSpaceDN/>
              <w:bidi w:val="0"/>
              <w:spacing w:after="0"/>
              <w:jc w:val="center"/>
              <w:rPr>
                <w:rFonts w:ascii="Times New Roman" w:hAnsi="Times New Roman" w:eastAsia="宋体" w:cs="Times New Roman"/>
                <w:b/>
                <w:szCs w:val="20"/>
                <w:highlight w:val="none"/>
              </w:rPr>
            </w:pPr>
          </w:p>
          <w:p w14:paraId="142892E5">
            <w:pPr>
              <w:pageBreakBefore w:val="0"/>
              <w:kinsoku/>
              <w:wordWrap/>
              <w:overflowPunct/>
              <w:topLinePunct w:val="0"/>
              <w:autoSpaceDE/>
              <w:autoSpaceDN/>
              <w:bidi w:val="0"/>
              <w:spacing w:after="0"/>
              <w:jc w:val="center"/>
              <w:rPr>
                <w:rFonts w:ascii="宋体" w:hAnsi="Times New Roman" w:eastAsia="宋体" w:cs="宋体"/>
                <w:b/>
                <w:sz w:val="30"/>
                <w:szCs w:val="30"/>
                <w:highlight w:val="none"/>
              </w:rPr>
            </w:pPr>
            <w:r>
              <w:rPr>
                <w:rFonts w:hint="eastAsia" w:ascii="宋体" w:hAnsi="宋体" w:eastAsia="宋体" w:cs="宋体"/>
                <w:b/>
                <w:sz w:val="30"/>
                <w:szCs w:val="30"/>
                <w:highlight w:val="none"/>
              </w:rPr>
              <w:t>技术</w:t>
            </w:r>
            <w:r>
              <w:rPr>
                <w:rFonts w:ascii="宋体" w:hAnsi="宋体" w:eastAsia="宋体" w:cs="宋体"/>
                <w:b/>
                <w:sz w:val="30"/>
                <w:szCs w:val="30"/>
                <w:highlight w:val="none"/>
              </w:rPr>
              <w:t>/</w:t>
            </w:r>
            <w:r>
              <w:rPr>
                <w:rFonts w:hint="eastAsia" w:ascii="宋体" w:hAnsi="宋体" w:eastAsia="宋体" w:cs="宋体"/>
                <w:b/>
                <w:sz w:val="30"/>
                <w:szCs w:val="30"/>
                <w:highlight w:val="none"/>
              </w:rPr>
              <w:t>资质</w:t>
            </w:r>
            <w:r>
              <w:rPr>
                <w:rFonts w:ascii="宋体" w:hAnsi="宋体" w:eastAsia="宋体" w:cs="宋体"/>
                <w:b/>
                <w:sz w:val="30"/>
                <w:szCs w:val="30"/>
                <w:highlight w:val="none"/>
              </w:rPr>
              <w:t>/</w:t>
            </w:r>
            <w:r>
              <w:rPr>
                <w:rFonts w:hint="eastAsia" w:ascii="宋体" w:hAnsi="宋体" w:eastAsia="宋体" w:cs="宋体"/>
                <w:b/>
                <w:sz w:val="30"/>
                <w:szCs w:val="30"/>
                <w:highlight w:val="none"/>
              </w:rPr>
              <w:t>商务文件</w:t>
            </w:r>
          </w:p>
          <w:p w14:paraId="73981662">
            <w:pPr>
              <w:pageBreakBefore w:val="0"/>
              <w:kinsoku/>
              <w:wordWrap/>
              <w:overflowPunct/>
              <w:topLinePunct w:val="0"/>
              <w:autoSpaceDE/>
              <w:autoSpaceDN/>
              <w:bidi w:val="0"/>
              <w:spacing w:after="0"/>
              <w:rPr>
                <w:rFonts w:ascii="Times New Roman" w:hAnsi="Times New Roman" w:eastAsia="等线" w:cs="Times New Roman"/>
                <w:b/>
                <w:sz w:val="30"/>
                <w:szCs w:val="30"/>
                <w:highlight w:val="none"/>
              </w:rPr>
            </w:pPr>
          </w:p>
          <w:p w14:paraId="2C9F9A79">
            <w:pPr>
              <w:pageBreakBefore w:val="0"/>
              <w:kinsoku/>
              <w:wordWrap/>
              <w:overflowPunct/>
              <w:topLinePunct w:val="0"/>
              <w:autoSpaceDE/>
              <w:autoSpaceDN/>
              <w:bidi w:val="0"/>
              <w:spacing w:after="0"/>
              <w:jc w:val="center"/>
              <w:rPr>
                <w:rFonts w:ascii="Times New Roman" w:hAnsi="Times New Roman" w:eastAsia="宋体" w:cs="Times New Roman"/>
                <w:b/>
                <w:sz w:val="30"/>
                <w:szCs w:val="30"/>
                <w:highlight w:val="none"/>
              </w:rPr>
            </w:pPr>
            <w:r>
              <w:rPr>
                <w:rFonts w:hint="eastAsia" w:ascii="宋体" w:hAnsi="宋体" w:eastAsia="宋体" w:cs="宋体"/>
                <w:b/>
                <w:sz w:val="30"/>
                <w:szCs w:val="30"/>
                <w:highlight w:val="none"/>
              </w:rPr>
              <w:t>（</w:t>
            </w:r>
            <w:r>
              <w:rPr>
                <w:rFonts w:ascii="等线" w:hAnsi="等线" w:eastAsia="等线" w:cs="Times New Roman"/>
                <w:b/>
                <w:sz w:val="30"/>
                <w:szCs w:val="30"/>
                <w:highlight w:val="none"/>
              </w:rPr>
              <w:t>1</w:t>
            </w:r>
            <w:r>
              <w:rPr>
                <w:rFonts w:hint="eastAsia" w:ascii="宋体" w:hAnsi="宋体" w:eastAsia="宋体" w:cs="宋体"/>
                <w:b/>
                <w:sz w:val="30"/>
                <w:szCs w:val="30"/>
                <w:highlight w:val="none"/>
              </w:rPr>
              <w:t>正本</w:t>
            </w:r>
            <w:r>
              <w:rPr>
                <w:rFonts w:hint="eastAsia" w:ascii="宋体" w:hAnsi="宋体" w:eastAsia="宋体" w:cs="宋体"/>
                <w:b/>
                <w:sz w:val="30"/>
                <w:szCs w:val="30"/>
                <w:highlight w:val="none"/>
                <w:lang w:val="en-US" w:eastAsia="zh-CN"/>
              </w:rPr>
              <w:t>/</w:t>
            </w:r>
            <w:r>
              <w:rPr>
                <w:rFonts w:ascii="等线" w:hAnsi="等线" w:eastAsia="等线" w:cs="Times New Roman"/>
                <w:b/>
                <w:sz w:val="30"/>
                <w:szCs w:val="30"/>
                <w:highlight w:val="none"/>
                <w:u w:val="single"/>
              </w:rPr>
              <w:t xml:space="preserve"> </w:t>
            </w:r>
            <w:r>
              <w:rPr>
                <w:rFonts w:hint="eastAsia" w:ascii="等线" w:hAnsi="等线" w:eastAsia="等线" w:cs="Times New Roman"/>
                <w:b/>
                <w:sz w:val="30"/>
                <w:szCs w:val="30"/>
                <w:highlight w:val="none"/>
                <w:u w:val="single"/>
                <w:lang w:val="en-US" w:eastAsia="zh-CN"/>
              </w:rPr>
              <w:t>4</w:t>
            </w:r>
            <w:r>
              <w:rPr>
                <w:rFonts w:ascii="等线" w:hAnsi="等线" w:eastAsia="等线" w:cs="Times New Roman"/>
                <w:b/>
                <w:sz w:val="30"/>
                <w:szCs w:val="30"/>
                <w:highlight w:val="none"/>
                <w:u w:val="single"/>
              </w:rPr>
              <w:t xml:space="preserve"> </w:t>
            </w:r>
            <w:r>
              <w:rPr>
                <w:rFonts w:hint="eastAsia" w:ascii="宋体" w:hAnsi="宋体" w:eastAsia="宋体" w:cs="宋体"/>
                <w:b/>
                <w:sz w:val="30"/>
                <w:szCs w:val="30"/>
                <w:highlight w:val="none"/>
              </w:rPr>
              <w:t>副本）</w:t>
            </w:r>
          </w:p>
          <w:p w14:paraId="01F5EAF4">
            <w:pPr>
              <w:pageBreakBefore w:val="0"/>
              <w:kinsoku/>
              <w:wordWrap/>
              <w:overflowPunct/>
              <w:topLinePunct w:val="0"/>
              <w:autoSpaceDE/>
              <w:autoSpaceDN/>
              <w:bidi w:val="0"/>
              <w:spacing w:after="0"/>
              <w:jc w:val="center"/>
              <w:rPr>
                <w:rFonts w:ascii="Times New Roman" w:hAnsi="Times New Roman" w:eastAsia="宋体" w:cs="Times New Roman"/>
                <w:b/>
                <w:szCs w:val="20"/>
                <w:highlight w:val="none"/>
              </w:rPr>
            </w:pPr>
          </w:p>
          <w:p w14:paraId="524341B2">
            <w:pPr>
              <w:pageBreakBefore w:val="0"/>
              <w:kinsoku/>
              <w:wordWrap/>
              <w:overflowPunct/>
              <w:topLinePunct w:val="0"/>
              <w:autoSpaceDE/>
              <w:autoSpaceDN/>
              <w:bidi w:val="0"/>
              <w:spacing w:after="0"/>
              <w:jc w:val="center"/>
              <w:rPr>
                <w:rFonts w:ascii="Times New Roman" w:hAnsi="Times New Roman" w:eastAsia="宋体" w:cs="Times New Roman"/>
                <w:b/>
                <w:szCs w:val="20"/>
                <w:highlight w:val="none"/>
              </w:rPr>
            </w:pPr>
          </w:p>
          <w:p w14:paraId="793C2633">
            <w:pPr>
              <w:pageBreakBefore w:val="0"/>
              <w:kinsoku/>
              <w:wordWrap/>
              <w:overflowPunct/>
              <w:topLinePunct w:val="0"/>
              <w:autoSpaceDE/>
              <w:autoSpaceDN/>
              <w:bidi w:val="0"/>
              <w:spacing w:after="0"/>
              <w:jc w:val="center"/>
              <w:rPr>
                <w:rFonts w:hint="default" w:ascii="Times New Roman" w:hAnsi="Times New Roman" w:eastAsia="宋体" w:cs="Times New Roman"/>
                <w:b/>
                <w:szCs w:val="20"/>
                <w:highlight w:val="none"/>
                <w:lang w:val="en-US" w:eastAsia="zh-CN"/>
              </w:rPr>
            </w:pPr>
            <w:r>
              <w:rPr>
                <w:rFonts w:hint="eastAsia" w:ascii="宋体" w:hAnsi="宋体" w:eastAsia="宋体" w:cs="宋体"/>
                <w:b/>
                <w:szCs w:val="20"/>
                <w:highlight w:val="none"/>
              </w:rPr>
              <w:t>项目名称：</w:t>
            </w:r>
          </w:p>
          <w:p w14:paraId="13926FE3">
            <w:pPr>
              <w:pageBreakBefore w:val="0"/>
              <w:kinsoku/>
              <w:wordWrap/>
              <w:overflowPunct/>
              <w:topLinePunct w:val="0"/>
              <w:autoSpaceDE/>
              <w:autoSpaceDN/>
              <w:bidi w:val="0"/>
              <w:spacing w:after="0"/>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投标人名称（公章）：</w:t>
            </w:r>
          </w:p>
          <w:p w14:paraId="73DB0698">
            <w:pPr>
              <w:pageBreakBefore w:val="0"/>
              <w:kinsoku/>
              <w:wordWrap/>
              <w:overflowPunct/>
              <w:topLinePunct w:val="0"/>
              <w:autoSpaceDE/>
              <w:autoSpaceDN/>
              <w:bidi w:val="0"/>
              <w:spacing w:after="0"/>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地址：</w:t>
            </w:r>
          </w:p>
          <w:p w14:paraId="3498D8B9">
            <w:pPr>
              <w:pageBreakBefore w:val="0"/>
              <w:kinsoku/>
              <w:wordWrap/>
              <w:overflowPunct/>
              <w:topLinePunct w:val="0"/>
              <w:autoSpaceDE/>
              <w:autoSpaceDN/>
              <w:bidi w:val="0"/>
              <w:spacing w:after="0"/>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授权代表电话：</w:t>
            </w:r>
          </w:p>
          <w:p w14:paraId="66BF1370">
            <w:pPr>
              <w:pageBreakBefore w:val="0"/>
              <w:kinsoku/>
              <w:wordWrap/>
              <w:overflowPunct/>
              <w:topLinePunct w:val="0"/>
              <w:autoSpaceDE/>
              <w:autoSpaceDN/>
              <w:bidi w:val="0"/>
              <w:spacing w:after="0"/>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传真：</w:t>
            </w:r>
          </w:p>
          <w:p w14:paraId="4B598E8C">
            <w:pPr>
              <w:pageBreakBefore w:val="0"/>
              <w:kinsoku/>
              <w:wordWrap/>
              <w:overflowPunct/>
              <w:topLinePunct w:val="0"/>
              <w:autoSpaceDE/>
              <w:autoSpaceDN/>
              <w:bidi w:val="0"/>
              <w:spacing w:after="0"/>
              <w:jc w:val="center"/>
              <w:rPr>
                <w:rFonts w:ascii="Times New Roman" w:hAnsi="Times New Roman" w:eastAsia="宋体" w:cs="Times New Roman"/>
                <w:b/>
                <w:szCs w:val="20"/>
                <w:highlight w:val="none"/>
              </w:rPr>
            </w:pPr>
          </w:p>
          <w:p w14:paraId="45BE690D">
            <w:pPr>
              <w:pageBreakBefore w:val="0"/>
              <w:kinsoku/>
              <w:wordWrap/>
              <w:overflowPunct/>
              <w:topLinePunct w:val="0"/>
              <w:autoSpaceDE/>
              <w:autoSpaceDN/>
              <w:bidi w:val="0"/>
              <w:spacing w:after="0"/>
              <w:jc w:val="center"/>
              <w:rPr>
                <w:rFonts w:ascii="Times New Roman" w:hAnsi="Times New Roman" w:eastAsia="宋体" w:cs="Times New Roman"/>
                <w:b/>
                <w:szCs w:val="20"/>
                <w:highlight w:val="none"/>
              </w:rPr>
            </w:pPr>
          </w:p>
        </w:tc>
      </w:tr>
    </w:tbl>
    <w:p w14:paraId="4D9C60D2">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033B44A4">
      <w:pPr>
        <w:pStyle w:val="14"/>
        <w:pageBreakBefore w:val="0"/>
        <w:kinsoku/>
        <w:wordWrap/>
        <w:overflowPunct/>
        <w:topLinePunct w:val="0"/>
        <w:autoSpaceDE/>
        <w:autoSpaceDN/>
        <w:bidi w:val="0"/>
        <w:spacing w:after="0"/>
        <w:rPr>
          <w:highlight w:val="none"/>
        </w:rPr>
      </w:pPr>
    </w:p>
    <w:p w14:paraId="13C4EDB8">
      <w:pPr>
        <w:pageBreakBefore w:val="0"/>
        <w:kinsoku/>
        <w:wordWrap/>
        <w:overflowPunct/>
        <w:topLinePunct w:val="0"/>
        <w:autoSpaceDE/>
        <w:autoSpaceDN/>
        <w:bidi w:val="0"/>
        <w:spacing w:after="0"/>
        <w:jc w:val="right"/>
        <w:rPr>
          <w:rFonts w:asciiTheme="minorEastAsia" w:hAnsiTheme="minorEastAsia" w:cstheme="minorEastAsia"/>
          <w:sz w:val="20"/>
          <w:szCs w:val="20"/>
          <w:highlight w:val="none"/>
        </w:rPr>
      </w:pPr>
    </w:p>
    <w:p w14:paraId="20FBDE77">
      <w:pPr>
        <w:pStyle w:val="14"/>
        <w:pageBreakBefore w:val="0"/>
        <w:kinsoku/>
        <w:wordWrap/>
        <w:overflowPunct/>
        <w:topLinePunct w:val="0"/>
        <w:autoSpaceDE/>
        <w:autoSpaceDN/>
        <w:bidi w:val="0"/>
        <w:spacing w:after="0"/>
        <w:outlineLvl w:val="2"/>
        <w:rPr>
          <w:rFonts w:hint="eastAsia" w:hAnsi="宋体" w:eastAsia="宋体" w:cs="宋体"/>
          <w:b/>
          <w:bCs/>
          <w:color w:val="000000"/>
          <w:sz w:val="24"/>
          <w:szCs w:val="24"/>
          <w:highlight w:val="none"/>
        </w:rPr>
      </w:pPr>
    </w:p>
    <w:p w14:paraId="016ADC61">
      <w:pPr>
        <w:pageBreakBefore w:val="0"/>
        <w:kinsoku/>
        <w:wordWrap/>
        <w:overflowPunct/>
        <w:topLinePunct w:val="0"/>
        <w:autoSpaceDE/>
        <w:autoSpaceDN/>
        <w:bidi w:val="0"/>
        <w:spacing w:after="0"/>
        <w:outlineLvl w:val="2"/>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47BF3207">
      <w:pPr>
        <w:keepNext/>
        <w:keepLines/>
        <w:pageBreakBefore w:val="0"/>
        <w:kinsoku/>
        <w:wordWrap/>
        <w:overflowPunct/>
        <w:topLinePunct w:val="0"/>
        <w:autoSpaceDE/>
        <w:autoSpaceDN/>
        <w:bidi w:val="0"/>
        <w:spacing w:after="0"/>
        <w:outlineLvl w:val="2"/>
        <w:rPr>
          <w:rFonts w:hint="eastAsia" w:ascii="宋体" w:hAnsi="宋体" w:eastAsia="宋体" w:cs="宋体"/>
          <w:b/>
          <w:bCs/>
          <w:kern w:val="2"/>
          <w:sz w:val="32"/>
          <w:szCs w:val="32"/>
          <w:highlight w:val="none"/>
          <w:lang w:val="en-US" w:eastAsia="zh-CN" w:bidi="ar-SA"/>
        </w:rPr>
      </w:pPr>
      <w:r>
        <w:rPr>
          <w:rFonts w:hint="eastAsia" w:ascii="宋体" w:hAnsi="宋体" w:eastAsia="宋体" w:cs="宋体"/>
          <w:b/>
          <w:bCs/>
          <w:kern w:val="2"/>
          <w:sz w:val="32"/>
          <w:szCs w:val="32"/>
          <w:highlight w:val="none"/>
          <w:lang w:val="en-US" w:eastAsia="zh-CN" w:bidi="ar-SA"/>
        </w:rPr>
        <w:t xml:space="preserve">附件10 </w:t>
      </w:r>
    </w:p>
    <w:p w14:paraId="48A6CE63">
      <w:pPr>
        <w:pStyle w:val="14"/>
        <w:pageBreakBefore w:val="0"/>
        <w:kinsoku/>
        <w:wordWrap/>
        <w:overflowPunct/>
        <w:topLinePunct w:val="0"/>
        <w:autoSpaceDE/>
        <w:autoSpaceDN/>
        <w:bidi w:val="0"/>
        <w:spacing w:after="0"/>
        <w:jc w:val="center"/>
        <w:outlineLvl w:val="2"/>
        <w:rPr>
          <w:rFonts w:hAnsi="宋体" w:eastAsia="宋体" w:cs="宋体"/>
          <w:b/>
          <w:bCs/>
          <w:color w:val="000000"/>
          <w:sz w:val="24"/>
          <w:szCs w:val="24"/>
          <w:highlight w:val="none"/>
        </w:rPr>
      </w:pPr>
      <w:r>
        <w:rPr>
          <w:rFonts w:hint="eastAsia" w:hAnsi="宋体" w:eastAsia="宋体" w:cs="宋体"/>
          <w:b/>
          <w:bCs/>
          <w:color w:val="000000"/>
          <w:sz w:val="24"/>
          <w:szCs w:val="24"/>
          <w:highlight w:val="none"/>
        </w:rPr>
        <w:t>SRM非生产供应商注册操作手册</w:t>
      </w:r>
    </w:p>
    <w:p w14:paraId="0EF26219">
      <w:pPr>
        <w:pStyle w:val="14"/>
        <w:pageBreakBefore w:val="0"/>
        <w:kinsoku/>
        <w:wordWrap/>
        <w:overflowPunct/>
        <w:topLinePunct w:val="0"/>
        <w:autoSpaceDE/>
        <w:autoSpaceDN/>
        <w:bidi w:val="0"/>
        <w:spacing w:after="0"/>
        <w:rPr>
          <w:rFonts w:eastAsia="宋体"/>
          <w:highlight w:val="none"/>
        </w:rPr>
      </w:pPr>
    </w:p>
    <w:p w14:paraId="532CFB13">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highlight w:val="none"/>
        </w:rPr>
      </w:pPr>
      <w:r>
        <w:rPr>
          <w:rFonts w:ascii="宋体" w:hAnsi="宋体" w:eastAsia="宋体" w:cs="宋体"/>
          <w:sz w:val="24"/>
          <w:szCs w:val="24"/>
          <w:highlight w:val="none"/>
        </w:rPr>
        <w:t>浏览器中输入地址;</w:t>
      </w:r>
    </w:p>
    <w:p w14:paraId="7D97FA07">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highlight w:val="none"/>
        </w:rPr>
      </w:pPr>
      <w:r>
        <w:rPr>
          <w:highlight w:val="none"/>
        </w:rPr>
        <w:fldChar w:fldCharType="begin"/>
      </w:r>
      <w:r>
        <w:rPr>
          <w:highlight w:val="none"/>
        </w:rPr>
        <w:instrText xml:space="preserve"> HYPERLINK "http://ecaitong.sinotruk.com:8012/" \l "/login" \t "dlt" </w:instrText>
      </w:r>
      <w:r>
        <w:rPr>
          <w:highlight w:val="none"/>
        </w:rPr>
        <w:fldChar w:fldCharType="separate"/>
      </w:r>
      <w:r>
        <w:rPr>
          <w:rFonts w:ascii="宋体" w:hAnsi="宋体" w:eastAsia="宋体" w:cs="宋体"/>
          <w:sz w:val="24"/>
          <w:szCs w:val="24"/>
          <w:highlight w:val="none"/>
        </w:rPr>
        <w:t>http</w:t>
      </w:r>
      <w:r>
        <w:rPr>
          <w:rFonts w:hint="eastAsia" w:ascii="宋体" w:hAnsi="宋体" w:eastAsia="宋体" w:cs="宋体"/>
          <w:sz w:val="24"/>
          <w:szCs w:val="24"/>
          <w:highlight w:val="none"/>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14:paraId="3F1C344F">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highlight w:val="none"/>
        </w:rPr>
      </w:pPr>
      <w:r>
        <w:rPr>
          <w:rFonts w:ascii="宋体" w:hAnsi="宋体" w:eastAsia="宋体" w:cs="宋体"/>
          <w:sz w:val="24"/>
          <w:szCs w:val="24"/>
          <w:highlight w:val="none"/>
        </w:rPr>
        <w:t>1.点击立即注册</w:t>
      </w:r>
    </w:p>
    <w:p w14:paraId="73B946AB">
      <w:pPr>
        <w:pageBreakBefore w:val="0"/>
        <w:kinsoku/>
        <w:wordWrap/>
        <w:overflowPunct/>
        <w:topLinePunct w:val="0"/>
        <w:autoSpaceDE/>
        <w:autoSpaceDN/>
        <w:bidi w:val="0"/>
        <w:snapToGrid w:val="0"/>
        <w:spacing w:after="0" w:line="312" w:lineRule="auto"/>
        <w:rPr>
          <w:highlight w:val="none"/>
        </w:rPr>
      </w:pPr>
      <w:r>
        <w:rPr>
          <w:highlight w:val="none"/>
        </w:rPr>
        <w:drawing>
          <wp:inline distT="0" distB="0" distL="0" distR="0">
            <wp:extent cx="5760085" cy="2933065"/>
            <wp:effectExtent l="0" t="0" r="5715" b="63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7193854A">
      <w:pPr>
        <w:pageBreakBefore w:val="0"/>
        <w:kinsoku/>
        <w:wordWrap/>
        <w:overflowPunct/>
        <w:topLinePunct w:val="0"/>
        <w:autoSpaceDE/>
        <w:autoSpaceDN/>
        <w:bidi w:val="0"/>
        <w:spacing w:after="0"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2.</w:t>
      </w:r>
      <w:r>
        <w:rPr>
          <w:rFonts w:ascii="宋体" w:hAnsi="宋体" w:eastAsia="宋体" w:cs="宋体"/>
          <w:color w:val="000000"/>
          <w:sz w:val="24"/>
          <w:szCs w:val="28"/>
          <w:highlight w:val="none"/>
        </w:rPr>
        <w:t>填写手机号码（没有注册过的）</w:t>
      </w:r>
    </w:p>
    <w:p w14:paraId="3D58AD4E">
      <w:pPr>
        <w:pageBreakBefore w:val="0"/>
        <w:kinsoku/>
        <w:wordWrap/>
        <w:overflowPunct/>
        <w:topLinePunct w:val="0"/>
        <w:autoSpaceDE/>
        <w:autoSpaceDN/>
        <w:bidi w:val="0"/>
        <w:snapToGrid w:val="0"/>
        <w:spacing w:after="0" w:line="312" w:lineRule="auto"/>
        <w:rPr>
          <w:highlight w:val="none"/>
        </w:rPr>
      </w:pPr>
      <w:r>
        <w:rPr>
          <w:highlight w:val="none"/>
        </w:rPr>
        <w:drawing>
          <wp:inline distT="0" distB="0" distL="0" distR="0">
            <wp:extent cx="5760085" cy="2766695"/>
            <wp:effectExtent l="0" t="0" r="5715" b="190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564F8DA8">
      <w:pPr>
        <w:pageBreakBefore w:val="0"/>
        <w:kinsoku/>
        <w:wordWrap/>
        <w:overflowPunct/>
        <w:topLinePunct w:val="0"/>
        <w:autoSpaceDE/>
        <w:autoSpaceDN/>
        <w:bidi w:val="0"/>
        <w:spacing w:after="0"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3.</w:t>
      </w:r>
      <w:r>
        <w:rPr>
          <w:rFonts w:ascii="宋体" w:hAnsi="宋体" w:eastAsia="宋体" w:cs="宋体"/>
          <w:color w:val="000000"/>
          <w:sz w:val="24"/>
          <w:szCs w:val="28"/>
          <w:highlight w:val="none"/>
        </w:rPr>
        <w:t>注册成功登录这个手机号码的账号进入系统，点击供应商注册</w:t>
      </w:r>
    </w:p>
    <w:p w14:paraId="0382FAD5">
      <w:pPr>
        <w:pageBreakBefore w:val="0"/>
        <w:kinsoku/>
        <w:wordWrap/>
        <w:overflowPunct/>
        <w:topLinePunct w:val="0"/>
        <w:autoSpaceDE/>
        <w:autoSpaceDN/>
        <w:bidi w:val="0"/>
        <w:snapToGrid w:val="0"/>
        <w:spacing w:after="0" w:line="312" w:lineRule="auto"/>
        <w:rPr>
          <w:highlight w:val="none"/>
        </w:rPr>
      </w:pPr>
      <w:r>
        <w:rPr>
          <w:highlight w:val="none"/>
        </w:rPr>
        <w:drawing>
          <wp:inline distT="0" distB="0" distL="0" distR="0">
            <wp:extent cx="5760085" cy="2869565"/>
            <wp:effectExtent l="0" t="0" r="5715" b="6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693A08C2">
      <w:pPr>
        <w:pageBreakBefore w:val="0"/>
        <w:kinsoku/>
        <w:wordWrap/>
        <w:overflowPunct/>
        <w:topLinePunct w:val="0"/>
        <w:autoSpaceDE/>
        <w:autoSpaceDN/>
        <w:bidi w:val="0"/>
        <w:spacing w:after="0"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4.</w:t>
      </w:r>
      <w:r>
        <w:rPr>
          <w:rFonts w:ascii="宋体" w:hAnsi="宋体" w:eastAsia="宋体" w:cs="宋体"/>
          <w:color w:val="000000"/>
          <w:sz w:val="24"/>
          <w:szCs w:val="28"/>
          <w:highlight w:val="none"/>
        </w:rPr>
        <w:t>点击新增</w:t>
      </w:r>
    </w:p>
    <w:p w14:paraId="7FAA0C1C">
      <w:pPr>
        <w:pageBreakBefore w:val="0"/>
        <w:kinsoku/>
        <w:wordWrap/>
        <w:overflowPunct/>
        <w:topLinePunct w:val="0"/>
        <w:autoSpaceDE/>
        <w:autoSpaceDN/>
        <w:bidi w:val="0"/>
        <w:snapToGrid w:val="0"/>
        <w:spacing w:after="0" w:line="312" w:lineRule="auto"/>
        <w:rPr>
          <w:highlight w:val="none"/>
        </w:rPr>
      </w:pPr>
      <w:r>
        <w:rPr>
          <w:highlight w:val="none"/>
        </w:rPr>
        <w:drawing>
          <wp:inline distT="0" distB="0" distL="0" distR="0">
            <wp:extent cx="5760085" cy="2853055"/>
            <wp:effectExtent l="0" t="0" r="5715" b="4445"/>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452B382D">
      <w:pPr>
        <w:pageBreakBefore w:val="0"/>
        <w:kinsoku/>
        <w:wordWrap/>
        <w:overflowPunct/>
        <w:topLinePunct w:val="0"/>
        <w:autoSpaceDE/>
        <w:autoSpaceDN/>
        <w:bidi w:val="0"/>
        <w:spacing w:after="0" w:line="360" w:lineRule="auto"/>
        <w:rPr>
          <w:rFonts w:ascii="宋体" w:hAnsi="宋体" w:eastAsia="宋体" w:cs="宋体"/>
          <w:sz w:val="24"/>
          <w:szCs w:val="28"/>
          <w:highlight w:val="none"/>
        </w:rPr>
      </w:pPr>
      <w:r>
        <w:rPr>
          <w:rFonts w:hint="eastAsia" w:ascii="宋体" w:hAnsi="宋体" w:eastAsia="宋体" w:cs="宋体"/>
          <w:sz w:val="24"/>
          <w:szCs w:val="28"/>
          <w:highlight w:val="none"/>
        </w:rPr>
        <w:t>5</w:t>
      </w:r>
      <w:r>
        <w:rPr>
          <w:rFonts w:hint="eastAsia" w:ascii="宋体" w:hAnsi="宋体" w:eastAsia="宋体" w:cs="宋体"/>
          <w:color w:val="000000"/>
          <w:sz w:val="24"/>
          <w:szCs w:val="28"/>
          <w:highlight w:val="none"/>
        </w:rPr>
        <w:t>.</w:t>
      </w:r>
      <w:r>
        <w:rPr>
          <w:rFonts w:ascii="宋体" w:hAnsi="宋体" w:eastAsia="宋体" w:cs="宋体"/>
          <w:color w:val="000000"/>
          <w:sz w:val="24"/>
          <w:szCs w:val="28"/>
          <w:highlight w:val="none"/>
        </w:rPr>
        <w:t>按要求填写所有信息，注意非生产类要填写合作单位，最后提交审批</w:t>
      </w:r>
    </w:p>
    <w:p w14:paraId="205D4BB9">
      <w:pPr>
        <w:pStyle w:val="14"/>
        <w:pageBreakBefore w:val="0"/>
        <w:kinsoku/>
        <w:wordWrap/>
        <w:overflowPunct/>
        <w:topLinePunct w:val="0"/>
        <w:autoSpaceDE/>
        <w:autoSpaceDN/>
        <w:bidi w:val="0"/>
        <w:spacing w:after="0"/>
        <w:rPr>
          <w:highlight w:val="none"/>
        </w:rPr>
      </w:pPr>
    </w:p>
    <w:p w14:paraId="45635F57">
      <w:pPr>
        <w:pageBreakBefore w:val="0"/>
        <w:kinsoku/>
        <w:wordWrap/>
        <w:overflowPunct/>
        <w:topLinePunct w:val="0"/>
        <w:autoSpaceDE/>
        <w:autoSpaceDN/>
        <w:bidi w:val="0"/>
        <w:spacing w:after="0"/>
        <w:rPr>
          <w:highlight w:val="none"/>
        </w:rPr>
      </w:pPr>
      <w:r>
        <w:rPr>
          <w:highlight w:val="none"/>
        </w:rPr>
        <w:drawing>
          <wp:inline distT="0" distB="0" distL="0" distR="0">
            <wp:extent cx="5760085" cy="2809875"/>
            <wp:effectExtent l="0" t="0" r="5715" b="952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124633C3">
      <w:pPr>
        <w:pStyle w:val="14"/>
        <w:pageBreakBefore w:val="0"/>
        <w:kinsoku/>
        <w:wordWrap/>
        <w:overflowPunct/>
        <w:topLinePunct w:val="0"/>
        <w:autoSpaceDE/>
        <w:autoSpaceDN/>
        <w:bidi w:val="0"/>
        <w:spacing w:after="0"/>
        <w:rPr>
          <w:highlight w:val="none"/>
        </w:rPr>
      </w:pPr>
      <w:r>
        <w:rPr>
          <w:highlight w:val="none"/>
        </w:rPr>
        <w:drawing>
          <wp:inline distT="0" distB="0" distL="0" distR="0">
            <wp:extent cx="5760085" cy="28200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0549C4B5">
      <w:pPr>
        <w:pStyle w:val="14"/>
        <w:pageBreakBefore w:val="0"/>
        <w:kinsoku/>
        <w:wordWrap/>
        <w:overflowPunct/>
        <w:topLinePunct w:val="0"/>
        <w:autoSpaceDE/>
        <w:autoSpaceDN/>
        <w:bidi w:val="0"/>
        <w:spacing w:after="0"/>
        <w:rPr>
          <w:highlight w:val="none"/>
        </w:rPr>
      </w:pPr>
    </w:p>
    <w:p w14:paraId="238FDF1C">
      <w:pPr>
        <w:pageBreakBefore w:val="0"/>
        <w:kinsoku/>
        <w:wordWrap/>
        <w:overflowPunct/>
        <w:topLinePunct w:val="0"/>
        <w:autoSpaceDE/>
        <w:autoSpaceDN/>
        <w:bidi w:val="0"/>
        <w:spacing w:after="0"/>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5AC04B32">
      <w:pPr>
        <w:pageBreakBefore w:val="0"/>
        <w:kinsoku/>
        <w:wordWrap/>
        <w:overflowPunct/>
        <w:topLinePunct w:val="0"/>
        <w:autoSpaceDE/>
        <w:autoSpaceDN/>
        <w:bidi w:val="0"/>
        <w:spacing w:after="0"/>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30EC06F6">
      <w:pPr>
        <w:pStyle w:val="14"/>
        <w:pageBreakBefore w:val="0"/>
        <w:kinsoku/>
        <w:wordWrap/>
        <w:overflowPunct/>
        <w:topLinePunct w:val="0"/>
        <w:autoSpaceDE/>
        <w:autoSpaceDN/>
        <w:bidi w:val="0"/>
        <w:spacing w:after="0"/>
        <w:rPr>
          <w:highlight w:val="none"/>
        </w:rPr>
      </w:pPr>
      <w:r>
        <w:rPr>
          <w:rFonts w:hint="eastAsia" w:hAnsi="宋体" w:eastAsia="宋体" w:cs="宋体"/>
          <w:b/>
          <w:bCs/>
          <w:color w:val="000000"/>
          <w:sz w:val="24"/>
          <w:szCs w:val="28"/>
          <w:highlight w:val="none"/>
        </w:rPr>
        <w:t>2.配套能力“供货类别”填“工艺装备”，业务主管部门选择“工艺工匠研究院”。</w:t>
      </w:r>
    </w:p>
    <w:p w14:paraId="690617AE">
      <w:pPr>
        <w:pStyle w:val="14"/>
        <w:pageBreakBefore w:val="0"/>
        <w:kinsoku/>
        <w:wordWrap/>
        <w:overflowPunct/>
        <w:topLinePunct w:val="0"/>
        <w:autoSpaceDE/>
        <w:autoSpaceDN/>
        <w:bidi w:val="0"/>
        <w:spacing w:after="0"/>
        <w:rPr>
          <w:highlight w:val="none"/>
        </w:rPr>
        <w:sectPr>
          <w:pgSz w:w="11906" w:h="16838"/>
          <w:pgMar w:top="1588" w:right="1418" w:bottom="1134" w:left="1418" w:header="851" w:footer="992" w:gutter="0"/>
          <w:pgNumType w:fmt="numberInDash"/>
          <w:cols w:space="720" w:num="1"/>
          <w:titlePg/>
          <w:docGrid w:type="lines" w:linePitch="312" w:charSpace="0"/>
        </w:sectPr>
      </w:pPr>
    </w:p>
    <w:p w14:paraId="46CE2072">
      <w:pPr>
        <w:keepNext/>
        <w:keepLines/>
        <w:pageBreakBefore w:val="0"/>
        <w:kinsoku/>
        <w:wordWrap/>
        <w:overflowPunct/>
        <w:topLinePunct w:val="0"/>
        <w:autoSpaceDE/>
        <w:autoSpaceDN/>
        <w:bidi w:val="0"/>
        <w:spacing w:after="0"/>
        <w:outlineLvl w:val="2"/>
        <w:rPr>
          <w:rFonts w:hint="eastAsia" w:ascii="宋体" w:hAnsi="宋体" w:eastAsia="宋体" w:cs="宋体"/>
          <w:b/>
          <w:bCs/>
          <w:kern w:val="2"/>
          <w:sz w:val="32"/>
          <w:szCs w:val="32"/>
          <w:highlight w:val="none"/>
          <w:lang w:val="en-US" w:eastAsia="zh-CN" w:bidi="ar-SA"/>
        </w:rPr>
      </w:pPr>
      <w:r>
        <w:rPr>
          <w:rFonts w:hint="eastAsia" w:ascii="宋体" w:hAnsi="宋体" w:eastAsia="宋体" w:cs="宋体"/>
          <w:b/>
          <w:bCs/>
          <w:kern w:val="2"/>
          <w:sz w:val="32"/>
          <w:szCs w:val="32"/>
          <w:highlight w:val="none"/>
          <w:lang w:val="en-US" w:eastAsia="zh-CN" w:bidi="ar-SA"/>
        </w:rPr>
        <w:t xml:space="preserve">附件11 </w:t>
      </w:r>
    </w:p>
    <w:p w14:paraId="1D8156E5">
      <w:pPr>
        <w:pStyle w:val="14"/>
        <w:pageBreakBefore w:val="0"/>
        <w:kinsoku/>
        <w:wordWrap/>
        <w:overflowPunct/>
        <w:topLinePunct w:val="0"/>
        <w:autoSpaceDE/>
        <w:autoSpaceDN/>
        <w:bidi w:val="0"/>
        <w:spacing w:after="0"/>
        <w:jc w:val="center"/>
        <w:outlineLvl w:val="2"/>
        <w:rPr>
          <w:rFonts w:hAnsi="宋体" w:eastAsia="宋体" w:cs="Times New Roman"/>
          <w:b/>
          <w:color w:val="000000"/>
          <w:sz w:val="24"/>
          <w:szCs w:val="24"/>
          <w:highlight w:val="none"/>
        </w:rPr>
      </w:pPr>
      <w:r>
        <w:rPr>
          <w:rFonts w:hint="eastAsia" w:hAnsi="宋体" w:eastAsia="宋体" w:cs="Times New Roman"/>
          <w:b/>
          <w:color w:val="000000"/>
          <w:sz w:val="24"/>
          <w:szCs w:val="24"/>
          <w:highlight w:val="none"/>
        </w:rPr>
        <w:t>SRM系统供应商用户手册</w:t>
      </w:r>
    </w:p>
    <w:p w14:paraId="15848A3B">
      <w:pPr>
        <w:pageBreakBefore w:val="0"/>
        <w:kinsoku/>
        <w:wordWrap/>
        <w:overflowPunct/>
        <w:topLinePunct w:val="0"/>
        <w:autoSpaceDE/>
        <w:autoSpaceDN/>
        <w:bidi w:val="0"/>
        <w:spacing w:after="0"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37"/>
          <w:rFonts w:hint="eastAsia" w:ascii="宋体" w:hAnsi="宋体" w:eastAsia="宋体" w:cs="宋体"/>
          <w:sz w:val="24"/>
          <w:szCs w:val="24"/>
          <w:highlight w:val="none"/>
        </w:rPr>
        <w:t>http</w:t>
      </w:r>
      <w:r>
        <w:rPr>
          <w:rStyle w:val="37"/>
          <w:rFonts w:hint="eastAsia" w:ascii="宋体" w:hAnsi="宋体" w:eastAsia="宋体" w:cs="宋体"/>
          <w:sz w:val="24"/>
          <w:szCs w:val="24"/>
          <w:highlight w:val="none"/>
          <w:lang w:val="en-US" w:eastAsia="zh-CN"/>
        </w:rPr>
        <w:t>s</w:t>
      </w:r>
      <w:r>
        <w:rPr>
          <w:rStyle w:val="37"/>
          <w:rFonts w:hint="eastAsia" w:ascii="宋体" w:hAnsi="宋体" w:eastAsia="宋体" w:cs="宋体"/>
          <w:sz w:val="24"/>
          <w:szCs w:val="24"/>
          <w:highlight w:val="none"/>
        </w:rPr>
        <w:t>://ecaitong.sinotruk.com:8012/</w:t>
      </w:r>
      <w:r>
        <w:rPr>
          <w:rStyle w:val="37"/>
          <w:rFonts w:hint="eastAsia" w:ascii="宋体" w:hAnsi="宋体" w:eastAsia="宋体" w:cs="宋体"/>
          <w:sz w:val="24"/>
          <w:szCs w:val="24"/>
          <w:highlight w:val="none"/>
        </w:rPr>
        <w:fldChar w:fldCharType="end"/>
      </w:r>
    </w:p>
    <w:p w14:paraId="3976A42A">
      <w:pPr>
        <w:pageBreakBefore w:val="0"/>
        <w:kinsoku/>
        <w:wordWrap/>
        <w:overflowPunct/>
        <w:topLinePunct w:val="0"/>
        <w:autoSpaceDE/>
        <w:autoSpaceDN/>
        <w:bidi w:val="0"/>
        <w:spacing w:after="0"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用 户 名：gys+供应商代码（</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77CC1530">
      <w:pPr>
        <w:pageBreakBefore w:val="0"/>
        <w:kinsoku/>
        <w:wordWrap/>
        <w:overflowPunct/>
        <w:topLinePunct w:val="0"/>
        <w:autoSpaceDE/>
        <w:autoSpaceDN/>
        <w:bidi w:val="0"/>
        <w:spacing w:after="0"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初始密码：scm@2022</w:t>
      </w:r>
    </w:p>
    <w:p w14:paraId="59938941">
      <w:pPr>
        <w:pageBreakBefore w:val="0"/>
        <w:kinsoku/>
        <w:wordWrap/>
        <w:overflowPunct/>
        <w:topLinePunct w:val="0"/>
        <w:autoSpaceDE/>
        <w:autoSpaceDN/>
        <w:bidi w:val="0"/>
        <w:spacing w:after="0"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1.供应商应标</w:t>
      </w:r>
    </w:p>
    <w:p w14:paraId="2756A106">
      <w:pPr>
        <w:pageBreakBefore w:val="0"/>
        <w:kinsoku/>
        <w:wordWrap/>
        <w:overflowPunct/>
        <w:topLinePunct w:val="0"/>
        <w:autoSpaceDE/>
        <w:autoSpaceDN/>
        <w:bidi w:val="0"/>
        <w:spacing w:after="0"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供应商应标</w:t>
      </w:r>
    </w:p>
    <w:p w14:paraId="0B1759EE">
      <w:pPr>
        <w:pageBreakBefore w:val="0"/>
        <w:kinsoku/>
        <w:wordWrap/>
        <w:overflowPunct/>
        <w:topLinePunct w:val="0"/>
        <w:autoSpaceDE/>
        <w:autoSpaceDN/>
        <w:bidi w:val="0"/>
        <w:spacing w:after="0" w:line="360" w:lineRule="auto"/>
        <w:rPr>
          <w:rFonts w:ascii="宋体" w:hAnsi="宋体" w:eastAsia="宋体" w:cs="宋体"/>
          <w:color w:val="000000"/>
          <w:sz w:val="24"/>
          <w:szCs w:val="24"/>
          <w:highlight w:val="none"/>
        </w:rPr>
      </w:pPr>
      <w:r>
        <w:rPr>
          <w:rFonts w:ascii="宋体" w:hAnsi="宋体" w:eastAsia="宋体" w:cs="宋体"/>
          <w:color w:val="000000"/>
          <w:sz w:val="24"/>
          <w:szCs w:val="24"/>
          <w:highlight w:val="none"/>
        </w:rPr>
        <w:t>点击应标，上传文件之后点击提交。</w:t>
      </w:r>
    </w:p>
    <w:p w14:paraId="5D87ABED">
      <w:pPr>
        <w:pageBreakBefore w:val="0"/>
        <w:kinsoku/>
        <w:wordWrap/>
        <w:overflowPunct/>
        <w:topLinePunct w:val="0"/>
        <w:autoSpaceDE/>
        <w:autoSpaceDN/>
        <w:bidi w:val="0"/>
        <w:spacing w:after="0"/>
        <w:rPr>
          <w:highlight w:val="none"/>
        </w:rPr>
      </w:pPr>
      <w:r>
        <w:rPr>
          <w:highlight w:val="none"/>
        </w:rPr>
        <w:drawing>
          <wp:inline distT="0" distB="0" distL="0" distR="0">
            <wp:extent cx="5760085" cy="2269490"/>
            <wp:effectExtent l="0" t="0" r="5715" b="3810"/>
            <wp:docPr id="31" name="picture" descr="descript"/>
            <wp:cNvGraphicFramePr/>
            <a:graphic xmlns:a="http://schemas.openxmlformats.org/drawingml/2006/main">
              <a:graphicData uri="http://schemas.openxmlformats.org/drawingml/2006/picture">
                <pic:pic xmlns:pic="http://schemas.openxmlformats.org/drawingml/2006/picture">
                  <pic:nvPicPr>
                    <pic:cNvPr id="31"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41DCDF7B">
      <w:pPr>
        <w:pageBreakBefore w:val="0"/>
        <w:kinsoku/>
        <w:wordWrap/>
        <w:overflowPunct/>
        <w:topLinePunct w:val="0"/>
        <w:autoSpaceDE/>
        <w:autoSpaceDN/>
        <w:bidi w:val="0"/>
        <w:spacing w:after="0"/>
        <w:rPr>
          <w:highlight w:val="none"/>
        </w:rPr>
      </w:pPr>
    </w:p>
    <w:p w14:paraId="7D422253">
      <w:pPr>
        <w:pageBreakBefore w:val="0"/>
        <w:kinsoku/>
        <w:wordWrap/>
        <w:overflowPunct/>
        <w:topLinePunct w:val="0"/>
        <w:autoSpaceDE/>
        <w:autoSpaceDN/>
        <w:bidi w:val="0"/>
        <w:spacing w:after="0"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2.供应商投标</w:t>
      </w:r>
    </w:p>
    <w:p w14:paraId="7F5C5B71">
      <w:pPr>
        <w:pageBreakBefore w:val="0"/>
        <w:kinsoku/>
        <w:wordWrap/>
        <w:overflowPunct/>
        <w:topLinePunct w:val="0"/>
        <w:autoSpaceDE/>
        <w:autoSpaceDN/>
        <w:bidi w:val="0"/>
        <w:spacing w:after="0"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供应商投标</w:t>
      </w:r>
    </w:p>
    <w:p w14:paraId="31E04D06">
      <w:pPr>
        <w:pageBreakBefore w:val="0"/>
        <w:kinsoku/>
        <w:wordWrap/>
        <w:overflowPunct/>
        <w:topLinePunct w:val="0"/>
        <w:autoSpaceDE/>
        <w:autoSpaceDN/>
        <w:bidi w:val="0"/>
        <w:spacing w:after="0"/>
        <w:rPr>
          <w:rFonts w:ascii="宋体" w:hAnsi="宋体" w:eastAsia="宋体" w:cs="宋体"/>
          <w:color w:val="000000"/>
          <w:highlight w:val="none"/>
        </w:rPr>
      </w:pPr>
    </w:p>
    <w:p w14:paraId="0D942043">
      <w:pPr>
        <w:pageBreakBefore w:val="0"/>
        <w:kinsoku/>
        <w:wordWrap/>
        <w:overflowPunct/>
        <w:topLinePunct w:val="0"/>
        <w:autoSpaceDE/>
        <w:autoSpaceDN/>
        <w:bidi w:val="0"/>
        <w:spacing w:after="0"/>
        <w:rPr>
          <w:rFonts w:ascii="宋体" w:hAnsi="宋体" w:eastAsia="宋体" w:cs="宋体"/>
          <w:color w:val="000000"/>
          <w:highlight w:val="none"/>
        </w:rPr>
      </w:pPr>
      <w:r>
        <w:rPr>
          <w:rFonts w:ascii="宋体" w:hAnsi="宋体" w:eastAsia="宋体" w:cs="宋体"/>
          <w:color w:val="000000"/>
          <w:highlight w:val="none"/>
        </w:rPr>
        <w:drawing>
          <wp:inline distT="0" distB="0" distL="0" distR="0">
            <wp:extent cx="5760085" cy="2125345"/>
            <wp:effectExtent l="0" t="0" r="5715" b="825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456E4762">
      <w:pPr>
        <w:pageBreakBefore w:val="0"/>
        <w:kinsoku/>
        <w:wordWrap/>
        <w:overflowPunct/>
        <w:topLinePunct w:val="0"/>
        <w:autoSpaceDE/>
        <w:autoSpaceDN/>
        <w:bidi w:val="0"/>
        <w:spacing w:after="0" w:line="360" w:lineRule="auto"/>
        <w:rPr>
          <w:rFonts w:ascii="宋体" w:hAnsi="宋体" w:eastAsia="宋体" w:cs="宋体"/>
          <w:color w:val="000000"/>
          <w:sz w:val="24"/>
          <w:szCs w:val="28"/>
          <w:highlight w:val="none"/>
        </w:rPr>
      </w:pPr>
      <w:r>
        <w:rPr>
          <w:rFonts w:ascii="宋体" w:hAnsi="宋体" w:eastAsia="宋体" w:cs="宋体"/>
          <w:color w:val="000000"/>
          <w:sz w:val="24"/>
          <w:szCs w:val="28"/>
          <w:highlight w:val="none"/>
        </w:rPr>
        <w:t>点击投标按钮，进入详情页，输入投标报价并上传相应的附件。</w:t>
      </w:r>
    </w:p>
    <w:p w14:paraId="5FAE08CA">
      <w:pPr>
        <w:pStyle w:val="14"/>
        <w:pageBreakBefore w:val="0"/>
        <w:kinsoku/>
        <w:wordWrap/>
        <w:overflowPunct/>
        <w:topLinePunct w:val="0"/>
        <w:autoSpaceDE/>
        <w:autoSpaceDN/>
        <w:bidi w:val="0"/>
        <w:spacing w:after="0"/>
        <w:rPr>
          <w:highlight w:val="none"/>
        </w:rPr>
      </w:pPr>
      <w:r>
        <w:rPr>
          <w:rFonts w:hint="eastAsia" w:hAnsi="宋体" w:eastAsia="宋体" w:cs="宋体"/>
          <w:color w:val="000000"/>
          <w:sz w:val="24"/>
          <w:szCs w:val="28"/>
          <w:highlight w:val="none"/>
        </w:rPr>
        <w:t>注意：系统内的投标报价单位为“万元”，如开标现场发现填错报价，即直接淘汰。</w:t>
      </w:r>
    </w:p>
    <w:p w14:paraId="597D4A55">
      <w:pPr>
        <w:pStyle w:val="5"/>
        <w:pageBreakBefore w:val="0"/>
        <w:kinsoku/>
        <w:wordWrap/>
        <w:overflowPunct/>
        <w:topLinePunct w:val="0"/>
        <w:autoSpaceDE/>
        <w:autoSpaceDN/>
        <w:bidi w:val="0"/>
        <w:spacing w:after="0"/>
        <w:ind w:left="425" w:hanging="425"/>
        <w:rPr>
          <w:rFonts w:eastAsia="Arial" w:cs="Arial"/>
          <w:color w:val="000000"/>
          <w:highlight w:val="none"/>
        </w:rPr>
      </w:pPr>
      <w:r>
        <w:rPr>
          <w:rFonts w:eastAsia="Arial" w:cs="Arial"/>
          <w:color w:val="000000"/>
          <w:highlight w:val="none"/>
        </w:rPr>
        <w:drawing>
          <wp:inline distT="0" distB="0" distL="0" distR="0">
            <wp:extent cx="5490210" cy="2668905"/>
            <wp:effectExtent l="0" t="0" r="8890" b="1079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4C7CC0BD">
      <w:pPr>
        <w:pageBreakBefore w:val="0"/>
        <w:kinsoku/>
        <w:wordWrap/>
        <w:overflowPunct/>
        <w:topLinePunct w:val="0"/>
        <w:autoSpaceDE/>
        <w:autoSpaceDN/>
        <w:bidi w:val="0"/>
        <w:spacing w:after="0"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3.供应商技术标澄清函</w:t>
      </w:r>
    </w:p>
    <w:p w14:paraId="66CD28CD">
      <w:pPr>
        <w:pageBreakBefore w:val="0"/>
        <w:kinsoku/>
        <w:wordWrap/>
        <w:overflowPunct/>
        <w:topLinePunct w:val="0"/>
        <w:autoSpaceDE/>
        <w:autoSpaceDN/>
        <w:bidi w:val="0"/>
        <w:spacing w:after="0"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供应商技术标澄清函</w:t>
      </w:r>
    </w:p>
    <w:p w14:paraId="22D1A5B9">
      <w:pPr>
        <w:pageBreakBefore w:val="0"/>
        <w:kinsoku/>
        <w:wordWrap/>
        <w:overflowPunct/>
        <w:topLinePunct w:val="0"/>
        <w:autoSpaceDE/>
        <w:autoSpaceDN/>
        <w:bidi w:val="0"/>
        <w:spacing w:after="0"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点击编辑按钮进入系统，上传技术标澄清函。</w:t>
      </w:r>
    </w:p>
    <w:p w14:paraId="63193F33">
      <w:pPr>
        <w:pageBreakBefore w:val="0"/>
        <w:kinsoku/>
        <w:wordWrap/>
        <w:overflowPunct/>
        <w:topLinePunct w:val="0"/>
        <w:autoSpaceDE/>
        <w:autoSpaceDN/>
        <w:bidi w:val="0"/>
        <w:spacing w:after="0" w:line="360" w:lineRule="auto"/>
        <w:rPr>
          <w:rFonts w:ascii="Arial" w:hAnsi="Arial" w:eastAsia="Arial" w:cs="Arial"/>
          <w:color w:val="000000"/>
          <w:sz w:val="28"/>
          <w:highlight w:val="none"/>
        </w:rPr>
      </w:pPr>
      <w:r>
        <w:rPr>
          <w:rFonts w:ascii="宋体" w:hAnsi="宋体" w:eastAsia="宋体" w:cs="宋体"/>
          <w:color w:val="000000"/>
          <w:sz w:val="24"/>
          <w:szCs w:val="24"/>
          <w:highlight w:val="none"/>
        </w:rPr>
        <w:t>开标之后所有投标的供应商都可编辑提交，技术标入围之后</w:t>
      </w:r>
      <w:r>
        <w:rPr>
          <w:rFonts w:hint="eastAsia" w:ascii="宋体" w:hAnsi="宋体" w:eastAsia="宋体" w:cs="宋体"/>
          <w:color w:val="000000"/>
          <w:sz w:val="24"/>
          <w:szCs w:val="24"/>
          <w:highlight w:val="none"/>
        </w:rPr>
        <w:t xml:space="preserve"> </w:t>
      </w:r>
      <w:r>
        <w:rPr>
          <w:rFonts w:ascii="宋体" w:hAnsi="宋体" w:eastAsia="宋体" w:cs="宋体"/>
          <w:color w:val="000000"/>
          <w:sz w:val="24"/>
          <w:szCs w:val="24"/>
          <w:highlight w:val="none"/>
        </w:rPr>
        <w:t>都不可编辑</w:t>
      </w:r>
      <w:r>
        <w:rPr>
          <w:rFonts w:ascii="Arial" w:hAnsi="Arial" w:eastAsia="Arial" w:cs="Arial"/>
          <w:color w:val="000000"/>
          <w:sz w:val="28"/>
          <w:highlight w:val="none"/>
        </w:rPr>
        <w:drawing>
          <wp:inline distT="0" distB="0" distL="0" distR="0">
            <wp:extent cx="5490210" cy="1992630"/>
            <wp:effectExtent l="0" t="0" r="8890" b="1270"/>
            <wp:docPr id="39" name="picture" descr="descript"/>
            <wp:cNvGraphicFramePr/>
            <a:graphic xmlns:a="http://schemas.openxmlformats.org/drawingml/2006/main">
              <a:graphicData uri="http://schemas.openxmlformats.org/drawingml/2006/picture">
                <pic:pic xmlns:pic="http://schemas.openxmlformats.org/drawingml/2006/picture">
                  <pic:nvPicPr>
                    <pic:cNvPr id="39"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3C993C79">
      <w:pPr>
        <w:pageBreakBefore w:val="0"/>
        <w:kinsoku/>
        <w:wordWrap/>
        <w:overflowPunct/>
        <w:topLinePunct w:val="0"/>
        <w:autoSpaceDE/>
        <w:autoSpaceDN/>
        <w:bidi w:val="0"/>
        <w:spacing w:after="0"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4.供应商报价</w:t>
      </w:r>
    </w:p>
    <w:p w14:paraId="613AFD57">
      <w:pPr>
        <w:pageBreakBefore w:val="0"/>
        <w:kinsoku/>
        <w:wordWrap/>
        <w:overflowPunct/>
        <w:topLinePunct w:val="0"/>
        <w:autoSpaceDE/>
        <w:autoSpaceDN/>
        <w:bidi w:val="0"/>
        <w:spacing w:after="0"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供应商报价</w:t>
      </w:r>
    </w:p>
    <w:p w14:paraId="7B6F3E11">
      <w:pPr>
        <w:pageBreakBefore w:val="0"/>
        <w:kinsoku/>
        <w:wordWrap/>
        <w:overflowPunct/>
        <w:topLinePunct w:val="0"/>
        <w:autoSpaceDE/>
        <w:autoSpaceDN/>
        <w:bidi w:val="0"/>
        <w:spacing w:after="0"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点击报价按钮进入报价详情界面，请在此轮报价起止时间内报价，否则无法报价。</w:t>
      </w:r>
    </w:p>
    <w:p w14:paraId="0A85BE75">
      <w:pPr>
        <w:pageBreakBefore w:val="0"/>
        <w:kinsoku/>
        <w:wordWrap/>
        <w:overflowPunct/>
        <w:topLinePunct w:val="0"/>
        <w:autoSpaceDE/>
        <w:autoSpaceDN/>
        <w:bidi w:val="0"/>
        <w:spacing w:after="0"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5.供应商澄清报价</w:t>
      </w:r>
    </w:p>
    <w:p w14:paraId="115138C6">
      <w:pPr>
        <w:pageBreakBefore w:val="0"/>
        <w:kinsoku/>
        <w:wordWrap/>
        <w:overflowPunct/>
        <w:topLinePunct w:val="0"/>
        <w:autoSpaceDE/>
        <w:autoSpaceDN/>
        <w:bidi w:val="0"/>
        <w:spacing w:after="0"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供应商澄清报价</w:t>
      </w:r>
    </w:p>
    <w:p w14:paraId="059C4B86">
      <w:pPr>
        <w:pageBreakBefore w:val="0"/>
        <w:kinsoku/>
        <w:wordWrap/>
        <w:overflowPunct/>
        <w:topLinePunct w:val="0"/>
        <w:autoSpaceDE/>
        <w:autoSpaceDN/>
        <w:bidi w:val="0"/>
        <w:spacing w:after="0"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0E93998D">
      <w:pPr>
        <w:pStyle w:val="5"/>
        <w:pageBreakBefore w:val="0"/>
        <w:kinsoku/>
        <w:wordWrap/>
        <w:overflowPunct/>
        <w:topLinePunct w:val="0"/>
        <w:autoSpaceDE/>
        <w:autoSpaceDN/>
        <w:bidi w:val="0"/>
        <w:spacing w:after="0"/>
        <w:ind w:left="425" w:hanging="425"/>
        <w:rPr>
          <w:rFonts w:eastAsia="Arial" w:cs="Arial"/>
          <w:color w:val="000000"/>
          <w:highlight w:val="none"/>
        </w:rPr>
      </w:pPr>
      <w:r>
        <w:rPr>
          <w:rFonts w:eastAsia="Arial" w:cs="Arial"/>
          <w:color w:val="000000"/>
          <w:highlight w:val="none"/>
        </w:rPr>
        <w:drawing>
          <wp:inline distT="0" distB="0" distL="0" distR="0">
            <wp:extent cx="5758180" cy="2379345"/>
            <wp:effectExtent l="0" t="0" r="7620" b="8255"/>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24"/>
                    <a:stretch>
                      <a:fillRect/>
                    </a:stretch>
                  </pic:blipFill>
                  <pic:spPr>
                    <a:xfrm>
                      <a:off x="0" y="0"/>
                      <a:ext cx="5758180" cy="2379345"/>
                    </a:xfrm>
                    <a:prstGeom prst="rect">
                      <a:avLst/>
                    </a:prstGeom>
                  </pic:spPr>
                </pic:pic>
              </a:graphicData>
            </a:graphic>
          </wp:inline>
        </w:drawing>
      </w:r>
    </w:p>
    <w:p w14:paraId="6F334231">
      <w:pPr>
        <w:pageBreakBefore w:val="0"/>
        <w:kinsoku/>
        <w:wordWrap/>
        <w:overflowPunct/>
        <w:topLinePunct w:val="0"/>
        <w:autoSpaceDE/>
        <w:autoSpaceDN/>
        <w:bidi w:val="0"/>
        <w:spacing w:after="0"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6.供应商查看中标通知</w:t>
      </w:r>
    </w:p>
    <w:p w14:paraId="38D83FAF">
      <w:pPr>
        <w:pageBreakBefore w:val="0"/>
        <w:kinsoku/>
        <w:wordWrap/>
        <w:overflowPunct/>
        <w:topLinePunct w:val="0"/>
        <w:autoSpaceDE/>
        <w:autoSpaceDN/>
        <w:bidi w:val="0"/>
        <w:spacing w:after="0"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中标项目</w:t>
      </w:r>
    </w:p>
    <w:p w14:paraId="044F2E44">
      <w:pPr>
        <w:pageBreakBefore w:val="0"/>
        <w:kinsoku/>
        <w:wordWrap/>
        <w:overflowPunct/>
        <w:topLinePunct w:val="0"/>
        <w:autoSpaceDE/>
        <w:autoSpaceDN/>
        <w:bidi w:val="0"/>
        <w:spacing w:after="0"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点击查看进入查看中标项目详情</w:t>
      </w:r>
    </w:p>
    <w:p w14:paraId="33206DB8">
      <w:pPr>
        <w:pageBreakBefore w:val="0"/>
        <w:kinsoku/>
        <w:wordWrap/>
        <w:overflowPunct/>
        <w:topLinePunct w:val="0"/>
        <w:autoSpaceDE/>
        <w:autoSpaceDN/>
        <w:bidi w:val="0"/>
        <w:spacing w:after="0"/>
        <w:rPr>
          <w:rFonts w:hint="eastAsia" w:ascii="宋体" w:hAnsi="宋体" w:eastAsia="宋体" w:cs="Times New Roman"/>
          <w:b/>
          <w:sz w:val="36"/>
          <w:szCs w:val="36"/>
          <w:highlight w:val="none"/>
        </w:rPr>
      </w:pPr>
      <w:r>
        <w:rPr>
          <w:highlight w:val="none"/>
        </w:rPr>
        <w:drawing>
          <wp:inline distT="0" distB="0" distL="0" distR="0">
            <wp:extent cx="6002655" cy="2518410"/>
            <wp:effectExtent l="0" t="0" r="4445" b="889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5"/>
                    <a:stretch>
                      <a:fillRect/>
                    </a:stretch>
                  </pic:blipFill>
                  <pic:spPr>
                    <a:xfrm>
                      <a:off x="0" y="0"/>
                      <a:ext cx="6002655" cy="2518410"/>
                    </a:xfrm>
                    <a:prstGeom prst="rect">
                      <a:avLst/>
                    </a:prstGeom>
                  </pic:spPr>
                </pic:pic>
              </a:graphicData>
            </a:graphic>
          </wp:inline>
        </w:drawing>
      </w:r>
    </w:p>
    <w:p w14:paraId="4F99B4B9">
      <w:pPr>
        <w:pStyle w:val="76"/>
        <w:rPr>
          <w:rFonts w:hint="default" w:hAnsi="宋体"/>
          <w:sz w:val="24"/>
          <w:highlight w:val="none"/>
          <w:lang w:val="en-US"/>
        </w:rPr>
      </w:pPr>
    </w:p>
    <w:p w14:paraId="3AEC4938">
      <w:pPr>
        <w:rPr>
          <w:rFonts w:hint="eastAsia" w:hAnsi="宋体" w:eastAsia="宋体" w:cs="Times New Roman"/>
          <w:b/>
          <w:color w:val="000000"/>
          <w:sz w:val="24"/>
          <w:szCs w:val="24"/>
          <w:highlight w:val="none"/>
        </w:rPr>
      </w:pPr>
    </w:p>
    <w:p w14:paraId="5E3C71B5">
      <w:pPr>
        <w:spacing w:line="520" w:lineRule="exact"/>
        <w:rPr>
          <w:rFonts w:hint="default" w:hAnsi="宋体" w:cs="宋体"/>
          <w:b/>
          <w:bCs/>
          <w:kern w:val="2"/>
          <w:sz w:val="32"/>
          <w:szCs w:val="32"/>
          <w:highlight w:val="none"/>
          <w:lang w:val="en-US" w:eastAsia="zh-CN" w:bidi="ar-SA"/>
        </w:rPr>
      </w:pPr>
    </w:p>
    <w:p w14:paraId="7C79419A">
      <w:pPr>
        <w:pStyle w:val="76"/>
        <w:rPr>
          <w:rFonts w:hint="default" w:hAnsi="宋体"/>
          <w:sz w:val="24"/>
          <w:highlight w:val="none"/>
          <w:lang w:val="en-US"/>
        </w:rPr>
      </w:pPr>
    </w:p>
    <w:sectPr>
      <w:headerReference r:id="rId10" w:type="first"/>
      <w:footerReference r:id="rId11"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DD4F1">
    <w:pPr>
      <w:pStyle w:val="18"/>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F249B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AF249B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66D9C">
    <w:pPr>
      <w:pStyle w:val="19"/>
      <w:ind w:firstLine="360"/>
      <w:jc w:val="right"/>
    </w:pPr>
    <w:r>
      <w:rPr>
        <w:rFonts w:hint="eastAsia"/>
      </w:rPr>
      <w:t>中国重汽集团济南商用车有限公司</w:t>
    </w:r>
    <w:r>
      <w:rPr>
        <w:rFonts w:hint="eastAsia"/>
        <w:lang w:val="en-US" w:eastAsia="zh-CN"/>
      </w:rPr>
      <w:t>质量管理体系培训</w:t>
    </w:r>
    <w:r>
      <w:rPr>
        <w:rFonts w:hint="eastAsia"/>
      </w:rPr>
      <w:t>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CF42A">
    <w:pPr>
      <w:pStyle w:val="19"/>
      <w:keepNext w:val="0"/>
      <w:keepLines w:val="0"/>
      <w:pageBreakBefore w:val="0"/>
      <w:widowControl w:val="0"/>
      <w:kinsoku/>
      <w:wordWrap/>
      <w:overflowPunct/>
      <w:topLinePunct w:val="0"/>
      <w:bidi w:val="0"/>
      <w:adjustRightInd/>
      <w:snapToGrid w:val="0"/>
      <w:ind w:firstLine="363"/>
      <w:jc w:val="right"/>
      <w:textAlignment w:val="auto"/>
    </w:pPr>
    <w:r>
      <w:rPr>
        <w:rFonts w:hint="eastAsia"/>
      </w:rPr>
      <w:t>中国重汽集团济南商用车有限公司</w:t>
    </w:r>
    <w:r>
      <w:rPr>
        <w:rFonts w:hint="eastAsia"/>
        <w:highlight w:val="none"/>
        <w:lang w:val="en-US" w:eastAsia="zh-CN"/>
      </w:rPr>
      <w:t>轻卡制造公司</w:t>
    </w:r>
    <w:r>
      <w:rPr>
        <w:rFonts w:hint="eastAsia"/>
        <w:lang w:val="en-US" w:eastAsia="zh-CN"/>
      </w:rPr>
      <w:t>质量管理体系培训</w:t>
    </w:r>
    <w:r>
      <w:rPr>
        <w:rFonts w:hint="eastAsia"/>
      </w:rPr>
      <w:t>项目招标书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4DA2C">
    <w:pPr>
      <w:pStyle w:val="19"/>
      <w:ind w:firstLine="360"/>
      <w:jc w:val="right"/>
      <w:rPr>
        <w:rFonts w:hint="eastAsia"/>
      </w:rPr>
    </w:pPr>
    <w:r>
      <w:rPr>
        <w:rFonts w:hint="eastAsia"/>
      </w:rPr>
      <w:t>中国重汽集团济南商用车有限公司</w:t>
    </w:r>
    <w:r>
      <w:rPr>
        <w:rFonts w:hint="eastAsia"/>
        <w:highlight w:val="none"/>
        <w:lang w:val="en-US" w:eastAsia="zh-CN"/>
      </w:rPr>
      <w:t>轻卡制造公司</w:t>
    </w:r>
    <w:r>
      <w:rPr>
        <w:rFonts w:hint="eastAsia"/>
        <w:lang w:val="en-US" w:eastAsia="zh-CN"/>
      </w:rPr>
      <w:t>质量管理体系培训</w:t>
    </w:r>
    <w:r>
      <w:rPr>
        <w:rFonts w:hint="eastAsia"/>
      </w:rPr>
      <w:t>项目招标书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CB864">
    <w:pPr>
      <w:pStyle w:val="19"/>
      <w:ind w:firstLine="360"/>
      <w:jc w:val="right"/>
    </w:pPr>
    <w:r>
      <w:rPr>
        <w:rFonts w:hint="eastAsia"/>
      </w:rPr>
      <w:t>中国重汽集团济南商用车有限公司</w:t>
    </w:r>
    <w:r>
      <w:rPr>
        <w:rFonts w:hint="eastAsia"/>
        <w:lang w:val="en-US" w:eastAsia="zh-CN"/>
      </w:rPr>
      <w:t>质量管理体系培训</w:t>
    </w:r>
    <w:r>
      <w:rPr>
        <w:rFonts w:hint="eastAsia"/>
      </w:rPr>
      <w:t>项目招标书</w:t>
    </w:r>
  </w:p>
  <w:p w14:paraId="6DD3C57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C469EE8C"/>
    <w:multiLevelType w:val="multilevel"/>
    <w:tmpl w:val="C469EE8C"/>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8">
    <w:nsid w:val="CA70C5AE"/>
    <w:multiLevelType w:val="multilevel"/>
    <w:tmpl w:val="CA70C5AE"/>
    <w:lvl w:ilvl="0" w:tentative="0">
      <w:start w:val="1"/>
      <w:numFmt w:val="decimal"/>
      <w:lvlText w:val="%1."/>
      <w:lvlJc w:val="left"/>
      <w:pPr>
        <w:ind w:left="425" w:hanging="425"/>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3">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4">
    <w:nsid w:val="3265E1EC"/>
    <w:multiLevelType w:val="singleLevel"/>
    <w:tmpl w:val="3265E1EC"/>
    <w:lvl w:ilvl="0" w:tentative="0">
      <w:start w:val="1"/>
      <w:numFmt w:val="decimal"/>
      <w:lvlText w:val="(%1)"/>
      <w:lvlJc w:val="left"/>
      <w:pPr>
        <w:ind w:left="425" w:hanging="425"/>
      </w:pPr>
      <w:rPr>
        <w:rFonts w:hint="default"/>
      </w:rPr>
    </w:lvl>
  </w:abstractNum>
  <w:abstractNum w:abstractNumId="15">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6">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7">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9">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1">
    <w:nsid w:val="5983D379"/>
    <w:multiLevelType w:val="singleLevel"/>
    <w:tmpl w:val="5983D379"/>
    <w:lvl w:ilvl="0" w:tentative="0">
      <w:start w:val="1"/>
      <w:numFmt w:val="decimal"/>
      <w:lvlText w:val="(%1)"/>
      <w:lvlJc w:val="left"/>
      <w:pPr>
        <w:ind w:left="425" w:hanging="425"/>
      </w:pPr>
      <w:rPr>
        <w:rFonts w:hint="default"/>
      </w:rPr>
    </w:lvl>
  </w:abstractNum>
  <w:abstractNum w:abstractNumId="22">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3">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7"/>
  </w:num>
  <w:num w:numId="2">
    <w:abstractNumId w:val="22"/>
  </w:num>
  <w:num w:numId="3">
    <w:abstractNumId w:val="20"/>
  </w:num>
  <w:num w:numId="4">
    <w:abstractNumId w:val="18"/>
  </w:num>
  <w:num w:numId="5">
    <w:abstractNumId w:val="11"/>
  </w:num>
  <w:num w:numId="6">
    <w:abstractNumId w:val="12"/>
  </w:num>
  <w:num w:numId="7">
    <w:abstractNumId w:val="13"/>
  </w:num>
  <w:num w:numId="8">
    <w:abstractNumId w:val="19"/>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5"/>
  </w:num>
  <w:num w:numId="13">
    <w:abstractNumId w:val="4"/>
  </w:num>
  <w:num w:numId="14">
    <w:abstractNumId w:val="0"/>
  </w:num>
  <w:num w:numId="15">
    <w:abstractNumId w:val="2"/>
  </w:num>
  <w:num w:numId="16">
    <w:abstractNumId w:val="21"/>
  </w:num>
  <w:num w:numId="17">
    <w:abstractNumId w:val="23"/>
  </w:num>
  <w:num w:numId="18">
    <w:abstractNumId w:val="14"/>
  </w:num>
  <w:num w:numId="19">
    <w:abstractNumId w:val="9"/>
  </w:num>
  <w:num w:numId="20">
    <w:abstractNumId w:val="8"/>
  </w:num>
  <w:num w:numId="21">
    <w:abstractNumId w:val="3"/>
  </w:num>
  <w:num w:numId="22">
    <w:abstractNumId w:val="1"/>
  </w:num>
  <w:num w:numId="23">
    <w:abstractNumId w:val="5"/>
  </w:num>
  <w:num w:numId="24">
    <w:abstractNumId w:val="10"/>
  </w:num>
  <w:num w:numId="25">
    <w:abstractNumId w:val="16"/>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0F1"/>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52B7"/>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5CD"/>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76"/>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433A41"/>
    <w:rsid w:val="02A429BD"/>
    <w:rsid w:val="02BA2A25"/>
    <w:rsid w:val="02CC3DCA"/>
    <w:rsid w:val="02FE76EF"/>
    <w:rsid w:val="035148F2"/>
    <w:rsid w:val="03965198"/>
    <w:rsid w:val="03F033B0"/>
    <w:rsid w:val="042F4508"/>
    <w:rsid w:val="043D09D3"/>
    <w:rsid w:val="04497378"/>
    <w:rsid w:val="044E0E32"/>
    <w:rsid w:val="04640655"/>
    <w:rsid w:val="04A9250C"/>
    <w:rsid w:val="057C1D39"/>
    <w:rsid w:val="05891259"/>
    <w:rsid w:val="05A36F5B"/>
    <w:rsid w:val="06224324"/>
    <w:rsid w:val="06377FC3"/>
    <w:rsid w:val="06436049"/>
    <w:rsid w:val="0681436C"/>
    <w:rsid w:val="070677A2"/>
    <w:rsid w:val="072B0FB7"/>
    <w:rsid w:val="07B54D24"/>
    <w:rsid w:val="07F1138D"/>
    <w:rsid w:val="08633479"/>
    <w:rsid w:val="09FA2850"/>
    <w:rsid w:val="0A6F1B02"/>
    <w:rsid w:val="0AB47515"/>
    <w:rsid w:val="0AD140B1"/>
    <w:rsid w:val="0B27418B"/>
    <w:rsid w:val="0B381EF4"/>
    <w:rsid w:val="0B980BE5"/>
    <w:rsid w:val="0B982D6F"/>
    <w:rsid w:val="0BF202F5"/>
    <w:rsid w:val="0C4D5E73"/>
    <w:rsid w:val="0C550884"/>
    <w:rsid w:val="0C913FB2"/>
    <w:rsid w:val="0CB51572"/>
    <w:rsid w:val="0CF4009D"/>
    <w:rsid w:val="0D002EE5"/>
    <w:rsid w:val="0D49488C"/>
    <w:rsid w:val="0D933D59"/>
    <w:rsid w:val="0DDE3227"/>
    <w:rsid w:val="0E4D31E3"/>
    <w:rsid w:val="0E53449A"/>
    <w:rsid w:val="0E884F40"/>
    <w:rsid w:val="0E8F62CF"/>
    <w:rsid w:val="0F5372FC"/>
    <w:rsid w:val="0F705169"/>
    <w:rsid w:val="0F953DB9"/>
    <w:rsid w:val="0FAB538A"/>
    <w:rsid w:val="0FED59A3"/>
    <w:rsid w:val="104B091B"/>
    <w:rsid w:val="104D7ECD"/>
    <w:rsid w:val="10DC2AA3"/>
    <w:rsid w:val="10ED552F"/>
    <w:rsid w:val="10FA7C8C"/>
    <w:rsid w:val="111156C1"/>
    <w:rsid w:val="11561326"/>
    <w:rsid w:val="116F7DFE"/>
    <w:rsid w:val="11B81FE1"/>
    <w:rsid w:val="11C91AF8"/>
    <w:rsid w:val="11CB3AC2"/>
    <w:rsid w:val="11DB4BAE"/>
    <w:rsid w:val="12F72695"/>
    <w:rsid w:val="130B198F"/>
    <w:rsid w:val="139323BD"/>
    <w:rsid w:val="14302302"/>
    <w:rsid w:val="14A66120"/>
    <w:rsid w:val="150146EC"/>
    <w:rsid w:val="151614F8"/>
    <w:rsid w:val="15DE18EA"/>
    <w:rsid w:val="16024E9B"/>
    <w:rsid w:val="160A26DF"/>
    <w:rsid w:val="160C00D3"/>
    <w:rsid w:val="16351E52"/>
    <w:rsid w:val="165F2A2B"/>
    <w:rsid w:val="168E1562"/>
    <w:rsid w:val="16A918E4"/>
    <w:rsid w:val="16B36ABD"/>
    <w:rsid w:val="171D3871"/>
    <w:rsid w:val="172A4DE7"/>
    <w:rsid w:val="173C2D6C"/>
    <w:rsid w:val="179901BE"/>
    <w:rsid w:val="17C30784"/>
    <w:rsid w:val="17D966D6"/>
    <w:rsid w:val="18382B31"/>
    <w:rsid w:val="188350F6"/>
    <w:rsid w:val="18863832"/>
    <w:rsid w:val="18B2778A"/>
    <w:rsid w:val="18B90B18"/>
    <w:rsid w:val="18CD0917"/>
    <w:rsid w:val="194C24D3"/>
    <w:rsid w:val="19E17FAF"/>
    <w:rsid w:val="19F82188"/>
    <w:rsid w:val="1A0A4D6B"/>
    <w:rsid w:val="1A473F02"/>
    <w:rsid w:val="1A626F8D"/>
    <w:rsid w:val="1AFA0F74"/>
    <w:rsid w:val="1B035F77"/>
    <w:rsid w:val="1B151640"/>
    <w:rsid w:val="1B1E2EB4"/>
    <w:rsid w:val="1B6A70A0"/>
    <w:rsid w:val="1B7D45EE"/>
    <w:rsid w:val="1BC71D3B"/>
    <w:rsid w:val="1BCE0159"/>
    <w:rsid w:val="1C59115B"/>
    <w:rsid w:val="1C7F7983"/>
    <w:rsid w:val="1C8048DC"/>
    <w:rsid w:val="1C8C02F2"/>
    <w:rsid w:val="1DB55626"/>
    <w:rsid w:val="1E362652"/>
    <w:rsid w:val="1E4535C1"/>
    <w:rsid w:val="1E65704C"/>
    <w:rsid w:val="1EFB52BB"/>
    <w:rsid w:val="1F4E5D32"/>
    <w:rsid w:val="1FB23E60"/>
    <w:rsid w:val="1FD07B94"/>
    <w:rsid w:val="1FEC17D3"/>
    <w:rsid w:val="20280331"/>
    <w:rsid w:val="204D1B46"/>
    <w:rsid w:val="20652CC7"/>
    <w:rsid w:val="20FF72E4"/>
    <w:rsid w:val="219A0DBB"/>
    <w:rsid w:val="21E031E5"/>
    <w:rsid w:val="228757E3"/>
    <w:rsid w:val="22C5630B"/>
    <w:rsid w:val="22DB5B2F"/>
    <w:rsid w:val="2302130E"/>
    <w:rsid w:val="2310441E"/>
    <w:rsid w:val="232C1EE7"/>
    <w:rsid w:val="232C638A"/>
    <w:rsid w:val="237134FA"/>
    <w:rsid w:val="23952182"/>
    <w:rsid w:val="23971A56"/>
    <w:rsid w:val="23BD47E8"/>
    <w:rsid w:val="23EC0BA6"/>
    <w:rsid w:val="24007D0E"/>
    <w:rsid w:val="241C25D3"/>
    <w:rsid w:val="24701A48"/>
    <w:rsid w:val="248F6BD1"/>
    <w:rsid w:val="250628C0"/>
    <w:rsid w:val="254C6870"/>
    <w:rsid w:val="26883438"/>
    <w:rsid w:val="268B0052"/>
    <w:rsid w:val="26BB560E"/>
    <w:rsid w:val="26D66B3C"/>
    <w:rsid w:val="26F636A8"/>
    <w:rsid w:val="272E4735"/>
    <w:rsid w:val="27675BE3"/>
    <w:rsid w:val="27743C90"/>
    <w:rsid w:val="27C9064C"/>
    <w:rsid w:val="28022957"/>
    <w:rsid w:val="2849336E"/>
    <w:rsid w:val="28E53263"/>
    <w:rsid w:val="2920429C"/>
    <w:rsid w:val="29231FDE"/>
    <w:rsid w:val="29373393"/>
    <w:rsid w:val="295B1A63"/>
    <w:rsid w:val="298C7B83"/>
    <w:rsid w:val="29CA2459"/>
    <w:rsid w:val="29E17ECF"/>
    <w:rsid w:val="2A860EAA"/>
    <w:rsid w:val="2B271A58"/>
    <w:rsid w:val="2B4D6E9E"/>
    <w:rsid w:val="2B561C25"/>
    <w:rsid w:val="2B6304A7"/>
    <w:rsid w:val="2BEE242F"/>
    <w:rsid w:val="2CF6734C"/>
    <w:rsid w:val="2D0A3E58"/>
    <w:rsid w:val="2D4459B3"/>
    <w:rsid w:val="2D542766"/>
    <w:rsid w:val="2D663463"/>
    <w:rsid w:val="2DF14458"/>
    <w:rsid w:val="2E1A39AF"/>
    <w:rsid w:val="2E756E38"/>
    <w:rsid w:val="2E861045"/>
    <w:rsid w:val="2EF96EE4"/>
    <w:rsid w:val="2F4D3910"/>
    <w:rsid w:val="2F860BD0"/>
    <w:rsid w:val="310423AD"/>
    <w:rsid w:val="31644F41"/>
    <w:rsid w:val="31AD584F"/>
    <w:rsid w:val="31BC327B"/>
    <w:rsid w:val="31BE0AF5"/>
    <w:rsid w:val="324A38F6"/>
    <w:rsid w:val="32E75E2A"/>
    <w:rsid w:val="33046E42"/>
    <w:rsid w:val="3402116D"/>
    <w:rsid w:val="34572B3B"/>
    <w:rsid w:val="34E11A32"/>
    <w:rsid w:val="359E2ABA"/>
    <w:rsid w:val="35AB75E3"/>
    <w:rsid w:val="36254FE4"/>
    <w:rsid w:val="372F61E0"/>
    <w:rsid w:val="37E508B5"/>
    <w:rsid w:val="38190834"/>
    <w:rsid w:val="38397128"/>
    <w:rsid w:val="38877E93"/>
    <w:rsid w:val="38BB5D8F"/>
    <w:rsid w:val="38F9273C"/>
    <w:rsid w:val="39322FCA"/>
    <w:rsid w:val="395F34B2"/>
    <w:rsid w:val="3A06128C"/>
    <w:rsid w:val="3A3C5DCC"/>
    <w:rsid w:val="3AB90991"/>
    <w:rsid w:val="3B131EB2"/>
    <w:rsid w:val="3B706131"/>
    <w:rsid w:val="3BF7605A"/>
    <w:rsid w:val="3C49481C"/>
    <w:rsid w:val="3C7F545E"/>
    <w:rsid w:val="3CDA7D03"/>
    <w:rsid w:val="3CFC0724"/>
    <w:rsid w:val="3CFC3046"/>
    <w:rsid w:val="3D197A98"/>
    <w:rsid w:val="3DC76F84"/>
    <w:rsid w:val="3DF95343"/>
    <w:rsid w:val="3E6F041E"/>
    <w:rsid w:val="3F0D77B8"/>
    <w:rsid w:val="3F601269"/>
    <w:rsid w:val="405014B2"/>
    <w:rsid w:val="40C96B6F"/>
    <w:rsid w:val="4160238A"/>
    <w:rsid w:val="416437EC"/>
    <w:rsid w:val="41BD4926"/>
    <w:rsid w:val="42010CB6"/>
    <w:rsid w:val="425012F6"/>
    <w:rsid w:val="4275481E"/>
    <w:rsid w:val="428B617A"/>
    <w:rsid w:val="42FF16EA"/>
    <w:rsid w:val="431E13F4"/>
    <w:rsid w:val="433D7BDC"/>
    <w:rsid w:val="43607C5E"/>
    <w:rsid w:val="437E1813"/>
    <w:rsid w:val="438F5E4E"/>
    <w:rsid w:val="43E2051F"/>
    <w:rsid w:val="43FA7185"/>
    <w:rsid w:val="443864E5"/>
    <w:rsid w:val="44607359"/>
    <w:rsid w:val="44782D86"/>
    <w:rsid w:val="44A27E03"/>
    <w:rsid w:val="44EA5F20"/>
    <w:rsid w:val="45133257"/>
    <w:rsid w:val="45B721FC"/>
    <w:rsid w:val="45B778DE"/>
    <w:rsid w:val="45BD47FC"/>
    <w:rsid w:val="45CB1BDA"/>
    <w:rsid w:val="45CC5FB2"/>
    <w:rsid w:val="462A00B0"/>
    <w:rsid w:val="4640207B"/>
    <w:rsid w:val="465303AC"/>
    <w:rsid w:val="46B75BA8"/>
    <w:rsid w:val="47104172"/>
    <w:rsid w:val="47CA56A6"/>
    <w:rsid w:val="47FB61A8"/>
    <w:rsid w:val="482F1EF9"/>
    <w:rsid w:val="48617F40"/>
    <w:rsid w:val="48834C9A"/>
    <w:rsid w:val="48C97955"/>
    <w:rsid w:val="49311755"/>
    <w:rsid w:val="493A2D00"/>
    <w:rsid w:val="4981448B"/>
    <w:rsid w:val="49880C8F"/>
    <w:rsid w:val="49B17C78"/>
    <w:rsid w:val="4A8835F7"/>
    <w:rsid w:val="4AEE3DA2"/>
    <w:rsid w:val="4B173350"/>
    <w:rsid w:val="4B4C2876"/>
    <w:rsid w:val="4B592E71"/>
    <w:rsid w:val="4BF301FF"/>
    <w:rsid w:val="4C0D46FC"/>
    <w:rsid w:val="4CC96874"/>
    <w:rsid w:val="4CD51747"/>
    <w:rsid w:val="4CE70AA9"/>
    <w:rsid w:val="4D0E24D9"/>
    <w:rsid w:val="4D463679"/>
    <w:rsid w:val="4D4759EB"/>
    <w:rsid w:val="4D9658CA"/>
    <w:rsid w:val="4DB210B7"/>
    <w:rsid w:val="4DC47FA7"/>
    <w:rsid w:val="4DD76956"/>
    <w:rsid w:val="4E0A523F"/>
    <w:rsid w:val="4E375E1B"/>
    <w:rsid w:val="4E41068C"/>
    <w:rsid w:val="4EAD0016"/>
    <w:rsid w:val="4EC5306C"/>
    <w:rsid w:val="4EE07707"/>
    <w:rsid w:val="4F0579F1"/>
    <w:rsid w:val="4F075432"/>
    <w:rsid w:val="515F309F"/>
    <w:rsid w:val="516E3547"/>
    <w:rsid w:val="52774701"/>
    <w:rsid w:val="52B9239A"/>
    <w:rsid w:val="53A96AB8"/>
    <w:rsid w:val="53D37FD9"/>
    <w:rsid w:val="545033D7"/>
    <w:rsid w:val="54612FF0"/>
    <w:rsid w:val="54BD78FD"/>
    <w:rsid w:val="55466588"/>
    <w:rsid w:val="557B7B80"/>
    <w:rsid w:val="55C4407D"/>
    <w:rsid w:val="55DB3175"/>
    <w:rsid w:val="55DD0C9B"/>
    <w:rsid w:val="56301712"/>
    <w:rsid w:val="56A619D5"/>
    <w:rsid w:val="56EA0B0B"/>
    <w:rsid w:val="57923D07"/>
    <w:rsid w:val="57AC4DC9"/>
    <w:rsid w:val="57AF48B9"/>
    <w:rsid w:val="57DB56AE"/>
    <w:rsid w:val="57F8000E"/>
    <w:rsid w:val="580449F9"/>
    <w:rsid w:val="58A86DDE"/>
    <w:rsid w:val="58C83E84"/>
    <w:rsid w:val="59154AD7"/>
    <w:rsid w:val="596A338E"/>
    <w:rsid w:val="599D4616"/>
    <w:rsid w:val="5A166E71"/>
    <w:rsid w:val="5A7B164E"/>
    <w:rsid w:val="5AA224B3"/>
    <w:rsid w:val="5ADF548D"/>
    <w:rsid w:val="5AEA2C44"/>
    <w:rsid w:val="5AF81675"/>
    <w:rsid w:val="5B1F58B2"/>
    <w:rsid w:val="5C9B7855"/>
    <w:rsid w:val="5CCB7A9F"/>
    <w:rsid w:val="5CF700DD"/>
    <w:rsid w:val="5D35760E"/>
    <w:rsid w:val="5D5C60B4"/>
    <w:rsid w:val="5DB14F1D"/>
    <w:rsid w:val="5E30707F"/>
    <w:rsid w:val="5E93647E"/>
    <w:rsid w:val="5EA70098"/>
    <w:rsid w:val="5F70492E"/>
    <w:rsid w:val="5FCA3C63"/>
    <w:rsid w:val="601C1C4D"/>
    <w:rsid w:val="60397415"/>
    <w:rsid w:val="6089214B"/>
    <w:rsid w:val="609F1B94"/>
    <w:rsid w:val="60B46A9C"/>
    <w:rsid w:val="60BB3795"/>
    <w:rsid w:val="60BB7E2A"/>
    <w:rsid w:val="60F8107F"/>
    <w:rsid w:val="60FB0B6F"/>
    <w:rsid w:val="613100ED"/>
    <w:rsid w:val="618B1EF3"/>
    <w:rsid w:val="61BE6908"/>
    <w:rsid w:val="61D90EB0"/>
    <w:rsid w:val="62D376AD"/>
    <w:rsid w:val="63133F4E"/>
    <w:rsid w:val="63286425"/>
    <w:rsid w:val="633B16F7"/>
    <w:rsid w:val="63961B03"/>
    <w:rsid w:val="63F04A69"/>
    <w:rsid w:val="64030466"/>
    <w:rsid w:val="64370110"/>
    <w:rsid w:val="644A5041"/>
    <w:rsid w:val="646B1B68"/>
    <w:rsid w:val="64756D6B"/>
    <w:rsid w:val="64E57B6C"/>
    <w:rsid w:val="650F1B6E"/>
    <w:rsid w:val="66171FA7"/>
    <w:rsid w:val="66A50B1E"/>
    <w:rsid w:val="66DD4F9F"/>
    <w:rsid w:val="671E5803"/>
    <w:rsid w:val="674943E2"/>
    <w:rsid w:val="67515045"/>
    <w:rsid w:val="67A667DA"/>
    <w:rsid w:val="67B2063C"/>
    <w:rsid w:val="67C97AC3"/>
    <w:rsid w:val="67E30EC1"/>
    <w:rsid w:val="682D5AB2"/>
    <w:rsid w:val="68F91E38"/>
    <w:rsid w:val="69004B62"/>
    <w:rsid w:val="693764BC"/>
    <w:rsid w:val="6949083C"/>
    <w:rsid w:val="69E06F59"/>
    <w:rsid w:val="6A18009C"/>
    <w:rsid w:val="6A2904FB"/>
    <w:rsid w:val="6A4315BC"/>
    <w:rsid w:val="6A4E3B2B"/>
    <w:rsid w:val="6A771266"/>
    <w:rsid w:val="6A813E93"/>
    <w:rsid w:val="6A837C0B"/>
    <w:rsid w:val="6AC36259"/>
    <w:rsid w:val="6B434C17"/>
    <w:rsid w:val="6B481C3B"/>
    <w:rsid w:val="6B980E97"/>
    <w:rsid w:val="6BD44496"/>
    <w:rsid w:val="6C1331A3"/>
    <w:rsid w:val="6CA84BC1"/>
    <w:rsid w:val="6CB401CC"/>
    <w:rsid w:val="6CD31088"/>
    <w:rsid w:val="6CD96208"/>
    <w:rsid w:val="6D3E4756"/>
    <w:rsid w:val="6DAF51BB"/>
    <w:rsid w:val="6DC5053A"/>
    <w:rsid w:val="6E30458D"/>
    <w:rsid w:val="6E8B1784"/>
    <w:rsid w:val="6EDA6267"/>
    <w:rsid w:val="6EE1023E"/>
    <w:rsid w:val="6F742218"/>
    <w:rsid w:val="6FC523EB"/>
    <w:rsid w:val="6FCA5C4B"/>
    <w:rsid w:val="713559D7"/>
    <w:rsid w:val="71557E27"/>
    <w:rsid w:val="72895F2E"/>
    <w:rsid w:val="72C02EBE"/>
    <w:rsid w:val="72C507AD"/>
    <w:rsid w:val="72D028D8"/>
    <w:rsid w:val="72F316A6"/>
    <w:rsid w:val="734463A5"/>
    <w:rsid w:val="73555EBD"/>
    <w:rsid w:val="73E3796C"/>
    <w:rsid w:val="74045CDC"/>
    <w:rsid w:val="742D52BF"/>
    <w:rsid w:val="743809CD"/>
    <w:rsid w:val="745D47C3"/>
    <w:rsid w:val="74683C4D"/>
    <w:rsid w:val="749018A2"/>
    <w:rsid w:val="74AE1D28"/>
    <w:rsid w:val="74D55507"/>
    <w:rsid w:val="75286274"/>
    <w:rsid w:val="75995E37"/>
    <w:rsid w:val="75B710B1"/>
    <w:rsid w:val="76277FE4"/>
    <w:rsid w:val="76AC3757"/>
    <w:rsid w:val="76BB0141"/>
    <w:rsid w:val="76C07AF1"/>
    <w:rsid w:val="77161E07"/>
    <w:rsid w:val="77283963"/>
    <w:rsid w:val="77CA67AA"/>
    <w:rsid w:val="781234B1"/>
    <w:rsid w:val="78760751"/>
    <w:rsid w:val="788F00C3"/>
    <w:rsid w:val="791F2E48"/>
    <w:rsid w:val="79446982"/>
    <w:rsid w:val="79BF0534"/>
    <w:rsid w:val="79C30024"/>
    <w:rsid w:val="7A257F09"/>
    <w:rsid w:val="7A5D0542"/>
    <w:rsid w:val="7A867262"/>
    <w:rsid w:val="7ADE49EA"/>
    <w:rsid w:val="7AF20495"/>
    <w:rsid w:val="7B580DFE"/>
    <w:rsid w:val="7B811F45"/>
    <w:rsid w:val="7C0E12FE"/>
    <w:rsid w:val="7C305719"/>
    <w:rsid w:val="7C3F3BAE"/>
    <w:rsid w:val="7CB93F8E"/>
    <w:rsid w:val="7CCA3477"/>
    <w:rsid w:val="7CF66B46"/>
    <w:rsid w:val="7DBD28BA"/>
    <w:rsid w:val="7EA128FE"/>
    <w:rsid w:val="7EB1500A"/>
    <w:rsid w:val="7F784C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3"/>
    <w:next w:val="1"/>
    <w:link w:val="43"/>
    <w:semiHidden/>
    <w:qFormat/>
    <w:uiPriority w:val="0"/>
    <w:pPr>
      <w:keepNext/>
      <w:keepLines/>
      <w:spacing w:line="416" w:lineRule="auto"/>
      <w:outlineLvl w:val="2"/>
    </w:pPr>
    <w:rPr>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三级标题"/>
    <w:basedOn w:val="112"/>
    <w:qFormat/>
    <w:uiPriority w:val="0"/>
  </w:style>
  <w:style w:type="paragraph" w:customStyle="1" w:styleId="112">
    <w:name w:val="标书三级标题"/>
    <w:basedOn w:val="4"/>
    <w:next w:val="11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paragraph" w:customStyle="1" w:styleId="113">
    <w:name w:val="标书正文格式"/>
    <w:basedOn w:val="14"/>
    <w:qFormat/>
    <w:uiPriority w:val="0"/>
    <w:pPr>
      <w:spacing w:line="360" w:lineRule="auto"/>
      <w:ind w:firstLine="200" w:firstLineChars="200"/>
    </w:pPr>
    <w:rPr>
      <w:rFonts w:hAnsi="宋体" w:eastAsiaTheme="minorEastAsia"/>
      <w:color w:val="000000"/>
      <w:sz w:val="24"/>
      <w:szCs w:val="24"/>
    </w:rPr>
  </w:style>
  <w:style w:type="table" w:customStyle="1" w:styleId="114">
    <w:name w:val="Table Normal"/>
    <w:semiHidden/>
    <w:unhideWhenUsed/>
    <w:qFormat/>
    <w:uiPriority w:val="0"/>
    <w:tblPr>
      <w:tblCellMar>
        <w:top w:w="0" w:type="dxa"/>
        <w:left w:w="0" w:type="dxa"/>
        <w:bottom w:w="0" w:type="dxa"/>
        <w:right w:w="0" w:type="dxa"/>
      </w:tblCellMar>
    </w:tblPr>
  </w:style>
  <w:style w:type="character" w:customStyle="1" w:styleId="115">
    <w:name w:val="font11"/>
    <w:basedOn w:val="32"/>
    <w:qFormat/>
    <w:uiPriority w:val="0"/>
    <w:rPr>
      <w:rFonts w:hint="eastAsia"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36</Pages>
  <Words>8203</Words>
  <Characters>8635</Characters>
  <Lines>127</Lines>
  <Paragraphs>35</Paragraphs>
  <TotalTime>15</TotalTime>
  <ScaleCrop>false</ScaleCrop>
  <LinksUpToDate>false</LinksUpToDate>
  <CharactersWithSpaces>8711</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swiler</cp:lastModifiedBy>
  <cp:lastPrinted>2020-06-28T02:28:00Z</cp:lastPrinted>
  <dcterms:modified xsi:type="dcterms:W3CDTF">2026-04-09T01:01:39Z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ICV">
    <vt:lpwstr>C4E667CF26604F52AD561790FE42A8A8_13</vt:lpwstr>
  </property>
  <property fmtid="{D5CDD505-2E9C-101B-9397-08002B2CF9AE}" pid="4" name="KSOTemplateDocerSaveRecord">
    <vt:lpwstr>eyJoZGlkIjoiMGQyOTdlNTljNzNkMjIxYjQzMjgxYTFhNjYzMWIyNjEiLCJ1c2VySWQiOiI5NTA4NzkzMTYifQ==</vt:lpwstr>
  </property>
</Properties>
</file>