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lang w:eastAsia="zh-CN"/>
        </w:rPr>
        <w:t>济南成型厂0029缸盖及0239桥壳工装修改项目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highlight w:val="yellow"/>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ZBGL2026040121</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eastAsia="宋体"/>
          <w:sz w:val="28"/>
          <w:szCs w:val="28"/>
          <w:lang w:eastAsia="zh-CN"/>
        </w:rPr>
      </w:pPr>
      <w:r>
        <w:rPr>
          <w:rFonts w:hint="eastAsia" w:ascii="宋体" w:hAnsi="宋体"/>
          <w:sz w:val="28"/>
          <w:szCs w:val="28"/>
        </w:rPr>
        <w:t>招 标 人：</w:t>
      </w:r>
      <w:r>
        <w:rPr>
          <w:rFonts w:hint="eastAsia" w:ascii="宋体" w:hAnsi="宋体"/>
          <w:sz w:val="28"/>
          <w:szCs w:val="28"/>
          <w:lang w:eastAsia="zh-CN"/>
        </w:rPr>
        <w:t>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4</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lang w:val="en-US" w:eastAsia="zh-CN"/>
        </w:rPr>
      </w:pPr>
      <w:r>
        <w:rPr>
          <w:rFonts w:hint="eastAsia"/>
          <w:sz w:val="32"/>
          <w:szCs w:val="28"/>
          <w:highlight w:val="yellow"/>
          <w:lang w:val="en-US" w:eastAsia="zh-CN"/>
        </w:rPr>
        <w:t>项目图纸附件可参考</w:t>
      </w:r>
    </w:p>
    <w:p w14:paraId="29FEE1FC">
      <w:pPr>
        <w:pStyle w:val="15"/>
        <w:spacing w:line="360" w:lineRule="auto"/>
        <w:jc w:val="center"/>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8" ShapeID="_x0000_i1025" DrawAspect="Icon" ObjectID="_1468075725" r:id="rId11">
            <o:LockedField>false</o:LockedField>
          </o:OLEObject>
        </w:object>
      </w:r>
      <w:r>
        <w:rPr>
          <w:rFonts w:hint="eastAsia" w:eastAsia="宋体"/>
          <w:lang w:eastAsia="zh-CN"/>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Acrobat.Document.DC" ShapeID="_x0000_i1026" DrawAspect="Icon" ObjectID="_1468075726" r:id="rId13">
            <o:LockedField>false</o:LockedField>
          </o:OLEObject>
        </w:object>
      </w:r>
    </w:p>
    <w:p w14:paraId="56A3C681">
      <w:pPr>
        <w:pStyle w:val="15"/>
        <w:spacing w:line="360" w:lineRule="auto"/>
        <w:jc w:val="center"/>
        <w:rPr>
          <w:rFonts w:hint="eastAsia" w:eastAsia="宋体"/>
          <w:lang w:eastAsia="zh-CN"/>
        </w:rPr>
      </w:pP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5020D03">
      <w:pPr>
        <w:pStyle w:val="73"/>
      </w:pPr>
      <w:r>
        <w:rPr>
          <w:rFonts w:hint="eastAsia"/>
        </w:rPr>
        <w:t>项目名称：</w:t>
      </w:r>
      <w:r>
        <w:rPr>
          <w:rFonts w:hint="eastAsia"/>
          <w:highlight w:val="yellow"/>
          <w:lang w:eastAsia="zh-CN"/>
        </w:rPr>
        <w:t>济南成型厂0029缸盖及0239桥壳工装修改项目</w:t>
      </w:r>
      <w:r>
        <w:rPr>
          <w:rFonts w:hint="eastAsia"/>
          <w:highlight w:val="yellow"/>
          <w:lang w:eastAsia="zh-CN"/>
        </w:rPr>
        <w:br w:type="textWrapping"/>
      </w:r>
      <w:r>
        <w:rPr>
          <w:rFonts w:hint="eastAsia"/>
        </w:rPr>
        <w:t>项目编号：</w:t>
      </w:r>
      <w:r>
        <w:rPr>
          <w:rFonts w:hint="eastAsia"/>
          <w:lang w:eastAsia="zh-CN"/>
        </w:rPr>
        <w:t>ZBGL2026040121</w:t>
      </w:r>
    </w:p>
    <w:p w14:paraId="0AB9F24D">
      <w:pPr>
        <w:pStyle w:val="72"/>
      </w:pPr>
      <w:bookmarkStart w:id="3" w:name="_Toc47976589"/>
      <w:r>
        <w:rPr>
          <w:rFonts w:hint="eastAsia"/>
          <w:lang w:val="en-US" w:eastAsia="zh-CN"/>
        </w:rPr>
        <w:t>项目概况</w:t>
      </w:r>
      <w:r>
        <w:rPr>
          <w:rFonts w:hint="eastAsia"/>
        </w:rPr>
        <w:t>及招标形式</w:t>
      </w:r>
      <w:bookmarkEnd w:id="3"/>
      <w:r>
        <w:rPr>
          <w:rFonts w:hint="eastAsia"/>
          <w:lang w:val="en-US" w:eastAsia="zh-CN"/>
        </w:rPr>
        <w:t xml:space="preserve">  </w:t>
      </w:r>
    </w:p>
    <w:p w14:paraId="3987F07B">
      <w:pPr>
        <w:keepNext w:val="0"/>
        <w:keepLines w:val="0"/>
        <w:widowControl/>
        <w:suppressLineNumbers w:val="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根据汽车研究总院要求，0029缸盖后端芯侧边芯产品结构发生变更；机油道附近铸件壁厚需增加工艺补贴，需修改对应的芯盒；0239R桥壳连接板位置增加螺栓孔</w:t>
      </w:r>
      <w:r>
        <w:rPr>
          <w:rFonts w:hint="default" w:ascii="宋体" w:hAnsi="宋体" w:eastAsia="宋体" w:cs="宋体"/>
          <w:b w:val="0"/>
          <w:bCs w:val="0"/>
          <w:kern w:val="2"/>
          <w:sz w:val="21"/>
          <w:szCs w:val="21"/>
          <w:lang w:val="en-US" w:eastAsia="zh-CN" w:bidi="ar-SA"/>
        </w:rPr>
        <w:t>，解决气室支架螺栓力矩衰减问题</w:t>
      </w:r>
      <w:r>
        <w:rPr>
          <w:rFonts w:hint="eastAsia" w:ascii="宋体" w:hAnsi="宋体" w:cs="宋体"/>
          <w:b w:val="0"/>
          <w:bCs w:val="0"/>
          <w:kern w:val="2"/>
          <w:sz w:val="21"/>
          <w:szCs w:val="21"/>
          <w:lang w:val="en-US" w:eastAsia="zh-CN" w:bidi="ar-SA"/>
        </w:rPr>
        <w:t>，需修改对应的下模样。</w:t>
      </w:r>
      <w:r>
        <w:rPr>
          <w:rFonts w:hint="eastAsia" w:ascii="宋体" w:hAnsi="宋体" w:eastAsia="宋体" w:cs="宋体"/>
          <w:b w:val="0"/>
          <w:bCs w:val="0"/>
          <w:kern w:val="2"/>
          <w:sz w:val="21"/>
          <w:szCs w:val="21"/>
          <w:lang w:val="en-US" w:eastAsia="zh-CN" w:bidi="ar-SA"/>
        </w:rPr>
        <w:t>明细详见下表：</w:t>
      </w:r>
      <w:r>
        <w:rPr>
          <w:rFonts w:hint="eastAsia" w:ascii="宋体" w:hAnsi="宋体" w:eastAsia="宋体" w:cs="宋体"/>
          <w:b w:val="0"/>
          <w:bCs w:val="0"/>
          <w:kern w:val="2"/>
          <w:sz w:val="21"/>
          <w:szCs w:val="21"/>
          <w:lang w:val="en-US" w:eastAsia="zh-CN" w:bidi="ar-SA"/>
        </w:rPr>
        <w:br w:type="textWrapping"/>
      </w:r>
    </w:p>
    <w:tbl>
      <w:tblPr>
        <w:tblStyle w:val="3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3"/>
        <w:gridCol w:w="2031"/>
        <w:gridCol w:w="1476"/>
        <w:gridCol w:w="2111"/>
        <w:gridCol w:w="533"/>
        <w:gridCol w:w="533"/>
        <w:gridCol w:w="1976"/>
      </w:tblGrid>
      <w:tr w14:paraId="42D72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29E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4D2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产品编号及名称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4738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9EF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工装名称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E630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9AF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DF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招标基价（含税）</w:t>
            </w:r>
          </w:p>
        </w:tc>
      </w:tr>
      <w:tr w14:paraId="17643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00D6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6354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AZ100-0029缸盖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77E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ZD4402-00812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D907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12#13#/14#芯芯盒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FB2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60BD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39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1.68万元</w:t>
            </w:r>
          </w:p>
        </w:tc>
      </w:tr>
      <w:tr w14:paraId="2A4DD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63007">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92EE5">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7B9E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ZD4402-00813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B12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2#3#4#5#6#7#11#芯芯盒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215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FA9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F89A4">
            <w:pPr>
              <w:jc w:val="center"/>
              <w:rPr>
                <w:rFonts w:hint="eastAsia" w:ascii="宋体" w:hAnsi="宋体" w:eastAsia="宋体" w:cs="宋体"/>
                <w:i w:val="0"/>
                <w:iCs w:val="0"/>
                <w:color w:val="000000"/>
                <w:sz w:val="22"/>
                <w:szCs w:val="22"/>
                <w:u w:val="none"/>
              </w:rPr>
            </w:pPr>
          </w:p>
        </w:tc>
      </w:tr>
      <w:tr w14:paraId="41664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B3E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060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AZ712733000239R桥壳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733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ZD4311-00242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80C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下模板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2CB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C12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0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0.72万元</w:t>
            </w:r>
          </w:p>
        </w:tc>
      </w:tr>
    </w:tbl>
    <w:p w14:paraId="2D8E2B90">
      <w:pPr>
        <w:keepNext w:val="0"/>
        <w:keepLines w:val="0"/>
        <w:widowControl/>
        <w:suppressLineNumbers w:val="0"/>
        <w:jc w:val="left"/>
        <w:rPr>
          <w:rFonts w:hint="eastAsia" w:ascii="宋体" w:hAnsi="宋体" w:eastAsia="宋体" w:cs="宋体"/>
          <w:b w:val="0"/>
          <w:bCs/>
          <w:sz w:val="21"/>
          <w:szCs w:val="21"/>
          <w:lang w:eastAsia="zh-CN"/>
        </w:rPr>
      </w:pPr>
    </w:p>
    <w:p w14:paraId="4EC58B63">
      <w:pPr>
        <w:pStyle w:val="73"/>
        <w:numPr>
          <w:ilvl w:val="0"/>
          <w:numId w:val="0"/>
        </w:numPr>
        <w:ind w:firstLine="420" w:firstLineChars="200"/>
        <w:rPr>
          <w:b w:val="0"/>
          <w:bCs/>
        </w:rPr>
      </w:pPr>
      <w:r>
        <w:rPr>
          <w:rFonts w:hint="eastAsia"/>
          <w:b w:val="0"/>
          <w:bCs/>
        </w:rPr>
        <w:t>招标形式：</w:t>
      </w:r>
      <w:r>
        <w:rPr>
          <w:rFonts w:hint="eastAsia"/>
          <w:b w:val="0"/>
          <w:bCs/>
          <w:lang w:val="en-US" w:eastAsia="zh-CN"/>
        </w:rPr>
        <w:t>公开招标</w:t>
      </w:r>
    </w:p>
    <w:p w14:paraId="4B41BD77">
      <w:pPr>
        <w:pStyle w:val="72"/>
        <w:rPr>
          <w:highlight w:val="yellow"/>
        </w:rPr>
      </w:pPr>
      <w:bookmarkStart w:id="4" w:name="_Toc47976590"/>
      <w:r>
        <w:rPr>
          <w:rFonts w:hint="eastAsia"/>
          <w:highlight w:val="yellow"/>
        </w:rPr>
        <w:t>投标人资格要求</w:t>
      </w:r>
      <w:bookmarkEnd w:id="4"/>
      <w:r>
        <w:rPr>
          <w:rFonts w:hint="eastAsia"/>
          <w:highlight w:val="yellow"/>
          <w:lang w:eastAsia="zh-CN"/>
        </w:rPr>
        <w:t>：</w:t>
      </w:r>
      <w:r>
        <w:rPr>
          <w:rFonts w:hint="eastAsia"/>
          <w:highlight w:val="yellow"/>
          <w:lang w:val="en-US" w:eastAsia="zh-CN"/>
        </w:rPr>
        <w:t xml:space="preserve">  </w:t>
      </w:r>
    </w:p>
    <w:p w14:paraId="06DBB675">
      <w:pPr>
        <w:pStyle w:val="72"/>
        <w:numPr>
          <w:ilvl w:val="0"/>
          <w:numId w:val="0"/>
        </w:numPr>
        <w:ind w:left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2"/>
          <w:szCs w:val="16"/>
          <w:lang w:eastAsia="zh-CN"/>
        </w:rPr>
        <w:t>（</w:t>
      </w:r>
      <w:r>
        <w:rPr>
          <w:rFonts w:hint="eastAsia" w:ascii="宋体" w:hAnsi="宋体" w:eastAsia="宋体" w:cs="宋体"/>
          <w:b w:val="0"/>
          <w:bCs w:val="0"/>
          <w:sz w:val="21"/>
          <w:szCs w:val="21"/>
          <w:lang w:eastAsia="zh-CN"/>
        </w:rPr>
        <w:t>1）</w:t>
      </w:r>
      <w:r>
        <w:rPr>
          <w:rFonts w:hint="eastAsia" w:ascii="宋体" w:hAnsi="宋体" w:eastAsia="宋体" w:cs="宋体"/>
          <w:b w:val="0"/>
          <w:bCs w:val="0"/>
          <w:sz w:val="21"/>
          <w:szCs w:val="21"/>
          <w:lang w:val="en-US" w:eastAsia="zh-CN"/>
        </w:rPr>
        <w:t>投标</w:t>
      </w:r>
      <w:r>
        <w:rPr>
          <w:rFonts w:hint="eastAsia" w:ascii="宋体" w:hAnsi="宋体" w:eastAsia="宋体" w:cs="宋体"/>
          <w:b w:val="0"/>
          <w:bCs w:val="0"/>
          <w:sz w:val="21"/>
          <w:szCs w:val="21"/>
          <w:lang w:eastAsia="zh-CN"/>
        </w:rPr>
        <w:t>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（2）投标人应提供具有统一社会信用代码的营业执照副本复印件；</w:t>
      </w:r>
    </w:p>
    <w:p w14:paraId="5BBAB0D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（3）投标人在“国家企业信用信息公示系统”、“中国执行信息公开网”、“信用中国”、“天眼查”“裁判文书网”等信息平台中，无与招标项目相关的重大行政处罚及失信记录等信息； </w:t>
      </w:r>
    </w:p>
    <w:p w14:paraId="5C000E38">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（4）投标人近三年内在经营活动中无与本项目有关的违法及重大违规情况或被列入招标人“黑名单”；</w:t>
      </w:r>
    </w:p>
    <w:p w14:paraId="2F0B32B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5）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（6）本次招标不接受联合体投标，不接受代理商投标。投标方的直接或间接股东、法定代表人、董事、监事、高管非重汽员工及其亲属；</w:t>
      </w:r>
    </w:p>
    <w:p w14:paraId="6BF48FCC">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（7）投标人应通过GB/ISO9001质量体系认证；</w:t>
      </w:r>
    </w:p>
    <w:p w14:paraId="6A23C7A7">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（8）投标人应有高压静压流水线及大型冷芯盒射芯机用芯盒相关制作或维修业绩；</w:t>
      </w:r>
    </w:p>
    <w:p w14:paraId="7370C69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（9）法定代表人参加投标的，需提供身份证复印件；授权代表参加投标的，需提供法定代表人授权委托书原件及法定代表人、授权代表身份证复印件；（授权委托书详见附后格式1）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（10）投标人在向招标人提交投标保证金缴纳证明后方可进行投标；</w:t>
      </w:r>
    </w:p>
    <w:p w14:paraId="1187EFF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（11）企业最近半年完税证明、信用证明材料（中国人民银行信用代码证+征信报告）；</w:t>
      </w:r>
    </w:p>
    <w:p w14:paraId="0B73603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(12)年度纳税信用评价信息（可从电子税务局查询截图，需加盖公章）；</w:t>
      </w:r>
    </w:p>
    <w:p w14:paraId="685E20C1">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(13)企业对外担保说明（写明贵单位对外有无对外担保和质押业务，需加盖公章）。</w:t>
      </w:r>
      <w:bookmarkEnd w:id="5"/>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2026年4月23日9点00分（若有变动，另行通知）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5F538BD8">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商务联系人：陈学良-17860601755；技术联系人：宋波-15098736562</w:t>
      </w:r>
    </w:p>
    <w:p w14:paraId="70DB46CB">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八、解释权</w:t>
      </w:r>
    </w:p>
    <w:p w14:paraId="3A34FC79">
      <w:pPr>
        <w:shd w:val="clear" w:color="auto" w:fill="auto"/>
        <w:spacing w:line="360" w:lineRule="auto"/>
        <w:rPr>
          <w:rFonts w:hint="eastAsia" w:ascii="宋体" w:hAnsi="Courier New" w:eastAsia="宋体" w:cs="Times New Roman"/>
          <w:b/>
          <w:kern w:val="2"/>
          <w:sz w:val="21"/>
          <w:highlight w:val="none"/>
          <w:lang w:val="en-US" w:eastAsia="zh-CN" w:bidi="ar-SA"/>
        </w:rPr>
      </w:pPr>
      <w:r>
        <w:rPr>
          <w:rFonts w:hint="eastAsia" w:ascii="宋体" w:hAnsi="Courier New" w:eastAsia="宋体" w:cs="Times New Roman"/>
          <w:b/>
          <w:kern w:val="2"/>
          <w:sz w:val="21"/>
          <w:highlight w:val="none"/>
          <w:lang w:val="en-US" w:eastAsia="zh-CN" w:bidi="ar-SA"/>
        </w:rPr>
        <w:t>本招标文件的最终解释权归招标人，当对一个问题有多种解释时以招标人的书面解释为准。招标文件未做须知明示，而又有相关法律、法规规定的，招标人对此所做解释以相关的法律、法规规定为依据。</w:t>
      </w:r>
    </w:p>
    <w:p w14:paraId="5E21A0D6">
      <w:pPr>
        <w:pStyle w:val="72"/>
        <w:numPr>
          <w:ilvl w:val="0"/>
          <w:numId w:val="0"/>
        </w:numPr>
        <w:ind w:leftChars="0"/>
        <w:rPr>
          <w:rFonts w:hint="eastAsia" w:ascii="宋体" w:hAnsi="宋体" w:eastAsia="宋体" w:cs="宋体"/>
          <w:sz w:val="21"/>
          <w:szCs w:val="21"/>
          <w:highlight w:val="none"/>
          <w:lang w:val="en-US" w:eastAsia="zh-CN"/>
        </w:rPr>
      </w:pPr>
    </w:p>
    <w:p w14:paraId="1A6DCC2C">
      <w:pPr>
        <w:pStyle w:val="76"/>
      </w:pPr>
    </w:p>
    <w:p w14:paraId="6D4C3503">
      <w:pPr>
        <w:pStyle w:val="76"/>
      </w:pPr>
    </w:p>
    <w:p w14:paraId="3C6FC94E">
      <w:pPr>
        <w:pStyle w:val="76"/>
      </w:pPr>
    </w:p>
    <w:p w14:paraId="29EB8588">
      <w:pPr>
        <w:pStyle w:val="76"/>
      </w:pPr>
    </w:p>
    <w:p w14:paraId="3D820EEC">
      <w:pPr>
        <w:pStyle w:val="71"/>
      </w:pPr>
      <w:bookmarkStart w:id="9" w:name="_Toc7753"/>
      <w:bookmarkStart w:id="10" w:name="_Toc47976595"/>
      <w:r>
        <w:rPr>
          <w:rFonts w:hint="eastAsia"/>
        </w:rPr>
        <w:t>第一部分  投标人须知</w:t>
      </w:r>
      <w:bookmarkEnd w:id="9"/>
      <w:bookmarkEnd w:id="10"/>
    </w:p>
    <w:p w14:paraId="17A97EAA">
      <w:pPr>
        <w:pStyle w:val="72"/>
        <w:numPr>
          <w:ilvl w:val="0"/>
          <w:numId w:val="9"/>
        </w:numPr>
        <w:ind w:left="420"/>
        <w:jc w:val="left"/>
        <w:rPr>
          <w:highlight w:val="yellow"/>
        </w:rPr>
      </w:pPr>
      <w:bookmarkStart w:id="11" w:name="_Toc47976596"/>
      <w:r>
        <w:rPr>
          <w:rFonts w:hint="eastAsia"/>
        </w:rPr>
        <w:t>项目介绍</w:t>
      </w:r>
      <w:bookmarkEnd w:id="11"/>
    </w:p>
    <w:p w14:paraId="151561C8">
      <w:pPr>
        <w:pStyle w:val="76"/>
        <w:numPr>
          <w:ilvl w:val="0"/>
          <w:numId w:val="0"/>
        </w:numPr>
        <w:ind w:leftChars="0"/>
        <w:rPr>
          <w:rFonts w:hint="default" w:ascii="宋体" w:hAnsi="Courier New" w:eastAsia="宋体" w:cs="Times New Roman"/>
          <w:highlight w:val="none"/>
          <w:lang w:val="en-US" w:eastAsia="zh-CN"/>
        </w:rPr>
      </w:pPr>
      <w:bookmarkStart w:id="12" w:name="_Toc47112482"/>
      <w:r>
        <w:rPr>
          <w:rFonts w:hint="eastAsia" w:ascii="宋体" w:hAnsi="Courier New" w:eastAsia="宋体" w:cs="Times New Roman"/>
          <w:b w:val="0"/>
          <w:bCs w:val="0"/>
          <w:kern w:val="2"/>
          <w:sz w:val="21"/>
          <w:highlight w:val="none"/>
          <w:lang w:val="en-US" w:eastAsia="zh-CN" w:bidi="ar-SA"/>
        </w:rPr>
        <w:t>1.项目名称：</w:t>
      </w:r>
      <w:r>
        <w:rPr>
          <w:rFonts w:hint="eastAsia"/>
          <w:highlight w:val="yellow"/>
          <w:lang w:eastAsia="zh-CN"/>
        </w:rPr>
        <w:t>济南成型厂0029缸盖及0239桥壳工装修改项目</w:t>
      </w:r>
      <w:r>
        <w:rPr>
          <w:rFonts w:hint="eastAsia" w:ascii="宋体" w:hAnsi="Courier New" w:eastAsia="宋体" w:cs="Times New Roman"/>
          <w:b w:val="0"/>
          <w:bCs w:val="0"/>
          <w:kern w:val="2"/>
          <w:sz w:val="21"/>
          <w:highlight w:val="none"/>
          <w:lang w:val="en-US" w:eastAsia="zh-CN" w:bidi="ar-SA"/>
        </w:rPr>
        <w:br w:type="textWrapping"/>
      </w:r>
      <w:r>
        <w:rPr>
          <w:rFonts w:hint="eastAsia" w:ascii="宋体" w:hAnsi="Courier New" w:eastAsia="宋体" w:cs="Times New Roman"/>
          <w:b w:val="0"/>
          <w:bCs w:val="0"/>
          <w:kern w:val="2"/>
          <w:sz w:val="21"/>
          <w:highlight w:val="none"/>
          <w:lang w:val="en-US" w:eastAsia="zh-CN" w:bidi="ar-SA"/>
        </w:rPr>
        <w:t>2.项目编号：</w:t>
      </w:r>
      <w:r>
        <w:rPr>
          <w:rFonts w:hint="eastAsia"/>
          <w:lang w:eastAsia="zh-CN"/>
        </w:rPr>
        <w:t>ZBGL2026040121</w:t>
      </w:r>
      <w:r>
        <w:rPr>
          <w:rFonts w:hint="eastAsia" w:ascii="宋体" w:hAnsi="Courier New" w:eastAsia="宋体" w:cs="Times New Roman"/>
          <w:b w:val="0"/>
          <w:bCs w:val="0"/>
          <w:kern w:val="2"/>
          <w:sz w:val="21"/>
          <w:highlight w:val="none"/>
          <w:lang w:val="en-US" w:eastAsia="zh-CN" w:bidi="ar-SA"/>
        </w:rPr>
        <w:br w:type="textWrapping"/>
      </w:r>
      <w:r>
        <w:rPr>
          <w:rFonts w:hint="eastAsia" w:ascii="宋体" w:hAnsi="Courier New" w:eastAsia="宋体" w:cs="Times New Roman"/>
          <w:b w:val="0"/>
          <w:bCs w:val="0"/>
          <w:kern w:val="2"/>
          <w:sz w:val="21"/>
          <w:highlight w:val="none"/>
          <w:lang w:val="en-US" w:eastAsia="zh-CN" w:bidi="ar-SA"/>
        </w:rPr>
        <w:t>3.招标形式：公开招标</w:t>
      </w:r>
      <w:r>
        <w:rPr>
          <w:rFonts w:hint="eastAsia" w:ascii="宋体" w:hAnsi="Courier New" w:eastAsia="宋体" w:cs="Times New Roman"/>
          <w:b w:val="0"/>
          <w:bCs w:val="0"/>
          <w:kern w:val="2"/>
          <w:sz w:val="21"/>
          <w:highlight w:val="none"/>
          <w:lang w:val="en-US" w:eastAsia="zh-CN" w:bidi="ar-SA"/>
        </w:rPr>
        <w:br w:type="textWrapping"/>
      </w:r>
      <w:r>
        <w:rPr>
          <w:rFonts w:hint="eastAsia" w:ascii="宋体" w:hAnsi="Courier New" w:eastAsia="宋体" w:cs="Times New Roman"/>
          <w:b w:val="0"/>
          <w:bCs w:val="0"/>
          <w:kern w:val="2"/>
          <w:sz w:val="21"/>
          <w:highlight w:val="none"/>
          <w:lang w:val="en-US" w:eastAsia="zh-CN" w:bidi="ar-SA"/>
        </w:rPr>
        <w:t>4.招标内容具体要求详见招标公告。</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cs="Times New Roman"/>
          <w:highlight w:val="yellow"/>
          <w:lang w:val="en-US" w:eastAsia="zh-CN"/>
        </w:rPr>
        <w:t>2026年4月13</w:t>
      </w:r>
      <w:r>
        <w:rPr>
          <w:rFonts w:hint="eastAsia" w:ascii="宋体" w:hAnsi="Courier New" w:eastAsia="宋体" w:cs="Times New Roman"/>
          <w:highlight w:val="yellow"/>
          <w:lang w:val="en-US" w:eastAsia="zh-CN"/>
        </w:rPr>
        <w:t>日</w:t>
      </w:r>
    </w:p>
    <w:p w14:paraId="7480CA22">
      <w:pPr>
        <w:pStyle w:val="76"/>
        <w:numPr>
          <w:ilvl w:val="0"/>
          <w:numId w:val="10"/>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4月22</w:t>
      </w:r>
      <w:r>
        <w:rPr>
          <w:rFonts w:hint="eastAsia" w:ascii="宋体" w:hAnsi="Courier New" w:eastAsia="宋体" w:cs="Times New Roman"/>
          <w:highlight w:val="yellow"/>
          <w:lang w:val="en-US" w:eastAsia="zh-CN"/>
        </w:rPr>
        <w:t>日前</w:t>
      </w:r>
    </w:p>
    <w:p w14:paraId="62CB87C4">
      <w:pPr>
        <w:pStyle w:val="76"/>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4月22</w:t>
      </w:r>
      <w:r>
        <w:rPr>
          <w:rFonts w:hint="eastAsia" w:ascii="宋体" w:hAnsi="Courier New" w:eastAsia="宋体" w:cs="Times New Roman"/>
          <w:highlight w:val="yellow"/>
          <w:lang w:val="en-US" w:eastAsia="zh-CN"/>
        </w:rPr>
        <w:t>日前</w:t>
      </w:r>
      <w:r>
        <w:rPr>
          <w:rFonts w:hint="eastAsia" w:ascii="宋体" w:hAnsi="Courier New" w:eastAsia="宋体" w:cs="Times New Roman"/>
          <w:highlight w:val="none"/>
          <w:lang w:val="en-US" w:eastAsia="zh-CN"/>
        </w:rPr>
        <w:t>：</w:t>
      </w:r>
    </w:p>
    <w:p w14:paraId="59AC1516">
      <w:pPr>
        <w:pStyle w:val="76"/>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0"/>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：2026年4月17日17点00分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2"/>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3"/>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3"/>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3"/>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3"/>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4"/>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2"/>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5"/>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5"/>
        </w:numPr>
        <w:ind w:left="425" w:leftChars="0" w:hanging="425" w:firstLineChars="0"/>
        <w:rPr>
          <w:b w:val="0"/>
          <w:bCs/>
          <w:highlight w:val="none"/>
        </w:rPr>
      </w:pPr>
      <w:r>
        <w:rPr>
          <w:rFonts w:hint="eastAsia"/>
        </w:rPr>
        <w:t>报价单（</w:t>
      </w:r>
      <w:r>
        <w:rPr>
          <w:rFonts w:hint="eastAsia"/>
          <w:b w:val="0"/>
          <w:bCs w:val="0"/>
          <w:sz w:val="24"/>
          <w:szCs w:val="24"/>
          <w:lang w:val="en-US" w:eastAsia="zh-CN"/>
        </w:rPr>
        <w:t>详见附后</w:t>
      </w:r>
      <w:r>
        <w:rPr>
          <w:rFonts w:hint="eastAsia"/>
          <w:sz w:val="24"/>
          <w:szCs w:val="24"/>
        </w:rPr>
        <w:t>格式</w:t>
      </w:r>
      <w:r>
        <w:rPr>
          <w:rFonts w:hint="eastAsia"/>
          <w:sz w:val="24"/>
          <w:szCs w:val="24"/>
          <w:lang w:val="en-US" w:eastAsia="zh-CN"/>
        </w:rPr>
        <w:t>2</w:t>
      </w:r>
      <w:r>
        <w:rPr>
          <w:rFonts w:hint="eastAsia"/>
        </w:rPr>
        <w:t>）</w:t>
      </w:r>
    </w:p>
    <w:p w14:paraId="0A288B6C">
      <w:pPr>
        <w:pStyle w:val="75"/>
        <w:numPr>
          <w:ilvl w:val="0"/>
          <w:numId w:val="15"/>
        </w:numPr>
        <w:ind w:left="425" w:leftChars="0" w:hanging="425" w:firstLineChars="0"/>
        <w:rPr>
          <w:b w:val="0"/>
          <w:bCs/>
          <w:highlight w:val="none"/>
        </w:rPr>
      </w:pPr>
      <w:r>
        <w:rPr>
          <w:rFonts w:hint="eastAsia"/>
        </w:rPr>
        <w:t>商务条款偏离表（</w:t>
      </w:r>
      <w:r>
        <w:rPr>
          <w:rFonts w:hint="eastAsia"/>
          <w:b w:val="0"/>
          <w:bCs w:val="0"/>
          <w:sz w:val="24"/>
          <w:szCs w:val="24"/>
          <w:lang w:val="en-US" w:eastAsia="zh-CN"/>
        </w:rPr>
        <w:t>详见附后格式3</w:t>
      </w:r>
      <w:r>
        <w:rPr>
          <w:rFonts w:hint="eastAsia"/>
        </w:rPr>
        <w:t>）</w:t>
      </w:r>
    </w:p>
    <w:p w14:paraId="53DECED4">
      <w:pPr>
        <w:pStyle w:val="75"/>
        <w:keepNext w:val="0"/>
        <w:keepLines w:val="0"/>
        <w:pageBreakBefore w:val="0"/>
        <w:widowControl w:val="0"/>
        <w:numPr>
          <w:ilvl w:val="0"/>
          <w:numId w:val="14"/>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商务报价注意内容：中</w:t>
      </w:r>
      <w:r>
        <w:rPr>
          <w:rFonts w:hint="eastAsia" w:cs="Times New Roman"/>
          <w:b w:val="0"/>
          <w:bCs/>
          <w:highlight w:val="none"/>
        </w:rPr>
        <w:t>标限价（招标控制价）：人民币</w:t>
      </w:r>
      <w:r>
        <w:rPr>
          <w:rFonts w:hint="eastAsia" w:cs="Times New Roman"/>
          <w:b w:val="0"/>
          <w:bCs/>
          <w:highlight w:val="yellow"/>
          <w:u w:val="single"/>
          <w:lang w:val="en-US" w:eastAsia="zh-CN"/>
        </w:rPr>
        <w:t xml:space="preserve">  2.4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w:t>
      </w:r>
      <w:r>
        <w:rPr>
          <w:rFonts w:hint="eastAsia" w:cs="Times New Roman"/>
          <w:b w:val="0"/>
          <w:bCs/>
          <w:highlight w:val="yellow"/>
        </w:rPr>
        <w:t>超过</w:t>
      </w:r>
      <w:r>
        <w:rPr>
          <w:rFonts w:hint="eastAsia" w:cs="Times New Roman"/>
          <w:b w:val="0"/>
          <w:bCs/>
          <w:highlight w:val="yellow"/>
          <w:lang w:val="en-US" w:eastAsia="zh-CN"/>
        </w:rPr>
        <w:t>中</w:t>
      </w:r>
      <w:r>
        <w:rPr>
          <w:rFonts w:hint="eastAsia" w:cs="Times New Roman"/>
          <w:b w:val="0"/>
          <w:bCs/>
          <w:highlight w:val="yellow"/>
        </w:rPr>
        <w:t>标限价无法</w:t>
      </w:r>
      <w:r>
        <w:rPr>
          <w:rFonts w:hint="eastAsia" w:cs="Times New Roman"/>
          <w:b w:val="0"/>
          <w:bCs/>
          <w:highlight w:val="yellow"/>
          <w:lang w:val="en-US" w:eastAsia="zh-CN"/>
        </w:rPr>
        <w:t>中</w:t>
      </w:r>
      <w:r>
        <w:rPr>
          <w:rFonts w:hint="eastAsia" w:cs="Times New Roman"/>
          <w:b w:val="0"/>
          <w:bCs/>
          <w:highlight w:val="yellow"/>
        </w:rPr>
        <w:t>标</w:t>
      </w:r>
      <w:r>
        <w:rPr>
          <w:rFonts w:hint="eastAsia" w:cs="Times New Roman"/>
          <w:b w:val="0"/>
          <w:bCs/>
          <w:highlight w:val="none"/>
        </w:rPr>
        <w:t>。</w:t>
      </w:r>
      <w:r>
        <w:rPr>
          <w:rFonts w:hint="eastAsia" w:cs="Times New Roman"/>
          <w:b w:val="0"/>
          <w:bCs/>
          <w:highlight w:val="none"/>
          <w:lang w:val="en-US" w:eastAsia="zh-CN"/>
        </w:rPr>
        <w:t xml:space="preserve"> </w:t>
      </w:r>
    </w:p>
    <w:p w14:paraId="0285E932">
      <w:pPr>
        <w:pStyle w:val="75"/>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sz w:val="21"/>
          <w:szCs w:val="21"/>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714C7AED">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325FDB0B">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42" w:leftChars="20" w:firstLine="52" w:firstLineChars="25"/>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6"/>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6"/>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cs="Times New Roman"/>
          <w:b w:val="0"/>
          <w:bCs/>
          <w:highlight w:val="yellow"/>
          <w:lang w:val="en-US" w:eastAsia="zh-CN"/>
        </w:rPr>
        <w:t>2026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4月22</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17点00分</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17"/>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18"/>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18"/>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交通银行山东省分行营业部</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r>
        <w:rPr>
          <w:rFonts w:hint="eastAsia" w:cs="Times New Roman"/>
          <w:b w:val="0"/>
          <w:bCs/>
          <w:highlight w:val="none"/>
          <w:lang w:val="en-US" w:eastAsia="zh-CN"/>
        </w:rPr>
        <w:br w:type="textWrapping"/>
      </w:r>
      <w:r>
        <w:rPr>
          <w:rFonts w:hint="eastAsia" w:cs="Times New Roman"/>
          <w:b/>
          <w:bCs w:val="0"/>
          <w:sz w:val="24"/>
          <w:szCs w:val="22"/>
          <w:highlight w:val="yellow"/>
          <w:lang w:val="en-US" w:eastAsia="zh-CN"/>
        </w:rPr>
        <w:t>注意：请将投标保证金回执函，放入投标文件的“资质证明文件”附件中，</w:t>
      </w:r>
      <w:r>
        <w:rPr>
          <w:rFonts w:hint="eastAsia" w:ascii="宋体" w:hAnsi="宋体" w:eastAsia="宋体" w:cs="宋体"/>
          <w:b/>
          <w:bCs w:val="0"/>
          <w:sz w:val="24"/>
          <w:szCs w:val="24"/>
          <w:highlight w:val="yellow"/>
        </w:rPr>
        <w:t>作为投标文件的一部分</w:t>
      </w:r>
      <w:r>
        <w:rPr>
          <w:rFonts w:hint="eastAsia" w:hAnsi="宋体" w:cs="宋体"/>
          <w:b/>
          <w:bCs w:val="0"/>
          <w:sz w:val="24"/>
          <w:szCs w:val="24"/>
          <w:highlight w:val="yellow"/>
          <w:lang w:val="en-US" w:eastAsia="zh-CN"/>
        </w:rPr>
        <w:t>上传至E采通系统。</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lang w:eastAsia="zh-CN"/>
        </w:rPr>
        <w:t>2026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4月22</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17点00分</w:t>
      </w:r>
      <w:r>
        <w:rPr>
          <w:rFonts w:hint="eastAsia" w:ascii="宋体" w:hAnsi="宋体" w:eastAsia="宋体" w:cs="宋体"/>
          <w:b w:val="0"/>
          <w:bCs w:val="0"/>
          <w:sz w:val="21"/>
          <w:szCs w:val="21"/>
          <w:highlight w:val="yellow"/>
        </w:rPr>
        <w:t>前</w:t>
      </w:r>
    </w:p>
    <w:p w14:paraId="4C2C93DA">
      <w:pPr>
        <w:pStyle w:val="72"/>
        <w:keepNext w:val="0"/>
        <w:keepLines w:val="0"/>
        <w:pageBreakBefore w:val="0"/>
        <w:widowControl w:val="0"/>
        <w:numPr>
          <w:ilvl w:val="0"/>
          <w:numId w:val="17"/>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17"/>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3"/>
    <w:p w14:paraId="368B6990">
      <w:pPr>
        <w:pStyle w:val="72"/>
      </w:pPr>
      <w:r>
        <w:rPr>
          <w:rFonts w:hint="eastAsia"/>
          <w:lang w:val="en-US" w:eastAsia="zh-CN"/>
        </w:rPr>
        <w:t>开评标</w:t>
      </w:r>
    </w:p>
    <w:p w14:paraId="3EF8D0F8">
      <w:pPr>
        <w:pStyle w:val="72"/>
        <w:keepNext w:val="0"/>
        <w:keepLines w:val="0"/>
        <w:pageBreakBefore w:val="0"/>
        <w:widowControl w:val="0"/>
        <w:numPr>
          <w:ilvl w:val="0"/>
          <w:numId w:val="19"/>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1B8A7286">
      <w:pPr>
        <w:pStyle w:val="75"/>
        <w:keepNext w:val="0"/>
        <w:keepLines w:val="0"/>
        <w:pageBreakBefore w:val="0"/>
        <w:widowControl w:val="0"/>
        <w:numPr>
          <w:ilvl w:val="0"/>
          <w:numId w:val="14"/>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sz w:val="24"/>
          <w:szCs w:val="24"/>
          <w:highlight w:val="none"/>
          <w:lang w:val="en-US" w:eastAsia="zh-CN"/>
        </w:rPr>
      </w:pPr>
      <w:r>
        <w:rPr>
          <w:rFonts w:hint="eastAsia" w:cs="Times New Roman"/>
          <w:b w:val="0"/>
          <w:bCs/>
          <w:highlight w:val="none"/>
        </w:rPr>
        <w:t>注意：投标人均需要自带笔记本电脑在重汽e采通进行自主投标和提交澄清函；投标和提交澄清函均有时间限制，超时未提交的按无效处理。</w:t>
      </w:r>
    </w:p>
    <w:p w14:paraId="0EF571DF">
      <w:pPr>
        <w:pStyle w:val="15"/>
        <w:spacing w:line="360" w:lineRule="auto"/>
        <w:jc w:val="center"/>
        <w:rPr>
          <w:rFonts w:hint="default" w:ascii="黑体" w:eastAsia="黑体"/>
          <w:b/>
          <w:bCs/>
          <w:sz w:val="28"/>
          <w:lang w:val="en-US" w:eastAsia="zh-CN"/>
        </w:rPr>
      </w:pPr>
      <w:r>
        <w:rPr>
          <w:rFonts w:hint="eastAsia" w:ascii="黑体" w:eastAsia="黑体"/>
          <w:b/>
          <w:bCs/>
          <w:sz w:val="28"/>
          <w:lang w:val="en-US" w:eastAsia="zh-CN"/>
        </w:rPr>
        <w:t>评分标准</w:t>
      </w:r>
    </w:p>
    <w:p w14:paraId="54F8CD39">
      <w:pPr>
        <w:rPr>
          <w:rFonts w:hint="eastAsia" w:ascii="宋体" w:hAnsi="宋体" w:eastAsia="宋体" w:cs="Times New Roman"/>
          <w:b/>
          <w:bCs/>
          <w:color w:val="FF0000"/>
          <w:szCs w:val="22"/>
          <w:highlight w:val="none"/>
          <w:lang w:val="en-US" w:eastAsia="zh-CN"/>
        </w:rPr>
      </w:pPr>
    </w:p>
    <w:p w14:paraId="09E4644F">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ascii="仿宋_GB2312" w:hAnsi="宋体" w:eastAsia="仿宋_GB2312" w:cs="仿宋_GB2312"/>
          <w:color w:val="FF0000"/>
          <w:kern w:val="0"/>
          <w:sz w:val="24"/>
          <w:szCs w:val="24"/>
          <w:lang w:val="en-US" w:eastAsia="zh-CN" w:bidi="ar"/>
        </w:rPr>
        <w:t>技术入围</w:t>
      </w:r>
      <w:r>
        <w:rPr>
          <w:rFonts w:hint="eastAsia" w:ascii="仿宋_GB2312" w:hAnsi="宋体" w:eastAsia="仿宋_GB2312" w:cs="仿宋_GB2312"/>
          <w:color w:val="FF0000"/>
          <w:kern w:val="0"/>
          <w:sz w:val="24"/>
          <w:szCs w:val="24"/>
          <w:lang w:val="en-US" w:eastAsia="zh-CN" w:bidi="ar"/>
        </w:rPr>
        <w:t>合理最低价中标方式。</w:t>
      </w:r>
    </w:p>
    <w:p w14:paraId="3BCDE8E5">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p w14:paraId="735D303A">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1.2技术标：</w:t>
      </w:r>
      <w:r>
        <w:rPr>
          <w:rFonts w:hint="eastAsia" w:ascii="宋体" w:hAnsi="宋体" w:eastAsia="宋体" w:cs="宋体"/>
          <w:color w:val="auto"/>
          <w:kern w:val="0"/>
          <w:sz w:val="22"/>
          <w:szCs w:val="22"/>
          <w:highlight w:val="none"/>
          <w:u w:val="single"/>
          <w:lang w:val="en-US" w:eastAsia="zh-CN" w:bidi="ar"/>
        </w:rPr>
        <w:t>在满足技术要求，技术标得分不小于</w:t>
      </w:r>
      <w:r>
        <w:rPr>
          <w:rFonts w:hint="eastAsia" w:ascii="宋体" w:hAnsi="宋体" w:cs="宋体"/>
          <w:color w:val="auto"/>
          <w:kern w:val="0"/>
          <w:sz w:val="22"/>
          <w:szCs w:val="22"/>
          <w:highlight w:val="none"/>
          <w:u w:val="single"/>
          <w:lang w:val="en-US" w:eastAsia="zh-CN" w:bidi="ar"/>
        </w:rPr>
        <w:t>7</w:t>
      </w:r>
      <w:r>
        <w:rPr>
          <w:rFonts w:hint="eastAsia" w:ascii="宋体" w:hAnsi="宋体" w:eastAsia="宋体" w:cs="宋体"/>
          <w:color w:val="auto"/>
          <w:kern w:val="0"/>
          <w:sz w:val="22"/>
          <w:szCs w:val="22"/>
          <w:highlight w:val="none"/>
          <w:u w:val="single"/>
          <w:lang w:val="en-US" w:eastAsia="zh-CN" w:bidi="ar"/>
        </w:rPr>
        <w:t>0分的前提下（含技术澄清），推荐进入商务标。</w:t>
      </w:r>
    </w:p>
    <w:p w14:paraId="3CA24381">
      <w:pPr>
        <w:pStyle w:val="15"/>
        <w:spacing w:line="360" w:lineRule="auto"/>
        <w:rPr>
          <w:rFonts w:ascii="Times New Roman" w:hAnsi="Times New Roman"/>
          <w:color w:val="000000"/>
          <w:sz w:val="24"/>
          <w:szCs w:val="24"/>
        </w:rPr>
      </w:pPr>
    </w:p>
    <w:p w14:paraId="098C04DB">
      <w:pPr>
        <w:pStyle w:val="15"/>
        <w:spacing w:line="240" w:lineRule="auto"/>
        <w:rPr>
          <w:rFonts w:hint="eastAsia" w:ascii="Times New Roman" w:hAnsi="Times New Roman"/>
          <w:color w:val="000000"/>
          <w:sz w:val="24"/>
          <w:szCs w:val="24"/>
        </w:rPr>
      </w:pPr>
    </w:p>
    <w:p w14:paraId="551E64EE">
      <w:pPr>
        <w:pStyle w:val="15"/>
        <w:spacing w:line="240" w:lineRule="auto"/>
        <w:rPr>
          <w:rFonts w:hint="default" w:ascii="Times New Roman" w:hAnsi="Times New Roman" w:eastAsia="宋体"/>
          <w:color w:val="000000"/>
          <w:sz w:val="24"/>
          <w:szCs w:val="24"/>
          <w:lang w:val="en-US" w:eastAsia="zh-CN"/>
        </w:rPr>
      </w:pPr>
      <w:r>
        <w:rPr>
          <w:rFonts w:hint="eastAsia" w:ascii="Times New Roman" w:hAnsi="Times New Roman"/>
          <w:color w:val="000000"/>
          <w:sz w:val="24"/>
          <w:szCs w:val="24"/>
          <w:lang w:val="en-US" w:eastAsia="zh-CN"/>
        </w:rPr>
        <w:t>技术评分标准：</w:t>
      </w:r>
    </w:p>
    <w:p w14:paraId="07C07205">
      <w:pPr>
        <w:pStyle w:val="15"/>
        <w:spacing w:line="240" w:lineRule="auto"/>
        <w:rPr>
          <w:rFonts w:hint="eastAsia" w:ascii="Times New Roman" w:hAnsi="Times New Roman"/>
          <w:color w:val="000000"/>
          <w:sz w:val="24"/>
          <w:szCs w:val="24"/>
        </w:rPr>
      </w:pPr>
      <w:r>
        <w:drawing>
          <wp:inline distT="0" distB="0" distL="114300" distR="114300">
            <wp:extent cx="5757545" cy="5383530"/>
            <wp:effectExtent l="0" t="0" r="14605"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stretch>
                      <a:fillRect/>
                    </a:stretch>
                  </pic:blipFill>
                  <pic:spPr>
                    <a:xfrm>
                      <a:off x="0" y="0"/>
                      <a:ext cx="5757545" cy="5383530"/>
                    </a:xfrm>
                    <a:prstGeom prst="rect">
                      <a:avLst/>
                    </a:prstGeom>
                    <a:noFill/>
                    <a:ln>
                      <a:noFill/>
                    </a:ln>
                  </pic:spPr>
                </pic:pic>
              </a:graphicData>
            </a:graphic>
          </wp:inline>
        </w:drawing>
      </w:r>
    </w:p>
    <w:p w14:paraId="68688CAA">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7"/>
      <w:bookmarkStart w:id="15" w:name="OLE_LINK25"/>
      <w:bookmarkStart w:id="16" w:name="OLE_LINK28"/>
      <w:bookmarkStart w:id="17" w:name="OLE_LINK29"/>
      <w:bookmarkStart w:id="18" w:name="OLE_LINK26"/>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宋体" w:eastAsia="宋体" w:cs="宋体"/>
          <w:sz w:val="24"/>
          <w:szCs w:val="24"/>
          <w:u w:val="single"/>
          <w:lang w:val="en-US" w:eastAsia="zh-CN"/>
        </w:rPr>
        <w:t>工装下线后</w:t>
      </w:r>
      <w:r>
        <w:rPr>
          <w:rFonts w:hint="eastAsia" w:ascii="宋体" w:hAnsi="宋体" w:cs="宋体"/>
          <w:sz w:val="24"/>
          <w:szCs w:val="24"/>
          <w:highlight w:val="yellow"/>
          <w:u w:val="single"/>
          <w:lang w:val="en-US" w:eastAsia="zh-CN"/>
        </w:rPr>
        <w:t>10</w:t>
      </w:r>
      <w:r>
        <w:rPr>
          <w:rFonts w:hint="eastAsia" w:ascii="宋体" w:hAnsi="宋体" w:eastAsia="宋体" w:cs="宋体"/>
          <w:sz w:val="24"/>
          <w:szCs w:val="24"/>
          <w:highlight w:val="yellow"/>
          <w:u w:val="single"/>
          <w:lang w:val="en-US" w:eastAsia="zh-CN"/>
        </w:rPr>
        <w:t>天</w:t>
      </w:r>
      <w:r>
        <w:rPr>
          <w:rFonts w:hint="eastAsia" w:ascii="宋体" w:hAnsi="宋体" w:cs="宋体"/>
          <w:sz w:val="24"/>
          <w:szCs w:val="24"/>
          <w:u w:val="single"/>
          <w:lang w:val="en-US" w:eastAsia="zh-CN"/>
        </w:rPr>
        <w:t>（根据产品及下线时间依次修改）</w:t>
      </w:r>
      <w:r>
        <w:rPr>
          <w:rFonts w:hint="eastAsia" w:ascii="宋体" w:hAnsi="宋体" w:eastAsia="宋体" w:cs="宋体"/>
          <w:sz w:val="24"/>
          <w:szCs w:val="24"/>
          <w:lang w:val="en-US" w:eastAsia="zh-CN"/>
        </w:rPr>
        <w:t>。</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7EFD0B17">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6C247E6E">
      <w:pPr>
        <w:spacing w:line="360" w:lineRule="auto"/>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付款方式：</w:t>
      </w:r>
    </w:p>
    <w:p w14:paraId="3C744A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p>
    <w:p w14:paraId="533823B1">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十、解释权</w:t>
      </w:r>
    </w:p>
    <w:p w14:paraId="7776EB6B">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4CD6F6FF">
      <w:pPr>
        <w:spacing w:line="360" w:lineRule="auto"/>
        <w:rPr>
          <w:rFonts w:hint="default" w:ascii="宋体" w:hAnsi="宋体" w:eastAsia="宋体" w:cs="宋体"/>
          <w:color w:val="auto"/>
          <w:sz w:val="24"/>
          <w:szCs w:val="24"/>
          <w:lang w:val="en-US" w:eastAsia="zh-CN"/>
        </w:rPr>
      </w:pPr>
    </w:p>
    <w:p w14:paraId="0ED4C18D">
      <w:pPr>
        <w:pStyle w:val="15"/>
        <w:rPr>
          <w:rFonts w:hint="eastAsia" w:ascii="仿宋" w:hAnsi="仿宋" w:eastAsia="仿宋" w:cs="仿宋"/>
        </w:rPr>
      </w:pPr>
    </w:p>
    <w:p w14:paraId="7AAEB049">
      <w:pPr>
        <w:pStyle w:val="15"/>
        <w:rPr>
          <w:rFonts w:hint="eastAsia" w:ascii="仿宋" w:hAnsi="仿宋" w:eastAsia="仿宋" w:cs="仿宋"/>
        </w:rPr>
      </w:pPr>
    </w:p>
    <w:p w14:paraId="1691FC00">
      <w:pPr>
        <w:pStyle w:val="15"/>
        <w:rPr>
          <w:rFonts w:hint="eastAsia" w:ascii="仿宋" w:hAnsi="仿宋" w:eastAsia="仿宋" w:cs="仿宋"/>
        </w:rPr>
      </w:pPr>
    </w:p>
    <w:p w14:paraId="740D84A3">
      <w:pPr>
        <w:pStyle w:val="15"/>
        <w:spacing w:line="440" w:lineRule="exact"/>
        <w:jc w:val="both"/>
        <w:rPr>
          <w:rFonts w:hint="eastAsia" w:ascii="Times New Roman" w:hAnsi="Times New Roman"/>
          <w:color w:val="000000"/>
          <w:sz w:val="44"/>
          <w:szCs w:val="44"/>
          <w:lang w:val="en-US" w:eastAsia="zh-CN"/>
        </w:rPr>
      </w:pPr>
    </w:p>
    <w:p w14:paraId="06453D54">
      <w:pPr>
        <w:pStyle w:val="15"/>
        <w:spacing w:line="440" w:lineRule="exact"/>
        <w:jc w:val="both"/>
        <w:rPr>
          <w:rFonts w:hint="eastAsia" w:ascii="Times New Roman" w:hAnsi="Times New Roman"/>
          <w:color w:val="000000"/>
          <w:sz w:val="44"/>
          <w:szCs w:val="44"/>
          <w:lang w:val="en-US" w:eastAsia="zh-CN"/>
        </w:rPr>
      </w:pPr>
    </w:p>
    <w:p w14:paraId="065596DF">
      <w:pPr>
        <w:pStyle w:val="15"/>
        <w:spacing w:line="440" w:lineRule="exact"/>
        <w:ind w:firstLine="3960" w:firstLineChars="900"/>
        <w:jc w:val="both"/>
        <w:rPr>
          <w:rFonts w:hint="eastAsia" w:ascii="Times New Roman" w:hAnsi="Times New Roman"/>
          <w:color w:val="000000"/>
          <w:sz w:val="44"/>
          <w:szCs w:val="44"/>
          <w:lang w:val="en-US" w:eastAsia="zh-CN"/>
        </w:rPr>
      </w:pPr>
    </w:p>
    <w:p w14:paraId="3D5342C9">
      <w:pPr>
        <w:pStyle w:val="15"/>
        <w:spacing w:line="440" w:lineRule="exact"/>
        <w:ind w:firstLine="3960" w:firstLineChars="900"/>
        <w:jc w:val="both"/>
        <w:rPr>
          <w:rFonts w:hint="eastAsia" w:ascii="Times New Roman" w:hAnsi="Times New Roman"/>
          <w:color w:val="000000"/>
          <w:sz w:val="44"/>
          <w:szCs w:val="44"/>
          <w:lang w:val="en-US" w:eastAsia="zh-CN"/>
        </w:rPr>
      </w:pPr>
      <w:r>
        <w:rPr>
          <w:rFonts w:hint="eastAsia" w:ascii="Times New Roman" w:hAnsi="Times New Roman"/>
          <w:color w:val="000000"/>
          <w:sz w:val="44"/>
          <w:szCs w:val="44"/>
          <w:lang w:val="en-US" w:eastAsia="zh-CN"/>
        </w:rPr>
        <w:t>技术标文件</w:t>
      </w:r>
    </w:p>
    <w:p w14:paraId="111CA7B8">
      <w:pPr>
        <w:pStyle w:val="15"/>
        <w:spacing w:line="440" w:lineRule="exact"/>
        <w:ind w:firstLine="480" w:firstLineChars="200"/>
        <w:rPr>
          <w:rFonts w:hint="eastAsia" w:ascii="Times New Roman" w:hAnsi="Times New Roman"/>
          <w:color w:val="000000"/>
          <w:sz w:val="24"/>
          <w:szCs w:val="24"/>
        </w:rPr>
      </w:pPr>
    </w:p>
    <w:p w14:paraId="2178579C">
      <w:pPr>
        <w:spacing w:line="360" w:lineRule="auto"/>
        <w:ind w:firstLine="562" w:firstLineChars="200"/>
        <w:rPr>
          <w:rFonts w:hint="default" w:ascii="黑体" w:hAnsi="Courier New" w:eastAsia="宋体"/>
          <w:b/>
          <w:bCs/>
          <w:sz w:val="28"/>
          <w:szCs w:val="28"/>
          <w:lang w:val="en-US" w:eastAsia="zh-CN"/>
        </w:rPr>
      </w:pPr>
      <w:r>
        <w:rPr>
          <w:rFonts w:hint="eastAsia"/>
          <w:b/>
          <w:bCs/>
          <w:sz w:val="28"/>
          <w:szCs w:val="28"/>
        </w:rPr>
        <w:t>一、项目名称</w:t>
      </w:r>
      <w:r>
        <w:rPr>
          <w:rFonts w:hint="eastAsia"/>
          <w:b/>
          <w:bCs/>
          <w:sz w:val="28"/>
          <w:szCs w:val="28"/>
          <w:lang w:val="en-US" w:eastAsia="zh-CN"/>
        </w:rPr>
        <w:t>编号及发标方</w:t>
      </w:r>
    </w:p>
    <w:p w14:paraId="7CE7F0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highlight w:val="yellow"/>
          <w:lang w:eastAsia="zh-CN"/>
        </w:rPr>
      </w:pPr>
      <w:r>
        <w:rPr>
          <w:rFonts w:hint="eastAsia"/>
          <w:color w:val="000000"/>
          <w:sz w:val="24"/>
          <w:szCs w:val="24"/>
        </w:rPr>
        <w:t>项目名称：</w:t>
      </w:r>
      <w:r>
        <w:rPr>
          <w:rFonts w:hint="eastAsia"/>
          <w:color w:val="000000"/>
          <w:sz w:val="24"/>
          <w:szCs w:val="24"/>
          <w:highlight w:val="yellow"/>
          <w:lang w:eastAsia="zh-CN"/>
        </w:rPr>
        <w:t>济南成型厂0029缸盖及0239桥壳工装修改项目</w:t>
      </w:r>
    </w:p>
    <w:p w14:paraId="476A7E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000000"/>
          <w:sz w:val="24"/>
          <w:szCs w:val="24"/>
          <w:lang w:eastAsia="zh-CN"/>
        </w:rPr>
      </w:pPr>
      <w:r>
        <w:rPr>
          <w:rFonts w:hint="eastAsia"/>
          <w:color w:val="000000"/>
          <w:sz w:val="24"/>
          <w:szCs w:val="24"/>
          <w:lang w:val="en-US" w:eastAsia="zh-CN"/>
        </w:rPr>
        <w:t>发标方：</w:t>
      </w:r>
      <w:r>
        <w:rPr>
          <w:rFonts w:hint="eastAsia" w:ascii="宋体" w:hAnsi="宋体"/>
          <w:color w:val="000000"/>
          <w:sz w:val="24"/>
          <w:szCs w:val="24"/>
          <w:lang w:eastAsia="zh-CN"/>
        </w:rPr>
        <w:t>中国重汽集团济南动力有限公司（成型厂）</w:t>
      </w:r>
    </w:p>
    <w:p w14:paraId="1B0318EC">
      <w:pPr>
        <w:numPr>
          <w:ilvl w:val="0"/>
          <w:numId w:val="23"/>
        </w:numPr>
        <w:ind w:firstLine="562" w:firstLineChars="200"/>
        <w:rPr>
          <w:rFonts w:hint="eastAsia"/>
          <w:b/>
          <w:bCs/>
          <w:sz w:val="28"/>
          <w:szCs w:val="28"/>
        </w:rPr>
      </w:pPr>
      <w:r>
        <w:rPr>
          <w:rFonts w:hint="eastAsia"/>
          <w:b/>
          <w:bCs/>
          <w:sz w:val="28"/>
          <w:szCs w:val="28"/>
        </w:rPr>
        <w:t>招标内容</w:t>
      </w:r>
      <w:r>
        <w:rPr>
          <w:rFonts w:hint="eastAsia"/>
          <w:b/>
          <w:bCs/>
          <w:sz w:val="28"/>
          <w:szCs w:val="28"/>
          <w:lang w:val="en-US" w:eastAsia="zh-CN"/>
        </w:rPr>
        <w:t>及</w:t>
      </w:r>
      <w:r>
        <w:rPr>
          <w:rFonts w:hint="eastAsia"/>
          <w:b/>
          <w:bCs/>
          <w:sz w:val="28"/>
          <w:szCs w:val="28"/>
        </w:rPr>
        <w:t>形式</w:t>
      </w:r>
    </w:p>
    <w:p w14:paraId="485DB654">
      <w:pPr>
        <w:numPr>
          <w:ilvl w:val="0"/>
          <w:numId w:val="24"/>
        </w:numPr>
        <w:spacing w:line="360" w:lineRule="auto"/>
        <w:ind w:left="560" w:leftChars="0" w:firstLine="0" w:firstLineChars="0"/>
        <w:rPr>
          <w:rFonts w:hint="eastAsia" w:eastAsia="宋体"/>
          <w:b w:val="0"/>
          <w:bCs/>
          <w:lang w:eastAsia="zh-CN"/>
        </w:rPr>
      </w:pPr>
      <w:r>
        <w:rPr>
          <w:rFonts w:hint="eastAsia"/>
          <w:b w:val="0"/>
          <w:bCs w:val="0"/>
          <w:sz w:val="24"/>
          <w:szCs w:val="24"/>
          <w:lang w:val="en-US" w:eastAsia="zh-CN"/>
        </w:rPr>
        <w:t>招标内容详见招标公告。</w:t>
      </w:r>
    </w:p>
    <w:p w14:paraId="0AD69F65">
      <w:pPr>
        <w:pStyle w:val="15"/>
        <w:numPr>
          <w:ilvl w:val="0"/>
          <w:numId w:val="0"/>
        </w:numPr>
        <w:spacing w:line="360" w:lineRule="auto"/>
        <w:ind w:firstLine="480" w:firstLineChars="200"/>
        <w:rPr>
          <w:rFonts w:hint="eastAsia"/>
          <w:b/>
          <w:bCs/>
          <w:sz w:val="24"/>
          <w:szCs w:val="24"/>
        </w:rPr>
      </w:pPr>
      <w:r>
        <w:rPr>
          <w:rFonts w:hint="eastAsia"/>
          <w:color w:val="000000"/>
          <w:sz w:val="24"/>
          <w:szCs w:val="24"/>
          <w:lang w:val="en-US" w:eastAsia="zh-CN"/>
        </w:rPr>
        <w:t>2、</w:t>
      </w:r>
      <w:r>
        <w:rPr>
          <w:rFonts w:hint="eastAsia"/>
          <w:color w:val="000000"/>
          <w:sz w:val="24"/>
          <w:szCs w:val="24"/>
        </w:rPr>
        <w:t>招标形式：</w:t>
      </w:r>
      <w:r>
        <w:rPr>
          <w:rFonts w:hint="eastAsia"/>
          <w:color w:val="000000"/>
          <w:sz w:val="24"/>
          <w:szCs w:val="24"/>
          <w:lang w:val="en-US" w:eastAsia="zh-CN"/>
        </w:rPr>
        <w:t>公开招标</w:t>
      </w:r>
    </w:p>
    <w:p w14:paraId="3A9EAE08">
      <w:pPr>
        <w:pStyle w:val="15"/>
        <w:spacing w:line="360" w:lineRule="auto"/>
        <w:ind w:firstLine="562" w:firstLineChars="200"/>
        <w:rPr>
          <w:rFonts w:hint="eastAsia"/>
          <w:b/>
          <w:bCs/>
          <w:color w:val="000000"/>
          <w:sz w:val="28"/>
          <w:szCs w:val="28"/>
        </w:rPr>
      </w:pPr>
      <w:r>
        <w:rPr>
          <w:rFonts w:hint="eastAsia"/>
          <w:b/>
          <w:bCs/>
          <w:sz w:val="28"/>
          <w:szCs w:val="28"/>
        </w:rPr>
        <w:t>三、交货及付款</w:t>
      </w:r>
    </w:p>
    <w:p w14:paraId="343C70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宋体" w:eastAsia="宋体" w:cs="宋体"/>
          <w:sz w:val="24"/>
          <w:szCs w:val="24"/>
          <w:highlight w:val="yellow"/>
          <w:u w:val="single"/>
          <w:lang w:val="en-US" w:eastAsia="zh-CN"/>
        </w:rPr>
        <w:t>工装下线后</w:t>
      </w:r>
      <w:r>
        <w:rPr>
          <w:rFonts w:hint="eastAsia" w:ascii="宋体" w:hAnsi="宋体" w:cs="宋体"/>
          <w:sz w:val="24"/>
          <w:szCs w:val="24"/>
          <w:highlight w:val="yellow"/>
          <w:u w:val="single"/>
          <w:lang w:val="en-US" w:eastAsia="zh-CN"/>
        </w:rPr>
        <w:t>10</w:t>
      </w:r>
      <w:r>
        <w:rPr>
          <w:rFonts w:hint="eastAsia" w:ascii="宋体" w:hAnsi="宋体" w:eastAsia="宋体" w:cs="宋体"/>
          <w:sz w:val="24"/>
          <w:szCs w:val="24"/>
          <w:highlight w:val="yellow"/>
          <w:u w:val="single"/>
          <w:lang w:val="en-US" w:eastAsia="zh-CN"/>
        </w:rPr>
        <w:t>天</w:t>
      </w:r>
      <w:r>
        <w:rPr>
          <w:rFonts w:hint="eastAsia" w:ascii="宋体" w:hAnsi="宋体" w:eastAsia="宋体" w:cs="宋体"/>
          <w:sz w:val="24"/>
          <w:szCs w:val="24"/>
          <w:lang w:val="en-US" w:eastAsia="zh-CN"/>
        </w:rPr>
        <w:t>。</w:t>
      </w:r>
    </w:p>
    <w:p w14:paraId="49539500">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8458C8A">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48C2A604">
      <w:pPr>
        <w:pStyle w:val="15"/>
        <w:spacing w:line="360" w:lineRule="auto"/>
        <w:ind w:firstLine="480" w:firstLineChars="200"/>
        <w:rPr>
          <w:rFonts w:hint="eastAsia"/>
          <w:color w:val="000000"/>
          <w:sz w:val="24"/>
          <w:szCs w:val="24"/>
        </w:rPr>
      </w:pPr>
      <w:r>
        <w:rPr>
          <w:rFonts w:hint="eastAsia"/>
          <w:color w:val="000000"/>
          <w:sz w:val="24"/>
          <w:szCs w:val="24"/>
        </w:rPr>
        <w:t>4、货款及支付方式：</w:t>
      </w:r>
    </w:p>
    <w:p w14:paraId="3F9DB036">
      <w:pPr>
        <w:spacing w:line="360" w:lineRule="auto"/>
        <w:ind w:firstLine="480" w:firstLineChars="200"/>
        <w:rPr>
          <w:rFonts w:hint="default" w:ascii="宋体" w:hAnsi="宋体" w:eastAsia="宋体"/>
          <w:szCs w:val="21"/>
          <w:lang w:val="en-US" w:eastAsia="zh-CN"/>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r>
        <w:rPr>
          <w:rFonts w:hint="eastAsia"/>
          <w:color w:val="000000"/>
          <w:sz w:val="24"/>
          <w:szCs w:val="24"/>
          <w:lang w:eastAsia="zh-CN"/>
        </w:rPr>
        <w:t>。</w:t>
      </w:r>
    </w:p>
    <w:p w14:paraId="43DFE0C6">
      <w:pPr>
        <w:spacing w:line="360" w:lineRule="auto"/>
        <w:ind w:firstLine="420"/>
        <w:rPr>
          <w:rFonts w:hint="eastAsia" w:hAnsi="宋体"/>
          <w:sz w:val="24"/>
          <w:szCs w:val="24"/>
          <w:lang w:val="en-US" w:eastAsia="zh-CN"/>
        </w:rPr>
      </w:pPr>
      <w:r>
        <w:rPr>
          <w:rFonts w:hint="eastAsia" w:hAnsi="宋体"/>
          <w:sz w:val="24"/>
          <w:szCs w:val="24"/>
          <w:lang w:val="en-US" w:eastAsia="zh-CN"/>
        </w:rPr>
        <w:t>5、</w:t>
      </w:r>
      <w:r>
        <w:rPr>
          <w:rFonts w:hint="eastAsia" w:hAnsi="宋体"/>
          <w:sz w:val="24"/>
          <w:szCs w:val="24"/>
        </w:rPr>
        <w:t>产品的质量保证期：产品检验合格后12个月</w:t>
      </w:r>
      <w:r>
        <w:rPr>
          <w:rFonts w:hint="eastAsia" w:ascii="宋体" w:hAnsi="宋体" w:eastAsia="宋体" w:cs="宋体"/>
          <w:b w:val="0"/>
          <w:bCs w:val="0"/>
          <w:color w:val="auto"/>
          <w:sz w:val="24"/>
          <w:szCs w:val="24"/>
          <w:u w:val="none"/>
          <w:lang w:val="en-US" w:eastAsia="zh-CN"/>
        </w:rPr>
        <w:t>或达到技术协议</w:t>
      </w:r>
      <w:r>
        <w:rPr>
          <w:rFonts w:hint="eastAsia" w:ascii="宋体" w:hAnsi="宋体" w:cs="宋体"/>
          <w:b w:val="0"/>
          <w:bCs w:val="0"/>
          <w:color w:val="auto"/>
          <w:sz w:val="24"/>
          <w:szCs w:val="24"/>
          <w:u w:val="none"/>
          <w:lang w:val="en-US" w:eastAsia="zh-CN"/>
        </w:rPr>
        <w:t>中</w:t>
      </w:r>
      <w:r>
        <w:rPr>
          <w:rFonts w:hint="eastAsia" w:ascii="宋体" w:hAnsi="宋体" w:eastAsia="宋体" w:cs="宋体"/>
          <w:b w:val="0"/>
          <w:bCs w:val="0"/>
          <w:color w:val="auto"/>
          <w:sz w:val="24"/>
          <w:szCs w:val="24"/>
          <w:u w:val="none"/>
          <w:lang w:val="en-US" w:eastAsia="zh-CN"/>
        </w:rPr>
        <w:t>要求</w:t>
      </w:r>
      <w:r>
        <w:rPr>
          <w:rFonts w:hint="eastAsia" w:ascii="宋体" w:hAnsi="宋体" w:cs="宋体"/>
          <w:b w:val="0"/>
          <w:bCs w:val="0"/>
          <w:color w:val="auto"/>
          <w:sz w:val="24"/>
          <w:szCs w:val="24"/>
          <w:u w:val="none"/>
          <w:lang w:val="en-US" w:eastAsia="zh-CN"/>
        </w:rPr>
        <w:t>的</w:t>
      </w:r>
      <w:r>
        <w:rPr>
          <w:rFonts w:hint="eastAsia" w:ascii="宋体" w:hAnsi="宋体" w:eastAsia="宋体" w:cs="宋体"/>
          <w:b w:val="0"/>
          <w:bCs w:val="0"/>
          <w:color w:val="auto"/>
          <w:sz w:val="24"/>
          <w:szCs w:val="24"/>
          <w:u w:val="none"/>
          <w:lang w:val="en-US" w:eastAsia="zh-CN"/>
        </w:rPr>
        <w:t>使用</w:t>
      </w:r>
      <w:r>
        <w:rPr>
          <w:rFonts w:hint="eastAsia" w:ascii="宋体" w:hAnsi="宋体" w:cs="宋体"/>
          <w:b w:val="0"/>
          <w:bCs w:val="0"/>
          <w:color w:val="auto"/>
          <w:sz w:val="24"/>
          <w:szCs w:val="24"/>
          <w:u w:val="none"/>
          <w:lang w:val="en-US" w:eastAsia="zh-CN"/>
        </w:rPr>
        <w:t>频次</w:t>
      </w:r>
      <w:r>
        <w:rPr>
          <w:rFonts w:hint="eastAsia" w:ascii="宋体" w:hAnsi="宋体" w:eastAsia="宋体" w:cs="宋体"/>
          <w:b w:val="0"/>
          <w:bCs w:val="0"/>
          <w:color w:val="auto"/>
          <w:sz w:val="24"/>
          <w:szCs w:val="24"/>
          <w:highlight w:val="none"/>
          <w:u w:val="none"/>
          <w:lang w:val="en-US" w:eastAsia="zh-CN"/>
        </w:rPr>
        <w:t>，</w:t>
      </w:r>
      <w:r>
        <w:rPr>
          <w:rFonts w:hint="eastAsia" w:ascii="宋体" w:hAnsi="宋体" w:cs="宋体"/>
          <w:b w:val="0"/>
          <w:bCs w:val="0"/>
          <w:color w:val="auto"/>
          <w:sz w:val="24"/>
          <w:szCs w:val="24"/>
          <w:highlight w:val="none"/>
          <w:u w:val="none"/>
          <w:lang w:val="en-US" w:eastAsia="zh-CN"/>
        </w:rPr>
        <w:t>以先到者为准。</w:t>
      </w:r>
    </w:p>
    <w:p w14:paraId="193B63CE">
      <w:pPr>
        <w:pStyle w:val="111"/>
        <w:spacing w:line="360" w:lineRule="auto"/>
        <w:ind w:firstLine="482" w:firstLineChars="200"/>
        <w:rPr>
          <w:b/>
          <w:bCs/>
        </w:rPr>
      </w:pPr>
      <w:r>
        <w:rPr>
          <w:rFonts w:hint="eastAsia"/>
          <w:b/>
          <w:bCs/>
          <w:lang w:val="en-US" w:eastAsia="zh-CN"/>
        </w:rPr>
        <w:t>四</w:t>
      </w:r>
      <w:r>
        <w:rPr>
          <w:rFonts w:hint="eastAsia"/>
          <w:b/>
          <w:bCs/>
        </w:rPr>
        <w:t>、</w:t>
      </w:r>
      <w:r>
        <w:rPr>
          <w:rFonts w:hint="eastAsia"/>
          <w:b/>
          <w:bCs/>
          <w:lang w:val="en-US" w:eastAsia="zh-CN"/>
        </w:rPr>
        <w:t>技术标</w:t>
      </w:r>
    </w:p>
    <w:p w14:paraId="6F4A5563">
      <w:pPr>
        <w:spacing w:line="360" w:lineRule="auto"/>
        <w:ind w:firstLine="480" w:firstLineChars="200"/>
        <w:rPr>
          <w:rFonts w:hint="eastAsia" w:ascii="宋体" w:hAnsi="宋体" w:eastAsia="宋体" w:cs="宋体"/>
          <w:sz w:val="24"/>
          <w:highlight w:val="none"/>
          <w:lang w:eastAsia="zh-CN"/>
        </w:rPr>
      </w:pPr>
      <w:r>
        <w:rPr>
          <w:rFonts w:hint="default" w:ascii="Calibri" w:hAnsi="Calibri" w:eastAsia="宋体" w:cs="Calibri"/>
          <w:sz w:val="24"/>
          <w:highlight w:val="none"/>
          <w:lang w:eastAsia="zh-CN"/>
        </w:rPr>
        <w:t>①</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工装修改修复</w:t>
      </w:r>
      <w:r>
        <w:rPr>
          <w:rFonts w:hint="eastAsia" w:ascii="宋体" w:hAnsi="宋体" w:eastAsia="宋体" w:cs="宋体"/>
          <w:sz w:val="24"/>
          <w:highlight w:val="none"/>
          <w:lang w:eastAsia="zh-CN"/>
        </w:rPr>
        <w:t>技术要求</w:t>
      </w:r>
    </w:p>
    <w:p w14:paraId="7B2D1CE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1.1模具设计优先按相关的国家标准选用标准零件；</w:t>
      </w:r>
    </w:p>
    <w:p w14:paraId="56B9D796">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1.2工装修改内容</w:t>
      </w:r>
    </w:p>
    <w:p w14:paraId="78F7FB2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卖方根据买方提供的修改联系单或者修改说明要求进行修改，以提供的</w:t>
      </w:r>
    </w:p>
    <w:p w14:paraId="6A8DB2C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三维数据为准。</w:t>
      </w:r>
    </w:p>
    <w:p w14:paraId="5B4BD6AD">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1.</w:t>
      </w:r>
      <w:r>
        <w:rPr>
          <w:rFonts w:hint="eastAsia" w:ascii="宋体" w:hAnsi="宋体" w:eastAsia="宋体" w:cs="宋体"/>
          <w:sz w:val="24"/>
          <w:highlight w:val="none"/>
          <w:lang w:val="en-US" w:eastAsia="zh-CN"/>
        </w:rPr>
        <w:t>3芯盒修改的技术要求</w:t>
      </w:r>
    </w:p>
    <w:p w14:paraId="6F5F4C29">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1.3.1缸体、缸盖芯盒的修改：芯盒模块本体材料选用3Cr2Mo(P20)或者4Cr5MoSiVl(H13)优质模具钢（修改说明明确材质），精加工前进行热处理，表面硬度P20材质硬度≥35HRC，H13材质硬度：≥38HRC，射砂板、吹气板材质选用QT500-7材质，顶芯杆、射砂杆、射砂嘴等选用45钢，热处理硬度 30-35HRC，复位杆、导向杆、定位销（块）套选用T10A，热处理硬度50-55HRC。</w:t>
      </w:r>
    </w:p>
    <w:p w14:paraId="4DAC731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1.3.2桥壳、支架芯盒的修改：芯盒模块本体材料</w:t>
      </w:r>
      <w:bookmarkStart w:id="26" w:name="_GoBack"/>
      <w:bookmarkEnd w:id="26"/>
      <w:r>
        <w:rPr>
          <w:rFonts w:hint="eastAsia" w:ascii="宋体" w:hAnsi="宋体" w:eastAsia="宋体" w:cs="宋体"/>
          <w:sz w:val="24"/>
          <w:highlight w:val="none"/>
          <w:lang w:val="en-US" w:eastAsia="zh-CN"/>
        </w:rPr>
        <w:t>选用HT250材质，射砂板、吹气板、顶板压板等材质选用45或者Q235A；顶芯杆、射砂杆、射砂嘴等选用45钢，热处理硬度 30-35HRC，复位杆、导向杆、定位销（块）套选用T10A，热处理硬度50-55HRC。</w:t>
      </w:r>
    </w:p>
    <w:p w14:paraId="57716C80">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1.3.3当制芯设备为MLA40A制芯机时：MLA40A制芯机射砂板和吹气板选用锻铝LD6，并配带射砂圈支撑柱。</w:t>
      </w:r>
    </w:p>
    <w:p w14:paraId="7BC023CB">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1.3.4模块材料应采用电弧炉或其他特种冶金设备冶炼，并尽量采用炉外精炼钢。模块表面应光洁，不得有影响模具性能的缺陷，不允许有白点、裂纹、缩孔等缺陷。</w:t>
      </w:r>
    </w:p>
    <w:p w14:paraId="0CCAEB14">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1.3.5缸体、缸盖排气塞选用高度7mm的钢排，桥壳、支架等其余产品选用高度7mm的铜排，网格间隙：0.3±0.05mm，安装时高出芯盒表面0.05-0.1mm，局部位置根据工艺需要设计排气镶块结构，排气镶块网格间隙0.3±0.05mm，装配间隙：≤0.05mm。背面做镂空设计，排气位置壁厚4-6mm。</w:t>
      </w:r>
    </w:p>
    <w:p w14:paraId="06E37533">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1.3.6修改结构根据修改内容可以选择焊补工艺或者镶块结构，投标时备注修改工艺方法。</w:t>
      </w:r>
    </w:p>
    <w:p w14:paraId="37A9AE88">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1.3.7芯盒成型面加工偏差±0.10mm，表面粗糙度：Ra1.6,上下型板加工偏差：±0.12mm，表面粗糙度：Ra1.6，芯盒分盒面采用研配工艺，保证精度≤0.05mm。</w:t>
      </w:r>
    </w:p>
    <w:p w14:paraId="36E7FB83">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1.3.8工装修改位置寿命：射砂嘴下方易磨损位置使用寿命不得低于3万次，其余正常位置不低于20万次，在使用寿命周期内，出现因卖方原因导致工装损坏、异常磨损、无法正常使用等影响使用寿命情形的，将按照济南成型厂《质量索赔追偿管理流程》索赔。</w:t>
      </w:r>
    </w:p>
    <w:p w14:paraId="7B0E696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1.3.9芯盒用橡胶密封件优先选用济南成型厂已有的型号和规格，密封条选用中空结构，工装交付时需提供一定数量的备件，以备调试时更换。</w:t>
      </w:r>
    </w:p>
    <w:p w14:paraId="6BF7181A">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1.3.10</w:t>
      </w:r>
      <w:r>
        <w:rPr>
          <w:rFonts w:hint="eastAsia" w:ascii="宋体" w:hAnsi="宋体" w:eastAsia="宋体" w:cs="宋体"/>
          <w:sz w:val="24"/>
          <w:highlight w:val="none"/>
          <w:lang w:eastAsia="zh-CN"/>
        </w:rPr>
        <w:t>铭牌标识、产品图号、生产日期、班次标识等信息按照</w:t>
      </w:r>
      <w:r>
        <w:rPr>
          <w:rFonts w:hint="eastAsia" w:ascii="宋体" w:hAnsi="宋体" w:eastAsia="宋体" w:cs="宋体"/>
          <w:sz w:val="24"/>
          <w:highlight w:val="none"/>
          <w:lang w:val="en-US" w:eastAsia="zh-CN"/>
        </w:rPr>
        <w:t>买</w:t>
      </w:r>
      <w:r>
        <w:rPr>
          <w:rFonts w:hint="eastAsia" w:ascii="宋体" w:hAnsi="宋体" w:eastAsia="宋体" w:cs="宋体"/>
          <w:sz w:val="24"/>
          <w:highlight w:val="none"/>
          <w:lang w:eastAsia="zh-CN"/>
        </w:rPr>
        <w:t>方提供的要求进行设计、制作；标识中的字体为宋体，字体大小按照买方提供的要求设计、制作，字号字槽按照字体大小对应制作</w:t>
      </w:r>
      <w:r>
        <w:rPr>
          <w:rFonts w:hint="eastAsia" w:ascii="宋体" w:hAnsi="宋体" w:eastAsia="宋体" w:cs="宋体"/>
          <w:sz w:val="24"/>
          <w:highlight w:val="none"/>
          <w:lang w:val="en-US" w:eastAsia="zh-CN"/>
        </w:rPr>
        <w:t>。</w:t>
      </w:r>
    </w:p>
    <w:p w14:paraId="5805294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lang w:eastAsia="zh-CN"/>
        </w:rPr>
        <w:t>型板修改的技术要求</w:t>
      </w:r>
    </w:p>
    <w:p w14:paraId="69199E2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1.4.1</w:t>
      </w:r>
      <w:r>
        <w:rPr>
          <w:rFonts w:hint="eastAsia" w:ascii="宋体" w:hAnsi="宋体" w:eastAsia="宋体" w:cs="宋体"/>
          <w:sz w:val="24"/>
          <w:highlight w:val="none"/>
          <w:lang w:eastAsia="zh-CN"/>
        </w:rPr>
        <w:t>缸体、缸盖模样材料优先选用4Cr5MoSiVl(H13)优质模具钢或者3Cr2Mo(P20)优质模具钢，表面硬度</w:t>
      </w:r>
      <w:r>
        <w:rPr>
          <w:rFonts w:hint="eastAsia" w:ascii="宋体" w:hAnsi="宋体" w:eastAsia="宋体" w:cs="宋体"/>
          <w:sz w:val="24"/>
          <w:highlight w:val="none"/>
          <w:lang w:val="en-US" w:eastAsia="zh-CN"/>
        </w:rPr>
        <w:t>35-40HRC；上下模底板材质选用QT500-7；</w:t>
      </w:r>
    </w:p>
    <w:p w14:paraId="254F262C">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1.4.2桥壳、支架等其余产品模样材质选用HT250材质，表面硬度达到170-220HB，上下模底板材质选用QT500-7；</w:t>
      </w:r>
    </w:p>
    <w:p w14:paraId="79F6A645">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1.4.3其他配件：气针选用65Mn材质，热处理硬度28-32HRC，装配结构为型板背面紧固方式。定位销/套选用T10A材质。</w:t>
      </w:r>
    </w:p>
    <w:p w14:paraId="1C3901DA">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型板（含模样）平面度＜0.2mm。</w:t>
      </w:r>
    </w:p>
    <w:p w14:paraId="76B95C3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铭牌标识、产品图号、生产日期、班次标识等信息按照</w:t>
      </w:r>
      <w:r>
        <w:rPr>
          <w:rFonts w:hint="eastAsia" w:ascii="宋体" w:hAnsi="宋体" w:eastAsia="宋体" w:cs="宋体"/>
          <w:sz w:val="24"/>
          <w:highlight w:val="none"/>
          <w:lang w:val="en-US" w:eastAsia="zh-CN"/>
        </w:rPr>
        <w:t>买</w:t>
      </w:r>
      <w:r>
        <w:rPr>
          <w:rFonts w:hint="eastAsia" w:ascii="宋体" w:hAnsi="宋体" w:eastAsia="宋体" w:cs="宋体"/>
          <w:sz w:val="24"/>
          <w:highlight w:val="none"/>
          <w:lang w:eastAsia="zh-CN"/>
        </w:rPr>
        <w:t>方提供的要求进行设计、制作；标识中的字体为宋体，字体大小按照买方提供的要求设计、制作，字号字槽按照字体大小对应制作。</w:t>
      </w:r>
    </w:p>
    <w:p w14:paraId="067AA6A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上下型板加工偏差：±0.12mm，表面粗糙度：Ra1.6。</w:t>
      </w:r>
    </w:p>
    <w:p w14:paraId="17C7425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1.4.7</w:t>
      </w:r>
      <w:r>
        <w:rPr>
          <w:rFonts w:hint="eastAsia" w:ascii="宋体" w:hAnsi="宋体" w:eastAsia="宋体" w:cs="宋体"/>
          <w:sz w:val="24"/>
          <w:highlight w:val="none"/>
          <w:lang w:eastAsia="zh-CN"/>
        </w:rPr>
        <w:t>工装修改修复位置的使用寿命不得低于30万次。在使用寿命周期内，出现因卖方原因导致工装损坏、异常磨损、无法正常使用等影响使用寿命情形的，将按照济南成型厂《质量索赔追偿管理流程》索赔。</w:t>
      </w:r>
      <w:bookmarkStart w:id="19" w:name="_Toc37792654"/>
      <w:bookmarkStart w:id="20" w:name="_Toc532222679"/>
    </w:p>
    <w:p w14:paraId="2365673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用户生产条件</w:t>
      </w:r>
      <w:bookmarkEnd w:id="19"/>
      <w:bookmarkEnd w:id="20"/>
      <w:r>
        <w:rPr>
          <w:rFonts w:hint="eastAsia" w:ascii="宋体" w:hAnsi="宋体" w:eastAsia="宋体" w:cs="宋体"/>
          <w:sz w:val="24"/>
          <w:highlight w:val="none"/>
          <w:lang w:eastAsia="zh-CN"/>
        </w:rPr>
        <w:t xml:space="preserve"> </w:t>
      </w:r>
      <w:r>
        <w:rPr>
          <w:rFonts w:hint="eastAsia" w:ascii="宋体" w:hAnsi="宋体" w:eastAsia="宋体" w:cs="宋体"/>
          <w:sz w:val="24"/>
          <w:highlight w:val="none"/>
          <w:lang w:eastAsia="zh-CN"/>
        </w:rPr>
        <w:tab/>
      </w:r>
    </w:p>
    <w:p w14:paraId="2ACAF57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1 车间外部自然环境条件</w:t>
      </w:r>
    </w:p>
    <w:p w14:paraId="68E6949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年平均气温                                15.9℃</w:t>
      </w:r>
    </w:p>
    <w:p w14:paraId="695247F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最热月平均气温                            28.1℃</w:t>
      </w:r>
    </w:p>
    <w:p w14:paraId="446BEA8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最冷月平均气温                             2.5℃</w:t>
      </w:r>
    </w:p>
    <w:p w14:paraId="6AD88DF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极端最高气温                              42.5℃</w:t>
      </w:r>
    </w:p>
    <w:p w14:paraId="55FC7E0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极端最低气温                              </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13.1℃</w:t>
      </w:r>
    </w:p>
    <w:p w14:paraId="6C038E2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年平均相对湿度                            75%</w:t>
      </w:r>
    </w:p>
    <w:p w14:paraId="2E638AC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2.2</w:t>
      </w:r>
      <w:r>
        <w:rPr>
          <w:rFonts w:hint="eastAsia" w:ascii="宋体" w:hAnsi="宋体" w:eastAsia="宋体" w:cs="宋体"/>
          <w:sz w:val="24"/>
          <w:highlight w:val="none"/>
          <w:lang w:eastAsia="zh-CN"/>
        </w:rPr>
        <w:t xml:space="preserve"> 车间内部环境条件</w:t>
      </w:r>
    </w:p>
    <w:p w14:paraId="4061AFA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电源种类及电压：3-380V/220V（±10%）、50HZ（±2%）、AC；</w:t>
      </w:r>
    </w:p>
    <w:p w14:paraId="473D11A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压缩空气压力：  ≤0.70Mpa；</w:t>
      </w:r>
    </w:p>
    <w:p w14:paraId="5CB60D9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供水水质及压力：自来水，≥0.2 Mpa；</w:t>
      </w:r>
    </w:p>
    <w:p w14:paraId="7E56E8F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室内空气质量：   多尘； </w:t>
      </w:r>
    </w:p>
    <w:p w14:paraId="30D4EA1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室内气温：5℃～45℃；</w:t>
      </w:r>
    </w:p>
    <w:p w14:paraId="49F9750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技术更改及技术文件</w:t>
      </w:r>
    </w:p>
    <w:p w14:paraId="06916A0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.1如在设计过程中遇到设计更改，买方及时将技术更改通知卖方，卖方应按更改后的技术要求制造订货产品并负责将更改后的铸件图、工装图（三维和二维）等技术文件及时提交给买方。</w:t>
      </w:r>
    </w:p>
    <w:p w14:paraId="5E99F2B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3.2</w:t>
      </w:r>
      <w:r>
        <w:rPr>
          <w:rFonts w:hint="eastAsia" w:ascii="宋体" w:hAnsi="宋体" w:eastAsia="宋体" w:cs="宋体"/>
          <w:sz w:val="24"/>
          <w:highlight w:val="none"/>
          <w:lang w:eastAsia="zh-CN"/>
        </w:rPr>
        <w:t>卖方不得自行改变双方共同确认的本协议附表中技术资料，如确实需要更改，应事先征得买方同意。</w:t>
      </w:r>
    </w:p>
    <w:p w14:paraId="494091F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3.3</w:t>
      </w:r>
      <w:r>
        <w:rPr>
          <w:rFonts w:hint="eastAsia" w:ascii="宋体" w:hAnsi="宋体" w:eastAsia="宋体" w:cs="宋体"/>
          <w:sz w:val="24"/>
          <w:highlight w:val="none"/>
          <w:lang w:eastAsia="zh-CN"/>
        </w:rPr>
        <w:t>卖方承诺：符合技术要求只是必要条件，满足使用要求和最终用户的要求是最终目的。</w:t>
      </w:r>
    </w:p>
    <w:p w14:paraId="2D01C774">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3.4所有工装图纸经买方确认无误后方可进行加工制作。</w:t>
      </w:r>
    </w:p>
    <w:p w14:paraId="78524927">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3.5修改内容以三维图纸为准，如果选择镶块结构修改，需设计为可更换结构，并提供修改后的镶块二维/三维图纸。</w:t>
      </w:r>
    </w:p>
    <w:p w14:paraId="7E6A909F">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3.6工装修改过程不得对其余未修改结构和整体工装造成损伤，如果损伤需原样修复并给予经济考核；</w:t>
      </w:r>
    </w:p>
    <w:p w14:paraId="38E667A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制造过程变更</w:t>
      </w:r>
    </w:p>
    <w:p w14:paraId="59F2710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.1卖方必须保证产品在生产制造过程中达到买方规定的质量要求并检测合格。</w:t>
      </w:r>
    </w:p>
    <w:p w14:paraId="68A9398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.2买方根据产品质量升级等方面的要求，可向卖方提出对产品进行重新鉴定或认证的要求，卖方应提供足够的产品样本，并配合买方共同完成产品的鉴定或认证工作，其结果双方共享。</w:t>
      </w:r>
    </w:p>
    <w:p w14:paraId="6C33E066">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.3如果卖方的生产基地、生产工艺、材料或配套厂商发生了改变，则应及时书面报告买方，买方将对产品进行样本鉴定。</w:t>
      </w:r>
    </w:p>
    <w:p w14:paraId="372D6B9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产品包装</w:t>
      </w:r>
    </w:p>
    <w:p w14:paraId="0588C91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.1产品包装须严格执行买方的企业标准或国家标准和行业有关标准及甲方的其它包装要求。</w:t>
      </w:r>
    </w:p>
    <w:p w14:paraId="357AA2DA">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.2产品包装必须保证产品质量在运输、储存过程中不降低。</w:t>
      </w:r>
    </w:p>
    <w:p w14:paraId="7773D3F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.3木质包装，包装及运输过程中要进行防潮、防锈、防磕碰处理。</w:t>
      </w:r>
    </w:p>
    <w:p w14:paraId="08D1FAB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.4产品标识要求</w:t>
      </w:r>
    </w:p>
    <w:p w14:paraId="37A636B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.4.1卖方对其供给买方的产品必须进行可追溯性标识，同时须满足买方的特定标识要求。</w:t>
      </w:r>
    </w:p>
    <w:p w14:paraId="053F8C9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.4.2产品标识部位以不影响产品质量为原则，除买方明确要求的标识部位外，卖方可自行选择部位，并将标识部位传给买方备案。</w:t>
      </w:r>
    </w:p>
    <w:p w14:paraId="1C9DD1B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预验收及交货</w:t>
      </w:r>
    </w:p>
    <w:p w14:paraId="775E0BB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.1预验收</w:t>
      </w:r>
    </w:p>
    <w:p w14:paraId="01E0E87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必要时买方派专业人员在发货前20天到乙方工厂进行预验收，检查确认工装数量及结构完整，并签署预验收备忘录。</w:t>
      </w:r>
    </w:p>
    <w:p w14:paraId="6D30460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.2工装交货期：</w:t>
      </w:r>
    </w:p>
    <w:p w14:paraId="32B07C2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.3交货地点：济南成型厂。</w:t>
      </w:r>
    </w:p>
    <w:p w14:paraId="21103D2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.4进厂检验：修改或修复工装到厂后，质量部对修改或修复后工装进行尺寸检验，以人工划线，三坐标、3D扫描等方式检验，工装尺寸与设计尺寸一致，偏差符合设计精度，一般不超过0.1mm。</w:t>
      </w:r>
    </w:p>
    <w:p w14:paraId="3F794A9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调试、验证</w:t>
      </w:r>
    </w:p>
    <w:p w14:paraId="115F9FA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.1模具安装后进行空载运行，模具活动部分动作正常、可靠。</w:t>
      </w:r>
    </w:p>
    <w:p w14:paraId="11B2AA3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.2修改或修复工装需连续生产一个班的合格砂芯或者铸型，且铸件划线检验合格后认为工装合格。</w:t>
      </w:r>
    </w:p>
    <w:p w14:paraId="0254272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8.</w:t>
      </w:r>
      <w:r>
        <w:rPr>
          <w:rFonts w:hint="eastAsia" w:ascii="宋体" w:hAnsi="宋体" w:eastAsia="宋体" w:cs="宋体"/>
          <w:sz w:val="24"/>
          <w:highlight w:val="none"/>
          <w:lang w:eastAsia="zh-CN"/>
        </w:rPr>
        <w:t>质量保证</w:t>
      </w:r>
    </w:p>
    <w:p w14:paraId="18082BBC">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从验证合格签字之日开始计算质保期，质量保证期：壹年。</w:t>
      </w:r>
    </w:p>
    <w:p w14:paraId="6764F337">
      <w:pPr>
        <w:spacing w:line="360" w:lineRule="auto"/>
        <w:ind w:firstLine="482" w:firstLineChars="200"/>
        <w:rPr>
          <w:rFonts w:hint="eastAsia" w:ascii="宋体" w:hAnsi="宋体"/>
          <w:b/>
          <w:bCs/>
          <w:sz w:val="24"/>
        </w:rPr>
      </w:pPr>
      <w:r>
        <w:rPr>
          <w:rFonts w:hint="default" w:ascii="Calibri" w:hAnsi="Calibri" w:cs="Calibri"/>
          <w:b/>
          <w:bCs/>
          <w:sz w:val="24"/>
          <w:lang w:val="en-US" w:eastAsia="zh-CN"/>
        </w:rPr>
        <w:t>②</w:t>
      </w:r>
      <w:r>
        <w:rPr>
          <w:rFonts w:hint="eastAsia" w:ascii="宋体" w:hAnsi="宋体"/>
          <w:b/>
          <w:bCs/>
          <w:sz w:val="24"/>
          <w:lang w:eastAsia="zh-CN"/>
        </w:rPr>
        <w:t>、</w:t>
      </w:r>
      <w:r>
        <w:rPr>
          <w:rFonts w:hint="eastAsia" w:ascii="宋体" w:hAnsi="宋体"/>
          <w:b/>
          <w:bCs/>
          <w:sz w:val="24"/>
        </w:rPr>
        <w:t>技</w:t>
      </w:r>
      <w:r>
        <w:rPr>
          <w:rFonts w:hint="eastAsia" w:ascii="宋体" w:hAnsi="宋体"/>
          <w:b/>
          <w:bCs/>
          <w:sz w:val="24"/>
          <w:szCs w:val="24"/>
        </w:rPr>
        <w:t>术标</w:t>
      </w:r>
      <w:r>
        <w:rPr>
          <w:rFonts w:hint="eastAsia"/>
          <w:b/>
          <w:bCs/>
          <w:sz w:val="24"/>
          <w:szCs w:val="24"/>
        </w:rPr>
        <w:t>文件的组成</w:t>
      </w:r>
      <w:r>
        <w:rPr>
          <w:rFonts w:hint="eastAsia" w:ascii="宋体" w:hAnsi="宋体"/>
          <w:b/>
          <w:bCs/>
          <w:sz w:val="24"/>
          <w:szCs w:val="24"/>
        </w:rPr>
        <w:t>：</w:t>
      </w:r>
    </w:p>
    <w:p w14:paraId="3B10FC23">
      <w:pPr>
        <w:pStyle w:val="111"/>
        <w:spacing w:line="360" w:lineRule="auto"/>
        <w:ind w:firstLine="480" w:firstLineChars="200"/>
        <w:jc w:val="left"/>
        <w:rPr>
          <w:rFonts w:hint="eastAsia"/>
        </w:rPr>
      </w:pPr>
      <w:r>
        <w:rPr>
          <w:rFonts w:hint="eastAsia"/>
        </w:rPr>
        <w:t>(</w:t>
      </w:r>
      <w:r>
        <w:t>1</w:t>
      </w:r>
      <w:r>
        <w:rPr>
          <w:rFonts w:hint="eastAsia"/>
        </w:rPr>
        <w:t>)工装制作</w:t>
      </w:r>
      <w:r>
        <w:rPr>
          <w:rFonts w:hint="eastAsia"/>
          <w:highlight w:val="none"/>
          <w:lang w:eastAsia="zh-CN"/>
        </w:rPr>
        <w:t>（</w:t>
      </w:r>
      <w:r>
        <w:rPr>
          <w:rFonts w:hint="eastAsia"/>
          <w:highlight w:val="none"/>
          <w:lang w:val="en-US" w:eastAsia="zh-CN"/>
        </w:rPr>
        <w:t>修改</w:t>
      </w:r>
      <w:r>
        <w:rPr>
          <w:rFonts w:hint="eastAsia"/>
          <w:highlight w:val="none"/>
          <w:lang w:eastAsia="zh-CN"/>
        </w:rPr>
        <w:t>）</w:t>
      </w:r>
      <w:r>
        <w:rPr>
          <w:rFonts w:hint="eastAsia"/>
        </w:rPr>
        <w:t>方案总体描述</w:t>
      </w:r>
    </w:p>
    <w:p w14:paraId="4A0A6678">
      <w:pPr>
        <w:pStyle w:val="111"/>
        <w:spacing w:line="360" w:lineRule="auto"/>
        <w:ind w:left="-100" w:firstLine="480" w:firstLineChars="200"/>
        <w:jc w:val="left"/>
        <w:rPr>
          <w:rFonts w:hint="eastAsia"/>
        </w:rPr>
      </w:pPr>
      <w:r>
        <w:rPr>
          <w:rFonts w:hint="eastAsia"/>
        </w:rPr>
        <w:t>(2)关键加工设备（提供设备品牌型号、技术参数等信息）</w:t>
      </w:r>
    </w:p>
    <w:p w14:paraId="4F35A56E">
      <w:pPr>
        <w:pStyle w:val="111"/>
        <w:spacing w:line="360" w:lineRule="auto"/>
        <w:ind w:left="-100" w:firstLine="480" w:firstLineChars="200"/>
        <w:jc w:val="left"/>
        <w:rPr>
          <w:rFonts w:hint="eastAsia"/>
        </w:rPr>
      </w:pPr>
      <w:r>
        <w:rPr>
          <w:rFonts w:hint="eastAsia"/>
        </w:rPr>
        <w:t>(3)检测设备（提供设备品牌型号、技术参数等信息）</w:t>
      </w:r>
    </w:p>
    <w:p w14:paraId="7A7221C4">
      <w:pPr>
        <w:pStyle w:val="111"/>
        <w:spacing w:line="360" w:lineRule="auto"/>
        <w:ind w:left="-100" w:firstLine="480" w:firstLineChars="200"/>
        <w:jc w:val="left"/>
        <w:rPr>
          <w:rFonts w:hint="eastAsia"/>
        </w:rPr>
      </w:pPr>
      <w:r>
        <w:rPr>
          <w:rFonts w:hint="eastAsia"/>
        </w:rPr>
        <w:t>(4)工装模具设计能力</w:t>
      </w:r>
      <w:r>
        <w:t>及制作工艺水平（</w:t>
      </w:r>
      <w:r>
        <w:rPr>
          <w:rFonts w:hint="eastAsia"/>
        </w:rPr>
        <w:t>提供中高级职称人员证书复印件及社保参保证明；</w:t>
      </w:r>
      <w:r>
        <w:t>制作工艺描述等）</w:t>
      </w:r>
    </w:p>
    <w:p w14:paraId="4A58128A">
      <w:pPr>
        <w:pStyle w:val="111"/>
        <w:spacing w:line="360" w:lineRule="auto"/>
        <w:ind w:left="-100" w:firstLine="480" w:firstLineChars="200"/>
        <w:jc w:val="left"/>
        <w:rPr>
          <w:rFonts w:hint="eastAsia"/>
        </w:rPr>
      </w:pPr>
      <w:r>
        <w:rPr>
          <w:rFonts w:hint="eastAsia"/>
        </w:rPr>
        <w:t>(5)计算机模拟能力</w:t>
      </w:r>
      <w:r>
        <w:t>（</w:t>
      </w:r>
      <w:r>
        <w:rPr>
          <w:rFonts w:hint="eastAsia"/>
        </w:rPr>
        <w:t>提供三维设计</w:t>
      </w:r>
      <w:r>
        <w:rPr>
          <w:rFonts w:hint="eastAsia"/>
          <w:lang w:eastAsia="zh-CN"/>
        </w:rPr>
        <w:t>、</w:t>
      </w:r>
      <w:r>
        <w:rPr>
          <w:rFonts w:hint="eastAsia"/>
          <w:lang w:val="en-US" w:eastAsia="zh-CN"/>
        </w:rPr>
        <w:t>模拟</w:t>
      </w:r>
      <w:r>
        <w:rPr>
          <w:rFonts w:hint="eastAsia"/>
        </w:rPr>
        <w:t>软件等资料信息）</w:t>
      </w:r>
    </w:p>
    <w:p w14:paraId="1511CBEB">
      <w:pPr>
        <w:pStyle w:val="111"/>
        <w:spacing w:line="360" w:lineRule="auto"/>
        <w:ind w:left="-100" w:firstLine="480" w:firstLineChars="200"/>
        <w:jc w:val="left"/>
        <w:rPr>
          <w:rFonts w:hint="eastAsia"/>
        </w:rPr>
      </w:pPr>
      <w:r>
        <w:rPr>
          <w:rFonts w:hint="eastAsia"/>
        </w:rPr>
        <w:t>(6)质保期及售后服务能力</w:t>
      </w:r>
    </w:p>
    <w:p w14:paraId="0B91EE88">
      <w:pPr>
        <w:pStyle w:val="111"/>
        <w:spacing w:line="360" w:lineRule="auto"/>
        <w:ind w:left="-100" w:firstLine="480" w:firstLineChars="200"/>
        <w:jc w:val="left"/>
      </w:pPr>
      <w:r>
        <w:rPr>
          <w:rFonts w:hint="eastAsia"/>
        </w:rPr>
        <w:t>(7)产品供货计划或生产加工计划</w:t>
      </w:r>
    </w:p>
    <w:p w14:paraId="7E0B64B2">
      <w:pPr>
        <w:pStyle w:val="111"/>
        <w:spacing w:line="360" w:lineRule="auto"/>
        <w:ind w:left="0" w:leftChars="0" w:firstLine="240" w:firstLineChars="100"/>
        <w:jc w:val="left"/>
        <w:rPr>
          <w:rFonts w:hint="eastAsia"/>
        </w:rPr>
      </w:pPr>
      <w:r>
        <w:rPr>
          <w:rFonts w:hint="eastAsia"/>
        </w:rPr>
        <w:t>（8）类似业绩并提供合同复印件（</w:t>
      </w:r>
      <w:r>
        <w:rPr>
          <w:rFonts w:hint="eastAsia"/>
          <w:lang w:val="en-US" w:eastAsia="zh-CN"/>
        </w:rPr>
        <w:t>详见附件</w:t>
      </w:r>
      <w:r>
        <w:rPr>
          <w:rFonts w:hint="eastAsia"/>
        </w:rPr>
        <w:t>格式</w:t>
      </w:r>
      <w:r>
        <w:rPr>
          <w:rFonts w:hint="eastAsia"/>
          <w:lang w:val="en-US" w:eastAsia="zh-CN"/>
        </w:rPr>
        <w:t>1</w:t>
      </w:r>
      <w:r>
        <w:rPr>
          <w:rFonts w:hint="eastAsia"/>
        </w:rPr>
        <w:t>）</w:t>
      </w:r>
    </w:p>
    <w:p w14:paraId="2560287E">
      <w:pPr>
        <w:pStyle w:val="111"/>
        <w:spacing w:line="360" w:lineRule="auto"/>
        <w:ind w:left="-100" w:firstLine="480" w:firstLineChars="200"/>
        <w:jc w:val="left"/>
        <w:rPr>
          <w:rFonts w:hint="eastAsia"/>
        </w:rPr>
      </w:pPr>
      <w:r>
        <w:rPr>
          <w:rFonts w:hint="eastAsia"/>
        </w:rPr>
        <w:t>(</w:t>
      </w:r>
      <w:r>
        <w:t>9</w:t>
      </w:r>
      <w:r>
        <w:rPr>
          <w:rFonts w:hint="eastAsia"/>
        </w:rPr>
        <w:t>)</w:t>
      </w:r>
      <w:r>
        <w:t xml:space="preserve"> </w:t>
      </w:r>
      <w:r>
        <w:rPr>
          <w:rFonts w:hint="eastAsia"/>
        </w:rPr>
        <w:t>技术规格偏离表（</w:t>
      </w:r>
      <w:r>
        <w:rPr>
          <w:rFonts w:hint="eastAsia"/>
          <w:lang w:val="en-US" w:eastAsia="zh-CN"/>
        </w:rPr>
        <w:t>详见附件</w:t>
      </w:r>
      <w:r>
        <w:rPr>
          <w:rFonts w:hint="eastAsia"/>
        </w:rPr>
        <w:t>格式</w:t>
      </w:r>
      <w:r>
        <w:rPr>
          <w:rFonts w:hint="eastAsia"/>
          <w:lang w:val="en-US" w:eastAsia="zh-CN"/>
        </w:rPr>
        <w:t>2</w:t>
      </w:r>
      <w:r>
        <w:rPr>
          <w:rFonts w:hint="eastAsia"/>
        </w:rPr>
        <w:t>）</w:t>
      </w:r>
    </w:p>
    <w:p w14:paraId="40CB17B7">
      <w:pPr>
        <w:pStyle w:val="111"/>
        <w:spacing w:line="360" w:lineRule="auto"/>
        <w:ind w:firstLine="482" w:firstLineChars="200"/>
        <w:rPr>
          <w:rFonts w:hint="default" w:eastAsia="宋体"/>
          <w:b/>
          <w:bCs/>
          <w:lang w:val="en-US" w:eastAsia="zh-CN"/>
        </w:rPr>
      </w:pPr>
      <w:r>
        <w:rPr>
          <w:rFonts w:hint="default" w:ascii="Calibri" w:hAnsi="Calibri" w:cs="Calibri"/>
          <w:b/>
          <w:bCs/>
        </w:rPr>
        <w:t>③</w:t>
      </w:r>
      <w:r>
        <w:rPr>
          <w:rFonts w:hint="eastAsia"/>
          <w:b/>
          <w:bCs/>
        </w:rPr>
        <w:t>、询标</w:t>
      </w:r>
      <w:r>
        <w:rPr>
          <w:rFonts w:hint="eastAsia"/>
          <w:b/>
          <w:bCs/>
          <w:lang w:val="en-US" w:eastAsia="zh-CN"/>
        </w:rPr>
        <w:t>及技术答疑</w:t>
      </w:r>
    </w:p>
    <w:p w14:paraId="7EDC3C7F">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rPr>
      </w:pPr>
      <w:r>
        <w:rPr>
          <w:rFonts w:hint="eastAsia"/>
        </w:rPr>
        <w:t>凡对本次招标提出的询问，技术方面可咨询济南成型厂</w:t>
      </w:r>
      <w:r>
        <w:rPr>
          <w:rFonts w:hint="eastAsia"/>
          <w:lang w:val="en-US" w:eastAsia="zh-CN"/>
        </w:rPr>
        <w:t>工艺工程</w:t>
      </w:r>
      <w:r>
        <w:rPr>
          <w:rFonts w:hint="eastAsia"/>
        </w:rPr>
        <w:t>部，均以招标方的传真、邮件、书面答复为准。</w:t>
      </w:r>
    </w:p>
    <w:p w14:paraId="59E17F68">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答疑方式：书面、传真、邮件</w:t>
      </w:r>
    </w:p>
    <w:p w14:paraId="65A29D3D">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联 系 人： 宋波</w:t>
      </w:r>
    </w:p>
    <w:p w14:paraId="6F72C5DC">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color w:val="000000"/>
          <w:sz w:val="24"/>
          <w:szCs w:val="24"/>
        </w:rPr>
      </w:pPr>
      <w:r>
        <w:rPr>
          <w:rFonts w:hint="eastAsia" w:ascii="宋体" w:hAnsi="宋体" w:eastAsia="宋体" w:cs="宋体"/>
        </w:rPr>
        <w:t>电    话： 0531-58061364  15098736562</w:t>
      </w:r>
    </w:p>
    <w:p w14:paraId="51CCD37E">
      <w:pPr>
        <w:pStyle w:val="15"/>
        <w:spacing w:line="440" w:lineRule="exact"/>
        <w:ind w:firstLine="482" w:firstLineChars="200"/>
        <w:rPr>
          <w:b/>
          <w:bCs/>
          <w:color w:val="000000"/>
          <w:sz w:val="28"/>
          <w:szCs w:val="28"/>
        </w:rPr>
      </w:pPr>
      <w:r>
        <w:rPr>
          <w:rFonts w:hint="eastAsia"/>
          <w:b/>
          <w:bCs/>
          <w:color w:val="000000"/>
          <w:sz w:val="24"/>
          <w:szCs w:val="24"/>
          <w:lang w:val="en-US" w:eastAsia="zh-CN"/>
        </w:rPr>
        <w:t>五、</w:t>
      </w:r>
      <w:r>
        <w:rPr>
          <w:rFonts w:hint="eastAsia"/>
          <w:b/>
          <w:bCs/>
          <w:color w:val="000000"/>
          <w:sz w:val="24"/>
          <w:szCs w:val="24"/>
        </w:rPr>
        <w:t>评标</w:t>
      </w:r>
    </w:p>
    <w:p w14:paraId="5DD93C2A">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color w:val="000000"/>
          <w:sz w:val="28"/>
          <w:szCs w:val="28"/>
        </w:rPr>
      </w:pPr>
      <w:r>
        <w:rPr>
          <w:rFonts w:hint="eastAsia"/>
          <w:color w:val="000000"/>
          <w:sz w:val="24"/>
          <w:szCs w:val="24"/>
          <w:lang w:val="en-US" w:eastAsia="zh-CN"/>
        </w:rPr>
        <w:t>1、本项目采用</w:t>
      </w:r>
      <w:r>
        <w:rPr>
          <w:rFonts w:ascii="仿宋_GB2312" w:hAnsi="宋体" w:eastAsia="仿宋_GB2312" w:cs="仿宋_GB2312"/>
          <w:color w:val="FF0000"/>
          <w:kern w:val="0"/>
          <w:sz w:val="28"/>
          <w:szCs w:val="28"/>
          <w:lang w:val="en-US" w:eastAsia="zh-CN" w:bidi="ar"/>
        </w:rPr>
        <w:t>技术入围</w:t>
      </w:r>
      <w:r>
        <w:rPr>
          <w:rFonts w:hint="eastAsia" w:ascii="仿宋_GB2312" w:hAnsi="宋体" w:eastAsia="仿宋_GB2312" w:cs="仿宋_GB2312"/>
          <w:color w:val="FF0000"/>
          <w:kern w:val="0"/>
          <w:sz w:val="28"/>
          <w:szCs w:val="28"/>
          <w:lang w:val="en-US" w:eastAsia="zh-CN" w:bidi="ar"/>
        </w:rPr>
        <w:t>合理最低价中标方式。</w:t>
      </w:r>
    </w:p>
    <w:p w14:paraId="2840B40E">
      <w:pPr>
        <w:pStyle w:val="15"/>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通过资质审验的投标方进入</w:t>
      </w:r>
      <w:r>
        <w:rPr>
          <w:rFonts w:hint="eastAsia" w:ascii="宋体" w:hAnsi="宋体" w:eastAsia="宋体" w:cs="宋体"/>
          <w:color w:val="auto"/>
          <w:sz w:val="24"/>
          <w:szCs w:val="24"/>
          <w:highlight w:val="none"/>
          <w:lang w:val="en-US" w:eastAsia="zh-CN"/>
        </w:rPr>
        <w:t>技术标</w:t>
      </w:r>
      <w:r>
        <w:rPr>
          <w:rFonts w:hint="eastAsia" w:ascii="宋体" w:hAnsi="宋体" w:eastAsia="宋体" w:cs="宋体"/>
          <w:color w:val="auto"/>
          <w:sz w:val="24"/>
          <w:szCs w:val="24"/>
          <w:highlight w:val="none"/>
        </w:rPr>
        <w:t>环节。</w:t>
      </w:r>
    </w:p>
    <w:p w14:paraId="4EBF795B">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1.2技术标：</w:t>
      </w:r>
      <w:r>
        <w:rPr>
          <w:rFonts w:hint="eastAsia" w:ascii="宋体" w:hAnsi="宋体" w:eastAsia="宋体" w:cs="宋体"/>
          <w:color w:val="auto"/>
          <w:kern w:val="0"/>
          <w:sz w:val="24"/>
          <w:szCs w:val="24"/>
          <w:highlight w:val="none"/>
          <w:u w:val="single"/>
          <w:lang w:val="en-US" w:eastAsia="zh-CN" w:bidi="ar"/>
        </w:rPr>
        <w:t>在满足技术要求，技术标得分不小于</w:t>
      </w:r>
      <w:r>
        <w:rPr>
          <w:rFonts w:hint="eastAsia" w:ascii="宋体" w:hAnsi="宋体" w:cs="宋体"/>
          <w:color w:val="auto"/>
          <w:kern w:val="0"/>
          <w:sz w:val="24"/>
          <w:szCs w:val="24"/>
          <w:highlight w:val="none"/>
          <w:u w:val="single"/>
          <w:lang w:val="en-US" w:eastAsia="zh-CN" w:bidi="ar"/>
        </w:rPr>
        <w:t>7</w:t>
      </w:r>
      <w:r>
        <w:rPr>
          <w:rFonts w:hint="eastAsia" w:ascii="宋体" w:hAnsi="宋体" w:eastAsia="宋体" w:cs="宋体"/>
          <w:color w:val="auto"/>
          <w:kern w:val="0"/>
          <w:sz w:val="24"/>
          <w:szCs w:val="24"/>
          <w:highlight w:val="none"/>
          <w:u w:val="single"/>
          <w:lang w:val="en-US" w:eastAsia="zh-CN" w:bidi="ar"/>
        </w:rPr>
        <w:t>0分的前提下（含技术澄清），推荐进入商务标。</w:t>
      </w:r>
    </w:p>
    <w:p w14:paraId="7998EB95">
      <w:pPr>
        <w:pStyle w:val="15"/>
        <w:numPr>
          <w:ilvl w:val="0"/>
          <w:numId w:val="24"/>
        </w:numPr>
        <w:spacing w:line="360" w:lineRule="auto"/>
        <w:ind w:left="560" w:leftChars="0" w:firstLine="0" w:firstLineChars="0"/>
        <w:rPr>
          <w:rFonts w:hint="eastAsia" w:hAnsi="宋体"/>
          <w:color w:val="000000"/>
          <w:sz w:val="24"/>
          <w:szCs w:val="24"/>
        </w:rPr>
      </w:pPr>
      <w:r>
        <w:rPr>
          <w:rFonts w:hint="eastAsia" w:hAnsi="宋体"/>
          <w:color w:val="000000"/>
          <w:sz w:val="24"/>
          <w:szCs w:val="24"/>
          <w:lang w:val="en-US" w:eastAsia="zh-CN"/>
        </w:rPr>
        <w:t>技术标</w:t>
      </w:r>
      <w:r>
        <w:rPr>
          <w:rFonts w:hint="eastAsia" w:hAnsi="宋体"/>
          <w:color w:val="000000"/>
          <w:sz w:val="24"/>
          <w:szCs w:val="24"/>
        </w:rPr>
        <w:t>评分标准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40"/>
        <w:gridCol w:w="2972"/>
        <w:gridCol w:w="4700"/>
      </w:tblGrid>
      <w:tr w14:paraId="1C3F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DD0D550">
            <w:pPr>
              <w:bidi w:val="0"/>
              <w:jc w:val="center"/>
              <w:rPr>
                <w:rFonts w:hint="default" w:eastAsia="宋体"/>
                <w:vertAlign w:val="baseline"/>
                <w:lang w:val="en-US" w:eastAsia="zh-CN"/>
              </w:rPr>
            </w:pPr>
            <w:r>
              <w:rPr>
                <w:rFonts w:hint="eastAsia"/>
                <w:vertAlign w:val="baseline"/>
                <w:lang w:val="en-US" w:eastAsia="zh-CN"/>
              </w:rPr>
              <w:t>序号</w:t>
            </w:r>
          </w:p>
        </w:tc>
        <w:tc>
          <w:tcPr>
            <w:tcW w:w="654" w:type="dxa"/>
          </w:tcPr>
          <w:p w14:paraId="34DB7296">
            <w:pPr>
              <w:bidi w:val="0"/>
              <w:rPr>
                <w:rFonts w:hint="eastAsia" w:eastAsia="宋体"/>
                <w:vertAlign w:val="baseline"/>
                <w:lang w:val="en-US" w:eastAsia="zh-CN"/>
              </w:rPr>
            </w:pPr>
            <w:r>
              <w:rPr>
                <w:rFonts w:hint="eastAsia"/>
                <w:vertAlign w:val="baseline"/>
                <w:lang w:val="en-US" w:eastAsia="zh-CN"/>
              </w:rPr>
              <w:t>类别</w:t>
            </w:r>
          </w:p>
        </w:tc>
        <w:tc>
          <w:tcPr>
            <w:tcW w:w="7847" w:type="dxa"/>
            <w:gridSpan w:val="2"/>
          </w:tcPr>
          <w:p w14:paraId="0E0C07A8">
            <w:pPr>
              <w:tabs>
                <w:tab w:val="left" w:pos="2710"/>
              </w:tabs>
              <w:bidi w:val="0"/>
              <w:rPr>
                <w:rFonts w:hint="default" w:eastAsia="宋体"/>
                <w:vertAlign w:val="baseline"/>
                <w:lang w:val="en-US" w:eastAsia="zh-CN"/>
              </w:rPr>
            </w:pPr>
            <w:r>
              <w:rPr>
                <w:rFonts w:hint="eastAsia"/>
                <w:vertAlign w:val="baseline"/>
                <w:lang w:eastAsia="zh-CN"/>
              </w:rPr>
              <w:tab/>
            </w:r>
            <w:r>
              <w:rPr>
                <w:rFonts w:hint="eastAsia"/>
                <w:vertAlign w:val="baseline"/>
                <w:lang w:val="en-US" w:eastAsia="zh-CN"/>
              </w:rPr>
              <w:t>评审内容</w:t>
            </w:r>
          </w:p>
        </w:tc>
      </w:tr>
      <w:tr w14:paraId="6E71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F2E4B0B">
            <w:pPr>
              <w:bidi w:val="0"/>
              <w:jc w:val="center"/>
              <w:rPr>
                <w:rFonts w:hint="eastAsia" w:eastAsia="宋体"/>
                <w:vertAlign w:val="baseline"/>
                <w:lang w:val="en-US" w:eastAsia="zh-CN"/>
              </w:rPr>
            </w:pPr>
            <w:r>
              <w:rPr>
                <w:rFonts w:hint="eastAsia"/>
                <w:vertAlign w:val="baseline"/>
                <w:lang w:val="en-US" w:eastAsia="zh-CN"/>
              </w:rPr>
              <w:t>1</w:t>
            </w:r>
          </w:p>
        </w:tc>
        <w:tc>
          <w:tcPr>
            <w:tcW w:w="654" w:type="dxa"/>
            <w:vMerge w:val="restart"/>
            <w:textDirection w:val="tbLrV"/>
            <w:vAlign w:val="top"/>
          </w:tcPr>
          <w:p w14:paraId="25A0F0B5">
            <w:pPr>
              <w:bidi w:val="0"/>
              <w:ind w:left="113" w:right="113"/>
              <w:jc w:val="center"/>
              <w:rPr>
                <w:rFonts w:hint="default" w:eastAsia="宋体"/>
                <w:vertAlign w:val="baseline"/>
                <w:lang w:val="en-US" w:eastAsia="zh-CN"/>
              </w:rPr>
            </w:pPr>
            <w:r>
              <w:rPr>
                <w:rFonts w:hint="eastAsia"/>
                <w:sz w:val="28"/>
                <w:szCs w:val="24"/>
                <w:vertAlign w:val="baseline"/>
                <w:lang w:val="en-US" w:eastAsia="zh-CN"/>
              </w:rPr>
              <w:t>技术部分</w:t>
            </w:r>
          </w:p>
        </w:tc>
        <w:tc>
          <w:tcPr>
            <w:tcW w:w="3032" w:type="dxa"/>
            <w:vAlign w:val="center"/>
          </w:tcPr>
          <w:p w14:paraId="62B7AC2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关键加工设备（0-10分）</w:t>
            </w:r>
          </w:p>
        </w:tc>
        <w:tc>
          <w:tcPr>
            <w:tcW w:w="4815" w:type="dxa"/>
            <w:vAlign w:val="center"/>
          </w:tcPr>
          <w:p w14:paraId="317369EA">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提供设备品牌型号、技术参数等信息，有加工投标产品的设备能力</w:t>
            </w:r>
          </w:p>
        </w:tc>
      </w:tr>
      <w:tr w14:paraId="68C6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5067115">
            <w:pPr>
              <w:bidi w:val="0"/>
              <w:jc w:val="center"/>
              <w:rPr>
                <w:rFonts w:hint="eastAsia" w:eastAsia="宋体"/>
                <w:vertAlign w:val="baseline"/>
                <w:lang w:val="en-US" w:eastAsia="zh-CN"/>
              </w:rPr>
            </w:pPr>
            <w:r>
              <w:rPr>
                <w:rFonts w:hint="eastAsia"/>
                <w:vertAlign w:val="baseline"/>
                <w:lang w:val="en-US" w:eastAsia="zh-CN"/>
              </w:rPr>
              <w:t>2</w:t>
            </w:r>
          </w:p>
        </w:tc>
        <w:tc>
          <w:tcPr>
            <w:tcW w:w="654" w:type="dxa"/>
            <w:vMerge w:val="continue"/>
          </w:tcPr>
          <w:p w14:paraId="5AB94216">
            <w:pPr>
              <w:bidi w:val="0"/>
              <w:rPr>
                <w:rFonts w:hint="eastAsia"/>
                <w:vertAlign w:val="baseline"/>
              </w:rPr>
            </w:pPr>
          </w:p>
        </w:tc>
        <w:tc>
          <w:tcPr>
            <w:tcW w:w="3032" w:type="dxa"/>
            <w:vAlign w:val="center"/>
          </w:tcPr>
          <w:p w14:paraId="45B57A7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检测设备   （0-10分）</w:t>
            </w:r>
          </w:p>
        </w:tc>
        <w:tc>
          <w:tcPr>
            <w:tcW w:w="4815" w:type="dxa"/>
            <w:vAlign w:val="center"/>
          </w:tcPr>
          <w:p w14:paraId="19317848">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提供设备品牌型号、技术参数等信息，有检测投标产品的能力</w:t>
            </w:r>
          </w:p>
        </w:tc>
      </w:tr>
      <w:tr w14:paraId="583E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A1563C4">
            <w:pPr>
              <w:bidi w:val="0"/>
              <w:jc w:val="center"/>
              <w:rPr>
                <w:rFonts w:hint="eastAsia" w:eastAsia="宋体"/>
                <w:vertAlign w:val="baseline"/>
                <w:lang w:val="en-US" w:eastAsia="zh-CN"/>
              </w:rPr>
            </w:pPr>
            <w:r>
              <w:rPr>
                <w:rFonts w:hint="eastAsia"/>
                <w:vertAlign w:val="baseline"/>
                <w:lang w:val="en-US" w:eastAsia="zh-CN"/>
              </w:rPr>
              <w:t>3</w:t>
            </w:r>
          </w:p>
        </w:tc>
        <w:tc>
          <w:tcPr>
            <w:tcW w:w="654" w:type="dxa"/>
            <w:vMerge w:val="continue"/>
          </w:tcPr>
          <w:p w14:paraId="5C0B5373">
            <w:pPr>
              <w:bidi w:val="0"/>
              <w:rPr>
                <w:rFonts w:hint="eastAsia"/>
                <w:vertAlign w:val="baseline"/>
              </w:rPr>
            </w:pPr>
          </w:p>
        </w:tc>
        <w:tc>
          <w:tcPr>
            <w:tcW w:w="3032" w:type="dxa"/>
            <w:vAlign w:val="center"/>
          </w:tcPr>
          <w:p w14:paraId="682AE43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1"/>
                <w:szCs w:val="21"/>
                <w:u w:val="none"/>
                <w:lang w:val="en-US" w:eastAsia="zh-CN" w:bidi="ar"/>
              </w:rPr>
              <w:t>工装模具设计能力及制作工艺水平 （0-10分）</w:t>
            </w:r>
          </w:p>
        </w:tc>
        <w:tc>
          <w:tcPr>
            <w:tcW w:w="4815" w:type="dxa"/>
            <w:vAlign w:val="center"/>
          </w:tcPr>
          <w:p w14:paraId="3CF9A93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提供中高级职称人员证书复印件及社保参保证明；制作工艺描述等</w:t>
            </w:r>
          </w:p>
        </w:tc>
      </w:tr>
      <w:tr w14:paraId="2A45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6D52AE7">
            <w:pPr>
              <w:bidi w:val="0"/>
              <w:jc w:val="center"/>
              <w:rPr>
                <w:rFonts w:hint="eastAsia" w:eastAsia="宋体"/>
                <w:vertAlign w:val="baseline"/>
                <w:lang w:val="en-US" w:eastAsia="zh-CN"/>
              </w:rPr>
            </w:pPr>
            <w:r>
              <w:rPr>
                <w:rFonts w:hint="eastAsia"/>
                <w:vertAlign w:val="baseline"/>
                <w:lang w:val="en-US" w:eastAsia="zh-CN"/>
              </w:rPr>
              <w:t>4</w:t>
            </w:r>
          </w:p>
        </w:tc>
        <w:tc>
          <w:tcPr>
            <w:tcW w:w="654" w:type="dxa"/>
            <w:vMerge w:val="continue"/>
          </w:tcPr>
          <w:p w14:paraId="770D8DC2">
            <w:pPr>
              <w:bidi w:val="0"/>
              <w:rPr>
                <w:rFonts w:hint="eastAsia"/>
                <w:vertAlign w:val="baseline"/>
              </w:rPr>
            </w:pPr>
          </w:p>
        </w:tc>
        <w:tc>
          <w:tcPr>
            <w:tcW w:w="3032" w:type="dxa"/>
            <w:vAlign w:val="center"/>
          </w:tcPr>
          <w:p w14:paraId="7410130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计算机模拟能力：（0-10分）</w:t>
            </w:r>
          </w:p>
        </w:tc>
        <w:tc>
          <w:tcPr>
            <w:tcW w:w="4815" w:type="dxa"/>
            <w:vAlign w:val="center"/>
          </w:tcPr>
          <w:p w14:paraId="49032B2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有三维设计软件</w:t>
            </w:r>
          </w:p>
        </w:tc>
      </w:tr>
      <w:tr w14:paraId="3776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F9DFC90">
            <w:pPr>
              <w:bidi w:val="0"/>
              <w:jc w:val="center"/>
              <w:rPr>
                <w:rFonts w:hint="eastAsia" w:eastAsia="宋体"/>
                <w:vertAlign w:val="baseline"/>
                <w:lang w:val="en-US" w:eastAsia="zh-CN"/>
              </w:rPr>
            </w:pPr>
            <w:r>
              <w:rPr>
                <w:rFonts w:hint="eastAsia"/>
                <w:vertAlign w:val="baseline"/>
                <w:lang w:val="en-US" w:eastAsia="zh-CN"/>
              </w:rPr>
              <w:t>5</w:t>
            </w:r>
          </w:p>
        </w:tc>
        <w:tc>
          <w:tcPr>
            <w:tcW w:w="654" w:type="dxa"/>
            <w:vMerge w:val="continue"/>
          </w:tcPr>
          <w:p w14:paraId="5AB2A763">
            <w:pPr>
              <w:bidi w:val="0"/>
              <w:rPr>
                <w:rFonts w:hint="eastAsia"/>
                <w:vertAlign w:val="baseline"/>
              </w:rPr>
            </w:pPr>
          </w:p>
        </w:tc>
        <w:tc>
          <w:tcPr>
            <w:tcW w:w="3032" w:type="dxa"/>
            <w:vAlign w:val="center"/>
          </w:tcPr>
          <w:p w14:paraId="5ABE209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类似业绩（0-15分）</w:t>
            </w:r>
          </w:p>
        </w:tc>
        <w:tc>
          <w:tcPr>
            <w:tcW w:w="4815" w:type="dxa"/>
            <w:vAlign w:val="center"/>
          </w:tcPr>
          <w:p w14:paraId="666AAE9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与招标产品、生产设备、生产工艺类似业绩，业绩较好得11-15分，业绩一般得10分；与招标产品、生产设备、生产工艺部分类似业绩，得2-9分；无类似业绩0分。</w:t>
            </w:r>
          </w:p>
        </w:tc>
      </w:tr>
      <w:tr w14:paraId="6F5E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F4D9DEF">
            <w:pPr>
              <w:bidi w:val="0"/>
              <w:jc w:val="center"/>
              <w:rPr>
                <w:rFonts w:hint="eastAsia" w:eastAsia="宋体"/>
                <w:vertAlign w:val="baseline"/>
                <w:lang w:val="en-US" w:eastAsia="zh-CN"/>
              </w:rPr>
            </w:pPr>
            <w:r>
              <w:rPr>
                <w:rFonts w:hint="eastAsia"/>
                <w:vertAlign w:val="baseline"/>
                <w:lang w:val="en-US" w:eastAsia="zh-CN"/>
              </w:rPr>
              <w:t>6</w:t>
            </w:r>
          </w:p>
        </w:tc>
        <w:tc>
          <w:tcPr>
            <w:tcW w:w="654" w:type="dxa"/>
            <w:vMerge w:val="continue"/>
          </w:tcPr>
          <w:p w14:paraId="7B3CF0CA">
            <w:pPr>
              <w:bidi w:val="0"/>
              <w:rPr>
                <w:rFonts w:hint="eastAsia"/>
                <w:vertAlign w:val="baseline"/>
              </w:rPr>
            </w:pPr>
          </w:p>
        </w:tc>
        <w:tc>
          <w:tcPr>
            <w:tcW w:w="3032" w:type="dxa"/>
            <w:vAlign w:val="center"/>
          </w:tcPr>
          <w:p w14:paraId="52B55D0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工艺方案整体描述（0-25分）</w:t>
            </w:r>
          </w:p>
        </w:tc>
        <w:tc>
          <w:tcPr>
            <w:tcW w:w="4815" w:type="dxa"/>
            <w:vAlign w:val="center"/>
          </w:tcPr>
          <w:p w14:paraId="32F8BE7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根据投标书总体描述情况或现场答疑情况由专家自主综合评价。</w:t>
            </w:r>
          </w:p>
        </w:tc>
      </w:tr>
      <w:tr w14:paraId="11E3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C8BA086">
            <w:pPr>
              <w:bidi w:val="0"/>
              <w:jc w:val="center"/>
              <w:rPr>
                <w:rFonts w:hint="eastAsia" w:eastAsia="宋体"/>
                <w:vertAlign w:val="baseline"/>
                <w:lang w:val="en-US" w:eastAsia="zh-CN"/>
              </w:rPr>
            </w:pPr>
            <w:r>
              <w:rPr>
                <w:rFonts w:hint="eastAsia"/>
                <w:vertAlign w:val="baseline"/>
                <w:lang w:val="en-US" w:eastAsia="zh-CN"/>
              </w:rPr>
              <w:t>7</w:t>
            </w:r>
          </w:p>
        </w:tc>
        <w:tc>
          <w:tcPr>
            <w:tcW w:w="654" w:type="dxa"/>
            <w:vMerge w:val="continue"/>
          </w:tcPr>
          <w:p w14:paraId="7EC7E2C6">
            <w:pPr>
              <w:bidi w:val="0"/>
              <w:rPr>
                <w:rFonts w:hint="eastAsia"/>
                <w:vertAlign w:val="baseline"/>
              </w:rPr>
            </w:pPr>
          </w:p>
        </w:tc>
        <w:tc>
          <w:tcPr>
            <w:tcW w:w="3032" w:type="dxa"/>
            <w:vAlign w:val="center"/>
          </w:tcPr>
          <w:p w14:paraId="08B53BBB">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供货周期（0-10分）</w:t>
            </w:r>
          </w:p>
        </w:tc>
        <w:tc>
          <w:tcPr>
            <w:tcW w:w="4815" w:type="dxa"/>
            <w:vAlign w:val="center"/>
          </w:tcPr>
          <w:p w14:paraId="171322F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优于招标文件要求得6-10分</w:t>
            </w:r>
            <w:r>
              <w:rPr>
                <w:rStyle w:val="118"/>
                <w:lang w:val="en-US" w:eastAsia="zh-CN" w:bidi="ar"/>
              </w:rPr>
              <w:t xml:space="preserve"> ；满足招标文件要求得5分；不满足0分。  </w:t>
            </w:r>
          </w:p>
        </w:tc>
      </w:tr>
      <w:tr w14:paraId="4A3F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CAACDB2">
            <w:pPr>
              <w:bidi w:val="0"/>
              <w:jc w:val="center"/>
              <w:rPr>
                <w:rFonts w:hint="eastAsia" w:eastAsia="宋体"/>
                <w:vertAlign w:val="baseline"/>
                <w:lang w:val="en-US" w:eastAsia="zh-CN"/>
              </w:rPr>
            </w:pPr>
            <w:r>
              <w:rPr>
                <w:rFonts w:hint="eastAsia"/>
                <w:vertAlign w:val="baseline"/>
                <w:lang w:val="en-US" w:eastAsia="zh-CN"/>
              </w:rPr>
              <w:t>8</w:t>
            </w:r>
          </w:p>
        </w:tc>
        <w:tc>
          <w:tcPr>
            <w:tcW w:w="654" w:type="dxa"/>
            <w:vMerge w:val="continue"/>
          </w:tcPr>
          <w:p w14:paraId="7ABDAD54">
            <w:pPr>
              <w:bidi w:val="0"/>
              <w:rPr>
                <w:rFonts w:hint="eastAsia"/>
                <w:vertAlign w:val="baseline"/>
              </w:rPr>
            </w:pPr>
          </w:p>
        </w:tc>
        <w:tc>
          <w:tcPr>
            <w:tcW w:w="3032" w:type="dxa"/>
            <w:vAlign w:val="center"/>
          </w:tcPr>
          <w:p w14:paraId="71936147">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质保期及售后服务（0-10分）</w:t>
            </w:r>
          </w:p>
        </w:tc>
        <w:tc>
          <w:tcPr>
            <w:tcW w:w="4815" w:type="dxa"/>
            <w:vAlign w:val="center"/>
          </w:tcPr>
          <w:p w14:paraId="5B7E157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售后服务措施得当，质保期优于招标文件要求6-10分、满足招标文件要求5分；不满足0分。</w:t>
            </w:r>
          </w:p>
        </w:tc>
      </w:tr>
    </w:tbl>
    <w:p w14:paraId="3C9C27AB">
      <w:pPr>
        <w:bidi w:val="0"/>
        <w:rPr>
          <w:rFonts w:hint="eastAsia"/>
        </w:rPr>
      </w:pPr>
    </w:p>
    <w:p w14:paraId="57745C3B">
      <w:pPr>
        <w:tabs>
          <w:tab w:val="left" w:pos="1140"/>
        </w:tabs>
        <w:spacing w:line="480" w:lineRule="exact"/>
        <w:jc w:val="left"/>
        <w:rPr>
          <w:rFonts w:hint="eastAsia"/>
          <w:sz w:val="24"/>
          <w:szCs w:val="24"/>
        </w:rPr>
      </w:pPr>
    </w:p>
    <w:p w14:paraId="1E38F58E">
      <w:pPr>
        <w:ind w:firstLine="240" w:firstLineChars="100"/>
        <w:rPr>
          <w:rFonts w:hint="eastAsia" w:eastAsia="宋体"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六、济南成型厂对采购产品质量相关要求详见附件</w:t>
      </w:r>
      <w:r>
        <w:rPr>
          <w:rFonts w:hint="eastAsia" w:ascii="宋体" w:hAnsi="宋体"/>
          <w:color w:val="auto"/>
          <w:szCs w:val="21"/>
        </w:rPr>
        <w:t>《采购产品质量保证与服务协议》</w:t>
      </w:r>
      <w:r>
        <w:rPr>
          <w:rFonts w:hint="eastAsia" w:ascii="宋体" w:hAnsi="宋体"/>
          <w:color w:val="auto"/>
          <w:szCs w:val="21"/>
          <w:lang w:eastAsia="zh-CN"/>
        </w:rPr>
        <w:t>。</w:t>
      </w:r>
    </w:p>
    <w:p w14:paraId="3A99FAD1">
      <w:pPr>
        <w:rPr>
          <w:rFonts w:hint="eastAsia" w:asciiTheme="minorEastAsia" w:hAnsiTheme="minorEastAsia" w:eastAsiaTheme="minorEastAsia" w:cstheme="minorEastAsia"/>
          <w:sz w:val="24"/>
          <w:szCs w:val="24"/>
        </w:rPr>
      </w:pPr>
    </w:p>
    <w:p w14:paraId="03073FA8"/>
    <w:p w14:paraId="15541C13"/>
    <w:p w14:paraId="738C955C"/>
    <w:p w14:paraId="1AAC0D48"/>
    <w:p w14:paraId="503BCCB1"/>
    <w:p w14:paraId="04BB183B"/>
    <w:p w14:paraId="016D1511">
      <w:pPr>
        <w:spacing w:line="490" w:lineRule="exact"/>
        <w:jc w:val="both"/>
        <w:rPr>
          <w:rFonts w:hint="eastAsia" w:ascii="黑体" w:hAnsi="黑体" w:eastAsia="黑体"/>
          <w:b/>
          <w:bCs/>
          <w:sz w:val="44"/>
          <w:szCs w:val="44"/>
        </w:rPr>
      </w:pPr>
    </w:p>
    <w:p w14:paraId="224D23CE">
      <w:pPr>
        <w:spacing w:line="490" w:lineRule="exact"/>
        <w:ind w:firstLine="2650" w:firstLineChars="600"/>
        <w:jc w:val="both"/>
        <w:rPr>
          <w:rFonts w:hint="eastAsia" w:ascii="黑体" w:eastAsia="黑体"/>
          <w:sz w:val="44"/>
          <w:szCs w:val="44"/>
          <w:lang w:val="en-US" w:eastAsia="zh-CN"/>
        </w:rPr>
      </w:pPr>
      <w:r>
        <w:rPr>
          <w:rFonts w:hint="eastAsia" w:ascii="黑体" w:hAnsi="黑体" w:eastAsia="黑体"/>
          <w:b/>
          <w:bCs/>
          <w:sz w:val="44"/>
          <w:szCs w:val="44"/>
        </w:rPr>
        <w:t>投标文件格式</w:t>
      </w:r>
      <w:r>
        <w:rPr>
          <w:rFonts w:hint="eastAsia" w:ascii="黑体" w:hAnsi="黑体" w:eastAsia="黑体"/>
          <w:b/>
          <w:bCs/>
          <w:sz w:val="44"/>
          <w:szCs w:val="44"/>
          <w:lang w:val="en-US" w:eastAsia="zh-CN"/>
        </w:rPr>
        <w:t>及</w:t>
      </w:r>
      <w:r>
        <w:rPr>
          <w:rFonts w:hint="eastAsia" w:ascii="黑体" w:eastAsia="黑体"/>
          <w:b/>
          <w:bCs/>
          <w:sz w:val="44"/>
          <w:szCs w:val="44"/>
          <w:lang w:val="en-US" w:eastAsia="zh-CN"/>
        </w:rPr>
        <w:t>附件</w:t>
      </w:r>
    </w:p>
    <w:p w14:paraId="0461AE59">
      <w:pPr>
        <w:pStyle w:val="112"/>
        <w:ind w:left="0" w:leftChars="0" w:firstLine="0" w:firstLineChars="0"/>
        <w:rPr>
          <w:rFonts w:hint="eastAsia" w:cs="宋体"/>
        </w:rPr>
      </w:pPr>
    </w:p>
    <w:p w14:paraId="7D0CDAAC">
      <w:pPr>
        <w:pStyle w:val="112"/>
        <w:ind w:left="0" w:leftChars="0" w:firstLine="0" w:firstLineChars="0"/>
        <w:rPr>
          <w:rFonts w:hint="eastAsia" w:cs="宋体"/>
        </w:rPr>
      </w:pPr>
    </w:p>
    <w:p w14:paraId="2AA9D17A">
      <w:pPr>
        <w:pStyle w:val="112"/>
        <w:ind w:firstLine="482" w:firstLineChars="200"/>
      </w:pPr>
      <w:r>
        <w:rPr>
          <w:rFonts w:hint="eastAsia"/>
        </w:rPr>
        <w:t>格式</w:t>
      </w:r>
      <w:r>
        <w:rPr>
          <w:rFonts w:hint="eastAsia"/>
          <w:lang w:val="en-US" w:eastAsia="zh-CN"/>
        </w:rPr>
        <w:t>1</w:t>
      </w:r>
      <w:r>
        <w:t xml:space="preserve"> </w:t>
      </w:r>
      <w:r>
        <w:rPr>
          <w:rFonts w:hint="eastAsia"/>
          <w:lang w:val="en-US" w:eastAsia="zh-CN"/>
        </w:rPr>
        <w:t xml:space="preserve"> </w:t>
      </w:r>
      <w:r>
        <w:rPr>
          <w:rFonts w:hint="eastAsia"/>
        </w:rPr>
        <w:t>近三年国内同类项目业绩一览表</w:t>
      </w:r>
    </w:p>
    <w:p w14:paraId="4A8DC151">
      <w:pPr>
        <w:pStyle w:val="111"/>
        <w:ind w:firstLine="480" w:firstLineChars="200"/>
        <w:rPr>
          <w:rFonts w:hint="eastAsia"/>
        </w:rPr>
      </w:pPr>
      <w:r>
        <w:rPr>
          <w:rFonts w:hint="eastAsia"/>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224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106870A">
            <w:pPr>
              <w:pStyle w:val="22"/>
              <w:jc w:val="center"/>
              <w:rPr>
                <w:rFonts w:hint="eastAsia" w:ascii="宋体" w:hAnsi="宋体"/>
                <w:b/>
                <w:szCs w:val="21"/>
              </w:rPr>
            </w:pPr>
            <w:r>
              <w:rPr>
                <w:rFonts w:hint="eastAsia" w:ascii="宋体" w:hAnsi="宋体"/>
                <w:b/>
                <w:szCs w:val="21"/>
              </w:rPr>
              <w:t>序号</w:t>
            </w:r>
          </w:p>
        </w:tc>
        <w:tc>
          <w:tcPr>
            <w:tcW w:w="2061" w:type="dxa"/>
            <w:noWrap w:val="0"/>
            <w:vAlign w:val="center"/>
          </w:tcPr>
          <w:p w14:paraId="5EA6D090">
            <w:pPr>
              <w:pStyle w:val="22"/>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01E04B00">
            <w:pPr>
              <w:pStyle w:val="22"/>
              <w:jc w:val="both"/>
              <w:rPr>
                <w:rFonts w:hint="eastAsia" w:ascii="宋体" w:hAnsi="宋体"/>
                <w:b/>
                <w:szCs w:val="21"/>
              </w:rPr>
            </w:pPr>
            <w:r>
              <w:rPr>
                <w:rFonts w:hint="eastAsia" w:ascii="宋体" w:hAnsi="宋体"/>
                <w:b/>
                <w:szCs w:val="21"/>
              </w:rPr>
              <w:t>项目名称</w:t>
            </w:r>
          </w:p>
        </w:tc>
        <w:tc>
          <w:tcPr>
            <w:tcW w:w="775" w:type="dxa"/>
            <w:noWrap w:val="0"/>
            <w:vAlign w:val="center"/>
          </w:tcPr>
          <w:p w14:paraId="69B9890D">
            <w:pPr>
              <w:pStyle w:val="22"/>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32A87DDE">
            <w:pPr>
              <w:pStyle w:val="22"/>
              <w:ind w:left="0" w:firstLine="0"/>
              <w:jc w:val="center"/>
              <w:rPr>
                <w:rFonts w:hint="eastAsia" w:ascii="宋体" w:hAnsi="宋体"/>
                <w:b/>
                <w:szCs w:val="21"/>
              </w:rPr>
            </w:pPr>
            <w:r>
              <w:rPr>
                <w:rFonts w:hint="eastAsia" w:ascii="宋体" w:hAnsi="宋体"/>
                <w:b/>
                <w:szCs w:val="21"/>
              </w:rPr>
              <w:t>合同金额</w:t>
            </w:r>
            <w:r>
              <w:rPr>
                <w:rFonts w:hint="eastAsia" w:ascii="宋体" w:hAnsi="宋体" w:eastAsia="宋体"/>
                <w:b/>
                <w:szCs w:val="21"/>
              </w:rPr>
              <w:t xml:space="preserve"> </w:t>
            </w:r>
            <w:r>
              <w:rPr>
                <w:rFonts w:hint="eastAsia" w:ascii="宋体" w:hAnsi="宋体"/>
                <w:b/>
                <w:szCs w:val="21"/>
              </w:rPr>
              <w:t>（万元）</w:t>
            </w:r>
          </w:p>
        </w:tc>
        <w:tc>
          <w:tcPr>
            <w:tcW w:w="1481" w:type="dxa"/>
            <w:noWrap w:val="0"/>
            <w:vAlign w:val="center"/>
          </w:tcPr>
          <w:p w14:paraId="3EEDF636">
            <w:pPr>
              <w:pStyle w:val="22"/>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5DADA9A">
            <w:pPr>
              <w:pStyle w:val="22"/>
              <w:jc w:val="both"/>
              <w:rPr>
                <w:rFonts w:hint="eastAsia" w:ascii="宋体" w:hAnsi="宋体"/>
                <w:b/>
                <w:szCs w:val="21"/>
              </w:rPr>
            </w:pPr>
            <w:r>
              <w:rPr>
                <w:rFonts w:hint="eastAsia" w:ascii="宋体" w:hAnsi="宋体"/>
                <w:b/>
                <w:szCs w:val="21"/>
              </w:rPr>
              <w:t>联系人及联系电话</w:t>
            </w:r>
          </w:p>
        </w:tc>
      </w:tr>
      <w:tr w14:paraId="5EB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3D4B96D">
            <w:pPr>
              <w:pStyle w:val="22"/>
              <w:jc w:val="center"/>
              <w:rPr>
                <w:rFonts w:hint="eastAsia" w:ascii="宋体" w:hAnsi="宋体" w:eastAsia="宋体"/>
                <w:b/>
              </w:rPr>
            </w:pPr>
            <w:r>
              <w:rPr>
                <w:rFonts w:hint="eastAsia" w:ascii="宋体" w:hAnsi="宋体" w:eastAsia="宋体"/>
                <w:b/>
              </w:rPr>
              <w:t>1</w:t>
            </w:r>
          </w:p>
        </w:tc>
        <w:tc>
          <w:tcPr>
            <w:tcW w:w="2061" w:type="dxa"/>
            <w:noWrap w:val="0"/>
            <w:vAlign w:val="center"/>
          </w:tcPr>
          <w:p w14:paraId="3AF88A60">
            <w:pPr>
              <w:pStyle w:val="22"/>
              <w:jc w:val="center"/>
              <w:rPr>
                <w:rFonts w:hint="eastAsia" w:ascii="宋体" w:hAnsi="宋体"/>
                <w:b/>
              </w:rPr>
            </w:pPr>
          </w:p>
        </w:tc>
        <w:tc>
          <w:tcPr>
            <w:tcW w:w="1317" w:type="dxa"/>
            <w:noWrap w:val="0"/>
            <w:vAlign w:val="center"/>
          </w:tcPr>
          <w:p w14:paraId="374BE2D9">
            <w:pPr>
              <w:pStyle w:val="22"/>
              <w:jc w:val="center"/>
              <w:rPr>
                <w:rFonts w:hint="eastAsia" w:ascii="宋体" w:hAnsi="宋体"/>
                <w:b/>
              </w:rPr>
            </w:pPr>
          </w:p>
        </w:tc>
        <w:tc>
          <w:tcPr>
            <w:tcW w:w="775" w:type="dxa"/>
            <w:noWrap w:val="0"/>
            <w:vAlign w:val="center"/>
          </w:tcPr>
          <w:p w14:paraId="3490DCE2">
            <w:pPr>
              <w:pStyle w:val="22"/>
              <w:jc w:val="center"/>
              <w:rPr>
                <w:rFonts w:hint="eastAsia" w:ascii="宋体" w:hAnsi="宋体"/>
                <w:b/>
              </w:rPr>
            </w:pPr>
          </w:p>
        </w:tc>
        <w:tc>
          <w:tcPr>
            <w:tcW w:w="1281" w:type="dxa"/>
            <w:noWrap w:val="0"/>
            <w:vAlign w:val="center"/>
          </w:tcPr>
          <w:p w14:paraId="3166866A">
            <w:pPr>
              <w:pStyle w:val="22"/>
              <w:jc w:val="center"/>
              <w:rPr>
                <w:rFonts w:hint="default" w:ascii="宋体" w:hAnsi="宋体" w:eastAsia="宋体"/>
                <w:b/>
                <w:lang w:val="en-US" w:eastAsia="zh-CN"/>
              </w:rPr>
            </w:pPr>
            <w:r>
              <w:rPr>
                <w:rFonts w:hint="eastAsia" w:ascii="宋体" w:hAnsi="宋体"/>
                <w:b/>
                <w:lang w:val="en-US" w:eastAsia="zh-CN"/>
              </w:rPr>
              <w:t>必填项</w:t>
            </w:r>
          </w:p>
        </w:tc>
        <w:tc>
          <w:tcPr>
            <w:tcW w:w="1481" w:type="dxa"/>
            <w:noWrap w:val="0"/>
            <w:vAlign w:val="center"/>
          </w:tcPr>
          <w:p w14:paraId="7CE2F48D">
            <w:pPr>
              <w:pStyle w:val="22"/>
              <w:jc w:val="center"/>
              <w:rPr>
                <w:rFonts w:hint="eastAsia" w:ascii="宋体" w:hAnsi="宋体"/>
                <w:b/>
              </w:rPr>
            </w:pPr>
          </w:p>
        </w:tc>
        <w:tc>
          <w:tcPr>
            <w:tcW w:w="1559" w:type="dxa"/>
            <w:noWrap w:val="0"/>
            <w:vAlign w:val="center"/>
          </w:tcPr>
          <w:p w14:paraId="5C1B8728">
            <w:pPr>
              <w:pStyle w:val="22"/>
              <w:jc w:val="center"/>
              <w:rPr>
                <w:rFonts w:hint="eastAsia" w:ascii="宋体" w:hAnsi="宋体"/>
                <w:b/>
              </w:rPr>
            </w:pPr>
          </w:p>
        </w:tc>
      </w:tr>
      <w:tr w14:paraId="48A4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911294A">
            <w:pPr>
              <w:pStyle w:val="22"/>
              <w:jc w:val="center"/>
              <w:rPr>
                <w:rFonts w:hint="eastAsia" w:ascii="宋体" w:hAnsi="宋体" w:eastAsia="宋体"/>
                <w:b/>
              </w:rPr>
            </w:pPr>
            <w:r>
              <w:rPr>
                <w:rFonts w:hint="eastAsia" w:ascii="宋体" w:hAnsi="宋体" w:eastAsia="宋体"/>
                <w:b/>
              </w:rPr>
              <w:t>2</w:t>
            </w:r>
          </w:p>
        </w:tc>
        <w:tc>
          <w:tcPr>
            <w:tcW w:w="2061" w:type="dxa"/>
            <w:noWrap w:val="0"/>
            <w:vAlign w:val="center"/>
          </w:tcPr>
          <w:p w14:paraId="1EBE3A43">
            <w:pPr>
              <w:pStyle w:val="22"/>
              <w:jc w:val="center"/>
              <w:rPr>
                <w:rFonts w:hint="eastAsia" w:ascii="宋体" w:hAnsi="宋体"/>
                <w:b/>
              </w:rPr>
            </w:pPr>
          </w:p>
        </w:tc>
        <w:tc>
          <w:tcPr>
            <w:tcW w:w="1317" w:type="dxa"/>
            <w:noWrap w:val="0"/>
            <w:vAlign w:val="center"/>
          </w:tcPr>
          <w:p w14:paraId="42AD5CFB">
            <w:pPr>
              <w:pStyle w:val="22"/>
              <w:jc w:val="center"/>
              <w:rPr>
                <w:rFonts w:hint="eastAsia" w:ascii="宋体" w:hAnsi="宋体"/>
                <w:b/>
              </w:rPr>
            </w:pPr>
          </w:p>
        </w:tc>
        <w:tc>
          <w:tcPr>
            <w:tcW w:w="775" w:type="dxa"/>
            <w:noWrap w:val="0"/>
            <w:vAlign w:val="center"/>
          </w:tcPr>
          <w:p w14:paraId="5EB493EC">
            <w:pPr>
              <w:pStyle w:val="22"/>
              <w:jc w:val="center"/>
              <w:rPr>
                <w:rFonts w:hint="eastAsia" w:ascii="宋体" w:hAnsi="宋体"/>
                <w:b/>
              </w:rPr>
            </w:pPr>
          </w:p>
        </w:tc>
        <w:tc>
          <w:tcPr>
            <w:tcW w:w="1281" w:type="dxa"/>
            <w:noWrap w:val="0"/>
            <w:vAlign w:val="center"/>
          </w:tcPr>
          <w:p w14:paraId="027C377F">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444D8A13">
            <w:pPr>
              <w:pStyle w:val="22"/>
              <w:jc w:val="center"/>
              <w:rPr>
                <w:rFonts w:hint="eastAsia" w:ascii="宋体" w:hAnsi="宋体"/>
                <w:b/>
              </w:rPr>
            </w:pPr>
          </w:p>
        </w:tc>
        <w:tc>
          <w:tcPr>
            <w:tcW w:w="1559" w:type="dxa"/>
            <w:noWrap w:val="0"/>
            <w:vAlign w:val="center"/>
          </w:tcPr>
          <w:p w14:paraId="1FC826FD">
            <w:pPr>
              <w:pStyle w:val="22"/>
              <w:jc w:val="center"/>
              <w:rPr>
                <w:rFonts w:hint="eastAsia" w:ascii="宋体" w:hAnsi="宋体"/>
                <w:b/>
              </w:rPr>
            </w:pPr>
          </w:p>
        </w:tc>
      </w:tr>
      <w:tr w14:paraId="32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B906E21">
            <w:pPr>
              <w:pStyle w:val="22"/>
              <w:jc w:val="center"/>
              <w:rPr>
                <w:rFonts w:hint="eastAsia" w:ascii="宋体" w:hAnsi="宋体" w:eastAsia="宋体"/>
                <w:b/>
              </w:rPr>
            </w:pPr>
            <w:r>
              <w:rPr>
                <w:rFonts w:hint="eastAsia" w:ascii="宋体" w:hAnsi="宋体" w:eastAsia="宋体"/>
                <w:b/>
              </w:rPr>
              <w:t>3</w:t>
            </w:r>
          </w:p>
        </w:tc>
        <w:tc>
          <w:tcPr>
            <w:tcW w:w="2061" w:type="dxa"/>
            <w:noWrap w:val="0"/>
            <w:vAlign w:val="center"/>
          </w:tcPr>
          <w:p w14:paraId="5555D90B">
            <w:pPr>
              <w:pStyle w:val="22"/>
              <w:jc w:val="center"/>
              <w:rPr>
                <w:rFonts w:hint="eastAsia" w:ascii="宋体" w:hAnsi="宋体"/>
                <w:b/>
              </w:rPr>
            </w:pPr>
          </w:p>
        </w:tc>
        <w:tc>
          <w:tcPr>
            <w:tcW w:w="1317" w:type="dxa"/>
            <w:noWrap w:val="0"/>
            <w:vAlign w:val="center"/>
          </w:tcPr>
          <w:p w14:paraId="7CDCFC3A">
            <w:pPr>
              <w:pStyle w:val="22"/>
              <w:jc w:val="center"/>
              <w:rPr>
                <w:rFonts w:hint="eastAsia" w:ascii="宋体" w:hAnsi="宋体"/>
                <w:b/>
              </w:rPr>
            </w:pPr>
          </w:p>
        </w:tc>
        <w:tc>
          <w:tcPr>
            <w:tcW w:w="775" w:type="dxa"/>
            <w:noWrap w:val="0"/>
            <w:vAlign w:val="center"/>
          </w:tcPr>
          <w:p w14:paraId="7539B0F5">
            <w:pPr>
              <w:pStyle w:val="22"/>
              <w:jc w:val="center"/>
              <w:rPr>
                <w:rFonts w:hint="eastAsia" w:ascii="宋体" w:hAnsi="宋体"/>
                <w:b/>
              </w:rPr>
            </w:pPr>
          </w:p>
        </w:tc>
        <w:tc>
          <w:tcPr>
            <w:tcW w:w="1281" w:type="dxa"/>
            <w:noWrap w:val="0"/>
            <w:vAlign w:val="center"/>
          </w:tcPr>
          <w:p w14:paraId="7789C705">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7885067A">
            <w:pPr>
              <w:pStyle w:val="22"/>
              <w:jc w:val="center"/>
              <w:rPr>
                <w:rFonts w:hint="eastAsia" w:ascii="宋体" w:hAnsi="宋体"/>
                <w:b/>
              </w:rPr>
            </w:pPr>
          </w:p>
        </w:tc>
        <w:tc>
          <w:tcPr>
            <w:tcW w:w="1559" w:type="dxa"/>
            <w:noWrap w:val="0"/>
            <w:vAlign w:val="center"/>
          </w:tcPr>
          <w:p w14:paraId="13853116">
            <w:pPr>
              <w:pStyle w:val="22"/>
              <w:jc w:val="center"/>
              <w:rPr>
                <w:rFonts w:hint="eastAsia" w:ascii="宋体" w:hAnsi="宋体"/>
                <w:b/>
              </w:rPr>
            </w:pPr>
          </w:p>
        </w:tc>
      </w:tr>
      <w:tr w14:paraId="4A3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0CD9D41">
            <w:pPr>
              <w:pStyle w:val="22"/>
              <w:jc w:val="center"/>
              <w:rPr>
                <w:rFonts w:hint="eastAsia" w:ascii="宋体" w:hAnsi="宋体" w:eastAsia="宋体"/>
                <w:b/>
              </w:rPr>
            </w:pPr>
            <w:r>
              <w:rPr>
                <w:rFonts w:hint="eastAsia" w:ascii="宋体" w:hAnsi="宋体" w:eastAsia="宋体"/>
                <w:b/>
              </w:rPr>
              <w:t>4</w:t>
            </w:r>
          </w:p>
        </w:tc>
        <w:tc>
          <w:tcPr>
            <w:tcW w:w="2061" w:type="dxa"/>
            <w:noWrap w:val="0"/>
            <w:vAlign w:val="center"/>
          </w:tcPr>
          <w:p w14:paraId="7B644D21">
            <w:pPr>
              <w:pStyle w:val="22"/>
              <w:jc w:val="center"/>
              <w:rPr>
                <w:rFonts w:hint="eastAsia" w:ascii="宋体" w:hAnsi="宋体"/>
                <w:b/>
              </w:rPr>
            </w:pPr>
          </w:p>
        </w:tc>
        <w:tc>
          <w:tcPr>
            <w:tcW w:w="1317" w:type="dxa"/>
            <w:noWrap w:val="0"/>
            <w:vAlign w:val="center"/>
          </w:tcPr>
          <w:p w14:paraId="2A863A6D">
            <w:pPr>
              <w:pStyle w:val="22"/>
              <w:jc w:val="center"/>
              <w:rPr>
                <w:rFonts w:hint="eastAsia" w:ascii="宋体" w:hAnsi="宋体"/>
                <w:b/>
              </w:rPr>
            </w:pPr>
          </w:p>
        </w:tc>
        <w:tc>
          <w:tcPr>
            <w:tcW w:w="775" w:type="dxa"/>
            <w:noWrap w:val="0"/>
            <w:vAlign w:val="center"/>
          </w:tcPr>
          <w:p w14:paraId="23399F15">
            <w:pPr>
              <w:pStyle w:val="22"/>
              <w:jc w:val="center"/>
              <w:rPr>
                <w:rFonts w:hint="eastAsia" w:ascii="宋体" w:hAnsi="宋体"/>
                <w:b/>
              </w:rPr>
            </w:pPr>
          </w:p>
        </w:tc>
        <w:tc>
          <w:tcPr>
            <w:tcW w:w="1281" w:type="dxa"/>
            <w:noWrap w:val="0"/>
            <w:vAlign w:val="center"/>
          </w:tcPr>
          <w:p w14:paraId="023CC33C">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0D125378">
            <w:pPr>
              <w:pStyle w:val="22"/>
              <w:jc w:val="center"/>
              <w:rPr>
                <w:rFonts w:hint="eastAsia" w:ascii="宋体" w:hAnsi="宋体"/>
                <w:b/>
              </w:rPr>
            </w:pPr>
          </w:p>
        </w:tc>
        <w:tc>
          <w:tcPr>
            <w:tcW w:w="1559" w:type="dxa"/>
            <w:noWrap w:val="0"/>
            <w:vAlign w:val="center"/>
          </w:tcPr>
          <w:p w14:paraId="66E30759">
            <w:pPr>
              <w:pStyle w:val="22"/>
              <w:jc w:val="center"/>
              <w:rPr>
                <w:rFonts w:hint="eastAsia" w:ascii="宋体" w:hAnsi="宋体"/>
                <w:b/>
              </w:rPr>
            </w:pPr>
          </w:p>
        </w:tc>
      </w:tr>
      <w:tr w14:paraId="7F6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2DF9512">
            <w:pPr>
              <w:pStyle w:val="22"/>
              <w:jc w:val="center"/>
              <w:rPr>
                <w:rFonts w:hint="eastAsia" w:ascii="宋体" w:hAnsi="宋体" w:eastAsia="宋体"/>
                <w:b/>
              </w:rPr>
            </w:pPr>
            <w:r>
              <w:rPr>
                <w:rFonts w:hint="eastAsia" w:ascii="宋体" w:hAnsi="宋体" w:eastAsia="宋体"/>
                <w:b/>
              </w:rPr>
              <w:t>5</w:t>
            </w:r>
          </w:p>
        </w:tc>
        <w:tc>
          <w:tcPr>
            <w:tcW w:w="2061" w:type="dxa"/>
            <w:noWrap w:val="0"/>
            <w:vAlign w:val="center"/>
          </w:tcPr>
          <w:p w14:paraId="557F5CFC">
            <w:pPr>
              <w:pStyle w:val="22"/>
              <w:jc w:val="center"/>
              <w:rPr>
                <w:rFonts w:hint="eastAsia" w:ascii="宋体" w:hAnsi="宋体"/>
                <w:b/>
              </w:rPr>
            </w:pPr>
          </w:p>
        </w:tc>
        <w:tc>
          <w:tcPr>
            <w:tcW w:w="1317" w:type="dxa"/>
            <w:noWrap w:val="0"/>
            <w:vAlign w:val="center"/>
          </w:tcPr>
          <w:p w14:paraId="6873597D">
            <w:pPr>
              <w:pStyle w:val="22"/>
              <w:jc w:val="center"/>
              <w:rPr>
                <w:rFonts w:hint="eastAsia" w:ascii="宋体" w:hAnsi="宋体"/>
                <w:b/>
              </w:rPr>
            </w:pPr>
          </w:p>
        </w:tc>
        <w:tc>
          <w:tcPr>
            <w:tcW w:w="775" w:type="dxa"/>
            <w:noWrap w:val="0"/>
            <w:vAlign w:val="center"/>
          </w:tcPr>
          <w:p w14:paraId="39D3E034">
            <w:pPr>
              <w:pStyle w:val="22"/>
              <w:jc w:val="center"/>
              <w:rPr>
                <w:rFonts w:hint="eastAsia" w:ascii="宋体" w:hAnsi="宋体"/>
                <w:b/>
              </w:rPr>
            </w:pPr>
          </w:p>
        </w:tc>
        <w:tc>
          <w:tcPr>
            <w:tcW w:w="1281" w:type="dxa"/>
            <w:noWrap w:val="0"/>
            <w:vAlign w:val="center"/>
          </w:tcPr>
          <w:p w14:paraId="251B3EC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2D80696">
            <w:pPr>
              <w:pStyle w:val="22"/>
              <w:jc w:val="center"/>
              <w:rPr>
                <w:rFonts w:hint="eastAsia" w:ascii="宋体" w:hAnsi="宋体"/>
                <w:b/>
              </w:rPr>
            </w:pPr>
          </w:p>
        </w:tc>
        <w:tc>
          <w:tcPr>
            <w:tcW w:w="1559" w:type="dxa"/>
            <w:noWrap w:val="0"/>
            <w:vAlign w:val="center"/>
          </w:tcPr>
          <w:p w14:paraId="3016A569">
            <w:pPr>
              <w:pStyle w:val="22"/>
              <w:jc w:val="center"/>
              <w:rPr>
                <w:rFonts w:hint="eastAsia" w:ascii="宋体" w:hAnsi="宋体"/>
                <w:b/>
              </w:rPr>
            </w:pPr>
          </w:p>
        </w:tc>
      </w:tr>
      <w:tr w14:paraId="24FD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FEEAF0D">
            <w:pPr>
              <w:pStyle w:val="22"/>
              <w:rPr>
                <w:rFonts w:hint="default" w:ascii="宋体" w:hAnsi="宋体" w:eastAsia="宋体"/>
                <w:b/>
                <w:lang w:val="en-US" w:eastAsia="zh-CN"/>
              </w:rPr>
            </w:pPr>
          </w:p>
        </w:tc>
        <w:tc>
          <w:tcPr>
            <w:tcW w:w="2061" w:type="dxa"/>
            <w:noWrap w:val="0"/>
            <w:vAlign w:val="top"/>
          </w:tcPr>
          <w:p w14:paraId="288D966D">
            <w:pPr>
              <w:pStyle w:val="22"/>
              <w:rPr>
                <w:rFonts w:hint="eastAsia" w:ascii="宋体" w:hAnsi="宋体"/>
                <w:b/>
              </w:rPr>
            </w:pPr>
          </w:p>
        </w:tc>
        <w:tc>
          <w:tcPr>
            <w:tcW w:w="1317" w:type="dxa"/>
            <w:noWrap w:val="0"/>
            <w:vAlign w:val="top"/>
          </w:tcPr>
          <w:p w14:paraId="40565377">
            <w:pPr>
              <w:pStyle w:val="22"/>
              <w:rPr>
                <w:rFonts w:hint="eastAsia" w:ascii="宋体" w:hAnsi="宋体"/>
                <w:b/>
              </w:rPr>
            </w:pPr>
          </w:p>
        </w:tc>
        <w:tc>
          <w:tcPr>
            <w:tcW w:w="775" w:type="dxa"/>
            <w:noWrap w:val="0"/>
            <w:vAlign w:val="top"/>
          </w:tcPr>
          <w:p w14:paraId="13FC9906">
            <w:pPr>
              <w:pStyle w:val="22"/>
              <w:rPr>
                <w:rFonts w:hint="eastAsia" w:ascii="宋体" w:hAnsi="宋体"/>
                <w:b/>
              </w:rPr>
            </w:pPr>
          </w:p>
        </w:tc>
        <w:tc>
          <w:tcPr>
            <w:tcW w:w="1281" w:type="dxa"/>
            <w:noWrap w:val="0"/>
            <w:vAlign w:val="top"/>
          </w:tcPr>
          <w:p w14:paraId="387472C4">
            <w:pPr>
              <w:pStyle w:val="22"/>
              <w:rPr>
                <w:rFonts w:hint="eastAsia" w:ascii="宋体" w:hAnsi="宋体"/>
                <w:b/>
              </w:rPr>
            </w:pPr>
          </w:p>
        </w:tc>
        <w:tc>
          <w:tcPr>
            <w:tcW w:w="1481" w:type="dxa"/>
            <w:noWrap w:val="0"/>
            <w:vAlign w:val="top"/>
          </w:tcPr>
          <w:p w14:paraId="2F5B02C9">
            <w:pPr>
              <w:pStyle w:val="22"/>
              <w:rPr>
                <w:rFonts w:hint="eastAsia" w:ascii="宋体" w:hAnsi="宋体"/>
                <w:b/>
              </w:rPr>
            </w:pPr>
          </w:p>
        </w:tc>
        <w:tc>
          <w:tcPr>
            <w:tcW w:w="1559" w:type="dxa"/>
            <w:noWrap w:val="0"/>
            <w:vAlign w:val="top"/>
          </w:tcPr>
          <w:p w14:paraId="693B2EF5">
            <w:pPr>
              <w:pStyle w:val="22"/>
              <w:rPr>
                <w:rFonts w:hint="eastAsia" w:ascii="宋体" w:hAnsi="宋体"/>
                <w:b/>
              </w:rPr>
            </w:pPr>
          </w:p>
        </w:tc>
      </w:tr>
      <w:tr w14:paraId="432C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A6086E5">
            <w:pPr>
              <w:pStyle w:val="22"/>
              <w:rPr>
                <w:rFonts w:hint="eastAsia" w:ascii="宋体" w:hAnsi="宋体"/>
                <w:b/>
              </w:rPr>
            </w:pPr>
          </w:p>
        </w:tc>
        <w:tc>
          <w:tcPr>
            <w:tcW w:w="2061" w:type="dxa"/>
            <w:noWrap w:val="0"/>
            <w:vAlign w:val="top"/>
          </w:tcPr>
          <w:p w14:paraId="401ACD43">
            <w:pPr>
              <w:pStyle w:val="22"/>
              <w:rPr>
                <w:rFonts w:hint="eastAsia" w:ascii="宋体" w:hAnsi="宋体"/>
                <w:b/>
              </w:rPr>
            </w:pPr>
          </w:p>
        </w:tc>
        <w:tc>
          <w:tcPr>
            <w:tcW w:w="1317" w:type="dxa"/>
            <w:noWrap w:val="0"/>
            <w:vAlign w:val="top"/>
          </w:tcPr>
          <w:p w14:paraId="03713C15">
            <w:pPr>
              <w:pStyle w:val="22"/>
              <w:rPr>
                <w:rFonts w:hint="eastAsia" w:ascii="宋体" w:hAnsi="宋体"/>
                <w:b/>
              </w:rPr>
            </w:pPr>
          </w:p>
        </w:tc>
        <w:tc>
          <w:tcPr>
            <w:tcW w:w="775" w:type="dxa"/>
            <w:noWrap w:val="0"/>
            <w:vAlign w:val="top"/>
          </w:tcPr>
          <w:p w14:paraId="1E73152C">
            <w:pPr>
              <w:pStyle w:val="22"/>
              <w:rPr>
                <w:rFonts w:hint="eastAsia" w:ascii="宋体" w:hAnsi="宋体"/>
                <w:b/>
              </w:rPr>
            </w:pPr>
          </w:p>
        </w:tc>
        <w:tc>
          <w:tcPr>
            <w:tcW w:w="1281" w:type="dxa"/>
            <w:noWrap w:val="0"/>
            <w:vAlign w:val="top"/>
          </w:tcPr>
          <w:p w14:paraId="208A7180">
            <w:pPr>
              <w:pStyle w:val="22"/>
              <w:rPr>
                <w:rFonts w:hint="eastAsia" w:ascii="宋体" w:hAnsi="宋体"/>
                <w:b/>
              </w:rPr>
            </w:pPr>
          </w:p>
        </w:tc>
        <w:tc>
          <w:tcPr>
            <w:tcW w:w="1481" w:type="dxa"/>
            <w:noWrap w:val="0"/>
            <w:vAlign w:val="top"/>
          </w:tcPr>
          <w:p w14:paraId="7AE3768A">
            <w:pPr>
              <w:pStyle w:val="22"/>
              <w:rPr>
                <w:rFonts w:hint="eastAsia" w:ascii="宋体" w:hAnsi="宋体"/>
                <w:b/>
              </w:rPr>
            </w:pPr>
          </w:p>
        </w:tc>
        <w:tc>
          <w:tcPr>
            <w:tcW w:w="1559" w:type="dxa"/>
            <w:noWrap w:val="0"/>
            <w:vAlign w:val="top"/>
          </w:tcPr>
          <w:p w14:paraId="289DCEC8">
            <w:pPr>
              <w:pStyle w:val="22"/>
              <w:rPr>
                <w:rFonts w:hint="eastAsia" w:ascii="宋体" w:hAnsi="宋体"/>
                <w:b/>
              </w:rPr>
            </w:pPr>
          </w:p>
        </w:tc>
      </w:tr>
      <w:tr w14:paraId="4884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FFBA196">
            <w:pPr>
              <w:pStyle w:val="22"/>
              <w:rPr>
                <w:rFonts w:hint="eastAsia" w:ascii="宋体" w:hAnsi="宋体"/>
                <w:b/>
              </w:rPr>
            </w:pPr>
          </w:p>
        </w:tc>
        <w:tc>
          <w:tcPr>
            <w:tcW w:w="2061" w:type="dxa"/>
            <w:noWrap w:val="0"/>
            <w:vAlign w:val="top"/>
          </w:tcPr>
          <w:p w14:paraId="7A507F69">
            <w:pPr>
              <w:pStyle w:val="22"/>
              <w:rPr>
                <w:rFonts w:hint="eastAsia" w:ascii="宋体" w:hAnsi="宋体"/>
                <w:b/>
              </w:rPr>
            </w:pPr>
          </w:p>
        </w:tc>
        <w:tc>
          <w:tcPr>
            <w:tcW w:w="1317" w:type="dxa"/>
            <w:noWrap w:val="0"/>
            <w:vAlign w:val="top"/>
          </w:tcPr>
          <w:p w14:paraId="20A9B8EE">
            <w:pPr>
              <w:pStyle w:val="22"/>
              <w:rPr>
                <w:rFonts w:hint="eastAsia" w:ascii="宋体" w:hAnsi="宋体"/>
                <w:b/>
              </w:rPr>
            </w:pPr>
          </w:p>
        </w:tc>
        <w:tc>
          <w:tcPr>
            <w:tcW w:w="775" w:type="dxa"/>
            <w:noWrap w:val="0"/>
            <w:vAlign w:val="top"/>
          </w:tcPr>
          <w:p w14:paraId="558B75FD">
            <w:pPr>
              <w:pStyle w:val="22"/>
              <w:rPr>
                <w:rFonts w:hint="eastAsia" w:ascii="宋体" w:hAnsi="宋体"/>
                <w:b/>
              </w:rPr>
            </w:pPr>
          </w:p>
        </w:tc>
        <w:tc>
          <w:tcPr>
            <w:tcW w:w="1281" w:type="dxa"/>
            <w:noWrap w:val="0"/>
            <w:vAlign w:val="top"/>
          </w:tcPr>
          <w:p w14:paraId="15DCEB04">
            <w:pPr>
              <w:pStyle w:val="22"/>
              <w:rPr>
                <w:rFonts w:hint="eastAsia" w:ascii="宋体" w:hAnsi="宋体"/>
                <w:b/>
              </w:rPr>
            </w:pPr>
          </w:p>
        </w:tc>
        <w:tc>
          <w:tcPr>
            <w:tcW w:w="1481" w:type="dxa"/>
            <w:noWrap w:val="0"/>
            <w:vAlign w:val="top"/>
          </w:tcPr>
          <w:p w14:paraId="4EE777BB">
            <w:pPr>
              <w:pStyle w:val="22"/>
              <w:rPr>
                <w:rFonts w:hint="eastAsia" w:ascii="宋体" w:hAnsi="宋体"/>
                <w:b/>
              </w:rPr>
            </w:pPr>
          </w:p>
        </w:tc>
        <w:tc>
          <w:tcPr>
            <w:tcW w:w="1559" w:type="dxa"/>
            <w:noWrap w:val="0"/>
            <w:vAlign w:val="top"/>
          </w:tcPr>
          <w:p w14:paraId="52103E5B">
            <w:pPr>
              <w:pStyle w:val="22"/>
              <w:rPr>
                <w:rFonts w:hint="eastAsia" w:ascii="宋体" w:hAnsi="宋体"/>
                <w:b/>
              </w:rPr>
            </w:pPr>
          </w:p>
        </w:tc>
      </w:tr>
      <w:tr w14:paraId="3667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C6C616A">
            <w:pPr>
              <w:pStyle w:val="22"/>
              <w:rPr>
                <w:rFonts w:hint="eastAsia" w:ascii="宋体" w:hAnsi="宋体"/>
                <w:b/>
              </w:rPr>
            </w:pPr>
          </w:p>
        </w:tc>
        <w:tc>
          <w:tcPr>
            <w:tcW w:w="2061" w:type="dxa"/>
            <w:noWrap w:val="0"/>
            <w:vAlign w:val="top"/>
          </w:tcPr>
          <w:p w14:paraId="74357D37">
            <w:pPr>
              <w:pStyle w:val="22"/>
              <w:rPr>
                <w:rFonts w:hint="eastAsia" w:ascii="宋体" w:hAnsi="宋体"/>
                <w:b/>
              </w:rPr>
            </w:pPr>
          </w:p>
        </w:tc>
        <w:tc>
          <w:tcPr>
            <w:tcW w:w="1317" w:type="dxa"/>
            <w:noWrap w:val="0"/>
            <w:vAlign w:val="top"/>
          </w:tcPr>
          <w:p w14:paraId="59645C57">
            <w:pPr>
              <w:pStyle w:val="22"/>
              <w:rPr>
                <w:rFonts w:hint="eastAsia" w:ascii="宋体" w:hAnsi="宋体"/>
                <w:b/>
              </w:rPr>
            </w:pPr>
          </w:p>
        </w:tc>
        <w:tc>
          <w:tcPr>
            <w:tcW w:w="775" w:type="dxa"/>
            <w:noWrap w:val="0"/>
            <w:vAlign w:val="top"/>
          </w:tcPr>
          <w:p w14:paraId="64704CA1">
            <w:pPr>
              <w:pStyle w:val="22"/>
              <w:rPr>
                <w:rFonts w:hint="eastAsia" w:ascii="宋体" w:hAnsi="宋体"/>
                <w:b/>
              </w:rPr>
            </w:pPr>
          </w:p>
        </w:tc>
        <w:tc>
          <w:tcPr>
            <w:tcW w:w="1281" w:type="dxa"/>
            <w:noWrap w:val="0"/>
            <w:vAlign w:val="top"/>
          </w:tcPr>
          <w:p w14:paraId="6D85EC9C">
            <w:pPr>
              <w:pStyle w:val="22"/>
              <w:rPr>
                <w:rFonts w:hint="eastAsia" w:ascii="宋体" w:hAnsi="宋体"/>
                <w:b/>
              </w:rPr>
            </w:pPr>
          </w:p>
        </w:tc>
        <w:tc>
          <w:tcPr>
            <w:tcW w:w="1481" w:type="dxa"/>
            <w:noWrap w:val="0"/>
            <w:vAlign w:val="top"/>
          </w:tcPr>
          <w:p w14:paraId="3DFF8D6B">
            <w:pPr>
              <w:pStyle w:val="22"/>
              <w:rPr>
                <w:rFonts w:hint="eastAsia" w:ascii="宋体" w:hAnsi="宋体"/>
                <w:b/>
              </w:rPr>
            </w:pPr>
          </w:p>
        </w:tc>
        <w:tc>
          <w:tcPr>
            <w:tcW w:w="1559" w:type="dxa"/>
            <w:noWrap w:val="0"/>
            <w:vAlign w:val="top"/>
          </w:tcPr>
          <w:p w14:paraId="2C2E298E">
            <w:pPr>
              <w:pStyle w:val="22"/>
              <w:rPr>
                <w:rFonts w:hint="eastAsia" w:ascii="宋体" w:hAnsi="宋体"/>
                <w:b/>
              </w:rPr>
            </w:pPr>
          </w:p>
        </w:tc>
      </w:tr>
      <w:tr w14:paraId="4802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F451C7A">
            <w:pPr>
              <w:pStyle w:val="22"/>
              <w:rPr>
                <w:rFonts w:hint="eastAsia" w:ascii="宋体" w:hAnsi="宋体"/>
                <w:b/>
              </w:rPr>
            </w:pPr>
          </w:p>
        </w:tc>
        <w:tc>
          <w:tcPr>
            <w:tcW w:w="2061" w:type="dxa"/>
            <w:noWrap w:val="0"/>
            <w:vAlign w:val="top"/>
          </w:tcPr>
          <w:p w14:paraId="4FB531FC">
            <w:pPr>
              <w:pStyle w:val="22"/>
              <w:rPr>
                <w:rFonts w:hint="eastAsia" w:ascii="宋体" w:hAnsi="宋体"/>
                <w:b/>
              </w:rPr>
            </w:pPr>
          </w:p>
        </w:tc>
        <w:tc>
          <w:tcPr>
            <w:tcW w:w="1317" w:type="dxa"/>
            <w:noWrap w:val="0"/>
            <w:vAlign w:val="top"/>
          </w:tcPr>
          <w:p w14:paraId="05CB7BDE">
            <w:pPr>
              <w:pStyle w:val="22"/>
              <w:rPr>
                <w:rFonts w:hint="eastAsia" w:ascii="宋体" w:hAnsi="宋体"/>
                <w:b/>
              </w:rPr>
            </w:pPr>
          </w:p>
        </w:tc>
        <w:tc>
          <w:tcPr>
            <w:tcW w:w="775" w:type="dxa"/>
            <w:noWrap w:val="0"/>
            <w:vAlign w:val="top"/>
          </w:tcPr>
          <w:p w14:paraId="615718CA">
            <w:pPr>
              <w:pStyle w:val="22"/>
              <w:rPr>
                <w:rFonts w:hint="eastAsia" w:ascii="宋体" w:hAnsi="宋体"/>
                <w:b/>
              </w:rPr>
            </w:pPr>
          </w:p>
        </w:tc>
        <w:tc>
          <w:tcPr>
            <w:tcW w:w="1281" w:type="dxa"/>
            <w:noWrap w:val="0"/>
            <w:vAlign w:val="top"/>
          </w:tcPr>
          <w:p w14:paraId="455EB842">
            <w:pPr>
              <w:pStyle w:val="22"/>
              <w:rPr>
                <w:rFonts w:hint="eastAsia" w:ascii="宋体" w:hAnsi="宋体"/>
                <w:b/>
              </w:rPr>
            </w:pPr>
          </w:p>
        </w:tc>
        <w:tc>
          <w:tcPr>
            <w:tcW w:w="1481" w:type="dxa"/>
            <w:noWrap w:val="0"/>
            <w:vAlign w:val="top"/>
          </w:tcPr>
          <w:p w14:paraId="6213A5B5">
            <w:pPr>
              <w:pStyle w:val="22"/>
              <w:rPr>
                <w:rFonts w:hint="eastAsia" w:ascii="宋体" w:hAnsi="宋体"/>
                <w:b/>
              </w:rPr>
            </w:pPr>
          </w:p>
        </w:tc>
        <w:tc>
          <w:tcPr>
            <w:tcW w:w="1559" w:type="dxa"/>
            <w:noWrap w:val="0"/>
            <w:vAlign w:val="top"/>
          </w:tcPr>
          <w:p w14:paraId="718BFA80">
            <w:pPr>
              <w:pStyle w:val="22"/>
              <w:rPr>
                <w:rFonts w:hint="eastAsia" w:ascii="宋体" w:hAnsi="宋体"/>
                <w:b/>
              </w:rPr>
            </w:pPr>
          </w:p>
        </w:tc>
      </w:tr>
      <w:tr w14:paraId="7C7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E47969">
            <w:pPr>
              <w:pStyle w:val="2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b/>
                <w:lang w:val="en-US" w:eastAsia="zh-CN"/>
              </w:rPr>
            </w:pPr>
            <w:r>
              <w:rPr>
                <w:rFonts w:hint="eastAsia" w:ascii="宋体" w:hAnsi="宋体"/>
                <w:b/>
                <w:lang w:val="en-US" w:eastAsia="zh-CN"/>
              </w:rPr>
              <w:t>合计</w:t>
            </w:r>
          </w:p>
        </w:tc>
        <w:tc>
          <w:tcPr>
            <w:tcW w:w="2061" w:type="dxa"/>
            <w:noWrap w:val="0"/>
            <w:vAlign w:val="center"/>
          </w:tcPr>
          <w:p w14:paraId="10063B5D">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317" w:type="dxa"/>
            <w:noWrap w:val="0"/>
            <w:vAlign w:val="center"/>
          </w:tcPr>
          <w:p w14:paraId="39034271">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775" w:type="dxa"/>
            <w:noWrap w:val="0"/>
            <w:vAlign w:val="center"/>
          </w:tcPr>
          <w:p w14:paraId="7F722CF9">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281" w:type="dxa"/>
            <w:noWrap w:val="0"/>
            <w:vAlign w:val="center"/>
          </w:tcPr>
          <w:p w14:paraId="70099A1F">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r>
              <w:rPr>
                <w:rFonts w:hint="eastAsia" w:ascii="宋体" w:hAnsi="宋体"/>
                <w:b/>
                <w:lang w:val="en-US" w:eastAsia="zh-CN"/>
              </w:rPr>
              <w:t>必填项</w:t>
            </w:r>
          </w:p>
        </w:tc>
        <w:tc>
          <w:tcPr>
            <w:tcW w:w="1481" w:type="dxa"/>
            <w:noWrap w:val="0"/>
            <w:vAlign w:val="top"/>
          </w:tcPr>
          <w:p w14:paraId="3B28BE63">
            <w:pPr>
              <w:pStyle w:val="22"/>
              <w:rPr>
                <w:rFonts w:hint="eastAsia" w:ascii="宋体" w:hAnsi="宋体"/>
                <w:b/>
              </w:rPr>
            </w:pPr>
          </w:p>
        </w:tc>
        <w:tc>
          <w:tcPr>
            <w:tcW w:w="1559" w:type="dxa"/>
            <w:noWrap w:val="0"/>
            <w:vAlign w:val="top"/>
          </w:tcPr>
          <w:p w14:paraId="3973CC3C">
            <w:pPr>
              <w:pStyle w:val="22"/>
              <w:rPr>
                <w:rFonts w:hint="eastAsia" w:ascii="宋体" w:hAnsi="宋体"/>
                <w:b/>
              </w:rPr>
            </w:pPr>
          </w:p>
        </w:tc>
      </w:tr>
    </w:tbl>
    <w:p w14:paraId="4125E3A7">
      <w:pPr>
        <w:spacing w:line="0" w:lineRule="atLeast"/>
        <w:rPr>
          <w:rFonts w:hint="eastAsia" w:ascii="宋体" w:hAnsi="宋体"/>
          <w:sz w:val="24"/>
        </w:rPr>
      </w:pPr>
    </w:p>
    <w:p w14:paraId="2FCE980D">
      <w:pPr>
        <w:spacing w:line="0" w:lineRule="atLeast"/>
        <w:ind w:firstLine="480" w:firstLineChars="200"/>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6752BD22">
      <w:pPr>
        <w:tabs>
          <w:tab w:val="left" w:pos="1578"/>
          <w:tab w:val="left" w:pos="10083"/>
        </w:tabs>
        <w:spacing w:line="500" w:lineRule="exact"/>
        <w:rPr>
          <w:rFonts w:hint="eastAsia" w:ascii="宋体" w:hAnsi="宋体"/>
          <w:sz w:val="24"/>
        </w:rPr>
      </w:pPr>
    </w:p>
    <w:p w14:paraId="59CB2DFF">
      <w:pPr>
        <w:spacing w:line="660" w:lineRule="exact"/>
        <w:ind w:firstLine="480" w:firstLineChars="200"/>
        <w:rPr>
          <w:rFonts w:hint="eastAsia" w:ascii="宋体" w:hAnsi="宋体"/>
          <w:sz w:val="24"/>
        </w:rPr>
      </w:pPr>
      <w:r>
        <w:rPr>
          <w:rFonts w:hint="eastAsia" w:ascii="宋体" w:hAnsi="宋体"/>
          <w:sz w:val="24"/>
        </w:rPr>
        <w:t>投标人：（盖章）</w:t>
      </w:r>
    </w:p>
    <w:p w14:paraId="2D2CCA32">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523CE009">
      <w:pPr>
        <w:pStyle w:val="113"/>
        <w:rPr>
          <w:rFonts w:hint="eastAsia"/>
        </w:rPr>
      </w:pPr>
    </w:p>
    <w:p w14:paraId="1AA7C873">
      <w:pPr>
        <w:pStyle w:val="113"/>
        <w:ind w:firstLine="420" w:firstLineChars="200"/>
        <w:rPr>
          <w:rFonts w:hint="eastAsia"/>
        </w:rPr>
      </w:pPr>
      <w:r>
        <w:rPr>
          <w:rFonts w:hint="eastAsia"/>
        </w:rPr>
        <w:t>日  期</w:t>
      </w:r>
    </w:p>
    <w:p w14:paraId="7009EB58">
      <w:pPr>
        <w:pStyle w:val="112"/>
        <w:ind w:left="0" w:leftChars="0" w:firstLine="0" w:firstLineChars="0"/>
        <w:rPr>
          <w:rFonts w:hint="eastAsia" w:cs="宋体"/>
        </w:rPr>
      </w:pPr>
    </w:p>
    <w:p w14:paraId="2EB8458E">
      <w:pPr>
        <w:pStyle w:val="112"/>
        <w:ind w:left="0" w:leftChars="0" w:firstLine="0" w:firstLineChars="0"/>
        <w:rPr>
          <w:rFonts w:hint="eastAsia" w:cs="宋体"/>
        </w:rPr>
      </w:pPr>
    </w:p>
    <w:p w14:paraId="7563CE18">
      <w:pPr>
        <w:pStyle w:val="112"/>
        <w:ind w:left="0" w:leftChars="0" w:firstLine="0" w:firstLineChars="0"/>
        <w:rPr>
          <w:rFonts w:hint="eastAsia" w:cs="宋体"/>
        </w:rPr>
      </w:pPr>
    </w:p>
    <w:p w14:paraId="5376116F">
      <w:pPr>
        <w:pStyle w:val="112"/>
        <w:ind w:left="0" w:leftChars="0" w:firstLine="482" w:firstLineChars="200"/>
        <w:rPr>
          <w:rFonts w:hint="eastAsia"/>
        </w:rPr>
      </w:pPr>
      <w:r>
        <w:rPr>
          <w:rFonts w:hint="eastAsia" w:cs="宋体"/>
        </w:rPr>
        <w:t>格式</w:t>
      </w:r>
      <w:r>
        <w:rPr>
          <w:rFonts w:hint="eastAsia" w:cs="宋体"/>
          <w:lang w:val="en-US" w:eastAsia="zh-CN"/>
        </w:rPr>
        <w:t xml:space="preserve">2 </w:t>
      </w:r>
      <w:r>
        <w:rPr>
          <w:rFonts w:hint="eastAsia"/>
        </w:rPr>
        <w:t>技术规格偏离表</w:t>
      </w:r>
    </w:p>
    <w:p w14:paraId="67EE8F4B">
      <w:pPr>
        <w:pStyle w:val="112"/>
        <w:rPr>
          <w:rFonts w:hint="eastAsia"/>
        </w:rPr>
      </w:pPr>
    </w:p>
    <w:p w14:paraId="10B633BE">
      <w:pPr>
        <w:ind w:firstLine="420" w:firstLineChars="200"/>
        <w:rPr>
          <w:rFonts w:hint="eastAsia"/>
        </w:rPr>
      </w:pPr>
      <w:r>
        <w:rPr>
          <w:rFonts w:hint="eastAsia"/>
        </w:rPr>
        <w:t xml:space="preserve">招标项目：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C8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7A8117D3">
            <w:pPr>
              <w:pStyle w:val="114"/>
              <w:rPr>
                <w:rFonts w:hint="eastAsia"/>
              </w:rPr>
            </w:pPr>
            <w:r>
              <w:rPr>
                <w:rFonts w:hint="eastAsia" w:ascii="宋体" w:hAnsi="宋体" w:eastAsia="宋体" w:cs="宋体"/>
              </w:rPr>
              <w:t>序号</w:t>
            </w:r>
          </w:p>
        </w:tc>
        <w:tc>
          <w:tcPr>
            <w:tcW w:w="3535" w:type="dxa"/>
            <w:noWrap w:val="0"/>
            <w:vAlign w:val="center"/>
          </w:tcPr>
          <w:p w14:paraId="043BF4B4">
            <w:pPr>
              <w:pStyle w:val="114"/>
              <w:rPr>
                <w:rFonts w:hint="eastAsia"/>
              </w:rPr>
            </w:pPr>
            <w:r>
              <w:rPr>
                <w:rFonts w:hint="eastAsia" w:ascii="宋体" w:hAnsi="宋体" w:eastAsia="宋体" w:cs="宋体"/>
              </w:rPr>
              <w:t>招标要求</w:t>
            </w:r>
          </w:p>
        </w:tc>
        <w:tc>
          <w:tcPr>
            <w:tcW w:w="2475" w:type="dxa"/>
            <w:noWrap w:val="0"/>
            <w:vAlign w:val="center"/>
          </w:tcPr>
          <w:p w14:paraId="02724EA8">
            <w:pPr>
              <w:pStyle w:val="114"/>
              <w:rPr>
                <w:rFonts w:hint="eastAsia"/>
              </w:rPr>
            </w:pPr>
            <w:r>
              <w:rPr>
                <w:rFonts w:hint="eastAsia" w:ascii="宋体" w:hAnsi="宋体" w:eastAsia="宋体" w:cs="宋体"/>
              </w:rPr>
              <w:t>响应规格</w:t>
            </w:r>
          </w:p>
        </w:tc>
        <w:tc>
          <w:tcPr>
            <w:tcW w:w="1648" w:type="dxa"/>
            <w:noWrap w:val="0"/>
            <w:vAlign w:val="center"/>
          </w:tcPr>
          <w:p w14:paraId="6038C14F">
            <w:pPr>
              <w:pStyle w:val="114"/>
              <w:rPr>
                <w:rFonts w:hint="eastAsia"/>
              </w:rPr>
            </w:pPr>
            <w:r>
              <w:rPr>
                <w:rFonts w:hint="eastAsia" w:ascii="宋体" w:hAnsi="宋体" w:eastAsia="宋体" w:cs="宋体"/>
              </w:rPr>
              <w:t>是否偏离</w:t>
            </w:r>
          </w:p>
        </w:tc>
      </w:tr>
      <w:tr w14:paraId="0162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206335C2">
            <w:pPr>
              <w:pStyle w:val="114"/>
              <w:rPr>
                <w:rFonts w:hint="eastAsia" w:eastAsia="宋体"/>
                <w:sz w:val="24"/>
              </w:rPr>
            </w:pPr>
          </w:p>
        </w:tc>
        <w:tc>
          <w:tcPr>
            <w:tcW w:w="3535" w:type="dxa"/>
            <w:noWrap w:val="0"/>
            <w:vAlign w:val="center"/>
          </w:tcPr>
          <w:p w14:paraId="2AD1505B">
            <w:pPr>
              <w:spacing w:line="240" w:lineRule="exact"/>
              <w:jc w:val="left"/>
              <w:rPr>
                <w:rFonts w:hint="eastAsia" w:ascii="宋体" w:hAnsi="宋体" w:eastAsia="宋体"/>
                <w:sz w:val="24"/>
                <w:szCs w:val="24"/>
              </w:rPr>
            </w:pPr>
          </w:p>
        </w:tc>
        <w:tc>
          <w:tcPr>
            <w:tcW w:w="2475" w:type="dxa"/>
            <w:noWrap w:val="0"/>
            <w:vAlign w:val="center"/>
          </w:tcPr>
          <w:p w14:paraId="6F867959">
            <w:pPr>
              <w:pStyle w:val="114"/>
              <w:rPr>
                <w:rFonts w:hint="eastAsia"/>
                <w:sz w:val="24"/>
              </w:rPr>
            </w:pPr>
          </w:p>
        </w:tc>
        <w:tc>
          <w:tcPr>
            <w:tcW w:w="1648" w:type="dxa"/>
            <w:noWrap w:val="0"/>
            <w:vAlign w:val="center"/>
          </w:tcPr>
          <w:p w14:paraId="5969B8C9">
            <w:pPr>
              <w:pStyle w:val="114"/>
              <w:rPr>
                <w:rFonts w:hint="eastAsia"/>
                <w:sz w:val="24"/>
              </w:rPr>
            </w:pPr>
          </w:p>
        </w:tc>
      </w:tr>
      <w:tr w14:paraId="0606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38447ED">
            <w:pPr>
              <w:pStyle w:val="114"/>
              <w:rPr>
                <w:rFonts w:hint="eastAsia" w:eastAsia="宋体"/>
                <w:sz w:val="24"/>
              </w:rPr>
            </w:pPr>
          </w:p>
        </w:tc>
        <w:tc>
          <w:tcPr>
            <w:tcW w:w="3535" w:type="dxa"/>
            <w:noWrap w:val="0"/>
            <w:vAlign w:val="center"/>
          </w:tcPr>
          <w:p w14:paraId="2B8E3222">
            <w:pPr>
              <w:spacing w:line="240" w:lineRule="exact"/>
              <w:ind w:firstLine="480" w:firstLineChars="200"/>
              <w:rPr>
                <w:rFonts w:hint="eastAsia" w:ascii="宋体" w:hAnsi="宋体" w:eastAsia="宋体"/>
                <w:sz w:val="24"/>
                <w:szCs w:val="24"/>
              </w:rPr>
            </w:pPr>
          </w:p>
        </w:tc>
        <w:tc>
          <w:tcPr>
            <w:tcW w:w="2475" w:type="dxa"/>
            <w:noWrap w:val="0"/>
            <w:vAlign w:val="center"/>
          </w:tcPr>
          <w:p w14:paraId="26654215">
            <w:pPr>
              <w:pStyle w:val="114"/>
              <w:rPr>
                <w:rFonts w:hint="eastAsia"/>
                <w:i/>
                <w:sz w:val="24"/>
              </w:rPr>
            </w:pPr>
          </w:p>
        </w:tc>
        <w:tc>
          <w:tcPr>
            <w:tcW w:w="1648" w:type="dxa"/>
            <w:noWrap w:val="0"/>
            <w:vAlign w:val="center"/>
          </w:tcPr>
          <w:p w14:paraId="6634C9DD">
            <w:pPr>
              <w:pStyle w:val="114"/>
              <w:rPr>
                <w:rFonts w:hint="eastAsia"/>
                <w:sz w:val="24"/>
              </w:rPr>
            </w:pPr>
          </w:p>
        </w:tc>
      </w:tr>
      <w:tr w14:paraId="53C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72AA15B">
            <w:pPr>
              <w:pStyle w:val="114"/>
              <w:rPr>
                <w:rFonts w:hint="eastAsia" w:eastAsia="宋体"/>
                <w:sz w:val="24"/>
              </w:rPr>
            </w:pPr>
          </w:p>
        </w:tc>
        <w:tc>
          <w:tcPr>
            <w:tcW w:w="3535" w:type="dxa"/>
            <w:noWrap w:val="0"/>
            <w:vAlign w:val="center"/>
          </w:tcPr>
          <w:p w14:paraId="5B1BA54D">
            <w:pPr>
              <w:spacing w:line="240" w:lineRule="exact"/>
              <w:jc w:val="left"/>
              <w:rPr>
                <w:rFonts w:hint="eastAsia" w:ascii="宋体" w:hAnsi="宋体" w:eastAsia="宋体"/>
                <w:sz w:val="24"/>
                <w:szCs w:val="24"/>
              </w:rPr>
            </w:pPr>
          </w:p>
        </w:tc>
        <w:tc>
          <w:tcPr>
            <w:tcW w:w="2475" w:type="dxa"/>
            <w:noWrap w:val="0"/>
            <w:vAlign w:val="top"/>
          </w:tcPr>
          <w:p w14:paraId="099E46A0">
            <w:pPr>
              <w:pStyle w:val="114"/>
              <w:rPr>
                <w:rFonts w:hint="eastAsia"/>
                <w:sz w:val="24"/>
              </w:rPr>
            </w:pPr>
          </w:p>
        </w:tc>
        <w:tc>
          <w:tcPr>
            <w:tcW w:w="1648" w:type="dxa"/>
            <w:noWrap w:val="0"/>
            <w:vAlign w:val="top"/>
          </w:tcPr>
          <w:p w14:paraId="10313C13">
            <w:pPr>
              <w:pStyle w:val="114"/>
              <w:rPr>
                <w:rFonts w:hint="eastAsia"/>
                <w:sz w:val="24"/>
              </w:rPr>
            </w:pPr>
          </w:p>
        </w:tc>
      </w:tr>
      <w:tr w14:paraId="5D4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26849CB7">
            <w:pPr>
              <w:pStyle w:val="114"/>
              <w:rPr>
                <w:rFonts w:hint="eastAsia" w:eastAsia="宋体"/>
                <w:sz w:val="24"/>
              </w:rPr>
            </w:pPr>
          </w:p>
        </w:tc>
        <w:tc>
          <w:tcPr>
            <w:tcW w:w="3535" w:type="dxa"/>
            <w:noWrap w:val="0"/>
            <w:vAlign w:val="top"/>
          </w:tcPr>
          <w:p w14:paraId="3977CCAE">
            <w:pPr>
              <w:spacing w:line="240" w:lineRule="exact"/>
              <w:jc w:val="left"/>
              <w:rPr>
                <w:rFonts w:hint="eastAsia" w:ascii="宋体" w:hAnsi="宋体" w:eastAsia="宋体"/>
                <w:sz w:val="24"/>
                <w:szCs w:val="24"/>
              </w:rPr>
            </w:pPr>
          </w:p>
        </w:tc>
        <w:tc>
          <w:tcPr>
            <w:tcW w:w="2475" w:type="dxa"/>
            <w:noWrap w:val="0"/>
            <w:vAlign w:val="top"/>
          </w:tcPr>
          <w:p w14:paraId="2FD46D50">
            <w:pPr>
              <w:pStyle w:val="114"/>
              <w:rPr>
                <w:rFonts w:hint="eastAsia"/>
                <w:sz w:val="24"/>
              </w:rPr>
            </w:pPr>
          </w:p>
        </w:tc>
        <w:tc>
          <w:tcPr>
            <w:tcW w:w="1648" w:type="dxa"/>
            <w:noWrap w:val="0"/>
            <w:vAlign w:val="top"/>
          </w:tcPr>
          <w:p w14:paraId="77BC786C">
            <w:pPr>
              <w:pStyle w:val="114"/>
              <w:rPr>
                <w:rFonts w:hint="eastAsia"/>
                <w:sz w:val="24"/>
              </w:rPr>
            </w:pPr>
          </w:p>
        </w:tc>
      </w:tr>
      <w:tr w14:paraId="20CF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3DC9421">
            <w:pPr>
              <w:pStyle w:val="114"/>
              <w:rPr>
                <w:rFonts w:hint="eastAsia" w:eastAsia="宋体"/>
                <w:sz w:val="24"/>
              </w:rPr>
            </w:pPr>
          </w:p>
        </w:tc>
        <w:tc>
          <w:tcPr>
            <w:tcW w:w="3535" w:type="dxa"/>
            <w:noWrap w:val="0"/>
            <w:vAlign w:val="top"/>
          </w:tcPr>
          <w:p w14:paraId="018ACEC1">
            <w:pPr>
              <w:pStyle w:val="114"/>
              <w:rPr>
                <w:rFonts w:hint="eastAsia" w:eastAsia="宋体"/>
                <w:b w:val="0"/>
                <w:sz w:val="24"/>
              </w:rPr>
            </w:pPr>
          </w:p>
        </w:tc>
        <w:tc>
          <w:tcPr>
            <w:tcW w:w="2475" w:type="dxa"/>
            <w:noWrap w:val="0"/>
            <w:vAlign w:val="top"/>
          </w:tcPr>
          <w:p w14:paraId="4164F41C">
            <w:pPr>
              <w:pStyle w:val="114"/>
              <w:rPr>
                <w:rFonts w:hint="eastAsia"/>
                <w:sz w:val="24"/>
              </w:rPr>
            </w:pPr>
          </w:p>
        </w:tc>
        <w:tc>
          <w:tcPr>
            <w:tcW w:w="1648" w:type="dxa"/>
            <w:noWrap w:val="0"/>
            <w:vAlign w:val="top"/>
          </w:tcPr>
          <w:p w14:paraId="08967091">
            <w:pPr>
              <w:pStyle w:val="114"/>
              <w:rPr>
                <w:rFonts w:hint="eastAsia"/>
                <w:sz w:val="24"/>
              </w:rPr>
            </w:pPr>
          </w:p>
        </w:tc>
      </w:tr>
      <w:tr w14:paraId="7AB1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2A3DF8CF">
            <w:pPr>
              <w:pStyle w:val="114"/>
              <w:rPr>
                <w:rFonts w:hint="eastAsia" w:eastAsia="宋体"/>
                <w:sz w:val="24"/>
              </w:rPr>
            </w:pPr>
          </w:p>
        </w:tc>
        <w:tc>
          <w:tcPr>
            <w:tcW w:w="3535" w:type="dxa"/>
            <w:noWrap w:val="0"/>
            <w:vAlign w:val="top"/>
          </w:tcPr>
          <w:p w14:paraId="2985D80E">
            <w:pPr>
              <w:pStyle w:val="114"/>
              <w:rPr>
                <w:rFonts w:hint="eastAsia"/>
                <w:b w:val="0"/>
                <w:sz w:val="24"/>
              </w:rPr>
            </w:pPr>
          </w:p>
        </w:tc>
        <w:tc>
          <w:tcPr>
            <w:tcW w:w="2475" w:type="dxa"/>
            <w:noWrap w:val="0"/>
            <w:vAlign w:val="top"/>
          </w:tcPr>
          <w:p w14:paraId="601566D0">
            <w:pPr>
              <w:pStyle w:val="114"/>
              <w:rPr>
                <w:rFonts w:hint="eastAsia"/>
                <w:sz w:val="24"/>
              </w:rPr>
            </w:pPr>
          </w:p>
        </w:tc>
        <w:tc>
          <w:tcPr>
            <w:tcW w:w="1648" w:type="dxa"/>
            <w:noWrap w:val="0"/>
            <w:vAlign w:val="top"/>
          </w:tcPr>
          <w:p w14:paraId="1E22CF34">
            <w:pPr>
              <w:pStyle w:val="114"/>
              <w:rPr>
                <w:rFonts w:hint="eastAsia"/>
                <w:sz w:val="24"/>
              </w:rPr>
            </w:pPr>
          </w:p>
        </w:tc>
      </w:tr>
      <w:tr w14:paraId="5D60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F24C52F">
            <w:pPr>
              <w:pStyle w:val="114"/>
              <w:rPr>
                <w:rFonts w:hint="eastAsia" w:eastAsia="宋体"/>
                <w:sz w:val="24"/>
              </w:rPr>
            </w:pPr>
          </w:p>
        </w:tc>
        <w:tc>
          <w:tcPr>
            <w:tcW w:w="3535" w:type="dxa"/>
            <w:noWrap w:val="0"/>
            <w:vAlign w:val="center"/>
          </w:tcPr>
          <w:p w14:paraId="4184D25C">
            <w:pPr>
              <w:pStyle w:val="114"/>
              <w:rPr>
                <w:rFonts w:hint="eastAsia" w:eastAsia="宋体"/>
                <w:b w:val="0"/>
                <w:sz w:val="24"/>
              </w:rPr>
            </w:pPr>
          </w:p>
        </w:tc>
        <w:tc>
          <w:tcPr>
            <w:tcW w:w="2475" w:type="dxa"/>
            <w:noWrap w:val="0"/>
            <w:vAlign w:val="top"/>
          </w:tcPr>
          <w:p w14:paraId="7A938BA6">
            <w:pPr>
              <w:pStyle w:val="114"/>
              <w:rPr>
                <w:rFonts w:hint="eastAsia"/>
                <w:sz w:val="24"/>
              </w:rPr>
            </w:pPr>
          </w:p>
        </w:tc>
        <w:tc>
          <w:tcPr>
            <w:tcW w:w="1648" w:type="dxa"/>
            <w:noWrap w:val="0"/>
            <w:vAlign w:val="top"/>
          </w:tcPr>
          <w:p w14:paraId="549ABE1C">
            <w:pPr>
              <w:pStyle w:val="114"/>
              <w:rPr>
                <w:rFonts w:hint="eastAsia"/>
                <w:sz w:val="24"/>
              </w:rPr>
            </w:pPr>
          </w:p>
        </w:tc>
      </w:tr>
      <w:tr w14:paraId="235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4142A95">
            <w:pPr>
              <w:pStyle w:val="114"/>
              <w:rPr>
                <w:rFonts w:hint="eastAsia"/>
                <w:sz w:val="24"/>
              </w:rPr>
            </w:pPr>
          </w:p>
        </w:tc>
        <w:tc>
          <w:tcPr>
            <w:tcW w:w="3535" w:type="dxa"/>
            <w:noWrap w:val="0"/>
            <w:vAlign w:val="top"/>
          </w:tcPr>
          <w:p w14:paraId="359D23CF">
            <w:pPr>
              <w:pStyle w:val="114"/>
              <w:rPr>
                <w:rFonts w:hint="eastAsia"/>
                <w:sz w:val="24"/>
              </w:rPr>
            </w:pPr>
          </w:p>
        </w:tc>
        <w:tc>
          <w:tcPr>
            <w:tcW w:w="2475" w:type="dxa"/>
            <w:noWrap w:val="0"/>
            <w:vAlign w:val="top"/>
          </w:tcPr>
          <w:p w14:paraId="088ED7FF">
            <w:pPr>
              <w:pStyle w:val="114"/>
              <w:rPr>
                <w:rFonts w:hint="eastAsia"/>
                <w:sz w:val="24"/>
              </w:rPr>
            </w:pPr>
          </w:p>
        </w:tc>
        <w:tc>
          <w:tcPr>
            <w:tcW w:w="1648" w:type="dxa"/>
            <w:noWrap w:val="0"/>
            <w:vAlign w:val="top"/>
          </w:tcPr>
          <w:p w14:paraId="4378368D">
            <w:pPr>
              <w:pStyle w:val="114"/>
              <w:rPr>
                <w:rFonts w:hint="eastAsia"/>
                <w:sz w:val="24"/>
              </w:rPr>
            </w:pPr>
          </w:p>
        </w:tc>
      </w:tr>
    </w:tbl>
    <w:p w14:paraId="708C8DA4">
      <w:pPr>
        <w:spacing w:line="660" w:lineRule="exact"/>
        <w:rPr>
          <w:rFonts w:hint="eastAsia" w:ascii="宋体" w:hAnsi="宋体"/>
          <w:sz w:val="24"/>
        </w:rPr>
      </w:pPr>
    </w:p>
    <w:p w14:paraId="50548870">
      <w:pPr>
        <w:spacing w:line="660" w:lineRule="exact"/>
        <w:rPr>
          <w:rFonts w:hint="eastAsia" w:ascii="宋体" w:hAnsi="宋体"/>
          <w:sz w:val="24"/>
        </w:rPr>
      </w:pPr>
    </w:p>
    <w:p w14:paraId="02BEB0B6">
      <w:pPr>
        <w:spacing w:line="660" w:lineRule="exact"/>
        <w:rPr>
          <w:rFonts w:hint="eastAsia" w:ascii="宋体" w:hAnsi="宋体"/>
          <w:sz w:val="24"/>
        </w:rPr>
      </w:pPr>
    </w:p>
    <w:p w14:paraId="6263BC7E">
      <w:pPr>
        <w:spacing w:line="660" w:lineRule="exact"/>
        <w:ind w:firstLine="480" w:firstLineChars="200"/>
        <w:rPr>
          <w:rFonts w:hint="eastAsia" w:ascii="宋体" w:hAnsi="宋体"/>
          <w:sz w:val="24"/>
        </w:rPr>
      </w:pPr>
      <w:r>
        <w:rPr>
          <w:rFonts w:hint="eastAsia" w:ascii="宋体" w:hAnsi="宋体"/>
          <w:sz w:val="24"/>
        </w:rPr>
        <w:t xml:space="preserve">投标人：（盖章） </w:t>
      </w:r>
    </w:p>
    <w:p w14:paraId="4116F407">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23CEA73B">
      <w:pPr>
        <w:rPr>
          <w:rFonts w:ascii="黑体" w:eastAsia="黑体"/>
          <w:color w:val="000000"/>
          <w:sz w:val="24"/>
          <w:szCs w:val="24"/>
        </w:rPr>
      </w:pPr>
    </w:p>
    <w:p w14:paraId="726ADB2A">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日期：</w:t>
      </w:r>
    </w:p>
    <w:p w14:paraId="1C46AABA">
      <w:pPr>
        <w:pStyle w:val="111"/>
        <w:ind w:firstLine="0" w:firstLineChars="0"/>
        <w:rPr>
          <w:rFonts w:hint="eastAsia"/>
        </w:rPr>
      </w:pPr>
    </w:p>
    <w:p w14:paraId="39C38950">
      <w:pPr>
        <w:pStyle w:val="111"/>
        <w:ind w:firstLine="480" w:firstLineChars="200"/>
        <w:rPr>
          <w:rFonts w:hint="eastAsia" w:ascii="黑体" w:eastAsia="黑体"/>
          <w:b/>
          <w:sz w:val="52"/>
          <w:szCs w:val="52"/>
          <w:u w:val="none"/>
        </w:rPr>
      </w:pPr>
      <w:r>
        <w:rPr>
          <w:rFonts w:hint="eastAsia"/>
        </w:rPr>
        <w:t>注：为避免歧义，无偏离也应要提报该表，并注明“无”字。如无该表则即使在其它部分已反映，将也被视为“无偏离”。</w:t>
      </w:r>
    </w:p>
    <w:p w14:paraId="0AF553BE">
      <w:pPr>
        <w:jc w:val="both"/>
        <w:rPr>
          <w:rFonts w:hint="eastAsia" w:ascii="黑体" w:eastAsia="黑体"/>
          <w:b/>
          <w:sz w:val="52"/>
          <w:szCs w:val="52"/>
          <w:u w:val="none"/>
        </w:rPr>
      </w:pPr>
    </w:p>
    <w:p w14:paraId="45C83815">
      <w:pPr>
        <w:jc w:val="both"/>
        <w:rPr>
          <w:rFonts w:hint="eastAsia" w:ascii="黑体" w:eastAsia="黑体"/>
          <w:b/>
          <w:sz w:val="52"/>
          <w:szCs w:val="52"/>
          <w:u w:val="none"/>
        </w:rPr>
      </w:pPr>
    </w:p>
    <w:p w14:paraId="281863A6">
      <w:pPr>
        <w:jc w:val="center"/>
        <w:rPr>
          <w:rFonts w:ascii="黑体" w:eastAsia="黑体"/>
          <w:b/>
          <w:sz w:val="52"/>
          <w:szCs w:val="52"/>
          <w:u w:val="none"/>
        </w:rPr>
      </w:pPr>
      <w:r>
        <w:rPr>
          <w:rFonts w:hint="eastAsia" w:ascii="黑体" w:eastAsia="黑体"/>
          <w:b/>
          <w:sz w:val="52"/>
          <w:szCs w:val="52"/>
          <w:u w:val="none"/>
        </w:rPr>
        <w:t>采购产品质量保证与服务协议</w:t>
      </w:r>
    </w:p>
    <w:p w14:paraId="52E2745D">
      <w:pPr>
        <w:ind w:firstLine="422" w:firstLineChars="200"/>
        <w:rPr>
          <w:b/>
          <w:u w:val="none"/>
        </w:rPr>
      </w:pPr>
    </w:p>
    <w:p w14:paraId="5237ECDD">
      <w:pPr>
        <w:ind w:firstLine="422" w:firstLineChars="200"/>
        <w:rPr>
          <w:b/>
          <w:u w:val="none"/>
        </w:rPr>
      </w:pPr>
    </w:p>
    <w:p w14:paraId="0E2E52F8">
      <w:pPr>
        <w:ind w:firstLine="422" w:firstLineChars="200"/>
        <w:rPr>
          <w:b/>
          <w:u w:val="none"/>
        </w:rPr>
      </w:pPr>
    </w:p>
    <w:p w14:paraId="0A13316B">
      <w:pPr>
        <w:ind w:firstLine="422" w:firstLineChars="200"/>
        <w:rPr>
          <w:b/>
          <w:u w:val="none"/>
        </w:rPr>
      </w:pPr>
    </w:p>
    <w:p w14:paraId="5777ABBE">
      <w:pPr>
        <w:ind w:firstLine="422" w:firstLineChars="200"/>
        <w:rPr>
          <w:b/>
          <w:u w:val="none"/>
        </w:rPr>
      </w:pPr>
    </w:p>
    <w:p w14:paraId="752B75E0">
      <w:pPr>
        <w:ind w:firstLine="422" w:firstLineChars="200"/>
        <w:rPr>
          <w:b/>
          <w:u w:val="none"/>
        </w:rPr>
      </w:pPr>
      <w:r>
        <w:rPr>
          <w:rFonts w:hint="eastAsia"/>
          <w:b/>
          <w:u w:val="none"/>
        </w:rPr>
        <w:drawing>
          <wp:anchor distT="0" distB="0" distL="114300" distR="114300" simplePos="0" relativeHeight="251660288"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汽"/>
                    <pic:cNvPicPr>
                      <a:picLocks noChangeAspect="1"/>
                    </pic:cNvPicPr>
                  </pic:nvPicPr>
                  <pic:blipFill>
                    <a:blip r:embed="rId16"/>
                    <a:stretch>
                      <a:fillRect/>
                    </a:stretch>
                  </pic:blipFill>
                  <pic:spPr>
                    <a:xfrm>
                      <a:off x="0" y="0"/>
                      <a:ext cx="2337435" cy="2308860"/>
                    </a:xfrm>
                    <a:prstGeom prst="rect">
                      <a:avLst/>
                    </a:prstGeom>
                    <a:noFill/>
                    <a:ln>
                      <a:noFill/>
                    </a:ln>
                  </pic:spPr>
                </pic:pic>
              </a:graphicData>
            </a:graphic>
          </wp:anchor>
        </w:drawing>
      </w:r>
    </w:p>
    <w:p w14:paraId="60869E94">
      <w:pPr>
        <w:ind w:firstLine="422" w:firstLineChars="200"/>
        <w:rPr>
          <w:b/>
          <w:u w:val="none"/>
        </w:rPr>
      </w:pPr>
    </w:p>
    <w:p w14:paraId="36C60959">
      <w:pPr>
        <w:ind w:firstLine="422" w:firstLineChars="200"/>
        <w:rPr>
          <w:b/>
          <w:u w:val="none"/>
        </w:rPr>
      </w:pPr>
    </w:p>
    <w:p w14:paraId="74D0B08C">
      <w:pPr>
        <w:ind w:firstLine="422" w:firstLineChars="200"/>
        <w:rPr>
          <w:b/>
          <w:u w:val="none"/>
        </w:rPr>
      </w:pPr>
    </w:p>
    <w:p w14:paraId="0C062B11">
      <w:pPr>
        <w:ind w:firstLine="422" w:firstLineChars="200"/>
        <w:rPr>
          <w:b/>
          <w:u w:val="none"/>
        </w:rPr>
      </w:pPr>
    </w:p>
    <w:p w14:paraId="15B5A4F5">
      <w:pPr>
        <w:ind w:firstLine="422" w:firstLineChars="200"/>
        <w:rPr>
          <w:b/>
          <w:u w:val="none"/>
        </w:rPr>
      </w:pPr>
    </w:p>
    <w:p w14:paraId="65437CF1">
      <w:pPr>
        <w:ind w:firstLine="422" w:firstLineChars="200"/>
        <w:rPr>
          <w:b/>
          <w:u w:val="none"/>
        </w:rPr>
      </w:pPr>
    </w:p>
    <w:p w14:paraId="6C52EB35">
      <w:pPr>
        <w:ind w:firstLine="422" w:firstLineChars="200"/>
        <w:rPr>
          <w:b/>
          <w:u w:val="none"/>
        </w:rPr>
      </w:pPr>
    </w:p>
    <w:p w14:paraId="163B1578">
      <w:pPr>
        <w:ind w:firstLine="422" w:firstLineChars="200"/>
        <w:rPr>
          <w:b/>
          <w:u w:val="none"/>
        </w:rPr>
      </w:pPr>
    </w:p>
    <w:p w14:paraId="536E5B19">
      <w:pPr>
        <w:ind w:firstLine="422" w:firstLineChars="200"/>
        <w:rPr>
          <w:b/>
          <w:u w:val="none"/>
        </w:rPr>
      </w:pPr>
    </w:p>
    <w:p w14:paraId="0984721C">
      <w:pPr>
        <w:ind w:firstLine="422" w:firstLineChars="200"/>
        <w:rPr>
          <w:b/>
          <w:u w:val="none"/>
        </w:rPr>
      </w:pPr>
    </w:p>
    <w:p w14:paraId="25BBBAFE">
      <w:pPr>
        <w:ind w:firstLine="422" w:firstLineChars="200"/>
        <w:rPr>
          <w:b/>
          <w:u w:val="none"/>
        </w:rPr>
      </w:pPr>
    </w:p>
    <w:p w14:paraId="1C463C50">
      <w:pPr>
        <w:ind w:firstLine="422" w:firstLineChars="200"/>
        <w:rPr>
          <w:b/>
          <w:u w:val="none"/>
        </w:rPr>
      </w:pPr>
    </w:p>
    <w:p w14:paraId="509F93DE">
      <w:pPr>
        <w:ind w:firstLine="422" w:firstLineChars="200"/>
        <w:rPr>
          <w:b/>
          <w:u w:val="none"/>
        </w:rPr>
      </w:pPr>
    </w:p>
    <w:p w14:paraId="7D2679E8">
      <w:pPr>
        <w:ind w:firstLine="422" w:firstLineChars="200"/>
        <w:rPr>
          <w:b/>
          <w:u w:val="none"/>
        </w:rPr>
      </w:pPr>
    </w:p>
    <w:p w14:paraId="5D574585">
      <w:pPr>
        <w:ind w:firstLine="422" w:firstLineChars="200"/>
        <w:rPr>
          <w:b/>
          <w:u w:val="none"/>
        </w:rPr>
      </w:pPr>
    </w:p>
    <w:p w14:paraId="0FA84DE9">
      <w:pPr>
        <w:ind w:firstLine="422" w:firstLineChars="200"/>
        <w:rPr>
          <w:b/>
          <w:u w:val="none"/>
        </w:rPr>
      </w:pPr>
    </w:p>
    <w:p w14:paraId="06024F4F">
      <w:pPr>
        <w:ind w:firstLine="422" w:firstLineChars="200"/>
        <w:rPr>
          <w:b/>
          <w:u w:val="none"/>
        </w:rPr>
      </w:pPr>
    </w:p>
    <w:p w14:paraId="24A8AF3E">
      <w:pPr>
        <w:ind w:firstLine="422" w:firstLineChars="200"/>
        <w:rPr>
          <w:b/>
          <w:u w:val="none"/>
        </w:rPr>
      </w:pPr>
    </w:p>
    <w:p w14:paraId="75BED27E">
      <w:pPr>
        <w:ind w:firstLine="422" w:firstLineChars="200"/>
        <w:rPr>
          <w:b/>
          <w:u w:val="none"/>
        </w:rPr>
      </w:pPr>
    </w:p>
    <w:p w14:paraId="3BBD7DE1">
      <w:pPr>
        <w:ind w:firstLine="643" w:firstLineChars="200"/>
        <w:jc w:val="left"/>
        <w:rPr>
          <w:b/>
          <w:sz w:val="32"/>
          <w:szCs w:val="32"/>
          <w:u w:val="none"/>
        </w:rPr>
      </w:pPr>
    </w:p>
    <w:p w14:paraId="3E6DE4FB">
      <w:pPr>
        <w:jc w:val="center"/>
        <w:rPr>
          <w:rFonts w:ascii="微软雅黑" w:hAnsi="微软雅黑" w:eastAsia="微软雅黑" w:cs="Times New Roman"/>
          <w:sz w:val="32"/>
          <w:szCs w:val="32"/>
          <w:u w:val="none"/>
        </w:rPr>
      </w:pPr>
      <w:r>
        <w:rPr>
          <w:rFonts w:hint="eastAsia" w:ascii="微软雅黑" w:hAnsi="微软雅黑" w:eastAsia="微软雅黑" w:cs="Times New Roman"/>
          <w:sz w:val="32"/>
          <w:szCs w:val="32"/>
          <w:u w:val="none"/>
        </w:rPr>
        <w:t>中国重汽集团济南动力有限公司</w:t>
      </w:r>
    </w:p>
    <w:p w14:paraId="7B84B549">
      <w:pPr>
        <w:ind w:firstLine="640" w:firstLineChars="200"/>
        <w:rPr>
          <w:rFonts w:ascii="微软雅黑" w:hAnsi="微软雅黑" w:eastAsia="微软雅黑"/>
          <w:b/>
          <w:sz w:val="32"/>
          <w:szCs w:val="32"/>
          <w:u w:val="none"/>
        </w:rPr>
      </w:pPr>
    </w:p>
    <w:p w14:paraId="5290DE29">
      <w:pPr>
        <w:ind w:firstLine="640" w:firstLineChars="200"/>
        <w:rPr>
          <w:rFonts w:ascii="微软雅黑" w:hAnsi="微软雅黑" w:eastAsia="微软雅黑"/>
          <w:b/>
          <w:sz w:val="32"/>
          <w:szCs w:val="32"/>
          <w:u w:val="none"/>
        </w:rPr>
      </w:pPr>
    </w:p>
    <w:p w14:paraId="2275EC44">
      <w:pPr>
        <w:ind w:firstLine="640" w:firstLineChars="200"/>
        <w:rPr>
          <w:rFonts w:ascii="微软雅黑" w:hAnsi="微软雅黑" w:eastAsia="微软雅黑"/>
          <w:b/>
          <w:sz w:val="32"/>
          <w:szCs w:val="32"/>
          <w:u w:val="none"/>
        </w:rPr>
      </w:pPr>
    </w:p>
    <w:p w14:paraId="0FB934FB">
      <w:pPr>
        <w:ind w:firstLine="640" w:firstLineChars="200"/>
        <w:rPr>
          <w:rFonts w:ascii="微软雅黑" w:hAnsi="微软雅黑" w:eastAsia="微软雅黑"/>
          <w:b/>
          <w:sz w:val="32"/>
          <w:szCs w:val="32"/>
          <w:u w:val="none"/>
        </w:rPr>
      </w:pPr>
    </w:p>
    <w:p w14:paraId="459BCC31">
      <w:pPr>
        <w:jc w:val="center"/>
        <w:rPr>
          <w:rFonts w:ascii="微软雅黑" w:hAnsi="微软雅黑" w:eastAsia="微软雅黑"/>
          <w:sz w:val="32"/>
          <w:szCs w:val="32"/>
          <w:highlight w:val="none"/>
          <w:u w:val="none"/>
        </w:rPr>
      </w:pPr>
      <w:r>
        <w:rPr>
          <w:rFonts w:hint="eastAsia" w:ascii="微软雅黑" w:hAnsi="微软雅黑" w:eastAsia="微软雅黑"/>
          <w:sz w:val="32"/>
          <w:szCs w:val="32"/>
          <w:highlight w:val="none"/>
          <w:u w:val="none"/>
        </w:rPr>
        <w:t>采购产品质量保证与服务协议</w:t>
      </w:r>
    </w:p>
    <w:p w14:paraId="11549C2D">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甲方：中国重汽集团济南动力有限公司</w:t>
      </w:r>
    </w:p>
    <w:p w14:paraId="6C4CDB74">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乙方：【供应商】</w:t>
      </w:r>
    </w:p>
    <w:p w14:paraId="6D3FF259">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为保持产品质量的稳定与持续提升，明确产品质量的责任与义务，甲、乙双方经友好协商，签订《采购产品质量保证与服务协议》（以下简称“本协议”）以资共同遵守。</w:t>
      </w:r>
    </w:p>
    <w:p w14:paraId="7B0D11AE">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1．协议适用范围</w:t>
      </w:r>
    </w:p>
    <w:p w14:paraId="4BC4217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本协议所指产品，是指甲方从乙方采购用于甲方生产</w:t>
      </w:r>
      <w:r>
        <w:rPr>
          <w:rFonts w:hint="eastAsia" w:ascii="仿宋" w:hAnsi="仿宋" w:eastAsia="仿宋" w:cs="Times New Roman"/>
          <w:color w:val="auto"/>
          <w:sz w:val="24"/>
          <w:szCs w:val="24"/>
          <w:highlight w:val="none"/>
          <w:u w:val="single"/>
          <w:lang w:val="en-US" w:eastAsia="zh-CN"/>
        </w:rPr>
        <w:t>的工装、夹具及其备件</w:t>
      </w:r>
      <w:r>
        <w:rPr>
          <w:rFonts w:hint="eastAsia" w:ascii="仿宋" w:hAnsi="仿宋" w:eastAsia="仿宋" w:cs="Times New Roman"/>
          <w:sz w:val="24"/>
          <w:szCs w:val="24"/>
          <w:highlight w:val="none"/>
          <w:u w:val="none"/>
        </w:rPr>
        <w:t>。</w:t>
      </w:r>
    </w:p>
    <w:p w14:paraId="3BE564F6">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2．管理职责</w:t>
      </w:r>
    </w:p>
    <w:p w14:paraId="3AB9475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2.1 甲方职责</w:t>
      </w:r>
    </w:p>
    <w:p w14:paraId="41D27E61">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2.1.1甲方应向乙方明确提出技术和质量要求。当甲方变更技术和/或质量要求时，应及时通知乙方。</w:t>
      </w:r>
    </w:p>
    <w:p w14:paraId="2C7C0B4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2</w:t>
      </w:r>
      <w:r>
        <w:rPr>
          <w:rFonts w:hint="eastAsia" w:ascii="仿宋" w:hAnsi="仿宋" w:eastAsia="仿宋"/>
          <w:sz w:val="24"/>
          <w:szCs w:val="24"/>
          <w:highlight w:val="none"/>
          <w:u w:val="none"/>
        </w:rPr>
        <w:t>甲方应及时向乙方反馈其所提供产品存在的质量问题（包括因包装不良导致），并负责向乙方提供不合格品资料及质量信息。</w:t>
      </w:r>
    </w:p>
    <w:p w14:paraId="50E9E62A">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3</w:t>
      </w:r>
      <w:r>
        <w:rPr>
          <w:rFonts w:hint="eastAsia" w:ascii="仿宋" w:hAnsi="仿宋" w:eastAsia="仿宋"/>
          <w:sz w:val="24"/>
          <w:szCs w:val="24"/>
          <w:highlight w:val="none"/>
          <w:u w:val="none"/>
        </w:rPr>
        <w:t>甲方负责验证乙方相关质量改进的有效性，客户有要求或必要时直接到乙方现场进行产品验证。</w:t>
      </w:r>
    </w:p>
    <w:p w14:paraId="486EBD6E">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4</w:t>
      </w:r>
      <w:r>
        <w:rPr>
          <w:rFonts w:hint="eastAsia" w:ascii="仿宋" w:hAnsi="仿宋" w:eastAsia="仿宋"/>
          <w:sz w:val="24"/>
          <w:szCs w:val="24"/>
          <w:highlight w:val="none"/>
          <w:u w:val="none"/>
        </w:rPr>
        <w:t>甲方按计划或根据需要不定期的对乙方质量保证能力等方面进行审核。</w:t>
      </w:r>
    </w:p>
    <w:p w14:paraId="2BEA9DD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5</w:t>
      </w:r>
      <w:r>
        <w:rPr>
          <w:rFonts w:hint="eastAsia" w:ascii="仿宋" w:hAnsi="仿宋" w:eastAsia="仿宋"/>
          <w:sz w:val="24"/>
          <w:szCs w:val="24"/>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31779CF0">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4BB87C4E">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4FCEDCAF">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39FA484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5546E4FC">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w:t>
      </w:r>
      <w:r>
        <w:rPr>
          <w:rFonts w:hint="eastAsia" w:ascii="仿宋" w:hAnsi="仿宋" w:eastAsia="仿宋" w:cs="Times New Roman"/>
          <w:color w:val="auto"/>
          <w:kern w:val="2"/>
          <w:sz w:val="24"/>
          <w:szCs w:val="24"/>
          <w:highlight w:val="none"/>
          <w:u w:val="none"/>
          <w:lang w:val="en-US" w:eastAsia="zh-CN"/>
        </w:rPr>
        <w:t>同时</w:t>
      </w:r>
      <w:r>
        <w:rPr>
          <w:rFonts w:hint="eastAsia" w:ascii="仿宋" w:hAnsi="仿宋" w:eastAsia="仿宋" w:cs="Times New Roman"/>
          <w:color w:val="auto"/>
          <w:kern w:val="2"/>
          <w:sz w:val="24"/>
          <w:szCs w:val="24"/>
          <w:highlight w:val="none"/>
          <w:u w:val="none"/>
        </w:rPr>
        <w:t>完成以下事项后，方可启用。</w:t>
      </w:r>
    </w:p>
    <w:p w14:paraId="522A8F2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1EABFC78">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1D9F53FB">
      <w:pPr>
        <w:pStyle w:val="113"/>
        <w:ind w:firstLine="480" w:firstLineChars="200"/>
        <w:rPr>
          <w:rFonts w:ascii="仿宋" w:hAnsi="仿宋" w:eastAsia="仿宋" w:cs="Times New Roman"/>
          <w:color w:val="0000FF"/>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1942CC5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2.2乙方职责</w:t>
      </w:r>
    </w:p>
    <w:p w14:paraId="3D85551D">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43B4AD4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w:t>
      </w:r>
      <w:r>
        <w:rPr>
          <w:rFonts w:ascii="仿宋" w:hAnsi="仿宋" w:eastAsia="仿宋" w:cs="Times New Roman"/>
          <w:sz w:val="24"/>
          <w:szCs w:val="24"/>
          <w:highlight w:val="none"/>
          <w:u w:val="none"/>
        </w:rPr>
        <w:t>2</w:t>
      </w:r>
      <w:r>
        <w:rPr>
          <w:rFonts w:hint="eastAsia" w:ascii="仿宋" w:hAnsi="仿宋" w:eastAsia="仿宋" w:cs="Times New Roman"/>
          <w:sz w:val="24"/>
          <w:szCs w:val="24"/>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74C6C8ED">
      <w:pPr>
        <w:tabs>
          <w:tab w:val="left" w:pos="0"/>
        </w:tabs>
        <w:ind w:firstLine="480" w:firstLineChars="200"/>
        <w:rPr>
          <w:rFonts w:hint="eastAsia" w:ascii="仿宋" w:hAnsi="仿宋" w:eastAsia="仿宋"/>
          <w:sz w:val="24"/>
          <w:szCs w:val="24"/>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3</w:t>
      </w:r>
      <w:r>
        <w:rPr>
          <w:rFonts w:hint="eastAsia" w:ascii="仿宋" w:hAnsi="仿宋" w:eastAsia="仿宋"/>
          <w:sz w:val="24"/>
          <w:szCs w:val="24"/>
          <w:u w:val="none"/>
        </w:rPr>
        <w:t>乙方应对其产品的特殊过程按GB/T19001-2016/ISO9001:2015等质量标准要求进行过程确认，将确认、控制和过程能力的相关资料定期提交甲方采购部门。</w:t>
      </w:r>
    </w:p>
    <w:p w14:paraId="11B17F3F">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4</w:t>
      </w:r>
      <w:r>
        <w:rPr>
          <w:rFonts w:hint="eastAsia" w:ascii="仿宋" w:hAnsi="仿宋" w:eastAsia="仿宋"/>
          <w:color w:val="auto"/>
          <w:sz w:val="24"/>
          <w:szCs w:val="24"/>
          <w:highlight w:val="none"/>
          <w:u w:val="none"/>
        </w:rPr>
        <w:t>当客户或甲方到乙方</w:t>
      </w:r>
      <w:r>
        <w:rPr>
          <w:rFonts w:hint="eastAsia" w:ascii="仿宋" w:hAnsi="仿宋" w:eastAsia="仿宋"/>
          <w:color w:val="auto"/>
          <w:sz w:val="24"/>
          <w:szCs w:val="24"/>
          <w:highlight w:val="none"/>
          <w:u w:val="none"/>
          <w:lang w:val="en-US" w:eastAsia="zh-CN"/>
        </w:rPr>
        <w:t>现场</w:t>
      </w:r>
      <w:r>
        <w:rPr>
          <w:rFonts w:hint="eastAsia" w:ascii="仿宋" w:hAnsi="仿宋" w:eastAsia="仿宋"/>
          <w:color w:val="auto"/>
          <w:sz w:val="24"/>
          <w:szCs w:val="24"/>
          <w:highlight w:val="none"/>
          <w:u w:val="none"/>
        </w:rPr>
        <w:t>进行产品验证时，乙方应积极配合，但验证的结论不作为乙方交付</w:t>
      </w:r>
      <w:r>
        <w:rPr>
          <w:rFonts w:hint="eastAsia" w:ascii="仿宋" w:hAnsi="仿宋" w:eastAsia="仿宋"/>
          <w:color w:val="auto"/>
          <w:sz w:val="24"/>
          <w:szCs w:val="24"/>
          <w:highlight w:val="none"/>
          <w:u w:val="none"/>
          <w:lang w:val="en-US" w:eastAsia="zh-CN"/>
        </w:rPr>
        <w:t>时，甲方的验收</w:t>
      </w:r>
      <w:r>
        <w:rPr>
          <w:rFonts w:hint="eastAsia" w:ascii="仿宋" w:hAnsi="仿宋" w:eastAsia="仿宋"/>
          <w:color w:val="auto"/>
          <w:sz w:val="24"/>
          <w:szCs w:val="24"/>
          <w:highlight w:val="none"/>
          <w:u w:val="none"/>
        </w:rPr>
        <w:t>依据。</w:t>
      </w:r>
    </w:p>
    <w:p w14:paraId="537AF30B">
      <w:pPr>
        <w:tabs>
          <w:tab w:val="left" w:pos="0"/>
        </w:tabs>
        <w:ind w:firstLine="480" w:firstLineChars="200"/>
        <w:rPr>
          <w:rFonts w:ascii="仿宋" w:hAnsi="仿宋" w:eastAsia="仿宋"/>
          <w:sz w:val="24"/>
          <w:szCs w:val="24"/>
          <w:highlight w:val="none"/>
          <w:u w:val="none"/>
        </w:rPr>
      </w:pPr>
      <w:r>
        <w:rPr>
          <w:rFonts w:hint="eastAsia" w:ascii="仿宋" w:hAnsi="仿宋" w:eastAsia="仿宋" w:cs="Times New Roman"/>
          <w:sz w:val="24"/>
          <w:szCs w:val="24"/>
          <w:highlight w:val="none"/>
          <w:u w:val="none"/>
        </w:rPr>
        <w:t>2.2.5</w:t>
      </w:r>
      <w:r>
        <w:rPr>
          <w:rFonts w:hint="eastAsia" w:ascii="仿宋" w:hAnsi="仿宋" w:eastAsia="仿宋" w:cs="Times New Roman"/>
          <w:sz w:val="24"/>
          <w:szCs w:val="24"/>
          <w:u w:val="none"/>
        </w:rPr>
        <w:t>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08F5FC5A">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3．质量条款</w:t>
      </w:r>
    </w:p>
    <w:p w14:paraId="580F955C">
      <w:pPr>
        <w:tabs>
          <w:tab w:val="left" w:pos="0"/>
        </w:tabs>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3.1实物质量标准</w:t>
      </w:r>
    </w:p>
    <w:p w14:paraId="56A0BDD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1FCCDAD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产品符合性的判定依据包括但不限于以下内容：</w:t>
      </w:r>
    </w:p>
    <w:p w14:paraId="692A776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a.产品图样；</w:t>
      </w:r>
    </w:p>
    <w:p w14:paraId="695BC0BB">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b.产品技术文件；</w:t>
      </w:r>
    </w:p>
    <w:p w14:paraId="3F45F6D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c.产品技术协议；</w:t>
      </w:r>
    </w:p>
    <w:p w14:paraId="064FC08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d.产品相关的现行标准；</w:t>
      </w:r>
    </w:p>
    <w:p w14:paraId="7FFDEFC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e.产品的会签图纸或双方确认的技术要求；</w:t>
      </w:r>
    </w:p>
    <w:p w14:paraId="148C45E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f</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产品包装要求；</w:t>
      </w:r>
    </w:p>
    <w:p w14:paraId="2315BAB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g.产品质量目标要求。</w:t>
      </w:r>
    </w:p>
    <w:p w14:paraId="3079DF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3.1.2乙方提供给甲方的产品，应附有：</w:t>
      </w:r>
    </w:p>
    <w:p w14:paraId="62C3825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符合甲方要求的自检报告及产品合格证明，乙方应对报告的数据真实性负责。必要时按甲方要求提供双方认可的第三方检测报告；</w:t>
      </w:r>
    </w:p>
    <w:p w14:paraId="45CAD53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b.符合甲方要求的产品铭牌、编号及标识；</w:t>
      </w:r>
    </w:p>
    <w:p w14:paraId="2ACA2CB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c.甲方要求的产品说明书；</w:t>
      </w:r>
    </w:p>
    <w:p w14:paraId="2BA976D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d.具有可追溯性的批次信息；</w:t>
      </w:r>
    </w:p>
    <w:p w14:paraId="060614D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e.甲方有要求时，应按甲方相关标准携带条码。</w:t>
      </w:r>
    </w:p>
    <w:p w14:paraId="78C7EF8D">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3.2检验要求</w:t>
      </w:r>
    </w:p>
    <w:p w14:paraId="31CF5EC5">
      <w:pPr>
        <w:ind w:firstLine="480" w:firstLineChars="200"/>
        <w:jc w:val="left"/>
        <w:rPr>
          <w:rFonts w:ascii="仿宋" w:hAnsi="仿宋" w:eastAsia="仿宋" w:cs="Times New Roman"/>
          <w:sz w:val="24"/>
          <w:szCs w:val="24"/>
          <w:highlight w:val="none"/>
          <w:u w:val="none"/>
        </w:rPr>
      </w:pPr>
      <w:r>
        <w:rPr>
          <w:rFonts w:hint="eastAsia" w:ascii="仿宋" w:hAnsi="仿宋" w:eastAsia="仿宋"/>
          <w:sz w:val="24"/>
          <w:szCs w:val="24"/>
          <w:highlight w:val="none"/>
          <w:u w:val="none"/>
        </w:rPr>
        <w:t>3.2.1</w:t>
      </w:r>
      <w:r>
        <w:rPr>
          <w:rFonts w:hint="eastAsia" w:ascii="仿宋" w:hAnsi="仿宋" w:eastAsia="仿宋" w:cs="Times New Roman"/>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6C30C40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3.2.2乙方应配备必要的试验检验设备，建立覆盖产品原材料检验、功能检测、可靠性检测等方面的试验检验能力。</w:t>
      </w:r>
      <w:r>
        <w:rPr>
          <w:rFonts w:hint="eastAsia" w:ascii="仿宋" w:hAnsi="仿宋" w:eastAsia="仿宋"/>
          <w:kern w:val="0"/>
          <w:sz w:val="24"/>
          <w:highlight w:val="none"/>
          <w:u w:val="none"/>
        </w:rPr>
        <w:t>根据产品的质量特性要求，乙方应制订产品的检验基准书和检验控制计划，报甲方备案。</w:t>
      </w:r>
    </w:p>
    <w:p w14:paraId="4558BBC8">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3.2.3</w:t>
      </w:r>
      <w:r>
        <w:rPr>
          <w:rFonts w:hint="eastAsia" w:ascii="仿宋" w:hAnsi="仿宋" w:eastAsia="仿宋" w:cs="Times New Roman"/>
          <w:sz w:val="24"/>
          <w:szCs w:val="24"/>
        </w:rPr>
        <w:t>对于异形件、内外饰等型面件，乙方应制作专用检具。同时甲方有权要求乙方提供专用检具供甲方使用，乙方应积极配合完成。</w:t>
      </w:r>
    </w:p>
    <w:p w14:paraId="558766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3.2.4乙方应根据产品质量特性要求，制订产品检验控制计划并认真组织实施。同时应按甲方产品质量控制计划规定的时限，提供相应的产品检验报告。</w:t>
      </w:r>
    </w:p>
    <w:p w14:paraId="52476582">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w:t>
      </w:r>
      <w:r>
        <w:rPr>
          <w:rFonts w:ascii="仿宋" w:hAnsi="仿宋" w:eastAsia="仿宋"/>
          <w:kern w:val="0"/>
          <w:sz w:val="24"/>
          <w:highlight w:val="none"/>
          <w:u w:val="none"/>
        </w:rPr>
        <w:t xml:space="preserve">.2.5 </w:t>
      </w:r>
      <w:r>
        <w:rPr>
          <w:rFonts w:hint="eastAsia" w:ascii="仿宋" w:hAnsi="仿宋" w:eastAsia="仿宋"/>
          <w:kern w:val="0"/>
          <w:sz w:val="24"/>
          <w:highlight w:val="none"/>
          <w:u w:val="none"/>
        </w:rPr>
        <w:t>进货检验过程中的破坏性检验，由乙方承担破坏性检验的样件费用。破坏性检验合格残留样件，不再返回乙方，</w:t>
      </w:r>
      <w:r>
        <w:rPr>
          <w:rFonts w:hint="eastAsia" w:ascii="仿宋" w:hAnsi="仿宋" w:eastAsia="仿宋"/>
          <w:sz w:val="24"/>
          <w:szCs w:val="24"/>
          <w:highlight w:val="none"/>
          <w:u w:val="none"/>
        </w:rPr>
        <w:t>由甲方自行按废旧物资处置。</w:t>
      </w:r>
      <w:r>
        <w:rPr>
          <w:rFonts w:hint="eastAsia" w:ascii="仿宋" w:hAnsi="仿宋" w:eastAsia="仿宋"/>
          <w:kern w:val="0"/>
          <w:sz w:val="24"/>
          <w:highlight w:val="none"/>
          <w:u w:val="none"/>
        </w:rPr>
        <w:t>破坏性检验不合格残留样件，</w:t>
      </w:r>
      <w:r>
        <w:rPr>
          <w:rFonts w:hint="eastAsia" w:ascii="仿宋" w:hAnsi="仿宋" w:eastAsia="仿宋" w:cs="Times New Roman"/>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sz w:val="24"/>
          <w:szCs w:val="24"/>
          <w:highlight w:val="none"/>
          <w:u w:val="none"/>
        </w:rPr>
        <w:t>由甲方自行按废旧物资处置。</w:t>
      </w:r>
    </w:p>
    <w:p w14:paraId="366694E0">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3.2.6乙方在提供工装的同时，必须附带图纸</w:t>
      </w:r>
      <w:r>
        <w:rPr>
          <w:rFonts w:hint="eastAsia" w:ascii="仿宋" w:hAnsi="仿宋" w:eastAsia="仿宋"/>
          <w:color w:val="auto"/>
          <w:kern w:val="0"/>
          <w:sz w:val="24"/>
          <w:highlight w:val="none"/>
          <w:u w:val="none"/>
        </w:rPr>
        <w:t>（包含2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w:t>
      </w:r>
      <w:r>
        <w:rPr>
          <w:rFonts w:hint="eastAsia" w:ascii="仿宋" w:hAnsi="仿宋" w:eastAsia="仿宋"/>
          <w:kern w:val="0"/>
          <w:sz w:val="24"/>
          <w:highlight w:val="none"/>
          <w:u w:val="none"/>
        </w:rPr>
        <w:t>、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11B2AA3F">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4EECD2C5">
      <w:pPr>
        <w:ind w:firstLine="480" w:firstLineChars="200"/>
        <w:jc w:val="left"/>
        <w:rPr>
          <w:rFonts w:hint="eastAsia" w:ascii="仿宋" w:hAnsi="仿宋" w:eastAsia="仿宋"/>
          <w:kern w:val="0"/>
          <w:sz w:val="24"/>
          <w:highlight w:val="none"/>
          <w:u w:val="none"/>
        </w:rPr>
      </w:pPr>
      <w:r>
        <w:rPr>
          <w:rFonts w:hint="eastAsia" w:ascii="仿宋" w:hAnsi="仿宋" w:eastAsia="仿宋"/>
          <w:kern w:val="0"/>
          <w:sz w:val="24"/>
          <w:highlight w:val="none"/>
          <w:u w:val="none"/>
        </w:rPr>
        <w:t>3.2.8铸造工装，甲方主要检查工装的外观质量、配件是否齐全，对关健尺寸、主要配件性能以及</w:t>
      </w:r>
      <w:r>
        <w:rPr>
          <w:rFonts w:hint="eastAsia" w:ascii="仿宋" w:hAnsi="仿宋" w:eastAsia="仿宋"/>
          <w:color w:val="auto"/>
          <w:kern w:val="0"/>
          <w:sz w:val="24"/>
          <w:highlight w:val="none"/>
          <w:u w:val="none"/>
        </w:rPr>
        <w:t>关键模具的材质</w:t>
      </w:r>
      <w:r>
        <w:rPr>
          <w:rFonts w:hint="eastAsia" w:ascii="仿宋" w:hAnsi="仿宋" w:eastAsia="仿宋"/>
          <w:kern w:val="0"/>
          <w:sz w:val="24"/>
          <w:highlight w:val="none"/>
          <w:u w:val="none"/>
        </w:rPr>
        <w:t>进行确认。锻造模具工装，甲方主要对硬度、外观质量和新制模具闭合高度及模具外观能够检测部位进行确认,新制模具焊修后甲方将按新制模具的要求来进行检验，乙方应在</w:t>
      </w:r>
      <w:r>
        <w:rPr>
          <w:rFonts w:hint="eastAsia" w:ascii="仿宋" w:hAnsi="仿宋" w:eastAsia="仿宋"/>
          <w:color w:val="auto"/>
          <w:kern w:val="0"/>
          <w:sz w:val="24"/>
          <w:highlight w:val="none"/>
          <w:u w:val="none"/>
        </w:rPr>
        <w:t>焊修模具的工</w:t>
      </w:r>
      <w:r>
        <w:rPr>
          <w:rFonts w:hint="eastAsia" w:ascii="仿宋" w:hAnsi="仿宋" w:eastAsia="仿宋"/>
          <w:kern w:val="0"/>
          <w:sz w:val="24"/>
          <w:highlight w:val="none"/>
          <w:u w:val="none"/>
        </w:rPr>
        <w:t>装检验合格证上注明未焊修前基体的硬度。</w:t>
      </w:r>
    </w:p>
    <w:p w14:paraId="121198AB">
      <w:pPr>
        <w:ind w:firstLine="480" w:firstLineChars="200"/>
        <w:jc w:val="left"/>
        <w:rPr>
          <w:rFonts w:ascii="仿宋" w:hAnsi="仿宋" w:eastAsia="仿宋"/>
          <w:strike/>
          <w:dstrike w:val="0"/>
          <w:kern w:val="0"/>
          <w:sz w:val="24"/>
          <w:highlight w:val="none"/>
          <w:u w:val="none"/>
        </w:rPr>
      </w:pPr>
      <w:r>
        <w:rPr>
          <w:rFonts w:hint="eastAsia" w:ascii="仿宋" w:hAnsi="仿宋" w:eastAsia="仿宋"/>
          <w:kern w:val="0"/>
          <w:sz w:val="24"/>
          <w:highlight w:val="none"/>
          <w:u w:val="none"/>
        </w:rPr>
        <w:t>3.2.9乙方提供首批（首件、样件）工装时，需同时提供该工装的材质报告单、质保单及检验记录等质量证明文件。</w:t>
      </w:r>
    </w:p>
    <w:p w14:paraId="01199E1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3.3二方审核</w:t>
      </w:r>
    </w:p>
    <w:p w14:paraId="58AD364D">
      <w:pPr>
        <w:ind w:firstLine="480" w:firstLineChars="200"/>
        <w:jc w:val="left"/>
        <w:rPr>
          <w:rFonts w:ascii="仿宋" w:hAnsi="仿宋" w:eastAsia="仿宋" w:cs="Times New Roman"/>
          <w:sz w:val="24"/>
          <w:szCs w:val="24"/>
          <w:u w:val="none"/>
        </w:rPr>
      </w:pPr>
      <w:r>
        <w:rPr>
          <w:rFonts w:hint="eastAsia" w:ascii="仿宋" w:hAnsi="仿宋" w:eastAsia="仿宋" w:cs="Times New Roman"/>
          <w:sz w:val="24"/>
          <w:szCs w:val="24"/>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sz w:val="24"/>
          <w:szCs w:val="24"/>
          <w:u w:val="none"/>
        </w:rPr>
        <w:t>审核费用</w:t>
      </w:r>
      <w:r>
        <w:rPr>
          <w:rFonts w:hint="eastAsia" w:ascii="仿宋" w:hAnsi="仿宋" w:eastAsia="仿宋" w:cs="Times New Roman"/>
          <w:sz w:val="24"/>
          <w:szCs w:val="24"/>
          <w:u w:val="none"/>
        </w:rPr>
        <w:t>及</w:t>
      </w:r>
      <w:r>
        <w:rPr>
          <w:rFonts w:ascii="仿宋" w:hAnsi="仿宋" w:eastAsia="仿宋" w:cs="Times New Roman"/>
          <w:sz w:val="24"/>
          <w:szCs w:val="24"/>
          <w:u w:val="none"/>
        </w:rPr>
        <w:t>审核员的交通食宿费用由</w:t>
      </w:r>
      <w:r>
        <w:rPr>
          <w:rFonts w:hint="eastAsia" w:ascii="仿宋" w:hAnsi="仿宋" w:eastAsia="仿宋" w:cs="Times New Roman"/>
          <w:sz w:val="24"/>
          <w:szCs w:val="24"/>
          <w:u w:val="none"/>
        </w:rPr>
        <w:t>乙方</w:t>
      </w:r>
      <w:r>
        <w:rPr>
          <w:rFonts w:ascii="仿宋" w:hAnsi="仿宋" w:eastAsia="仿宋" w:cs="Times New Roman"/>
          <w:sz w:val="24"/>
          <w:szCs w:val="24"/>
          <w:u w:val="none"/>
        </w:rPr>
        <w:t>承担</w:t>
      </w:r>
      <w:r>
        <w:rPr>
          <w:rFonts w:hint="eastAsia" w:ascii="仿宋" w:hAnsi="仿宋" w:eastAsia="仿宋" w:cs="Times New Roman"/>
          <w:sz w:val="24"/>
          <w:szCs w:val="24"/>
          <w:u w:val="none"/>
        </w:rPr>
        <w:t>。</w:t>
      </w:r>
    </w:p>
    <w:p w14:paraId="3588859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3.4产品免检</w:t>
      </w:r>
    </w:p>
    <w:p w14:paraId="0A00552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质量保证体系健全且具备向甲方持续提供合格产品的卓越供方，可向甲方提出产品免检申请，甲方审核批准后将其纳入免检供方名录。</w:t>
      </w:r>
    </w:p>
    <w:p w14:paraId="4AB06C85">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4．服务条款</w:t>
      </w:r>
    </w:p>
    <w:p w14:paraId="1196988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没有按时到现场的，视为同意甲方鉴定结论。</w:t>
      </w:r>
      <w:r>
        <w:rPr>
          <w:rFonts w:hint="eastAsia" w:ascii="仿宋" w:hAnsi="仿宋" w:eastAsia="仿宋" w:cs="Times New Roman"/>
          <w:sz w:val="24"/>
          <w:szCs w:val="24"/>
        </w:rPr>
        <w:t>甲方有权对乙方进行强制索赔，未按时到现场的甲方将对乙方考核1000-10000元，年周期内重复发生的加倍考核。</w:t>
      </w:r>
    </w:p>
    <w:p w14:paraId="557EB8B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4.2乙方如对甲方的复验结果有异议，应在得到检验结果后8小时内书面提出，若选择第三方复验，要选择甲方所在地质检机构，其资质应达到或高于</w:t>
      </w:r>
      <w:r>
        <w:rPr>
          <w:rFonts w:hint="eastAsia" w:ascii="仿宋" w:hAnsi="仿宋" w:eastAsia="仿宋" w:cs="Times New Roman"/>
          <w:sz w:val="24"/>
          <w:szCs w:val="24"/>
          <w:lang w:val="en-US" w:eastAsia="zh-CN"/>
        </w:rPr>
        <w:t>甲方</w:t>
      </w:r>
      <w:r>
        <w:rPr>
          <w:rFonts w:hint="eastAsia" w:ascii="仿宋" w:hAnsi="仿宋" w:eastAsia="仿宋" w:cs="Times New Roman"/>
          <w:sz w:val="24"/>
          <w:szCs w:val="24"/>
        </w:rPr>
        <w:t>资质，检测费用由乙方承担。</w:t>
      </w:r>
    </w:p>
    <w:p w14:paraId="229E98FB">
      <w:pPr>
        <w:snapToGrid w:val="0"/>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5．不合格品的处理方式</w:t>
      </w:r>
    </w:p>
    <w:p w14:paraId="1DAEF24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749A3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w:t>
      </w:r>
    </w:p>
    <w:p w14:paraId="497155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0C867CC9">
      <w:pPr>
        <w:tabs>
          <w:tab w:val="left" w:pos="0"/>
        </w:tabs>
        <w:ind w:firstLine="482" w:firstLineChars="200"/>
        <w:rPr>
          <w:rFonts w:ascii="仿宋" w:hAnsi="仿宋" w:eastAsia="仿宋"/>
          <w:b/>
          <w:bCs/>
          <w:sz w:val="24"/>
          <w:szCs w:val="24"/>
          <w:highlight w:val="none"/>
          <w:u w:val="none"/>
        </w:rPr>
      </w:pPr>
      <w:r>
        <w:rPr>
          <w:rFonts w:hint="eastAsia" w:ascii="仿宋" w:hAnsi="仿宋" w:eastAsia="仿宋"/>
          <w:b/>
          <w:bCs/>
          <w:sz w:val="24"/>
          <w:szCs w:val="24"/>
          <w:highlight w:val="none"/>
          <w:u w:val="none"/>
        </w:rPr>
        <w:t>6</w:t>
      </w:r>
      <w:r>
        <w:rPr>
          <w:rFonts w:hint="eastAsia" w:ascii="仿宋" w:hAnsi="仿宋" w:eastAsia="仿宋" w:cs="Times New Roman"/>
          <w:b/>
          <w:sz w:val="24"/>
          <w:szCs w:val="24"/>
          <w:highlight w:val="none"/>
          <w:u w:val="none"/>
        </w:rPr>
        <w:t>．</w:t>
      </w:r>
      <w:r>
        <w:rPr>
          <w:rFonts w:hint="eastAsia" w:ascii="仿宋" w:hAnsi="仿宋" w:eastAsia="仿宋"/>
          <w:b/>
          <w:bCs/>
          <w:sz w:val="24"/>
          <w:szCs w:val="24"/>
          <w:highlight w:val="none"/>
          <w:u w:val="none"/>
        </w:rPr>
        <w:t>质量问题处理及索赔管理</w:t>
      </w:r>
    </w:p>
    <w:p w14:paraId="5D4AC76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1BB9127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7FCE6D0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7D6187F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6.1.1.1返工工装：对于轻微质量缺陷，经甲方技术质量部组织评审确认返工能够现场修复解决，且规定了返工指导标准、再检验标准的产品，定义为返工工装。</w:t>
      </w:r>
    </w:p>
    <w:p w14:paraId="761B848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6342371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7197206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66A1691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5D8FB2B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23CFB06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036625A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001184D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66CD71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00C60D8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579A2BC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6.1.2.1因乙方工装上场首件验证不合格,由甲方技术质量部组织技术、制造、使用部门鉴定为乙方责任后，原则上按6.1.1.2条款处理，甲方使用单位所发生的动能费用、工人工时、材料费全部由乙方承担。</w:t>
      </w:r>
    </w:p>
    <w:p w14:paraId="0F97DC7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6.1.2.2因工装自身质量原因造成实际使用寿命达不到承诺寿命时，由乙方承担甲方生产过程中出现的不良品损失以及其他相关损失。甲方质量部门组织评审、处理问题工装，其中：</w:t>
      </w:r>
    </w:p>
    <w:p w14:paraId="2DACA9A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237A198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2）经评审工装无继续使用价值的，按（承诺寿命-实际使用寿命）/承诺寿命×合同价进行索赔，并根据工装使用情况与工装价值对乙方进行考核，年周期内重复发生的加倍考核。</w:t>
      </w:r>
    </w:p>
    <w:p w14:paraId="0B024DF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3）若连续两次发生寿命达不到技术定额，按质量协议处理后，甲方有权将该供方份额下调；连续三次发生，甲方有权直接取消供方该标的组的供货份额。</w:t>
      </w:r>
    </w:p>
    <w:p w14:paraId="35240617">
      <w:pPr>
        <w:snapToGrid w:val="0"/>
        <w:ind w:firstLine="480" w:firstLineChars="200"/>
        <w:rPr>
          <w:rFonts w:ascii="仿宋" w:hAnsi="仿宋" w:eastAsia="仿宋"/>
          <w:sz w:val="24"/>
          <w:szCs w:val="24"/>
          <w:highlight w:val="none"/>
          <w:u w:val="none"/>
        </w:rPr>
      </w:pPr>
    </w:p>
    <w:p w14:paraId="40366194">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考核方案如下：</w:t>
      </w:r>
    </w:p>
    <w:p w14:paraId="0EB464AF">
      <w:pPr>
        <w:snapToGrid w:val="0"/>
        <w:ind w:firstLine="480" w:firstLineChars="200"/>
        <w:rPr>
          <w:rFonts w:ascii="仿宋" w:hAnsi="仿宋" w:eastAsia="仿宋"/>
          <w:sz w:val="24"/>
          <w:szCs w:val="24"/>
          <w:highlight w:val="none"/>
          <w:u w:val="none"/>
        </w:rPr>
      </w:pPr>
    </w:p>
    <w:tbl>
      <w:tblPr>
        <w:tblStyle w:val="31"/>
        <w:tblW w:w="10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10"/>
        <w:gridCol w:w="2918"/>
        <w:gridCol w:w="1418"/>
        <w:gridCol w:w="1410"/>
        <w:gridCol w:w="1563"/>
      </w:tblGrid>
      <w:tr w14:paraId="7E24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1" w:type="dxa"/>
            <w:noWrap w:val="0"/>
            <w:vAlign w:val="center"/>
          </w:tcPr>
          <w:p w14:paraId="37B4536E">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使用寿命</w:t>
            </w:r>
          </w:p>
        </w:tc>
        <w:tc>
          <w:tcPr>
            <w:tcW w:w="2510" w:type="dxa"/>
            <w:noWrap w:val="0"/>
            <w:vAlign w:val="center"/>
          </w:tcPr>
          <w:p w14:paraId="4E4974B2">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实际使用寿命＜技术定额的30%</w:t>
            </w:r>
          </w:p>
        </w:tc>
        <w:tc>
          <w:tcPr>
            <w:tcW w:w="2918" w:type="dxa"/>
            <w:noWrap w:val="0"/>
            <w:vAlign w:val="center"/>
          </w:tcPr>
          <w:p w14:paraId="062C065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技术定额的30%≤实际使用寿命＜技术定额的50%</w:t>
            </w:r>
          </w:p>
        </w:tc>
        <w:tc>
          <w:tcPr>
            <w:tcW w:w="1418" w:type="dxa"/>
            <w:noWrap w:val="0"/>
            <w:vAlign w:val="center"/>
          </w:tcPr>
          <w:p w14:paraId="0FF7FAF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技术定额的50%≤实际使用寿命≤技术定额的80%</w:t>
            </w:r>
          </w:p>
        </w:tc>
        <w:tc>
          <w:tcPr>
            <w:tcW w:w="1410" w:type="dxa"/>
            <w:noWrap w:val="0"/>
            <w:vAlign w:val="center"/>
          </w:tcPr>
          <w:p w14:paraId="24F34F4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实际使用寿命≥技术定额的80%</w:t>
            </w:r>
          </w:p>
        </w:tc>
        <w:tc>
          <w:tcPr>
            <w:tcW w:w="1563" w:type="dxa"/>
            <w:noWrap w:val="0"/>
            <w:vAlign w:val="center"/>
          </w:tcPr>
          <w:p w14:paraId="34C6EC0A">
            <w:pPr>
              <w:snapToGrid w:val="0"/>
              <w:rPr>
                <w:rFonts w:ascii="仿宋_GB2312" w:eastAsia="仿宋_GB2312"/>
                <w:sz w:val="24"/>
                <w:highlight w:val="none"/>
                <w:u w:val="none"/>
              </w:rPr>
            </w:pPr>
            <w:r>
              <w:rPr>
                <w:rFonts w:hint="eastAsia" w:ascii="仿宋_GB2312" w:eastAsia="仿宋_GB2312"/>
                <w:sz w:val="24"/>
                <w:highlight w:val="none"/>
                <w:u w:val="none"/>
              </w:rPr>
              <w:t>技术定额≤实际使用寿命＜承诺寿命</w:t>
            </w:r>
          </w:p>
        </w:tc>
      </w:tr>
      <w:tr w14:paraId="7607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971" w:type="dxa"/>
            <w:noWrap w:val="0"/>
            <w:vAlign w:val="center"/>
          </w:tcPr>
          <w:p w14:paraId="1EE4A575">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考核方案</w:t>
            </w:r>
          </w:p>
        </w:tc>
        <w:tc>
          <w:tcPr>
            <w:tcW w:w="2510" w:type="dxa"/>
            <w:noWrap w:val="0"/>
            <w:vAlign w:val="center"/>
          </w:tcPr>
          <w:p w14:paraId="267F64B0">
            <w:pPr>
              <w:numPr>
                <w:ilvl w:val="0"/>
                <w:numId w:val="25"/>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维修后可以继续使用的工装，乙方无偿返修，返修后重新计算寿命；</w:t>
            </w:r>
          </w:p>
          <w:p w14:paraId="68E1547A">
            <w:pPr>
              <w:numPr>
                <w:ilvl w:val="0"/>
                <w:numId w:val="25"/>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无法继续使用的工装，乙方免费更换新制模具，重新计算寿命；</w:t>
            </w:r>
          </w:p>
          <w:p w14:paraId="4F1C644D">
            <w:pPr>
              <w:numPr>
                <w:ilvl w:val="0"/>
                <w:numId w:val="25"/>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视对甲方生产的影响，按6.2.7条考核。</w:t>
            </w:r>
          </w:p>
        </w:tc>
        <w:tc>
          <w:tcPr>
            <w:tcW w:w="2918" w:type="dxa"/>
            <w:noWrap w:val="0"/>
            <w:vAlign w:val="center"/>
          </w:tcPr>
          <w:p w14:paraId="0166730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1）工装进货结算价值≥50000元时，按该工装合同价（整付价格）的10%考核；</w:t>
            </w:r>
          </w:p>
          <w:p w14:paraId="37C8D6C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2）工装进货结算价值＜50000元，≥10000元时，按该工装合同价（整付价格）的20%确定；</w:t>
            </w:r>
          </w:p>
          <w:p w14:paraId="23DB62E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3）工装进货结算价值＜10000元时，按该工装合同价（整付价格）的30%确定。</w:t>
            </w:r>
          </w:p>
        </w:tc>
        <w:tc>
          <w:tcPr>
            <w:tcW w:w="1418" w:type="dxa"/>
            <w:noWrap w:val="0"/>
            <w:vAlign w:val="center"/>
          </w:tcPr>
          <w:p w14:paraId="37822CBB">
            <w:pPr>
              <w:snapToGrid w:val="0"/>
              <w:rPr>
                <w:rFonts w:ascii="仿宋" w:hAnsi="仿宋" w:eastAsia="仿宋"/>
                <w:sz w:val="24"/>
                <w:szCs w:val="24"/>
                <w:highlight w:val="none"/>
                <w:u w:val="none"/>
              </w:rPr>
            </w:pPr>
            <w:r>
              <w:rPr>
                <w:rFonts w:hint="eastAsia" w:ascii="仿宋" w:hAnsi="仿宋" w:eastAsia="仿宋"/>
                <w:sz w:val="24"/>
                <w:szCs w:val="24"/>
                <w:highlight w:val="none"/>
                <w:u w:val="none"/>
              </w:rPr>
              <w:t>按该工装合同价（整付价格）的5%考核</w:t>
            </w:r>
          </w:p>
        </w:tc>
        <w:tc>
          <w:tcPr>
            <w:tcW w:w="1410" w:type="dxa"/>
            <w:noWrap w:val="0"/>
            <w:vAlign w:val="center"/>
          </w:tcPr>
          <w:p w14:paraId="74E99EEB">
            <w:pPr>
              <w:snapToGrid w:val="0"/>
              <w:rPr>
                <w:rFonts w:ascii="仿宋" w:hAnsi="仿宋" w:eastAsia="仿宋"/>
                <w:sz w:val="24"/>
                <w:szCs w:val="24"/>
                <w:highlight w:val="none"/>
                <w:u w:val="none"/>
              </w:rPr>
            </w:pPr>
            <w:r>
              <w:rPr>
                <w:rFonts w:hint="eastAsia" w:ascii="仿宋_GB2312" w:eastAsia="仿宋_GB2312"/>
                <w:sz w:val="24"/>
                <w:highlight w:val="none"/>
                <w:u w:val="none"/>
              </w:rPr>
              <w:t>按</w:t>
            </w:r>
            <w:r>
              <w:rPr>
                <w:rFonts w:ascii="仿宋_GB2312" w:eastAsia="仿宋_GB2312"/>
                <w:sz w:val="24"/>
                <w:highlight w:val="none"/>
                <w:u w:val="none"/>
              </w:rPr>
              <w:t>该工装合同价</w:t>
            </w:r>
            <w:r>
              <w:rPr>
                <w:rFonts w:hint="eastAsia" w:ascii="仿宋" w:hAnsi="仿宋" w:eastAsia="仿宋"/>
                <w:sz w:val="24"/>
                <w:szCs w:val="24"/>
                <w:highlight w:val="none"/>
                <w:u w:val="none"/>
              </w:rPr>
              <w:t>（整付价格）</w:t>
            </w:r>
            <w:r>
              <w:rPr>
                <w:rFonts w:ascii="仿宋_GB2312" w:eastAsia="仿宋_GB2312"/>
                <w:sz w:val="24"/>
                <w:highlight w:val="none"/>
                <w:u w:val="none"/>
              </w:rPr>
              <w:t>的</w:t>
            </w:r>
            <w:r>
              <w:rPr>
                <w:rFonts w:hint="eastAsia" w:ascii="仿宋_GB2312" w:eastAsia="仿宋_GB2312"/>
                <w:sz w:val="24"/>
                <w:highlight w:val="none"/>
                <w:u w:val="none"/>
              </w:rPr>
              <w:t>2</w:t>
            </w:r>
            <w:r>
              <w:rPr>
                <w:rFonts w:ascii="仿宋_GB2312" w:eastAsia="仿宋_GB2312"/>
                <w:sz w:val="24"/>
                <w:highlight w:val="none"/>
                <w:u w:val="none"/>
              </w:rPr>
              <w:t>%</w:t>
            </w:r>
            <w:r>
              <w:rPr>
                <w:rFonts w:hint="eastAsia" w:ascii="仿宋_GB2312" w:eastAsia="仿宋_GB2312"/>
                <w:sz w:val="24"/>
                <w:highlight w:val="none"/>
                <w:u w:val="none"/>
              </w:rPr>
              <w:t>考核</w:t>
            </w:r>
          </w:p>
        </w:tc>
        <w:tc>
          <w:tcPr>
            <w:tcW w:w="1563" w:type="dxa"/>
            <w:noWrap w:val="0"/>
            <w:vAlign w:val="center"/>
          </w:tcPr>
          <w:p w14:paraId="6A581089">
            <w:pPr>
              <w:snapToGrid w:val="0"/>
              <w:rPr>
                <w:rFonts w:ascii="仿宋_GB2312" w:eastAsia="仿宋_GB2312"/>
                <w:sz w:val="24"/>
                <w:highlight w:val="none"/>
                <w:u w:val="none"/>
              </w:rPr>
            </w:pPr>
            <w:r>
              <w:rPr>
                <w:rFonts w:hint="eastAsia" w:ascii="仿宋_GB2312" w:eastAsia="仿宋_GB2312"/>
                <w:sz w:val="24"/>
                <w:highlight w:val="none"/>
                <w:u w:val="none"/>
              </w:rPr>
              <w:t>按6.1.2.2第二条：（承诺寿命﹣实际使用寿命）/承诺寿命×合同价进行索赔</w:t>
            </w:r>
          </w:p>
        </w:tc>
      </w:tr>
    </w:tbl>
    <w:p w14:paraId="3ED75CD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6.1.2.3模具实际使用寿命为甲方工装跟踪簿上填报的实际生产数量为准。</w:t>
      </w:r>
    </w:p>
    <w:p w14:paraId="3CE6489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6.1.3对生产制造不合格工装的乙方，甲方可视不合格程度及造成甲方在经济、声誉等方面的损失情况，做出以下处理：</w:t>
      </w:r>
    </w:p>
    <w:p w14:paraId="2A56607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6.1.3.1对连续三次以上在进货检验出现退货或生产使用中出现使用寿命低于技术定额30%的供方，将取消其合格供方资格。</w:t>
      </w:r>
    </w:p>
    <w:p w14:paraId="195392E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6.1.3.2对乙方发生退货或不合格现象，甲方将对乙方供货业绩进行扣分统计，并作年度合格供方评审依据。</w:t>
      </w:r>
    </w:p>
    <w:p w14:paraId="4D34C81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4051670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6.1.5供方行为</w:t>
      </w:r>
    </w:p>
    <w:p w14:paraId="50BCAD3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6241EF8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3B84158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5D90626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B651D0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6.1.6态度/沟通</w:t>
      </w:r>
    </w:p>
    <w:p w14:paraId="64912B5A">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4E7254DD">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6.1.6.2乙方无正当理由未按要求及时提供相关有效证书、报告、信息的，首次发生的支付违约金2000元，一年内重复发生加倍支付违约金。</w:t>
      </w:r>
    </w:p>
    <w:p w14:paraId="66193CC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4FE962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6.1.7其它问题</w:t>
      </w:r>
    </w:p>
    <w:p w14:paraId="7A90DDF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540A4F4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6.1.7.2其它未尽事宜，双方协商解决，协商一致后签订补充协议。</w:t>
      </w:r>
    </w:p>
    <w:p w14:paraId="01B54092">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6.2索赔程序</w:t>
      </w:r>
    </w:p>
    <w:p w14:paraId="1FBA6A1A">
      <w:pPr>
        <w:pStyle w:val="113"/>
        <w:ind w:firstLine="480" w:firstLineChars="200"/>
        <w:rPr>
          <w:rFonts w:ascii="仿宋" w:hAnsi="仿宋" w:eastAsia="仿宋" w:cs="Times New Roman"/>
          <w:sz w:val="24"/>
          <w:szCs w:val="24"/>
          <w:u w:val="none"/>
        </w:rPr>
      </w:pPr>
      <w:r>
        <w:rPr>
          <w:rFonts w:hint="eastAsia" w:ascii="仿宋" w:hAnsi="仿宋" w:eastAsia="仿宋" w:cs="Times New Roman"/>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自然日乙方</w:t>
      </w:r>
      <w:r>
        <w:rPr>
          <w:rFonts w:hint="eastAsia" w:ascii="仿宋" w:hAnsi="仿宋" w:eastAsia="仿宋" w:cs="Times New Roman"/>
          <w:sz w:val="24"/>
          <w:szCs w:val="24"/>
          <w:u w:val="none"/>
        </w:rPr>
        <w:t>未确认或未提出申诉的，视为同意索赔及违约金</w:t>
      </w:r>
      <w:bookmarkStart w:id="21" w:name="_Hlk124335919"/>
      <w:r>
        <w:rPr>
          <w:rFonts w:hint="eastAsia" w:ascii="仿宋" w:hAnsi="仿宋" w:eastAsia="仿宋" w:cs="Times New Roman"/>
          <w:sz w:val="24"/>
          <w:szCs w:val="24"/>
          <w:u w:val="none"/>
        </w:rPr>
        <w:t>。</w:t>
      </w:r>
    </w:p>
    <w:bookmarkEnd w:id="21"/>
    <w:p w14:paraId="612D4F14">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453F6470">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6.2.3乙方发现甲方人员对质量责任判定弄虚作假的，有权向甲方投诉，经甲方查证属实的，将无息退还误判乙方的索赔费用。</w:t>
      </w:r>
    </w:p>
    <w:p w14:paraId="473E659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6.2.4质量保证金</w:t>
      </w:r>
    </w:p>
    <w:p w14:paraId="293E4085">
      <w:pPr>
        <w:pStyle w:val="113"/>
        <w:numPr>
          <w:ilvl w:val="0"/>
          <w:numId w:val="26"/>
        </w:numPr>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633A230">
      <w:pPr>
        <w:pStyle w:val="113"/>
        <w:ind w:firstLine="480" w:firstLineChars="200"/>
        <w:rPr>
          <w:rFonts w:ascii="仿宋" w:hAnsi="仿宋" w:eastAsia="仿宋" w:cs="Times New Roman"/>
          <w:kern w:val="2"/>
          <w:sz w:val="24"/>
          <w:szCs w:val="24"/>
          <w:highlight w:val="none"/>
          <w:u w:val="single"/>
        </w:rPr>
      </w:pP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lang w:val="en-US" w:eastAsia="zh-CN"/>
        </w:rPr>
        <w:t>2</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对于采购产品合格供方，年度合同质保金计算方式为：年度质保金额度=</w:t>
      </w:r>
      <w:r>
        <w:rPr>
          <w:rFonts w:hint="eastAsia" w:ascii="仿宋" w:hAnsi="仿宋" w:eastAsia="仿宋" w:cs="Times New Roman"/>
          <w:sz w:val="24"/>
          <w:szCs w:val="24"/>
          <w:highlight w:val="none"/>
          <w:u w:val="none"/>
        </w:rPr>
        <w:t>乙方上一年度入账发票（含税）采购额×5%×风险系数，最低1万元，最高200万元</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sz w:val="24"/>
          <w:szCs w:val="24"/>
          <w:highlight w:val="none"/>
          <w:u w:val="none"/>
        </w:rPr>
        <w:t>年度合同金额低于1万元的，按合同金额的5%收取</w:t>
      </w:r>
      <w:r>
        <w:rPr>
          <w:rFonts w:hint="eastAsia" w:ascii="仿宋" w:hAnsi="仿宋" w:eastAsia="仿宋" w:cs="Times New Roman"/>
          <w:sz w:val="24"/>
          <w:szCs w:val="24"/>
          <w:highlight w:val="none"/>
          <w:u w:val="none"/>
          <w:lang w:eastAsia="zh-CN"/>
        </w:rPr>
        <w:t>，</w:t>
      </w:r>
      <w:r>
        <w:rPr>
          <w:rFonts w:hint="eastAsia" w:ascii="仿宋" w:hAnsi="仿宋" w:eastAsia="仿宋" w:cs="Times New Roman"/>
          <w:kern w:val="2"/>
          <w:sz w:val="24"/>
          <w:szCs w:val="24"/>
          <w:highlight w:val="none"/>
          <w:u w:val="none"/>
        </w:rPr>
        <w:t>一次性合同质保金按合同金额的5%收取</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sz w:val="24"/>
          <w:szCs w:val="24"/>
          <w:u w:val="single"/>
        </w:rPr>
        <w:t xml:space="preserve">双方确认乙方应缴纳质量保证金【  </w:t>
      </w:r>
      <w:r>
        <w:rPr>
          <w:rFonts w:hint="eastAsia" w:ascii="仿宋" w:hAnsi="仿宋" w:eastAsia="仿宋" w:cs="Times New Roman"/>
          <w:sz w:val="24"/>
          <w:szCs w:val="24"/>
          <w:u w:val="single"/>
          <w:lang w:val="en-US" w:eastAsia="zh-CN"/>
        </w:rPr>
        <w:t>X</w:t>
      </w:r>
      <w:r>
        <w:rPr>
          <w:rFonts w:hint="eastAsia" w:ascii="仿宋" w:hAnsi="仿宋" w:eastAsia="仿宋" w:cs="Times New Roman"/>
          <w:sz w:val="24"/>
          <w:szCs w:val="24"/>
          <w:u w:val="single"/>
        </w:rPr>
        <w:t xml:space="preserve">  】万元。</w:t>
      </w:r>
    </w:p>
    <w:p w14:paraId="1BF6A022">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对于新准入的供方，按照当年度已挂账发票（含税）逐票预留5%（最高200万元），均自甲方应付账款中扣除。</w:t>
      </w:r>
    </w:p>
    <w:p w14:paraId="6B0ECCE1">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rPr>
        <w:t>当乙方的质量保证金和货款不足以承担乙方需支付的违约金或赔偿款时，乙方应在收到甲方索赔通知之日起3个工作日内向甲方支付违约金或赔偿款。</w:t>
      </w:r>
    </w:p>
    <w:p w14:paraId="7B2C54F8">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3</w:t>
      </w:r>
      <w:r>
        <w:rPr>
          <w:rFonts w:hint="eastAsia" w:ascii="仿宋" w:hAnsi="仿宋" w:eastAsia="仿宋" w:cs="Times New Roman"/>
          <w:kern w:val="2"/>
          <w:sz w:val="24"/>
          <w:szCs w:val="24"/>
          <w:highlight w:val="none"/>
          <w:u w:val="none"/>
        </w:rPr>
        <w:t>）甲方按照约定扣除保证金后，有权自动在应付乙方账款中扣除相应金额补足质保金，如应付账款无法补足的，乙方以现款补足。</w:t>
      </w:r>
    </w:p>
    <w:p w14:paraId="4A2B2784">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4</w:t>
      </w:r>
      <w:r>
        <w:rPr>
          <w:rFonts w:hint="eastAsia" w:ascii="仿宋" w:hAnsi="仿宋" w:eastAsia="仿宋" w:cs="Times New Roman"/>
          <w:kern w:val="2"/>
          <w:sz w:val="24"/>
          <w:szCs w:val="24"/>
          <w:highlight w:val="none"/>
          <w:u w:val="none"/>
        </w:rPr>
        <w:t>）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7A41F887">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5</w:t>
      </w:r>
      <w:r>
        <w:rPr>
          <w:rFonts w:hint="eastAsia" w:ascii="仿宋" w:hAnsi="仿宋" w:eastAsia="仿宋" w:cs="Times New Roman"/>
          <w:kern w:val="2"/>
          <w:sz w:val="24"/>
          <w:szCs w:val="24"/>
          <w:highlight w:val="none"/>
          <w:u w:val="none"/>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3B99076B">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6</w:t>
      </w:r>
      <w:r>
        <w:rPr>
          <w:rFonts w:hint="eastAsia" w:ascii="仿宋" w:hAnsi="仿宋" w:eastAsia="仿宋" w:cs="Times New Roman"/>
          <w:kern w:val="2"/>
          <w:sz w:val="24"/>
          <w:szCs w:val="24"/>
          <w:highlight w:val="none"/>
          <w:u w:val="none"/>
        </w:rPr>
        <w:t>）如乙方向甲方所属集团公司内多家制造单位供货，质量保证金额度分别计算、收取。如乙方出现停供风险，可在集团范围内统筹使用质量保证金，消除售后索赔赔付风险，乙方对此无异议。</w:t>
      </w:r>
    </w:p>
    <w:p w14:paraId="4E3707B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6B1BC79D">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6.2.6乙方要根据甲方反馈的不合格信息及时提出整改措施，组织进行整改。由于整改不到位，造成质量问题的重复发生，乙方要加倍赔偿甲方的损失。</w:t>
      </w:r>
    </w:p>
    <w:p w14:paraId="2DC0EACF">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26A431B0">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索赔费用计算公式如下：</w:t>
      </w:r>
    </w:p>
    <w:p w14:paraId="4A58F0D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燃动力费=炉膛材料甩料件数×下料单重×单吨能耗；</w:t>
      </w:r>
    </w:p>
    <w:p w14:paraId="2E621114">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人工成本=影响时间×小时单人人工成本×产线人数</w:t>
      </w:r>
    </w:p>
    <w:p w14:paraId="359ACAC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废品损失=废品件数×单件成本（按实际发生核算）</w:t>
      </w:r>
    </w:p>
    <w:p w14:paraId="0FA79F2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其他：因模具问题导致的其他损失（包括但不限于模具质量问题导致的设备故障、辅料浪费等）</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5E3D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09C1114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项目</w:t>
            </w:r>
          </w:p>
        </w:tc>
        <w:tc>
          <w:tcPr>
            <w:tcW w:w="4500" w:type="dxa"/>
            <w:noWrap w:val="0"/>
            <w:vAlign w:val="top"/>
          </w:tcPr>
          <w:p w14:paraId="7F10594C">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单价</w:t>
            </w:r>
          </w:p>
        </w:tc>
      </w:tr>
      <w:tr w14:paraId="1A8F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E23E5B2">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燃动力费</w:t>
            </w:r>
          </w:p>
        </w:tc>
        <w:tc>
          <w:tcPr>
            <w:tcW w:w="4500" w:type="dxa"/>
            <w:noWrap w:val="0"/>
            <w:vAlign w:val="top"/>
          </w:tcPr>
          <w:p w14:paraId="04F3300B">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540元/吨（料段）</w:t>
            </w:r>
          </w:p>
        </w:tc>
      </w:tr>
      <w:tr w14:paraId="069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940F1A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人工成本</w:t>
            </w:r>
          </w:p>
        </w:tc>
        <w:tc>
          <w:tcPr>
            <w:tcW w:w="4500" w:type="dxa"/>
            <w:noWrap w:val="0"/>
            <w:vAlign w:val="top"/>
          </w:tcPr>
          <w:p w14:paraId="2AFA45A8">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51元/小时（每人）</w:t>
            </w:r>
          </w:p>
        </w:tc>
      </w:tr>
      <w:tr w14:paraId="7A83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7CC6B12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废品损失</w:t>
            </w:r>
          </w:p>
        </w:tc>
        <w:tc>
          <w:tcPr>
            <w:tcW w:w="4500" w:type="dxa"/>
            <w:noWrap w:val="0"/>
            <w:vAlign w:val="top"/>
          </w:tcPr>
          <w:p w14:paraId="1E47A69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按单件废品损失计</w:t>
            </w:r>
          </w:p>
        </w:tc>
      </w:tr>
      <w:tr w14:paraId="3503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78AC0099">
            <w:pPr>
              <w:pStyle w:val="27"/>
              <w:keepNext w:val="0"/>
              <w:keepLines w:val="0"/>
              <w:widowControl/>
              <w:suppressLineNumbers w:val="0"/>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备注：以上单价为当前核算价，合同有效期内甲方有权根据实际费用情况进行调整。</w:t>
            </w:r>
          </w:p>
        </w:tc>
      </w:tr>
    </w:tbl>
    <w:p w14:paraId="376D2E07">
      <w:pPr>
        <w:pStyle w:val="113"/>
        <w:rPr>
          <w:rFonts w:hint="eastAsia" w:ascii="仿宋" w:hAnsi="仿宋" w:eastAsia="仿宋" w:cs="Times New Roman"/>
          <w:kern w:val="2"/>
          <w:sz w:val="24"/>
          <w:szCs w:val="24"/>
          <w:highlight w:val="none"/>
          <w:u w:val="none"/>
        </w:rPr>
      </w:pPr>
    </w:p>
    <w:p w14:paraId="7562A30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6.2.8对于已付款的不合格的外制外协工装，每月由甲方技术质量部门开据《质量索赔通知单》，并通知乙方确认。</w:t>
      </w:r>
    </w:p>
    <w:p w14:paraId="105A1AA1">
      <w:pPr>
        <w:pStyle w:val="113"/>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7</w:t>
      </w:r>
      <w:r>
        <w:rPr>
          <w:rFonts w:hint="eastAsia" w:ascii="仿宋" w:hAnsi="仿宋" w:eastAsia="仿宋" w:cs="Times New Roman"/>
          <w:b/>
          <w:sz w:val="24"/>
          <w:szCs w:val="24"/>
          <w:highlight w:val="none"/>
          <w:u w:val="none"/>
        </w:rPr>
        <w:t>．</w:t>
      </w:r>
      <w:r>
        <w:rPr>
          <w:rFonts w:hint="eastAsia" w:ascii="仿宋" w:hAnsi="仿宋" w:eastAsia="仿宋"/>
          <w:b/>
          <w:sz w:val="24"/>
          <w:szCs w:val="24"/>
          <w:highlight w:val="none"/>
          <w:u w:val="none"/>
        </w:rPr>
        <w:t>法律适用与争议解决</w:t>
      </w:r>
    </w:p>
    <w:p w14:paraId="725D4CB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4FD208C">
      <w:pPr>
        <w:pStyle w:val="113"/>
        <w:ind w:firstLine="482" w:firstLineChars="200"/>
        <w:rPr>
          <w:rFonts w:ascii="仿宋" w:hAnsi="仿宋" w:eastAsia="仿宋"/>
          <w:sz w:val="24"/>
          <w:szCs w:val="24"/>
          <w:highlight w:val="none"/>
          <w:u w:val="none"/>
        </w:rPr>
      </w:pPr>
      <w:r>
        <w:rPr>
          <w:rFonts w:hint="eastAsia" w:ascii="仿宋" w:hAnsi="仿宋" w:eastAsia="仿宋" w:cs="Times New Roman"/>
          <w:b/>
          <w:sz w:val="24"/>
          <w:szCs w:val="24"/>
          <w:highlight w:val="none"/>
          <w:u w:val="none"/>
        </w:rPr>
        <w:t>8．</w:t>
      </w:r>
      <w:r>
        <w:rPr>
          <w:rFonts w:hint="eastAsia" w:ascii="仿宋" w:hAnsi="仿宋" w:eastAsia="仿宋"/>
          <w:b/>
          <w:sz w:val="24"/>
          <w:szCs w:val="24"/>
          <w:highlight w:val="none"/>
          <w:u w:val="none"/>
        </w:rPr>
        <w:t>其他规定</w:t>
      </w:r>
    </w:p>
    <w:p w14:paraId="2CBE6878">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8.1本协议终止（中止）时，乙方需将甲方提供的技术资料（含复印件）、工装模具等如数交还甲方，并对甲方相关的所有技术资料进行保密。</w:t>
      </w:r>
    </w:p>
    <w:p w14:paraId="76381E22">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8.2乙方不得与甲方的客户直接发生与甲方采购产品有关的任何商务往来。</w:t>
      </w:r>
    </w:p>
    <w:p w14:paraId="225AEF0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8.3乙方违反本协议各项条款，甲方有权中止与乙方签订的采购合同，由此造成的一切损失由乙方承担。</w:t>
      </w:r>
    </w:p>
    <w:p w14:paraId="0B4813CD">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8.4本协议书自双方代表签字并盖章后生效，有效期限为</w:t>
      </w:r>
      <w:r>
        <w:rPr>
          <w:rFonts w:hint="eastAsia" w:ascii="仿宋" w:hAnsi="仿宋" w:eastAsia="仿宋"/>
          <w:sz w:val="24"/>
          <w:szCs w:val="24"/>
          <w:highlight w:val="none"/>
          <w:u w:val="none"/>
          <w:lang w:eastAsia="zh-CN"/>
        </w:rPr>
        <w:t>2026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日至202</w:t>
      </w:r>
      <w:r>
        <w:rPr>
          <w:rFonts w:hint="eastAsia" w:ascii="仿宋" w:hAnsi="仿宋" w:eastAsia="仿宋"/>
          <w:sz w:val="24"/>
          <w:szCs w:val="24"/>
          <w:highlight w:val="none"/>
          <w:u w:val="none"/>
          <w:lang w:val="en-US" w:eastAsia="zh-CN"/>
        </w:rPr>
        <w:t>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日。协议到期后如双方均无异议，则本协议延续一年，最多可延续两次。</w:t>
      </w:r>
    </w:p>
    <w:p w14:paraId="366FCAF6">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8.5 任何一方如欲修改本协议，需在协议到期前一个月书面通知另一方，本协议将到期终止，双方可另行签署新的《采购产品质量保证与服务协议》。</w:t>
      </w:r>
    </w:p>
    <w:p w14:paraId="1DD9AFD7">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8.6本协议生效后，甲方与乙方之前签订的质量保证协议即行废止。</w:t>
      </w:r>
    </w:p>
    <w:p w14:paraId="4C56ED05">
      <w:pPr>
        <w:pStyle w:val="113"/>
        <w:ind w:firstLine="480" w:firstLineChars="200"/>
        <w:rPr>
          <w:rFonts w:hint="eastAsia" w:ascii="仿宋" w:hAnsi="仿宋" w:eastAsia="仿宋"/>
          <w:sz w:val="24"/>
          <w:szCs w:val="24"/>
          <w:highlight w:val="none"/>
          <w:u w:val="none"/>
        </w:rPr>
      </w:pPr>
      <w:r>
        <w:rPr>
          <w:rFonts w:hint="eastAsia" w:ascii="仿宋" w:hAnsi="仿宋" w:eastAsia="仿宋"/>
          <w:sz w:val="24"/>
          <w:szCs w:val="24"/>
          <w:highlight w:val="none"/>
          <w:u w:val="none"/>
        </w:rPr>
        <w:t>8.7本协议一式两份，甲乙双方各执一份，具有同等法律效力。</w:t>
      </w:r>
    </w:p>
    <w:p w14:paraId="36196DD0">
      <w:pPr>
        <w:pStyle w:val="113"/>
        <w:ind w:firstLine="480" w:firstLineChars="200"/>
        <w:rPr>
          <w:rFonts w:hint="eastAsia" w:ascii="仿宋" w:hAnsi="仿宋" w:eastAsia="仿宋"/>
          <w:b w:val="0"/>
          <w:sz w:val="24"/>
          <w:szCs w:val="24"/>
          <w:u w:val="none"/>
        </w:rPr>
      </w:pPr>
      <w:r>
        <w:rPr>
          <w:rFonts w:hint="eastAsia" w:ascii="仿宋" w:hAnsi="仿宋" w:eastAsia="仿宋"/>
          <w:sz w:val="24"/>
          <w:szCs w:val="24"/>
          <w:u w:val="none"/>
        </w:rPr>
        <w:t>8.</w:t>
      </w:r>
      <w:r>
        <w:rPr>
          <w:rFonts w:hint="eastAsia" w:ascii="仿宋" w:hAnsi="仿宋" w:eastAsia="仿宋"/>
          <w:sz w:val="24"/>
          <w:szCs w:val="24"/>
          <w:u w:val="none"/>
          <w:lang w:val="en-US" w:eastAsia="zh-CN"/>
        </w:rPr>
        <w:t>8</w:t>
      </w:r>
      <w:r>
        <w:rPr>
          <w:rFonts w:hint="eastAsia" w:ascii="仿宋" w:hAnsi="仿宋" w:eastAsia="仿宋"/>
          <w:b w:val="0"/>
          <w:sz w:val="24"/>
          <w:szCs w:val="24"/>
          <w:u w:val="none"/>
        </w:rPr>
        <w:t>本</w:t>
      </w:r>
      <w:r>
        <w:rPr>
          <w:rFonts w:hint="eastAsia" w:ascii="仿宋" w:hAnsi="仿宋" w:eastAsia="仿宋"/>
          <w:sz w:val="24"/>
          <w:szCs w:val="24"/>
          <w:u w:val="none"/>
        </w:rPr>
        <w:t>协议</w:t>
      </w:r>
      <w:r>
        <w:rPr>
          <w:rFonts w:hint="eastAsia" w:ascii="仿宋" w:hAnsi="仿宋" w:eastAsia="仿宋"/>
          <w:b w:val="0"/>
          <w:sz w:val="24"/>
          <w:szCs w:val="24"/>
          <w:u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hint="eastAsia" w:ascii="仿宋" w:hAnsi="仿宋" w:eastAsia="仿宋"/>
          <w:sz w:val="24"/>
          <w:szCs w:val="24"/>
          <w:u w:val="none"/>
        </w:rPr>
        <w:t>电子签约</w:t>
      </w:r>
      <w:r>
        <w:rPr>
          <w:rFonts w:hint="eastAsia" w:ascii="仿宋" w:hAnsi="仿宋" w:eastAsia="仿宋"/>
          <w:b w:val="0"/>
          <w:sz w:val="24"/>
          <w:szCs w:val="24"/>
          <w:u w:val="none"/>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555657">
      <w:pPr>
        <w:pStyle w:val="113"/>
        <w:ind w:firstLine="480" w:firstLineChars="200"/>
        <w:rPr>
          <w:rFonts w:ascii="仿宋" w:hAnsi="仿宋" w:eastAsia="仿宋"/>
          <w:sz w:val="24"/>
          <w:szCs w:val="24"/>
          <w:u w:val="none"/>
        </w:rPr>
      </w:pPr>
      <w:r>
        <w:rPr>
          <w:rFonts w:hint="eastAsia" w:ascii="仿宋" w:hAnsi="仿宋" w:eastAsia="仿宋"/>
          <w:b w:val="0"/>
          <w:sz w:val="24"/>
          <w:szCs w:val="24"/>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1F43C9">
      <w:pPr>
        <w:pStyle w:val="113"/>
        <w:rPr>
          <w:rFonts w:ascii="仿宋" w:hAnsi="仿宋" w:eastAsia="仿宋"/>
          <w:sz w:val="24"/>
          <w:szCs w:val="24"/>
          <w:highlight w:val="none"/>
          <w:u w:val="none"/>
        </w:rPr>
      </w:pPr>
    </w:p>
    <w:p w14:paraId="6C587325">
      <w:pPr>
        <w:pStyle w:val="113"/>
        <w:ind w:firstLine="480" w:firstLineChars="200"/>
        <w:rPr>
          <w:rFonts w:ascii="仿宋" w:hAnsi="仿宋" w:eastAsia="仿宋"/>
          <w:sz w:val="24"/>
          <w:szCs w:val="24"/>
          <w:highlight w:val="none"/>
          <w:u w:val="none"/>
        </w:rPr>
      </w:pPr>
    </w:p>
    <w:p w14:paraId="074D8D6E">
      <w:pPr>
        <w:pStyle w:val="113"/>
        <w:ind w:firstLine="480" w:firstLineChars="200"/>
        <w:rPr>
          <w:rFonts w:ascii="仿宋" w:hAnsi="仿宋" w:eastAsia="仿宋"/>
          <w:sz w:val="24"/>
          <w:szCs w:val="24"/>
          <w:highlight w:val="none"/>
          <w:u w:val="none"/>
        </w:rPr>
      </w:pPr>
    </w:p>
    <w:p w14:paraId="5BD70658">
      <w:pPr>
        <w:pStyle w:val="113"/>
        <w:ind w:firstLine="480" w:firstLineChars="200"/>
        <w:rPr>
          <w:rFonts w:ascii="仿宋" w:hAnsi="仿宋" w:eastAsia="仿宋"/>
          <w:sz w:val="24"/>
          <w:szCs w:val="24"/>
          <w:highlight w:val="none"/>
          <w:u w:val="none"/>
        </w:rPr>
      </w:pPr>
    </w:p>
    <w:p w14:paraId="133CDDC7">
      <w:pPr>
        <w:pStyle w:val="113"/>
        <w:ind w:firstLine="480" w:firstLineChars="200"/>
        <w:rPr>
          <w:rFonts w:ascii="仿宋" w:hAnsi="仿宋" w:eastAsia="仿宋"/>
          <w:sz w:val="24"/>
          <w:szCs w:val="24"/>
          <w:highlight w:val="none"/>
          <w:u w:val="none"/>
        </w:rPr>
      </w:pPr>
    </w:p>
    <w:p w14:paraId="325C8B95">
      <w:pPr>
        <w:pStyle w:val="113"/>
        <w:ind w:firstLine="480" w:firstLineChars="200"/>
        <w:rPr>
          <w:rFonts w:ascii="仿宋" w:hAnsi="仿宋" w:eastAsia="仿宋"/>
          <w:sz w:val="24"/>
          <w:szCs w:val="24"/>
          <w:highlight w:val="none"/>
          <w:u w:val="none"/>
        </w:rPr>
      </w:pPr>
    </w:p>
    <w:p w14:paraId="1348FB69">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甲方:(盖章)                            乙方：(盖章)</w:t>
      </w:r>
    </w:p>
    <w:p w14:paraId="1FD07819">
      <w:pPr>
        <w:pStyle w:val="113"/>
        <w:ind w:firstLine="480" w:firstLineChars="200"/>
        <w:rPr>
          <w:rFonts w:hint="eastAsia" w:ascii="仿宋" w:hAnsi="仿宋" w:eastAsia="仿宋"/>
          <w:sz w:val="24"/>
          <w:szCs w:val="24"/>
          <w:highlight w:val="none"/>
          <w:u w:val="none"/>
        </w:rPr>
      </w:pPr>
    </w:p>
    <w:p w14:paraId="63EAB4D0">
      <w:pPr>
        <w:pStyle w:val="113"/>
        <w:ind w:firstLine="480" w:firstLineChars="200"/>
        <w:rPr>
          <w:rFonts w:hint="eastAsia" w:ascii="仿宋" w:hAnsi="仿宋" w:eastAsia="仿宋"/>
          <w:sz w:val="24"/>
          <w:szCs w:val="24"/>
          <w:highlight w:val="none"/>
          <w:u w:val="none"/>
        </w:rPr>
      </w:pPr>
    </w:p>
    <w:p w14:paraId="0D4162FC">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授权代表人签字：                       授权代表人签字：</w:t>
      </w:r>
    </w:p>
    <w:p w14:paraId="70C6ECD5">
      <w:pPr>
        <w:pStyle w:val="113"/>
        <w:ind w:firstLine="480" w:firstLineChars="200"/>
        <w:rPr>
          <w:rFonts w:hint="eastAsia" w:ascii="仿宋" w:hAnsi="仿宋" w:eastAsia="仿宋"/>
          <w:sz w:val="24"/>
          <w:szCs w:val="24"/>
          <w:highlight w:val="none"/>
          <w:u w:val="none"/>
        </w:rPr>
      </w:pPr>
    </w:p>
    <w:p w14:paraId="689F745B">
      <w:pPr>
        <w:pStyle w:val="113"/>
        <w:ind w:firstLine="480" w:firstLineChars="200"/>
        <w:rPr>
          <w:rFonts w:hint="eastAsia" w:ascii="仿宋" w:hAnsi="仿宋" w:eastAsia="仿宋"/>
          <w:sz w:val="24"/>
          <w:szCs w:val="24"/>
          <w:highlight w:val="none"/>
          <w:u w:val="none"/>
          <w:lang w:val="en-US" w:eastAsia="zh-CN"/>
        </w:rPr>
      </w:pPr>
    </w:p>
    <w:p w14:paraId="09F14537">
      <w:pPr>
        <w:pStyle w:val="113"/>
        <w:ind w:firstLine="480" w:firstLineChars="200"/>
        <w:rPr>
          <w:rFonts w:hint="default" w:ascii="仿宋" w:hAnsi="仿宋" w:eastAsia="仿宋"/>
          <w:sz w:val="24"/>
          <w:szCs w:val="24"/>
          <w:highlight w:val="none"/>
          <w:u w:val="none"/>
          <w:lang w:val="en-US" w:eastAsia="zh-CN"/>
        </w:rPr>
      </w:pPr>
      <w:r>
        <w:rPr>
          <w:rFonts w:hint="eastAsia" w:ascii="仿宋" w:hAnsi="仿宋" w:eastAsia="仿宋"/>
          <w:sz w:val="24"/>
          <w:szCs w:val="24"/>
          <w:highlight w:val="none"/>
          <w:u w:val="none"/>
          <w:lang w:val="en-US" w:eastAsia="zh-CN"/>
        </w:rPr>
        <w:t>日 期：                                   日 期；</w:t>
      </w:r>
    </w:p>
    <w:p w14:paraId="5710AEB7">
      <w:pPr>
        <w:rPr>
          <w:rFonts w:hint="default" w:eastAsia="宋体"/>
          <w:lang w:val="en-US" w:eastAsia="zh-CN"/>
        </w:rPr>
      </w:pPr>
      <w:r>
        <w:rPr>
          <w:rFonts w:hint="eastAsia"/>
          <w:lang w:val="en-US" w:eastAsia="zh-CN"/>
        </w:rPr>
        <w:t xml:space="preserve">  </w:t>
      </w:r>
    </w:p>
    <w:p w14:paraId="4AA13EC1">
      <w:pPr>
        <w:pStyle w:val="15"/>
        <w:spacing w:line="440" w:lineRule="exact"/>
        <w:rPr>
          <w:rFonts w:hint="eastAsia" w:ascii="Times New Roman" w:hAnsi="Times New Roman"/>
          <w:color w:val="000000"/>
          <w:sz w:val="24"/>
          <w:szCs w:val="24"/>
        </w:rPr>
      </w:pPr>
    </w:p>
    <w:p w14:paraId="1EDBD3C0">
      <w:pPr>
        <w:rPr>
          <w:rFonts w:hint="default" w:eastAsia="宋体"/>
          <w:lang w:val="en-US" w:eastAsia="zh-CN"/>
        </w:rPr>
      </w:pPr>
      <w:r>
        <w:rPr>
          <w:rFonts w:hint="eastAsia"/>
          <w:lang w:val="en-US" w:eastAsia="zh-CN"/>
        </w:rPr>
        <w:t xml:space="preserve">  </w:t>
      </w:r>
    </w:p>
    <w:p w14:paraId="5C1181CB">
      <w:pPr>
        <w:pStyle w:val="111"/>
        <w:ind w:firstLine="0" w:firstLineChars="0"/>
        <w:rPr>
          <w:rFonts w:hint="eastAsia"/>
        </w:rPr>
      </w:pPr>
    </w:p>
    <w:p w14:paraId="3140280B">
      <w:pPr>
        <w:pStyle w:val="71"/>
        <w:jc w:val="both"/>
        <w:rPr>
          <w:rFonts w:hint="eastAsia"/>
        </w:rPr>
      </w:pPr>
      <w:bookmarkStart w:id="22" w:name="_Toc47976615"/>
      <w:bookmarkStart w:id="23" w:name="_Toc5925"/>
    </w:p>
    <w:p w14:paraId="34A5C74F">
      <w:pPr>
        <w:pStyle w:val="71"/>
        <w:rPr>
          <w:rFonts w:hint="eastAsia"/>
        </w:rPr>
      </w:pPr>
    </w:p>
    <w:p w14:paraId="1AC60DE1">
      <w:pPr>
        <w:pStyle w:val="71"/>
        <w:rPr>
          <w:rFonts w:hint="eastAsia"/>
        </w:rPr>
      </w:pPr>
    </w:p>
    <w:p w14:paraId="77405EFE">
      <w:pPr>
        <w:pStyle w:val="71"/>
        <w:jc w:val="both"/>
        <w:rPr>
          <w:rFonts w:hint="eastAsia"/>
        </w:rPr>
      </w:pPr>
    </w:p>
    <w:p w14:paraId="6817520A">
      <w:pPr>
        <w:pStyle w:val="71"/>
        <w:jc w:val="both"/>
        <w:rPr>
          <w:rFonts w:hint="eastAsia"/>
        </w:rPr>
      </w:pPr>
    </w:p>
    <w:p w14:paraId="0EB8BBEB">
      <w:pPr>
        <w:pStyle w:val="71"/>
        <w:rPr>
          <w:rFonts w:hint="default" w:eastAsia="黑体"/>
          <w:lang w:val="en-US" w:eastAsia="zh-CN"/>
        </w:rPr>
      </w:pPr>
      <w:r>
        <w:rPr>
          <w:rFonts w:hint="eastAsia"/>
        </w:rPr>
        <w:t>第四部分　</w:t>
      </w:r>
      <w:bookmarkEnd w:id="22"/>
      <w:r>
        <w:rPr>
          <w:rFonts w:hint="eastAsia"/>
          <w:lang w:val="en-US" w:eastAsia="zh-CN"/>
        </w:rPr>
        <w:t>投标文件附件</w:t>
      </w:r>
      <w:bookmarkEnd w:id="23"/>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AD2320E">
      <w:pPr>
        <w:spacing w:line="360" w:lineRule="auto"/>
        <w:jc w:val="center"/>
        <w:rPr>
          <w:rFonts w:hint="eastAsia" w:ascii="宋体" w:hAnsi="宋体" w:eastAsia="宋体" w:cs="宋体"/>
          <w:b/>
          <w:bCs/>
          <w:color w:val="000000"/>
          <w:sz w:val="32"/>
          <w:szCs w:val="32"/>
        </w:rPr>
      </w:pPr>
      <w:bookmarkStart w:id="24" w:name="_Toc29366865"/>
      <w:bookmarkStart w:id="25" w:name="_Toc29366869"/>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4"/>
    <w:bookmarkEnd w:id="25"/>
    <w:p w14:paraId="3022D90B">
      <w:pPr>
        <w:pStyle w:val="72"/>
        <w:numPr>
          <w:ilvl w:val="0"/>
          <w:numId w:val="0"/>
        </w:numPr>
        <w:ind w:leftChars="0"/>
        <w:jc w:val="center"/>
        <w:rPr>
          <w:rFonts w:hint="eastAsia"/>
          <w:lang w:val="en-US" w:eastAsia="zh-CN"/>
        </w:rPr>
      </w:pPr>
    </w:p>
    <w:p w14:paraId="3599FAF1">
      <w:pPr>
        <w:pStyle w:val="72"/>
        <w:numPr>
          <w:ilvl w:val="0"/>
          <w:numId w:val="0"/>
        </w:numPr>
        <w:ind w:leftChars="0"/>
        <w:jc w:val="center"/>
        <w:rPr>
          <w:rFonts w:hint="eastAsia"/>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1"/>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243"/>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付款方式是否响应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套</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p>
        </w:tc>
        <w:tc>
          <w:tcPr>
            <w:tcW w:w="1243" w:type="dxa"/>
            <w:vAlign w:val="center"/>
          </w:tcPr>
          <w:p w14:paraId="2E7E471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p w14:paraId="6C824BBA">
      <w:pPr>
        <w:pStyle w:val="76"/>
        <w:rPr>
          <w:rFonts w:hint="default" w:hAnsi="宋体"/>
          <w:sz w:val="24"/>
          <w:lang w:val="en-US"/>
        </w:rPr>
      </w:pPr>
    </w:p>
    <w:p w14:paraId="0F1B7C9D">
      <w:pPr>
        <w:pStyle w:val="76"/>
        <w:rPr>
          <w:rFonts w:hint="default" w:hAnsi="宋体"/>
          <w:sz w:val="24"/>
          <w:lang w:val="en-US"/>
        </w:rPr>
      </w:pPr>
    </w:p>
    <w:p w14:paraId="4F0F8D76">
      <w:pPr>
        <w:pStyle w:val="15"/>
        <w:outlineLvl w:val="2"/>
        <w:rPr>
          <w:rFonts w:hint="eastAsia" w:hAnsi="宋体" w:eastAsia="宋体" w:cs="宋体"/>
          <w:b/>
          <w:bCs/>
          <w:sz w:val="24"/>
          <w:szCs w:val="24"/>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7"/>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8"/>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9"/>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0"/>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1"/>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2"/>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414632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CA70C5AE"/>
    <w:multiLevelType w:val="singleLevel"/>
    <w:tmpl w:val="CA70C5AE"/>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E1D4A08F"/>
    <w:multiLevelType w:val="singleLevel"/>
    <w:tmpl w:val="E1D4A08F"/>
    <w:lvl w:ilvl="0" w:tentative="0">
      <w:start w:val="1"/>
      <w:numFmt w:val="decimal"/>
      <w:suff w:val="nothing"/>
      <w:lvlText w:val="%1、"/>
      <w:lvlJc w:val="left"/>
      <w:pPr>
        <w:ind w:left="560" w:leftChars="0" w:firstLine="0" w:firstLineChars="0"/>
      </w:p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CF35D61"/>
    <w:multiLevelType w:val="singleLevel"/>
    <w:tmpl w:val="0CF35D61"/>
    <w:lvl w:ilvl="0" w:tentative="0">
      <w:start w:val="1"/>
      <w:numFmt w:val="decimal"/>
      <w:suff w:val="nothing"/>
      <w:lvlText w:val="%1、"/>
      <w:lvlJc w:val="left"/>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1C1148E"/>
    <w:multiLevelType w:val="singleLevel"/>
    <w:tmpl w:val="31C1148E"/>
    <w:lvl w:ilvl="0" w:tentative="0">
      <w:start w:val="1"/>
      <w:numFmt w:val="decimal"/>
      <w:suff w:val="nothing"/>
      <w:lvlText w:val="（%1）"/>
      <w:lvlJc w:val="left"/>
      <w:pPr>
        <w:ind w:left="0" w:firstLine="0"/>
      </w:pPr>
    </w:lvl>
  </w:abstractNum>
  <w:abstractNum w:abstractNumId="16">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7">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F05AA6F"/>
    <w:multiLevelType w:val="singleLevel"/>
    <w:tmpl w:val="4F05AA6F"/>
    <w:lvl w:ilvl="0" w:tentative="0">
      <w:start w:val="2"/>
      <w:numFmt w:val="chineseCounting"/>
      <w:suff w:val="nothing"/>
      <w:lvlText w:val="%1、"/>
      <w:lvlJc w:val="left"/>
      <w:rPr>
        <w:rFonts w:hint="eastAsia"/>
      </w:r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7"/>
  </w:num>
  <w:num w:numId="2">
    <w:abstractNumId w:val="23"/>
  </w:num>
  <w:num w:numId="3">
    <w:abstractNumId w:val="21"/>
  </w:num>
  <w:num w:numId="4">
    <w:abstractNumId w:val="19"/>
  </w:num>
  <w:num w:numId="5">
    <w:abstractNumId w:val="11"/>
  </w:num>
  <w:num w:numId="6">
    <w:abstractNumId w:val="13"/>
  </w:num>
  <w:num w:numId="7">
    <w:abstractNumId w:val="14"/>
  </w:num>
  <w:num w:numId="8">
    <w:abstractNumId w:val="20"/>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0"/>
  </w:num>
  <w:num w:numId="12">
    <w:abstractNumId w:val="2"/>
  </w:num>
  <w:num w:numId="13">
    <w:abstractNumId w:val="22"/>
  </w:num>
  <w:num w:numId="14">
    <w:abstractNumId w:val="24"/>
  </w:num>
  <w:num w:numId="15">
    <w:abstractNumId w:val="7"/>
  </w:num>
  <w:num w:numId="16">
    <w:abstractNumId w:val="6"/>
  </w:num>
  <w:num w:numId="17">
    <w:abstractNumId w:val="3"/>
  </w:num>
  <w:num w:numId="18">
    <w:abstractNumId w:val="1"/>
  </w:num>
  <w:num w:numId="19">
    <w:abstractNumId w:val="10"/>
  </w:num>
  <w:num w:numId="20">
    <w:abstractNumId w:val="5"/>
  </w:num>
  <w:num w:numId="21">
    <w:abstractNumId w:val="8"/>
  </w:num>
  <w:num w:numId="22">
    <w:abstractNumId w:val="16"/>
  </w:num>
  <w:num w:numId="23">
    <w:abstractNumId w:val="18"/>
  </w:num>
  <w:num w:numId="24">
    <w:abstractNumId w:val="9"/>
  </w:num>
  <w:num w:numId="25">
    <w:abstractNumId w:val="1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6EB"/>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C54B55"/>
    <w:rsid w:val="01E054EB"/>
    <w:rsid w:val="01F9035B"/>
    <w:rsid w:val="01FF0067"/>
    <w:rsid w:val="01FF18D5"/>
    <w:rsid w:val="025E4638"/>
    <w:rsid w:val="02CC3DCA"/>
    <w:rsid w:val="02FE76EF"/>
    <w:rsid w:val="031D5454"/>
    <w:rsid w:val="035C10F2"/>
    <w:rsid w:val="037C7496"/>
    <w:rsid w:val="0387304C"/>
    <w:rsid w:val="03884779"/>
    <w:rsid w:val="039B791C"/>
    <w:rsid w:val="03AA4003"/>
    <w:rsid w:val="03F033B0"/>
    <w:rsid w:val="044E1C84"/>
    <w:rsid w:val="04FF3EDA"/>
    <w:rsid w:val="052B1173"/>
    <w:rsid w:val="053900D9"/>
    <w:rsid w:val="055F63AE"/>
    <w:rsid w:val="057C1D39"/>
    <w:rsid w:val="05891259"/>
    <w:rsid w:val="06135E8F"/>
    <w:rsid w:val="067F1777"/>
    <w:rsid w:val="068154EF"/>
    <w:rsid w:val="07131EBF"/>
    <w:rsid w:val="07335C32"/>
    <w:rsid w:val="074A1D85"/>
    <w:rsid w:val="076016EA"/>
    <w:rsid w:val="07AF7DC6"/>
    <w:rsid w:val="082C148A"/>
    <w:rsid w:val="08326081"/>
    <w:rsid w:val="08633479"/>
    <w:rsid w:val="08843074"/>
    <w:rsid w:val="08A23B6C"/>
    <w:rsid w:val="09173EE8"/>
    <w:rsid w:val="09BE4364"/>
    <w:rsid w:val="09C15C02"/>
    <w:rsid w:val="09C94AB7"/>
    <w:rsid w:val="0A173A74"/>
    <w:rsid w:val="0A36214C"/>
    <w:rsid w:val="0A582DC1"/>
    <w:rsid w:val="0A911A78"/>
    <w:rsid w:val="0BEE71CA"/>
    <w:rsid w:val="0C5C6EB1"/>
    <w:rsid w:val="0C676F35"/>
    <w:rsid w:val="0C911659"/>
    <w:rsid w:val="0CAF2AE5"/>
    <w:rsid w:val="0CB51572"/>
    <w:rsid w:val="0CE340E1"/>
    <w:rsid w:val="0CF5701A"/>
    <w:rsid w:val="0DB31D06"/>
    <w:rsid w:val="0DCB34F3"/>
    <w:rsid w:val="0DD028B8"/>
    <w:rsid w:val="0DD058A7"/>
    <w:rsid w:val="0E4D31E3"/>
    <w:rsid w:val="0E5B6625"/>
    <w:rsid w:val="0EA44D77"/>
    <w:rsid w:val="0EB70123"/>
    <w:rsid w:val="0EC87A33"/>
    <w:rsid w:val="0EE7435D"/>
    <w:rsid w:val="0EF80318"/>
    <w:rsid w:val="0F3D3F7D"/>
    <w:rsid w:val="0F955B67"/>
    <w:rsid w:val="0FB33778"/>
    <w:rsid w:val="0FD77F2D"/>
    <w:rsid w:val="1002449F"/>
    <w:rsid w:val="10344C8C"/>
    <w:rsid w:val="10DC2AA3"/>
    <w:rsid w:val="10DE52EC"/>
    <w:rsid w:val="10E32902"/>
    <w:rsid w:val="10FA7C8C"/>
    <w:rsid w:val="11BB609D"/>
    <w:rsid w:val="12B06CAB"/>
    <w:rsid w:val="130B198F"/>
    <w:rsid w:val="13426006"/>
    <w:rsid w:val="13954387"/>
    <w:rsid w:val="13A75A2B"/>
    <w:rsid w:val="13BD38DE"/>
    <w:rsid w:val="14CA0061"/>
    <w:rsid w:val="14FC3F92"/>
    <w:rsid w:val="15997D2E"/>
    <w:rsid w:val="160217A3"/>
    <w:rsid w:val="1602382A"/>
    <w:rsid w:val="16685D83"/>
    <w:rsid w:val="16A918E4"/>
    <w:rsid w:val="17123F41"/>
    <w:rsid w:val="177275C4"/>
    <w:rsid w:val="179C11B3"/>
    <w:rsid w:val="17D966D6"/>
    <w:rsid w:val="17EA20AA"/>
    <w:rsid w:val="180C6BE2"/>
    <w:rsid w:val="18117D55"/>
    <w:rsid w:val="182E4DAB"/>
    <w:rsid w:val="188E75F7"/>
    <w:rsid w:val="18A706B9"/>
    <w:rsid w:val="193C34F7"/>
    <w:rsid w:val="19C50FD3"/>
    <w:rsid w:val="19FE255B"/>
    <w:rsid w:val="1A0D279E"/>
    <w:rsid w:val="1A737C24"/>
    <w:rsid w:val="1A91517D"/>
    <w:rsid w:val="1B4B7E14"/>
    <w:rsid w:val="1B5E7755"/>
    <w:rsid w:val="1B8278A4"/>
    <w:rsid w:val="1BBE1FA1"/>
    <w:rsid w:val="1BC71D3B"/>
    <w:rsid w:val="1BE0016A"/>
    <w:rsid w:val="1C3E30E2"/>
    <w:rsid w:val="1C5823F6"/>
    <w:rsid w:val="1C59115B"/>
    <w:rsid w:val="1D012A8E"/>
    <w:rsid w:val="1D1C3424"/>
    <w:rsid w:val="1D540E0F"/>
    <w:rsid w:val="1DC835AB"/>
    <w:rsid w:val="1F036ABA"/>
    <w:rsid w:val="1F2B2044"/>
    <w:rsid w:val="1F446C62"/>
    <w:rsid w:val="1FB23E60"/>
    <w:rsid w:val="1FD46237"/>
    <w:rsid w:val="20012DA5"/>
    <w:rsid w:val="206F5F60"/>
    <w:rsid w:val="20C4005A"/>
    <w:rsid w:val="21303941"/>
    <w:rsid w:val="21472A39"/>
    <w:rsid w:val="21B005DE"/>
    <w:rsid w:val="21E93AF0"/>
    <w:rsid w:val="2210107D"/>
    <w:rsid w:val="22A31EF1"/>
    <w:rsid w:val="22BB36DF"/>
    <w:rsid w:val="22C5630B"/>
    <w:rsid w:val="22E70030"/>
    <w:rsid w:val="22FA13C4"/>
    <w:rsid w:val="23133FE2"/>
    <w:rsid w:val="2346744C"/>
    <w:rsid w:val="23975054"/>
    <w:rsid w:val="23C12D07"/>
    <w:rsid w:val="23D83E1C"/>
    <w:rsid w:val="23EC0BA6"/>
    <w:rsid w:val="23F53BE5"/>
    <w:rsid w:val="241A474A"/>
    <w:rsid w:val="241D0AD5"/>
    <w:rsid w:val="2455281A"/>
    <w:rsid w:val="245C67FB"/>
    <w:rsid w:val="24701A48"/>
    <w:rsid w:val="24890161"/>
    <w:rsid w:val="25457290"/>
    <w:rsid w:val="25E35426"/>
    <w:rsid w:val="25FD5DBC"/>
    <w:rsid w:val="260B04D9"/>
    <w:rsid w:val="26461511"/>
    <w:rsid w:val="26661BB3"/>
    <w:rsid w:val="268B0052"/>
    <w:rsid w:val="27191702"/>
    <w:rsid w:val="274E2D73"/>
    <w:rsid w:val="2762237B"/>
    <w:rsid w:val="27743C90"/>
    <w:rsid w:val="27826579"/>
    <w:rsid w:val="27C76682"/>
    <w:rsid w:val="27DD7C53"/>
    <w:rsid w:val="27E126B6"/>
    <w:rsid w:val="28397580"/>
    <w:rsid w:val="288051AE"/>
    <w:rsid w:val="288140DE"/>
    <w:rsid w:val="292E148C"/>
    <w:rsid w:val="295959FF"/>
    <w:rsid w:val="29B77D95"/>
    <w:rsid w:val="29CA2459"/>
    <w:rsid w:val="29FD45DD"/>
    <w:rsid w:val="2A636B36"/>
    <w:rsid w:val="2B053749"/>
    <w:rsid w:val="2B253DEB"/>
    <w:rsid w:val="2B271A58"/>
    <w:rsid w:val="2B2D2CA0"/>
    <w:rsid w:val="2B5910A8"/>
    <w:rsid w:val="2B6304A7"/>
    <w:rsid w:val="2BBE7D9C"/>
    <w:rsid w:val="2C945644"/>
    <w:rsid w:val="2CA64AB8"/>
    <w:rsid w:val="2CF6734C"/>
    <w:rsid w:val="2CFC5BC0"/>
    <w:rsid w:val="2D346567"/>
    <w:rsid w:val="2D663463"/>
    <w:rsid w:val="2DAD1E76"/>
    <w:rsid w:val="2DC518B5"/>
    <w:rsid w:val="2DE24215"/>
    <w:rsid w:val="2E1F0FC6"/>
    <w:rsid w:val="2E4A440F"/>
    <w:rsid w:val="2E8928E3"/>
    <w:rsid w:val="2E98722B"/>
    <w:rsid w:val="2E9C03BF"/>
    <w:rsid w:val="2EF96EE4"/>
    <w:rsid w:val="2F12334D"/>
    <w:rsid w:val="2F283EAA"/>
    <w:rsid w:val="2F2D7712"/>
    <w:rsid w:val="2F7F26AB"/>
    <w:rsid w:val="30231A6C"/>
    <w:rsid w:val="30F83D63"/>
    <w:rsid w:val="32193F7E"/>
    <w:rsid w:val="322546D1"/>
    <w:rsid w:val="324628AD"/>
    <w:rsid w:val="324C6101"/>
    <w:rsid w:val="324F79A0"/>
    <w:rsid w:val="32F53FB6"/>
    <w:rsid w:val="32F70262"/>
    <w:rsid w:val="33062188"/>
    <w:rsid w:val="33305A23"/>
    <w:rsid w:val="33552D94"/>
    <w:rsid w:val="336F654B"/>
    <w:rsid w:val="33A53D1B"/>
    <w:rsid w:val="33E02FA5"/>
    <w:rsid w:val="34146B4C"/>
    <w:rsid w:val="346314E0"/>
    <w:rsid w:val="34C57162"/>
    <w:rsid w:val="352B46F4"/>
    <w:rsid w:val="35643762"/>
    <w:rsid w:val="35731BF7"/>
    <w:rsid w:val="3579545F"/>
    <w:rsid w:val="35D42696"/>
    <w:rsid w:val="36254FE4"/>
    <w:rsid w:val="36651636"/>
    <w:rsid w:val="366F6862"/>
    <w:rsid w:val="36721EAF"/>
    <w:rsid w:val="36B3674F"/>
    <w:rsid w:val="36E0150E"/>
    <w:rsid w:val="370F76FD"/>
    <w:rsid w:val="372F61E0"/>
    <w:rsid w:val="37B24C58"/>
    <w:rsid w:val="37B34B85"/>
    <w:rsid w:val="38415FDC"/>
    <w:rsid w:val="39322FCA"/>
    <w:rsid w:val="39893A74"/>
    <w:rsid w:val="39BC4650"/>
    <w:rsid w:val="3A480EF5"/>
    <w:rsid w:val="3A744447"/>
    <w:rsid w:val="3AB90991"/>
    <w:rsid w:val="3ABB2076"/>
    <w:rsid w:val="3B706131"/>
    <w:rsid w:val="3B712735"/>
    <w:rsid w:val="3B9052B1"/>
    <w:rsid w:val="3BAE3989"/>
    <w:rsid w:val="3BBB7E54"/>
    <w:rsid w:val="3BFF41E4"/>
    <w:rsid w:val="3C526A0A"/>
    <w:rsid w:val="3C9E1C4F"/>
    <w:rsid w:val="3CD64F45"/>
    <w:rsid w:val="3DB039E8"/>
    <w:rsid w:val="3E202D62"/>
    <w:rsid w:val="3E3F6FCD"/>
    <w:rsid w:val="3E6F041E"/>
    <w:rsid w:val="3E7A5DA4"/>
    <w:rsid w:val="3E7B70C5"/>
    <w:rsid w:val="3EE659E3"/>
    <w:rsid w:val="3F700190"/>
    <w:rsid w:val="3F7E3672"/>
    <w:rsid w:val="3F850EA5"/>
    <w:rsid w:val="3FBB501D"/>
    <w:rsid w:val="400E0E9A"/>
    <w:rsid w:val="40313590"/>
    <w:rsid w:val="40860A30"/>
    <w:rsid w:val="40F55BB6"/>
    <w:rsid w:val="41390199"/>
    <w:rsid w:val="4157061F"/>
    <w:rsid w:val="41F37328"/>
    <w:rsid w:val="420936C7"/>
    <w:rsid w:val="423B584A"/>
    <w:rsid w:val="424B4D71"/>
    <w:rsid w:val="4275481E"/>
    <w:rsid w:val="42864D18"/>
    <w:rsid w:val="428B617A"/>
    <w:rsid w:val="42ED4D97"/>
    <w:rsid w:val="432663D4"/>
    <w:rsid w:val="432B3B11"/>
    <w:rsid w:val="433D7BDC"/>
    <w:rsid w:val="437E1813"/>
    <w:rsid w:val="438D012A"/>
    <w:rsid w:val="43B109C9"/>
    <w:rsid w:val="43E50164"/>
    <w:rsid w:val="44056110"/>
    <w:rsid w:val="440920A4"/>
    <w:rsid w:val="444004CC"/>
    <w:rsid w:val="44A1408B"/>
    <w:rsid w:val="44DB4337"/>
    <w:rsid w:val="450E5498"/>
    <w:rsid w:val="455B692F"/>
    <w:rsid w:val="45BD47FC"/>
    <w:rsid w:val="45CC5FB2"/>
    <w:rsid w:val="461508D0"/>
    <w:rsid w:val="46330D6C"/>
    <w:rsid w:val="466C691A"/>
    <w:rsid w:val="467F21AA"/>
    <w:rsid w:val="46B75BA8"/>
    <w:rsid w:val="471C5C4A"/>
    <w:rsid w:val="47F22031"/>
    <w:rsid w:val="47FE3E1C"/>
    <w:rsid w:val="48362D3C"/>
    <w:rsid w:val="484C255F"/>
    <w:rsid w:val="489B34E7"/>
    <w:rsid w:val="48C97955"/>
    <w:rsid w:val="48E96410"/>
    <w:rsid w:val="48FA645F"/>
    <w:rsid w:val="4940024C"/>
    <w:rsid w:val="49470F79"/>
    <w:rsid w:val="4957740E"/>
    <w:rsid w:val="496164DE"/>
    <w:rsid w:val="49724248"/>
    <w:rsid w:val="49725FF6"/>
    <w:rsid w:val="49880C8F"/>
    <w:rsid w:val="49942410"/>
    <w:rsid w:val="49B02FC2"/>
    <w:rsid w:val="4A4D0811"/>
    <w:rsid w:val="4A657748"/>
    <w:rsid w:val="4A8835F7"/>
    <w:rsid w:val="4AF55F4B"/>
    <w:rsid w:val="4B1F5D09"/>
    <w:rsid w:val="4B592E71"/>
    <w:rsid w:val="4B5A31E5"/>
    <w:rsid w:val="4B6D2F19"/>
    <w:rsid w:val="4BB56B11"/>
    <w:rsid w:val="4BFF5B3B"/>
    <w:rsid w:val="4C123AC0"/>
    <w:rsid w:val="4C5B5467"/>
    <w:rsid w:val="4CA75908"/>
    <w:rsid w:val="4D13189E"/>
    <w:rsid w:val="4E65120B"/>
    <w:rsid w:val="4F55619D"/>
    <w:rsid w:val="4F824AB9"/>
    <w:rsid w:val="4F93316A"/>
    <w:rsid w:val="4F934F18"/>
    <w:rsid w:val="4FA17635"/>
    <w:rsid w:val="50210776"/>
    <w:rsid w:val="5032028D"/>
    <w:rsid w:val="507B780B"/>
    <w:rsid w:val="50874A7C"/>
    <w:rsid w:val="50CE26AB"/>
    <w:rsid w:val="50F1639A"/>
    <w:rsid w:val="512C5624"/>
    <w:rsid w:val="515603B4"/>
    <w:rsid w:val="51EA6339"/>
    <w:rsid w:val="51F7178E"/>
    <w:rsid w:val="528B7935"/>
    <w:rsid w:val="52B07B8F"/>
    <w:rsid w:val="52B458D1"/>
    <w:rsid w:val="52B9239A"/>
    <w:rsid w:val="53094079"/>
    <w:rsid w:val="5385101B"/>
    <w:rsid w:val="53C30FDD"/>
    <w:rsid w:val="54210D44"/>
    <w:rsid w:val="547F3CBD"/>
    <w:rsid w:val="5486504B"/>
    <w:rsid w:val="54BD78FD"/>
    <w:rsid w:val="55012924"/>
    <w:rsid w:val="55075A8B"/>
    <w:rsid w:val="552705DC"/>
    <w:rsid w:val="5593725D"/>
    <w:rsid w:val="55F85AD5"/>
    <w:rsid w:val="56004989"/>
    <w:rsid w:val="5604091D"/>
    <w:rsid w:val="562468CA"/>
    <w:rsid w:val="564B654C"/>
    <w:rsid w:val="56B91708"/>
    <w:rsid w:val="56D66329"/>
    <w:rsid w:val="57087F99"/>
    <w:rsid w:val="573963A5"/>
    <w:rsid w:val="576D24F2"/>
    <w:rsid w:val="57945CD1"/>
    <w:rsid w:val="57B73E1A"/>
    <w:rsid w:val="57F549C2"/>
    <w:rsid w:val="580C3793"/>
    <w:rsid w:val="58492617"/>
    <w:rsid w:val="58A86DDE"/>
    <w:rsid w:val="58B65855"/>
    <w:rsid w:val="59154AD7"/>
    <w:rsid w:val="59A860E0"/>
    <w:rsid w:val="59D16D68"/>
    <w:rsid w:val="59E52814"/>
    <w:rsid w:val="5A290952"/>
    <w:rsid w:val="5A2E2662"/>
    <w:rsid w:val="5A751DEA"/>
    <w:rsid w:val="5ACD5782"/>
    <w:rsid w:val="5AD703AE"/>
    <w:rsid w:val="5ADE07D5"/>
    <w:rsid w:val="5ADF548D"/>
    <w:rsid w:val="5B253B44"/>
    <w:rsid w:val="5B353446"/>
    <w:rsid w:val="5B7C2D04"/>
    <w:rsid w:val="5BAA7871"/>
    <w:rsid w:val="5BE57EBE"/>
    <w:rsid w:val="5BEA4111"/>
    <w:rsid w:val="5C044ACF"/>
    <w:rsid w:val="5C2E04A2"/>
    <w:rsid w:val="5CA93FCD"/>
    <w:rsid w:val="5CB14C2F"/>
    <w:rsid w:val="5CE40B61"/>
    <w:rsid w:val="5D395350"/>
    <w:rsid w:val="5D5348E2"/>
    <w:rsid w:val="5D5C60B4"/>
    <w:rsid w:val="5D9562FF"/>
    <w:rsid w:val="5F3F29C6"/>
    <w:rsid w:val="5F460E32"/>
    <w:rsid w:val="5FE5356E"/>
    <w:rsid w:val="600B4656"/>
    <w:rsid w:val="60545FFD"/>
    <w:rsid w:val="60602BF4"/>
    <w:rsid w:val="607C0A8D"/>
    <w:rsid w:val="60DF27CA"/>
    <w:rsid w:val="60E43825"/>
    <w:rsid w:val="6126799A"/>
    <w:rsid w:val="613D1187"/>
    <w:rsid w:val="6147069E"/>
    <w:rsid w:val="6150694F"/>
    <w:rsid w:val="61665FE8"/>
    <w:rsid w:val="617E77D6"/>
    <w:rsid w:val="618F5D6F"/>
    <w:rsid w:val="61AF3E33"/>
    <w:rsid w:val="61B52ACC"/>
    <w:rsid w:val="61C663FC"/>
    <w:rsid w:val="62375BD7"/>
    <w:rsid w:val="627D47B4"/>
    <w:rsid w:val="62946B85"/>
    <w:rsid w:val="62BB6808"/>
    <w:rsid w:val="62C439E0"/>
    <w:rsid w:val="62C84A81"/>
    <w:rsid w:val="631321A0"/>
    <w:rsid w:val="63253C81"/>
    <w:rsid w:val="63352116"/>
    <w:rsid w:val="633F4D43"/>
    <w:rsid w:val="637E2809"/>
    <w:rsid w:val="63C559DE"/>
    <w:rsid w:val="63F04A69"/>
    <w:rsid w:val="642C4D5E"/>
    <w:rsid w:val="642D54E3"/>
    <w:rsid w:val="647C3D75"/>
    <w:rsid w:val="64A21A2D"/>
    <w:rsid w:val="64CF659A"/>
    <w:rsid w:val="64DD4813"/>
    <w:rsid w:val="65222623"/>
    <w:rsid w:val="65404DA2"/>
    <w:rsid w:val="657D5F0F"/>
    <w:rsid w:val="66A3056E"/>
    <w:rsid w:val="66A50B1E"/>
    <w:rsid w:val="66C6089C"/>
    <w:rsid w:val="66DA6FA9"/>
    <w:rsid w:val="672F50CE"/>
    <w:rsid w:val="674548F2"/>
    <w:rsid w:val="67B2063C"/>
    <w:rsid w:val="67B850C4"/>
    <w:rsid w:val="67C97AC3"/>
    <w:rsid w:val="67E30EC1"/>
    <w:rsid w:val="68725BBA"/>
    <w:rsid w:val="68A90488"/>
    <w:rsid w:val="68AA5354"/>
    <w:rsid w:val="68BE495C"/>
    <w:rsid w:val="692D388F"/>
    <w:rsid w:val="696574CD"/>
    <w:rsid w:val="6985191D"/>
    <w:rsid w:val="69987E99"/>
    <w:rsid w:val="6A4235F7"/>
    <w:rsid w:val="6A484E25"/>
    <w:rsid w:val="6A4E3B2B"/>
    <w:rsid w:val="6A927E4E"/>
    <w:rsid w:val="6AED32D6"/>
    <w:rsid w:val="6B1B7E43"/>
    <w:rsid w:val="6B20545A"/>
    <w:rsid w:val="6B481C3B"/>
    <w:rsid w:val="6B484552"/>
    <w:rsid w:val="6B841E8D"/>
    <w:rsid w:val="6BA0513A"/>
    <w:rsid w:val="6BDF70C3"/>
    <w:rsid w:val="6C060AF4"/>
    <w:rsid w:val="6C07661A"/>
    <w:rsid w:val="6C1331A3"/>
    <w:rsid w:val="6C1D7BEB"/>
    <w:rsid w:val="6C2D6259"/>
    <w:rsid w:val="6C7D68DC"/>
    <w:rsid w:val="6C9A56E0"/>
    <w:rsid w:val="6CA84BC1"/>
    <w:rsid w:val="6CAB51F7"/>
    <w:rsid w:val="6CC664D5"/>
    <w:rsid w:val="6D0F1C2A"/>
    <w:rsid w:val="6D0F39D8"/>
    <w:rsid w:val="6D125276"/>
    <w:rsid w:val="6D3E4756"/>
    <w:rsid w:val="6D747CDF"/>
    <w:rsid w:val="6D9640F9"/>
    <w:rsid w:val="6DD10C8D"/>
    <w:rsid w:val="6E5214B9"/>
    <w:rsid w:val="6ED529FF"/>
    <w:rsid w:val="6F0B5B7C"/>
    <w:rsid w:val="6F5E0C47"/>
    <w:rsid w:val="6FC523EB"/>
    <w:rsid w:val="70217BD0"/>
    <w:rsid w:val="707324D0"/>
    <w:rsid w:val="70810331"/>
    <w:rsid w:val="70B07280"/>
    <w:rsid w:val="70DA60AB"/>
    <w:rsid w:val="716F2C97"/>
    <w:rsid w:val="71AB7A47"/>
    <w:rsid w:val="71FE401B"/>
    <w:rsid w:val="720D24B0"/>
    <w:rsid w:val="726C71D7"/>
    <w:rsid w:val="72895F2E"/>
    <w:rsid w:val="72C02EBE"/>
    <w:rsid w:val="72C507AD"/>
    <w:rsid w:val="72CE7E91"/>
    <w:rsid w:val="72D028D8"/>
    <w:rsid w:val="73465C7A"/>
    <w:rsid w:val="734D525A"/>
    <w:rsid w:val="73685BF0"/>
    <w:rsid w:val="738642C8"/>
    <w:rsid w:val="745D47C3"/>
    <w:rsid w:val="74694A8D"/>
    <w:rsid w:val="746A3BEA"/>
    <w:rsid w:val="74AE3AD6"/>
    <w:rsid w:val="74BA2909"/>
    <w:rsid w:val="74F61C6B"/>
    <w:rsid w:val="75355FA6"/>
    <w:rsid w:val="75377F70"/>
    <w:rsid w:val="75750A98"/>
    <w:rsid w:val="763C5112"/>
    <w:rsid w:val="763E70DC"/>
    <w:rsid w:val="7697322E"/>
    <w:rsid w:val="76AC3757"/>
    <w:rsid w:val="76BE1FCB"/>
    <w:rsid w:val="77131BA8"/>
    <w:rsid w:val="772207AC"/>
    <w:rsid w:val="772C162A"/>
    <w:rsid w:val="77324E93"/>
    <w:rsid w:val="773F035E"/>
    <w:rsid w:val="787C6529"/>
    <w:rsid w:val="78A21BA4"/>
    <w:rsid w:val="78D1434D"/>
    <w:rsid w:val="79872B48"/>
    <w:rsid w:val="7A224F34"/>
    <w:rsid w:val="7A3E3B4E"/>
    <w:rsid w:val="7A41363F"/>
    <w:rsid w:val="7A5C2227"/>
    <w:rsid w:val="7B1F5CAB"/>
    <w:rsid w:val="7BA82B1B"/>
    <w:rsid w:val="7BCE4A5E"/>
    <w:rsid w:val="7C105077"/>
    <w:rsid w:val="7C725D31"/>
    <w:rsid w:val="7CB93F8E"/>
    <w:rsid w:val="7CF66B46"/>
    <w:rsid w:val="7D470F6C"/>
    <w:rsid w:val="7D513B99"/>
    <w:rsid w:val="7D5B0573"/>
    <w:rsid w:val="7D7004C3"/>
    <w:rsid w:val="7D9578B2"/>
    <w:rsid w:val="7DBD28BA"/>
    <w:rsid w:val="7DE06CCB"/>
    <w:rsid w:val="7DFB58B2"/>
    <w:rsid w:val="7E584AB3"/>
    <w:rsid w:val="7EB20667"/>
    <w:rsid w:val="7EB634AC"/>
    <w:rsid w:val="7F514980"/>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 w:type="paragraph" w:customStyle="1" w:styleId="115">
    <w:name w:val="Table Text"/>
    <w:basedOn w:val="1"/>
    <w:semiHidden/>
    <w:qFormat/>
    <w:uiPriority w:val="0"/>
    <w:rPr>
      <w:rFonts w:ascii="仿宋" w:hAnsi="仿宋" w:eastAsia="仿宋" w:cs="仿宋"/>
      <w:sz w:val="24"/>
      <w:szCs w:val="24"/>
      <w:lang w:val="en-US" w:eastAsia="en-US" w:bidi="ar-SA"/>
    </w:rPr>
  </w:style>
  <w:style w:type="table" w:customStyle="1" w:styleId="116">
    <w:name w:val="Table Normal"/>
    <w:semiHidden/>
    <w:unhideWhenUsed/>
    <w:qFormat/>
    <w:uiPriority w:val="0"/>
    <w:tblPr>
      <w:tblCellMar>
        <w:top w:w="0" w:type="dxa"/>
        <w:left w:w="0" w:type="dxa"/>
        <w:bottom w:w="0" w:type="dxa"/>
        <w:right w:w="0" w:type="dxa"/>
      </w:tblCellMar>
    </w:tblPr>
  </w:style>
  <w:style w:type="character" w:customStyle="1" w:styleId="117">
    <w:name w:val="font21"/>
    <w:basedOn w:val="33"/>
    <w:qFormat/>
    <w:uiPriority w:val="0"/>
    <w:rPr>
      <w:rFonts w:ascii="仿宋_GB2312" w:eastAsia="仿宋_GB2312" w:cs="仿宋_GB2312"/>
      <w:color w:val="303133"/>
      <w:sz w:val="28"/>
      <w:szCs w:val="28"/>
      <w:u w:val="none"/>
    </w:rPr>
  </w:style>
  <w:style w:type="character" w:customStyle="1" w:styleId="118">
    <w:name w:val="font11"/>
    <w:basedOn w:val="3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37</Pages>
  <Words>109</Words>
  <Characters>131</Characters>
  <Lines>127</Lines>
  <Paragraphs>35</Paragraphs>
  <TotalTime>2</TotalTime>
  <ScaleCrop>false</ScaleCrop>
  <LinksUpToDate>false</LinksUpToDate>
  <CharactersWithSpaces>154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旧念何挽</cp:lastModifiedBy>
  <cp:lastPrinted>2020-06-28T02:28:00Z</cp:lastPrinted>
  <dcterms:modified xsi:type="dcterms:W3CDTF">2026-04-10T23:34:55Z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EFD04B6BFC8E4B4DBCCE620A1011CD43_13</vt:lpwstr>
  </property>
  <property fmtid="{D5CDD505-2E9C-101B-9397-08002B2CF9AE}" pid="4" name="KSOTemplateDocerSaveRecord">
    <vt:lpwstr>eyJoZGlkIjoiYWVmMGY1YWU3MWFiOTFlM2E3MWViYzU5MWVlYWU0ZjIiLCJ1c2VySWQiOiI0MDA0OTUxOTYifQ==</vt:lpwstr>
  </property>
</Properties>
</file>