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4"/>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2026年环保监测</w:t>
      </w:r>
      <w:r>
        <w:rPr>
          <w:rFonts w:hint="eastAsia" w:ascii="宋体" w:hAnsi="宋体"/>
          <w:sz w:val="44"/>
          <w:szCs w:val="24"/>
        </w:rPr>
        <w:t>项目</w:t>
      </w: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sz w:val="36"/>
          <w:szCs w:val="24"/>
        </w:rPr>
      </w:pPr>
    </w:p>
    <w:p>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pPr>
        <w:adjustRightInd w:val="0"/>
        <w:snapToGrid w:val="0"/>
        <w:spacing w:line="360" w:lineRule="auto"/>
        <w:jc w:val="center"/>
        <w:rPr>
          <w:rFonts w:ascii="宋体" w:hAnsi="宋体"/>
          <w:sz w:val="36"/>
          <w:szCs w:val="24"/>
        </w:rPr>
      </w:pPr>
    </w:p>
    <w:p>
      <w:pPr>
        <w:adjustRightInd w:val="0"/>
        <w:snapToGrid w:val="0"/>
        <w:spacing w:line="360" w:lineRule="auto"/>
        <w:jc w:val="center"/>
        <w:rPr>
          <w:rFonts w:ascii="宋体" w:hAnsi="宋体"/>
          <w:sz w:val="32"/>
          <w:szCs w:val="24"/>
        </w:rPr>
      </w:pPr>
    </w:p>
    <w:p>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pPr>
        <w:adjustRightInd w:val="0"/>
        <w:snapToGrid w:val="0"/>
        <w:spacing w:line="360" w:lineRule="auto"/>
        <w:jc w:val="center"/>
        <w:rPr>
          <w:rFonts w:ascii="宋体" w:hAnsi="宋体"/>
          <w:sz w:val="32"/>
          <w:szCs w:val="24"/>
        </w:rPr>
      </w:pPr>
    </w:p>
    <w:p>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3</w:t>
      </w:r>
      <w:r>
        <w:rPr>
          <w:rFonts w:hint="eastAsia" w:ascii="宋体" w:hAnsi="宋体"/>
          <w:sz w:val="32"/>
          <w:szCs w:val="24"/>
          <w:u w:val="single"/>
        </w:rPr>
        <w:t>月</w:t>
      </w:r>
    </w:p>
    <w:p>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pPr>
            <w:pStyle w:val="68"/>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pPr>
            <w:pStyle w:val="20"/>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pPr>
            <w:pStyle w:val="20"/>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pPr>
            <w:pStyle w:val="20"/>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pPr>
            <w:pStyle w:val="20"/>
            <w:adjustRightInd w:val="0"/>
            <w:snapToGrid w:val="0"/>
            <w:spacing w:line="360" w:lineRule="auto"/>
            <w:rPr>
              <w:sz w:val="24"/>
              <w:szCs w:val="24"/>
            </w:rPr>
          </w:pPr>
          <w:r>
            <w:rPr>
              <w:rFonts w:hint="eastAsia"/>
              <w:bCs/>
              <w:kern w:val="44"/>
              <w:sz w:val="24"/>
              <w:szCs w:val="24"/>
            </w:rPr>
            <w:fldChar w:fldCharType="end"/>
          </w:r>
        </w:p>
      </w:sdtContent>
    </w:sdt>
    <w:p>
      <w:pPr>
        <w:pStyle w:val="2"/>
        <w:tabs>
          <w:tab w:val="left" w:pos="2940"/>
        </w:tabs>
        <w:adjustRightInd w:val="0"/>
        <w:snapToGrid w:val="0"/>
        <w:spacing w:line="360" w:lineRule="auto"/>
        <w:jc w:val="left"/>
        <w:rPr>
          <w:rFonts w:hAnsi="宋体"/>
          <w:sz w:val="24"/>
          <w:szCs w:val="24"/>
        </w:rPr>
      </w:pPr>
      <w:r>
        <w:rPr>
          <w:rFonts w:hAnsi="宋体"/>
          <w:sz w:val="24"/>
          <w:szCs w:val="24"/>
        </w:rPr>
        <w:tab/>
      </w:r>
    </w:p>
    <w:p>
      <w:pPr>
        <w:pStyle w:val="2"/>
        <w:adjustRightInd w:val="0"/>
        <w:snapToGrid w:val="0"/>
        <w:spacing w:line="360" w:lineRule="auto"/>
        <w:jc w:val="left"/>
        <w:rPr>
          <w:rFonts w:hAnsi="宋体"/>
          <w:sz w:val="24"/>
          <w:szCs w:val="24"/>
        </w:rPr>
      </w:pPr>
    </w:p>
    <w:p>
      <w:pPr>
        <w:pStyle w:val="2"/>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pPr>
        <w:pStyle w:val="71"/>
        <w:adjustRightInd w:val="0"/>
        <w:snapToGrid w:val="0"/>
        <w:jc w:val="left"/>
        <w:outlineLvl w:val="9"/>
        <w:rPr>
          <w:rFonts w:ascii="宋体" w:hAnsi="宋体" w:eastAsia="宋体"/>
          <w:sz w:val="24"/>
          <w:szCs w:val="24"/>
        </w:rPr>
      </w:pPr>
      <w:bookmarkStart w:id="0" w:name="_Toc47976595"/>
      <w:bookmarkStart w:id="1" w:name="_Toc23927"/>
      <w:r>
        <w:rPr>
          <w:rFonts w:hint="eastAsia" w:ascii="宋体" w:hAnsi="宋体" w:eastAsia="宋体"/>
          <w:sz w:val="24"/>
          <w:szCs w:val="24"/>
        </w:rPr>
        <w:t>第一部分  投标人须知</w:t>
      </w:r>
      <w:bookmarkEnd w:id="0"/>
      <w:bookmarkEnd w:id="1"/>
    </w:p>
    <w:p>
      <w:pPr>
        <w:pStyle w:val="72"/>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pPr>
        <w:pStyle w:val="76"/>
        <w:numPr>
          <w:ilvl w:val="0"/>
          <w:numId w:val="9"/>
        </w:numPr>
        <w:adjustRightInd w:val="0"/>
        <w:snapToGrid w:val="0"/>
        <w:rPr>
          <w:rFonts w:hint="eastAsia" w:hAnsi="宋体"/>
          <w:sz w:val="24"/>
          <w:szCs w:val="24"/>
        </w:rPr>
      </w:pPr>
      <w:r>
        <w:rPr>
          <w:rFonts w:hint="eastAsia" w:hAnsi="宋体"/>
          <w:sz w:val="24"/>
          <w:szCs w:val="24"/>
        </w:rPr>
        <w:t>项目名称：</w:t>
      </w:r>
      <w:r>
        <w:rPr>
          <w:rFonts w:hint="eastAsia" w:hAnsi="宋体"/>
          <w:sz w:val="24"/>
          <w:szCs w:val="24"/>
          <w:lang w:val="en-US" w:eastAsia="zh-CN"/>
        </w:rPr>
        <w:t>2026年环保监测</w:t>
      </w:r>
    </w:p>
    <w:p>
      <w:pPr>
        <w:pStyle w:val="76"/>
        <w:numPr>
          <w:ilvl w:val="0"/>
          <w:numId w:val="9"/>
        </w:numPr>
        <w:adjustRightInd w:val="0"/>
        <w:snapToGrid w:val="0"/>
        <w:rPr>
          <w:rFonts w:hAnsi="宋体"/>
          <w:sz w:val="24"/>
          <w:szCs w:val="24"/>
        </w:rPr>
      </w:pPr>
      <w:r>
        <w:rPr>
          <w:rFonts w:hint="eastAsia" w:hAnsi="宋体"/>
          <w:sz w:val="24"/>
          <w:szCs w:val="24"/>
        </w:rPr>
        <w:t>项目编号：</w:t>
      </w:r>
    </w:p>
    <w:p>
      <w:pPr>
        <w:pStyle w:val="76"/>
        <w:numPr>
          <w:ilvl w:val="0"/>
          <w:numId w:val="9"/>
        </w:numPr>
        <w:adjustRightInd w:val="0"/>
        <w:snapToGrid w:val="0"/>
        <w:rPr>
          <w:rFonts w:hAnsi="宋体"/>
          <w:sz w:val="24"/>
          <w:szCs w:val="24"/>
        </w:rPr>
      </w:pPr>
      <w:r>
        <w:rPr>
          <w:rFonts w:hint="eastAsia" w:hAnsi="宋体"/>
          <w:sz w:val="24"/>
          <w:szCs w:val="24"/>
        </w:rPr>
        <w:t>招标形式：</w:t>
      </w:r>
      <w:bookmarkStart w:id="3" w:name="_Toc47112482"/>
      <w:r>
        <w:rPr>
          <w:rFonts w:hint="eastAsia" w:hAnsi="宋体"/>
          <w:sz w:val="24"/>
          <w:szCs w:val="24"/>
        </w:rPr>
        <w:t>公开招标</w:t>
      </w:r>
    </w:p>
    <w:p>
      <w:pPr>
        <w:pStyle w:val="76"/>
        <w:numPr>
          <w:ilvl w:val="0"/>
          <w:numId w:val="9"/>
        </w:numPr>
        <w:adjustRightInd w:val="0"/>
        <w:snapToGrid w:val="0"/>
        <w:rPr>
          <w:rFonts w:hAnsi="宋体"/>
          <w:sz w:val="24"/>
          <w:szCs w:val="24"/>
          <w:highlight w:val="none"/>
        </w:rPr>
      </w:pPr>
      <w:r>
        <w:rPr>
          <w:rFonts w:hint="eastAsia" w:hAnsi="宋体"/>
          <w:sz w:val="24"/>
          <w:szCs w:val="24"/>
        </w:rPr>
        <w:t>项目概况：</w:t>
      </w:r>
      <w:r>
        <w:rPr>
          <w:rFonts w:hint="eastAsia" w:ascii="宋体" w:hAnsi="宋体" w:eastAsia="宋体" w:cs="Times New Roman"/>
          <w:sz w:val="24"/>
          <w:szCs w:val="24"/>
        </w:rPr>
        <w:t>重汽（重庆）轻型汽车有</w:t>
      </w:r>
      <w:r>
        <w:rPr>
          <w:rFonts w:hint="eastAsia" w:ascii="宋体" w:hAnsi="宋体" w:eastAsia="宋体" w:cs="Times New Roman"/>
          <w:sz w:val="24"/>
          <w:szCs w:val="24"/>
          <w:highlight w:val="none"/>
        </w:rPr>
        <w:t>限公司位于重庆市江津区双福生产基地在进行生产经营活动中，需对生产过程排放废气能进行</w:t>
      </w:r>
      <w:r>
        <w:rPr>
          <w:rFonts w:hint="eastAsia" w:ascii="宋体" w:hAnsi="宋体" w:eastAsia="宋体" w:cs="Times New Roman"/>
          <w:sz w:val="24"/>
          <w:szCs w:val="24"/>
          <w:highlight w:val="yellow"/>
        </w:rPr>
        <w:t>正常的</w:t>
      </w:r>
      <w:r>
        <w:rPr>
          <w:rFonts w:hint="eastAsia" w:ascii="宋体" w:hAnsi="宋体" w:eastAsia="宋体" w:cs="Times New Roman"/>
          <w:sz w:val="24"/>
          <w:szCs w:val="24"/>
          <w:highlight w:val="none"/>
        </w:rPr>
        <w:t>废气监测和监测数据发布。现委托中标人，对生产基地废水、废气、噪声等环保监测。</w:t>
      </w:r>
    </w:p>
    <w:p>
      <w:pPr>
        <w:pStyle w:val="76"/>
        <w:numPr>
          <w:ilvl w:val="0"/>
          <w:numId w:val="9"/>
        </w:numPr>
        <w:adjustRightInd w:val="0"/>
        <w:snapToGrid w:val="0"/>
        <w:rPr>
          <w:rFonts w:hAnsi="宋体"/>
          <w:sz w:val="24"/>
          <w:szCs w:val="24"/>
          <w:highlight w:val="none"/>
        </w:rPr>
      </w:pPr>
      <w:r>
        <w:rPr>
          <w:rFonts w:hint="eastAsia" w:hAnsi="宋体"/>
          <w:sz w:val="24"/>
          <w:szCs w:val="24"/>
          <w:highlight w:val="none"/>
        </w:rPr>
        <w:t>招标内容具体要求详见《技术标书》。</w:t>
      </w:r>
    </w:p>
    <w:p>
      <w:pPr>
        <w:pStyle w:val="76"/>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p>
    <w:p>
      <w:pPr>
        <w:pStyle w:val="76"/>
        <w:numPr>
          <w:ilvl w:val="0"/>
          <w:numId w:val="9"/>
        </w:numPr>
        <w:adjustRightInd w:val="0"/>
        <w:snapToGrid w:val="0"/>
        <w:rPr>
          <w:rFonts w:hAnsi="宋体"/>
          <w:sz w:val="24"/>
          <w:szCs w:val="24"/>
        </w:rPr>
      </w:pPr>
      <w:r>
        <w:rPr>
          <w:rFonts w:hint="eastAsia" w:hAnsi="宋体"/>
          <w:sz w:val="24"/>
          <w:szCs w:val="24"/>
        </w:rPr>
        <w:t>项目预算为人民币</w:t>
      </w:r>
      <w:r>
        <w:rPr>
          <w:rFonts w:hint="eastAsia" w:hAnsi="宋体" w:cs="仿宋_GB2312"/>
          <w:bCs/>
          <w:color w:val="000000" w:themeColor="text1"/>
          <w:sz w:val="24"/>
          <w:szCs w:val="24"/>
          <w14:textFill>
            <w14:solidFill>
              <w14:schemeClr w14:val="tx1"/>
            </w14:solidFill>
          </w14:textFill>
        </w:rPr>
        <w:t>27</w:t>
      </w:r>
      <w:r>
        <w:rPr>
          <w:rFonts w:hint="eastAsia" w:hAnsi="宋体" w:cs="仿宋_GB2312"/>
          <w:bCs/>
          <w:color w:val="000000" w:themeColor="text1"/>
          <w:sz w:val="24"/>
          <w:szCs w:val="24"/>
          <w:lang w:val="en-US" w:eastAsia="zh-CN"/>
          <w14:textFill>
            <w14:solidFill>
              <w14:schemeClr w14:val="tx1"/>
            </w14:solidFill>
          </w14:textFill>
        </w:rPr>
        <w:t>.</w:t>
      </w:r>
      <w:r>
        <w:rPr>
          <w:rFonts w:hint="eastAsia" w:hAnsi="宋体" w:cs="仿宋_GB2312"/>
          <w:bCs/>
          <w:color w:val="000000" w:themeColor="text1"/>
          <w:sz w:val="24"/>
          <w:szCs w:val="24"/>
          <w14:textFill>
            <w14:solidFill>
              <w14:schemeClr w14:val="tx1"/>
            </w14:solidFill>
          </w14:textFill>
        </w:rPr>
        <w:t>2195万元（未税）</w:t>
      </w:r>
      <w:r>
        <w:rPr>
          <w:rFonts w:hint="eastAsia" w:hAnsi="宋体"/>
          <w:sz w:val="24"/>
          <w:szCs w:val="24"/>
        </w:rPr>
        <w:t>。</w:t>
      </w:r>
    </w:p>
    <w:p>
      <w:pPr>
        <w:pStyle w:val="76"/>
        <w:numPr>
          <w:ilvl w:val="0"/>
          <w:numId w:val="9"/>
        </w:numPr>
        <w:adjustRightInd w:val="0"/>
        <w:snapToGrid w:val="0"/>
        <w:rPr>
          <w:rFonts w:hAnsi="宋体"/>
          <w:sz w:val="24"/>
          <w:szCs w:val="24"/>
        </w:rPr>
      </w:pPr>
      <w:r>
        <w:rPr>
          <w:rFonts w:hAnsi="宋体"/>
          <w:sz w:val="24"/>
          <w:szCs w:val="24"/>
        </w:rPr>
        <w:t>资金来源：企业自筹，已落实。</w:t>
      </w:r>
    </w:p>
    <w:p>
      <w:pPr>
        <w:pStyle w:val="76"/>
        <w:numPr>
          <w:ilvl w:val="0"/>
          <w:numId w:val="9"/>
        </w:numPr>
        <w:adjustRightInd w:val="0"/>
        <w:snapToGrid w:val="0"/>
        <w:rPr>
          <w:rFonts w:hAnsi="宋体"/>
          <w:sz w:val="24"/>
          <w:szCs w:val="24"/>
        </w:rPr>
      </w:pPr>
      <w:r>
        <w:rPr>
          <w:rFonts w:hint="eastAsia" w:hAnsi="宋体"/>
          <w:sz w:val="24"/>
          <w:szCs w:val="24"/>
        </w:rPr>
        <w:t>招标人信息：</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37"/>
          <w:rFonts w:hint="eastAsia"/>
        </w:rPr>
        <w:t>xieqin@sinotruk.com</w:t>
      </w:r>
      <w:r>
        <w:rPr>
          <w:rFonts w:hint="eastAsia"/>
        </w:rPr>
        <w:fldChar w:fldCharType="end"/>
      </w:r>
    </w:p>
    <w:p>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周英</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电话：18523358811</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邮箱：zhouying1@sinotruk.com</w:t>
      </w:r>
    </w:p>
    <w:bookmarkEnd w:id="3"/>
    <w:p>
      <w:pPr>
        <w:pStyle w:val="72"/>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rPr>
        <w:t>合格的投标人</w:t>
      </w:r>
      <w:bookmarkEnd w:id="4"/>
    </w:p>
    <w:p>
      <w:pPr>
        <w:pStyle w:val="62"/>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投标方必须是在中华人民共和国境内注册的独立法人机构，具有独立承担民事责任能力，且成立三年以上（含三年，以注册日期开始计算，至开标之日不少于三年）。</w:t>
      </w:r>
    </w:p>
    <w:p>
      <w:pPr>
        <w:pStyle w:val="62"/>
        <w:numPr>
          <w:ilvl w:val="0"/>
          <w:numId w:val="10"/>
        </w:numPr>
        <w:adjustRightInd w:val="0"/>
        <w:snapToGrid w:val="0"/>
        <w:spacing w:line="360" w:lineRule="auto"/>
        <w:ind w:firstLineChars="0"/>
        <w:jc w:val="left"/>
        <w:rPr>
          <w:rFonts w:hint="eastAsia" w:ascii="宋体" w:hAnsi="宋体" w:eastAsia="宋体" w:cs="宋体"/>
          <w:sz w:val="24"/>
          <w:szCs w:val="24"/>
        </w:rPr>
      </w:pPr>
      <w:r>
        <w:rPr>
          <w:rFonts w:hint="eastAsia" w:ascii="宋体" w:hAnsi="宋体" w:eastAsia="宋体" w:cs="宋体"/>
          <w:sz w:val="24"/>
          <w:szCs w:val="24"/>
        </w:rPr>
        <w:t>投标方的注册资本不少于50万元人民币（或等值其他货币）</w:t>
      </w:r>
      <w:r>
        <w:rPr>
          <w:rFonts w:hint="eastAsia" w:ascii="宋体" w:hAnsi="宋体" w:eastAsia="宋体" w:cs="宋体"/>
          <w:sz w:val="24"/>
          <w:szCs w:val="24"/>
          <w:highlight w:val="none"/>
        </w:rPr>
        <w:t>，近</w:t>
      </w:r>
      <w:r>
        <w:rPr>
          <w:rFonts w:hint="eastAsia" w:ascii="宋体" w:hAnsi="宋体" w:cs="宋体"/>
          <w:sz w:val="24"/>
          <w:szCs w:val="24"/>
          <w:highlight w:val="none"/>
          <w:lang w:val="en-US" w:eastAsia="zh-CN"/>
        </w:rPr>
        <w:t>三</w:t>
      </w:r>
      <w:r>
        <w:rPr>
          <w:rFonts w:hint="eastAsia" w:ascii="宋体" w:hAnsi="宋体" w:eastAsia="宋体" w:cs="宋体"/>
          <w:sz w:val="24"/>
          <w:szCs w:val="24"/>
          <w:highlight w:val="none"/>
        </w:rPr>
        <w:t>年</w:t>
      </w:r>
      <w:r>
        <w:rPr>
          <w:rFonts w:hint="eastAsia" w:ascii="宋体" w:hAnsi="宋体" w:eastAsia="宋体" w:cs="宋体"/>
          <w:sz w:val="24"/>
          <w:szCs w:val="24"/>
        </w:rPr>
        <w:t>（截止到报名时）三个以上同类型项目的业绩证明。</w:t>
      </w:r>
    </w:p>
    <w:p>
      <w:pPr>
        <w:pStyle w:val="62"/>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持有生态环境检测相应资质和能力，且经营资质范围必须满足公司委托处置的环保监测类别范围。拥有实验室和本项目对样品检验工作要求的设施环境和设备配置，以及采样、检测人员，采样、检测人员不少于4人且具有相应能力证书；具有烟气采样设备至少2台，耐高温（500℃及以上）烟气采样设备至少1台。</w:t>
      </w:r>
    </w:p>
    <w:p>
      <w:pPr>
        <w:pStyle w:val="62"/>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eastAsia="宋体" w:cs="宋体"/>
          <w:sz w:val="24"/>
          <w:szCs w:val="24"/>
        </w:rPr>
        <w:t>在开标前进行技术交流，为便于双方信息充分沟通，首次合作的</w:t>
      </w:r>
      <w:r>
        <w:rPr>
          <w:rFonts w:hint="eastAsia" w:ascii="宋体" w:hAnsi="宋体" w:eastAsia="宋体" w:cs="宋体"/>
          <w:sz w:val="24"/>
          <w:szCs w:val="24"/>
          <w:lang w:val="en-US" w:eastAsia="zh-CN"/>
        </w:rPr>
        <w:t>投标方</w:t>
      </w:r>
      <w:r>
        <w:rPr>
          <w:rFonts w:hint="eastAsia" w:ascii="宋体" w:hAnsi="宋体" w:eastAsia="宋体" w:cs="宋体"/>
          <w:sz w:val="24"/>
          <w:szCs w:val="24"/>
        </w:rPr>
        <w:t>建议到</w:t>
      </w:r>
      <w:r>
        <w:rPr>
          <w:rFonts w:hint="eastAsia" w:ascii="宋体" w:hAnsi="宋体" w:eastAsia="宋体" w:cs="宋体"/>
          <w:sz w:val="24"/>
          <w:szCs w:val="24"/>
          <w:lang w:val="en-US" w:eastAsia="zh-CN"/>
        </w:rPr>
        <w:t>招标方</w:t>
      </w:r>
      <w:r>
        <w:rPr>
          <w:rFonts w:hint="eastAsia" w:ascii="宋体" w:hAnsi="宋体" w:eastAsia="宋体" w:cs="宋体"/>
          <w:sz w:val="24"/>
          <w:szCs w:val="24"/>
        </w:rPr>
        <w:t>重庆市江津区双福</w:t>
      </w:r>
      <w:r>
        <w:rPr>
          <w:rFonts w:hint="eastAsia" w:ascii="宋体" w:hAnsi="宋体" w:eastAsia="宋体" w:cs="宋体"/>
          <w:sz w:val="24"/>
          <w:szCs w:val="24"/>
          <w:lang w:val="en-US" w:eastAsia="zh-CN"/>
        </w:rPr>
        <w:t>生产基地</w:t>
      </w:r>
      <w:r>
        <w:rPr>
          <w:rFonts w:hint="eastAsia" w:ascii="宋体" w:hAnsi="宋体" w:eastAsia="宋体" w:cs="宋体"/>
          <w:sz w:val="24"/>
          <w:szCs w:val="24"/>
        </w:rPr>
        <w:t>现场技术交流</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投标方</w:t>
      </w:r>
      <w:r>
        <w:rPr>
          <w:rFonts w:hint="eastAsia" w:ascii="宋体" w:hAnsi="宋体" w:eastAsia="宋体" w:cs="宋体"/>
          <w:sz w:val="24"/>
          <w:szCs w:val="24"/>
        </w:rPr>
        <w:t>认可招标</w:t>
      </w:r>
      <w:r>
        <w:rPr>
          <w:rFonts w:hint="eastAsia" w:ascii="宋体" w:hAnsi="宋体" w:eastAsia="宋体" w:cs="宋体"/>
          <w:sz w:val="24"/>
          <w:szCs w:val="24"/>
          <w:lang w:val="en-US" w:eastAsia="zh-CN"/>
        </w:rPr>
        <w:t>方</w:t>
      </w:r>
      <w:r>
        <w:rPr>
          <w:rFonts w:hint="eastAsia" w:ascii="宋体" w:hAnsi="宋体" w:eastAsia="宋体" w:cs="宋体"/>
          <w:sz w:val="24"/>
          <w:szCs w:val="24"/>
        </w:rPr>
        <w:t>的工作指令，包括节假日、夜间能正常开展</w:t>
      </w:r>
      <w:r>
        <w:rPr>
          <w:rFonts w:hint="eastAsia" w:ascii="宋体" w:hAnsi="宋体" w:eastAsia="宋体" w:cs="宋体"/>
          <w:sz w:val="24"/>
          <w:szCs w:val="24"/>
          <w:lang w:val="en-US" w:eastAsia="zh-CN"/>
        </w:rPr>
        <w:t>监测</w:t>
      </w:r>
      <w:r>
        <w:rPr>
          <w:rFonts w:hint="eastAsia" w:ascii="宋体" w:hAnsi="宋体" w:eastAsia="宋体" w:cs="宋体"/>
          <w:sz w:val="24"/>
          <w:szCs w:val="24"/>
        </w:rPr>
        <w:t>工作的要求</w:t>
      </w:r>
      <w:r>
        <w:rPr>
          <w:rFonts w:hint="eastAsia" w:ascii="宋体" w:hAnsi="宋体" w:eastAsia="宋体" w:cs="宋体"/>
          <w:sz w:val="24"/>
          <w:szCs w:val="24"/>
          <w:lang w:eastAsia="zh-CN"/>
        </w:rPr>
        <w:t>。</w:t>
      </w:r>
    </w:p>
    <w:p>
      <w:pPr>
        <w:pStyle w:val="62"/>
        <w:numPr>
          <w:ilvl w:val="0"/>
          <w:numId w:val="10"/>
        </w:numPr>
        <w:adjustRightInd w:val="0"/>
        <w:snapToGrid w:val="0"/>
        <w:spacing w:line="360" w:lineRule="auto"/>
        <w:ind w:firstLineChars="0"/>
        <w:jc w:val="left"/>
        <w:rPr>
          <w:rFonts w:hint="eastAsia" w:ascii="宋体" w:hAnsi="宋体" w:eastAsia="宋体" w:cs="宋体"/>
          <w:sz w:val="24"/>
          <w:szCs w:val="24"/>
        </w:rPr>
      </w:pPr>
      <w:r>
        <w:rPr>
          <w:rFonts w:hint="eastAsia" w:ascii="宋体" w:hAnsi="宋体" w:eastAsia="宋体" w:cs="宋体"/>
          <w:sz w:val="24"/>
          <w:szCs w:val="24"/>
        </w:rPr>
        <w:t>投标方满足技术、质量、资金等要求，财务状况良好、经营稳定，具有全面履约的能力。</w:t>
      </w:r>
    </w:p>
    <w:p>
      <w:pPr>
        <w:pStyle w:val="62"/>
        <w:numPr>
          <w:ilvl w:val="0"/>
          <w:numId w:val="10"/>
        </w:numPr>
        <w:adjustRightInd w:val="0"/>
        <w:snapToGrid w:val="0"/>
        <w:spacing w:line="360" w:lineRule="auto"/>
        <w:ind w:firstLineChars="0"/>
        <w:jc w:val="left"/>
        <w:rPr>
          <w:rFonts w:hint="eastAsia" w:ascii="宋体" w:hAnsi="宋体" w:eastAsia="宋体" w:cs="宋体"/>
          <w:sz w:val="24"/>
          <w:szCs w:val="24"/>
        </w:rPr>
      </w:pPr>
      <w:r>
        <w:rPr>
          <w:rFonts w:hint="eastAsia" w:ascii="宋体" w:hAnsi="宋体" w:eastAsia="宋体" w:cs="宋体"/>
          <w:sz w:val="24"/>
          <w:szCs w:val="24"/>
        </w:rPr>
        <w:t>投标方有专业售后服务团队，满足我司售后服务要求。</w:t>
      </w:r>
    </w:p>
    <w:p>
      <w:pPr>
        <w:pStyle w:val="62"/>
        <w:numPr>
          <w:ilvl w:val="0"/>
          <w:numId w:val="10"/>
        </w:numPr>
        <w:adjustRightInd w:val="0"/>
        <w:snapToGrid w:val="0"/>
        <w:spacing w:line="360" w:lineRule="auto"/>
        <w:ind w:firstLineChars="0"/>
        <w:jc w:val="left"/>
        <w:rPr>
          <w:rFonts w:hint="eastAsia" w:ascii="宋体" w:hAnsi="宋体" w:eastAsia="宋体" w:cs="宋体"/>
          <w:sz w:val="24"/>
          <w:szCs w:val="24"/>
        </w:rPr>
      </w:pPr>
      <w:r>
        <w:rPr>
          <w:rFonts w:hint="eastAsia" w:ascii="宋体" w:hAnsi="宋体" w:eastAsia="宋体" w:cs="宋体"/>
          <w:sz w:val="24"/>
          <w:szCs w:val="24"/>
        </w:rPr>
        <w:t>投标方信誉良好，近三年内无违法及重大违规记录</w:t>
      </w:r>
      <w:r>
        <w:rPr>
          <w:rFonts w:hint="eastAsia" w:ascii="宋体" w:hAnsi="宋体" w:eastAsia="宋体" w:cs="宋体"/>
          <w:sz w:val="24"/>
          <w:szCs w:val="24"/>
          <w:lang w:eastAsia="zh-CN"/>
        </w:rPr>
        <w:t>；</w:t>
      </w:r>
      <w:r>
        <w:rPr>
          <w:rFonts w:hint="eastAsia" w:ascii="宋体" w:hAnsi="宋体" w:eastAsia="宋体" w:cs="宋体"/>
          <w:sz w:val="24"/>
          <w:szCs w:val="24"/>
        </w:rPr>
        <w:t>未受到过相关行政部门的处罚；无招标违规、谎报年度报告信息、提供虚假资质资料等行为</w:t>
      </w:r>
      <w:r>
        <w:rPr>
          <w:rFonts w:hint="eastAsia" w:ascii="宋体" w:hAnsi="宋体" w:eastAsia="宋体" w:cs="宋体"/>
          <w:sz w:val="24"/>
          <w:szCs w:val="24"/>
          <w:lang w:eastAsia="zh-CN"/>
        </w:rPr>
        <w:t>，</w:t>
      </w:r>
      <w:r>
        <w:rPr>
          <w:rFonts w:hint="eastAsia" w:ascii="宋体" w:hAnsi="宋体" w:eastAsia="宋体" w:cs="宋体"/>
          <w:sz w:val="24"/>
          <w:szCs w:val="24"/>
        </w:rPr>
        <w:t xml:space="preserve"> 在“国家企业信用信息公示系统”、“中国执行信息公开网”、“信用中国”、“天眼查”“裁判文书网”等信息平台中，无行政处罚、失信记录及未被列入过经营异常名录等信息</w:t>
      </w:r>
      <w:r>
        <w:rPr>
          <w:rFonts w:hint="eastAsia" w:ascii="宋体" w:hAnsi="宋体" w:eastAsia="宋体" w:cs="宋体"/>
          <w:sz w:val="24"/>
          <w:szCs w:val="24"/>
          <w:lang w:eastAsia="zh-CN"/>
        </w:rPr>
        <w:t>。</w:t>
      </w:r>
      <w:r>
        <w:rPr>
          <w:rFonts w:hint="eastAsia" w:ascii="宋体" w:hAnsi="宋体" w:eastAsia="宋体" w:cs="宋体"/>
          <w:sz w:val="24"/>
          <w:szCs w:val="24"/>
        </w:rPr>
        <w:t>无招标违规、谎报年度报告信息、提供虚假资质资料等行为或其他行政处罚记录。</w:t>
      </w:r>
    </w:p>
    <w:p>
      <w:pPr>
        <w:pStyle w:val="62"/>
        <w:numPr>
          <w:ilvl w:val="0"/>
          <w:numId w:val="10"/>
        </w:numPr>
        <w:adjustRightInd w:val="0"/>
        <w:snapToGrid w:val="0"/>
        <w:spacing w:line="360" w:lineRule="auto"/>
        <w:ind w:firstLineChars="0"/>
        <w:jc w:val="left"/>
        <w:rPr>
          <w:rFonts w:hint="eastAsia" w:ascii="宋体" w:hAnsi="宋体" w:eastAsia="宋体" w:cs="宋体"/>
          <w:sz w:val="24"/>
          <w:szCs w:val="24"/>
        </w:rPr>
      </w:pPr>
      <w:r>
        <w:rPr>
          <w:rFonts w:hint="eastAsia" w:ascii="宋体" w:hAnsi="宋体" w:eastAsia="宋体" w:cs="宋体"/>
          <w:sz w:val="24"/>
          <w:szCs w:val="24"/>
        </w:rPr>
        <w:t>投标人必须是最终投标、签订合同的单位，不得以任何理由将已中标项目以任何形式转包给其他单位</w:t>
      </w:r>
      <w:r>
        <w:rPr>
          <w:rFonts w:hint="eastAsia" w:ascii="宋体" w:hAnsi="宋体" w:eastAsia="宋体" w:cs="宋体"/>
          <w:sz w:val="24"/>
          <w:szCs w:val="24"/>
          <w:lang w:eastAsia="zh-CN"/>
        </w:rPr>
        <w:t>。</w:t>
      </w:r>
    </w:p>
    <w:p>
      <w:pPr>
        <w:pStyle w:val="62"/>
        <w:numPr>
          <w:ilvl w:val="0"/>
          <w:numId w:val="10"/>
        </w:numPr>
        <w:adjustRightInd w:val="0"/>
        <w:snapToGrid w:val="0"/>
        <w:spacing w:line="360" w:lineRule="auto"/>
        <w:ind w:firstLineChars="0"/>
        <w:jc w:val="left"/>
        <w:rPr>
          <w:rFonts w:hint="eastAsia" w:ascii="宋体" w:hAnsi="宋体" w:eastAsia="宋体" w:cs="宋体"/>
          <w:sz w:val="24"/>
          <w:szCs w:val="24"/>
        </w:rPr>
      </w:pPr>
      <w:r>
        <w:rPr>
          <w:rFonts w:hint="eastAsia" w:ascii="宋体" w:hAnsi="宋体" w:eastAsia="宋体" w:cs="宋体"/>
          <w:sz w:val="24"/>
          <w:szCs w:val="24"/>
        </w:rPr>
        <w:t>投标方的直接或间接股东、法定代表人、董事、监事、高管非重汽员工及其亲属。</w:t>
      </w:r>
    </w:p>
    <w:p>
      <w:pPr>
        <w:pStyle w:val="62"/>
        <w:numPr>
          <w:ilvl w:val="0"/>
          <w:numId w:val="10"/>
        </w:numPr>
        <w:adjustRightInd w:val="0"/>
        <w:snapToGrid w:val="0"/>
        <w:spacing w:line="360" w:lineRule="auto"/>
        <w:ind w:firstLineChars="0"/>
        <w:jc w:val="left"/>
        <w:rPr>
          <w:rFonts w:hint="eastAsia" w:ascii="宋体" w:hAnsi="宋体" w:eastAsia="宋体" w:cs="宋体"/>
          <w:sz w:val="24"/>
          <w:szCs w:val="24"/>
        </w:rPr>
      </w:pPr>
      <w:r>
        <w:rPr>
          <w:rFonts w:hint="eastAsia" w:ascii="宋体" w:hAnsi="宋体" w:eastAsia="宋体" w:cs="宋体"/>
          <w:sz w:val="24"/>
          <w:szCs w:val="24"/>
        </w:rPr>
        <w:t>没有被中国重汽集团列入黑名单。</w:t>
      </w:r>
    </w:p>
    <w:p>
      <w:pPr>
        <w:pStyle w:val="62"/>
        <w:numPr>
          <w:ilvl w:val="0"/>
          <w:numId w:val="10"/>
        </w:numPr>
        <w:adjustRightInd w:val="0"/>
        <w:snapToGrid w:val="0"/>
        <w:spacing w:line="360" w:lineRule="auto"/>
        <w:ind w:firstLineChars="0"/>
        <w:jc w:val="left"/>
        <w:rPr>
          <w:rFonts w:hint="eastAsia" w:ascii="宋体" w:hAnsi="宋体" w:eastAsia="宋体" w:cs="宋体"/>
          <w:sz w:val="24"/>
          <w:szCs w:val="24"/>
        </w:rPr>
      </w:pPr>
      <w:r>
        <w:rPr>
          <w:rFonts w:hint="eastAsia" w:ascii="宋体" w:hAnsi="宋体" w:eastAsia="宋体" w:cs="宋体"/>
          <w:sz w:val="24"/>
          <w:szCs w:val="24"/>
        </w:rPr>
        <w:t>法律法规对合格投标方的其他要求、规定。</w:t>
      </w:r>
    </w:p>
    <w:p>
      <w:pPr>
        <w:pStyle w:val="62"/>
        <w:numPr>
          <w:ilvl w:val="0"/>
          <w:numId w:val="10"/>
        </w:numPr>
        <w:adjustRightInd w:val="0"/>
        <w:snapToGrid w:val="0"/>
        <w:spacing w:line="360" w:lineRule="auto"/>
        <w:ind w:firstLineChars="0"/>
        <w:jc w:val="left"/>
        <w:rPr>
          <w:rFonts w:ascii="宋体" w:hAnsi="宋体"/>
          <w:sz w:val="24"/>
          <w:szCs w:val="24"/>
        </w:rPr>
      </w:pPr>
      <w:r>
        <w:rPr>
          <w:rFonts w:hint="eastAsia" w:ascii="宋体" w:hAnsi="宋体" w:eastAsia="宋体" w:cs="宋体"/>
          <w:sz w:val="24"/>
          <w:szCs w:val="24"/>
        </w:rPr>
        <w:t>不接受联合体投标</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不接受代理商投标。</w:t>
      </w:r>
    </w:p>
    <w:p>
      <w:pPr>
        <w:pStyle w:val="72"/>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pPr>
        <w:pStyle w:val="76"/>
        <w:numPr>
          <w:ilvl w:val="0"/>
          <w:numId w:val="11"/>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3</w:t>
      </w:r>
      <w:r>
        <w:rPr>
          <w:rFonts w:hint="eastAsia" w:hAnsi="宋体"/>
          <w:sz w:val="24"/>
          <w:szCs w:val="24"/>
          <w:u w:val="single"/>
        </w:rPr>
        <w:t>月</w:t>
      </w:r>
      <w:r>
        <w:rPr>
          <w:rFonts w:hint="eastAsia" w:hAnsi="宋体"/>
          <w:sz w:val="24"/>
          <w:szCs w:val="24"/>
          <w:u w:val="single"/>
          <w:lang w:val="en-US" w:eastAsia="zh-CN"/>
        </w:rPr>
        <w:t>12</w:t>
      </w:r>
      <w:r>
        <w:rPr>
          <w:rFonts w:hint="eastAsia" w:hAnsi="宋体"/>
          <w:sz w:val="24"/>
          <w:szCs w:val="24"/>
          <w:u w:val="single"/>
        </w:rPr>
        <w:t>日；</w:t>
      </w:r>
    </w:p>
    <w:p>
      <w:pPr>
        <w:pStyle w:val="76"/>
        <w:numPr>
          <w:ilvl w:val="0"/>
          <w:numId w:val="11"/>
        </w:numPr>
        <w:adjustRightInd w:val="0"/>
        <w:snapToGrid w:val="0"/>
        <w:rPr>
          <w:rFonts w:hAnsi="宋体"/>
          <w:sz w:val="24"/>
          <w:szCs w:val="24"/>
        </w:rPr>
      </w:pPr>
      <w:r>
        <w:rPr>
          <w:rFonts w:hint="eastAsia" w:hAnsi="宋体"/>
          <w:sz w:val="24"/>
          <w:szCs w:val="24"/>
        </w:rPr>
        <w:t>投标报名</w:t>
      </w:r>
    </w:p>
    <w:p>
      <w:pPr>
        <w:pStyle w:val="76"/>
        <w:numPr>
          <w:ilvl w:val="0"/>
          <w:numId w:val="12"/>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highlight w:val="none"/>
          <w:u w:val="single"/>
        </w:rPr>
        <w:t>2026年3月</w:t>
      </w:r>
      <w:r>
        <w:rPr>
          <w:rFonts w:hint="eastAsia" w:hAnsi="宋体" w:cs="宋体"/>
          <w:sz w:val="24"/>
          <w:szCs w:val="24"/>
          <w:highlight w:val="none"/>
          <w:u w:val="single"/>
          <w:lang w:val="en-US" w:eastAsia="zh-CN"/>
        </w:rPr>
        <w:t>17</w:t>
      </w:r>
      <w:r>
        <w:rPr>
          <w:rFonts w:hint="eastAsia" w:hAnsi="宋体" w:cs="宋体"/>
          <w:sz w:val="24"/>
          <w:szCs w:val="24"/>
          <w:highlight w:val="none"/>
          <w:u w:val="single"/>
        </w:rPr>
        <w:t>日17:00:00（北京时间）</w:t>
      </w:r>
      <w:r>
        <w:rPr>
          <w:rFonts w:hint="eastAsia" w:hAnsi="宋体"/>
          <w:sz w:val="24"/>
          <w:szCs w:val="24"/>
          <w:u w:val="single"/>
        </w:rPr>
        <w:t>；</w:t>
      </w:r>
    </w:p>
    <w:p>
      <w:pPr>
        <w:pStyle w:val="76"/>
        <w:numPr>
          <w:ilvl w:val="0"/>
          <w:numId w:val="12"/>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pPr>
        <w:pStyle w:val="76"/>
        <w:numPr>
          <w:ilvl w:val="0"/>
          <w:numId w:val="12"/>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pPr>
        <w:pStyle w:val="76"/>
        <w:numPr>
          <w:ilvl w:val="0"/>
          <w:numId w:val="11"/>
        </w:numPr>
        <w:adjustRightInd w:val="0"/>
        <w:snapToGrid w:val="0"/>
        <w:rPr>
          <w:rFonts w:hAnsi="宋体"/>
          <w:sz w:val="24"/>
          <w:szCs w:val="24"/>
        </w:rPr>
      </w:pPr>
      <w:r>
        <w:rPr>
          <w:rFonts w:hint="eastAsia" w:hAnsi="宋体"/>
          <w:sz w:val="24"/>
          <w:szCs w:val="24"/>
        </w:rPr>
        <w:t>招标文件获取</w:t>
      </w:r>
    </w:p>
    <w:p>
      <w:pPr>
        <w:pStyle w:val="76"/>
        <w:numPr>
          <w:ilvl w:val="1"/>
          <w:numId w:val="13"/>
        </w:numPr>
        <w:adjustRightInd w:val="0"/>
        <w:snapToGrid w:val="0"/>
        <w:ind w:left="420"/>
        <w:rPr>
          <w:rFonts w:hAnsi="宋体"/>
          <w:sz w:val="24"/>
          <w:szCs w:val="24"/>
        </w:rPr>
      </w:pPr>
      <w:r>
        <w:rPr>
          <w:rFonts w:hint="eastAsia" w:hAnsi="宋体"/>
          <w:sz w:val="24"/>
          <w:szCs w:val="24"/>
        </w:rPr>
        <w:t>获取时间：报名成功后；</w:t>
      </w:r>
    </w:p>
    <w:p>
      <w:pPr>
        <w:pStyle w:val="76"/>
        <w:numPr>
          <w:ilvl w:val="1"/>
          <w:numId w:val="13"/>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pPr>
        <w:pStyle w:val="76"/>
        <w:numPr>
          <w:ilvl w:val="0"/>
          <w:numId w:val="11"/>
        </w:numPr>
        <w:adjustRightInd w:val="0"/>
        <w:snapToGrid w:val="0"/>
        <w:rPr>
          <w:rFonts w:hAnsi="宋体"/>
          <w:sz w:val="24"/>
          <w:szCs w:val="24"/>
        </w:rPr>
      </w:pPr>
      <w:r>
        <w:rPr>
          <w:rFonts w:hint="eastAsia" w:hAnsi="宋体"/>
          <w:sz w:val="24"/>
          <w:szCs w:val="24"/>
        </w:rPr>
        <w:t>疑问提交</w:t>
      </w:r>
    </w:p>
    <w:p>
      <w:pPr>
        <w:pStyle w:val="76"/>
        <w:numPr>
          <w:ilvl w:val="1"/>
          <w:numId w:val="14"/>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2026年3月1</w:t>
      </w:r>
      <w:r>
        <w:rPr>
          <w:rFonts w:hint="eastAsia" w:hAnsi="宋体"/>
          <w:sz w:val="24"/>
          <w:szCs w:val="24"/>
          <w:u w:val="single"/>
          <w:lang w:val="en-US" w:eastAsia="zh-CN"/>
        </w:rPr>
        <w:t>9</w:t>
      </w:r>
      <w:r>
        <w:rPr>
          <w:rFonts w:hint="eastAsia" w:hAnsi="宋体"/>
          <w:sz w:val="24"/>
          <w:szCs w:val="24"/>
          <w:u w:val="single"/>
        </w:rPr>
        <w:t>日17:00:00（北京时间）；</w:t>
      </w:r>
    </w:p>
    <w:p>
      <w:pPr>
        <w:pStyle w:val="76"/>
        <w:numPr>
          <w:ilvl w:val="1"/>
          <w:numId w:val="14"/>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pPr>
        <w:pStyle w:val="76"/>
        <w:numPr>
          <w:ilvl w:val="0"/>
          <w:numId w:val="11"/>
        </w:numPr>
        <w:adjustRightInd w:val="0"/>
        <w:snapToGrid w:val="0"/>
        <w:rPr>
          <w:rFonts w:hAnsi="宋体"/>
          <w:sz w:val="24"/>
          <w:szCs w:val="24"/>
        </w:rPr>
      </w:pPr>
      <w:r>
        <w:rPr>
          <w:rFonts w:hint="eastAsia" w:hAnsi="宋体"/>
          <w:sz w:val="24"/>
          <w:szCs w:val="24"/>
        </w:rPr>
        <w:t>答疑、澄清和修改文件的获取</w:t>
      </w:r>
    </w:p>
    <w:p>
      <w:pPr>
        <w:pStyle w:val="76"/>
        <w:numPr>
          <w:ilvl w:val="0"/>
          <w:numId w:val="15"/>
        </w:numPr>
        <w:adjustRightInd w:val="0"/>
        <w:snapToGrid w:val="0"/>
        <w:rPr>
          <w:rFonts w:hAnsi="宋体"/>
          <w:sz w:val="24"/>
          <w:szCs w:val="24"/>
          <w:highlight w:val="none"/>
        </w:rPr>
      </w:pPr>
      <w:r>
        <w:rPr>
          <w:rFonts w:hint="eastAsia" w:hAnsi="宋体"/>
          <w:sz w:val="24"/>
          <w:szCs w:val="24"/>
          <w:highlight w:val="none"/>
        </w:rPr>
        <w:t>获取时间：</w:t>
      </w:r>
      <w:r>
        <w:rPr>
          <w:rFonts w:hint="eastAsia" w:hAnsi="宋体"/>
          <w:sz w:val="24"/>
          <w:szCs w:val="24"/>
          <w:highlight w:val="none"/>
          <w:u w:val="single"/>
        </w:rPr>
        <w:t>2026年3月</w:t>
      </w:r>
      <w:r>
        <w:rPr>
          <w:rFonts w:hint="eastAsia" w:hAnsi="宋体"/>
          <w:sz w:val="24"/>
          <w:szCs w:val="24"/>
          <w:highlight w:val="none"/>
          <w:u w:val="single"/>
          <w:lang w:val="en-US" w:eastAsia="zh-CN"/>
        </w:rPr>
        <w:t>20</w:t>
      </w:r>
      <w:r>
        <w:rPr>
          <w:rFonts w:hint="eastAsia" w:hAnsi="宋体"/>
          <w:sz w:val="24"/>
          <w:szCs w:val="24"/>
          <w:highlight w:val="none"/>
          <w:u w:val="single"/>
        </w:rPr>
        <w:t>日17:00前；</w:t>
      </w:r>
    </w:p>
    <w:p>
      <w:pPr>
        <w:pStyle w:val="76"/>
        <w:numPr>
          <w:ilvl w:val="0"/>
          <w:numId w:val="15"/>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pPr>
        <w:pStyle w:val="72"/>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pPr>
        <w:pStyle w:val="72"/>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pPr>
        <w:pStyle w:val="76"/>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pPr>
        <w:pStyle w:val="76"/>
        <w:numPr>
          <w:ilvl w:val="0"/>
          <w:numId w:val="17"/>
        </w:numPr>
        <w:adjustRightInd w:val="0"/>
        <w:snapToGrid w:val="0"/>
        <w:rPr>
          <w:rFonts w:hAnsi="宋体"/>
          <w:sz w:val="24"/>
          <w:szCs w:val="24"/>
        </w:rPr>
      </w:pPr>
      <w:r>
        <w:rPr>
          <w:rFonts w:hint="eastAsia" w:hAnsi="宋体" w:cs="黑体"/>
          <w:bCs/>
          <w:sz w:val="24"/>
          <w:szCs w:val="24"/>
        </w:rPr>
        <w:t>资质文件</w:t>
      </w:r>
    </w:p>
    <w:p>
      <w:pPr>
        <w:pStyle w:val="76"/>
        <w:numPr>
          <w:ilvl w:val="0"/>
          <w:numId w:val="18"/>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pPr>
        <w:pStyle w:val="76"/>
        <w:numPr>
          <w:ilvl w:val="0"/>
          <w:numId w:val="18"/>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pPr>
        <w:pStyle w:val="76"/>
        <w:numPr>
          <w:ilvl w:val="0"/>
          <w:numId w:val="18"/>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pPr>
        <w:pStyle w:val="76"/>
        <w:numPr>
          <w:ilvl w:val="0"/>
          <w:numId w:val="18"/>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pPr>
        <w:pStyle w:val="76"/>
        <w:numPr>
          <w:ilvl w:val="0"/>
          <w:numId w:val="18"/>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pPr>
        <w:pStyle w:val="76"/>
        <w:numPr>
          <w:ilvl w:val="0"/>
          <w:numId w:val="18"/>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pPr>
        <w:pStyle w:val="76"/>
        <w:numPr>
          <w:ilvl w:val="0"/>
          <w:numId w:val="18"/>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pPr>
        <w:pStyle w:val="76"/>
        <w:numPr>
          <w:ilvl w:val="0"/>
          <w:numId w:val="18"/>
        </w:numPr>
        <w:adjustRightInd w:val="0"/>
        <w:snapToGrid w:val="0"/>
        <w:ind w:left="420" w:leftChars="200"/>
        <w:rPr>
          <w:rFonts w:ascii="宋体" w:hAnsi="宋体" w:eastAsia="宋体" w:cs="Times New Roman"/>
          <w:sz w:val="24"/>
          <w:szCs w:val="24"/>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年1月1日至今）类似项目业绩及合同复印件（加盖公章，须有客户联系方式及联系人以供招标人核实确认）；</w:t>
      </w:r>
    </w:p>
    <w:p>
      <w:pPr>
        <w:pStyle w:val="76"/>
        <w:numPr>
          <w:ilvl w:val="0"/>
          <w:numId w:val="18"/>
        </w:numPr>
        <w:adjustRightInd w:val="0"/>
        <w:snapToGrid w:val="0"/>
        <w:ind w:left="420" w:leftChars="200"/>
        <w:rPr>
          <w:rFonts w:hAnsi="宋体"/>
          <w:sz w:val="24"/>
          <w:szCs w:val="24"/>
        </w:rPr>
      </w:pPr>
      <w:r>
        <w:rPr>
          <w:rFonts w:hAnsi="宋体"/>
          <w:sz w:val="24"/>
          <w:szCs w:val="24"/>
        </w:rPr>
        <w:t>保密承诺函（附件2，需</w:t>
      </w:r>
      <w:r>
        <w:rPr>
          <w:rFonts w:hint="eastAsia" w:hAnsi="宋体"/>
          <w:sz w:val="24"/>
          <w:szCs w:val="24"/>
        </w:rPr>
        <w:t>加</w:t>
      </w:r>
      <w:r>
        <w:rPr>
          <w:rFonts w:hAnsi="宋体"/>
          <w:sz w:val="24"/>
          <w:szCs w:val="24"/>
        </w:rPr>
        <w:t>盖章）</w:t>
      </w:r>
      <w:r>
        <w:rPr>
          <w:rFonts w:hint="eastAsia" w:hAnsi="宋体"/>
          <w:sz w:val="24"/>
          <w:szCs w:val="24"/>
        </w:rPr>
        <w:t>；</w:t>
      </w:r>
    </w:p>
    <w:p>
      <w:pPr>
        <w:pStyle w:val="76"/>
        <w:numPr>
          <w:ilvl w:val="0"/>
          <w:numId w:val="18"/>
        </w:numPr>
        <w:adjustRightInd w:val="0"/>
        <w:snapToGrid w:val="0"/>
        <w:ind w:left="420" w:leftChars="200"/>
        <w:rPr>
          <w:rFonts w:hAnsi="宋体"/>
          <w:sz w:val="24"/>
          <w:szCs w:val="24"/>
        </w:rPr>
      </w:pPr>
      <w:r>
        <w:rPr>
          <w:rFonts w:hint="eastAsia" w:hAnsi="宋体"/>
          <w:sz w:val="24"/>
          <w:szCs w:val="24"/>
        </w:rPr>
        <w:t>投标保证金缴纳凭证，同时正文描述付款账号、户名、开户行名称、开户行行号、保证金金额。</w:t>
      </w:r>
    </w:p>
    <w:p>
      <w:pPr>
        <w:pStyle w:val="76"/>
        <w:numPr>
          <w:ilvl w:val="0"/>
          <w:numId w:val="18"/>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pPr>
        <w:pStyle w:val="76"/>
        <w:numPr>
          <w:ilvl w:val="0"/>
          <w:numId w:val="17"/>
        </w:numPr>
        <w:adjustRightInd w:val="0"/>
        <w:snapToGrid w:val="0"/>
        <w:rPr>
          <w:rFonts w:hAnsi="宋体" w:cs="黑体"/>
          <w:bCs/>
          <w:sz w:val="24"/>
          <w:szCs w:val="24"/>
        </w:rPr>
      </w:pPr>
      <w:r>
        <w:rPr>
          <w:rFonts w:hint="eastAsia" w:hAnsi="宋体" w:cs="黑体"/>
          <w:bCs/>
          <w:sz w:val="24"/>
          <w:szCs w:val="24"/>
        </w:rPr>
        <w:t>商务标</w:t>
      </w:r>
    </w:p>
    <w:p>
      <w:pPr>
        <w:pStyle w:val="76"/>
        <w:numPr>
          <w:ilvl w:val="0"/>
          <w:numId w:val="19"/>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pPr>
        <w:pStyle w:val="76"/>
        <w:numPr>
          <w:ilvl w:val="0"/>
          <w:numId w:val="19"/>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pPr>
        <w:pStyle w:val="76"/>
        <w:numPr>
          <w:ilvl w:val="0"/>
          <w:numId w:val="19"/>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pPr>
        <w:pStyle w:val="76"/>
        <w:numPr>
          <w:ilvl w:val="0"/>
          <w:numId w:val="19"/>
        </w:numPr>
        <w:adjustRightInd w:val="0"/>
        <w:snapToGrid w:val="0"/>
        <w:ind w:left="420" w:leftChars="200"/>
        <w:rPr>
          <w:rFonts w:hAnsi="宋体"/>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pPr>
        <w:pStyle w:val="76"/>
        <w:adjustRightInd w:val="0"/>
        <w:snapToGrid w:val="0"/>
        <w:rPr>
          <w:rFonts w:hAnsi="宋体"/>
          <w:sz w:val="24"/>
          <w:szCs w:val="24"/>
        </w:rPr>
      </w:pPr>
    </w:p>
    <w:p>
      <w:pPr>
        <w:pStyle w:val="72"/>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pPr>
        <w:pStyle w:val="76"/>
        <w:numPr>
          <w:ilvl w:val="0"/>
          <w:numId w:val="20"/>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pPr>
        <w:pStyle w:val="76"/>
        <w:numPr>
          <w:ilvl w:val="0"/>
          <w:numId w:val="20"/>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rPr>
        <w:t>：</w:t>
      </w:r>
      <w:r>
        <w:rPr>
          <w:rFonts w:hint="eastAsia" w:hAnsi="宋体"/>
          <w:sz w:val="24"/>
          <w:szCs w:val="24"/>
          <w:highlight w:val="none"/>
          <w:u w:val="single"/>
        </w:rPr>
        <w:t>2026年3月</w:t>
      </w:r>
      <w:r>
        <w:rPr>
          <w:rFonts w:hint="eastAsia" w:hAnsi="宋体"/>
          <w:sz w:val="24"/>
          <w:szCs w:val="24"/>
          <w:highlight w:val="none"/>
          <w:u w:val="single"/>
          <w:lang w:val="en-US" w:eastAsia="zh-CN"/>
        </w:rPr>
        <w:t>23</w:t>
      </w:r>
      <w:r>
        <w:rPr>
          <w:rFonts w:hint="eastAsia" w:hAnsi="宋体"/>
          <w:sz w:val="24"/>
          <w:szCs w:val="24"/>
          <w:highlight w:val="none"/>
          <w:u w:val="single"/>
        </w:rPr>
        <w:t>日17:00:00（北京时间）</w:t>
      </w:r>
    </w:p>
    <w:p>
      <w:pPr>
        <w:pStyle w:val="72"/>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pPr>
        <w:pStyle w:val="72"/>
        <w:numPr>
          <w:ilvl w:val="0"/>
          <w:numId w:val="21"/>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pPr>
        <w:pStyle w:val="76"/>
        <w:numPr>
          <w:ilvl w:val="0"/>
          <w:numId w:val="22"/>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pPr>
        <w:pStyle w:val="76"/>
        <w:numPr>
          <w:ilvl w:val="0"/>
          <w:numId w:val="22"/>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pPr>
        <w:pStyle w:val="76"/>
        <w:numPr>
          <w:ilvl w:val="0"/>
          <w:numId w:val="22"/>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pPr>
        <w:pStyle w:val="76"/>
        <w:numPr>
          <w:ilvl w:val="0"/>
          <w:numId w:val="21"/>
        </w:numPr>
        <w:adjustRightInd w:val="0"/>
        <w:snapToGrid w:val="0"/>
        <w:rPr>
          <w:rFonts w:hAnsi="宋体"/>
          <w:sz w:val="24"/>
          <w:szCs w:val="24"/>
        </w:rPr>
      </w:pPr>
      <w:r>
        <w:rPr>
          <w:rFonts w:hint="eastAsia" w:hAnsi="宋体"/>
          <w:sz w:val="24"/>
          <w:szCs w:val="24"/>
        </w:rPr>
        <w:t>投标保证金的金额：人民币5000元</w:t>
      </w:r>
    </w:p>
    <w:p>
      <w:pPr>
        <w:pStyle w:val="76"/>
        <w:adjustRightInd w:val="0"/>
        <w:snapToGrid w:val="0"/>
        <w:ind w:left="420" w:leftChars="200"/>
        <w:rPr>
          <w:rFonts w:hAnsi="宋体"/>
          <w:sz w:val="24"/>
          <w:szCs w:val="24"/>
        </w:rPr>
      </w:pPr>
      <w:r>
        <w:rPr>
          <w:rFonts w:hint="eastAsia" w:hAnsi="宋体"/>
          <w:sz w:val="24"/>
          <w:szCs w:val="24"/>
        </w:rPr>
        <w:t>单位名称：重汽（重庆）轻型汽车有限公司</w:t>
      </w:r>
    </w:p>
    <w:p>
      <w:pPr>
        <w:pStyle w:val="76"/>
        <w:adjustRightInd w:val="0"/>
        <w:snapToGrid w:val="0"/>
        <w:ind w:left="420" w:leftChars="200"/>
        <w:rPr>
          <w:rFonts w:hAnsi="宋体"/>
          <w:sz w:val="24"/>
          <w:szCs w:val="24"/>
        </w:rPr>
      </w:pPr>
      <w:r>
        <w:rPr>
          <w:rFonts w:hint="eastAsia" w:hAnsi="宋体"/>
          <w:sz w:val="24"/>
          <w:szCs w:val="24"/>
        </w:rPr>
        <w:t>收款账号：8112501012801267437</w:t>
      </w:r>
    </w:p>
    <w:p>
      <w:pPr>
        <w:pStyle w:val="76"/>
        <w:adjustRightInd w:val="0"/>
        <w:snapToGrid w:val="0"/>
        <w:ind w:left="420" w:leftChars="200"/>
        <w:rPr>
          <w:rFonts w:hAnsi="宋体"/>
          <w:sz w:val="24"/>
          <w:szCs w:val="24"/>
        </w:rPr>
      </w:pPr>
      <w:r>
        <w:rPr>
          <w:rFonts w:hint="eastAsia" w:hAnsi="宋体"/>
          <w:sz w:val="24"/>
          <w:szCs w:val="24"/>
        </w:rPr>
        <w:t>开户行名称：中信银行济南舜耕支行</w:t>
      </w:r>
    </w:p>
    <w:p>
      <w:pPr>
        <w:pStyle w:val="76"/>
        <w:adjustRightInd w:val="0"/>
        <w:snapToGrid w:val="0"/>
        <w:ind w:left="420" w:leftChars="200"/>
        <w:rPr>
          <w:rFonts w:hAnsi="宋体"/>
          <w:sz w:val="24"/>
          <w:szCs w:val="24"/>
        </w:rPr>
      </w:pPr>
      <w:r>
        <w:rPr>
          <w:rFonts w:hint="eastAsia" w:hAnsi="宋体"/>
          <w:sz w:val="24"/>
          <w:szCs w:val="24"/>
        </w:rPr>
        <w:t>开户行行号：302451037264</w:t>
      </w:r>
    </w:p>
    <w:p>
      <w:pPr>
        <w:pStyle w:val="76"/>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pPr>
        <w:pStyle w:val="76"/>
        <w:numPr>
          <w:ilvl w:val="0"/>
          <w:numId w:val="21"/>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2026年3月</w:t>
      </w:r>
      <w:r>
        <w:rPr>
          <w:rFonts w:hint="eastAsia" w:hAnsi="宋体" w:eastAsia="宋体"/>
          <w:sz w:val="24"/>
          <w:szCs w:val="24"/>
          <w:highlight w:val="none"/>
          <w:u w:val="single"/>
          <w:lang w:val="en-US" w:eastAsia="zh-CN"/>
        </w:rPr>
        <w:t>23</w:t>
      </w:r>
      <w:r>
        <w:rPr>
          <w:rFonts w:hint="eastAsia" w:hAnsi="宋体" w:eastAsia="答疑"/>
          <w:sz w:val="24"/>
          <w:szCs w:val="24"/>
          <w:highlight w:val="none"/>
          <w:u w:val="single"/>
        </w:rPr>
        <w:t>日17:00:00（北京时间）</w:t>
      </w:r>
    </w:p>
    <w:p>
      <w:pPr>
        <w:pStyle w:val="72"/>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pPr>
        <w:pStyle w:val="72"/>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pPr>
        <w:pStyle w:val="76"/>
        <w:numPr>
          <w:ilvl w:val="0"/>
          <w:numId w:val="23"/>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pPr>
        <w:pStyle w:val="76"/>
        <w:numPr>
          <w:ilvl w:val="0"/>
          <w:numId w:val="23"/>
        </w:numPr>
        <w:adjustRightInd w:val="0"/>
        <w:snapToGrid w:val="0"/>
        <w:rPr>
          <w:rFonts w:hAnsi="宋体"/>
          <w:sz w:val="24"/>
          <w:szCs w:val="24"/>
        </w:rPr>
      </w:pPr>
      <w:r>
        <w:rPr>
          <w:rFonts w:hint="eastAsia" w:hAnsi="宋体"/>
          <w:sz w:val="24"/>
          <w:szCs w:val="24"/>
        </w:rPr>
        <w:t>供应商在响应文件中提供虚假材料的；</w:t>
      </w:r>
    </w:p>
    <w:p>
      <w:pPr>
        <w:pStyle w:val="76"/>
        <w:numPr>
          <w:ilvl w:val="0"/>
          <w:numId w:val="23"/>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pPr>
        <w:pStyle w:val="76"/>
        <w:numPr>
          <w:ilvl w:val="0"/>
          <w:numId w:val="23"/>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pPr>
        <w:pStyle w:val="76"/>
        <w:numPr>
          <w:ilvl w:val="0"/>
          <w:numId w:val="23"/>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pPr>
        <w:pStyle w:val="76"/>
        <w:numPr>
          <w:ilvl w:val="0"/>
          <w:numId w:val="23"/>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pPr>
        <w:pStyle w:val="76"/>
        <w:numPr>
          <w:ilvl w:val="0"/>
          <w:numId w:val="23"/>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pPr>
        <w:pStyle w:val="76"/>
        <w:numPr>
          <w:ilvl w:val="0"/>
          <w:numId w:val="23"/>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bookmarkEnd w:id="5"/>
    <w:p>
      <w:pPr>
        <w:pStyle w:val="72"/>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pPr>
        <w:pStyle w:val="72"/>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pPr>
        <w:pStyle w:val="76"/>
        <w:numPr>
          <w:ilvl w:val="0"/>
          <w:numId w:val="25"/>
        </w:numPr>
        <w:adjustRightInd w:val="0"/>
        <w:snapToGrid w:val="0"/>
        <w:rPr>
          <w:rFonts w:hAnsi="宋体" w:cs="宋体"/>
          <w:sz w:val="24"/>
          <w:szCs w:val="24"/>
        </w:rPr>
      </w:pPr>
      <w:r>
        <w:rPr>
          <w:rFonts w:hint="eastAsia" w:hAnsi="宋体" w:cs="宋体"/>
          <w:sz w:val="24"/>
          <w:szCs w:val="24"/>
          <w:highlight w:val="none"/>
        </w:rPr>
        <w:t>开标时间：202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3</w:t>
      </w:r>
      <w:r>
        <w:rPr>
          <w:rFonts w:hint="eastAsia" w:hAnsi="宋体" w:cs="宋体"/>
          <w:sz w:val="24"/>
          <w:szCs w:val="24"/>
          <w:highlight w:val="none"/>
        </w:rPr>
        <w:t>月</w:t>
      </w:r>
      <w:r>
        <w:rPr>
          <w:rFonts w:hint="eastAsia" w:hAnsi="宋体" w:cs="宋体"/>
          <w:sz w:val="24"/>
          <w:szCs w:val="24"/>
          <w:highlight w:val="none"/>
          <w:lang w:val="en-US" w:eastAsia="zh-CN"/>
        </w:rPr>
        <w:t>24</w:t>
      </w:r>
      <w:r>
        <w:rPr>
          <w:rFonts w:hint="eastAsia" w:hAnsi="宋体" w:cs="宋体"/>
          <w:sz w:val="24"/>
          <w:szCs w:val="24"/>
          <w:highlight w:val="none"/>
        </w:rPr>
        <w:t>日</w:t>
      </w:r>
      <w:r>
        <w:rPr>
          <w:rFonts w:hAnsi="宋体" w:cs="宋体"/>
          <w:sz w:val="24"/>
          <w:szCs w:val="24"/>
          <w:highlight w:val="none"/>
        </w:rPr>
        <w:t>9:00:00（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pPr>
        <w:pStyle w:val="76"/>
        <w:numPr>
          <w:ilvl w:val="0"/>
          <w:numId w:val="25"/>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pPr>
        <w:pStyle w:val="76"/>
        <w:numPr>
          <w:ilvl w:val="0"/>
          <w:numId w:val="25"/>
        </w:numPr>
        <w:adjustRightInd w:val="0"/>
        <w:snapToGrid w:val="0"/>
        <w:rPr>
          <w:rFonts w:hAnsi="宋体" w:cs="宋体"/>
          <w:color w:val="000000"/>
          <w:sz w:val="24"/>
          <w:szCs w:val="24"/>
          <w:highlight w:val="none"/>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w:t>
      </w:r>
      <w:r>
        <w:rPr>
          <w:rFonts w:hint="eastAsia" w:hAnsi="宋体" w:cs="宋体"/>
          <w:color w:val="000000"/>
          <w:sz w:val="24"/>
          <w:szCs w:val="24"/>
          <w:highlight w:val="none"/>
          <w:u w:val="single"/>
        </w:rPr>
        <w:t>知。</w:t>
      </w:r>
      <w:bookmarkStart w:id="20" w:name="_GoBack"/>
      <w:bookmarkEnd w:id="20"/>
    </w:p>
    <w:p>
      <w:pPr>
        <w:pStyle w:val="72"/>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highlight w:val="none"/>
        </w:rPr>
        <w:t>评标方法</w:t>
      </w:r>
      <w:r>
        <w:rPr>
          <w:rFonts w:hint="eastAsia" w:ascii="宋体" w:hAnsi="宋体" w:eastAsia="宋体" w:cs="黑体"/>
          <w:sz w:val="24"/>
          <w:szCs w:val="24"/>
          <w:highlight w:val="none"/>
        </w:rPr>
        <w:t>：合理最低价</w:t>
      </w:r>
      <w:r>
        <w:rPr>
          <w:rFonts w:hint="eastAsia" w:ascii="宋体" w:hAnsi="宋体" w:eastAsia="宋体" w:cs="黑体"/>
          <w:sz w:val="24"/>
          <w:szCs w:val="24"/>
          <w:highlight w:val="none"/>
          <w:u w:val="none"/>
        </w:rPr>
        <w:t>中标</w:t>
      </w:r>
      <w:r>
        <w:rPr>
          <w:rFonts w:hint="eastAsia" w:ascii="宋体" w:hAnsi="宋体" w:eastAsia="宋体"/>
          <w:color w:val="000000" w:themeColor="text1"/>
          <w:sz w:val="24"/>
          <w:szCs w:val="24"/>
          <w:highlight w:val="none"/>
          <w:u w:val="none"/>
          <w14:textFill>
            <w14:solidFill>
              <w14:schemeClr w14:val="tx1"/>
            </w14:solidFill>
          </w14:textFill>
        </w:rPr>
        <w:t>。</w:t>
      </w:r>
    </w:p>
    <w:p>
      <w:pPr>
        <w:pStyle w:val="72"/>
        <w:numPr>
          <w:ilvl w:val="0"/>
          <w:numId w:val="24"/>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0"/>
        <w:tblW w:w="963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35"/>
        <w:gridCol w:w="1310"/>
        <w:gridCol w:w="5829"/>
        <w:gridCol w:w="916"/>
        <w:gridCol w:w="84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序号</w:t>
            </w:r>
          </w:p>
        </w:tc>
        <w:tc>
          <w:tcPr>
            <w:tcW w:w="131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评审项目</w:t>
            </w:r>
          </w:p>
        </w:tc>
        <w:tc>
          <w:tcPr>
            <w:tcW w:w="58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评分标准</w:t>
            </w:r>
          </w:p>
        </w:tc>
        <w:tc>
          <w:tcPr>
            <w:tcW w:w="9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最高得分</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合计分数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60" w:hRule="atLeast"/>
        </w:trPr>
        <w:tc>
          <w:tcPr>
            <w:tcW w:w="7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31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技术方案</w:t>
            </w:r>
          </w:p>
        </w:tc>
        <w:tc>
          <w:tcPr>
            <w:tcW w:w="58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1.根据投标方技术方案中所列各项资质及监测指标、内容描述的全面性、准确性，以及监测指标不外包程度进行评价，按照0,5,10,15,20,25,30进行评分</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（注：废气监测相关指标不得外包，其余监测相关指标外包指标个数不超过5个）</w:t>
            </w:r>
          </w:p>
        </w:tc>
        <w:tc>
          <w:tcPr>
            <w:tcW w:w="9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45</w:t>
            </w:r>
          </w:p>
        </w:tc>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40" w:hRule="atLeast"/>
        </w:trPr>
        <w:tc>
          <w:tcPr>
            <w:tcW w:w="7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131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58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2.投标方提供的服务偏离情况，依据响应程度按照0,5,10,15进行评分</w:t>
            </w:r>
          </w:p>
        </w:tc>
        <w:tc>
          <w:tcPr>
            <w:tcW w:w="9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0" w:hRule="atLeast"/>
        </w:trPr>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131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项目业绩</w:t>
            </w:r>
          </w:p>
        </w:tc>
        <w:tc>
          <w:tcPr>
            <w:tcW w:w="58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投标人在2023年1月1日以来在重庆有与本标同类规格服务的业绩，以合同复印件加盖公章为准。提供1个得5分，满分为15分</w:t>
            </w:r>
          </w:p>
        </w:tc>
        <w:tc>
          <w:tcPr>
            <w:tcW w:w="9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15</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bottom"/>
          </w:tcPr>
          <w:p>
            <w:pP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80" w:hRule="atLeast"/>
        </w:trPr>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131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服务响应时间</w:t>
            </w:r>
          </w:p>
        </w:tc>
        <w:tc>
          <w:tcPr>
            <w:tcW w:w="58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优于或响应标书要求得15-20分，未响应标书要求但在可接受范围内得0-5分，未响应标书要求且不可接受得0分</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(注：服务响应时间指投标人在我方提前1个自然日提出当次监测通知或要求后按时按质量进行监测工作）。</w:t>
            </w:r>
          </w:p>
        </w:tc>
        <w:tc>
          <w:tcPr>
            <w:tcW w:w="9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bottom"/>
          </w:tcPr>
          <w:p>
            <w:pP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80" w:hRule="atLeast"/>
        </w:trPr>
        <w:tc>
          <w:tcPr>
            <w:tcW w:w="7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131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项目实施管理与质量保证</w:t>
            </w:r>
          </w:p>
        </w:tc>
        <w:tc>
          <w:tcPr>
            <w:tcW w:w="58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1、有项目管理保证方案，有切实可行的项目运营管理计划，针对本项目的难点和重点有详细阐述，对项目运营管理过程风险识别完全并有一套有效的应对措施。按照0,5,10进行评分</w:t>
            </w:r>
          </w:p>
        </w:tc>
        <w:tc>
          <w:tcPr>
            <w:tcW w:w="9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w:t>
            </w:r>
          </w:p>
        </w:tc>
        <w:tc>
          <w:tcPr>
            <w:tcW w:w="840" w:type="dxa"/>
            <w:vMerge w:val="restart"/>
            <w:tcBorders>
              <w:top w:val="single" w:color="000000" w:sz="4" w:space="0"/>
              <w:left w:val="single" w:color="000000" w:sz="4" w:space="0"/>
              <w:bottom w:val="single" w:color="000000" w:sz="4" w:space="0"/>
              <w:right w:val="single" w:color="000000" w:sz="4" w:space="0"/>
            </w:tcBorders>
            <w:shd w:val="clear" w:color="auto" w:fill="auto"/>
            <w:vAlign w:val="bottom"/>
          </w:tcPr>
          <w:p>
            <w:pPr>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7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131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583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2、有完善的风险管控体系，保障本环保监测项目按时按质量完成，有针对本项目重难点提出有效的保证措施，突出难点和亮点，能完全满足项目要求。按照0,5,10进行评分</w:t>
            </w:r>
          </w:p>
        </w:tc>
        <w:tc>
          <w:tcPr>
            <w:tcW w:w="9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840"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jc w:val="center"/>
              <w:rPr>
                <w:rFonts w:hint="eastAsia" w:ascii="宋体" w:hAnsi="宋体" w:eastAsia="宋体" w:cs="宋体"/>
                <w:i w:val="0"/>
                <w:iCs w:val="0"/>
                <w:color w:val="000000"/>
                <w:sz w:val="24"/>
                <w:szCs w:val="24"/>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15" w:hRule="atLeast"/>
        </w:trPr>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合计</w:t>
            </w:r>
          </w:p>
        </w:tc>
        <w:tc>
          <w:tcPr>
            <w:tcW w:w="714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4"/>
                <w:szCs w:val="24"/>
                <w:u w:val="none"/>
              </w:rPr>
            </w:pPr>
          </w:p>
        </w:tc>
        <w:tc>
          <w:tcPr>
            <w:tcW w:w="9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100</w:t>
            </w:r>
          </w:p>
        </w:tc>
        <w:tc>
          <w:tcPr>
            <w:tcW w:w="840" w:type="dxa"/>
            <w:tcBorders>
              <w:top w:val="single" w:color="000000" w:sz="4" w:space="0"/>
              <w:left w:val="single" w:color="000000" w:sz="4" w:space="0"/>
              <w:bottom w:val="single" w:color="000000" w:sz="4" w:space="0"/>
              <w:right w:val="single" w:color="000000" w:sz="4" w:space="0"/>
            </w:tcBorders>
            <w:shd w:val="clear" w:color="auto" w:fill="auto"/>
            <w:vAlign w:val="bottom"/>
          </w:tcPr>
          <w:p>
            <w:pPr>
              <w:jc w:val="center"/>
              <w:rPr>
                <w:rFonts w:hint="eastAsia" w:ascii="宋体" w:hAnsi="宋体" w:eastAsia="宋体" w:cs="宋体"/>
                <w:i w:val="0"/>
                <w:iCs w:val="0"/>
                <w:color w:val="000000"/>
                <w:sz w:val="24"/>
                <w:szCs w:val="24"/>
                <w:u w:val="none"/>
              </w:rPr>
            </w:pPr>
          </w:p>
        </w:tc>
      </w:tr>
    </w:tbl>
    <w:p>
      <w:pPr>
        <w:pStyle w:val="72"/>
        <w:numPr>
          <w:ilvl w:val="0"/>
          <w:numId w:val="0"/>
        </w:numPr>
        <w:adjustRightInd w:val="0"/>
        <w:snapToGrid w:val="0"/>
        <w:ind w:leftChars="0"/>
        <w:jc w:val="left"/>
        <w:outlineLvl w:val="9"/>
        <w:rPr>
          <w:rFonts w:ascii="宋体" w:hAnsi="宋体" w:eastAsia="宋体" w:cs="宋体"/>
          <w:b w:val="0"/>
          <w:bCs w:val="0"/>
          <w:sz w:val="24"/>
          <w:szCs w:val="24"/>
        </w:rPr>
      </w:pPr>
    </w:p>
    <w:p>
      <w:pPr>
        <w:pStyle w:val="72"/>
        <w:numPr>
          <w:ilvl w:val="0"/>
          <w:numId w:val="0"/>
        </w:numPr>
        <w:adjustRightInd w:val="0"/>
        <w:snapToGrid w:val="0"/>
        <w:ind w:leftChars="0"/>
        <w:jc w:val="left"/>
        <w:outlineLvl w:val="9"/>
        <w:rPr>
          <w:rFonts w:ascii="宋体" w:hAnsi="宋体" w:eastAsia="宋体" w:cs="黑体"/>
          <w:b w:val="0"/>
          <w:bCs w:val="0"/>
          <w:sz w:val="24"/>
          <w:szCs w:val="24"/>
        </w:rPr>
      </w:pPr>
    </w:p>
    <w:p>
      <w:pPr>
        <w:pStyle w:val="72"/>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pPr>
        <w:pStyle w:val="72"/>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pPr>
        <w:pStyle w:val="76"/>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pPr>
        <w:pStyle w:val="76"/>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pPr>
        <w:pStyle w:val="72"/>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pPr>
        <w:pStyle w:val="76"/>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pPr>
        <w:pStyle w:val="72"/>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pPr>
        <w:pStyle w:val="72"/>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pPr>
        <w:pStyle w:val="76"/>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pPr>
        <w:pStyle w:val="76"/>
        <w:numPr>
          <w:ilvl w:val="1"/>
          <w:numId w:val="28"/>
        </w:numPr>
        <w:adjustRightInd w:val="0"/>
        <w:snapToGrid w:val="0"/>
        <w:rPr>
          <w:rFonts w:hAnsi="宋体"/>
          <w:sz w:val="24"/>
          <w:szCs w:val="24"/>
        </w:rPr>
      </w:pPr>
      <w:r>
        <w:rPr>
          <w:rFonts w:hint="eastAsia" w:hAnsi="宋体"/>
          <w:sz w:val="24"/>
          <w:szCs w:val="24"/>
        </w:rPr>
        <w:t>投标人在报价有效期内撤回投标；</w:t>
      </w:r>
    </w:p>
    <w:p>
      <w:pPr>
        <w:pStyle w:val="76"/>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pPr>
        <w:pStyle w:val="76"/>
        <w:numPr>
          <w:ilvl w:val="1"/>
          <w:numId w:val="28"/>
        </w:numPr>
        <w:adjustRightInd w:val="0"/>
        <w:snapToGrid w:val="0"/>
        <w:rPr>
          <w:rFonts w:hAnsi="宋体"/>
          <w:sz w:val="24"/>
          <w:szCs w:val="24"/>
        </w:rPr>
      </w:pPr>
      <w:r>
        <w:rPr>
          <w:rFonts w:hint="eastAsia" w:hAnsi="宋体"/>
          <w:sz w:val="24"/>
          <w:szCs w:val="24"/>
        </w:rPr>
        <w:t>投标人以任何方式诋毁其他投标人；</w:t>
      </w:r>
    </w:p>
    <w:p>
      <w:pPr>
        <w:pStyle w:val="76"/>
        <w:numPr>
          <w:ilvl w:val="1"/>
          <w:numId w:val="28"/>
        </w:numPr>
        <w:adjustRightInd w:val="0"/>
        <w:snapToGrid w:val="0"/>
        <w:rPr>
          <w:rFonts w:hAnsi="宋体"/>
          <w:sz w:val="24"/>
          <w:szCs w:val="24"/>
        </w:rPr>
      </w:pPr>
      <w:r>
        <w:rPr>
          <w:rFonts w:hint="eastAsia" w:hAnsi="宋体"/>
          <w:sz w:val="24"/>
          <w:szCs w:val="24"/>
        </w:rPr>
        <w:t>投标人串通投标；</w:t>
      </w:r>
    </w:p>
    <w:p>
      <w:pPr>
        <w:pStyle w:val="76"/>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pPr>
        <w:pStyle w:val="76"/>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pPr>
        <w:pStyle w:val="76"/>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pPr>
        <w:pStyle w:val="76"/>
        <w:numPr>
          <w:ilvl w:val="1"/>
          <w:numId w:val="28"/>
        </w:numPr>
        <w:adjustRightInd w:val="0"/>
        <w:snapToGrid w:val="0"/>
        <w:rPr>
          <w:rFonts w:hAnsi="宋体"/>
          <w:sz w:val="24"/>
          <w:szCs w:val="24"/>
        </w:rPr>
      </w:pPr>
      <w:r>
        <w:rPr>
          <w:rFonts w:hint="eastAsia" w:hAnsi="宋体"/>
          <w:sz w:val="24"/>
          <w:szCs w:val="24"/>
        </w:rPr>
        <w:t>有效投标不足三家；</w:t>
      </w:r>
    </w:p>
    <w:p>
      <w:pPr>
        <w:pStyle w:val="76"/>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pPr>
        <w:pStyle w:val="76"/>
        <w:numPr>
          <w:ilvl w:val="1"/>
          <w:numId w:val="28"/>
        </w:numPr>
        <w:adjustRightInd w:val="0"/>
        <w:snapToGrid w:val="0"/>
        <w:rPr>
          <w:rFonts w:hAnsi="宋体"/>
          <w:sz w:val="24"/>
          <w:szCs w:val="24"/>
        </w:rPr>
      </w:pPr>
      <w:r>
        <w:rPr>
          <w:rFonts w:hint="eastAsia" w:hAnsi="宋体"/>
          <w:sz w:val="24"/>
          <w:szCs w:val="24"/>
        </w:rPr>
        <w:t>投标人报价均超过最高限价的；</w:t>
      </w:r>
    </w:p>
    <w:p>
      <w:pPr>
        <w:pStyle w:val="76"/>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pPr>
        <w:pStyle w:val="76"/>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pPr>
        <w:pStyle w:val="76"/>
        <w:numPr>
          <w:ilvl w:val="1"/>
          <w:numId w:val="28"/>
        </w:numPr>
        <w:adjustRightInd w:val="0"/>
        <w:snapToGrid w:val="0"/>
        <w:rPr>
          <w:rFonts w:hAnsi="宋体"/>
          <w:sz w:val="24"/>
          <w:szCs w:val="24"/>
        </w:rPr>
      </w:pPr>
      <w:r>
        <w:rPr>
          <w:rFonts w:hint="eastAsia" w:hAnsi="宋体"/>
          <w:sz w:val="24"/>
          <w:szCs w:val="24"/>
        </w:rPr>
        <w:t>法律、法规规定的其他情况。</w:t>
      </w:r>
    </w:p>
    <w:p>
      <w:pPr>
        <w:pStyle w:val="72"/>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9"/>
      <w:bookmarkStart w:id="7" w:name="OLE_LINK28"/>
      <w:bookmarkStart w:id="8" w:name="OLE_LINK27"/>
      <w:bookmarkStart w:id="9" w:name="OLE_LINK26"/>
      <w:bookmarkStart w:id="10" w:name="OLE_LINK25"/>
      <w:r>
        <w:rPr>
          <w:rFonts w:hint="eastAsia" w:ascii="宋体" w:hAnsi="宋体" w:cs="宋体"/>
          <w:sz w:val="24"/>
          <w:szCs w:val="24"/>
        </w:rPr>
        <w:t>；</w:t>
      </w:r>
      <w:bookmarkEnd w:id="6"/>
      <w:bookmarkEnd w:id="7"/>
      <w:bookmarkEnd w:id="8"/>
      <w:bookmarkEnd w:id="9"/>
      <w:bookmarkEnd w:id="10"/>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pPr>
        <w:pStyle w:val="72"/>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pPr>
        <w:pStyle w:val="72"/>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pPr>
        <w:pStyle w:val="72"/>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pPr>
        <w:pStyle w:val="76"/>
        <w:numPr>
          <w:ilvl w:val="0"/>
          <w:numId w:val="31"/>
        </w:numPr>
        <w:adjustRightInd w:val="0"/>
        <w:snapToGrid w:val="0"/>
        <w:rPr>
          <w:rFonts w:hAnsi="宋体"/>
          <w:sz w:val="24"/>
          <w:szCs w:val="24"/>
        </w:rPr>
      </w:pPr>
      <w:r>
        <w:rPr>
          <w:rFonts w:hint="eastAsia" w:hAnsi="宋体"/>
          <w:sz w:val="24"/>
          <w:szCs w:val="24"/>
        </w:rPr>
        <w:t>付款方式</w:t>
      </w:r>
      <w:r>
        <w:rPr>
          <w:rFonts w:hint="eastAsia" w:ascii="宋体" w:hAnsi="宋体" w:eastAsia="宋体" w:cs="Times New Roman"/>
          <w:sz w:val="24"/>
          <w:szCs w:val="24"/>
        </w:rPr>
        <w:t>：</w:t>
      </w:r>
      <w:r>
        <w:rPr>
          <w:rFonts w:hint="eastAsia" w:ascii="宋体" w:hAnsi="宋体" w:eastAsia="宋体" w:cs="Times New Roman"/>
          <w:sz w:val="24"/>
          <w:szCs w:val="24"/>
          <w:lang w:val="en-US"/>
        </w:rPr>
        <w:t>半年期商业汇票（包括银行承兑汇票和商业承兑汇票）</w:t>
      </w:r>
      <w:r>
        <w:rPr>
          <w:rFonts w:hint="eastAsia" w:ascii="宋体" w:hAnsi="宋体" w:eastAsia="宋体" w:cs="Times New Roman"/>
          <w:sz w:val="24"/>
          <w:szCs w:val="24"/>
        </w:rPr>
        <w:t>；</w:t>
      </w:r>
    </w:p>
    <w:p>
      <w:pPr>
        <w:pStyle w:val="76"/>
        <w:numPr>
          <w:ilvl w:val="0"/>
          <w:numId w:val="31"/>
        </w:numPr>
        <w:adjustRightInd w:val="0"/>
        <w:snapToGrid w:val="0"/>
        <w:rPr>
          <w:rFonts w:hint="eastAsia" w:ascii="宋体" w:hAnsi="宋体" w:eastAsia="宋体" w:cs="Times New Roman"/>
          <w:sz w:val="24"/>
          <w:szCs w:val="24"/>
        </w:rPr>
      </w:pPr>
      <w:r>
        <w:rPr>
          <w:rFonts w:hint="eastAsia" w:hAnsi="宋体"/>
          <w:sz w:val="24"/>
          <w:szCs w:val="24"/>
        </w:rPr>
        <w:t>付款节</w:t>
      </w:r>
      <w:r>
        <w:rPr>
          <w:rFonts w:hint="eastAsia" w:ascii="宋体" w:hAnsi="宋体" w:eastAsia="宋体" w:cs="Times New Roman"/>
          <w:sz w:val="24"/>
          <w:szCs w:val="24"/>
        </w:rPr>
        <w:t>点：</w:t>
      </w:r>
      <w:r>
        <w:rPr>
          <w:rFonts w:hint="eastAsia" w:ascii="宋体" w:hAnsi="宋体" w:eastAsia="宋体" w:cs="Times New Roman"/>
          <w:sz w:val="24"/>
          <w:szCs w:val="24"/>
          <w:lang w:val="en-US"/>
        </w:rPr>
        <w:t>每季度结算一次，每季度环保监测工作结束后，招标人次月组织验收，验收合格后通知中标方开具有效增值税发票到招标人财务挂账，挂账后次月付款。</w:t>
      </w:r>
    </w:p>
    <w:p>
      <w:pPr>
        <w:pStyle w:val="76"/>
        <w:adjustRightInd w:val="0"/>
        <w:snapToGrid w:val="0"/>
        <w:rPr>
          <w:rFonts w:hAnsi="宋体"/>
          <w:b/>
          <w:bCs/>
          <w:sz w:val="24"/>
          <w:szCs w:val="24"/>
        </w:rPr>
      </w:pPr>
      <w:r>
        <w:rPr>
          <w:rFonts w:hint="eastAsia" w:hAnsi="宋体"/>
          <w:b/>
          <w:bCs/>
          <w:sz w:val="24"/>
          <w:szCs w:val="24"/>
        </w:rPr>
        <w:t>付款方式及节点不允许偏离。</w:t>
      </w:r>
    </w:p>
    <w:p>
      <w:pPr>
        <w:pStyle w:val="72"/>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1" w:name="_Toc47976607"/>
    </w:p>
    <w:p>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pPr>
        <w:pStyle w:val="71"/>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1"/>
      <w:r>
        <w:rPr>
          <w:rFonts w:hint="eastAsia" w:ascii="宋体" w:hAnsi="宋体" w:eastAsia="宋体"/>
          <w:sz w:val="24"/>
          <w:szCs w:val="24"/>
        </w:rPr>
        <w:t>技术标书</w:t>
      </w:r>
      <w:bookmarkEnd w:id="12"/>
    </w:p>
    <w:p>
      <w:pPr>
        <w:adjustRightInd w:val="0"/>
        <w:snapToGrid w:val="0"/>
        <w:spacing w:line="360" w:lineRule="auto"/>
        <w:jc w:val="center"/>
        <w:rPr>
          <w:rFonts w:ascii="宋体" w:hAnsi="宋体"/>
          <w:sz w:val="24"/>
          <w:szCs w:val="24"/>
        </w:rPr>
      </w:pPr>
      <w:r>
        <w:rPr>
          <w:rFonts w:hint="eastAsia" w:ascii="宋体" w:hAnsi="宋体"/>
          <w:sz w:val="24"/>
          <w:szCs w:val="24"/>
          <w:lang w:val="en-US" w:eastAsia="zh-CN"/>
        </w:rPr>
        <w:t>2026年环保监测</w:t>
      </w:r>
      <w:r>
        <w:rPr>
          <w:rFonts w:hint="eastAsia" w:ascii="宋体" w:hAnsi="宋体"/>
          <w:sz w:val="24"/>
          <w:szCs w:val="24"/>
        </w:rPr>
        <w:t>项目技术要求</w:t>
      </w:r>
    </w:p>
    <w:p>
      <w:pPr>
        <w:snapToGrid w:val="0"/>
        <w:spacing w:line="360" w:lineRule="auto"/>
        <w:ind w:firstLine="482" w:firstLineChars="200"/>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一、目标</w:t>
      </w:r>
    </w:p>
    <w:p>
      <w:pPr>
        <w:pStyle w:val="2"/>
        <w:spacing w:line="360" w:lineRule="auto"/>
        <w:ind w:firstLine="480" w:firstLineChars="200"/>
        <w:jc w:val="both"/>
        <w:rPr>
          <w:rFonts w:hint="eastAsia" w:ascii="宋体" w:hAnsi="宋体" w:eastAsia="宋体" w:cs="仿宋_GB2312"/>
          <w:bCs/>
          <w:sz w:val="24"/>
          <w:szCs w:val="24"/>
          <w:lang w:val="en-US" w:eastAsia="zh-CN"/>
        </w:rPr>
      </w:pPr>
      <w:r>
        <w:rPr>
          <w:rFonts w:hint="eastAsia" w:ascii="宋体" w:hAnsi="宋体" w:cs="仿宋_GB2312"/>
          <w:bCs/>
          <w:sz w:val="24"/>
          <w:szCs w:val="24"/>
        </w:rPr>
        <w:t>本</w:t>
      </w:r>
      <w:r>
        <w:rPr>
          <w:rFonts w:hint="eastAsia" w:ascii="宋体" w:hAnsi="宋体" w:eastAsia="宋体" w:cs="仿宋_GB2312"/>
          <w:bCs/>
          <w:sz w:val="24"/>
          <w:szCs w:val="24"/>
          <w:lang w:val="en-US" w:eastAsia="zh-CN"/>
        </w:rPr>
        <w:t>为了公司生产过程排放废气能进行正常的废气监测和监测数据发布，根据公司排污许可要求，编制本技术标要求。</w:t>
      </w:r>
    </w:p>
    <w:p>
      <w:pPr>
        <w:numPr>
          <w:ilvl w:val="0"/>
          <w:numId w:val="32"/>
        </w:numPr>
        <w:snapToGrid w:val="0"/>
        <w:spacing w:line="360" w:lineRule="auto"/>
        <w:ind w:firstLine="482" w:firstLineChars="200"/>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项目简介</w:t>
      </w:r>
    </w:p>
    <w:p>
      <w:pPr>
        <w:pStyle w:val="2"/>
        <w:spacing w:line="360" w:lineRule="auto"/>
        <w:ind w:firstLine="480" w:firstLineChars="200"/>
        <w:jc w:val="both"/>
        <w:rPr>
          <w:rFonts w:hint="eastAsia" w:ascii="宋体" w:hAnsi="宋体" w:eastAsia="宋体" w:cs="仿宋_GB2312"/>
          <w:bCs/>
          <w:sz w:val="24"/>
          <w:szCs w:val="24"/>
          <w:lang w:val="en-US" w:eastAsia="zh-CN"/>
        </w:rPr>
      </w:pPr>
      <w:r>
        <w:rPr>
          <w:rFonts w:hint="eastAsia" w:ascii="宋体" w:hAnsi="宋体" w:eastAsia="宋体" w:cs="仿宋_GB2312"/>
          <w:bCs/>
          <w:sz w:val="24"/>
          <w:szCs w:val="24"/>
          <w:lang w:val="en-US" w:eastAsia="zh-CN"/>
        </w:rPr>
        <w:t>按照公司排污许可证管理要求，重庆汽车公司要开展废水、废气、噪声等环保监测，具体内容见表1。</w:t>
      </w:r>
    </w:p>
    <w:p>
      <w:pPr>
        <w:pStyle w:val="2"/>
        <w:numPr>
          <w:ilvl w:val="0"/>
          <w:numId w:val="0"/>
        </w:numPr>
        <w:spacing w:line="360" w:lineRule="auto"/>
        <w:ind w:firstLine="480" w:firstLineChars="200"/>
        <w:jc w:val="left"/>
        <w:rPr>
          <w:rFonts w:hint="eastAsia" w:hAnsi="宋体"/>
          <w:b w:val="0"/>
          <w:bCs w:val="0"/>
          <w:sz w:val="24"/>
          <w:szCs w:val="24"/>
          <w:highlight w:val="none"/>
          <w:lang w:val="en-US" w:eastAsia="zh-CN"/>
        </w:rPr>
      </w:pPr>
      <w:r>
        <w:rPr>
          <w:rFonts w:hint="eastAsia" w:hAnsi="宋体"/>
          <w:b w:val="0"/>
          <w:bCs w:val="0"/>
          <w:sz w:val="24"/>
          <w:szCs w:val="24"/>
          <w:highlight w:val="none"/>
          <w:lang w:val="en-US" w:eastAsia="zh-CN"/>
        </w:rPr>
        <w:t>表1-2026年环保监测项目内容一览表</w:t>
      </w:r>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8"/>
        <w:gridCol w:w="920"/>
        <w:gridCol w:w="1143"/>
        <w:gridCol w:w="1982"/>
        <w:gridCol w:w="1139"/>
        <w:gridCol w:w="672"/>
        <w:gridCol w:w="1327"/>
        <w:gridCol w:w="1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1" w:hRule="atLeast"/>
        </w:trPr>
        <w:tc>
          <w:tcPr>
            <w:tcW w:w="598" w:type="dxa"/>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序号</w:t>
            </w:r>
          </w:p>
        </w:tc>
        <w:tc>
          <w:tcPr>
            <w:tcW w:w="920" w:type="dxa"/>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排气口编号</w:t>
            </w:r>
          </w:p>
        </w:tc>
        <w:tc>
          <w:tcPr>
            <w:tcW w:w="1143" w:type="dxa"/>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排放口名称</w:t>
            </w:r>
          </w:p>
        </w:tc>
        <w:tc>
          <w:tcPr>
            <w:tcW w:w="1982" w:type="dxa"/>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cs="宋体"/>
                <w:b w:val="0"/>
                <w:bCs w:val="0"/>
                <w:i w:val="0"/>
                <w:iCs w:val="0"/>
                <w:color w:val="000000"/>
                <w:kern w:val="0"/>
                <w:sz w:val="22"/>
                <w:szCs w:val="22"/>
                <w:highlight w:val="none"/>
                <w:u w:val="none"/>
                <w:lang w:val="en-US" w:eastAsia="zh-CN" w:bidi="ar"/>
              </w:rPr>
              <w:t>排放口监测因子</w:t>
            </w:r>
          </w:p>
        </w:tc>
        <w:tc>
          <w:tcPr>
            <w:tcW w:w="1139" w:type="dxa"/>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cs="宋体"/>
                <w:b w:val="0"/>
                <w:bCs w:val="0"/>
                <w:i w:val="0"/>
                <w:iCs w:val="0"/>
                <w:color w:val="000000"/>
                <w:kern w:val="0"/>
                <w:sz w:val="22"/>
                <w:szCs w:val="22"/>
                <w:highlight w:val="none"/>
                <w:u w:val="none"/>
                <w:lang w:val="en-US" w:eastAsia="zh-CN" w:bidi="ar"/>
              </w:rPr>
              <w:t>监测因子相关</w:t>
            </w:r>
            <w:r>
              <w:rPr>
                <w:rFonts w:hint="eastAsia" w:ascii="宋体" w:hAnsi="宋体" w:eastAsia="宋体" w:cs="宋体"/>
                <w:b w:val="0"/>
                <w:bCs w:val="0"/>
                <w:i w:val="0"/>
                <w:iCs w:val="0"/>
                <w:color w:val="000000"/>
                <w:kern w:val="0"/>
                <w:sz w:val="22"/>
                <w:szCs w:val="22"/>
                <w:highlight w:val="none"/>
                <w:u w:val="none"/>
                <w:lang w:val="en-US" w:eastAsia="zh-CN" w:bidi="ar"/>
              </w:rPr>
              <w:t>具体参数</w:t>
            </w:r>
            <w:r>
              <w:rPr>
                <w:rFonts w:hint="eastAsia" w:ascii="宋体" w:hAnsi="宋体" w:eastAsia="宋体" w:cs="宋体"/>
                <w:b w:val="0"/>
                <w:bCs w:val="0"/>
                <w:i w:val="0"/>
                <w:iCs w:val="0"/>
                <w:color w:val="000000"/>
                <w:kern w:val="0"/>
                <w:sz w:val="22"/>
                <w:szCs w:val="22"/>
                <w:highlight w:val="none"/>
                <w:u w:val="none"/>
                <w:lang w:val="en-US" w:eastAsia="zh-CN" w:bidi="ar"/>
              </w:rPr>
              <w:br w:type="textWrapping"/>
            </w:r>
          </w:p>
        </w:tc>
        <w:tc>
          <w:tcPr>
            <w:tcW w:w="672" w:type="dxa"/>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监测方法</w:t>
            </w:r>
          </w:p>
        </w:tc>
        <w:tc>
          <w:tcPr>
            <w:tcW w:w="1327" w:type="dxa"/>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cs="宋体"/>
                <w:b w:val="0"/>
                <w:bCs w:val="0"/>
                <w:i w:val="0"/>
                <w:iCs w:val="0"/>
                <w:color w:val="000000"/>
                <w:kern w:val="0"/>
                <w:sz w:val="22"/>
                <w:szCs w:val="22"/>
                <w:highlight w:val="none"/>
                <w:u w:val="none"/>
                <w:lang w:val="en-US" w:eastAsia="zh-CN" w:bidi="ar"/>
              </w:rPr>
              <w:t>最低</w:t>
            </w:r>
            <w:r>
              <w:rPr>
                <w:rFonts w:hint="eastAsia" w:ascii="宋体" w:hAnsi="宋体" w:eastAsia="宋体" w:cs="宋体"/>
                <w:b w:val="0"/>
                <w:bCs w:val="0"/>
                <w:i w:val="0"/>
                <w:iCs w:val="0"/>
                <w:color w:val="000000"/>
                <w:kern w:val="0"/>
                <w:sz w:val="22"/>
                <w:szCs w:val="22"/>
                <w:highlight w:val="none"/>
                <w:u w:val="none"/>
                <w:lang w:val="en-US" w:eastAsia="zh-CN" w:bidi="ar"/>
              </w:rPr>
              <w:t>监测频次</w:t>
            </w:r>
          </w:p>
        </w:tc>
        <w:tc>
          <w:tcPr>
            <w:tcW w:w="1505" w:type="dxa"/>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DA002</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电泳废气排放口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烟气量、烟气流速、烟气压力、烟气含湿量、烟气温度、氧含量、烟道截面积</w:t>
            </w: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2</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VOCs</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3</w:t>
            </w:r>
          </w:p>
        </w:tc>
        <w:tc>
          <w:tcPr>
            <w:tcW w:w="495"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DA003</w:t>
            </w:r>
          </w:p>
        </w:tc>
        <w:tc>
          <w:tcPr>
            <w:tcW w:w="615"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涂装打磨废气排放口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TSP</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4</w:t>
            </w:r>
          </w:p>
        </w:tc>
        <w:tc>
          <w:tcPr>
            <w:tcW w:w="495"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DA004</w:t>
            </w:r>
          </w:p>
        </w:tc>
        <w:tc>
          <w:tcPr>
            <w:tcW w:w="615"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总装打胶废气排放口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5</w:t>
            </w:r>
          </w:p>
        </w:tc>
        <w:tc>
          <w:tcPr>
            <w:tcW w:w="495"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DA005</w:t>
            </w:r>
          </w:p>
        </w:tc>
        <w:tc>
          <w:tcPr>
            <w:tcW w:w="615"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焊接废气排放口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TSP</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6</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DA006</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喷涂废气排放口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臭气浓度</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7</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甲苯和二甲苯合计</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8</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苯系物</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9</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10</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VOCs</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11</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SO2</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12</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NOx</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13</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TSP</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14</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DA007</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危废间暂存废气排放口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15</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臭气浓度</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16</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DA008</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中涂烘干天然气燃烧废气排放口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SO2</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17</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NOx</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18</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TSP</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19</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林格曼黑度</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20</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DA009</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面漆清漆烘干天然气燃烧废气排放口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SO2</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21</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NOx</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22</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TSP</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23</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林格曼黑度</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24</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DA010</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总装轮毂试验检测废气排放口1</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NOx</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25</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26</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TSP</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27</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DA011</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总装轮毂试验检测废气排放口2</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NOx</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28</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29</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TSP</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30</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DA012</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调漆废气排放口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甲苯和二甲苯合计</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31</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苯系物</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32</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33</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VOCs</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34</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DA013</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废溶剂暂存废气排放口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甲苯和二甲苯合计</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35</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苯系物</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36</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37</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VOCs</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38</w:t>
            </w:r>
          </w:p>
        </w:tc>
        <w:tc>
          <w:tcPr>
            <w:tcW w:w="495"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DA014</w:t>
            </w:r>
          </w:p>
        </w:tc>
        <w:tc>
          <w:tcPr>
            <w:tcW w:w="615"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总装油品加注废气排放口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39</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DA015</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总装下线检测废气排放口1</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NOx</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40</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41</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TSP</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42</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DA016</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总装下线检测废气排放口2</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NOx</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43</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44</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TSP</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45</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DA017</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涂装点补废气排放口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TSP</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46</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甲苯和二甲苯合计</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47</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苯系物</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48</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49</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VOCs</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50</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DA018</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总装点补废气排放口1</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TSP</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51</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甲苯和二甲苯合计</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52</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苯系物</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53</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54</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VOCs</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55</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DA019</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总装点补废气排放口2</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TSP</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56</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甲苯和二甲苯合计</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57</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苯系物</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58</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59</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VOCs</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60</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DA020</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电泳烘干废气排放口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61</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VOCs</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62</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SO2</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63</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NOx</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64</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TSP</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65</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DA021</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中涂烘干废气排放口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甲苯和二甲苯合计</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66</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苯系物</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67</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68</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VOCs</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69</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SO2</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70</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NOx</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71</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TSP</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72</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DA022</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面漆清漆烘干废气排放口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甲苯和二甲苯合计</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73</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苯系物</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74</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75</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VOCs</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76</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SO2</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77</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NOx</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78</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TSP</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79</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DA023</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电泳烘干天然气燃烧废气排放口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SO2</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80</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NOx</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81</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TSP</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82</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林格曼黑度</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83</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DA027</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锅炉天然气燃烧废气排放口1</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SO2</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84</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NOx</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85</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TSP</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86</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林格曼黑度</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87</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DA028</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锅炉天然气燃烧废气排放口2</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SO2</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88</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NOx</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89</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TSP</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90</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林格曼黑度</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91</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DA029</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锅炉天然气燃烧废气排放口3</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SO2</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92</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NOx</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93</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TSP</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94</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林格曼黑度</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95</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DA030</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空腔注蜡废气排放口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96</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VOCs</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97</w:t>
            </w:r>
          </w:p>
        </w:tc>
        <w:tc>
          <w:tcPr>
            <w:tcW w:w="495"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DA031</w:t>
            </w:r>
          </w:p>
        </w:tc>
        <w:tc>
          <w:tcPr>
            <w:tcW w:w="615"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总装二线柴油加注废气排放口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98</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DA032</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总装二线下线检测废气排放口1</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NOx</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99</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100</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TSP</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101</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DA033</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总装二线下线检测废气排放口2</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NOx</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102</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103</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TSP</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104</w:t>
            </w:r>
          </w:p>
        </w:tc>
        <w:tc>
          <w:tcPr>
            <w:tcW w:w="1110" w:type="pct"/>
            <w:gridSpan w:val="2"/>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厂界</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甲苯</w:t>
            </w:r>
          </w:p>
        </w:tc>
        <w:tc>
          <w:tcPr>
            <w:tcW w:w="613"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温度、气压、风速、风向</w:t>
            </w: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105</w:t>
            </w:r>
          </w:p>
        </w:tc>
        <w:tc>
          <w:tcPr>
            <w:tcW w:w="1110" w:type="pct"/>
            <w:gridSpan w:val="2"/>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二甲苯</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106</w:t>
            </w:r>
          </w:p>
        </w:tc>
        <w:tc>
          <w:tcPr>
            <w:tcW w:w="1110" w:type="pct"/>
            <w:gridSpan w:val="2"/>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VOCs</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107</w:t>
            </w:r>
          </w:p>
        </w:tc>
        <w:tc>
          <w:tcPr>
            <w:tcW w:w="1110" w:type="pct"/>
            <w:gridSpan w:val="2"/>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颗粒物</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108</w:t>
            </w:r>
          </w:p>
        </w:tc>
        <w:tc>
          <w:tcPr>
            <w:tcW w:w="1110" w:type="pct"/>
            <w:gridSpan w:val="2"/>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1次/半年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109</w:t>
            </w:r>
          </w:p>
        </w:tc>
        <w:tc>
          <w:tcPr>
            <w:tcW w:w="1110" w:type="pct"/>
            <w:gridSpan w:val="2"/>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苯系物</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110</w:t>
            </w:r>
          </w:p>
        </w:tc>
        <w:tc>
          <w:tcPr>
            <w:tcW w:w="1110" w:type="pct"/>
            <w:gridSpan w:val="2"/>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敏感目标-津福花园</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非甲烷总烃</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111</w:t>
            </w:r>
          </w:p>
        </w:tc>
        <w:tc>
          <w:tcPr>
            <w:tcW w:w="1110" w:type="pct"/>
            <w:gridSpan w:val="2"/>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VOCs</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112</w:t>
            </w:r>
          </w:p>
        </w:tc>
        <w:tc>
          <w:tcPr>
            <w:tcW w:w="1110" w:type="pct"/>
            <w:gridSpan w:val="2"/>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甲苯</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113</w:t>
            </w:r>
          </w:p>
        </w:tc>
        <w:tc>
          <w:tcPr>
            <w:tcW w:w="1110" w:type="pct"/>
            <w:gridSpan w:val="2"/>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颗粒物</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114</w:t>
            </w:r>
          </w:p>
        </w:tc>
        <w:tc>
          <w:tcPr>
            <w:tcW w:w="1110" w:type="pct"/>
            <w:gridSpan w:val="2"/>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二甲苯</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115</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DW001</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总排口污水排放口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悬浮物</w:t>
            </w:r>
          </w:p>
        </w:tc>
        <w:tc>
          <w:tcPr>
            <w:tcW w:w="613"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水温流量</w:t>
            </w: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116</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五日生化需氧量</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117</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阴离子表面活性剂</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118</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总锌</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119</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总锰</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120</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氟化物（以F-计）</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121</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总氮</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122</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石油类</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123</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动植物油</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124</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DW003</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雨水总排放口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悬浮物</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125</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pH</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126</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COD</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127</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DW001</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总排口污水排放口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水温</w:t>
            </w:r>
          </w:p>
        </w:tc>
        <w:tc>
          <w:tcPr>
            <w:tcW w:w="613"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比对监测，符合比对监测相关规范要求</w:t>
            </w: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128</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流量</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129</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pH值</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130</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COD</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131</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氨氮</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132</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磷酸盐</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133</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DW002</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含镍废水排放口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流量</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134</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总镍</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1次/月</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135</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DA006</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喷涂废气排放口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流速</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136</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温度</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137</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湿度</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default" w:ascii="宋体" w:hAnsi="宋体" w:eastAsia="宋体" w:cs="宋体"/>
                <w:b w:val="0"/>
                <w:bCs w:val="0"/>
                <w:i w:val="0"/>
                <w:iCs w:val="0"/>
                <w:color w:val="000000"/>
                <w:kern w:val="2"/>
                <w:sz w:val="22"/>
                <w:szCs w:val="22"/>
                <w:highlight w:val="none"/>
                <w:u w:val="none"/>
                <w:lang w:val="en-US" w:eastAsia="zh-CN" w:bidi="ar-SA"/>
              </w:rPr>
            </w:pPr>
            <w:r>
              <w:rPr>
                <w:rFonts w:hint="eastAsia" w:ascii="宋体" w:hAnsi="宋体" w:eastAsia="宋体" w:cs="宋体"/>
                <w:b w:val="0"/>
                <w:bCs w:val="0"/>
                <w:i w:val="0"/>
                <w:iCs w:val="0"/>
                <w:color w:val="000000"/>
                <w:kern w:val="0"/>
                <w:sz w:val="22"/>
                <w:szCs w:val="22"/>
                <w:highlight w:val="none"/>
                <w:u w:val="none"/>
                <w:lang w:val="en-US" w:eastAsia="zh-CN" w:bidi="ar"/>
              </w:rPr>
              <w:t>1</w:t>
            </w:r>
            <w:r>
              <w:rPr>
                <w:rFonts w:hint="eastAsia" w:ascii="宋体" w:hAnsi="宋体" w:cs="宋体"/>
                <w:b w:val="0"/>
                <w:bCs w:val="0"/>
                <w:i w:val="0"/>
                <w:iCs w:val="0"/>
                <w:color w:val="000000"/>
                <w:kern w:val="0"/>
                <w:sz w:val="22"/>
                <w:szCs w:val="22"/>
                <w:highlight w:val="none"/>
                <w:u w:val="none"/>
                <w:lang w:val="en-US" w:eastAsia="zh-CN" w:bidi="ar"/>
              </w:rPr>
              <w:t>38</w:t>
            </w:r>
          </w:p>
        </w:tc>
        <w:tc>
          <w:tcPr>
            <w:tcW w:w="1110" w:type="pct"/>
            <w:gridSpan w:val="2"/>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厂界噪声</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噪声</w:t>
            </w:r>
          </w:p>
        </w:tc>
        <w:tc>
          <w:tcPr>
            <w:tcW w:w="613"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w:t>
            </w: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default" w:ascii="宋体" w:hAnsi="宋体" w:eastAsia="宋体" w:cs="宋体"/>
                <w:b w:val="0"/>
                <w:bCs w:val="0"/>
                <w:i w:val="0"/>
                <w:iCs w:val="0"/>
                <w:color w:val="000000"/>
                <w:sz w:val="22"/>
                <w:szCs w:val="22"/>
                <w:highlight w:val="none"/>
                <w:u w:val="none"/>
                <w:lang w:val="en-US"/>
              </w:rPr>
            </w:pPr>
            <w:r>
              <w:rPr>
                <w:rFonts w:hint="eastAsia" w:ascii="宋体" w:hAnsi="宋体" w:eastAsia="宋体" w:cs="宋体"/>
                <w:b w:val="0"/>
                <w:bCs w:val="0"/>
                <w:i w:val="0"/>
                <w:iCs w:val="0"/>
                <w:color w:val="000000"/>
                <w:kern w:val="0"/>
                <w:sz w:val="22"/>
                <w:szCs w:val="22"/>
                <w:highlight w:val="none"/>
                <w:u w:val="none"/>
                <w:lang w:val="en-US" w:eastAsia="zh-CN" w:bidi="ar"/>
              </w:rPr>
              <w:t>1</w:t>
            </w:r>
            <w:r>
              <w:rPr>
                <w:rFonts w:hint="eastAsia" w:ascii="宋体" w:hAnsi="宋体" w:cs="宋体"/>
                <w:b w:val="0"/>
                <w:bCs w:val="0"/>
                <w:i w:val="0"/>
                <w:iCs w:val="0"/>
                <w:color w:val="000000"/>
                <w:kern w:val="0"/>
                <w:sz w:val="22"/>
                <w:szCs w:val="22"/>
                <w:highlight w:val="none"/>
                <w:u w:val="none"/>
                <w:lang w:val="en-US" w:eastAsia="zh-CN" w:bidi="ar"/>
              </w:rPr>
              <w:t>39</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DA006</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喷涂废气排放口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流速</w:t>
            </w:r>
          </w:p>
        </w:tc>
        <w:tc>
          <w:tcPr>
            <w:tcW w:w="613"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配合自动监测设备运维人员进行3天连续监测</w:t>
            </w: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在自动监测设备需要进行流速CMS的速度场系统的校正时进行连续3天监测。</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14</w:t>
            </w:r>
            <w:r>
              <w:rPr>
                <w:rFonts w:hint="eastAsia" w:ascii="宋体" w:hAnsi="宋体" w:cs="宋体"/>
                <w:b w:val="0"/>
                <w:bCs w:val="0"/>
                <w:i w:val="0"/>
                <w:iCs w:val="0"/>
                <w:color w:val="000000"/>
                <w:kern w:val="0"/>
                <w:sz w:val="22"/>
                <w:szCs w:val="22"/>
                <w:highlight w:val="none"/>
                <w:u w:val="none"/>
                <w:lang w:val="en-US" w:eastAsia="zh-CN" w:bidi="ar"/>
              </w:rPr>
              <w:t>0</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温度</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14</w:t>
            </w:r>
            <w:r>
              <w:rPr>
                <w:rFonts w:hint="eastAsia" w:ascii="宋体" w:hAnsi="宋体" w:cs="宋体"/>
                <w:b w:val="0"/>
                <w:bCs w:val="0"/>
                <w:i w:val="0"/>
                <w:iCs w:val="0"/>
                <w:color w:val="000000"/>
                <w:kern w:val="0"/>
                <w:sz w:val="22"/>
                <w:szCs w:val="22"/>
                <w:highlight w:val="none"/>
                <w:u w:val="none"/>
                <w:lang w:val="en-US" w:eastAsia="zh-CN" w:bidi="ar"/>
              </w:rPr>
              <w:t>1</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湿度</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default" w:ascii="宋体" w:hAnsi="宋体" w:eastAsia="宋体" w:cs="宋体"/>
                <w:b w:val="0"/>
                <w:bCs w:val="0"/>
                <w:i w:val="0"/>
                <w:iCs w:val="0"/>
                <w:color w:val="000000"/>
                <w:sz w:val="22"/>
                <w:szCs w:val="22"/>
                <w:highlight w:val="none"/>
                <w:u w:val="none"/>
                <w:lang w:val="en-US"/>
              </w:rPr>
            </w:pPr>
            <w:r>
              <w:rPr>
                <w:rFonts w:hint="eastAsia" w:ascii="宋体" w:hAnsi="宋体" w:cs="宋体"/>
                <w:b w:val="0"/>
                <w:bCs w:val="0"/>
                <w:i w:val="0"/>
                <w:iCs w:val="0"/>
                <w:color w:val="000000"/>
                <w:kern w:val="0"/>
                <w:sz w:val="22"/>
                <w:szCs w:val="22"/>
                <w:highlight w:val="none"/>
                <w:u w:val="none"/>
                <w:lang w:val="en-US" w:eastAsia="zh-CN" w:bidi="ar"/>
              </w:rPr>
              <w:t>142</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DW001</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总排口污水排放口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水温</w:t>
            </w:r>
          </w:p>
        </w:tc>
        <w:tc>
          <w:tcPr>
            <w:tcW w:w="613"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满足在线监测设备故障时手工监测相关要求</w:t>
            </w: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1、在自动监测设备故障期间、且有外排水时开展监测；</w:t>
            </w:r>
            <w:r>
              <w:rPr>
                <w:rFonts w:hint="eastAsia" w:ascii="宋体" w:hAnsi="宋体" w:eastAsia="宋体" w:cs="宋体"/>
                <w:b w:val="0"/>
                <w:bCs w:val="0"/>
                <w:i w:val="0"/>
                <w:iCs w:val="0"/>
                <w:color w:val="000000"/>
                <w:kern w:val="0"/>
                <w:sz w:val="18"/>
                <w:szCs w:val="18"/>
                <w:highlight w:val="none"/>
                <w:u w:val="none"/>
                <w:lang w:val="en-US" w:eastAsia="zh-CN" w:bidi="ar"/>
              </w:rPr>
              <w:br w:type="textWrapping"/>
            </w:r>
            <w:r>
              <w:rPr>
                <w:rFonts w:hint="eastAsia" w:ascii="宋体" w:hAnsi="宋体" w:eastAsia="宋体" w:cs="宋体"/>
                <w:b w:val="0"/>
                <w:bCs w:val="0"/>
                <w:i w:val="0"/>
                <w:iCs w:val="0"/>
                <w:color w:val="000000"/>
                <w:kern w:val="0"/>
                <w:sz w:val="18"/>
                <w:szCs w:val="18"/>
                <w:highlight w:val="none"/>
                <w:u w:val="none"/>
                <w:lang w:val="en-US" w:eastAsia="zh-CN" w:bidi="ar"/>
              </w:rPr>
              <w:t>2、监测频次：每间隔6h进行一次监测。</w:t>
            </w:r>
          </w:p>
        </w:tc>
        <w:tc>
          <w:tcPr>
            <w:tcW w:w="810"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在线监测设备故障时进行，暂定以1次计算，结算以实际发生次数计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kern w:val="2"/>
                <w:sz w:val="22"/>
                <w:szCs w:val="22"/>
                <w:highlight w:val="none"/>
                <w:u w:val="none"/>
                <w:lang w:val="en-US" w:eastAsia="zh-CN" w:bidi="ar-SA"/>
              </w:rPr>
            </w:pPr>
            <w:r>
              <w:rPr>
                <w:rFonts w:hint="eastAsia" w:ascii="宋体" w:hAnsi="宋体" w:eastAsia="宋体" w:cs="宋体"/>
                <w:b w:val="0"/>
                <w:bCs w:val="0"/>
                <w:i w:val="0"/>
                <w:iCs w:val="0"/>
                <w:color w:val="000000"/>
                <w:kern w:val="0"/>
                <w:sz w:val="22"/>
                <w:szCs w:val="22"/>
                <w:highlight w:val="none"/>
                <w:u w:val="none"/>
                <w:lang w:val="en-US" w:eastAsia="zh-CN" w:bidi="ar"/>
              </w:rPr>
              <w:t>143</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流量</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810" w:type="pct"/>
            <w:vMerge w:val="continue"/>
            <w:noWrap w:val="0"/>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kern w:val="2"/>
                <w:sz w:val="22"/>
                <w:szCs w:val="22"/>
                <w:highlight w:val="none"/>
                <w:u w:val="none"/>
                <w:lang w:val="en-US" w:eastAsia="zh-CN" w:bidi="ar-SA"/>
              </w:rPr>
            </w:pPr>
            <w:r>
              <w:rPr>
                <w:rFonts w:hint="eastAsia" w:ascii="宋体" w:hAnsi="宋体" w:eastAsia="宋体" w:cs="宋体"/>
                <w:b w:val="0"/>
                <w:bCs w:val="0"/>
                <w:i w:val="0"/>
                <w:iCs w:val="0"/>
                <w:color w:val="000000"/>
                <w:kern w:val="0"/>
                <w:sz w:val="22"/>
                <w:szCs w:val="22"/>
                <w:highlight w:val="none"/>
                <w:u w:val="none"/>
                <w:lang w:val="en-US" w:eastAsia="zh-CN" w:bidi="ar"/>
              </w:rPr>
              <w:t>144</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pH值</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810" w:type="pct"/>
            <w:vMerge w:val="continue"/>
            <w:noWrap w:val="0"/>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kern w:val="2"/>
                <w:sz w:val="22"/>
                <w:szCs w:val="22"/>
                <w:highlight w:val="none"/>
                <w:u w:val="none"/>
                <w:lang w:val="en-US" w:eastAsia="zh-CN" w:bidi="ar-SA"/>
              </w:rPr>
            </w:pPr>
            <w:r>
              <w:rPr>
                <w:rFonts w:hint="eastAsia" w:ascii="宋体" w:hAnsi="宋体" w:eastAsia="宋体" w:cs="宋体"/>
                <w:b w:val="0"/>
                <w:bCs w:val="0"/>
                <w:i w:val="0"/>
                <w:iCs w:val="0"/>
                <w:color w:val="000000"/>
                <w:kern w:val="0"/>
                <w:sz w:val="22"/>
                <w:szCs w:val="22"/>
                <w:highlight w:val="none"/>
                <w:u w:val="none"/>
                <w:lang w:val="en-US" w:eastAsia="zh-CN" w:bidi="ar"/>
              </w:rPr>
              <w:t>145</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COD</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810" w:type="pct"/>
            <w:vMerge w:val="continue"/>
            <w:noWrap w:val="0"/>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kern w:val="2"/>
                <w:sz w:val="22"/>
                <w:szCs w:val="22"/>
                <w:highlight w:val="none"/>
                <w:u w:val="none"/>
                <w:lang w:val="en-US" w:eastAsia="zh-CN" w:bidi="ar-SA"/>
              </w:rPr>
            </w:pPr>
            <w:r>
              <w:rPr>
                <w:rFonts w:hint="eastAsia" w:ascii="宋体" w:hAnsi="宋体" w:eastAsia="宋体" w:cs="宋体"/>
                <w:b w:val="0"/>
                <w:bCs w:val="0"/>
                <w:i w:val="0"/>
                <w:iCs w:val="0"/>
                <w:color w:val="000000"/>
                <w:kern w:val="0"/>
                <w:sz w:val="22"/>
                <w:szCs w:val="22"/>
                <w:highlight w:val="none"/>
                <w:u w:val="none"/>
                <w:lang w:val="en-US" w:eastAsia="zh-CN" w:bidi="ar"/>
              </w:rPr>
              <w:t>146</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氨氮</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810" w:type="pct"/>
            <w:vMerge w:val="continue"/>
            <w:noWrap w:val="0"/>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kern w:val="2"/>
                <w:sz w:val="22"/>
                <w:szCs w:val="22"/>
                <w:highlight w:val="none"/>
                <w:u w:val="none"/>
                <w:lang w:val="en-US" w:eastAsia="zh-CN" w:bidi="ar-SA"/>
              </w:rPr>
            </w:pPr>
            <w:r>
              <w:rPr>
                <w:rFonts w:hint="eastAsia" w:ascii="宋体" w:hAnsi="宋体" w:eastAsia="宋体" w:cs="宋体"/>
                <w:b w:val="0"/>
                <w:bCs w:val="0"/>
                <w:i w:val="0"/>
                <w:iCs w:val="0"/>
                <w:color w:val="000000"/>
                <w:kern w:val="0"/>
                <w:sz w:val="22"/>
                <w:szCs w:val="22"/>
                <w:highlight w:val="none"/>
                <w:u w:val="none"/>
                <w:lang w:val="en-US" w:eastAsia="zh-CN" w:bidi="ar"/>
              </w:rPr>
              <w:t>147</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磷酸盐</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810" w:type="pct"/>
            <w:vMerge w:val="continue"/>
            <w:noWrap w:val="0"/>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kern w:val="2"/>
                <w:sz w:val="22"/>
                <w:szCs w:val="22"/>
                <w:highlight w:val="none"/>
                <w:u w:val="none"/>
                <w:lang w:val="en-US" w:eastAsia="zh-CN" w:bidi="ar-SA"/>
              </w:rPr>
            </w:pPr>
            <w:r>
              <w:rPr>
                <w:rFonts w:hint="eastAsia" w:ascii="宋体" w:hAnsi="宋体" w:eastAsia="宋体" w:cs="宋体"/>
                <w:b w:val="0"/>
                <w:bCs w:val="0"/>
                <w:i w:val="0"/>
                <w:iCs w:val="0"/>
                <w:color w:val="000000"/>
                <w:kern w:val="0"/>
                <w:sz w:val="22"/>
                <w:szCs w:val="22"/>
                <w:highlight w:val="none"/>
                <w:u w:val="none"/>
                <w:lang w:val="en-US" w:eastAsia="zh-CN" w:bidi="ar"/>
              </w:rPr>
              <w:t>148</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DW002</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含镍废水排放口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流量</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810" w:type="pct"/>
            <w:vMerge w:val="continue"/>
            <w:noWrap w:val="0"/>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kern w:val="2"/>
                <w:sz w:val="22"/>
                <w:szCs w:val="22"/>
                <w:highlight w:val="none"/>
                <w:u w:val="none"/>
                <w:lang w:val="en-US" w:eastAsia="zh-CN" w:bidi="ar-SA"/>
              </w:rPr>
            </w:pPr>
            <w:r>
              <w:rPr>
                <w:rFonts w:hint="eastAsia" w:ascii="宋体" w:hAnsi="宋体" w:eastAsia="宋体" w:cs="宋体"/>
                <w:b w:val="0"/>
                <w:bCs w:val="0"/>
                <w:i w:val="0"/>
                <w:iCs w:val="0"/>
                <w:color w:val="000000"/>
                <w:kern w:val="0"/>
                <w:sz w:val="22"/>
                <w:szCs w:val="22"/>
                <w:highlight w:val="none"/>
                <w:u w:val="none"/>
                <w:lang w:val="en-US" w:eastAsia="zh-CN" w:bidi="ar"/>
              </w:rPr>
              <w:t>149</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总镍</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810" w:type="pct"/>
            <w:vMerge w:val="continue"/>
            <w:noWrap w:val="0"/>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kern w:val="2"/>
                <w:sz w:val="22"/>
                <w:szCs w:val="22"/>
                <w:highlight w:val="none"/>
                <w:u w:val="none"/>
                <w:lang w:val="en-US" w:eastAsia="zh-CN" w:bidi="ar-SA"/>
              </w:rPr>
            </w:pPr>
            <w:r>
              <w:rPr>
                <w:rFonts w:hint="eastAsia" w:ascii="宋体" w:hAnsi="宋体" w:eastAsia="宋体" w:cs="宋体"/>
                <w:b w:val="0"/>
                <w:bCs w:val="0"/>
                <w:i w:val="0"/>
                <w:iCs w:val="0"/>
                <w:color w:val="000000"/>
                <w:kern w:val="0"/>
                <w:sz w:val="22"/>
                <w:szCs w:val="22"/>
                <w:highlight w:val="none"/>
                <w:u w:val="none"/>
                <w:lang w:val="en-US" w:eastAsia="zh-CN" w:bidi="ar"/>
              </w:rPr>
              <w:t>150</w:t>
            </w:r>
          </w:p>
        </w:tc>
        <w:tc>
          <w:tcPr>
            <w:tcW w:w="49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DW001</w:t>
            </w:r>
          </w:p>
        </w:tc>
        <w:tc>
          <w:tcPr>
            <w:tcW w:w="615"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总排口污水排放口</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pH</w:t>
            </w:r>
          </w:p>
        </w:tc>
        <w:tc>
          <w:tcPr>
            <w:tcW w:w="613"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符合《城市污水再生利用 城市杂用水水质》等相关规范要求</w:t>
            </w: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w:t>
            </w:r>
            <w:r>
              <w:rPr>
                <w:rFonts w:hint="eastAsia" w:ascii="宋体" w:hAnsi="宋体" w:cs="宋体"/>
                <w:b w:val="0"/>
                <w:bCs w:val="0"/>
                <w:i w:val="0"/>
                <w:iCs w:val="0"/>
                <w:color w:val="000000"/>
                <w:kern w:val="0"/>
                <w:sz w:val="18"/>
                <w:szCs w:val="18"/>
                <w:highlight w:val="none"/>
                <w:u w:val="none"/>
                <w:lang w:val="en-US" w:eastAsia="zh-CN" w:bidi="ar"/>
              </w:rPr>
              <w:t>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kern w:val="2"/>
                <w:sz w:val="22"/>
                <w:szCs w:val="22"/>
                <w:highlight w:val="none"/>
                <w:u w:val="none"/>
                <w:lang w:val="en-US" w:eastAsia="zh-CN" w:bidi="ar-SA"/>
              </w:rPr>
            </w:pPr>
            <w:r>
              <w:rPr>
                <w:rFonts w:hint="eastAsia" w:ascii="宋体" w:hAnsi="宋体" w:eastAsia="宋体" w:cs="宋体"/>
                <w:b w:val="0"/>
                <w:bCs w:val="0"/>
                <w:i w:val="0"/>
                <w:iCs w:val="0"/>
                <w:color w:val="000000"/>
                <w:kern w:val="0"/>
                <w:sz w:val="22"/>
                <w:szCs w:val="22"/>
                <w:highlight w:val="none"/>
                <w:u w:val="none"/>
                <w:lang w:val="en-US" w:eastAsia="zh-CN" w:bidi="ar"/>
              </w:rPr>
              <w:t>151</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色度</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w:t>
            </w:r>
            <w:r>
              <w:rPr>
                <w:rFonts w:hint="eastAsia" w:ascii="宋体" w:hAnsi="宋体" w:cs="宋体"/>
                <w:b w:val="0"/>
                <w:bCs w:val="0"/>
                <w:i w:val="0"/>
                <w:iCs w:val="0"/>
                <w:color w:val="000000"/>
                <w:kern w:val="0"/>
                <w:sz w:val="18"/>
                <w:szCs w:val="18"/>
                <w:highlight w:val="none"/>
                <w:u w:val="none"/>
                <w:lang w:val="en-US" w:eastAsia="zh-CN" w:bidi="ar"/>
              </w:rPr>
              <w:t>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kern w:val="2"/>
                <w:sz w:val="22"/>
                <w:szCs w:val="22"/>
                <w:highlight w:val="none"/>
                <w:u w:val="none"/>
                <w:lang w:val="en-US" w:eastAsia="zh-CN" w:bidi="ar-SA"/>
              </w:rPr>
            </w:pPr>
            <w:r>
              <w:rPr>
                <w:rFonts w:hint="eastAsia" w:ascii="宋体" w:hAnsi="宋体" w:eastAsia="宋体" w:cs="宋体"/>
                <w:b w:val="0"/>
                <w:bCs w:val="0"/>
                <w:i w:val="0"/>
                <w:iCs w:val="0"/>
                <w:color w:val="000000"/>
                <w:kern w:val="0"/>
                <w:sz w:val="22"/>
                <w:szCs w:val="22"/>
                <w:highlight w:val="none"/>
                <w:u w:val="none"/>
                <w:lang w:val="en-US" w:eastAsia="zh-CN" w:bidi="ar"/>
              </w:rPr>
              <w:t>152</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浊度/NTU</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w:t>
            </w:r>
            <w:r>
              <w:rPr>
                <w:rFonts w:hint="eastAsia" w:ascii="宋体" w:hAnsi="宋体" w:cs="宋体"/>
                <w:b w:val="0"/>
                <w:bCs w:val="0"/>
                <w:i w:val="0"/>
                <w:iCs w:val="0"/>
                <w:color w:val="000000"/>
                <w:kern w:val="0"/>
                <w:sz w:val="18"/>
                <w:szCs w:val="18"/>
                <w:highlight w:val="none"/>
                <w:u w:val="none"/>
                <w:lang w:val="en-US" w:eastAsia="zh-CN" w:bidi="ar"/>
              </w:rPr>
              <w:t>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kern w:val="2"/>
                <w:sz w:val="22"/>
                <w:szCs w:val="22"/>
                <w:highlight w:val="none"/>
                <w:u w:val="none"/>
                <w:lang w:val="en-US" w:eastAsia="zh-CN" w:bidi="ar-SA"/>
              </w:rPr>
            </w:pPr>
            <w:r>
              <w:rPr>
                <w:rFonts w:hint="eastAsia" w:ascii="宋体" w:hAnsi="宋体" w:eastAsia="宋体" w:cs="宋体"/>
                <w:b w:val="0"/>
                <w:bCs w:val="0"/>
                <w:i w:val="0"/>
                <w:iCs w:val="0"/>
                <w:color w:val="000000"/>
                <w:kern w:val="0"/>
                <w:sz w:val="22"/>
                <w:szCs w:val="22"/>
                <w:highlight w:val="none"/>
                <w:u w:val="none"/>
                <w:lang w:val="en-US" w:eastAsia="zh-CN" w:bidi="ar"/>
              </w:rPr>
              <w:t>153</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嗅</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w:t>
            </w:r>
            <w:r>
              <w:rPr>
                <w:rFonts w:hint="eastAsia" w:ascii="宋体" w:hAnsi="宋体" w:cs="宋体"/>
                <w:b w:val="0"/>
                <w:bCs w:val="0"/>
                <w:i w:val="0"/>
                <w:iCs w:val="0"/>
                <w:color w:val="000000"/>
                <w:kern w:val="0"/>
                <w:sz w:val="18"/>
                <w:szCs w:val="18"/>
                <w:highlight w:val="none"/>
                <w:u w:val="none"/>
                <w:lang w:val="en-US" w:eastAsia="zh-CN" w:bidi="ar"/>
              </w:rPr>
              <w:t>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kern w:val="2"/>
                <w:sz w:val="22"/>
                <w:szCs w:val="22"/>
                <w:highlight w:val="none"/>
                <w:u w:val="none"/>
                <w:lang w:val="en-US" w:eastAsia="zh-CN" w:bidi="ar-SA"/>
              </w:rPr>
            </w:pPr>
            <w:r>
              <w:rPr>
                <w:rFonts w:hint="eastAsia" w:ascii="宋体" w:hAnsi="宋体" w:eastAsia="宋体" w:cs="宋体"/>
                <w:b w:val="0"/>
                <w:bCs w:val="0"/>
                <w:i w:val="0"/>
                <w:iCs w:val="0"/>
                <w:color w:val="000000"/>
                <w:kern w:val="0"/>
                <w:sz w:val="22"/>
                <w:szCs w:val="22"/>
                <w:highlight w:val="none"/>
                <w:u w:val="none"/>
                <w:lang w:val="en-US" w:eastAsia="zh-CN" w:bidi="ar"/>
              </w:rPr>
              <w:t>154</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五日生化需氧量</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w:t>
            </w:r>
            <w:r>
              <w:rPr>
                <w:rFonts w:hint="eastAsia" w:ascii="宋体" w:hAnsi="宋体" w:cs="宋体"/>
                <w:b w:val="0"/>
                <w:bCs w:val="0"/>
                <w:i w:val="0"/>
                <w:iCs w:val="0"/>
                <w:color w:val="000000"/>
                <w:kern w:val="0"/>
                <w:sz w:val="18"/>
                <w:szCs w:val="18"/>
                <w:highlight w:val="none"/>
                <w:u w:val="none"/>
                <w:lang w:val="en-US" w:eastAsia="zh-CN" w:bidi="ar"/>
              </w:rPr>
              <w:t>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kern w:val="2"/>
                <w:sz w:val="22"/>
                <w:szCs w:val="22"/>
                <w:highlight w:val="none"/>
                <w:u w:val="none"/>
                <w:lang w:val="en-US" w:eastAsia="zh-CN" w:bidi="ar-SA"/>
              </w:rPr>
            </w:pPr>
            <w:r>
              <w:rPr>
                <w:rFonts w:hint="eastAsia" w:ascii="宋体" w:hAnsi="宋体" w:eastAsia="宋体" w:cs="宋体"/>
                <w:b w:val="0"/>
                <w:bCs w:val="0"/>
                <w:i w:val="0"/>
                <w:iCs w:val="0"/>
                <w:color w:val="000000"/>
                <w:kern w:val="0"/>
                <w:sz w:val="22"/>
                <w:szCs w:val="22"/>
                <w:highlight w:val="none"/>
                <w:u w:val="none"/>
                <w:lang w:val="en-US" w:eastAsia="zh-CN" w:bidi="ar"/>
              </w:rPr>
              <w:t>155</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氨氮</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w:t>
            </w:r>
            <w:r>
              <w:rPr>
                <w:rFonts w:hint="eastAsia" w:ascii="宋体" w:hAnsi="宋体" w:cs="宋体"/>
                <w:b w:val="0"/>
                <w:bCs w:val="0"/>
                <w:i w:val="0"/>
                <w:iCs w:val="0"/>
                <w:color w:val="000000"/>
                <w:kern w:val="0"/>
                <w:sz w:val="18"/>
                <w:szCs w:val="18"/>
                <w:highlight w:val="none"/>
                <w:u w:val="none"/>
                <w:lang w:val="en-US" w:eastAsia="zh-CN" w:bidi="ar"/>
              </w:rPr>
              <w:t>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kern w:val="2"/>
                <w:sz w:val="22"/>
                <w:szCs w:val="22"/>
                <w:highlight w:val="none"/>
                <w:u w:val="none"/>
                <w:lang w:val="en-US" w:eastAsia="zh-CN" w:bidi="ar-SA"/>
              </w:rPr>
            </w:pPr>
            <w:r>
              <w:rPr>
                <w:rFonts w:hint="eastAsia" w:ascii="宋体" w:hAnsi="宋体" w:eastAsia="宋体" w:cs="宋体"/>
                <w:b w:val="0"/>
                <w:bCs w:val="0"/>
                <w:i w:val="0"/>
                <w:iCs w:val="0"/>
                <w:color w:val="000000"/>
                <w:kern w:val="0"/>
                <w:sz w:val="22"/>
                <w:szCs w:val="22"/>
                <w:highlight w:val="none"/>
                <w:u w:val="none"/>
                <w:lang w:val="en-US" w:eastAsia="zh-CN" w:bidi="ar"/>
              </w:rPr>
              <w:t>156</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阴离子表面活性剂</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w:t>
            </w:r>
            <w:r>
              <w:rPr>
                <w:rFonts w:hint="eastAsia" w:ascii="宋体" w:hAnsi="宋体" w:cs="宋体"/>
                <w:b w:val="0"/>
                <w:bCs w:val="0"/>
                <w:i w:val="0"/>
                <w:iCs w:val="0"/>
                <w:color w:val="000000"/>
                <w:kern w:val="0"/>
                <w:sz w:val="18"/>
                <w:szCs w:val="18"/>
                <w:highlight w:val="none"/>
                <w:u w:val="none"/>
                <w:lang w:val="en-US" w:eastAsia="zh-CN" w:bidi="ar"/>
              </w:rPr>
              <w:t>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kern w:val="2"/>
                <w:sz w:val="22"/>
                <w:szCs w:val="22"/>
                <w:highlight w:val="none"/>
                <w:u w:val="none"/>
                <w:lang w:val="en-US" w:eastAsia="zh-CN" w:bidi="ar-SA"/>
              </w:rPr>
            </w:pPr>
            <w:r>
              <w:rPr>
                <w:rFonts w:hint="eastAsia" w:ascii="宋体" w:hAnsi="宋体" w:eastAsia="宋体" w:cs="宋体"/>
                <w:b w:val="0"/>
                <w:bCs w:val="0"/>
                <w:i w:val="0"/>
                <w:iCs w:val="0"/>
                <w:color w:val="000000"/>
                <w:kern w:val="0"/>
                <w:sz w:val="22"/>
                <w:szCs w:val="22"/>
                <w:highlight w:val="none"/>
                <w:u w:val="none"/>
                <w:lang w:val="en-US" w:eastAsia="zh-CN" w:bidi="ar"/>
              </w:rPr>
              <w:t>157</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铁</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w:t>
            </w:r>
            <w:r>
              <w:rPr>
                <w:rFonts w:hint="eastAsia" w:ascii="宋体" w:hAnsi="宋体" w:cs="宋体"/>
                <w:b w:val="0"/>
                <w:bCs w:val="0"/>
                <w:i w:val="0"/>
                <w:iCs w:val="0"/>
                <w:color w:val="000000"/>
                <w:kern w:val="0"/>
                <w:sz w:val="18"/>
                <w:szCs w:val="18"/>
                <w:highlight w:val="none"/>
                <w:u w:val="none"/>
                <w:lang w:val="en-US" w:eastAsia="zh-CN" w:bidi="ar"/>
              </w:rPr>
              <w:t>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kern w:val="2"/>
                <w:sz w:val="22"/>
                <w:szCs w:val="22"/>
                <w:highlight w:val="none"/>
                <w:u w:val="none"/>
                <w:lang w:val="en-US" w:eastAsia="zh-CN" w:bidi="ar-SA"/>
              </w:rPr>
            </w:pPr>
            <w:r>
              <w:rPr>
                <w:rFonts w:hint="eastAsia" w:ascii="宋体" w:hAnsi="宋体" w:eastAsia="宋体" w:cs="宋体"/>
                <w:b w:val="0"/>
                <w:bCs w:val="0"/>
                <w:i w:val="0"/>
                <w:iCs w:val="0"/>
                <w:color w:val="000000"/>
                <w:kern w:val="0"/>
                <w:sz w:val="22"/>
                <w:szCs w:val="22"/>
                <w:highlight w:val="none"/>
                <w:u w:val="none"/>
                <w:lang w:val="en-US" w:eastAsia="zh-CN" w:bidi="ar"/>
              </w:rPr>
              <w:t>158</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锰</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w:t>
            </w:r>
            <w:r>
              <w:rPr>
                <w:rFonts w:hint="eastAsia" w:ascii="宋体" w:hAnsi="宋体" w:cs="宋体"/>
                <w:b w:val="0"/>
                <w:bCs w:val="0"/>
                <w:i w:val="0"/>
                <w:iCs w:val="0"/>
                <w:color w:val="000000"/>
                <w:kern w:val="0"/>
                <w:sz w:val="18"/>
                <w:szCs w:val="18"/>
                <w:highlight w:val="none"/>
                <w:u w:val="none"/>
                <w:lang w:val="en-US" w:eastAsia="zh-CN" w:bidi="ar"/>
              </w:rPr>
              <w:t>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kern w:val="2"/>
                <w:sz w:val="22"/>
                <w:szCs w:val="22"/>
                <w:highlight w:val="none"/>
                <w:u w:val="none"/>
                <w:lang w:val="en-US" w:eastAsia="zh-CN" w:bidi="ar-SA"/>
              </w:rPr>
            </w:pPr>
            <w:r>
              <w:rPr>
                <w:rFonts w:hint="eastAsia" w:ascii="宋体" w:hAnsi="宋体" w:eastAsia="宋体" w:cs="宋体"/>
                <w:b w:val="0"/>
                <w:bCs w:val="0"/>
                <w:i w:val="0"/>
                <w:iCs w:val="0"/>
                <w:color w:val="000000"/>
                <w:kern w:val="0"/>
                <w:sz w:val="22"/>
                <w:szCs w:val="22"/>
                <w:highlight w:val="none"/>
                <w:u w:val="none"/>
                <w:lang w:val="en-US" w:eastAsia="zh-CN" w:bidi="ar"/>
              </w:rPr>
              <w:t>159</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溶解氧</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w:t>
            </w:r>
            <w:r>
              <w:rPr>
                <w:rFonts w:hint="eastAsia" w:ascii="宋体" w:hAnsi="宋体" w:cs="宋体"/>
                <w:b w:val="0"/>
                <w:bCs w:val="0"/>
                <w:i w:val="0"/>
                <w:iCs w:val="0"/>
                <w:color w:val="000000"/>
                <w:kern w:val="0"/>
                <w:sz w:val="18"/>
                <w:szCs w:val="18"/>
                <w:highlight w:val="none"/>
                <w:u w:val="none"/>
                <w:lang w:val="en-US" w:eastAsia="zh-CN" w:bidi="ar"/>
              </w:rPr>
              <w:t>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kern w:val="2"/>
                <w:sz w:val="22"/>
                <w:szCs w:val="22"/>
                <w:highlight w:val="none"/>
                <w:u w:val="none"/>
                <w:lang w:val="en-US" w:eastAsia="zh-CN" w:bidi="ar-SA"/>
              </w:rPr>
            </w:pPr>
            <w:r>
              <w:rPr>
                <w:rFonts w:hint="eastAsia" w:ascii="宋体" w:hAnsi="宋体" w:eastAsia="宋体" w:cs="宋体"/>
                <w:b w:val="0"/>
                <w:bCs w:val="0"/>
                <w:i w:val="0"/>
                <w:iCs w:val="0"/>
                <w:color w:val="000000"/>
                <w:kern w:val="0"/>
                <w:sz w:val="22"/>
                <w:szCs w:val="22"/>
                <w:highlight w:val="none"/>
                <w:u w:val="none"/>
                <w:lang w:val="en-US" w:eastAsia="zh-CN" w:bidi="ar"/>
              </w:rPr>
              <w:t>160</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总氯</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w:t>
            </w:r>
            <w:r>
              <w:rPr>
                <w:rFonts w:hint="eastAsia" w:ascii="宋体" w:hAnsi="宋体" w:cs="宋体"/>
                <w:b w:val="0"/>
                <w:bCs w:val="0"/>
                <w:i w:val="0"/>
                <w:iCs w:val="0"/>
                <w:color w:val="000000"/>
                <w:kern w:val="0"/>
                <w:sz w:val="18"/>
                <w:szCs w:val="18"/>
                <w:highlight w:val="none"/>
                <w:u w:val="none"/>
                <w:lang w:val="en-US" w:eastAsia="zh-CN" w:bidi="ar"/>
              </w:rPr>
              <w:t>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kern w:val="2"/>
                <w:sz w:val="22"/>
                <w:szCs w:val="22"/>
                <w:highlight w:val="none"/>
                <w:u w:val="none"/>
                <w:lang w:val="en-US" w:eastAsia="zh-CN" w:bidi="ar-SA"/>
              </w:rPr>
            </w:pPr>
            <w:r>
              <w:rPr>
                <w:rFonts w:hint="eastAsia" w:ascii="宋体" w:hAnsi="宋体" w:eastAsia="宋体" w:cs="宋体"/>
                <w:b w:val="0"/>
                <w:bCs w:val="0"/>
                <w:i w:val="0"/>
                <w:iCs w:val="0"/>
                <w:color w:val="000000"/>
                <w:kern w:val="0"/>
                <w:sz w:val="22"/>
                <w:szCs w:val="22"/>
                <w:highlight w:val="none"/>
                <w:u w:val="none"/>
                <w:lang w:val="en-US" w:eastAsia="zh-CN" w:bidi="ar"/>
              </w:rPr>
              <w:t>161</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溶解性总固体</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w:t>
            </w:r>
            <w:r>
              <w:rPr>
                <w:rFonts w:hint="eastAsia" w:ascii="宋体" w:hAnsi="宋体" w:cs="宋体"/>
                <w:b w:val="0"/>
                <w:bCs w:val="0"/>
                <w:i w:val="0"/>
                <w:iCs w:val="0"/>
                <w:color w:val="000000"/>
                <w:kern w:val="0"/>
                <w:sz w:val="18"/>
                <w:szCs w:val="18"/>
                <w:highlight w:val="none"/>
                <w:u w:val="none"/>
                <w:lang w:val="en-US" w:eastAsia="zh-CN" w:bidi="ar"/>
              </w:rPr>
              <w:t>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kern w:val="2"/>
                <w:sz w:val="22"/>
                <w:szCs w:val="22"/>
                <w:highlight w:val="none"/>
                <w:u w:val="none"/>
                <w:lang w:val="en-US" w:eastAsia="zh-CN" w:bidi="ar-SA"/>
              </w:rPr>
            </w:pPr>
            <w:r>
              <w:rPr>
                <w:rFonts w:hint="eastAsia" w:ascii="宋体" w:hAnsi="宋体" w:eastAsia="宋体" w:cs="宋体"/>
                <w:b w:val="0"/>
                <w:bCs w:val="0"/>
                <w:i w:val="0"/>
                <w:iCs w:val="0"/>
                <w:color w:val="000000"/>
                <w:kern w:val="0"/>
                <w:sz w:val="22"/>
                <w:szCs w:val="22"/>
                <w:highlight w:val="none"/>
                <w:u w:val="none"/>
                <w:lang w:val="en-US" w:eastAsia="zh-CN" w:bidi="ar"/>
              </w:rPr>
              <w:t>162</w:t>
            </w:r>
          </w:p>
        </w:tc>
        <w:tc>
          <w:tcPr>
            <w:tcW w:w="49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615"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大肠埃希氏菌</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w:t>
            </w:r>
            <w:r>
              <w:rPr>
                <w:rFonts w:hint="eastAsia" w:ascii="宋体" w:hAnsi="宋体" w:cs="宋体"/>
                <w:b w:val="0"/>
                <w:bCs w:val="0"/>
                <w:i w:val="0"/>
                <w:iCs w:val="0"/>
                <w:color w:val="000000"/>
                <w:kern w:val="0"/>
                <w:sz w:val="18"/>
                <w:szCs w:val="18"/>
                <w:highlight w:val="none"/>
                <w:u w:val="none"/>
                <w:lang w:val="en-US" w:eastAsia="zh-CN" w:bidi="ar"/>
              </w:rPr>
              <w:t>季</w:t>
            </w:r>
          </w:p>
        </w:tc>
        <w:tc>
          <w:tcPr>
            <w:tcW w:w="810" w:type="pct"/>
            <w:noWrap/>
            <w:vAlign w:val="center"/>
          </w:tcPr>
          <w:p>
            <w:pPr>
              <w:jc w:val="center"/>
              <w:rPr>
                <w:rFonts w:hint="eastAsia" w:ascii="宋体" w:hAnsi="宋体" w:eastAsia="宋体" w:cs="宋体"/>
                <w:b w:val="0"/>
                <w:bCs w:val="0"/>
                <w:i w:val="0"/>
                <w:iCs w:val="0"/>
                <w:color w:val="000000"/>
                <w:sz w:val="22"/>
                <w:szCs w:val="22"/>
                <w:highlight w:val="none"/>
                <w:u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16</w:t>
            </w:r>
            <w:r>
              <w:rPr>
                <w:rFonts w:hint="eastAsia" w:ascii="宋体" w:hAnsi="宋体" w:cs="宋体"/>
                <w:b w:val="0"/>
                <w:bCs w:val="0"/>
                <w:i w:val="0"/>
                <w:iCs w:val="0"/>
                <w:color w:val="000000"/>
                <w:kern w:val="0"/>
                <w:sz w:val="22"/>
                <w:szCs w:val="22"/>
                <w:highlight w:val="none"/>
                <w:u w:val="none"/>
                <w:lang w:val="en-US" w:eastAsia="zh-CN" w:bidi="ar"/>
              </w:rPr>
              <w:t>3</w:t>
            </w:r>
          </w:p>
        </w:tc>
        <w:tc>
          <w:tcPr>
            <w:tcW w:w="1110" w:type="pct"/>
            <w:gridSpan w:val="2"/>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土壤监测</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基本因子:①重金属和无机物：砷、镉、铬（六价）、铜、铅、汞、镍；②挥发性有机物：四氯化碳、氯仿、氯甲烷、1,1-二氯乙烷、1,2-二氯乙烷、1,1-二氯乙烯、顺-1,2-二氯乙烯、反-1,2-二氯乙烯、二氯甲烷、1,2-二氯丙烷、1,1,1,2-四氯乙烷、1,1,2,2-四氯乙烷、四氯乙烯、1,1,1-三氯乙烷、1,1,2-三氯乙烷、三氯乙烯、1,2,3-三氯丙烷、氯乙烯、苯、氯苯、1,2-二氯苯、1,4-二氯苯、乙苯、苯乙烯、甲苯、间二甲苯+对二甲苯、邻二甲苯；③半挥发性有机物：硝基苯、苯胺、2-氯苯酚、苯并[a]蒽、苯并[a]芘、苯并[b]荧蒽、苯并[k]荧蒽、䓛、二苯并[a，h]蒽、茚并[1,2,3-cd]芘、萘；特征因子：石油烃（C10~C40）</w:t>
            </w:r>
          </w:p>
        </w:tc>
        <w:tc>
          <w:tcPr>
            <w:tcW w:w="613" w:type="pct"/>
            <w:vMerge w:val="restar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按照规范进行监测，且符合环保局管理要求，并给出监测结果，包括但不限于出具监测报告，土壤、地下水自行监测报告、监控工作总结、环境调查监测结论，土壤污染隐患排查制度。</w:t>
            </w: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表层样（1个）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16</w:t>
            </w:r>
            <w:r>
              <w:rPr>
                <w:rFonts w:hint="eastAsia" w:ascii="宋体" w:hAnsi="宋体" w:cs="宋体"/>
                <w:b w:val="0"/>
                <w:bCs w:val="0"/>
                <w:i w:val="0"/>
                <w:iCs w:val="0"/>
                <w:color w:val="000000"/>
                <w:kern w:val="0"/>
                <w:sz w:val="22"/>
                <w:szCs w:val="22"/>
                <w:highlight w:val="none"/>
                <w:u w:val="none"/>
                <w:lang w:val="en-US" w:eastAsia="zh-CN" w:bidi="ar"/>
              </w:rPr>
              <w:t>4</w:t>
            </w:r>
          </w:p>
        </w:tc>
        <w:tc>
          <w:tcPr>
            <w:tcW w:w="1110" w:type="pct"/>
            <w:gridSpan w:val="2"/>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pH值、铬、铜、锌、镍、铅、苯、甲苯、石油烃等</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表层样（5个）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16</w:t>
            </w:r>
            <w:r>
              <w:rPr>
                <w:rFonts w:hint="eastAsia" w:ascii="宋体" w:hAnsi="宋体" w:cs="宋体"/>
                <w:b w:val="0"/>
                <w:bCs w:val="0"/>
                <w:i w:val="0"/>
                <w:iCs w:val="0"/>
                <w:color w:val="000000"/>
                <w:kern w:val="0"/>
                <w:sz w:val="22"/>
                <w:szCs w:val="22"/>
                <w:highlight w:val="none"/>
                <w:u w:val="none"/>
                <w:lang w:val="en-US" w:eastAsia="zh-CN" w:bidi="ar"/>
              </w:rPr>
              <w:t>5</w:t>
            </w:r>
          </w:p>
        </w:tc>
        <w:tc>
          <w:tcPr>
            <w:tcW w:w="1110" w:type="pct"/>
            <w:gridSpan w:val="2"/>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pH值、铬、铜、锌、镍、铅、苯、甲苯、石油烃等</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深层样（3个）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32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22"/>
                <w:szCs w:val="22"/>
                <w:highlight w:val="none"/>
                <w:u w:val="none"/>
              </w:rPr>
            </w:pPr>
            <w:r>
              <w:rPr>
                <w:rFonts w:hint="eastAsia" w:ascii="宋体" w:hAnsi="宋体" w:eastAsia="宋体" w:cs="宋体"/>
                <w:b w:val="0"/>
                <w:bCs w:val="0"/>
                <w:i w:val="0"/>
                <w:iCs w:val="0"/>
                <w:color w:val="000000"/>
                <w:kern w:val="0"/>
                <w:sz w:val="22"/>
                <w:szCs w:val="22"/>
                <w:highlight w:val="none"/>
                <w:u w:val="none"/>
                <w:lang w:val="en-US" w:eastAsia="zh-CN" w:bidi="ar"/>
              </w:rPr>
              <w:t>16</w:t>
            </w:r>
            <w:r>
              <w:rPr>
                <w:rFonts w:hint="eastAsia" w:ascii="宋体" w:hAnsi="宋体" w:cs="宋体"/>
                <w:b w:val="0"/>
                <w:bCs w:val="0"/>
                <w:i w:val="0"/>
                <w:iCs w:val="0"/>
                <w:color w:val="000000"/>
                <w:kern w:val="0"/>
                <w:sz w:val="22"/>
                <w:szCs w:val="22"/>
                <w:highlight w:val="none"/>
                <w:u w:val="none"/>
                <w:lang w:val="en-US" w:eastAsia="zh-CN" w:bidi="ar"/>
              </w:rPr>
              <w:t>6</w:t>
            </w:r>
          </w:p>
        </w:tc>
        <w:tc>
          <w:tcPr>
            <w:tcW w:w="1110" w:type="pct"/>
            <w:gridSpan w:val="2"/>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地下水监测</w:t>
            </w:r>
          </w:p>
        </w:tc>
        <w:tc>
          <w:tcPr>
            <w:tcW w:w="1067" w:type="pct"/>
            <w:noWrap w:val="0"/>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pH、耗氧量、氨氮、亚硝酸盐、硝酸盐、氯化物、TDS、细菌总数、总大肠菌群、汞、砷、铅、六价铬、锌、铜、镉、镍、锰</w:t>
            </w:r>
          </w:p>
        </w:tc>
        <w:tc>
          <w:tcPr>
            <w:tcW w:w="613" w:type="pct"/>
            <w:vMerge w:val="continue"/>
            <w:noWrap w:val="0"/>
            <w:vAlign w:val="center"/>
          </w:tcPr>
          <w:p>
            <w:pPr>
              <w:jc w:val="center"/>
              <w:rPr>
                <w:rFonts w:hint="eastAsia" w:ascii="宋体" w:hAnsi="宋体" w:eastAsia="宋体" w:cs="宋体"/>
                <w:b w:val="0"/>
                <w:bCs w:val="0"/>
                <w:i w:val="0"/>
                <w:iCs w:val="0"/>
                <w:color w:val="000000"/>
                <w:sz w:val="18"/>
                <w:szCs w:val="18"/>
                <w:highlight w:val="none"/>
                <w:u w:val="none"/>
              </w:rPr>
            </w:pP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sz w:val="18"/>
                <w:szCs w:val="18"/>
                <w:highlight w:val="none"/>
                <w:u w:val="none"/>
              </w:rPr>
            </w:pPr>
            <w:r>
              <w:rPr>
                <w:rFonts w:hint="eastAsia" w:ascii="宋体" w:hAnsi="宋体" w:eastAsia="宋体" w:cs="宋体"/>
                <w:b w:val="0"/>
                <w:bCs w:val="0"/>
                <w:i w:val="0"/>
                <w:iCs w:val="0"/>
                <w:color w:val="000000"/>
                <w:kern w:val="0"/>
                <w:sz w:val="18"/>
                <w:szCs w:val="18"/>
                <w:highlight w:val="none"/>
                <w:u w:val="none"/>
                <w:lang w:val="en-US" w:eastAsia="zh-CN" w:bidi="ar"/>
              </w:rPr>
              <w:t>1次/年</w:t>
            </w:r>
          </w:p>
        </w:tc>
        <w:tc>
          <w:tcPr>
            <w:tcW w:w="810" w:type="pct"/>
            <w:noWrap/>
            <w:vAlign w:val="center"/>
          </w:tcPr>
          <w:p>
            <w:pPr>
              <w:keepNext w:val="0"/>
              <w:keepLines w:val="0"/>
              <w:widowControl/>
              <w:suppressLineNumbers w:val="0"/>
              <w:jc w:val="left"/>
              <w:textAlignment w:val="center"/>
              <w:rPr>
                <w:rFonts w:hint="eastAsia" w:ascii="宋体" w:hAnsi="宋体" w:eastAsia="宋体" w:cs="宋体"/>
                <w:b w:val="0"/>
                <w:bCs w:val="0"/>
                <w:i w:val="0"/>
                <w:iCs w:val="0"/>
                <w:color w:val="000000"/>
                <w:sz w:val="18"/>
                <w:szCs w:val="18"/>
                <w:highlight w:val="yellow"/>
                <w:u w:val="none"/>
              </w:rPr>
            </w:pPr>
            <w:r>
              <w:rPr>
                <w:rFonts w:hint="eastAsia" w:ascii="宋体" w:hAnsi="宋体" w:eastAsia="宋体" w:cs="宋体"/>
                <w:b w:val="0"/>
                <w:bCs w:val="0"/>
                <w:i w:val="0"/>
                <w:iCs w:val="0"/>
                <w:color w:val="000000"/>
                <w:kern w:val="0"/>
                <w:sz w:val="18"/>
                <w:szCs w:val="18"/>
                <w:highlight w:val="none"/>
                <w:u w:val="none"/>
                <w:lang w:val="en-US" w:eastAsia="zh-CN" w:bidi="ar"/>
              </w:rPr>
              <w:t>监测点位4个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322" w:type="pct"/>
            <w:noWrap/>
            <w:vAlign w:val="center"/>
          </w:tcPr>
          <w:p>
            <w:pPr>
              <w:keepNext w:val="0"/>
              <w:keepLines w:val="0"/>
              <w:widowControl/>
              <w:suppressLineNumbers w:val="0"/>
              <w:jc w:val="center"/>
              <w:textAlignment w:val="center"/>
              <w:rPr>
                <w:rFonts w:hint="default" w:ascii="宋体" w:hAnsi="宋体" w:cs="宋体"/>
                <w:b w:val="0"/>
                <w:bCs w:val="0"/>
                <w:i w:val="0"/>
                <w:iCs w:val="0"/>
                <w:color w:val="000000"/>
                <w:kern w:val="0"/>
                <w:sz w:val="22"/>
                <w:szCs w:val="22"/>
                <w:highlight w:val="none"/>
                <w:u w:val="none"/>
                <w:lang w:val="en-US" w:eastAsia="zh-CN" w:bidi="ar"/>
              </w:rPr>
            </w:pPr>
            <w:r>
              <w:rPr>
                <w:rFonts w:hint="eastAsia" w:ascii="宋体" w:hAnsi="宋体" w:cs="宋体"/>
                <w:b w:val="0"/>
                <w:bCs w:val="0"/>
                <w:i w:val="0"/>
                <w:iCs w:val="0"/>
                <w:color w:val="000000"/>
                <w:kern w:val="0"/>
                <w:sz w:val="22"/>
                <w:szCs w:val="22"/>
                <w:highlight w:val="none"/>
                <w:u w:val="none"/>
                <w:lang w:val="en-US" w:eastAsia="zh-CN" w:bidi="ar"/>
              </w:rPr>
              <w:t>167</w:t>
            </w:r>
          </w:p>
        </w:tc>
        <w:tc>
          <w:tcPr>
            <w:tcW w:w="1110" w:type="pct"/>
            <w:gridSpan w:val="2"/>
            <w:noWrap/>
            <w:vAlign w:val="center"/>
          </w:tcPr>
          <w:p>
            <w:pPr>
              <w:keepNext w:val="0"/>
              <w:keepLines w:val="0"/>
              <w:widowControl/>
              <w:suppressLineNumbers w:val="0"/>
              <w:jc w:val="center"/>
              <w:textAlignment w:val="center"/>
              <w:rPr>
                <w:rFonts w:hint="default" w:ascii="宋体" w:hAnsi="宋体" w:cs="宋体"/>
                <w:b w:val="0"/>
                <w:bCs w:val="0"/>
                <w:i w:val="0"/>
                <w:iCs w:val="0"/>
                <w:color w:val="000000"/>
                <w:kern w:val="0"/>
                <w:sz w:val="18"/>
                <w:szCs w:val="18"/>
                <w:highlight w:val="none"/>
                <w:u w:val="none"/>
                <w:lang w:val="en-US" w:eastAsia="zh-CN" w:bidi="ar"/>
              </w:rPr>
            </w:pPr>
            <w:r>
              <w:rPr>
                <w:rFonts w:hint="eastAsia" w:ascii="宋体" w:hAnsi="宋体" w:cs="宋体"/>
                <w:b w:val="0"/>
                <w:bCs w:val="0"/>
                <w:i w:val="0"/>
                <w:iCs w:val="0"/>
                <w:color w:val="000000"/>
                <w:kern w:val="0"/>
                <w:sz w:val="18"/>
                <w:szCs w:val="18"/>
                <w:highlight w:val="none"/>
                <w:u w:val="none"/>
                <w:lang w:val="en-US" w:eastAsia="zh-CN" w:bidi="ar"/>
              </w:rPr>
              <w:t>DA006</w:t>
            </w:r>
          </w:p>
        </w:tc>
        <w:tc>
          <w:tcPr>
            <w:tcW w:w="1067" w:type="pct"/>
            <w:noWrap w:val="0"/>
            <w:vAlign w:val="center"/>
          </w:tcPr>
          <w:p>
            <w:pPr>
              <w:keepNext w:val="0"/>
              <w:keepLines w:val="0"/>
              <w:widowControl/>
              <w:suppressLineNumbers w:val="0"/>
              <w:jc w:val="center"/>
              <w:textAlignment w:val="center"/>
              <w:rPr>
                <w:rFonts w:hint="eastAsia" w:ascii="宋体" w:hAnsi="宋体" w:cs="宋体"/>
                <w:b w:val="0"/>
                <w:bCs w:val="0"/>
                <w:i w:val="0"/>
                <w:iCs w:val="0"/>
                <w:color w:val="000000"/>
                <w:kern w:val="0"/>
                <w:sz w:val="18"/>
                <w:szCs w:val="18"/>
                <w:highlight w:val="none"/>
                <w:u w:val="none"/>
                <w:lang w:val="en-US" w:eastAsia="zh-CN" w:bidi="ar"/>
              </w:rPr>
            </w:pPr>
            <w:r>
              <w:rPr>
                <w:rFonts w:hint="eastAsia" w:ascii="宋体" w:hAnsi="宋体" w:eastAsia="宋体" w:cs="宋体"/>
                <w:b w:val="0"/>
                <w:bCs w:val="0"/>
                <w:i w:val="0"/>
                <w:iCs w:val="0"/>
                <w:color w:val="000000"/>
                <w:kern w:val="0"/>
                <w:sz w:val="18"/>
                <w:szCs w:val="18"/>
                <w:highlight w:val="none"/>
                <w:u w:val="none"/>
                <w:lang w:val="en-US" w:eastAsia="zh-CN" w:bidi="ar"/>
              </w:rPr>
              <w:t>喷涂废气排放口</w:t>
            </w:r>
          </w:p>
        </w:tc>
        <w:tc>
          <w:tcPr>
            <w:tcW w:w="613" w:type="pct"/>
            <w:noWrap w:val="0"/>
            <w:vAlign w:val="center"/>
          </w:tcPr>
          <w:p>
            <w:pPr>
              <w:jc w:val="center"/>
              <w:rPr>
                <w:rFonts w:hint="eastAsia" w:ascii="宋体" w:hAnsi="宋体" w:cs="宋体"/>
                <w:b w:val="0"/>
                <w:bCs w:val="0"/>
                <w:i w:val="0"/>
                <w:iCs w:val="0"/>
                <w:color w:val="000000"/>
                <w:sz w:val="18"/>
                <w:szCs w:val="18"/>
                <w:highlight w:val="none"/>
                <w:u w:val="none"/>
                <w:lang w:val="en-US" w:eastAsia="zh-CN"/>
              </w:rPr>
            </w:pPr>
            <w:r>
              <w:rPr>
                <w:rFonts w:hint="eastAsia" w:ascii="宋体" w:hAnsi="宋体" w:eastAsia="宋体" w:cs="宋体"/>
                <w:b w:val="0"/>
                <w:bCs w:val="0"/>
                <w:i w:val="0"/>
                <w:iCs w:val="0"/>
                <w:color w:val="000000"/>
                <w:kern w:val="0"/>
                <w:sz w:val="18"/>
                <w:szCs w:val="18"/>
                <w:highlight w:val="none"/>
                <w:u w:val="none"/>
                <w:lang w:val="en-US" w:eastAsia="zh-CN" w:bidi="ar"/>
              </w:rPr>
              <w:t>比对监测，符合比对监测相关规范要求</w:t>
            </w:r>
          </w:p>
        </w:tc>
        <w:tc>
          <w:tcPr>
            <w:tcW w:w="362"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kern w:val="2"/>
                <w:sz w:val="18"/>
                <w:szCs w:val="18"/>
                <w:highlight w:val="none"/>
                <w:u w:val="none"/>
                <w:lang w:val="en-US" w:eastAsia="zh-CN" w:bidi="ar-SA"/>
              </w:rPr>
            </w:pPr>
            <w:r>
              <w:rPr>
                <w:rFonts w:hint="eastAsia" w:ascii="宋体" w:hAnsi="宋体" w:eastAsia="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eastAsia" w:ascii="宋体" w:hAnsi="宋体" w:eastAsia="宋体" w:cs="宋体"/>
                <w:b w:val="0"/>
                <w:bCs w:val="0"/>
                <w:i w:val="0"/>
                <w:iCs w:val="0"/>
                <w:color w:val="000000"/>
                <w:kern w:val="2"/>
                <w:sz w:val="18"/>
                <w:szCs w:val="18"/>
                <w:highlight w:val="none"/>
                <w:u w:val="none"/>
                <w:lang w:val="en-US" w:eastAsia="zh-CN" w:bidi="ar-SA"/>
              </w:rPr>
            </w:pPr>
            <w:r>
              <w:rPr>
                <w:rFonts w:hint="eastAsia" w:ascii="宋体" w:hAnsi="宋体" w:eastAsia="宋体" w:cs="宋体"/>
                <w:b w:val="0"/>
                <w:bCs w:val="0"/>
                <w:i w:val="0"/>
                <w:iCs w:val="0"/>
                <w:color w:val="000000"/>
                <w:kern w:val="0"/>
                <w:sz w:val="18"/>
                <w:szCs w:val="18"/>
                <w:highlight w:val="none"/>
                <w:u w:val="none"/>
                <w:lang w:val="en-US" w:eastAsia="zh-CN" w:bidi="ar"/>
              </w:rPr>
              <w:t>1次/</w:t>
            </w:r>
            <w:r>
              <w:rPr>
                <w:rFonts w:hint="eastAsia" w:ascii="宋体" w:hAnsi="宋体" w:cs="宋体"/>
                <w:b w:val="0"/>
                <w:bCs w:val="0"/>
                <w:i w:val="0"/>
                <w:iCs w:val="0"/>
                <w:color w:val="000000"/>
                <w:kern w:val="0"/>
                <w:sz w:val="18"/>
                <w:szCs w:val="18"/>
                <w:highlight w:val="none"/>
                <w:u w:val="none"/>
                <w:lang w:val="en-US" w:eastAsia="zh-CN" w:bidi="ar"/>
              </w:rPr>
              <w:t>季</w:t>
            </w:r>
          </w:p>
        </w:tc>
        <w:tc>
          <w:tcPr>
            <w:tcW w:w="810" w:type="pct"/>
            <w:noWrap/>
            <w:vAlign w:val="center"/>
          </w:tcPr>
          <w:p>
            <w:pPr>
              <w:keepNext w:val="0"/>
              <w:keepLines w:val="0"/>
              <w:widowControl/>
              <w:suppressLineNumbers w:val="0"/>
              <w:jc w:val="left"/>
              <w:textAlignment w:val="center"/>
              <w:rPr>
                <w:rFonts w:hint="eastAsia" w:ascii="宋体" w:hAnsi="宋体" w:cs="宋体"/>
                <w:b w:val="0"/>
                <w:bCs w:val="0"/>
                <w:i w:val="0"/>
                <w:iCs w:val="0"/>
                <w:color w:val="000000"/>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322" w:type="pct"/>
            <w:noWrap/>
            <w:vAlign w:val="center"/>
          </w:tcPr>
          <w:p>
            <w:pPr>
              <w:keepNext w:val="0"/>
              <w:keepLines w:val="0"/>
              <w:widowControl/>
              <w:suppressLineNumbers w:val="0"/>
              <w:jc w:val="center"/>
              <w:textAlignment w:val="center"/>
              <w:rPr>
                <w:rFonts w:hint="default" w:ascii="宋体" w:hAnsi="宋体" w:eastAsia="宋体" w:cs="宋体"/>
                <w:b w:val="0"/>
                <w:bCs w:val="0"/>
                <w:i w:val="0"/>
                <w:iCs w:val="0"/>
                <w:color w:val="000000"/>
                <w:kern w:val="0"/>
                <w:sz w:val="22"/>
                <w:szCs w:val="22"/>
                <w:highlight w:val="none"/>
                <w:u w:val="none"/>
                <w:lang w:val="en-US" w:eastAsia="zh-CN" w:bidi="ar"/>
              </w:rPr>
            </w:pPr>
            <w:r>
              <w:rPr>
                <w:rFonts w:hint="eastAsia" w:ascii="宋体" w:hAnsi="宋体" w:cs="宋体"/>
                <w:b w:val="0"/>
                <w:bCs w:val="0"/>
                <w:i w:val="0"/>
                <w:iCs w:val="0"/>
                <w:color w:val="000000"/>
                <w:kern w:val="0"/>
                <w:sz w:val="22"/>
                <w:szCs w:val="22"/>
                <w:highlight w:val="none"/>
                <w:u w:val="none"/>
                <w:lang w:val="en-US" w:eastAsia="zh-CN" w:bidi="ar"/>
              </w:rPr>
              <w:t>168</w:t>
            </w:r>
          </w:p>
        </w:tc>
        <w:tc>
          <w:tcPr>
            <w:tcW w:w="1110" w:type="pct"/>
            <w:gridSpan w:val="2"/>
            <w:noWrap/>
            <w:vAlign w:val="center"/>
          </w:tcPr>
          <w:p>
            <w:pPr>
              <w:keepNext w:val="0"/>
              <w:keepLines w:val="0"/>
              <w:widowControl/>
              <w:suppressLineNumbers w:val="0"/>
              <w:jc w:val="center"/>
              <w:textAlignment w:val="center"/>
              <w:rPr>
                <w:rFonts w:hint="default" w:ascii="宋体" w:hAnsi="宋体" w:eastAsia="宋体" w:cs="宋体"/>
                <w:b w:val="0"/>
                <w:bCs w:val="0"/>
                <w:i w:val="0"/>
                <w:iCs w:val="0"/>
                <w:color w:val="000000"/>
                <w:kern w:val="0"/>
                <w:sz w:val="18"/>
                <w:szCs w:val="18"/>
                <w:highlight w:val="none"/>
                <w:u w:val="none"/>
                <w:lang w:val="en-US" w:eastAsia="zh-CN" w:bidi="ar"/>
              </w:rPr>
            </w:pPr>
            <w:r>
              <w:rPr>
                <w:rFonts w:hint="eastAsia" w:ascii="宋体" w:hAnsi="宋体" w:cs="宋体"/>
                <w:b w:val="0"/>
                <w:bCs w:val="0"/>
                <w:i w:val="0"/>
                <w:iCs w:val="0"/>
                <w:color w:val="000000"/>
                <w:kern w:val="0"/>
                <w:sz w:val="18"/>
                <w:szCs w:val="18"/>
                <w:highlight w:val="none"/>
                <w:u w:val="none"/>
                <w:lang w:val="en-US" w:eastAsia="zh-CN" w:bidi="ar"/>
              </w:rPr>
              <w:t>废气治理设施效率监测</w:t>
            </w:r>
          </w:p>
        </w:tc>
        <w:tc>
          <w:tcPr>
            <w:tcW w:w="1067" w:type="pct"/>
            <w:noWrap w:val="0"/>
            <w:vAlign w:val="center"/>
          </w:tcPr>
          <w:p>
            <w:pPr>
              <w:keepNext w:val="0"/>
              <w:keepLines w:val="0"/>
              <w:widowControl/>
              <w:suppressLineNumbers w:val="0"/>
              <w:jc w:val="center"/>
              <w:textAlignment w:val="center"/>
              <w:rPr>
                <w:rFonts w:hint="default" w:ascii="宋体" w:hAnsi="宋体" w:eastAsia="宋体" w:cs="宋体"/>
                <w:b w:val="0"/>
                <w:bCs w:val="0"/>
                <w:i w:val="0"/>
                <w:iCs w:val="0"/>
                <w:color w:val="000000"/>
                <w:kern w:val="0"/>
                <w:sz w:val="18"/>
                <w:szCs w:val="18"/>
                <w:highlight w:val="none"/>
                <w:u w:val="none"/>
                <w:lang w:val="en-US" w:eastAsia="zh-CN" w:bidi="ar"/>
              </w:rPr>
            </w:pPr>
            <w:r>
              <w:rPr>
                <w:rFonts w:hint="eastAsia" w:ascii="宋体" w:hAnsi="宋体" w:cs="宋体"/>
                <w:b w:val="0"/>
                <w:bCs w:val="0"/>
                <w:i w:val="0"/>
                <w:iCs w:val="0"/>
                <w:color w:val="000000"/>
                <w:kern w:val="0"/>
                <w:sz w:val="18"/>
                <w:szCs w:val="18"/>
                <w:highlight w:val="none"/>
                <w:u w:val="none"/>
                <w:lang w:val="en-US" w:eastAsia="zh-CN" w:bidi="ar"/>
              </w:rPr>
              <w:t>非甲烷总烃、甲苯、二甲苯、苯系物、VOCs等</w:t>
            </w:r>
          </w:p>
        </w:tc>
        <w:tc>
          <w:tcPr>
            <w:tcW w:w="613" w:type="pct"/>
            <w:noWrap w:val="0"/>
            <w:vAlign w:val="center"/>
          </w:tcPr>
          <w:p>
            <w:pPr>
              <w:jc w:val="center"/>
              <w:rPr>
                <w:rFonts w:hint="default" w:ascii="宋体" w:hAnsi="宋体" w:eastAsia="宋体" w:cs="宋体"/>
                <w:b w:val="0"/>
                <w:bCs w:val="0"/>
                <w:i w:val="0"/>
                <w:iCs w:val="0"/>
                <w:color w:val="000000"/>
                <w:sz w:val="18"/>
                <w:szCs w:val="18"/>
                <w:highlight w:val="none"/>
                <w:u w:val="none"/>
                <w:lang w:val="en-US" w:eastAsia="zh-CN"/>
              </w:rPr>
            </w:pPr>
            <w:r>
              <w:rPr>
                <w:rFonts w:hint="eastAsia" w:ascii="宋体" w:hAnsi="宋体" w:cs="宋体"/>
                <w:b w:val="0"/>
                <w:bCs w:val="0"/>
                <w:i w:val="0"/>
                <w:iCs w:val="0"/>
                <w:color w:val="000000"/>
                <w:sz w:val="18"/>
                <w:szCs w:val="18"/>
                <w:highlight w:val="none"/>
                <w:u w:val="none"/>
                <w:lang w:val="en-US" w:eastAsia="zh-CN"/>
              </w:rPr>
              <w:t>一般在废气治理设施的进气口、出气口各设置1个监测点。</w:t>
            </w:r>
          </w:p>
        </w:tc>
        <w:tc>
          <w:tcPr>
            <w:tcW w:w="362" w:type="pct"/>
            <w:noWrap/>
            <w:vAlign w:val="center"/>
          </w:tcPr>
          <w:p>
            <w:pPr>
              <w:keepNext w:val="0"/>
              <w:keepLines w:val="0"/>
              <w:widowControl/>
              <w:suppressLineNumbers w:val="0"/>
              <w:jc w:val="center"/>
              <w:textAlignment w:val="center"/>
              <w:rPr>
                <w:rFonts w:hint="default" w:ascii="宋体" w:hAnsi="宋体" w:eastAsia="宋体" w:cs="宋体"/>
                <w:b w:val="0"/>
                <w:bCs w:val="0"/>
                <w:i w:val="0"/>
                <w:iCs w:val="0"/>
                <w:color w:val="000000"/>
                <w:kern w:val="0"/>
                <w:sz w:val="18"/>
                <w:szCs w:val="18"/>
                <w:highlight w:val="none"/>
                <w:u w:val="none"/>
                <w:lang w:val="en-US" w:eastAsia="zh-CN" w:bidi="ar"/>
              </w:rPr>
            </w:pPr>
            <w:r>
              <w:rPr>
                <w:rFonts w:hint="eastAsia" w:ascii="宋体" w:hAnsi="宋体" w:cs="宋体"/>
                <w:b w:val="0"/>
                <w:bCs w:val="0"/>
                <w:i w:val="0"/>
                <w:iCs w:val="0"/>
                <w:color w:val="000000"/>
                <w:kern w:val="0"/>
                <w:sz w:val="18"/>
                <w:szCs w:val="18"/>
                <w:highlight w:val="none"/>
                <w:u w:val="none"/>
                <w:lang w:val="en-US" w:eastAsia="zh-CN" w:bidi="ar"/>
              </w:rPr>
              <w:t>手工</w:t>
            </w:r>
          </w:p>
        </w:tc>
        <w:tc>
          <w:tcPr>
            <w:tcW w:w="714" w:type="pct"/>
            <w:noWrap/>
            <w:vAlign w:val="center"/>
          </w:tcPr>
          <w:p>
            <w:pPr>
              <w:keepNext w:val="0"/>
              <w:keepLines w:val="0"/>
              <w:widowControl/>
              <w:suppressLineNumbers w:val="0"/>
              <w:jc w:val="center"/>
              <w:textAlignment w:val="center"/>
              <w:rPr>
                <w:rFonts w:hint="default" w:ascii="宋体" w:hAnsi="宋体" w:eastAsia="宋体" w:cs="宋体"/>
                <w:b w:val="0"/>
                <w:bCs w:val="0"/>
                <w:i w:val="0"/>
                <w:iCs w:val="0"/>
                <w:color w:val="000000"/>
                <w:kern w:val="0"/>
                <w:sz w:val="18"/>
                <w:szCs w:val="18"/>
                <w:highlight w:val="none"/>
                <w:u w:val="none"/>
                <w:lang w:val="en-US" w:eastAsia="zh-CN" w:bidi="ar"/>
              </w:rPr>
            </w:pPr>
            <w:r>
              <w:rPr>
                <w:rFonts w:hint="eastAsia" w:ascii="宋体" w:hAnsi="宋体" w:cs="宋体"/>
                <w:b w:val="0"/>
                <w:bCs w:val="0"/>
                <w:i w:val="0"/>
                <w:iCs w:val="0"/>
                <w:color w:val="000000"/>
                <w:kern w:val="0"/>
                <w:sz w:val="18"/>
                <w:szCs w:val="18"/>
                <w:highlight w:val="none"/>
                <w:u w:val="none"/>
                <w:lang w:val="en-US" w:eastAsia="zh-CN" w:bidi="ar"/>
              </w:rPr>
              <w:t>1次/监测点</w:t>
            </w:r>
          </w:p>
        </w:tc>
        <w:tc>
          <w:tcPr>
            <w:tcW w:w="810" w:type="pct"/>
            <w:noWrap/>
            <w:vAlign w:val="center"/>
          </w:tcPr>
          <w:p>
            <w:pPr>
              <w:keepNext w:val="0"/>
              <w:keepLines w:val="0"/>
              <w:widowControl/>
              <w:suppressLineNumbers w:val="0"/>
              <w:jc w:val="left"/>
              <w:textAlignment w:val="center"/>
              <w:rPr>
                <w:rFonts w:hint="default" w:ascii="宋体" w:hAnsi="宋体" w:eastAsia="宋体" w:cs="宋体"/>
                <w:b w:val="0"/>
                <w:bCs w:val="0"/>
                <w:i w:val="0"/>
                <w:iCs w:val="0"/>
                <w:color w:val="000000"/>
                <w:kern w:val="0"/>
                <w:sz w:val="18"/>
                <w:szCs w:val="18"/>
                <w:highlight w:val="none"/>
                <w:u w:val="none"/>
                <w:lang w:val="en-US" w:eastAsia="zh-CN" w:bidi="ar"/>
              </w:rPr>
            </w:pPr>
            <w:r>
              <w:rPr>
                <w:rFonts w:hint="eastAsia" w:ascii="宋体" w:hAnsi="宋体" w:cs="宋体"/>
                <w:b w:val="0"/>
                <w:bCs w:val="0"/>
                <w:i w:val="0"/>
                <w:iCs w:val="0"/>
                <w:color w:val="000000"/>
                <w:kern w:val="0"/>
                <w:sz w:val="18"/>
                <w:szCs w:val="18"/>
                <w:highlight w:val="none"/>
                <w:u w:val="none"/>
                <w:lang w:val="en-US" w:eastAsia="zh-CN" w:bidi="ar"/>
              </w:rPr>
              <w:t>以公司废气治理设施19台套计，结算以实际监测废气治理设施的监测点计</w:t>
            </w:r>
          </w:p>
        </w:tc>
      </w:tr>
    </w:tbl>
    <w:p>
      <w:pPr>
        <w:numPr>
          <w:ilvl w:val="-1"/>
          <w:numId w:val="0"/>
        </w:numPr>
        <w:snapToGrid w:val="0"/>
        <w:spacing w:line="360" w:lineRule="auto"/>
        <w:ind w:firstLine="0" w:firstLineChars="0"/>
        <w:rPr>
          <w:rFonts w:hint="eastAsia" w:ascii="宋体" w:hAnsi="宋体" w:eastAsia="宋体" w:cs="仿宋"/>
          <w:b/>
          <w:sz w:val="24"/>
          <w:szCs w:val="24"/>
          <w:lang w:val="en-US" w:eastAsia="zh-CN"/>
        </w:rPr>
      </w:pPr>
      <w:r>
        <w:rPr>
          <w:rFonts w:hint="eastAsia" w:ascii="宋体" w:hAnsi="宋体" w:cs="仿宋"/>
          <w:b/>
          <w:sz w:val="24"/>
          <w:szCs w:val="24"/>
          <w:lang w:val="en-US" w:eastAsia="zh-CN"/>
        </w:rPr>
        <w:t>备注：最低监测频次为公司排污许可要求监测的频次，如某排放口监测因子因特殊情况需要，相应监测频次会增加。</w:t>
      </w:r>
    </w:p>
    <w:p>
      <w:pPr>
        <w:numPr>
          <w:ilvl w:val="0"/>
          <w:numId w:val="32"/>
        </w:numPr>
        <w:snapToGrid w:val="0"/>
        <w:spacing w:line="360" w:lineRule="auto"/>
        <w:ind w:firstLine="482" w:firstLineChars="200"/>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技术要求</w:t>
      </w:r>
    </w:p>
    <w:p>
      <w:pPr>
        <w:pStyle w:val="2"/>
        <w:spacing w:line="360" w:lineRule="auto"/>
        <w:ind w:firstLine="480" w:firstLineChars="200"/>
        <w:jc w:val="both"/>
        <w:rPr>
          <w:rFonts w:hint="default" w:ascii="宋体" w:hAnsi="宋体" w:eastAsia="宋体" w:cs="仿宋"/>
          <w:b/>
          <w:sz w:val="24"/>
          <w:szCs w:val="24"/>
          <w:lang w:val="en-US" w:eastAsia="zh-CN"/>
        </w:rPr>
      </w:pPr>
      <w:r>
        <w:rPr>
          <w:rFonts w:hint="eastAsia" w:ascii="宋体" w:hAnsi="宋体" w:eastAsia="宋体" w:cs="仿宋_GB2312"/>
          <w:bCs/>
          <w:sz w:val="24"/>
          <w:szCs w:val="24"/>
          <w:lang w:val="en-US" w:eastAsia="zh-CN"/>
        </w:rPr>
        <w:t>按照公司排污许可证管理要求，重庆汽车公司要开展废水、废气、噪声等环保监测，具体内容见表1。</w:t>
      </w:r>
    </w:p>
    <w:p>
      <w:pPr>
        <w:pStyle w:val="2"/>
        <w:spacing w:line="360" w:lineRule="auto"/>
        <w:ind w:left="361" w:leftChars="-228" w:hanging="840" w:hangingChars="400"/>
        <w:rPr>
          <w:rFonts w:hint="eastAsia" w:hAnsi="宋体"/>
          <w:b w:val="0"/>
          <w:bCs w:val="0"/>
          <w:highlight w:val="none"/>
        </w:rPr>
      </w:pPr>
      <w:r>
        <w:rPr>
          <w:rFonts w:hAnsi="宋体"/>
          <w:b w:val="0"/>
          <w:bCs w:val="0"/>
          <w:highlight w:val="none"/>
        </w:rPr>
        <w:t xml:space="preserve">       </w:t>
      </w:r>
      <w:r>
        <w:rPr>
          <w:rFonts w:hint="eastAsia" w:hAnsi="宋体"/>
          <w:b w:val="0"/>
          <w:bCs w:val="0"/>
          <w:highlight w:val="none"/>
          <w:lang w:val="en-US" w:eastAsia="zh-CN"/>
        </w:rPr>
        <w:t xml:space="preserve">   </w:t>
      </w:r>
      <w:r>
        <w:rPr>
          <w:rFonts w:hint="eastAsia" w:ascii="宋体" w:hAnsi="宋体" w:eastAsia="宋体" w:cs="仿宋_GB2312"/>
          <w:bCs/>
          <w:sz w:val="24"/>
          <w:szCs w:val="24"/>
          <w:lang w:val="en-US" w:eastAsia="zh-CN"/>
        </w:rPr>
        <w:t>（一）资质要求</w:t>
      </w:r>
    </w:p>
    <w:p>
      <w:pPr>
        <w:pStyle w:val="2"/>
        <w:spacing w:line="360" w:lineRule="auto"/>
        <w:ind w:firstLine="480" w:firstLineChars="200"/>
        <w:jc w:val="both"/>
        <w:rPr>
          <w:rFonts w:hint="default" w:ascii="宋体" w:hAnsi="宋体" w:eastAsia="宋体" w:cs="仿宋_GB2312"/>
          <w:bCs/>
          <w:sz w:val="24"/>
          <w:szCs w:val="24"/>
          <w:lang w:val="en-US" w:eastAsia="zh-CN"/>
        </w:rPr>
      </w:pPr>
      <w:r>
        <w:rPr>
          <w:rFonts w:hint="eastAsia" w:ascii="宋体" w:hAnsi="宋体" w:eastAsia="宋体" w:cs="仿宋_GB2312"/>
          <w:bCs/>
          <w:sz w:val="24"/>
          <w:szCs w:val="24"/>
          <w:lang w:val="en-US" w:eastAsia="zh-CN"/>
        </w:rPr>
        <w:t>供应商持有生态环境检测相应资质和能力，且经营资质范围必须满足公司委托处置的环保监测类别</w:t>
      </w:r>
      <w:r>
        <w:rPr>
          <w:rFonts w:hint="eastAsia" w:hAnsi="宋体" w:cs="仿宋_GB2312"/>
          <w:bCs/>
          <w:sz w:val="24"/>
          <w:szCs w:val="24"/>
          <w:lang w:val="en-US" w:eastAsia="zh-CN"/>
        </w:rPr>
        <w:t>大部分</w:t>
      </w:r>
      <w:r>
        <w:rPr>
          <w:rFonts w:hint="eastAsia" w:ascii="宋体" w:hAnsi="宋体" w:eastAsia="宋体" w:cs="仿宋_GB2312"/>
          <w:bCs/>
          <w:sz w:val="24"/>
          <w:szCs w:val="24"/>
          <w:lang w:val="en-US" w:eastAsia="zh-CN"/>
        </w:rPr>
        <w:t>范围</w:t>
      </w:r>
      <w:r>
        <w:rPr>
          <w:rFonts w:hint="eastAsia" w:hAnsi="宋体" w:cs="仿宋_GB2312"/>
          <w:bCs/>
          <w:sz w:val="24"/>
          <w:szCs w:val="24"/>
          <w:lang w:val="en-US" w:eastAsia="zh-CN"/>
        </w:rPr>
        <w:t>，废气监测相关指标不允许外包，其余监测相关指标允许少量外包，总外包监测指标个数不超过5个</w:t>
      </w:r>
      <w:r>
        <w:rPr>
          <w:rFonts w:hint="eastAsia" w:ascii="宋体" w:hAnsi="宋体" w:eastAsia="宋体" w:cs="仿宋_GB2312"/>
          <w:bCs/>
          <w:sz w:val="24"/>
          <w:szCs w:val="24"/>
          <w:lang w:val="en-US" w:eastAsia="zh-CN"/>
        </w:rPr>
        <w:t>。拥有实验室和本项目对样品检验工作要求的设施环境和设备配置，以及采样、检测人员，采样、检测人员不少于4人且具有相应能力证书；具有烟气采样设备至少2台，耐高温（500℃及以上）烟气采样设备至少1台。</w:t>
      </w:r>
    </w:p>
    <w:p>
      <w:pPr>
        <w:pStyle w:val="2"/>
        <w:spacing w:line="360" w:lineRule="auto"/>
        <w:ind w:firstLine="480" w:firstLineChars="200"/>
        <w:jc w:val="both"/>
        <w:rPr>
          <w:rFonts w:hint="default" w:ascii="宋体" w:hAnsi="宋体" w:eastAsia="宋体" w:cs="仿宋_GB2312"/>
          <w:bCs/>
          <w:sz w:val="24"/>
          <w:szCs w:val="24"/>
          <w:lang w:val="en-US" w:eastAsia="zh-CN"/>
        </w:rPr>
      </w:pPr>
      <w:r>
        <w:rPr>
          <w:rFonts w:hint="eastAsia" w:ascii="宋体" w:hAnsi="宋体" w:eastAsia="宋体" w:cs="仿宋_GB2312"/>
          <w:bCs/>
          <w:sz w:val="24"/>
          <w:szCs w:val="24"/>
          <w:lang w:val="en-US" w:eastAsia="zh-CN"/>
        </w:rPr>
        <w:t>（二）现场检测</w:t>
      </w:r>
    </w:p>
    <w:p>
      <w:pPr>
        <w:pStyle w:val="2"/>
        <w:spacing w:line="360" w:lineRule="auto"/>
        <w:ind w:firstLine="480" w:firstLineChars="200"/>
        <w:jc w:val="both"/>
        <w:rPr>
          <w:rFonts w:hint="default" w:ascii="宋体" w:hAnsi="宋体" w:eastAsia="宋体" w:cs="仿宋_GB2312"/>
          <w:bCs/>
          <w:sz w:val="24"/>
          <w:szCs w:val="24"/>
          <w:lang w:val="en-US" w:eastAsia="zh-CN"/>
        </w:rPr>
      </w:pPr>
      <w:r>
        <w:rPr>
          <w:rFonts w:hint="eastAsia" w:ascii="宋体" w:hAnsi="宋体" w:eastAsia="宋体" w:cs="仿宋_GB2312"/>
          <w:bCs/>
          <w:sz w:val="24"/>
          <w:szCs w:val="24"/>
          <w:lang w:val="en-US" w:eastAsia="zh-CN"/>
        </w:rPr>
        <w:t>（1）供应商</w:t>
      </w:r>
      <w:r>
        <w:rPr>
          <w:rFonts w:hint="default" w:ascii="宋体" w:hAnsi="宋体" w:eastAsia="宋体" w:cs="仿宋_GB2312"/>
          <w:bCs/>
          <w:sz w:val="24"/>
          <w:szCs w:val="24"/>
          <w:lang w:val="en-US" w:eastAsia="zh-CN"/>
        </w:rPr>
        <w:t>在</w:t>
      </w:r>
      <w:r>
        <w:rPr>
          <w:rFonts w:hint="eastAsia" w:ascii="宋体" w:hAnsi="宋体" w:eastAsia="宋体" w:cs="仿宋_GB2312"/>
          <w:bCs/>
          <w:sz w:val="24"/>
          <w:szCs w:val="24"/>
          <w:lang w:val="en-US" w:eastAsia="zh-CN"/>
        </w:rPr>
        <w:t>公司环保监测</w:t>
      </w:r>
      <w:r>
        <w:rPr>
          <w:rFonts w:hint="default" w:ascii="宋体" w:hAnsi="宋体" w:eastAsia="宋体" w:cs="仿宋_GB2312"/>
          <w:bCs/>
          <w:sz w:val="24"/>
          <w:szCs w:val="24"/>
          <w:lang w:val="en-US" w:eastAsia="zh-CN"/>
        </w:rPr>
        <w:t>的人员和设施设备须符合厂区内相关管理要求，并按招标人要求签订相关方职业健康、安全、环境保护协议，承担相应的责任。</w:t>
      </w:r>
    </w:p>
    <w:p>
      <w:pPr>
        <w:pStyle w:val="2"/>
        <w:spacing w:line="360" w:lineRule="auto"/>
        <w:ind w:firstLine="480" w:firstLineChars="200"/>
        <w:jc w:val="both"/>
        <w:rPr>
          <w:rFonts w:hint="eastAsia" w:ascii="宋体" w:hAnsi="宋体" w:eastAsia="宋体" w:cs="仿宋_GB2312"/>
          <w:bCs/>
          <w:sz w:val="24"/>
          <w:szCs w:val="24"/>
          <w:lang w:val="en-US" w:eastAsia="zh-CN"/>
        </w:rPr>
      </w:pPr>
      <w:r>
        <w:rPr>
          <w:rFonts w:hint="eastAsia" w:ascii="宋体" w:hAnsi="宋体" w:eastAsia="宋体" w:cs="仿宋_GB2312"/>
          <w:bCs/>
          <w:sz w:val="24"/>
          <w:szCs w:val="24"/>
          <w:lang w:val="en-US" w:eastAsia="zh-CN"/>
        </w:rPr>
        <w:t>（2）在公司开展环保监测过程中不得影响公司的正常生产运营工作，如若对生产运营造成影响并由此产生的一切后果均由供应商承担。</w:t>
      </w:r>
    </w:p>
    <w:p>
      <w:pPr>
        <w:pStyle w:val="2"/>
        <w:spacing w:line="360" w:lineRule="auto"/>
        <w:ind w:firstLine="480" w:firstLineChars="200"/>
        <w:jc w:val="both"/>
        <w:rPr>
          <w:rFonts w:hint="default" w:ascii="宋体" w:hAnsi="宋体" w:eastAsia="宋体" w:cs="仿宋_GB2312"/>
          <w:bCs/>
          <w:sz w:val="24"/>
          <w:szCs w:val="24"/>
          <w:lang w:val="en-US" w:eastAsia="zh-CN"/>
        </w:rPr>
      </w:pPr>
      <w:r>
        <w:rPr>
          <w:rFonts w:hint="eastAsia" w:ascii="宋体" w:hAnsi="宋体" w:eastAsia="宋体" w:cs="仿宋_GB2312"/>
          <w:bCs/>
          <w:sz w:val="24"/>
          <w:szCs w:val="24"/>
          <w:lang w:val="en-US" w:eastAsia="zh-CN"/>
        </w:rPr>
        <w:t>（三）响应时限</w:t>
      </w:r>
    </w:p>
    <w:p>
      <w:pPr>
        <w:pStyle w:val="2"/>
        <w:spacing w:line="360" w:lineRule="auto"/>
        <w:ind w:firstLine="480" w:firstLineChars="200"/>
        <w:jc w:val="both"/>
        <w:rPr>
          <w:rFonts w:hint="default" w:ascii="宋体" w:hAnsi="宋体" w:eastAsia="宋体" w:cs="仿宋_GB2312"/>
          <w:bCs/>
          <w:sz w:val="24"/>
          <w:szCs w:val="24"/>
          <w:lang w:val="en-US" w:eastAsia="zh-CN"/>
        </w:rPr>
      </w:pPr>
      <w:r>
        <w:rPr>
          <w:rFonts w:hint="eastAsia" w:ascii="宋体" w:hAnsi="宋体" w:eastAsia="宋体" w:cs="仿宋_GB2312"/>
          <w:bCs/>
          <w:sz w:val="24"/>
          <w:szCs w:val="24"/>
          <w:lang w:val="en-US" w:eastAsia="zh-CN"/>
        </w:rPr>
        <w:t>（1）供应商应于本项目开标时间前，及时联系我方进行技术交流，明确环保监测的监测频次、监测时间、监测内容及注意事项等各项内容，否则视为已完全知晓并同意我方环保监测各项内容。</w:t>
      </w:r>
    </w:p>
    <w:p>
      <w:pPr>
        <w:pStyle w:val="2"/>
        <w:spacing w:line="360" w:lineRule="auto"/>
        <w:ind w:firstLine="480" w:firstLineChars="200"/>
        <w:jc w:val="both"/>
        <w:rPr>
          <w:rFonts w:hint="eastAsia" w:ascii="宋体" w:hAnsi="宋体" w:eastAsia="宋体" w:cs="仿宋_GB2312"/>
          <w:bCs/>
          <w:sz w:val="24"/>
          <w:szCs w:val="24"/>
          <w:lang w:val="en-US" w:eastAsia="zh-CN"/>
        </w:rPr>
      </w:pPr>
      <w:r>
        <w:rPr>
          <w:rFonts w:hint="eastAsia" w:ascii="宋体" w:hAnsi="宋体" w:eastAsia="宋体" w:cs="仿宋_GB2312"/>
          <w:bCs/>
          <w:sz w:val="24"/>
          <w:szCs w:val="24"/>
          <w:lang w:val="en-US" w:eastAsia="zh-CN"/>
        </w:rPr>
        <w:t>（2）招标人提前一天（自然日）告知环保监测时间，供应商立即响应并安排环保监测，不得以任何理由拒绝、拖延应急监测，应急监测响应时间要求为2h内。</w:t>
      </w:r>
    </w:p>
    <w:p>
      <w:pPr>
        <w:pStyle w:val="2"/>
        <w:spacing w:line="360" w:lineRule="auto"/>
        <w:ind w:firstLine="480" w:firstLineChars="200"/>
        <w:jc w:val="both"/>
        <w:rPr>
          <w:rFonts w:hint="eastAsia" w:ascii="宋体" w:hAnsi="宋体" w:eastAsia="宋体" w:cs="仿宋_GB2312"/>
          <w:bCs/>
          <w:sz w:val="24"/>
          <w:szCs w:val="24"/>
          <w:lang w:val="en-US" w:eastAsia="zh-CN"/>
        </w:rPr>
      </w:pPr>
      <w:r>
        <w:rPr>
          <w:rFonts w:hint="eastAsia" w:ascii="宋体" w:hAnsi="宋体" w:eastAsia="宋体" w:cs="仿宋_GB2312"/>
          <w:bCs/>
          <w:sz w:val="24"/>
          <w:szCs w:val="24"/>
          <w:lang w:val="en-US" w:eastAsia="zh-CN"/>
        </w:rPr>
        <w:t>（3）供应商在监测采样结束后</w:t>
      </w:r>
      <w:r>
        <w:rPr>
          <w:rFonts w:hint="default" w:ascii="宋体" w:hAnsi="宋体" w:eastAsia="宋体" w:cs="仿宋_GB2312"/>
          <w:bCs/>
          <w:sz w:val="24"/>
          <w:szCs w:val="24"/>
          <w:lang w:val="en-US" w:eastAsia="zh-CN"/>
        </w:rPr>
        <w:t xml:space="preserve">7 </w:t>
      </w:r>
      <w:r>
        <w:rPr>
          <w:rFonts w:hint="eastAsia" w:ascii="宋体" w:hAnsi="宋体" w:eastAsia="宋体" w:cs="仿宋_GB2312"/>
          <w:bCs/>
          <w:sz w:val="24"/>
          <w:szCs w:val="24"/>
          <w:lang w:val="en-US" w:eastAsia="zh-CN"/>
        </w:rPr>
        <w:t>个自然日内出具监测报告，最长不超过10个自然日出具报告。</w:t>
      </w:r>
    </w:p>
    <w:p>
      <w:pPr>
        <w:pStyle w:val="2"/>
        <w:spacing w:line="360" w:lineRule="auto"/>
        <w:ind w:firstLine="480" w:firstLineChars="200"/>
        <w:jc w:val="both"/>
        <w:rPr>
          <w:rFonts w:hint="eastAsia" w:ascii="宋体" w:hAnsi="宋体" w:eastAsia="宋体" w:cs="仿宋_GB2312"/>
          <w:bCs/>
          <w:sz w:val="24"/>
          <w:szCs w:val="24"/>
          <w:lang w:val="en-US" w:eastAsia="zh-CN"/>
        </w:rPr>
      </w:pPr>
      <w:r>
        <w:rPr>
          <w:rFonts w:hint="eastAsia" w:ascii="宋体" w:hAnsi="宋体" w:eastAsia="宋体" w:cs="仿宋_GB2312"/>
          <w:bCs/>
          <w:sz w:val="24"/>
          <w:szCs w:val="24"/>
          <w:lang w:val="en-US" w:eastAsia="zh-CN"/>
        </w:rPr>
        <w:t>四、其他</w:t>
      </w:r>
    </w:p>
    <w:p>
      <w:pPr>
        <w:pStyle w:val="2"/>
        <w:spacing w:line="360" w:lineRule="auto"/>
        <w:ind w:firstLine="480" w:firstLineChars="200"/>
        <w:jc w:val="both"/>
        <w:rPr>
          <w:rFonts w:hint="eastAsia" w:ascii="宋体" w:hAnsi="宋体" w:eastAsia="宋体" w:cs="仿宋_GB2312"/>
          <w:bCs/>
          <w:sz w:val="24"/>
          <w:szCs w:val="24"/>
          <w:lang w:val="en-US" w:eastAsia="zh-CN"/>
        </w:rPr>
      </w:pPr>
      <w:r>
        <w:rPr>
          <w:rFonts w:hint="eastAsia" w:ascii="宋体" w:hAnsi="宋体" w:eastAsia="宋体" w:cs="仿宋_GB2312"/>
          <w:bCs/>
          <w:sz w:val="24"/>
          <w:szCs w:val="24"/>
          <w:lang w:val="en-US" w:eastAsia="zh-CN"/>
        </w:rPr>
        <w:t>1、本项目包含的环保监测相关服务内容，最终以合同约定为准。</w:t>
      </w:r>
    </w:p>
    <w:p>
      <w:pPr>
        <w:pStyle w:val="2"/>
        <w:spacing w:line="360" w:lineRule="auto"/>
        <w:ind w:firstLine="480" w:firstLineChars="200"/>
        <w:jc w:val="both"/>
        <w:rPr>
          <w:rFonts w:hint="eastAsia" w:ascii="宋体" w:hAnsi="宋体" w:eastAsia="宋体" w:cs="仿宋_GB2312"/>
          <w:bCs/>
          <w:sz w:val="24"/>
          <w:szCs w:val="24"/>
          <w:lang w:val="en-US" w:eastAsia="zh-CN"/>
        </w:rPr>
      </w:pPr>
      <w:r>
        <w:rPr>
          <w:rFonts w:hint="eastAsia" w:ascii="宋体" w:hAnsi="宋体" w:eastAsia="宋体" w:cs="仿宋_GB2312"/>
          <w:bCs/>
          <w:sz w:val="24"/>
          <w:szCs w:val="24"/>
          <w:lang w:val="en-US" w:eastAsia="zh-CN"/>
        </w:rPr>
        <w:t>2、因供应商原因未能及时完成项目的，或因乙方其他原因造成损失的，应赔偿由此给我司造成的损失。</w:t>
      </w:r>
    </w:p>
    <w:p>
      <w:pPr>
        <w:pStyle w:val="2"/>
        <w:spacing w:line="360" w:lineRule="auto"/>
        <w:ind w:firstLine="480" w:firstLineChars="200"/>
        <w:jc w:val="both"/>
        <w:rPr>
          <w:rFonts w:hint="eastAsia" w:hAnsi="宋体" w:cs="仿宋_GB2312"/>
          <w:bCs/>
          <w:sz w:val="24"/>
          <w:szCs w:val="24"/>
          <w:lang w:val="en-US" w:eastAsia="zh-CN"/>
        </w:rPr>
      </w:pPr>
      <w:r>
        <w:rPr>
          <w:rFonts w:hint="eastAsia" w:hAnsi="宋体" w:cs="仿宋_GB2312"/>
          <w:bCs/>
          <w:sz w:val="24"/>
          <w:szCs w:val="24"/>
          <w:lang w:val="en-US" w:eastAsia="zh-CN"/>
        </w:rPr>
        <w:t>3、供应商按照《生态环境监测条例》要求，建立监测数据质量管理制度，提供我方监测报告同时提供原始监测记录。</w:t>
      </w:r>
    </w:p>
    <w:p>
      <w:pPr>
        <w:pStyle w:val="2"/>
        <w:spacing w:line="360" w:lineRule="auto"/>
        <w:ind w:firstLine="480" w:firstLineChars="200"/>
        <w:jc w:val="both"/>
        <w:rPr>
          <w:rFonts w:hint="default" w:hAnsi="宋体" w:cs="仿宋_GB2312"/>
          <w:bCs/>
          <w:sz w:val="24"/>
          <w:szCs w:val="24"/>
          <w:lang w:val="en-US" w:eastAsia="zh-CN"/>
        </w:rPr>
      </w:pPr>
      <w:r>
        <w:rPr>
          <w:rFonts w:hint="eastAsia" w:hAnsi="宋体" w:cs="仿宋_GB2312"/>
          <w:bCs/>
          <w:sz w:val="24"/>
          <w:szCs w:val="24"/>
          <w:lang w:val="en-US" w:eastAsia="zh-CN"/>
        </w:rPr>
        <w:t>4、涉及甲苯与二甲苯合计指标的排放浓度，提供监测报告中按照甲苯、二甲苯、甲苯与二甲苯合计三个指标分别表征。</w:t>
      </w:r>
    </w:p>
    <w:p>
      <w:pPr>
        <w:pStyle w:val="2"/>
        <w:spacing w:line="360" w:lineRule="auto"/>
        <w:ind w:firstLine="480" w:firstLineChars="200"/>
        <w:jc w:val="both"/>
        <w:rPr>
          <w:rFonts w:hint="eastAsia" w:ascii="宋体" w:hAnsi="宋体" w:eastAsia="宋体" w:cs="仿宋_GB2312"/>
          <w:bCs/>
          <w:sz w:val="24"/>
          <w:szCs w:val="24"/>
          <w:lang w:val="en-US" w:eastAsia="zh-CN"/>
        </w:rPr>
      </w:pPr>
    </w:p>
    <w:p>
      <w:pPr>
        <w:pStyle w:val="2"/>
        <w:numPr>
          <w:ilvl w:val="0"/>
          <w:numId w:val="0"/>
        </w:numPr>
        <w:spacing w:line="360" w:lineRule="auto"/>
        <w:ind w:firstLine="883" w:firstLineChars="200"/>
        <w:jc w:val="left"/>
        <w:rPr>
          <w:rFonts w:hint="eastAsia" w:hAnsi="宋体"/>
          <w:b w:val="0"/>
          <w:bCs w:val="0"/>
          <w:sz w:val="24"/>
          <w:szCs w:val="24"/>
          <w:highlight w:val="none"/>
          <w:lang w:val="en-US" w:eastAsia="zh-CN"/>
        </w:rPr>
      </w:pPr>
      <w:r>
        <w:rPr>
          <w:rFonts w:hint="eastAsia" w:ascii="Calibri" w:hAnsi="Calibri"/>
          <w:b/>
          <w:bCs/>
          <w:kern w:val="44"/>
          <w:sz w:val="44"/>
          <w:szCs w:val="44"/>
        </w:rPr>
        <w:br w:type="page"/>
      </w:r>
    </w:p>
    <w:p>
      <w:pPr>
        <w:pStyle w:val="71"/>
        <w:adjustRightInd w:val="0"/>
        <w:snapToGrid w:val="0"/>
        <w:jc w:val="left"/>
        <w:outlineLvl w:val="9"/>
        <w:rPr>
          <w:rFonts w:ascii="宋体" w:hAnsi="宋体" w:eastAsia="宋体"/>
          <w:color w:val="000000"/>
          <w:sz w:val="24"/>
          <w:szCs w:val="24"/>
        </w:rPr>
      </w:pPr>
      <w:bookmarkStart w:id="13" w:name="_Toc47976615"/>
      <w:bookmarkStart w:id="14" w:name="_Toc16500"/>
      <w:r>
        <w:rPr>
          <w:rFonts w:hint="eastAsia" w:ascii="宋体" w:hAnsi="宋体" w:eastAsia="宋体"/>
          <w:sz w:val="24"/>
          <w:szCs w:val="24"/>
        </w:rPr>
        <w:t>第三部分　</w:t>
      </w:r>
      <w:bookmarkEnd w:id="13"/>
      <w:r>
        <w:rPr>
          <w:rFonts w:hint="eastAsia" w:ascii="宋体" w:hAnsi="宋体" w:eastAsia="宋体"/>
          <w:sz w:val="24"/>
          <w:szCs w:val="24"/>
        </w:rPr>
        <w:t>投标文件附件</w:t>
      </w:r>
      <w:bookmarkEnd w:id="14"/>
    </w:p>
    <w:p>
      <w:pPr>
        <w:pStyle w:val="2"/>
        <w:adjustRightInd w:val="0"/>
        <w:snapToGrid w:val="0"/>
        <w:spacing w:line="360" w:lineRule="auto"/>
        <w:jc w:val="left"/>
        <w:rPr>
          <w:rFonts w:hAnsi="宋体"/>
          <w:sz w:val="24"/>
          <w:szCs w:val="24"/>
        </w:rPr>
      </w:pPr>
    </w:p>
    <w:p>
      <w:pPr>
        <w:pStyle w:val="72"/>
        <w:numPr>
          <w:ilvl w:val="0"/>
          <w:numId w:val="0"/>
        </w:numPr>
        <w:adjustRightInd w:val="0"/>
        <w:snapToGrid w:val="0"/>
        <w:jc w:val="left"/>
        <w:outlineLvl w:val="9"/>
        <w:rPr>
          <w:rFonts w:ascii="宋体" w:hAnsi="宋体" w:eastAsia="宋体" w:cs="宋体"/>
          <w:sz w:val="24"/>
          <w:szCs w:val="24"/>
        </w:rPr>
      </w:pPr>
      <w:bookmarkStart w:id="15" w:name="_Toc47976618"/>
      <w:bookmarkStart w:id="16" w:name="_Toc29366865"/>
      <w:bookmarkStart w:id="17" w:name="_Toc29366869"/>
      <w:r>
        <w:rPr>
          <w:rFonts w:hint="eastAsia" w:ascii="宋体" w:hAnsi="宋体" w:eastAsia="宋体" w:cs="宋体"/>
          <w:sz w:val="24"/>
          <w:szCs w:val="24"/>
        </w:rPr>
        <w:t>附件1 法定代表人授权委托书</w:t>
      </w:r>
    </w:p>
    <w:bookmarkEnd w:id="15"/>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2026年环保监测项目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0"/>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pPr>
        <w:adjustRightInd w:val="0"/>
        <w:snapToGrid w:val="0"/>
        <w:spacing w:line="360" w:lineRule="auto"/>
        <w:jc w:val="left"/>
        <w:rPr>
          <w:rFonts w:ascii="宋体" w:hAnsi="宋体"/>
          <w:color w:val="000000"/>
          <w:sz w:val="24"/>
          <w:szCs w:val="24"/>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pPr>
        <w:adjustRightInd w:val="0"/>
        <w:snapToGrid w:val="0"/>
        <w:spacing w:line="360" w:lineRule="auto"/>
        <w:jc w:val="left"/>
        <w:rPr>
          <w:rFonts w:ascii="宋体" w:hAnsi="宋体"/>
          <w:sz w:val="24"/>
          <w:szCs w:val="24"/>
          <w:u w:val="single"/>
        </w:rPr>
      </w:pPr>
    </w:p>
    <w:p>
      <w:pPr>
        <w:adjustRightInd w:val="0"/>
        <w:snapToGrid w:val="0"/>
        <w:spacing w:line="360" w:lineRule="auto"/>
        <w:jc w:val="left"/>
        <w:rPr>
          <w:rFonts w:ascii="宋体" w:hAnsi="宋体"/>
          <w:b/>
          <w:bCs/>
          <w:color w:val="000000"/>
          <w:sz w:val="24"/>
          <w:szCs w:val="24"/>
        </w:rPr>
      </w:pPr>
    </w:p>
    <w:p>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pPr>
        <w:pStyle w:val="72"/>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pPr>
        <w:adjustRightInd w:val="0"/>
        <w:snapToGrid w:val="0"/>
        <w:spacing w:line="360" w:lineRule="auto"/>
        <w:jc w:val="left"/>
        <w:rPr>
          <w:rFonts w:ascii="宋体" w:hAnsi="宋体"/>
          <w:b/>
          <w:bCs/>
          <w:sz w:val="24"/>
          <w:szCs w:val="24"/>
        </w:rPr>
      </w:pPr>
    </w:p>
    <w:p>
      <w:pPr>
        <w:adjustRightInd w:val="0"/>
        <w:snapToGrid w:val="0"/>
        <w:spacing w:line="360" w:lineRule="auto"/>
        <w:jc w:val="left"/>
        <w:rPr>
          <w:rFonts w:ascii="宋体" w:hAnsi="宋体" w:cs="宋体"/>
          <w:b/>
          <w:bCs/>
          <w:sz w:val="24"/>
          <w:szCs w:val="24"/>
          <w:u w:val="single"/>
        </w:rPr>
      </w:pPr>
      <w:r>
        <w:rPr>
          <w:rFonts w:hint="eastAsia" w:ascii="宋体" w:hAnsi="宋体"/>
          <w:sz w:val="24"/>
          <w:szCs w:val="24"/>
        </w:rPr>
        <w:t>项目名称：</w:t>
      </w:r>
      <w:r>
        <w:rPr>
          <w:rFonts w:hint="eastAsia" w:ascii="宋体" w:hAnsi="宋体" w:cs="宋体"/>
          <w:b/>
          <w:bCs/>
          <w:sz w:val="24"/>
          <w:szCs w:val="24"/>
          <w:u w:val="single"/>
        </w:rPr>
        <w:t>2026年环保监测项目</w:t>
      </w:r>
    </w:p>
    <w:p>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6"/>
    <w:bookmarkEnd w:id="17"/>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2"/>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pPr>
        <w:pStyle w:val="72"/>
        <w:numPr>
          <w:ilvl w:val="0"/>
          <w:numId w:val="0"/>
        </w:numPr>
        <w:adjustRightInd w:val="0"/>
        <w:snapToGrid w:val="0"/>
        <w:jc w:val="left"/>
        <w:outlineLvl w:val="9"/>
        <w:rPr>
          <w:rFonts w:ascii="宋体" w:hAnsi="宋体" w:eastAsia="宋体" w:cs="宋体"/>
          <w:sz w:val="24"/>
          <w:szCs w:val="24"/>
        </w:rPr>
      </w:pPr>
      <w:bookmarkStart w:id="18" w:name="_Toc4225"/>
      <w:bookmarkStart w:id="19" w:name="_Toc47976616"/>
      <w:r>
        <w:rPr>
          <w:rFonts w:hint="eastAsia" w:ascii="宋体" w:hAnsi="宋体" w:eastAsia="宋体" w:cs="宋体"/>
          <w:sz w:val="24"/>
          <w:szCs w:val="24"/>
        </w:rPr>
        <w:t>附件</w:t>
      </w:r>
      <w:bookmarkEnd w:id="18"/>
      <w:bookmarkEnd w:id="19"/>
      <w:r>
        <w:rPr>
          <w:rFonts w:ascii="宋体" w:hAnsi="宋体" w:eastAsia="宋体" w:cs="宋体"/>
          <w:sz w:val="24"/>
          <w:szCs w:val="24"/>
        </w:rPr>
        <w:t>4</w:t>
      </w:r>
      <w:r>
        <w:rPr>
          <w:rFonts w:hint="eastAsia" w:ascii="宋体" w:hAnsi="宋体" w:eastAsia="宋体" w:cs="宋体"/>
          <w:sz w:val="24"/>
          <w:szCs w:val="24"/>
        </w:rPr>
        <w:t xml:space="preserve"> 投标函</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color w:val="000000"/>
          <w:sz w:val="24"/>
          <w:szCs w:val="24"/>
          <w:u w:val="single"/>
        </w:rPr>
        <w:t>2026年环保监测项目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pPr>
        <w:pStyle w:val="62"/>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pPr>
        <w:pStyle w:val="62"/>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pPr>
        <w:pStyle w:val="62"/>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pPr>
        <w:pStyle w:val="62"/>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pPr>
        <w:pStyle w:val="62"/>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pPr>
        <w:pStyle w:val="62"/>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pPr>
        <w:pStyle w:val="76"/>
        <w:adjustRightInd w:val="0"/>
        <w:snapToGrid w:val="0"/>
        <w:rPr>
          <w:rFonts w:hAnsi="宋体"/>
          <w:sz w:val="24"/>
          <w:szCs w:val="24"/>
        </w:rPr>
      </w:pPr>
    </w:p>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2"/>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0"/>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bCs/>
                <w:sz w:val="24"/>
                <w:szCs w:val="24"/>
              </w:rPr>
              <w:t>特种作业及特种设备作业培训项目</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是否偏离</w:t>
            </w:r>
          </w:p>
          <w:p>
            <w:pPr>
              <w:adjustRightInd w:val="0"/>
              <w:snapToGrid w:val="0"/>
              <w:jc w:val="left"/>
              <w:rPr>
                <w:rFonts w:ascii="宋体" w:hAnsi="宋体"/>
                <w:b/>
                <w:sz w:val="24"/>
                <w:szCs w:val="24"/>
              </w:rPr>
            </w:pPr>
            <w:r>
              <w:rPr>
                <w:rFonts w:hint="eastAsia" w:ascii="宋体" w:hAnsi="宋体" w:cs="宋体"/>
                <w:b/>
                <w:sz w:val="24"/>
                <w:szCs w:val="24"/>
              </w:rPr>
              <w:t>（提供说明）</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bl>
    <w:p>
      <w:pPr>
        <w:adjustRightInd w:val="0"/>
        <w:snapToGrid w:val="0"/>
        <w:spacing w:line="360" w:lineRule="auto"/>
        <w:jc w:val="left"/>
        <w:rPr>
          <w:rFonts w:ascii="宋体" w:hAnsi="宋体"/>
          <w:color w:val="000000"/>
          <w:sz w:val="24"/>
          <w:szCs w:val="24"/>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pPr>
        <w:pStyle w:val="12"/>
        <w:adjustRightInd w:val="0"/>
        <w:snapToGrid w:val="0"/>
        <w:spacing w:line="360" w:lineRule="auto"/>
        <w:jc w:val="left"/>
        <w:rPr>
          <w:rFonts w:ascii="宋体" w:hAnsi="宋体" w:eastAsia="宋体"/>
          <w:sz w:val="24"/>
          <w:szCs w:val="24"/>
        </w:rPr>
      </w:pPr>
    </w:p>
    <w:p>
      <w:pPr>
        <w:pStyle w:val="76"/>
        <w:adjustRightInd w:val="0"/>
        <w:snapToGrid w:val="0"/>
        <w:rPr>
          <w:rFonts w:hAnsi="宋体"/>
          <w:sz w:val="24"/>
          <w:szCs w:val="24"/>
        </w:rPr>
      </w:pPr>
    </w:p>
    <w:p>
      <w:pPr>
        <w:pStyle w:val="76"/>
        <w:adjustRightInd w:val="0"/>
        <w:snapToGrid w:val="0"/>
        <w:rPr>
          <w:rFonts w:hAnsi="宋体"/>
          <w:sz w:val="24"/>
          <w:szCs w:val="24"/>
        </w:rPr>
      </w:pPr>
    </w:p>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2"/>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pPr>
        <w:adjustRightInd w:val="0"/>
        <w:snapToGrid w:val="0"/>
        <w:spacing w:line="360" w:lineRule="auto"/>
        <w:jc w:val="left"/>
        <w:rPr>
          <w:rFonts w:ascii="宋体" w:hAnsi="宋体"/>
          <w:b/>
          <w:sz w:val="24"/>
          <w:szCs w:val="24"/>
        </w:rPr>
      </w:pPr>
    </w:p>
    <w:p>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pPr>
        <w:pStyle w:val="12"/>
        <w:adjustRightInd w:val="0"/>
        <w:snapToGrid w:val="0"/>
        <w:spacing w:line="360" w:lineRule="auto"/>
        <w:jc w:val="left"/>
        <w:rPr>
          <w:rFonts w:ascii="宋体" w:hAnsi="宋体" w:eastAsia="宋体"/>
          <w:b/>
          <w:sz w:val="24"/>
          <w:szCs w:val="24"/>
        </w:rPr>
      </w:pPr>
    </w:p>
    <w:p>
      <w:pPr>
        <w:pStyle w:val="12"/>
        <w:adjustRightInd w:val="0"/>
        <w:snapToGrid w:val="0"/>
        <w:spacing w:line="360" w:lineRule="auto"/>
        <w:jc w:val="left"/>
        <w:rPr>
          <w:rFonts w:ascii="宋体" w:hAnsi="宋体" w:eastAsia="宋体"/>
          <w:b/>
          <w:sz w:val="24"/>
          <w:szCs w:val="24"/>
        </w:rPr>
      </w:pPr>
    </w:p>
    <w:p>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pPr>
        <w:adjustRightInd w:val="0"/>
        <w:snapToGrid w:val="0"/>
        <w:spacing w:line="360" w:lineRule="auto"/>
        <w:jc w:val="left"/>
        <w:rPr>
          <w:rFonts w:ascii="宋体" w:hAnsi="宋体"/>
          <w:sz w:val="24"/>
          <w:szCs w:val="24"/>
        </w:rPr>
      </w:pPr>
      <w:r>
        <w:rPr>
          <w:rFonts w:ascii="宋体" w:hAnsi="宋体"/>
          <w:sz w:val="24"/>
          <w:szCs w:val="24"/>
        </w:rPr>
        <w:t xml:space="preserve">地址：      </w:t>
      </w:r>
    </w:p>
    <w:p>
      <w:pPr>
        <w:adjustRightInd w:val="0"/>
        <w:snapToGrid w:val="0"/>
        <w:spacing w:line="360" w:lineRule="auto"/>
        <w:jc w:val="left"/>
        <w:rPr>
          <w:rFonts w:ascii="宋体" w:hAnsi="宋体"/>
          <w:sz w:val="24"/>
          <w:szCs w:val="24"/>
        </w:rPr>
      </w:pPr>
      <w:r>
        <w:rPr>
          <w:rFonts w:ascii="宋体" w:hAnsi="宋体"/>
          <w:sz w:val="24"/>
          <w:szCs w:val="24"/>
        </w:rPr>
        <w:t xml:space="preserve">开户行：     </w:t>
      </w:r>
    </w:p>
    <w:p>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pPr>
        <w:pStyle w:val="72"/>
        <w:numPr>
          <w:ilvl w:val="0"/>
          <w:numId w:val="0"/>
        </w:numPr>
        <w:adjustRightInd w:val="0"/>
        <w:snapToGrid w:val="0"/>
        <w:jc w:val="left"/>
        <w:outlineLvl w:val="9"/>
        <w:rPr>
          <w:rFonts w:ascii="宋体" w:hAnsi="宋体" w:eastAsia="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br w:type="page"/>
      </w:r>
    </w:p>
    <w:p>
      <w:pPr>
        <w:pStyle w:val="72"/>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pPr>
        <w:adjustRightInd w:val="0"/>
        <w:snapToGrid w:val="0"/>
        <w:spacing w:line="360" w:lineRule="auto"/>
        <w:jc w:val="left"/>
        <w:rPr>
          <w:rFonts w:ascii="宋体" w:hAnsi="宋体" w:cs="宋体"/>
          <w:sz w:val="24"/>
          <w:szCs w:val="24"/>
        </w:rPr>
      </w:pPr>
    </w:p>
    <w:p>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srcRect/>
                    <a:stretch>
                      <a:fillRect/>
                    </a:stretch>
                  </pic:blipFill>
                  <pic:spPr>
                    <a:xfrm>
                      <a:off x="0" y="0"/>
                      <a:ext cx="5760085" cy="276669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pPr>
        <w:numPr>
          <w:ilvl w:val="0"/>
          <w:numId w:val="34"/>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pPr>
        <w:pStyle w:val="2"/>
        <w:adjustRightInd w:val="0"/>
        <w:snapToGrid w:val="0"/>
        <w:spacing w:line="360" w:lineRule="auto"/>
        <w:jc w:val="left"/>
        <w:rPr>
          <w:rFonts w:hAnsi="宋体"/>
          <w:sz w:val="24"/>
          <w:szCs w:val="24"/>
        </w:rPr>
      </w:pPr>
    </w:p>
    <w:p>
      <w:pPr>
        <w:adjustRightInd w:val="0"/>
        <w:snapToGrid w:val="0"/>
        <w:spacing w:line="360" w:lineRule="auto"/>
        <w:jc w:val="left"/>
        <w:rPr>
          <w:rFonts w:ascii="宋体" w:hAnsi="宋体" w:cs="宋体"/>
          <w:color w:val="000000"/>
          <w:sz w:val="24"/>
          <w:szCs w:val="24"/>
        </w:rPr>
      </w:pP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pPr>
        <w:pStyle w:val="2"/>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pPr>
        <w:pStyle w:val="2"/>
        <w:adjustRightInd w:val="0"/>
        <w:snapToGrid w:val="0"/>
        <w:spacing w:line="360" w:lineRule="auto"/>
        <w:jc w:val="left"/>
        <w:rPr>
          <w:rFonts w:hAnsi="宋体"/>
          <w:sz w:val="24"/>
          <w:szCs w:val="24"/>
        </w:rPr>
      </w:pPr>
    </w:p>
    <w:p>
      <w:pPr>
        <w:pStyle w:val="2"/>
        <w:adjustRightInd w:val="0"/>
        <w:snapToGrid w:val="0"/>
        <w:spacing w:line="360" w:lineRule="auto"/>
        <w:jc w:val="left"/>
        <w:rPr>
          <w:rFonts w:hAnsi="宋体"/>
          <w:sz w:val="24"/>
          <w:szCs w:val="24"/>
        </w:rPr>
      </w:pP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pPr>
        <w:pStyle w:val="2"/>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pPr>
        <w:pStyle w:val="72"/>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cs="宋体"/>
          <w:sz w:val="24"/>
          <w:szCs w:val="24"/>
        </w:rPr>
        <w:t>https://ecaitong.sinotruk.com:8012/</w:t>
      </w:r>
      <w:r>
        <w:rPr>
          <w:rStyle w:val="37"/>
          <w:rFonts w:hint="eastAsia" w:ascii="宋体" w:hAnsi="宋体" w:cs="宋体"/>
          <w:sz w:val="24"/>
          <w:szCs w:val="24"/>
        </w:rPr>
        <w:fldChar w:fldCharType="end"/>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pPr>
        <w:pStyle w:val="2"/>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pPr>
        <w:pStyle w:val="6"/>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pPr>
        <w:pStyle w:val="6"/>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pPr>
        <w:pStyle w:val="76"/>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0000000000000000000"/>
    <w:charset w:val="86"/>
    <w:family w:val="auto"/>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答疑">
    <w:altName w:val="Segoe Print"/>
    <w:panose1 w:val="00000000000000000000"/>
    <w:charset w:val="00"/>
    <w:family w:val="auto"/>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pPr>
          <w:pStyle w:val="18"/>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framePr w:wrap="around" w:vAnchor="text" w:hAnchor="margin" w:xAlign="center" w:y="1"/>
      <w:rPr>
        <w:rStyle w:val="34"/>
      </w:rPr>
    </w:pPr>
    <w:r>
      <w:fldChar w:fldCharType="begin"/>
    </w:r>
    <w:r>
      <w:rPr>
        <w:rStyle w:val="34"/>
      </w:rPr>
      <w:instrText xml:space="preserve">PAGE  </w:instrText>
    </w:r>
    <w:r>
      <w:fldChar w:fldCharType="end"/>
    </w:r>
  </w:p>
  <w:p>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pPr>
              <w:pStyle w:val="18"/>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18"/>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pPr>
              <w:pStyle w:val="18"/>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1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pPr>
              <w:pStyle w:val="18"/>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18"/>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pPr>
              <w:pStyle w:val="18"/>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pPr>
              <w:pStyle w:val="18"/>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F3AD39C0"/>
    <w:multiLevelType w:val="singleLevel"/>
    <w:tmpl w:val="F3AD39C0"/>
    <w:lvl w:ilvl="0" w:tentative="0">
      <w:start w:val="2"/>
      <w:numFmt w:val="chineseCounting"/>
      <w:suff w:val="nothing"/>
      <w:lvlText w:val="%1、"/>
      <w:lvlJc w:val="left"/>
      <w:rPr>
        <w:rFonts w:hint="eastAsia"/>
      </w:rPr>
    </w:lvl>
  </w:abstractNum>
  <w:abstractNum w:abstractNumId="3">
    <w:nsid w:val="00000003"/>
    <w:multiLevelType w:val="singleLevel"/>
    <w:tmpl w:val="00000003"/>
    <w:lvl w:ilvl="0" w:tentative="0">
      <w:start w:val="5"/>
      <w:numFmt w:val="decimal"/>
      <w:lvlText w:val="%1."/>
      <w:lvlJc w:val="left"/>
      <w:pPr>
        <w:tabs>
          <w:tab w:val="left" w:pos="312"/>
        </w:tabs>
      </w:pPr>
    </w:lvl>
  </w:abstractNum>
  <w:abstractNum w:abstractNumId="4">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8">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3">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6">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4CB32FC8"/>
    <w:multiLevelType w:val="multilevel"/>
    <w:tmpl w:val="4CB32FC8"/>
    <w:lvl w:ilvl="0" w:tentative="0">
      <w:start w:val="1"/>
      <w:numFmt w:val="upperLetter"/>
      <w:pStyle w:val="7"/>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4">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5">
    <w:nsid w:val="509C3677"/>
    <w:multiLevelType w:val="multilevel"/>
    <w:tmpl w:val="509C367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6">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7">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8">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9">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656A6EAE"/>
    <w:multiLevelType w:val="multilevel"/>
    <w:tmpl w:val="656A6EAE"/>
    <w:lvl w:ilvl="0" w:tentative="0">
      <w:start w:val="1"/>
      <w:numFmt w:val="chineseCountingThousand"/>
      <w:pStyle w:val="72"/>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3">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3"/>
  </w:num>
  <w:num w:numId="2">
    <w:abstractNumId w:val="32"/>
  </w:num>
  <w:num w:numId="3">
    <w:abstractNumId w:val="28"/>
  </w:num>
  <w:num w:numId="4">
    <w:abstractNumId w:val="26"/>
  </w:num>
  <w:num w:numId="5">
    <w:abstractNumId w:val="7"/>
  </w:num>
  <w:num w:numId="6">
    <w:abstractNumId w:val="10"/>
  </w:num>
  <w:num w:numId="7">
    <w:abstractNumId w:val="12"/>
  </w:num>
  <w:num w:numId="8">
    <w:abstractNumId w:val="27"/>
  </w:num>
  <w:num w:numId="9">
    <w:abstractNumId w:val="29"/>
  </w:num>
  <w:num w:numId="10">
    <w:abstractNumId w:val="25"/>
  </w:num>
  <w:num w:numId="11">
    <w:abstractNumId w:val="8"/>
  </w:num>
  <w:num w:numId="12">
    <w:abstractNumId w:val="21"/>
  </w:num>
  <w:num w:numId="13">
    <w:abstractNumId w:val="22"/>
  </w:num>
  <w:num w:numId="14">
    <w:abstractNumId w:val="4"/>
  </w:num>
  <w:num w:numId="15">
    <w:abstractNumId w:val="6"/>
  </w:num>
  <w:num w:numId="16">
    <w:abstractNumId w:val="1"/>
  </w:num>
  <w:num w:numId="17">
    <w:abstractNumId w:val="31"/>
  </w:num>
  <w:num w:numId="18">
    <w:abstractNumId w:val="19"/>
  </w:num>
  <w:num w:numId="19">
    <w:abstractNumId w:val="11"/>
  </w:num>
  <w:num w:numId="20">
    <w:abstractNumId w:val="24"/>
  </w:num>
  <w:num w:numId="21">
    <w:abstractNumId w:val="5"/>
  </w:num>
  <w:num w:numId="22">
    <w:abstractNumId w:val="14"/>
  </w:num>
  <w:num w:numId="23">
    <w:abstractNumId w:val="9"/>
  </w:num>
  <w:num w:numId="24">
    <w:abstractNumId w:val="30"/>
  </w:num>
  <w:num w:numId="25">
    <w:abstractNumId w:val="18"/>
  </w:num>
  <w:num w:numId="26">
    <w:abstractNumId w:val="33"/>
  </w:num>
  <w:num w:numId="27">
    <w:abstractNumId w:val="0"/>
  </w:num>
  <w:num w:numId="28">
    <w:abstractNumId w:val="15"/>
  </w:num>
  <w:num w:numId="29">
    <w:abstractNumId w:val="16"/>
  </w:num>
  <w:num w:numId="30">
    <w:abstractNumId w:val="17"/>
  </w:num>
  <w:num w:numId="31">
    <w:abstractNumId w:val="20"/>
  </w:num>
  <w:num w:numId="32">
    <w:abstractNumId w:val="2"/>
  </w:num>
  <w:num w:numId="33">
    <w:abstractNumId w:val="13"/>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2"/>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12F3B"/>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1E5070"/>
    <w:rsid w:val="0E4D31E3"/>
    <w:rsid w:val="0E530E38"/>
    <w:rsid w:val="10DC2AA3"/>
    <w:rsid w:val="10FA7C8C"/>
    <w:rsid w:val="12F64B6E"/>
    <w:rsid w:val="130B198F"/>
    <w:rsid w:val="13B54178"/>
    <w:rsid w:val="13FA68E0"/>
    <w:rsid w:val="15BB1367"/>
    <w:rsid w:val="16A918E4"/>
    <w:rsid w:val="17D966D6"/>
    <w:rsid w:val="18B1516A"/>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9322FCA"/>
    <w:rsid w:val="395C1BFB"/>
    <w:rsid w:val="3A503E1E"/>
    <w:rsid w:val="3AB90991"/>
    <w:rsid w:val="3B6C1963"/>
    <w:rsid w:val="3B706131"/>
    <w:rsid w:val="3BF833EC"/>
    <w:rsid w:val="3C8E02FC"/>
    <w:rsid w:val="3E0838CB"/>
    <w:rsid w:val="3E6F041E"/>
    <w:rsid w:val="3E846635"/>
    <w:rsid w:val="3F9D2397"/>
    <w:rsid w:val="418D0CE6"/>
    <w:rsid w:val="41A5482C"/>
    <w:rsid w:val="4275481E"/>
    <w:rsid w:val="428B617A"/>
    <w:rsid w:val="42947BD5"/>
    <w:rsid w:val="42C76C92"/>
    <w:rsid w:val="42CE288A"/>
    <w:rsid w:val="433D7BDC"/>
    <w:rsid w:val="437E1813"/>
    <w:rsid w:val="43A427AA"/>
    <w:rsid w:val="43F95365"/>
    <w:rsid w:val="444E2202"/>
    <w:rsid w:val="45354CBC"/>
    <w:rsid w:val="45BD47FC"/>
    <w:rsid w:val="45CC5FB2"/>
    <w:rsid w:val="46B75BA8"/>
    <w:rsid w:val="46E91D19"/>
    <w:rsid w:val="48C97955"/>
    <w:rsid w:val="49880C8F"/>
    <w:rsid w:val="4A8835F7"/>
    <w:rsid w:val="4B592E71"/>
    <w:rsid w:val="4C142ECC"/>
    <w:rsid w:val="4CD32C8D"/>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8"/>
    <w:pPr>
      <w:widowControl w:val="0"/>
      <w:jc w:val="both"/>
    </w:pPr>
    <w:rPr>
      <w:rFonts w:ascii="Times New Roman" w:hAnsi="Times New Roman" w:eastAsia="宋体" w:cs="Times New Roman"/>
      <w:kern w:val="2"/>
      <w:sz w:val="21"/>
      <w:lang w:val="en-US" w:eastAsia="zh-CN" w:bidi="ar-SA"/>
    </w:rPr>
  </w:style>
  <w:style w:type="paragraph" w:styleId="3">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81"/>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111"/>
    <w:semiHidden/>
    <w:qFormat/>
    <w:uiPriority w:val="0"/>
    <w:pPr>
      <w:keepNext/>
      <w:keepLines/>
      <w:spacing w:line="416" w:lineRule="auto"/>
      <w:outlineLvl w:val="2"/>
    </w:pPr>
    <w:rPr>
      <w:b/>
      <w:bCs/>
      <w:sz w:val="32"/>
      <w:szCs w:val="32"/>
    </w:rPr>
  </w:style>
  <w:style w:type="paragraph" w:styleId="6">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7">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2">
    <w:name w:val="Plain Text"/>
    <w:basedOn w:val="1"/>
    <w:link w:val="50"/>
    <w:qFormat/>
    <w:uiPriority w:val="0"/>
    <w:rPr>
      <w:rFonts w:ascii="宋体" w:hAnsi="Courier New"/>
    </w:rPr>
  </w:style>
  <w:style w:type="paragraph" w:styleId="8">
    <w:name w:val="E-mail Signature"/>
    <w:basedOn w:val="1"/>
    <w:link w:val="104"/>
    <w:semiHidden/>
    <w:qFormat/>
    <w:uiPriority w:val="99"/>
    <w:pPr>
      <w:spacing w:after="200" w:line="276" w:lineRule="auto"/>
      <w:jc w:val="left"/>
    </w:pPr>
    <w:rPr>
      <w:rFonts w:ascii="Calibri" w:hAnsi="Calibri"/>
      <w:kern w:val="0"/>
      <w:szCs w:val="21"/>
    </w:rPr>
  </w:style>
  <w:style w:type="paragraph" w:styleId="9">
    <w:name w:val="caption"/>
    <w:basedOn w:val="1"/>
    <w:next w:val="1"/>
    <w:semiHidden/>
    <w:qFormat/>
    <w:uiPriority w:val="98"/>
    <w:pPr>
      <w:spacing w:before="152" w:after="160"/>
    </w:pPr>
    <w:rPr>
      <w:rFonts w:ascii="Arial" w:hAnsi="Arial" w:eastAsia="黑体" w:cs="Arial"/>
      <w:sz w:val="20"/>
    </w:rPr>
  </w:style>
  <w:style w:type="paragraph" w:styleId="10">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1">
    <w:name w:val="annotation text"/>
    <w:basedOn w:val="1"/>
    <w:link w:val="45"/>
    <w:qFormat/>
    <w:uiPriority w:val="99"/>
    <w:pPr>
      <w:jc w:val="left"/>
    </w:pPr>
  </w:style>
  <w:style w:type="paragraph" w:styleId="12">
    <w:name w:val="Body Text"/>
    <w:basedOn w:val="1"/>
    <w:link w:val="41"/>
    <w:semiHidden/>
    <w:qFormat/>
    <w:uiPriority w:val="98"/>
    <w:rPr>
      <w:rFonts w:ascii="仿宋_GB2312" w:eastAsia="仿宋_GB2312"/>
      <w:sz w:val="32"/>
    </w:rPr>
  </w:style>
  <w:style w:type="paragraph" w:styleId="13">
    <w:name w:val="Body Text Indent"/>
    <w:basedOn w:val="1"/>
    <w:next w:val="1"/>
    <w:link w:val="48"/>
    <w:semiHidden/>
    <w:qFormat/>
    <w:uiPriority w:val="0"/>
    <w:pPr>
      <w:spacing w:after="120"/>
      <w:ind w:left="420" w:leftChars="200"/>
    </w:pPr>
    <w:rPr>
      <w:rFonts w:ascii="Calibri" w:hAnsi="Calibri"/>
      <w:szCs w:val="22"/>
    </w:rPr>
  </w:style>
  <w:style w:type="paragraph" w:styleId="14">
    <w:name w:val="toc 3"/>
    <w:basedOn w:val="1"/>
    <w:next w:val="1"/>
    <w:semiHidden/>
    <w:qFormat/>
    <w:uiPriority w:val="39"/>
    <w:pPr>
      <w:adjustRightInd w:val="0"/>
      <w:spacing w:line="312" w:lineRule="atLeast"/>
      <w:ind w:left="840" w:leftChars="400"/>
      <w:textAlignment w:val="baseline"/>
    </w:pPr>
    <w:rPr>
      <w:kern w:val="0"/>
      <w:sz w:val="24"/>
    </w:rPr>
  </w:style>
  <w:style w:type="paragraph" w:styleId="15">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6">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7">
    <w:name w:val="Balloon Text"/>
    <w:basedOn w:val="1"/>
    <w:link w:val="47"/>
    <w:semiHidden/>
    <w:qFormat/>
    <w:uiPriority w:val="0"/>
    <w:rPr>
      <w:sz w:val="18"/>
      <w:szCs w:val="18"/>
    </w:rPr>
  </w:style>
  <w:style w:type="paragraph" w:styleId="18">
    <w:name w:val="footer"/>
    <w:basedOn w:val="1"/>
    <w:link w:val="42"/>
    <w:qFormat/>
    <w:uiPriority w:val="99"/>
    <w:pPr>
      <w:tabs>
        <w:tab w:val="center" w:pos="4153"/>
        <w:tab w:val="right" w:pos="8306"/>
      </w:tabs>
      <w:snapToGrid w:val="0"/>
      <w:jc w:val="left"/>
    </w:pPr>
    <w:rPr>
      <w:sz w:val="18"/>
      <w:szCs w:val="18"/>
    </w:rPr>
  </w:style>
  <w:style w:type="paragraph" w:styleId="19">
    <w:name w:val="header"/>
    <w:basedOn w:val="1"/>
    <w:link w:val="52"/>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1">
    <w:name w:val="List"/>
    <w:basedOn w:val="1"/>
    <w:qFormat/>
    <w:uiPriority w:val="0"/>
    <w:pPr>
      <w:ind w:left="200" w:hanging="200" w:hangingChars="200"/>
    </w:pPr>
    <w:rPr>
      <w:szCs w:val="21"/>
    </w:rPr>
  </w:style>
  <w:style w:type="paragraph" w:styleId="22">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3">
    <w:name w:val="index 9"/>
    <w:basedOn w:val="1"/>
    <w:next w:val="1"/>
    <w:semiHidden/>
    <w:qFormat/>
    <w:uiPriority w:val="98"/>
    <w:pPr>
      <w:ind w:left="1600" w:leftChars="1600"/>
    </w:pPr>
  </w:style>
  <w:style w:type="paragraph" w:styleId="24">
    <w:name w:val="toc 2"/>
    <w:basedOn w:val="1"/>
    <w:next w:val="1"/>
    <w:qFormat/>
    <w:uiPriority w:val="39"/>
    <w:pPr>
      <w:ind w:left="420" w:leftChars="200"/>
    </w:pPr>
  </w:style>
  <w:style w:type="paragraph" w:styleId="25">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6">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7">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8">
    <w:name w:val="annotation subject"/>
    <w:basedOn w:val="11"/>
    <w:next w:val="11"/>
    <w:link w:val="53"/>
    <w:semiHidden/>
    <w:qFormat/>
    <w:uiPriority w:val="98"/>
    <w:rPr>
      <w:b/>
      <w:bCs/>
    </w:rPr>
  </w:style>
  <w:style w:type="paragraph" w:styleId="29">
    <w:name w:val="Body Text First Indent 2"/>
    <w:basedOn w:val="13"/>
    <w:next w:val="24"/>
    <w:qFormat/>
    <w:uiPriority w:val="0"/>
    <w:pPr>
      <w:spacing w:line="276" w:lineRule="auto"/>
      <w:ind w:left="200" w:firstLine="200" w:firstLineChars="200"/>
      <w:jc w:val="left"/>
    </w:pPr>
  </w:style>
  <w:style w:type="table" w:styleId="31">
    <w:name w:val="Table Grid"/>
    <w:basedOn w:val="3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semiHidden/>
    <w:qFormat/>
    <w:uiPriority w:val="98"/>
    <w:rPr>
      <w:b/>
    </w:rPr>
  </w:style>
  <w:style w:type="character" w:styleId="34">
    <w:name w:val="page number"/>
    <w:basedOn w:val="32"/>
    <w:semiHidden/>
    <w:qFormat/>
    <w:uiPriority w:val="0"/>
  </w:style>
  <w:style w:type="character" w:styleId="35">
    <w:name w:val="FollowedHyperlink"/>
    <w:semiHidden/>
    <w:qFormat/>
    <w:uiPriority w:val="98"/>
    <w:rPr>
      <w:color w:val="800080"/>
      <w:u w:val="single"/>
    </w:rPr>
  </w:style>
  <w:style w:type="character" w:styleId="36">
    <w:name w:val="Emphasis"/>
    <w:semiHidden/>
    <w:qFormat/>
    <w:uiPriority w:val="98"/>
    <w:rPr>
      <w:i/>
      <w:iCs/>
    </w:rPr>
  </w:style>
  <w:style w:type="character" w:styleId="37">
    <w:name w:val="Hyperlink"/>
    <w:basedOn w:val="32"/>
    <w:qFormat/>
    <w:uiPriority w:val="99"/>
    <w:rPr>
      <w:rFonts w:cs="Times New Roman"/>
      <w:color w:val="1F4F88"/>
      <w:u w:val="none"/>
    </w:rPr>
  </w:style>
  <w:style w:type="character" w:styleId="38">
    <w:name w:val="annotation reference"/>
    <w:semiHidden/>
    <w:qFormat/>
    <w:uiPriority w:val="98"/>
    <w:rPr>
      <w:sz w:val="21"/>
      <w:szCs w:val="21"/>
    </w:rPr>
  </w:style>
  <w:style w:type="character" w:customStyle="1" w:styleId="39">
    <w:name w:val="Char Char3"/>
    <w:semiHidden/>
    <w:qFormat/>
    <w:uiPriority w:val="98"/>
    <w:rPr>
      <w:rFonts w:ascii="宋体" w:hAnsi="Courier New" w:eastAsia="宋体"/>
      <w:kern w:val="2"/>
      <w:sz w:val="21"/>
      <w:lang w:val="en-US" w:eastAsia="zh-CN" w:bidi="ar-SA"/>
    </w:rPr>
  </w:style>
  <w:style w:type="character" w:customStyle="1" w:styleId="40">
    <w:name w:val="纯文本 Char"/>
    <w:semiHidden/>
    <w:qFormat/>
    <w:uiPriority w:val="98"/>
    <w:rPr>
      <w:rFonts w:ascii="宋体" w:hAnsi="Courier New" w:eastAsia="宋体"/>
      <w:kern w:val="2"/>
      <w:sz w:val="21"/>
      <w:lang w:val="en-US" w:eastAsia="zh-CN" w:bidi="ar-SA"/>
    </w:rPr>
  </w:style>
  <w:style w:type="character" w:customStyle="1" w:styleId="41">
    <w:name w:val="正文文本 字符"/>
    <w:link w:val="12"/>
    <w:semiHidden/>
    <w:qFormat/>
    <w:uiPriority w:val="98"/>
    <w:rPr>
      <w:rFonts w:ascii="仿宋_GB2312" w:eastAsia="仿宋_GB2312"/>
      <w:kern w:val="2"/>
      <w:sz w:val="32"/>
    </w:rPr>
  </w:style>
  <w:style w:type="character" w:customStyle="1" w:styleId="42">
    <w:name w:val="页脚 字符"/>
    <w:link w:val="18"/>
    <w:qFormat/>
    <w:uiPriority w:val="99"/>
    <w:rPr>
      <w:kern w:val="2"/>
      <w:sz w:val="18"/>
      <w:szCs w:val="18"/>
    </w:rPr>
  </w:style>
  <w:style w:type="character" w:customStyle="1" w:styleId="43">
    <w:name w:val="标题 3 字符"/>
    <w:semiHidden/>
    <w:qFormat/>
    <w:uiPriority w:val="0"/>
    <w:rPr>
      <w:b/>
      <w:bCs/>
      <w:kern w:val="2"/>
      <w:sz w:val="32"/>
      <w:szCs w:val="32"/>
    </w:rPr>
  </w:style>
  <w:style w:type="character" w:customStyle="1" w:styleId="44">
    <w:name w:val="正文文本 Char"/>
    <w:semiHidden/>
    <w:qFormat/>
    <w:uiPriority w:val="98"/>
    <w:rPr>
      <w:rFonts w:ascii="仿宋_GB2312" w:eastAsia="仿宋_GB2312"/>
      <w:kern w:val="2"/>
      <w:sz w:val="32"/>
    </w:rPr>
  </w:style>
  <w:style w:type="character" w:customStyle="1" w:styleId="45">
    <w:name w:val="批注文字 字符"/>
    <w:link w:val="11"/>
    <w:qFormat/>
    <w:uiPriority w:val="99"/>
    <w:rPr>
      <w:kern w:val="2"/>
      <w:sz w:val="21"/>
    </w:rPr>
  </w:style>
  <w:style w:type="character" w:customStyle="1" w:styleId="46">
    <w:name w:val="apple-converted-space"/>
    <w:basedOn w:val="32"/>
    <w:semiHidden/>
    <w:qFormat/>
    <w:uiPriority w:val="98"/>
  </w:style>
  <w:style w:type="character" w:customStyle="1" w:styleId="47">
    <w:name w:val="批注框文本 字符"/>
    <w:link w:val="17"/>
    <w:semiHidden/>
    <w:qFormat/>
    <w:uiPriority w:val="98"/>
    <w:rPr>
      <w:kern w:val="2"/>
      <w:sz w:val="18"/>
      <w:szCs w:val="18"/>
    </w:rPr>
  </w:style>
  <w:style w:type="character" w:customStyle="1" w:styleId="48">
    <w:name w:val="正文文本缩进 字符"/>
    <w:link w:val="13"/>
    <w:semiHidden/>
    <w:qFormat/>
    <w:uiPriority w:val="0"/>
    <w:rPr>
      <w:rFonts w:ascii="Calibri" w:hAnsi="Calibri"/>
      <w:kern w:val="2"/>
      <w:sz w:val="21"/>
      <w:szCs w:val="22"/>
    </w:rPr>
  </w:style>
  <w:style w:type="character" w:customStyle="1" w:styleId="49">
    <w:name w:val="Char Char5"/>
    <w:semiHidden/>
    <w:qFormat/>
    <w:uiPriority w:val="98"/>
    <w:rPr>
      <w:rFonts w:ascii="宋体" w:hAnsi="Courier New" w:eastAsia="宋体"/>
      <w:kern w:val="2"/>
      <w:sz w:val="21"/>
      <w:lang w:val="en-US" w:eastAsia="zh-CN" w:bidi="ar-SA"/>
    </w:rPr>
  </w:style>
  <w:style w:type="character" w:customStyle="1" w:styleId="50">
    <w:name w:val="纯文本 字符1"/>
    <w:link w:val="2"/>
    <w:semiHidden/>
    <w:qFormat/>
    <w:uiPriority w:val="0"/>
    <w:rPr>
      <w:rFonts w:ascii="宋体" w:hAnsi="Courier New"/>
      <w:kern w:val="2"/>
      <w:sz w:val="21"/>
    </w:rPr>
  </w:style>
  <w:style w:type="character" w:customStyle="1" w:styleId="51">
    <w:name w:val="纯文本 字符"/>
    <w:semiHidden/>
    <w:qFormat/>
    <w:uiPriority w:val="98"/>
    <w:rPr>
      <w:rFonts w:ascii="宋体" w:hAnsi="Courier New" w:eastAsia="宋体"/>
    </w:rPr>
  </w:style>
  <w:style w:type="character" w:customStyle="1" w:styleId="52">
    <w:name w:val="页眉 字符"/>
    <w:link w:val="19"/>
    <w:semiHidden/>
    <w:qFormat/>
    <w:uiPriority w:val="0"/>
    <w:rPr>
      <w:kern w:val="2"/>
      <w:sz w:val="18"/>
      <w:szCs w:val="18"/>
    </w:rPr>
  </w:style>
  <w:style w:type="character" w:customStyle="1" w:styleId="53">
    <w:name w:val="批注主题 字符"/>
    <w:link w:val="28"/>
    <w:semiHidden/>
    <w:qFormat/>
    <w:uiPriority w:val="98"/>
    <w:rPr>
      <w:b/>
      <w:bCs/>
      <w:kern w:val="2"/>
      <w:sz w:val="21"/>
    </w:rPr>
  </w:style>
  <w:style w:type="character" w:customStyle="1" w:styleId="54">
    <w:name w:val="Char Char2"/>
    <w:semiHidden/>
    <w:qFormat/>
    <w:uiPriority w:val="98"/>
    <w:rPr>
      <w:rFonts w:ascii="宋体" w:hAnsi="Courier New" w:cs="宋体"/>
      <w:kern w:val="2"/>
      <w:sz w:val="21"/>
      <w:szCs w:val="21"/>
    </w:rPr>
  </w:style>
  <w:style w:type="character" w:customStyle="1" w:styleId="55">
    <w:name w:val="HTML Markup"/>
    <w:semiHidden/>
    <w:qFormat/>
    <w:uiPriority w:val="98"/>
    <w:rPr>
      <w:vanish/>
      <w:color w:val="FF0000"/>
    </w:rPr>
  </w:style>
  <w:style w:type="character" w:customStyle="1" w:styleId="56">
    <w:name w:val="纯文本 Char3"/>
    <w:semiHidden/>
    <w:qFormat/>
    <w:uiPriority w:val="98"/>
    <w:rPr>
      <w:rFonts w:ascii="宋体" w:hAnsi="Courier New" w:eastAsia="宋体"/>
      <w:kern w:val="2"/>
      <w:sz w:val="21"/>
      <w:lang w:val="en-US" w:eastAsia="zh-CN" w:bidi="ar-SA"/>
    </w:rPr>
  </w:style>
  <w:style w:type="character" w:customStyle="1" w:styleId="57">
    <w:name w:val="正文文本缩进 Char"/>
    <w:link w:val="58"/>
    <w:semiHidden/>
    <w:qFormat/>
    <w:uiPriority w:val="98"/>
    <w:rPr>
      <w:kern w:val="2"/>
      <w:sz w:val="21"/>
    </w:rPr>
  </w:style>
  <w:style w:type="paragraph" w:customStyle="1" w:styleId="58">
    <w:name w:val="正文文本缩进1"/>
    <w:basedOn w:val="1"/>
    <w:link w:val="57"/>
    <w:semiHidden/>
    <w:qFormat/>
    <w:uiPriority w:val="98"/>
    <w:pPr>
      <w:spacing w:after="120"/>
      <w:ind w:left="420" w:leftChars="200"/>
    </w:pPr>
  </w:style>
  <w:style w:type="paragraph" w:customStyle="1" w:styleId="59">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0">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1">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2">
    <w:name w:val="List Paragraph"/>
    <w:basedOn w:val="1"/>
    <w:qFormat/>
    <w:uiPriority w:val="34"/>
    <w:pPr>
      <w:ind w:firstLine="420" w:firstLineChars="200"/>
    </w:pPr>
    <w:rPr>
      <w:rFonts w:ascii="Calibri" w:hAnsi="Calibri"/>
      <w:szCs w:val="22"/>
    </w:rPr>
  </w:style>
  <w:style w:type="paragraph" w:customStyle="1" w:styleId="63">
    <w:name w:val="列出段落1"/>
    <w:basedOn w:val="1"/>
    <w:semiHidden/>
    <w:qFormat/>
    <w:uiPriority w:val="98"/>
    <w:pPr>
      <w:ind w:firstLine="420" w:firstLineChars="200"/>
    </w:pPr>
    <w:rPr>
      <w:rFonts w:ascii="Calibri" w:hAnsi="Calibri"/>
      <w:szCs w:val="22"/>
    </w:rPr>
  </w:style>
  <w:style w:type="paragraph" w:customStyle="1" w:styleId="64">
    <w:name w:val="二级列表 Char"/>
    <w:basedOn w:val="1"/>
    <w:semiHidden/>
    <w:qFormat/>
    <w:uiPriority w:val="98"/>
    <w:rPr>
      <w:rFonts w:ascii="Calibri" w:hAnsi="Calibri"/>
    </w:rPr>
  </w:style>
  <w:style w:type="paragraph" w:customStyle="1" w:styleId="65">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6">
    <w:name w:val="style61"/>
    <w:semiHidden/>
    <w:qFormat/>
    <w:uiPriority w:val="98"/>
  </w:style>
  <w:style w:type="character" w:customStyle="1" w:styleId="67">
    <w:name w:val="标题 1 字符"/>
    <w:basedOn w:val="32"/>
    <w:link w:val="3"/>
    <w:semiHidden/>
    <w:qFormat/>
    <w:uiPriority w:val="0"/>
    <w:rPr>
      <w:b/>
      <w:bCs/>
      <w:kern w:val="44"/>
      <w:sz w:val="44"/>
      <w:szCs w:val="44"/>
    </w:rPr>
  </w:style>
  <w:style w:type="paragraph" w:customStyle="1" w:styleId="68">
    <w:name w:val="TOC 标题1"/>
    <w:basedOn w:val="3"/>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2"/>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2"/>
    <w:link w:val="27"/>
    <w:semiHidden/>
    <w:qFormat/>
    <w:uiPriority w:val="0"/>
    <w:rPr>
      <w:rFonts w:eastAsia="黑体" w:asciiTheme="majorHAnsi" w:hAnsiTheme="majorHAnsi" w:cstheme="majorBidi"/>
      <w:b/>
      <w:bCs/>
      <w:kern w:val="2"/>
      <w:sz w:val="36"/>
      <w:szCs w:val="32"/>
    </w:rPr>
  </w:style>
  <w:style w:type="paragraph" w:customStyle="1" w:styleId="71">
    <w:name w:val="章节"/>
    <w:basedOn w:val="2"/>
    <w:qFormat/>
    <w:uiPriority w:val="0"/>
    <w:pPr>
      <w:spacing w:line="360" w:lineRule="auto"/>
      <w:jc w:val="center"/>
      <w:outlineLvl w:val="0"/>
    </w:pPr>
    <w:rPr>
      <w:rFonts w:ascii="黑体" w:eastAsia="黑体"/>
      <w:b/>
      <w:bCs/>
      <w:sz w:val="36"/>
      <w:szCs w:val="36"/>
    </w:rPr>
  </w:style>
  <w:style w:type="paragraph" w:customStyle="1" w:styleId="72">
    <w:name w:val="一级标题"/>
    <w:basedOn w:val="2"/>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2"/>
    <w:qFormat/>
    <w:uiPriority w:val="2"/>
    <w:pPr>
      <w:numPr>
        <w:ilvl w:val="0"/>
        <w:numId w:val="3"/>
      </w:numPr>
      <w:spacing w:line="360" w:lineRule="auto"/>
      <w:outlineLvl w:val="2"/>
    </w:pPr>
    <w:rPr>
      <w:b/>
    </w:rPr>
  </w:style>
  <w:style w:type="paragraph" w:customStyle="1" w:styleId="74">
    <w:name w:val="3级标题"/>
    <w:basedOn w:val="2"/>
    <w:link w:val="102"/>
    <w:qFormat/>
    <w:uiPriority w:val="3"/>
    <w:pPr>
      <w:numPr>
        <w:ilvl w:val="0"/>
        <w:numId w:val="4"/>
      </w:numPr>
      <w:spacing w:line="360" w:lineRule="auto"/>
      <w:outlineLvl w:val="3"/>
    </w:pPr>
    <w:rPr>
      <w:b/>
    </w:rPr>
  </w:style>
  <w:style w:type="paragraph" w:customStyle="1" w:styleId="75">
    <w:name w:val="（4）级标题"/>
    <w:basedOn w:val="2"/>
    <w:qFormat/>
    <w:uiPriority w:val="8"/>
    <w:pPr>
      <w:numPr>
        <w:ilvl w:val="0"/>
        <w:numId w:val="5"/>
      </w:numPr>
      <w:spacing w:line="360" w:lineRule="auto"/>
      <w:outlineLvl w:val="4"/>
    </w:pPr>
  </w:style>
  <w:style w:type="paragraph" w:customStyle="1" w:styleId="76">
    <w:name w:val="标书正文"/>
    <w:basedOn w:val="2"/>
    <w:link w:val="97"/>
    <w:qFormat/>
    <w:uiPriority w:val="9"/>
    <w:pPr>
      <w:spacing w:line="360" w:lineRule="auto"/>
      <w:jc w:val="left"/>
    </w:pPr>
  </w:style>
  <w:style w:type="character" w:customStyle="1" w:styleId="77">
    <w:name w:val="标题 4 字符"/>
    <w:basedOn w:val="32"/>
    <w:link w:val="6"/>
    <w:semiHidden/>
    <w:qFormat/>
    <w:uiPriority w:val="0"/>
    <w:rPr>
      <w:rFonts w:ascii="Arial" w:hAnsi="Arial"/>
      <w:b/>
      <w:bCs/>
      <w:kern w:val="2"/>
      <w:sz w:val="21"/>
      <w:szCs w:val="28"/>
    </w:rPr>
  </w:style>
  <w:style w:type="character" w:customStyle="1" w:styleId="78">
    <w:name w:val="标题 5 字符"/>
    <w:basedOn w:val="32"/>
    <w:link w:val="7"/>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ˎ̥" w:hAnsi="ˎ̥"/>
      <w:sz w:val="21"/>
      <w:szCs w:val="21"/>
    </w:rPr>
  </w:style>
  <w:style w:type="character" w:customStyle="1" w:styleId="81">
    <w:name w:val="标题 2 字符1"/>
    <w:link w:val="4"/>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2"/>
    <w:link w:val="22"/>
    <w:semiHidden/>
    <w:qFormat/>
    <w:uiPriority w:val="0"/>
    <w:rPr>
      <w:rFonts w:ascii="宋体" w:hAnsi="宋体"/>
      <w:color w:val="FF0000"/>
      <w:kern w:val="2"/>
      <w:sz w:val="24"/>
      <w:szCs w:val="24"/>
    </w:rPr>
  </w:style>
  <w:style w:type="paragraph" w:customStyle="1" w:styleId="84">
    <w:name w:val="_Style 4"/>
    <w:basedOn w:val="3"/>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2"/>
    <w:link w:val="16"/>
    <w:semiHidden/>
    <w:qFormat/>
    <w:uiPriority w:val="0"/>
    <w:rPr>
      <w:sz w:val="24"/>
    </w:rPr>
  </w:style>
  <w:style w:type="character" w:customStyle="1" w:styleId="87">
    <w:name w:val="日期 字符"/>
    <w:basedOn w:val="32"/>
    <w:link w:val="15"/>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2"/>
    <w:semiHidden/>
    <w:qFormat/>
    <w:uiPriority w:val="98"/>
    <w:rPr>
      <w:rFonts w:ascii="Microsoft YaHei UI" w:eastAsia="Microsoft YaHei UI"/>
      <w:kern w:val="2"/>
      <w:sz w:val="18"/>
      <w:szCs w:val="18"/>
    </w:rPr>
  </w:style>
  <w:style w:type="character" w:customStyle="1" w:styleId="93">
    <w:name w:val="文档结构图 字符1"/>
    <w:basedOn w:val="32"/>
    <w:link w:val="10"/>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2"/>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0"/>
    <w:link w:val="76"/>
    <w:qFormat/>
    <w:uiPriority w:val="9"/>
    <w:rPr>
      <w:rFonts w:ascii="宋体" w:hAnsi="Courier New"/>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3"/>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不明显强调1"/>
    <w:basedOn w:val="32"/>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0"/>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8"/>
    <w:semiHidden/>
    <w:qFormat/>
    <w:locked/>
    <w:uiPriority w:val="99"/>
    <w:rPr>
      <w:sz w:val="21"/>
      <w:szCs w:val="21"/>
    </w:rPr>
  </w:style>
  <w:style w:type="character" w:customStyle="1" w:styleId="105">
    <w:name w:val="电子邮件签名 字符1"/>
    <w:basedOn w:val="32"/>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5"/>
    <w:semiHidden/>
    <w:qFormat/>
    <w:locked/>
    <w:uiPriority w:val="99"/>
    <w:rPr>
      <w:rFonts w:ascii="Cambria" w:hAnsi="Cambria" w:cs="Cambria"/>
      <w:sz w:val="24"/>
      <w:szCs w:val="24"/>
      <w:shd w:val="pct20" w:color="auto" w:fill="auto"/>
    </w:rPr>
  </w:style>
  <w:style w:type="character" w:customStyle="1" w:styleId="109">
    <w:name w:val="信息标题 字符1"/>
    <w:basedOn w:val="32"/>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character" w:customStyle="1" w:styleId="111">
    <w:name w:val="标题 3 字符1"/>
    <w:link w:val="5"/>
    <w:qFormat/>
    <w:uiPriority w:val="0"/>
    <w:rPr>
      <w:b/>
      <w:sz w:val="32"/>
    </w:rPr>
  </w:style>
  <w:style w:type="paragraph" w:customStyle="1" w:styleId="112">
    <w:name w:val="Table Paragraph"/>
    <w:basedOn w:val="1"/>
    <w:qFormat/>
    <w:uiPriority w:val="1"/>
    <w:rPr>
      <w:rFonts w:ascii="宋体" w:hAnsi="宋体" w:cs="宋体"/>
    </w:rPr>
  </w:style>
  <w:style w:type="table" w:customStyle="1" w:styleId="113">
    <w:name w:val="Table Normal"/>
    <w:qFormat/>
    <w:uiPriority w:val="0"/>
    <w:tblPr>
      <w:tblCellMar>
        <w:top w:w="0" w:type="dxa"/>
        <w:left w:w="0" w:type="dxa"/>
        <w:bottom w:w="0" w:type="dxa"/>
        <w:right w:w="0" w:type="dxa"/>
      </w:tblCellMar>
    </w:tblPr>
  </w:style>
  <w:style w:type="paragraph" w:styleId="114">
    <w:name w:val="No Spacing"/>
    <w:qFormat/>
    <w:uiPriority w:val="1"/>
    <w:pPr>
      <w:widowControl w:val="0"/>
      <w:jc w:val="both"/>
    </w:pPr>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31</Pages>
  <Words>8988</Words>
  <Characters>9818</Characters>
  <Lines>79</Lines>
  <Paragraphs>22</Paragraphs>
  <TotalTime>9</TotalTime>
  <ScaleCrop>false</ScaleCrop>
  <LinksUpToDate>false</LinksUpToDate>
  <CharactersWithSpaces>9856</CharactersWithSpaces>
  <Application>WPS Office_11.8.2.12309_F1E327BC-269C-435d-A152-05C5408002CA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cp:lastModifiedBy>
  <cp:lastPrinted>2020-06-28T02:28:00Z</cp:lastPrinted>
  <dcterms:modified xsi:type="dcterms:W3CDTF">2026-03-12T05:52:32Z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C0E52DBF9FCB4F07BC67952552803439_13</vt:lpwstr>
  </property>
  <property fmtid="{D5CDD505-2E9C-101B-9397-08002B2CF9AE}" pid="4" name="KSOTemplateDocerSaveRecord">
    <vt:lpwstr>eyJoZGlkIjoiMGUyZDBjMzQyNzBlOGY1Yzg4YzhkYzMzZWVhYjI3M2UifQ==</vt:lpwstr>
  </property>
</Properties>
</file>