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21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val="0"/>
          <w:bCs w:val="0"/>
          <w:color w:val="000000"/>
          <w:spacing w:val="-8"/>
          <w:sz w:val="48"/>
          <w:szCs w:val="44"/>
        </w:rPr>
      </w:pPr>
    </w:p>
    <w:p w14:paraId="4D449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8"/>
          <w:sz w:val="48"/>
          <w:szCs w:val="44"/>
        </w:rPr>
      </w:pPr>
    </w:p>
    <w:p w14:paraId="21F5A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8"/>
          <w:sz w:val="48"/>
          <w:szCs w:val="44"/>
        </w:rPr>
      </w:pPr>
    </w:p>
    <w:p w14:paraId="31A312DA">
      <w:pPr>
        <w:snapToGrid w:val="0"/>
        <w:spacing w:before="398" w:line="360" w:lineRule="auto"/>
        <w:jc w:val="center"/>
        <w:rPr>
          <w:rFonts w:hint="eastAsia" w:ascii="宋体" w:hAnsi="宋体" w:eastAsia="宋体" w:cs="Times New Roman"/>
          <w:b/>
          <w:sz w:val="48"/>
          <w:szCs w:val="48"/>
          <w:lang w:val="en-US" w:eastAsia="zh-CN"/>
        </w:rPr>
      </w:pPr>
      <w:r>
        <w:rPr>
          <w:rFonts w:hint="eastAsia" w:ascii="宋体" w:hAnsi="宋体" w:eastAsia="宋体" w:cs="Times New Roman"/>
          <w:b/>
          <w:sz w:val="48"/>
          <w:szCs w:val="48"/>
          <w:lang w:val="en-US" w:eastAsia="zh-CN"/>
        </w:rPr>
        <w:t>中国重汽集团济南动力有限公司</w:t>
      </w:r>
    </w:p>
    <w:p w14:paraId="434FB99B">
      <w:pPr>
        <w:snapToGrid w:val="0"/>
        <w:spacing w:before="398" w:line="360" w:lineRule="auto"/>
        <w:jc w:val="center"/>
        <w:rPr>
          <w:rFonts w:hint="eastAsia" w:ascii="宋体" w:hAnsi="宋体" w:eastAsia="宋体" w:cs="Times New Roman"/>
          <w:b/>
          <w:sz w:val="48"/>
          <w:szCs w:val="48"/>
          <w:lang w:val="en-US" w:eastAsia="zh-CN"/>
        </w:rPr>
      </w:pPr>
      <w:r>
        <w:rPr>
          <w:rFonts w:hint="eastAsia" w:ascii="宋体" w:hAnsi="宋体" w:cs="Times New Roman"/>
          <w:b/>
          <w:sz w:val="48"/>
          <w:szCs w:val="48"/>
          <w:lang w:val="en-US" w:eastAsia="zh-CN"/>
        </w:rPr>
        <w:t>环氧地坪</w:t>
      </w:r>
      <w:r>
        <w:rPr>
          <w:rFonts w:hint="eastAsia" w:ascii="宋体" w:hAnsi="宋体" w:eastAsia="宋体" w:cs="Times New Roman"/>
          <w:b/>
          <w:sz w:val="48"/>
          <w:szCs w:val="48"/>
          <w:lang w:val="en-US" w:eastAsia="zh-CN"/>
        </w:rPr>
        <w:t>维修项目</w:t>
      </w:r>
    </w:p>
    <w:p w14:paraId="63C9D516">
      <w:pPr>
        <w:spacing w:before="398"/>
        <w:jc w:val="center"/>
        <w:rPr>
          <w:rFonts w:hint="eastAsia" w:ascii="宋体" w:hAnsi="宋体" w:eastAsia="宋体" w:cs="Times New Roman"/>
          <w:b/>
          <w:sz w:val="48"/>
          <w:szCs w:val="48"/>
          <w:lang w:val="en-US" w:eastAsia="zh-CN"/>
        </w:rPr>
      </w:pPr>
      <w:r>
        <w:rPr>
          <w:rFonts w:hint="eastAsia" w:ascii="宋体" w:hAnsi="宋体" w:eastAsia="宋体" w:cs="Times New Roman"/>
          <w:b/>
          <w:sz w:val="48"/>
          <w:szCs w:val="48"/>
          <w:lang w:val="en-US" w:eastAsia="zh-CN"/>
        </w:rPr>
        <w:t>招标文件</w:t>
      </w:r>
      <w:r>
        <w:rPr>
          <w:rFonts w:hint="eastAsia" w:ascii="宋体" w:hAnsi="宋体" w:cs="Times New Roman"/>
          <w:b/>
          <w:sz w:val="48"/>
          <w:szCs w:val="48"/>
          <w:lang w:val="en-US" w:eastAsia="zh-CN"/>
        </w:rPr>
        <w:t>（二次公告）</w:t>
      </w:r>
    </w:p>
    <w:p w14:paraId="58D35629">
      <w:pPr>
        <w:spacing w:before="398"/>
        <w:jc w:val="center"/>
        <w:rPr>
          <w:rFonts w:hint="eastAsia" w:ascii="宋体" w:hAnsi="宋体" w:eastAsia="宋体" w:cs="Times New Roman"/>
          <w:b/>
          <w:sz w:val="48"/>
          <w:szCs w:val="48"/>
          <w:lang w:val="en-US" w:eastAsia="zh-CN"/>
        </w:rPr>
      </w:pPr>
    </w:p>
    <w:p w14:paraId="1AB68865">
      <w:pPr>
        <w:spacing w:before="398"/>
        <w:jc w:val="center"/>
        <w:rPr>
          <w:rFonts w:hint="eastAsia" w:ascii="宋体" w:hAnsi="宋体" w:eastAsia="宋体" w:cs="Times New Roman"/>
          <w:b/>
          <w:sz w:val="48"/>
          <w:szCs w:val="48"/>
          <w:lang w:val="en-US" w:eastAsia="zh-CN"/>
        </w:rPr>
      </w:pPr>
    </w:p>
    <w:p w14:paraId="390EC78D">
      <w:pPr>
        <w:spacing w:before="398"/>
        <w:jc w:val="center"/>
        <w:rPr>
          <w:rFonts w:hint="eastAsia" w:ascii="宋体" w:hAnsi="宋体" w:eastAsia="宋体" w:cs="Times New Roman"/>
          <w:b/>
          <w:sz w:val="48"/>
          <w:szCs w:val="48"/>
          <w:lang w:val="en-US" w:eastAsia="zh-CN"/>
        </w:rPr>
      </w:pPr>
    </w:p>
    <w:p w14:paraId="0B4ECA74">
      <w:pPr>
        <w:spacing w:before="398"/>
        <w:jc w:val="center"/>
        <w:rPr>
          <w:rFonts w:hint="eastAsia" w:ascii="宋体" w:hAnsi="宋体" w:eastAsia="宋体" w:cs="Times New Roman"/>
          <w:b/>
          <w:sz w:val="48"/>
          <w:szCs w:val="48"/>
          <w:lang w:val="en-US" w:eastAsia="zh-CN"/>
        </w:rPr>
      </w:pPr>
    </w:p>
    <w:p w14:paraId="45BA4D1B">
      <w:pPr>
        <w:spacing w:before="398"/>
        <w:jc w:val="center"/>
        <w:rPr>
          <w:rFonts w:hint="eastAsia" w:ascii="宋体" w:hAnsi="宋体" w:eastAsia="宋体" w:cs="Times New Roman"/>
          <w:b/>
          <w:sz w:val="48"/>
          <w:szCs w:val="48"/>
          <w:lang w:val="en-US" w:eastAsia="zh-CN"/>
        </w:rPr>
      </w:pPr>
    </w:p>
    <w:p w14:paraId="15A9DBF4">
      <w:pPr>
        <w:spacing w:before="398"/>
        <w:jc w:val="center"/>
        <w:rPr>
          <w:rFonts w:hint="eastAsia" w:ascii="宋体" w:hAnsi="宋体" w:eastAsia="宋体" w:cs="Times New Roman"/>
          <w:b/>
          <w:sz w:val="48"/>
          <w:szCs w:val="48"/>
          <w:lang w:val="en-US" w:eastAsia="zh-CN"/>
        </w:rPr>
      </w:pPr>
    </w:p>
    <w:p w14:paraId="40DFD3A9">
      <w:pPr>
        <w:ind w:firstLine="2030" w:firstLineChars="725"/>
        <w:rPr>
          <w:rFonts w:ascii="黑体" w:eastAsia="黑体"/>
          <w:color w:val="000000"/>
          <w:sz w:val="28"/>
        </w:rPr>
      </w:pPr>
      <w:r>
        <w:rPr>
          <w:rFonts w:hint="eastAsia" w:ascii="黑体" w:eastAsia="黑体"/>
          <w:color w:val="000000"/>
          <w:sz w:val="28"/>
        </w:rPr>
        <w:t>招标人：中国重汽集团济南动力有限公司</w:t>
      </w:r>
    </w:p>
    <w:p w14:paraId="644F3373">
      <w:pPr>
        <w:jc w:val="center"/>
        <w:rPr>
          <w:rFonts w:hint="eastAsia" w:ascii="黑体" w:eastAsia="黑体"/>
          <w:color w:val="000000"/>
          <w:sz w:val="28"/>
        </w:rPr>
      </w:pPr>
      <w:r>
        <w:rPr>
          <w:rFonts w:hint="eastAsia" w:ascii="黑体" w:eastAsia="黑体"/>
          <w:color w:val="000000"/>
          <w:sz w:val="28"/>
        </w:rPr>
        <w:t>202</w:t>
      </w:r>
      <w:r>
        <w:rPr>
          <w:rFonts w:hint="eastAsia" w:ascii="黑体" w:eastAsia="黑体"/>
          <w:color w:val="000000"/>
          <w:sz w:val="28"/>
          <w:lang w:val="en-US" w:eastAsia="zh-CN"/>
        </w:rPr>
        <w:t>6</w:t>
      </w:r>
      <w:r>
        <w:rPr>
          <w:rFonts w:hint="eastAsia" w:ascii="黑体" w:eastAsia="黑体"/>
          <w:color w:val="000000"/>
          <w:sz w:val="28"/>
        </w:rPr>
        <w:t>年</w:t>
      </w:r>
      <w:r>
        <w:rPr>
          <w:rFonts w:hint="eastAsia" w:ascii="黑体" w:eastAsia="黑体"/>
          <w:color w:val="000000"/>
          <w:sz w:val="28"/>
          <w:u w:val="single"/>
          <w:lang w:val="en-US" w:eastAsia="zh-CN"/>
        </w:rPr>
        <w:t>3</w:t>
      </w:r>
      <w:r>
        <w:rPr>
          <w:rFonts w:hint="eastAsia" w:ascii="黑体" w:eastAsia="黑体"/>
          <w:color w:val="000000"/>
          <w:sz w:val="28"/>
        </w:rPr>
        <w:t>月</w:t>
      </w:r>
    </w:p>
    <w:p w14:paraId="1D49002B">
      <w:pPr>
        <w:pStyle w:val="14"/>
        <w:spacing w:line="360" w:lineRule="auto"/>
        <w:jc w:val="center"/>
        <w:rPr>
          <w:color w:val="000000"/>
        </w:rPr>
      </w:pPr>
    </w:p>
    <w:p w14:paraId="3815B0DE">
      <w:pPr>
        <w:pStyle w:val="14"/>
        <w:spacing w:line="360" w:lineRule="auto"/>
        <w:jc w:val="center"/>
        <w:rPr>
          <w:color w:val="000000"/>
        </w:rPr>
      </w:pPr>
    </w:p>
    <w:p w14:paraId="3D81A2D1">
      <w:pPr>
        <w:pStyle w:val="14"/>
        <w:spacing w:line="360" w:lineRule="auto"/>
        <w:jc w:val="center"/>
        <w:rPr>
          <w:rFonts w:hint="eastAsia" w:hAnsi="宋体" w:cs="宋体"/>
          <w:b/>
          <w:bCs/>
          <w:color w:val="000000"/>
          <w:sz w:val="36"/>
          <w:szCs w:val="36"/>
        </w:rPr>
      </w:pPr>
    </w:p>
    <w:p w14:paraId="6A06FD55">
      <w:pPr>
        <w:pStyle w:val="14"/>
        <w:spacing w:line="360" w:lineRule="auto"/>
        <w:jc w:val="center"/>
        <w:rPr>
          <w:rFonts w:hint="eastAsia" w:hAnsi="宋体" w:cs="宋体"/>
          <w:b/>
          <w:bCs/>
          <w:color w:val="000000"/>
          <w:sz w:val="36"/>
          <w:szCs w:val="36"/>
        </w:rPr>
      </w:pPr>
    </w:p>
    <w:p w14:paraId="0DF324C6">
      <w:pPr>
        <w:pStyle w:val="14"/>
        <w:spacing w:line="360" w:lineRule="auto"/>
        <w:jc w:val="center"/>
        <w:rPr>
          <w:rFonts w:ascii="黑体" w:eastAsia="黑体"/>
          <w:b/>
          <w:bCs/>
          <w:color w:val="000000"/>
          <w:sz w:val="36"/>
          <w:szCs w:val="36"/>
        </w:rPr>
      </w:pPr>
      <w:r>
        <w:rPr>
          <w:rFonts w:hint="eastAsia" w:hAnsi="宋体" w:cs="宋体"/>
          <w:b/>
          <w:bCs/>
          <w:color w:val="000000"/>
          <w:sz w:val="36"/>
          <w:szCs w:val="36"/>
        </w:rPr>
        <w:t>第一部分  招标公告</w:t>
      </w:r>
    </w:p>
    <w:p w14:paraId="40D15ECA">
      <w:pPr>
        <w:pStyle w:val="14"/>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一、项目名称</w:t>
      </w:r>
    </w:p>
    <w:p w14:paraId="0E42D9AE">
      <w:pPr>
        <w:pStyle w:val="14"/>
        <w:spacing w:line="360" w:lineRule="auto"/>
        <w:ind w:firstLine="480" w:firstLineChars="20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项目名称：</w:t>
      </w:r>
      <w:bookmarkStart w:id="0" w:name="OLE_LINK1"/>
      <w:r>
        <w:rPr>
          <w:rFonts w:hint="eastAsia" w:cs="仿宋" w:asciiTheme="minorEastAsia" w:hAnsiTheme="minorEastAsia" w:eastAsiaTheme="minorEastAsia"/>
          <w:sz w:val="24"/>
          <w:szCs w:val="24"/>
          <w:lang w:val="en-US" w:eastAsia="zh-CN"/>
        </w:rPr>
        <w:t>中国重汽集团环氧地坪维修项目</w:t>
      </w:r>
    </w:p>
    <w:bookmarkEnd w:id="0"/>
    <w:p w14:paraId="545D6060">
      <w:pPr>
        <w:pStyle w:val="14"/>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二、招标内容</w:t>
      </w:r>
    </w:p>
    <w:p w14:paraId="5F5D9440">
      <w:pPr>
        <w:pStyle w:val="14"/>
        <w:spacing w:line="360" w:lineRule="auto"/>
        <w:ind w:firstLine="480" w:firstLineChars="20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1、</w:t>
      </w:r>
      <w:r>
        <w:rPr>
          <w:rFonts w:hint="eastAsia" w:cs="仿宋" w:asciiTheme="minorEastAsia" w:hAnsiTheme="minorEastAsia" w:eastAsiaTheme="minorEastAsia"/>
          <w:sz w:val="24"/>
          <w:szCs w:val="24"/>
          <w:highlight w:val="none"/>
          <w:lang w:val="en-US" w:eastAsia="zh-CN"/>
        </w:rPr>
        <w:t>中国重汽集团</w:t>
      </w:r>
      <w:r>
        <w:rPr>
          <w:rFonts w:hint="eastAsia" w:cs="仿宋" w:asciiTheme="minorEastAsia" w:hAnsiTheme="minorEastAsia" w:eastAsiaTheme="minorEastAsia"/>
          <w:sz w:val="24"/>
          <w:szCs w:val="24"/>
          <w:lang w:val="en-US" w:eastAsia="zh-CN"/>
        </w:rPr>
        <w:t>环氧地坪维修项目</w:t>
      </w:r>
      <w:r>
        <w:rPr>
          <w:rFonts w:hint="eastAsia" w:cs="Times New Roman" w:asciiTheme="minorEastAsia" w:hAnsiTheme="minorEastAsia" w:eastAsiaTheme="minorEastAsia"/>
          <w:color w:val="000000"/>
          <w:kern w:val="2"/>
          <w:sz w:val="24"/>
          <w:szCs w:val="24"/>
          <w:lang w:val="en-US" w:eastAsia="zh-CN" w:bidi="ar-SA"/>
        </w:rPr>
        <w:t>。</w:t>
      </w:r>
    </w:p>
    <w:p w14:paraId="0C4E70E7">
      <w:pPr>
        <w:pStyle w:val="14"/>
        <w:spacing w:line="360" w:lineRule="auto"/>
        <w:ind w:firstLine="480" w:firstLineChars="20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2、具体要求详见《招标内容和要求》。</w:t>
      </w:r>
    </w:p>
    <w:p w14:paraId="016B3B6B">
      <w:pPr>
        <w:pStyle w:val="14"/>
        <w:spacing w:line="360" w:lineRule="auto"/>
        <w:ind w:firstLine="480" w:firstLineChars="200"/>
        <w:rPr>
          <w:rFonts w:hint="default"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3、招标形式：公开招标。</w:t>
      </w:r>
    </w:p>
    <w:p w14:paraId="5548B979">
      <w:pPr>
        <w:pStyle w:val="14"/>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三、</w:t>
      </w:r>
      <w:r>
        <w:rPr>
          <w:rFonts w:hint="eastAsia" w:cs="宋体" w:asciiTheme="minorEastAsia" w:hAnsiTheme="minorEastAsia" w:eastAsiaTheme="minorEastAsia"/>
          <w:b/>
          <w:bCs/>
          <w:color w:val="000000"/>
          <w:sz w:val="24"/>
          <w:szCs w:val="24"/>
          <w:lang w:val="en-US" w:eastAsia="zh-CN"/>
        </w:rPr>
        <w:t>项目</w:t>
      </w:r>
      <w:r>
        <w:rPr>
          <w:rFonts w:hint="eastAsia" w:cs="宋体" w:asciiTheme="minorEastAsia" w:hAnsiTheme="minorEastAsia" w:eastAsiaTheme="minorEastAsia"/>
          <w:b/>
          <w:bCs/>
          <w:color w:val="000000"/>
          <w:sz w:val="24"/>
          <w:szCs w:val="24"/>
        </w:rPr>
        <w:t>期及</w:t>
      </w:r>
      <w:r>
        <w:rPr>
          <w:rFonts w:hint="eastAsia" w:cs="宋体" w:asciiTheme="minorEastAsia" w:hAnsiTheme="minorEastAsia" w:eastAsiaTheme="minorEastAsia"/>
          <w:b/>
          <w:bCs/>
          <w:color w:val="000000"/>
          <w:sz w:val="24"/>
          <w:szCs w:val="24"/>
          <w:lang w:val="en-US" w:eastAsia="zh-CN"/>
        </w:rPr>
        <w:t>项目</w:t>
      </w:r>
      <w:r>
        <w:rPr>
          <w:rFonts w:hint="eastAsia" w:cs="宋体" w:asciiTheme="minorEastAsia" w:hAnsiTheme="minorEastAsia" w:eastAsiaTheme="minorEastAsia"/>
          <w:b/>
          <w:bCs/>
          <w:color w:val="000000"/>
          <w:sz w:val="24"/>
          <w:szCs w:val="24"/>
        </w:rPr>
        <w:t>地点</w:t>
      </w:r>
    </w:p>
    <w:p w14:paraId="5D69D515">
      <w:pPr>
        <w:pStyle w:val="14"/>
        <w:spacing w:line="360" w:lineRule="auto"/>
        <w:ind w:firstLine="480" w:firstLineChars="20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lang w:val="en-US" w:eastAsia="zh-CN"/>
        </w:rPr>
        <w:t>项目</w:t>
      </w:r>
      <w:r>
        <w:rPr>
          <w:rFonts w:hint="eastAsia" w:asciiTheme="minorEastAsia" w:hAnsiTheme="minorEastAsia" w:eastAsiaTheme="minorEastAsia"/>
          <w:color w:val="000000"/>
          <w:sz w:val="24"/>
          <w:szCs w:val="24"/>
        </w:rPr>
        <w:t>期：202</w:t>
      </w:r>
      <w:r>
        <w:rPr>
          <w:rFonts w:hint="eastAsia" w:asciiTheme="minorEastAsia" w:hAnsiTheme="minorEastAsia" w:eastAsiaTheme="minorEastAsia"/>
          <w:color w:val="000000"/>
          <w:sz w:val="24"/>
          <w:szCs w:val="24"/>
          <w:lang w:val="en-US" w:eastAsia="zh-CN"/>
        </w:rPr>
        <w:t>6</w:t>
      </w:r>
      <w:r>
        <w:rPr>
          <w:rFonts w:hint="eastAsia" w:asciiTheme="minorEastAsia" w:hAnsiTheme="minorEastAsia" w:eastAsiaTheme="minorEastAsia"/>
          <w:color w:val="000000"/>
          <w:sz w:val="24"/>
          <w:szCs w:val="24"/>
        </w:rPr>
        <w:t>年</w:t>
      </w: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月</w:t>
      </w:r>
      <w:r>
        <w:rPr>
          <w:rFonts w:hint="eastAsia" w:asciiTheme="minorEastAsia" w:hAnsiTheme="minorEastAsia" w:eastAsiaTheme="minorEastAsia"/>
          <w:color w:val="000000"/>
          <w:sz w:val="24"/>
          <w:szCs w:val="24"/>
          <w:lang w:val="en-US" w:eastAsia="zh-CN"/>
        </w:rPr>
        <w:t>21</w:t>
      </w:r>
      <w:r>
        <w:rPr>
          <w:rFonts w:hint="eastAsia" w:asciiTheme="minorEastAsia" w:hAnsiTheme="minorEastAsia" w:eastAsiaTheme="minorEastAsia"/>
          <w:color w:val="000000"/>
          <w:sz w:val="24"/>
          <w:szCs w:val="24"/>
        </w:rPr>
        <w:t>日-202</w:t>
      </w:r>
      <w:r>
        <w:rPr>
          <w:rFonts w:hint="eastAsia" w:asciiTheme="minorEastAsia" w:hAnsiTheme="minorEastAsia" w:eastAsiaTheme="minorEastAsia"/>
          <w:color w:val="000000"/>
          <w:sz w:val="24"/>
          <w:szCs w:val="24"/>
          <w:lang w:val="en-US" w:eastAsia="zh-CN"/>
        </w:rPr>
        <w:t>7</w:t>
      </w:r>
      <w:r>
        <w:rPr>
          <w:rFonts w:hint="eastAsia" w:asciiTheme="minorEastAsia" w:hAnsiTheme="minorEastAsia" w:eastAsiaTheme="minorEastAsia"/>
          <w:color w:val="000000"/>
          <w:sz w:val="24"/>
          <w:szCs w:val="24"/>
        </w:rPr>
        <w:t>年</w:t>
      </w: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月</w:t>
      </w:r>
      <w:r>
        <w:rPr>
          <w:rFonts w:hint="eastAsia" w:asciiTheme="minorEastAsia" w:hAnsiTheme="minorEastAsia" w:eastAsiaTheme="minorEastAsia"/>
          <w:color w:val="000000"/>
          <w:sz w:val="24"/>
          <w:szCs w:val="24"/>
          <w:lang w:val="en-US" w:eastAsia="zh-CN"/>
        </w:rPr>
        <w:t>20</w:t>
      </w:r>
      <w:r>
        <w:rPr>
          <w:rFonts w:hint="eastAsia" w:asciiTheme="minorEastAsia" w:hAnsiTheme="minorEastAsia" w:eastAsiaTheme="minorEastAsia"/>
          <w:color w:val="000000"/>
          <w:sz w:val="24"/>
          <w:szCs w:val="24"/>
        </w:rPr>
        <w:t>日</w:t>
      </w:r>
      <w:r>
        <w:rPr>
          <w:rFonts w:hint="eastAsia" w:asciiTheme="minorEastAsia" w:hAnsiTheme="minorEastAsia" w:eastAsiaTheme="minorEastAsia"/>
          <w:color w:val="000000"/>
          <w:sz w:val="24"/>
          <w:szCs w:val="24"/>
          <w:lang w:eastAsia="zh-CN"/>
        </w:rPr>
        <w:t>。</w:t>
      </w:r>
    </w:p>
    <w:p w14:paraId="3911FAAC">
      <w:pPr>
        <w:pStyle w:val="14"/>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lang w:val="en-US" w:eastAsia="zh-CN"/>
        </w:rPr>
        <w:t>项目</w:t>
      </w:r>
      <w:r>
        <w:rPr>
          <w:rFonts w:hint="eastAsia" w:asciiTheme="minorEastAsia" w:hAnsiTheme="minorEastAsia" w:eastAsiaTheme="minorEastAsia"/>
          <w:color w:val="000000"/>
          <w:sz w:val="24"/>
          <w:szCs w:val="24"/>
        </w:rPr>
        <w:t>地点：中国重型汽车集团济南地区二级公司</w:t>
      </w: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中标单位分别于二级公司签署协议</w:t>
      </w: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w:t>
      </w:r>
    </w:p>
    <w:p w14:paraId="69F25A62">
      <w:pPr>
        <w:pStyle w:val="14"/>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四、投标说明</w:t>
      </w:r>
    </w:p>
    <w:p w14:paraId="7C6FEDC4">
      <w:pPr>
        <w:pStyle w:val="14"/>
        <w:spacing w:line="360" w:lineRule="auto"/>
        <w:ind w:firstLine="482" w:firstLineChars="200"/>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1</w:t>
      </w: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rPr>
        <w:t>投标条件</w:t>
      </w:r>
    </w:p>
    <w:p w14:paraId="6A724E5A">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1）投标人须遵守《中华人民共和国招标投标法》、《中华人民共和国</w:t>
      </w:r>
      <w:r>
        <w:rPr>
          <w:rFonts w:hint="eastAsia" w:asciiTheme="minorEastAsia" w:hAnsiTheme="minorEastAsia" w:eastAsiaTheme="minorEastAsia"/>
          <w:color w:val="000000"/>
          <w:sz w:val="24"/>
          <w:szCs w:val="24"/>
          <w:lang w:val="en-US" w:eastAsia="zh-CN"/>
        </w:rPr>
        <w:t>民法典</w:t>
      </w:r>
      <w:r>
        <w:rPr>
          <w:rFonts w:hint="eastAsia" w:asciiTheme="minorEastAsia" w:hAnsiTheme="minorEastAsia" w:eastAsiaTheme="minorEastAsia"/>
          <w:color w:val="000000"/>
          <w:sz w:val="24"/>
          <w:szCs w:val="24"/>
        </w:rPr>
        <w:t>》及其它有关的法律和法规；为中华人民共和国境内注册的独立法人机构，具有独立承担民事责任能力；</w:t>
      </w:r>
    </w:p>
    <w:p w14:paraId="556E0950">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2）公司成立三年以上（以营业执照成立日期到开标当日满三年为准）；公司注册资本不少于壹佰万元（人民币）；经营范围满足招标项目需求；</w:t>
      </w:r>
    </w:p>
    <w:p w14:paraId="630488DC">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3）投标人须提供具有统一社会信用代码的新版营业执照副本复印件（加盖公章）；</w:t>
      </w:r>
    </w:p>
    <w:p w14:paraId="16FBD9E3">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4）具有良好的商业信誉，在国家企业信用信息公示系统中无行政处罚、列入经营异常名录和列入严重违法失信企业名单（黑名单）信息或上述信息已被移除。</w:t>
      </w:r>
    </w:p>
    <w:p w14:paraId="7E040844">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5）投标人在近三年内在经营活动中无违法记录。</w:t>
      </w:r>
    </w:p>
    <w:p w14:paraId="56A8F3C9">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6）具有健全的财务会计制度，财务状况和市场行为良好。没有处于被有权机关吊销营业执照、吊销资质、停业整顿、取消投标资格以及财产被接管、冻结或进入破产程序等。</w:t>
      </w:r>
    </w:p>
    <w:p w14:paraId="508704C3">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7）投标人没有被列入招标人处《黑名单》（《黑名单》指投标人与招标人在以往或正在进行的合作中，存在招标人认为的违反合同约定或违反法律法规等的失信行为）的。</w:t>
      </w:r>
    </w:p>
    <w:p w14:paraId="3F8EE6BA">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8）投标人须提供近三年的公司财务报表（资产负债表、损益表、现金流量表）。</w:t>
      </w:r>
    </w:p>
    <w:p w14:paraId="40709AD8">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9）投标人须提供法人授权委托书原件（在投标文件副本中可用复印件）及投标单位的法定代表人或授权代表的身份证原件及复印件（加盖公章）；</w:t>
      </w:r>
    </w:p>
    <w:p w14:paraId="0295FA46">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10）投标人须具有履行合同所必须的设备、财务、技术、服务等方面的资质和能力；</w:t>
      </w:r>
    </w:p>
    <w:p w14:paraId="7EC32FBF">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11）投标人须具有完全履行招标文件的所有要求的能力；</w:t>
      </w:r>
    </w:p>
    <w:p w14:paraId="6A2D827C">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12）投标人须负责提供合理的便于运输的包装物，并承担相关费用；</w:t>
      </w:r>
    </w:p>
    <w:p w14:paraId="3A5B9D26">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13）投标人须认可招标人的工作指令，包括节、假日能正常开展工作的要求；</w:t>
      </w:r>
    </w:p>
    <w:p w14:paraId="3487F2A2">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14）投标人必须是最终投标、签订合同的单位，不得以任何理由将已中标项目以任何形式转包给其他单位；</w:t>
      </w:r>
    </w:p>
    <w:p w14:paraId="3EE5661A">
      <w:pPr>
        <w:pStyle w:val="14"/>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15）本次招标项目不接受联合体投标；</w:t>
      </w:r>
    </w:p>
    <w:p w14:paraId="4101BF53">
      <w:pPr>
        <w:pStyle w:val="14"/>
        <w:spacing w:line="360" w:lineRule="auto"/>
        <w:ind w:firstLine="480" w:firstLineChars="200"/>
        <w:rPr>
          <w:rFonts w:hint="default" w:asciiTheme="minorEastAsia" w:hAnsiTheme="minorEastAsia" w:eastAsiaTheme="minorEastAsia"/>
          <w:color w:val="000000"/>
          <w:sz w:val="24"/>
          <w:szCs w:val="24"/>
          <w:lang w:val="en-US"/>
        </w:rPr>
      </w:pPr>
      <w:r>
        <w:rPr>
          <w:rFonts w:hint="eastAsia" w:asciiTheme="minorEastAsia" w:hAnsiTheme="minorEastAsia" w:eastAsiaTheme="minorEastAsia"/>
          <w:color w:val="000000"/>
          <w:sz w:val="24"/>
          <w:szCs w:val="24"/>
        </w:rPr>
        <w:t>16）其他须具备的资格要求：装修</w:t>
      </w:r>
      <w:r>
        <w:rPr>
          <w:rFonts w:hint="eastAsia" w:asciiTheme="minorEastAsia" w:hAnsiTheme="minorEastAsia" w:eastAsiaTheme="minorEastAsia"/>
          <w:color w:val="000000"/>
          <w:sz w:val="24"/>
          <w:szCs w:val="24"/>
          <w:lang w:val="en-US" w:eastAsia="zh-CN"/>
        </w:rPr>
        <w:t>工程</w:t>
      </w:r>
      <w:r>
        <w:rPr>
          <w:rFonts w:hint="eastAsia" w:asciiTheme="minorEastAsia" w:hAnsiTheme="minorEastAsia" w:eastAsiaTheme="minorEastAsia"/>
          <w:color w:val="000000"/>
          <w:sz w:val="24"/>
          <w:szCs w:val="24"/>
        </w:rPr>
        <w:t>、环保工程等相关资格。</w:t>
      </w:r>
    </w:p>
    <w:p w14:paraId="4BF29314">
      <w:pPr>
        <w:pStyle w:val="14"/>
        <w:spacing w:line="360" w:lineRule="auto"/>
        <w:ind w:firstLine="482" w:firstLineChars="200"/>
        <w:rPr>
          <w:rFonts w:asciiTheme="minorEastAsia" w:hAnsiTheme="minorEastAsia" w:eastAsiaTheme="minorEastAsia"/>
          <w:b/>
          <w:bCs/>
          <w:color w:val="auto"/>
          <w:sz w:val="24"/>
          <w:szCs w:val="24"/>
        </w:rPr>
      </w:pPr>
      <w:r>
        <w:rPr>
          <w:rFonts w:hint="eastAsia" w:asciiTheme="minorEastAsia" w:hAnsiTheme="minorEastAsia" w:eastAsiaTheme="minorEastAsia"/>
          <w:b/>
          <w:bCs/>
          <w:color w:val="000000"/>
          <w:sz w:val="24"/>
          <w:szCs w:val="24"/>
        </w:rPr>
        <w:t>2</w:t>
      </w: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rPr>
        <w:t>报价</w:t>
      </w:r>
    </w:p>
    <w:p w14:paraId="510C28DE">
      <w:pPr>
        <w:pStyle w:val="14"/>
        <w:spacing w:line="360" w:lineRule="auto"/>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（1）本次招投标为</w:t>
      </w:r>
      <w:r>
        <w:rPr>
          <w:rFonts w:hint="eastAsia" w:cs="Times New Roman" w:asciiTheme="minorEastAsia" w:hAnsiTheme="minorEastAsia" w:eastAsiaTheme="minorEastAsia"/>
          <w:color w:val="000000"/>
          <w:kern w:val="2"/>
          <w:sz w:val="24"/>
          <w:szCs w:val="24"/>
          <w:lang w:val="en-US" w:eastAsia="zh-CN" w:bidi="ar-SA"/>
        </w:rPr>
        <w:t>公开招标</w:t>
      </w:r>
      <w:r>
        <w:rPr>
          <w:rFonts w:hint="eastAsia" w:cs="仿宋" w:asciiTheme="minorEastAsia" w:hAnsiTheme="minorEastAsia" w:eastAsiaTheme="minorEastAsia"/>
          <w:sz w:val="24"/>
          <w:szCs w:val="24"/>
        </w:rPr>
        <w:t>，招标人有权根据项目情况，采取多级评标模式。评标流程以及规则详细见</w:t>
      </w:r>
      <w:r>
        <w:rPr>
          <w:rFonts w:hint="eastAsia" w:cs="仿宋" w:asciiTheme="minorEastAsia" w:hAnsiTheme="minorEastAsia" w:eastAsiaTheme="minorEastAsia"/>
          <w:sz w:val="24"/>
          <w:szCs w:val="24"/>
          <w:lang w:val="en-US" w:eastAsia="zh-CN"/>
        </w:rPr>
        <w:t>投标人须知。</w:t>
      </w:r>
    </w:p>
    <w:p w14:paraId="7A52EFB9">
      <w:pPr>
        <w:pStyle w:val="14"/>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投标人自行勘察现场，进行合理报价。</w:t>
      </w:r>
    </w:p>
    <w:p w14:paraId="11677E42">
      <w:pPr>
        <w:pStyle w:val="14"/>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（2）所有的报价货币单位为：（人民币）元（请务必报含税价和不含税价并写明税率）。</w:t>
      </w:r>
    </w:p>
    <w:p w14:paraId="06A96D3B">
      <w:pPr>
        <w:pStyle w:val="14"/>
        <w:spacing w:line="360" w:lineRule="auto"/>
        <w:ind w:firstLine="482" w:firstLineChars="200"/>
        <w:rPr>
          <w:rFonts w:hint="eastAsia" w:asciiTheme="minorEastAsia" w:hAnsiTheme="minorEastAsia" w:eastAsiaTheme="minorEastAsia"/>
          <w:b/>
          <w:bCs/>
          <w:color w:val="000000"/>
          <w:sz w:val="24"/>
          <w:szCs w:val="24"/>
          <w:lang w:eastAsia="zh-CN"/>
        </w:rPr>
      </w:pPr>
      <w:r>
        <w:rPr>
          <w:rFonts w:hint="eastAsia" w:asciiTheme="minorEastAsia" w:hAnsiTheme="minorEastAsia" w:eastAsiaTheme="minorEastAsia"/>
          <w:b/>
          <w:bCs/>
          <w:color w:val="000000"/>
          <w:sz w:val="24"/>
          <w:szCs w:val="24"/>
        </w:rPr>
        <w:t>3、付款方式：</w:t>
      </w:r>
    </w:p>
    <w:p w14:paraId="76591885">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3.1半年期银行承兑汇票。</w:t>
      </w:r>
    </w:p>
    <w:p w14:paraId="04352FDF">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3.2工程竣工验收合格，30天内送发包方指定的第三方审计公司审计（审计费由施工方支付），按照审定额进行结算，承包方提供当批付款金额一致的符合国家要求的增值税专用发票挂账后30天内付至工程审定额的 97 %。剩余3%作为质保金，到期无质量问题后无息付清（质保期遵循工程质量保修书要求，自项目验收合格之日起计算）。</w:t>
      </w:r>
    </w:p>
    <w:p w14:paraId="1AB22AE8">
      <w:pPr>
        <w:pStyle w:val="14"/>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五、议程安排</w:t>
      </w:r>
    </w:p>
    <w:p w14:paraId="19E6A9B2">
      <w:pPr>
        <w:pStyle w:val="14"/>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w:t>
      </w:r>
      <w:r>
        <w:rPr>
          <w:rFonts w:hint="eastAsia" w:cs="仿宋" w:asciiTheme="minorEastAsia" w:hAnsiTheme="minorEastAsia" w:eastAsiaTheme="minorEastAsia"/>
          <w:sz w:val="24"/>
          <w:szCs w:val="24"/>
          <w:highlight w:val="none"/>
          <w:lang w:val="en-US" w:eastAsia="zh-CN"/>
        </w:rPr>
        <w:t>二次公告</w:t>
      </w:r>
      <w:r>
        <w:rPr>
          <w:rFonts w:hint="eastAsia" w:cs="仿宋" w:asciiTheme="minorEastAsia" w:hAnsiTheme="minorEastAsia" w:eastAsiaTheme="minorEastAsia"/>
          <w:sz w:val="24"/>
          <w:szCs w:val="24"/>
          <w:highlight w:val="none"/>
        </w:rPr>
        <w:t>时间：</w:t>
      </w:r>
      <w:r>
        <w:rPr>
          <w:rFonts w:hint="eastAsia" w:cs="仿宋" w:asciiTheme="minorEastAsia" w:hAnsiTheme="minorEastAsia" w:eastAsiaTheme="minorEastAsia"/>
          <w:sz w:val="24"/>
          <w:szCs w:val="24"/>
          <w:highlight w:val="none"/>
          <w:u w:val="single"/>
          <w:lang w:val="en-US" w:eastAsia="zh-CN"/>
        </w:rPr>
        <w:t xml:space="preserve"> 2026年3月13日  </w:t>
      </w:r>
    </w:p>
    <w:p w14:paraId="72AA2734">
      <w:pPr>
        <w:pStyle w:val="14"/>
        <w:pageBreakBefore w:val="0"/>
        <w:kinsoku/>
        <w:wordWrap/>
        <w:overflowPunct/>
        <w:topLinePunct w:val="0"/>
        <w:autoSpaceDE/>
        <w:autoSpaceDN/>
        <w:bidi w:val="0"/>
        <w:adjustRightInd/>
        <w:snapToGrid/>
        <w:spacing w:line="360" w:lineRule="auto"/>
        <w:ind w:firstLine="480" w:firstLineChars="200"/>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hAnsi="宋体" w:cs="宋体"/>
          <w:color w:val="auto"/>
          <w:sz w:val="24"/>
          <w:szCs w:val="24"/>
          <w:highlight w:val="none"/>
        </w:rPr>
        <w:t>发布招标方式</w:t>
      </w:r>
      <w:r>
        <w:rPr>
          <w:rFonts w:hint="eastAsia" w:hAnsi="宋体" w:cs="宋体"/>
          <w:color w:val="auto"/>
          <w:sz w:val="24"/>
          <w:szCs w:val="24"/>
          <w:highlight w:val="none"/>
          <w:lang w:eastAsia="zh-CN"/>
        </w:rPr>
        <w:t>：</w:t>
      </w:r>
      <w:r>
        <w:rPr>
          <w:rFonts w:hint="eastAsia" w:hAnsi="宋体" w:cs="宋体"/>
          <w:color w:val="auto"/>
          <w:sz w:val="24"/>
          <w:szCs w:val="24"/>
          <w:highlight w:val="none"/>
        </w:rPr>
        <w:t>中国重汽官网→快讯中心→通知公告栏公布</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重汽e采通</w:t>
      </w:r>
    </w:p>
    <w:p w14:paraId="6551A6E0">
      <w:pPr>
        <w:pStyle w:val="14"/>
        <w:spacing w:line="360" w:lineRule="auto"/>
        <w:ind w:firstLine="480" w:firstLineChars="200"/>
        <w:rPr>
          <w:rFonts w:hint="eastAsia" w:ascii="宋体" w:hAnsi="宋体" w:eastAsia="宋体" w:cs="宋体"/>
          <w:sz w:val="24"/>
          <w:szCs w:val="24"/>
          <w:highlight w:val="none"/>
        </w:rPr>
      </w:pPr>
      <w:r>
        <w:rPr>
          <w:rFonts w:hint="eastAsia" w:cs="仿宋" w:asciiTheme="minorEastAsia" w:hAnsiTheme="minorEastAsia" w:eastAsiaTheme="minorEastAsia"/>
          <w:sz w:val="24"/>
          <w:szCs w:val="24"/>
          <w:highlight w:val="none"/>
          <w:lang w:val="en-US" w:eastAsia="zh-CN"/>
        </w:rPr>
        <w:t>3</w:t>
      </w:r>
      <w:r>
        <w:rPr>
          <w:rFonts w:hint="eastAsia" w:ascii="宋体" w:hAnsi="宋体" w:eastAsia="宋体" w:cs="宋体"/>
          <w:sz w:val="24"/>
          <w:szCs w:val="24"/>
          <w:highlight w:val="none"/>
          <w:lang w:val="en-US" w:eastAsia="zh-CN"/>
        </w:rPr>
        <w:t>、应标</w:t>
      </w:r>
      <w:r>
        <w:rPr>
          <w:rFonts w:hint="eastAsia" w:ascii="宋体" w:hAnsi="宋体" w:eastAsia="宋体" w:cs="宋体"/>
          <w:sz w:val="24"/>
          <w:szCs w:val="24"/>
          <w:highlight w:val="none"/>
        </w:rPr>
        <w:t>报名截止时间：</w:t>
      </w:r>
      <w:r>
        <w:rPr>
          <w:rFonts w:hint="eastAsia" w:ascii="宋体" w:hAnsi="宋体" w:eastAsia="宋体" w:cs="宋体"/>
          <w:sz w:val="24"/>
          <w:szCs w:val="24"/>
          <w:highlight w:val="none"/>
          <w:u w:val="single"/>
          <w:lang w:val="en-US" w:eastAsia="zh-CN"/>
        </w:rPr>
        <w:t xml:space="preserve"> </w:t>
      </w:r>
      <w:r>
        <w:rPr>
          <w:rFonts w:hint="eastAsia" w:cs="仿宋" w:asciiTheme="minorEastAsia" w:hAnsiTheme="minorEastAsia" w:eastAsiaTheme="minorEastAsia"/>
          <w:sz w:val="24"/>
          <w:szCs w:val="24"/>
          <w:highlight w:val="none"/>
          <w:u w:val="single"/>
          <w:lang w:val="en-US" w:eastAsia="zh-CN"/>
        </w:rPr>
        <w:t>2026年3月19日15:00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0CBFEC0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rPr>
        <w:t>报名方式：</w:t>
      </w:r>
      <w:r>
        <w:rPr>
          <w:rFonts w:hint="eastAsia" w:ascii="宋体" w:hAnsi="宋体" w:eastAsia="宋体" w:cs="宋体"/>
          <w:b w:val="0"/>
          <w:bCs w:val="0"/>
          <w:sz w:val="24"/>
          <w:szCs w:val="24"/>
          <w:highlight w:val="none"/>
          <w:lang w:val="en-US" w:eastAsia="zh-CN"/>
        </w:rPr>
        <w:t>在“中国重汽e采通”应标报名，按照资格证明文件准备资料，上传完毕后，等待审核。（投标保证金可应标资质审核通过后再缴纳）。</w:t>
      </w:r>
      <w:r>
        <w:rPr>
          <w:rFonts w:hint="eastAsia" w:ascii="宋体" w:hAnsi="宋体" w:eastAsia="宋体" w:cs="宋体"/>
          <w:b/>
          <w:bCs/>
          <w:sz w:val="24"/>
          <w:szCs w:val="24"/>
          <w:highlight w:val="none"/>
          <w:lang w:val="en-US" w:eastAsia="zh-CN"/>
        </w:rPr>
        <w:t>应标后应电话联系商务联系人进行资格审查</w:t>
      </w:r>
      <w:r>
        <w:rPr>
          <w:rFonts w:hint="eastAsia" w:ascii="宋体" w:hAnsi="宋体" w:eastAsia="宋体" w:cs="宋体"/>
          <w:b w:val="0"/>
          <w:bCs w:val="0"/>
          <w:sz w:val="24"/>
          <w:szCs w:val="24"/>
          <w:highlight w:val="none"/>
          <w:lang w:val="en-US" w:eastAsia="zh-CN"/>
        </w:rPr>
        <w:t>。</w:t>
      </w:r>
    </w:p>
    <w:p w14:paraId="6214AC9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none"/>
          <w:lang w:val="en-US" w:eastAsia="zh-CN" w:bidi="ar-SA"/>
        </w:rPr>
        <w:t>4、投标保证金收取截止时间：</w:t>
      </w:r>
      <w:r>
        <w:rPr>
          <w:rFonts w:hint="eastAsia" w:ascii="宋体" w:hAnsi="宋体" w:eastAsia="宋体" w:cs="宋体"/>
          <w:kern w:val="2"/>
          <w:sz w:val="24"/>
          <w:szCs w:val="24"/>
          <w:highlight w:val="none"/>
          <w:u w:val="single"/>
          <w:lang w:val="en-US" w:eastAsia="zh-CN" w:bidi="ar-SA"/>
        </w:rPr>
        <w:t>2026年</w:t>
      </w:r>
      <w:r>
        <w:rPr>
          <w:rFonts w:hint="eastAsia" w:hAnsi="宋体" w:cs="宋体"/>
          <w:kern w:val="2"/>
          <w:sz w:val="24"/>
          <w:szCs w:val="24"/>
          <w:highlight w:val="none"/>
          <w:u w:val="single"/>
          <w:lang w:val="en-US" w:eastAsia="zh-CN" w:bidi="ar-SA"/>
        </w:rPr>
        <w:t>3</w:t>
      </w:r>
      <w:r>
        <w:rPr>
          <w:rFonts w:hint="eastAsia" w:ascii="宋体" w:hAnsi="宋体" w:eastAsia="宋体" w:cs="宋体"/>
          <w:kern w:val="2"/>
          <w:sz w:val="24"/>
          <w:szCs w:val="24"/>
          <w:highlight w:val="none"/>
          <w:u w:val="single"/>
          <w:lang w:val="en-US" w:eastAsia="zh-CN" w:bidi="ar-SA"/>
        </w:rPr>
        <w:t>月</w:t>
      </w:r>
      <w:r>
        <w:rPr>
          <w:rFonts w:hint="eastAsia" w:hAnsi="宋体" w:cs="宋体"/>
          <w:kern w:val="2"/>
          <w:sz w:val="24"/>
          <w:szCs w:val="24"/>
          <w:highlight w:val="none"/>
          <w:u w:val="single"/>
          <w:lang w:val="en-US" w:eastAsia="zh-CN" w:bidi="ar-SA"/>
        </w:rPr>
        <w:t>19</w:t>
      </w:r>
      <w:r>
        <w:rPr>
          <w:rFonts w:hint="eastAsia" w:ascii="宋体" w:hAnsi="宋体" w:eastAsia="宋体" w:cs="宋体"/>
          <w:kern w:val="2"/>
          <w:sz w:val="24"/>
          <w:szCs w:val="24"/>
          <w:highlight w:val="none"/>
          <w:u w:val="single"/>
          <w:lang w:val="en-US" w:eastAsia="zh-CN" w:bidi="ar-SA"/>
        </w:rPr>
        <w:t>日1</w:t>
      </w:r>
      <w:r>
        <w:rPr>
          <w:rFonts w:hint="eastAsia" w:hAnsi="宋体" w:cs="宋体"/>
          <w:kern w:val="2"/>
          <w:sz w:val="24"/>
          <w:szCs w:val="24"/>
          <w:highlight w:val="none"/>
          <w:u w:val="single"/>
          <w:lang w:val="en-US" w:eastAsia="zh-CN" w:bidi="ar-SA"/>
        </w:rPr>
        <w:t>7</w:t>
      </w:r>
      <w:r>
        <w:rPr>
          <w:rFonts w:hint="eastAsia" w:ascii="宋体" w:hAnsi="宋体" w:eastAsia="宋体" w:cs="宋体"/>
          <w:kern w:val="2"/>
          <w:sz w:val="24"/>
          <w:szCs w:val="24"/>
          <w:highlight w:val="none"/>
          <w:u w:val="single"/>
          <w:lang w:val="en-US" w:eastAsia="zh-CN" w:bidi="ar-SA"/>
        </w:rPr>
        <w:t>：00</w:t>
      </w:r>
    </w:p>
    <w:p w14:paraId="18A8350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none"/>
          <w:lang w:val="en-US" w:eastAsia="zh-CN" w:bidi="ar-SA"/>
        </w:rPr>
        <w:t>5、纸质投标文件提交截止时间：</w:t>
      </w:r>
      <w:r>
        <w:rPr>
          <w:rFonts w:hint="eastAsia" w:ascii="宋体" w:hAnsi="宋体" w:eastAsia="宋体" w:cs="宋体"/>
          <w:kern w:val="2"/>
          <w:sz w:val="24"/>
          <w:szCs w:val="24"/>
          <w:highlight w:val="none"/>
          <w:u w:val="single"/>
          <w:lang w:val="en-US" w:eastAsia="zh-CN" w:bidi="ar-SA"/>
        </w:rPr>
        <w:t>2026年</w:t>
      </w:r>
      <w:r>
        <w:rPr>
          <w:rFonts w:hint="eastAsia" w:hAnsi="宋体" w:cs="宋体"/>
          <w:kern w:val="2"/>
          <w:sz w:val="24"/>
          <w:szCs w:val="24"/>
          <w:highlight w:val="none"/>
          <w:u w:val="single"/>
          <w:lang w:val="en-US" w:eastAsia="zh-CN" w:bidi="ar-SA"/>
        </w:rPr>
        <w:t>3</w:t>
      </w:r>
      <w:r>
        <w:rPr>
          <w:rFonts w:hint="eastAsia" w:ascii="宋体" w:hAnsi="宋体" w:eastAsia="宋体" w:cs="宋体"/>
          <w:kern w:val="2"/>
          <w:sz w:val="24"/>
          <w:szCs w:val="24"/>
          <w:highlight w:val="none"/>
          <w:u w:val="single"/>
          <w:lang w:val="en-US" w:eastAsia="zh-CN" w:bidi="ar-SA"/>
        </w:rPr>
        <w:t>月</w:t>
      </w:r>
      <w:r>
        <w:rPr>
          <w:rFonts w:hint="eastAsia" w:hAnsi="宋体" w:cs="宋体"/>
          <w:kern w:val="2"/>
          <w:sz w:val="24"/>
          <w:szCs w:val="24"/>
          <w:highlight w:val="none"/>
          <w:u w:val="single"/>
          <w:lang w:val="en-US" w:eastAsia="zh-CN" w:bidi="ar-SA"/>
        </w:rPr>
        <w:t>19</w:t>
      </w:r>
      <w:r>
        <w:rPr>
          <w:rFonts w:hint="eastAsia" w:ascii="宋体" w:hAnsi="宋体" w:eastAsia="宋体" w:cs="宋体"/>
          <w:kern w:val="2"/>
          <w:sz w:val="24"/>
          <w:szCs w:val="24"/>
          <w:highlight w:val="none"/>
          <w:u w:val="single"/>
          <w:lang w:val="en-US" w:eastAsia="zh-CN" w:bidi="ar-SA"/>
        </w:rPr>
        <w:t>日1</w:t>
      </w:r>
      <w:r>
        <w:rPr>
          <w:rFonts w:hint="eastAsia" w:hAnsi="宋体" w:cs="宋体"/>
          <w:kern w:val="2"/>
          <w:sz w:val="24"/>
          <w:szCs w:val="24"/>
          <w:highlight w:val="none"/>
          <w:u w:val="single"/>
          <w:lang w:val="en-US" w:eastAsia="zh-CN" w:bidi="ar-SA"/>
        </w:rPr>
        <w:t>7</w:t>
      </w:r>
      <w:r>
        <w:rPr>
          <w:rFonts w:hint="eastAsia" w:ascii="宋体" w:hAnsi="宋体" w:eastAsia="宋体" w:cs="宋体"/>
          <w:kern w:val="2"/>
          <w:sz w:val="24"/>
          <w:szCs w:val="24"/>
          <w:highlight w:val="none"/>
          <w:u w:val="single"/>
          <w:lang w:val="en-US" w:eastAsia="zh-CN" w:bidi="ar-SA"/>
        </w:rPr>
        <w:t>：00</w:t>
      </w:r>
    </w:p>
    <w:p w14:paraId="54FEB207">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none"/>
          <w:lang w:val="en-US" w:eastAsia="zh-CN" w:bidi="ar-SA"/>
        </w:rPr>
        <w:t>6、投标截止时间：</w:t>
      </w:r>
      <w:r>
        <w:rPr>
          <w:rFonts w:hint="eastAsia" w:ascii="宋体" w:hAnsi="宋体" w:eastAsia="宋体" w:cs="宋体"/>
          <w:kern w:val="2"/>
          <w:sz w:val="24"/>
          <w:szCs w:val="24"/>
          <w:highlight w:val="none"/>
          <w:u w:val="single"/>
          <w:lang w:val="en-US" w:eastAsia="zh-CN" w:bidi="ar-SA"/>
        </w:rPr>
        <w:t>2026年</w:t>
      </w:r>
      <w:r>
        <w:rPr>
          <w:rFonts w:hint="eastAsia" w:hAnsi="宋体" w:cs="宋体"/>
          <w:kern w:val="2"/>
          <w:sz w:val="24"/>
          <w:szCs w:val="24"/>
          <w:highlight w:val="none"/>
          <w:u w:val="single"/>
          <w:lang w:val="en-US" w:eastAsia="zh-CN" w:bidi="ar-SA"/>
        </w:rPr>
        <w:t>3</w:t>
      </w:r>
      <w:r>
        <w:rPr>
          <w:rFonts w:hint="eastAsia" w:ascii="宋体" w:hAnsi="宋体" w:eastAsia="宋体" w:cs="宋体"/>
          <w:kern w:val="2"/>
          <w:sz w:val="24"/>
          <w:szCs w:val="24"/>
          <w:highlight w:val="none"/>
          <w:u w:val="single"/>
          <w:lang w:val="en-US" w:eastAsia="zh-CN" w:bidi="ar-SA"/>
        </w:rPr>
        <w:t>月</w:t>
      </w:r>
      <w:r>
        <w:rPr>
          <w:rFonts w:hint="eastAsia" w:hAnsi="宋体" w:cs="宋体"/>
          <w:kern w:val="2"/>
          <w:sz w:val="24"/>
          <w:szCs w:val="24"/>
          <w:highlight w:val="none"/>
          <w:u w:val="single"/>
          <w:lang w:val="en-US" w:eastAsia="zh-CN" w:bidi="ar-SA"/>
        </w:rPr>
        <w:t>19</w:t>
      </w:r>
      <w:r>
        <w:rPr>
          <w:rFonts w:hint="eastAsia" w:ascii="宋体" w:hAnsi="宋体" w:eastAsia="宋体" w:cs="宋体"/>
          <w:kern w:val="2"/>
          <w:sz w:val="24"/>
          <w:szCs w:val="24"/>
          <w:highlight w:val="none"/>
          <w:u w:val="single"/>
          <w:lang w:val="en-US" w:eastAsia="zh-CN" w:bidi="ar-SA"/>
        </w:rPr>
        <w:t>日1</w:t>
      </w:r>
      <w:r>
        <w:rPr>
          <w:rFonts w:hint="eastAsia" w:hAnsi="宋体" w:cs="宋体"/>
          <w:kern w:val="2"/>
          <w:sz w:val="24"/>
          <w:szCs w:val="24"/>
          <w:highlight w:val="none"/>
          <w:u w:val="single"/>
          <w:lang w:val="en-US" w:eastAsia="zh-CN" w:bidi="ar-SA"/>
        </w:rPr>
        <w:t>7</w:t>
      </w:r>
      <w:r>
        <w:rPr>
          <w:rFonts w:hint="eastAsia" w:ascii="宋体" w:hAnsi="宋体" w:eastAsia="宋体" w:cs="宋体"/>
          <w:kern w:val="2"/>
          <w:sz w:val="24"/>
          <w:szCs w:val="24"/>
          <w:highlight w:val="none"/>
          <w:u w:val="single"/>
          <w:lang w:val="en-US" w:eastAsia="zh-CN" w:bidi="ar-SA"/>
        </w:rPr>
        <w:t>:00</w:t>
      </w:r>
    </w:p>
    <w:p w14:paraId="6369AC73">
      <w:pPr>
        <w:pStyle w:val="14"/>
        <w:tabs>
          <w:tab w:val="left" w:pos="539"/>
        </w:tabs>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7</w:t>
      </w:r>
      <w:r>
        <w:rPr>
          <w:rFonts w:hint="eastAsia" w:cs="仿宋" w:asciiTheme="minorEastAsia" w:hAnsiTheme="minorEastAsia" w:eastAsiaTheme="minorEastAsia"/>
          <w:sz w:val="24"/>
          <w:szCs w:val="24"/>
          <w:highlight w:val="none"/>
        </w:rPr>
        <w:t>、答疑</w:t>
      </w:r>
      <w:r>
        <w:rPr>
          <w:rFonts w:hint="eastAsia" w:cs="仿宋" w:asciiTheme="minorEastAsia" w:hAnsiTheme="minorEastAsia" w:eastAsiaTheme="minorEastAsia"/>
          <w:sz w:val="24"/>
          <w:szCs w:val="24"/>
          <w:highlight w:val="none"/>
          <w:lang w:val="en-US" w:eastAsia="zh-CN"/>
        </w:rPr>
        <w:t>截止</w:t>
      </w:r>
      <w:r>
        <w:rPr>
          <w:rFonts w:hint="eastAsia" w:cs="仿宋" w:asciiTheme="minorEastAsia" w:hAnsiTheme="minorEastAsia" w:eastAsiaTheme="minorEastAsia"/>
          <w:sz w:val="24"/>
          <w:szCs w:val="24"/>
          <w:highlight w:val="none"/>
        </w:rPr>
        <w:t>时间：</w:t>
      </w:r>
      <w:r>
        <w:rPr>
          <w:rFonts w:hint="eastAsia" w:cs="仿宋" w:asciiTheme="minorEastAsia" w:hAnsiTheme="minorEastAsia" w:eastAsiaTheme="minorEastAsia"/>
          <w:sz w:val="24"/>
          <w:szCs w:val="24"/>
          <w:highlight w:val="none"/>
          <w:u w:val="single"/>
          <w:lang w:val="en-US" w:eastAsia="zh-CN"/>
        </w:rPr>
        <w:t xml:space="preserve"> </w:t>
      </w:r>
      <w:r>
        <w:rPr>
          <w:rFonts w:hint="eastAsia" w:ascii="宋体" w:hAnsi="宋体" w:eastAsia="宋体" w:cs="宋体"/>
          <w:kern w:val="2"/>
          <w:sz w:val="24"/>
          <w:szCs w:val="24"/>
          <w:highlight w:val="none"/>
          <w:u w:val="single"/>
          <w:lang w:val="en-US" w:eastAsia="zh-CN" w:bidi="ar-SA"/>
        </w:rPr>
        <w:t>2026年</w:t>
      </w:r>
      <w:r>
        <w:rPr>
          <w:rFonts w:hint="eastAsia" w:hAnsi="宋体" w:cs="宋体"/>
          <w:kern w:val="2"/>
          <w:sz w:val="24"/>
          <w:szCs w:val="24"/>
          <w:highlight w:val="none"/>
          <w:u w:val="single"/>
          <w:lang w:val="en-US" w:eastAsia="zh-CN" w:bidi="ar-SA"/>
        </w:rPr>
        <w:t>3</w:t>
      </w:r>
      <w:r>
        <w:rPr>
          <w:rFonts w:hint="eastAsia" w:ascii="宋体" w:hAnsi="宋体" w:eastAsia="宋体" w:cs="宋体"/>
          <w:kern w:val="2"/>
          <w:sz w:val="24"/>
          <w:szCs w:val="24"/>
          <w:highlight w:val="none"/>
          <w:u w:val="single"/>
          <w:lang w:val="en-US" w:eastAsia="zh-CN" w:bidi="ar-SA"/>
        </w:rPr>
        <w:t>月</w:t>
      </w:r>
      <w:r>
        <w:rPr>
          <w:rFonts w:hint="eastAsia" w:hAnsi="宋体" w:cs="宋体"/>
          <w:kern w:val="2"/>
          <w:sz w:val="24"/>
          <w:szCs w:val="24"/>
          <w:highlight w:val="none"/>
          <w:u w:val="single"/>
          <w:lang w:val="en-US" w:eastAsia="zh-CN" w:bidi="ar-SA"/>
        </w:rPr>
        <w:t>19</w:t>
      </w:r>
      <w:r>
        <w:rPr>
          <w:rFonts w:hint="eastAsia" w:ascii="宋体" w:hAnsi="宋体" w:eastAsia="宋体" w:cs="宋体"/>
          <w:kern w:val="2"/>
          <w:sz w:val="24"/>
          <w:szCs w:val="24"/>
          <w:highlight w:val="none"/>
          <w:u w:val="single"/>
          <w:lang w:val="en-US" w:eastAsia="zh-CN" w:bidi="ar-SA"/>
        </w:rPr>
        <w:t>日17:00</w:t>
      </w:r>
      <w:r>
        <w:rPr>
          <w:rFonts w:hint="eastAsia" w:cs="仿宋" w:asciiTheme="minorEastAsia" w:hAnsiTheme="minorEastAsia" w:eastAsiaTheme="minorEastAsia"/>
          <w:sz w:val="24"/>
          <w:szCs w:val="24"/>
          <w:highlight w:val="none"/>
          <w:u w:val="single"/>
          <w:lang w:val="en-US" w:eastAsia="zh-CN"/>
        </w:rPr>
        <w:t xml:space="preserve"> </w:t>
      </w:r>
      <w:r>
        <w:rPr>
          <w:rFonts w:hint="eastAsia" w:cs="仿宋" w:asciiTheme="minorEastAsia" w:hAnsiTheme="minorEastAsia" w:eastAsiaTheme="minorEastAsia"/>
          <w:sz w:val="24"/>
          <w:szCs w:val="24"/>
          <w:highlight w:val="none"/>
        </w:rPr>
        <w:t>，逾期不受理</w:t>
      </w:r>
      <w:r>
        <w:rPr>
          <w:rFonts w:hint="eastAsia" w:cs="仿宋" w:asciiTheme="minorEastAsia" w:hAnsiTheme="minorEastAsia" w:eastAsiaTheme="minorEastAsia"/>
          <w:sz w:val="24"/>
          <w:szCs w:val="24"/>
          <w:highlight w:val="none"/>
          <w:lang w:eastAsia="zh-CN"/>
        </w:rPr>
        <w:t>。</w:t>
      </w:r>
    </w:p>
    <w:p w14:paraId="6F794FCE">
      <w:pPr>
        <w:pStyle w:val="14"/>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答疑方式：</w:t>
      </w:r>
      <w:r>
        <w:rPr>
          <w:rFonts w:hint="eastAsia" w:cs="仿宋" w:asciiTheme="minorEastAsia" w:hAnsiTheme="minorEastAsia" w:eastAsiaTheme="minorEastAsia"/>
          <w:sz w:val="24"/>
          <w:szCs w:val="24"/>
          <w:highlight w:val="none"/>
          <w:lang w:val="en-US" w:eastAsia="zh-CN"/>
        </w:rPr>
        <w:t>电话、</w:t>
      </w:r>
      <w:r>
        <w:rPr>
          <w:rFonts w:hint="eastAsia" w:cs="仿宋" w:asciiTheme="minorEastAsia" w:hAnsiTheme="minorEastAsia" w:eastAsiaTheme="minorEastAsia"/>
          <w:sz w:val="24"/>
          <w:szCs w:val="24"/>
          <w:highlight w:val="none"/>
        </w:rPr>
        <w:t>书面</w:t>
      </w:r>
      <w:r>
        <w:rPr>
          <w:rFonts w:hint="eastAsia" w:cs="仿宋" w:asciiTheme="minorEastAsia" w:hAnsiTheme="minorEastAsia" w:eastAsiaTheme="minorEastAsia"/>
          <w:sz w:val="24"/>
          <w:szCs w:val="24"/>
          <w:highlight w:val="none"/>
          <w:lang w:val="en-US" w:eastAsia="zh-CN"/>
        </w:rPr>
        <w:t>或</w:t>
      </w:r>
      <w:r>
        <w:rPr>
          <w:rFonts w:hint="eastAsia" w:cs="仿宋" w:asciiTheme="minorEastAsia" w:hAnsiTheme="minorEastAsia" w:eastAsiaTheme="minorEastAsia"/>
          <w:sz w:val="24"/>
          <w:szCs w:val="24"/>
          <w:highlight w:val="none"/>
        </w:rPr>
        <w:t>电子邮件</w:t>
      </w:r>
    </w:p>
    <w:p w14:paraId="0EB4EDE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联系人：刘琦13668800214</w:t>
      </w:r>
    </w:p>
    <w:p w14:paraId="0B7CD367">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lang w:val="en-US" w:eastAsia="zh-CN"/>
        </w:rPr>
        <w:t>8</w:t>
      </w:r>
      <w:r>
        <w:rPr>
          <w:rFonts w:hint="eastAsia" w:cs="仿宋" w:asciiTheme="minorEastAsia" w:hAnsiTheme="minorEastAsia" w:eastAsiaTheme="minorEastAsia"/>
          <w:sz w:val="24"/>
          <w:szCs w:val="24"/>
          <w:highlight w:val="none"/>
        </w:rPr>
        <w:t>、开标时间：</w:t>
      </w:r>
      <w:r>
        <w:rPr>
          <w:rFonts w:hint="eastAsia" w:cs="仿宋" w:asciiTheme="minorEastAsia" w:hAnsiTheme="minorEastAsia" w:eastAsiaTheme="minorEastAsia"/>
          <w:sz w:val="24"/>
          <w:szCs w:val="24"/>
          <w:highlight w:val="none"/>
          <w:u w:val="single"/>
          <w:lang w:val="en-US" w:eastAsia="zh-CN"/>
        </w:rPr>
        <w:t xml:space="preserve"> 2026年3月20日9:00 </w:t>
      </w:r>
      <w:r>
        <w:rPr>
          <w:rFonts w:hint="eastAsia" w:cs="仿宋" w:asciiTheme="minorEastAsia" w:hAnsiTheme="minorEastAsia" w:eastAsiaTheme="minorEastAsia"/>
          <w:sz w:val="24"/>
          <w:szCs w:val="24"/>
          <w:highlight w:val="none"/>
        </w:rPr>
        <w:t>，若有变动另行通知。</w:t>
      </w:r>
    </w:p>
    <w:p w14:paraId="37F2B2BA">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sz w:val="24"/>
          <w:szCs w:val="24"/>
          <w:highlight w:val="none"/>
          <w:lang w:eastAsia="zh-CN"/>
        </w:rPr>
      </w:pPr>
      <w:r>
        <w:rPr>
          <w:rFonts w:hint="eastAsia" w:cs="仿宋" w:asciiTheme="minorEastAsia" w:hAnsiTheme="minorEastAsia" w:eastAsiaTheme="minorEastAsia"/>
          <w:sz w:val="24"/>
          <w:szCs w:val="24"/>
          <w:highlight w:val="none"/>
          <w:lang w:val="en-US" w:eastAsia="zh-CN"/>
        </w:rPr>
        <w:t>9</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sz w:val="24"/>
          <w:szCs w:val="24"/>
          <w:highlight w:val="none"/>
          <w:lang w:val="en-US" w:eastAsia="zh-CN"/>
        </w:rPr>
        <w:t>开标</w:t>
      </w:r>
      <w:r>
        <w:rPr>
          <w:rFonts w:hint="eastAsia" w:cs="仿宋" w:asciiTheme="minorEastAsia" w:hAnsiTheme="minorEastAsia" w:eastAsiaTheme="minorEastAsia"/>
          <w:sz w:val="24"/>
          <w:szCs w:val="24"/>
          <w:highlight w:val="none"/>
        </w:rPr>
        <w:t>标地点：济南市高新区华奥路777号</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lang w:val="en-US" w:eastAsia="zh-CN"/>
        </w:rPr>
        <w:t>暂定</w:t>
      </w:r>
      <w:r>
        <w:rPr>
          <w:rFonts w:hint="eastAsia" w:cs="仿宋" w:asciiTheme="minorEastAsia" w:hAnsiTheme="minorEastAsia" w:eastAsiaTheme="minorEastAsia"/>
          <w:sz w:val="24"/>
          <w:szCs w:val="24"/>
          <w:highlight w:val="none"/>
          <w:lang w:eastAsia="zh-CN"/>
        </w:rPr>
        <w:t>）</w:t>
      </w:r>
    </w:p>
    <w:p w14:paraId="3E1C6566">
      <w:pPr>
        <w:pStyle w:val="14"/>
        <w:spacing w:line="360" w:lineRule="auto"/>
        <w:jc w:val="center"/>
        <w:rPr>
          <w:rFonts w:hint="default" w:ascii="黑体" w:eastAsia="宋体"/>
          <w:b/>
          <w:bCs/>
          <w:color w:val="000000"/>
          <w:sz w:val="36"/>
          <w:szCs w:val="36"/>
          <w:lang w:val="en-US" w:eastAsia="zh-CN"/>
        </w:rPr>
      </w:pPr>
      <w:r>
        <w:rPr>
          <w:rFonts w:hint="eastAsia" w:hAnsi="宋体" w:cs="宋体"/>
          <w:b/>
          <w:bCs/>
          <w:color w:val="000000"/>
          <w:sz w:val="36"/>
          <w:szCs w:val="36"/>
        </w:rPr>
        <w:t>第</w:t>
      </w:r>
      <w:r>
        <w:rPr>
          <w:rFonts w:hint="eastAsia" w:hAnsi="宋体" w:cs="宋体"/>
          <w:b/>
          <w:bCs/>
          <w:color w:val="000000"/>
          <w:sz w:val="36"/>
          <w:szCs w:val="36"/>
          <w:lang w:val="en-US" w:eastAsia="zh-CN"/>
        </w:rPr>
        <w:t>二</w:t>
      </w:r>
      <w:r>
        <w:rPr>
          <w:rFonts w:hint="eastAsia" w:hAnsi="宋体" w:cs="宋体"/>
          <w:b/>
          <w:bCs/>
          <w:color w:val="000000"/>
          <w:sz w:val="36"/>
          <w:szCs w:val="36"/>
        </w:rPr>
        <w:t xml:space="preserve">部分  </w:t>
      </w:r>
      <w:r>
        <w:rPr>
          <w:rFonts w:hint="eastAsia" w:hAnsi="宋体" w:cs="宋体"/>
          <w:b/>
          <w:bCs/>
          <w:color w:val="000000"/>
          <w:sz w:val="36"/>
          <w:szCs w:val="36"/>
          <w:lang w:val="en-US" w:eastAsia="zh-CN"/>
        </w:rPr>
        <w:t>招标内容和要求</w:t>
      </w:r>
    </w:p>
    <w:p w14:paraId="2165E76D">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p w14:paraId="2CF56345">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一</w:t>
      </w:r>
      <w:r>
        <w:rPr>
          <w:rFonts w:hint="eastAsia" w:ascii="宋体" w:hAnsi="宋体" w:eastAsia="宋体" w:cs="宋体"/>
          <w:b/>
          <w:i w:val="0"/>
          <w:color w:val="000000"/>
          <w:kern w:val="0"/>
          <w:sz w:val="24"/>
          <w:szCs w:val="24"/>
          <w:u w:val="none"/>
          <w:lang w:val="en-US" w:eastAsia="zh-CN" w:bidi="ar"/>
        </w:rPr>
        <w:t>、维修工程量明细如下：</w:t>
      </w:r>
    </w:p>
    <w:tbl>
      <w:tblPr>
        <w:tblStyle w:val="32"/>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862"/>
        <w:gridCol w:w="1691"/>
        <w:gridCol w:w="2132"/>
      </w:tblGrid>
      <w:tr w14:paraId="51F3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vAlign w:val="center"/>
          </w:tcPr>
          <w:p w14:paraId="2375A344">
            <w:pPr>
              <w:spacing w:line="580" w:lineRule="exact"/>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rPr>
              <w:t>序号</w:t>
            </w:r>
          </w:p>
        </w:tc>
        <w:tc>
          <w:tcPr>
            <w:tcW w:w="3862" w:type="dxa"/>
            <w:vAlign w:val="center"/>
          </w:tcPr>
          <w:p w14:paraId="556222D7">
            <w:pPr>
              <w:spacing w:line="580" w:lineRule="exact"/>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lang w:val="en-US" w:eastAsia="zh-CN"/>
              </w:rPr>
              <w:t>维修</w:t>
            </w:r>
            <w:r>
              <w:rPr>
                <w:rFonts w:hint="eastAsia" w:ascii="宋体" w:hAnsi="宋体" w:eastAsia="宋体" w:cs="宋体"/>
                <w:b/>
                <w:bCs/>
                <w:color w:val="000000"/>
                <w:sz w:val="24"/>
                <w:szCs w:val="24"/>
              </w:rPr>
              <w:t>项目</w:t>
            </w:r>
            <w:r>
              <w:rPr>
                <w:rFonts w:hint="eastAsia" w:ascii="宋体" w:hAnsi="宋体" w:eastAsia="宋体" w:cs="宋体"/>
                <w:b/>
                <w:bCs/>
                <w:color w:val="000000"/>
                <w:sz w:val="24"/>
                <w:szCs w:val="24"/>
                <w:lang w:val="en-US" w:eastAsia="zh-CN"/>
              </w:rPr>
              <w:t>名称</w:t>
            </w:r>
          </w:p>
        </w:tc>
        <w:tc>
          <w:tcPr>
            <w:tcW w:w="1691" w:type="dxa"/>
            <w:vAlign w:val="center"/>
          </w:tcPr>
          <w:p w14:paraId="720F5354">
            <w:pPr>
              <w:spacing w:line="580" w:lineRule="exact"/>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lang w:val="en-US" w:eastAsia="zh-CN"/>
              </w:rPr>
              <w:t>规格型号</w:t>
            </w:r>
          </w:p>
        </w:tc>
        <w:tc>
          <w:tcPr>
            <w:tcW w:w="2132" w:type="dxa"/>
            <w:vAlign w:val="center"/>
          </w:tcPr>
          <w:p w14:paraId="66167C7D">
            <w:pPr>
              <w:spacing w:line="580" w:lineRule="exact"/>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lang w:val="en-US" w:eastAsia="zh-CN"/>
              </w:rPr>
              <w:t>品牌</w:t>
            </w:r>
          </w:p>
        </w:tc>
      </w:tr>
      <w:tr w14:paraId="4877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1D041FA7">
            <w:pPr>
              <w:spacing w:line="58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1</w:t>
            </w:r>
          </w:p>
        </w:tc>
        <w:tc>
          <w:tcPr>
            <w:tcW w:w="3862" w:type="dxa"/>
            <w:vAlign w:val="center"/>
          </w:tcPr>
          <w:p w14:paraId="50DEAD4C">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环氧自流平地坪</w:t>
            </w:r>
          </w:p>
        </w:tc>
        <w:tc>
          <w:tcPr>
            <w:tcW w:w="1691" w:type="dxa"/>
            <w:vAlign w:val="center"/>
          </w:tcPr>
          <w:p w14:paraId="5A9B565E">
            <w:pPr>
              <w:keepNext w:val="0"/>
              <w:keepLines w:val="0"/>
              <w:widowControl/>
              <w:suppressLineNumbers w:val="0"/>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厚3mm</w:t>
            </w:r>
          </w:p>
        </w:tc>
        <w:tc>
          <w:tcPr>
            <w:tcW w:w="2132" w:type="dxa"/>
            <w:vAlign w:val="center"/>
          </w:tcPr>
          <w:p w14:paraId="4F5D03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rPr>
            </w:pPr>
            <w:r>
              <w:rPr>
                <w:rFonts w:hint="eastAsia"/>
                <w:sz w:val="21"/>
                <w:szCs w:val="21"/>
              </w:rPr>
              <w:t>西卡、马贝、施贝</w:t>
            </w:r>
          </w:p>
        </w:tc>
      </w:tr>
      <w:tr w14:paraId="54FD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560E1ED9">
            <w:pPr>
              <w:spacing w:line="580" w:lineRule="exact"/>
              <w:jc w:val="center"/>
              <w:rPr>
                <w:rFonts w:hint="default"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2</w:t>
            </w:r>
          </w:p>
        </w:tc>
        <w:tc>
          <w:tcPr>
            <w:tcW w:w="3862" w:type="dxa"/>
            <w:vAlign w:val="center"/>
          </w:tcPr>
          <w:p w14:paraId="77ED0583">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环氧</w:t>
            </w:r>
            <w:r>
              <w:rPr>
                <w:rFonts w:hint="eastAsia" w:ascii="宋体" w:hAnsi="宋体" w:cs="宋体"/>
                <w:b w:val="0"/>
                <w:bCs w:val="0"/>
                <w:color w:val="000000"/>
                <w:kern w:val="2"/>
                <w:sz w:val="21"/>
                <w:szCs w:val="21"/>
                <w:lang w:val="en-US" w:eastAsia="zh-CN" w:bidi="ar-SA"/>
              </w:rPr>
              <w:t>地坪漆</w:t>
            </w:r>
            <w:r>
              <w:rPr>
                <w:rFonts w:hint="eastAsia" w:ascii="宋体" w:hAnsi="宋体" w:eastAsia="宋体" w:cs="宋体"/>
                <w:b w:val="0"/>
                <w:bCs w:val="0"/>
                <w:color w:val="000000"/>
                <w:kern w:val="2"/>
                <w:sz w:val="21"/>
                <w:szCs w:val="21"/>
                <w:lang w:val="en-US" w:eastAsia="zh-CN" w:bidi="ar-SA"/>
              </w:rPr>
              <w:t>平涂地坪</w:t>
            </w:r>
          </w:p>
        </w:tc>
        <w:tc>
          <w:tcPr>
            <w:tcW w:w="1691" w:type="dxa"/>
            <w:vAlign w:val="center"/>
          </w:tcPr>
          <w:p w14:paraId="53970A3F">
            <w:pPr>
              <w:keepNext w:val="0"/>
              <w:keepLines w:val="0"/>
              <w:widowControl/>
              <w:suppressLineNumbers w:val="0"/>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厚1.5mm</w:t>
            </w:r>
          </w:p>
        </w:tc>
        <w:tc>
          <w:tcPr>
            <w:tcW w:w="2132" w:type="dxa"/>
            <w:vAlign w:val="center"/>
          </w:tcPr>
          <w:p w14:paraId="4FA01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sz w:val="21"/>
                <w:szCs w:val="21"/>
              </w:rPr>
              <w:t>西卡、马贝、施贝</w:t>
            </w:r>
          </w:p>
        </w:tc>
      </w:tr>
      <w:tr w14:paraId="303C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164E6EA5">
            <w:pPr>
              <w:spacing w:line="580" w:lineRule="exact"/>
              <w:jc w:val="center"/>
              <w:rPr>
                <w:rFonts w:hint="eastAsia" w:ascii="宋体" w:hAnsi="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3</w:t>
            </w:r>
          </w:p>
        </w:tc>
        <w:tc>
          <w:tcPr>
            <w:tcW w:w="3862" w:type="dxa"/>
            <w:vAlign w:val="center"/>
          </w:tcPr>
          <w:p w14:paraId="65B1666E">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环氧自流平</w:t>
            </w:r>
            <w:r>
              <w:rPr>
                <w:rFonts w:hint="eastAsia" w:ascii="宋体" w:hAnsi="宋体" w:cs="宋体"/>
                <w:b w:val="0"/>
                <w:bCs w:val="0"/>
                <w:color w:val="000000"/>
                <w:sz w:val="21"/>
                <w:szCs w:val="21"/>
                <w:lang w:val="en-US" w:eastAsia="zh-CN"/>
              </w:rPr>
              <w:t>+聚氨酯</w:t>
            </w:r>
            <w:r>
              <w:rPr>
                <w:rFonts w:hint="eastAsia" w:ascii="宋体" w:hAnsi="宋体" w:eastAsia="宋体" w:cs="宋体"/>
                <w:b w:val="0"/>
                <w:bCs w:val="0"/>
                <w:color w:val="000000"/>
                <w:sz w:val="21"/>
                <w:szCs w:val="21"/>
              </w:rPr>
              <w:t>超耐磨</w:t>
            </w:r>
            <w:r>
              <w:rPr>
                <w:rFonts w:hint="eastAsia" w:ascii="宋体" w:hAnsi="宋体" w:eastAsia="宋体" w:cs="宋体"/>
                <w:b w:val="0"/>
                <w:bCs w:val="0"/>
                <w:color w:val="000000"/>
                <w:kern w:val="2"/>
                <w:sz w:val="21"/>
                <w:szCs w:val="21"/>
                <w:lang w:val="en-US" w:eastAsia="zh-CN" w:bidi="ar-SA"/>
              </w:rPr>
              <w:t>地坪</w:t>
            </w:r>
          </w:p>
        </w:tc>
        <w:tc>
          <w:tcPr>
            <w:tcW w:w="1691" w:type="dxa"/>
            <w:vAlign w:val="center"/>
          </w:tcPr>
          <w:p w14:paraId="0CDA9263">
            <w:pPr>
              <w:keepNext w:val="0"/>
              <w:keepLines w:val="0"/>
              <w:widowControl/>
              <w:suppressLineNumbers w:val="0"/>
              <w:jc w:val="left"/>
              <w:textAlignment w:val="center"/>
              <w:rPr>
                <w:rFonts w:hint="eastAsia" w:ascii="宋体" w:hAnsi="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厚3mm</w:t>
            </w:r>
          </w:p>
        </w:tc>
        <w:tc>
          <w:tcPr>
            <w:tcW w:w="2132" w:type="dxa"/>
            <w:vAlign w:val="center"/>
          </w:tcPr>
          <w:p w14:paraId="30505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sz w:val="21"/>
                <w:szCs w:val="21"/>
              </w:rPr>
              <w:t>西卡、马贝、施贝</w:t>
            </w:r>
          </w:p>
        </w:tc>
      </w:tr>
      <w:tr w14:paraId="26BB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57C99F05">
            <w:pPr>
              <w:spacing w:line="580" w:lineRule="exact"/>
              <w:jc w:val="center"/>
              <w:rPr>
                <w:rFonts w:hint="eastAsia"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4</w:t>
            </w:r>
          </w:p>
        </w:tc>
        <w:tc>
          <w:tcPr>
            <w:tcW w:w="3862" w:type="dxa"/>
            <w:vAlign w:val="center"/>
          </w:tcPr>
          <w:p w14:paraId="618E18D1">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环氧</w:t>
            </w:r>
            <w:r>
              <w:rPr>
                <w:rFonts w:hint="eastAsia" w:ascii="宋体" w:hAnsi="宋体" w:cs="宋体"/>
                <w:b w:val="0"/>
                <w:bCs w:val="0"/>
                <w:color w:val="000000"/>
                <w:kern w:val="2"/>
                <w:sz w:val="21"/>
                <w:szCs w:val="21"/>
                <w:lang w:val="en-US" w:eastAsia="zh-CN" w:bidi="ar-SA"/>
              </w:rPr>
              <w:t>地坪漆</w:t>
            </w:r>
            <w:r>
              <w:rPr>
                <w:rFonts w:hint="eastAsia" w:ascii="宋体" w:hAnsi="宋体" w:eastAsia="宋体" w:cs="宋体"/>
                <w:b w:val="0"/>
                <w:bCs w:val="0"/>
                <w:color w:val="000000"/>
                <w:kern w:val="2"/>
                <w:sz w:val="21"/>
                <w:szCs w:val="21"/>
                <w:lang w:val="en-US" w:eastAsia="zh-CN" w:bidi="ar-SA"/>
              </w:rPr>
              <w:t>平涂</w:t>
            </w:r>
            <w:r>
              <w:rPr>
                <w:rFonts w:hint="eastAsia" w:ascii="宋体" w:hAnsi="宋体" w:cs="宋体"/>
                <w:b w:val="0"/>
                <w:bCs w:val="0"/>
                <w:color w:val="000000"/>
                <w:sz w:val="21"/>
                <w:szCs w:val="21"/>
                <w:lang w:val="en-US" w:eastAsia="zh-CN"/>
              </w:rPr>
              <w:t>+聚氨酯</w:t>
            </w:r>
            <w:r>
              <w:rPr>
                <w:rFonts w:hint="eastAsia" w:ascii="宋体" w:hAnsi="宋体" w:eastAsia="宋体" w:cs="宋体"/>
                <w:b w:val="0"/>
                <w:bCs w:val="0"/>
                <w:color w:val="000000"/>
                <w:sz w:val="21"/>
                <w:szCs w:val="21"/>
              </w:rPr>
              <w:t>超耐磨</w:t>
            </w:r>
            <w:r>
              <w:rPr>
                <w:rFonts w:hint="eastAsia" w:ascii="宋体" w:hAnsi="宋体" w:eastAsia="宋体" w:cs="宋体"/>
                <w:b w:val="0"/>
                <w:bCs w:val="0"/>
                <w:color w:val="000000"/>
                <w:kern w:val="2"/>
                <w:sz w:val="21"/>
                <w:szCs w:val="21"/>
                <w:lang w:val="en-US" w:eastAsia="zh-CN" w:bidi="ar-SA"/>
              </w:rPr>
              <w:t>地坪</w:t>
            </w:r>
          </w:p>
        </w:tc>
        <w:tc>
          <w:tcPr>
            <w:tcW w:w="1691" w:type="dxa"/>
            <w:vAlign w:val="center"/>
          </w:tcPr>
          <w:p w14:paraId="7026F48C">
            <w:pPr>
              <w:keepNext w:val="0"/>
              <w:keepLines w:val="0"/>
              <w:widowControl/>
              <w:suppressLineNumbers w:val="0"/>
              <w:jc w:val="left"/>
              <w:textAlignment w:val="center"/>
              <w:rPr>
                <w:rFonts w:hint="eastAsia" w:ascii="宋体" w:hAnsi="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厚1.5mm</w:t>
            </w:r>
          </w:p>
        </w:tc>
        <w:tc>
          <w:tcPr>
            <w:tcW w:w="2132" w:type="dxa"/>
            <w:vAlign w:val="center"/>
          </w:tcPr>
          <w:p w14:paraId="1F2FA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sz w:val="21"/>
                <w:szCs w:val="21"/>
              </w:rPr>
              <w:t>西卡、马贝、施贝</w:t>
            </w:r>
          </w:p>
        </w:tc>
      </w:tr>
      <w:tr w14:paraId="3E04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4B267F67">
            <w:pPr>
              <w:spacing w:line="580" w:lineRule="exact"/>
              <w:jc w:val="center"/>
              <w:rPr>
                <w:rFonts w:hint="eastAsia"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5</w:t>
            </w:r>
          </w:p>
        </w:tc>
        <w:tc>
          <w:tcPr>
            <w:tcW w:w="3862" w:type="dxa"/>
            <w:vAlign w:val="center"/>
          </w:tcPr>
          <w:p w14:paraId="02CC94FF">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环氧防滑坡道地坪</w:t>
            </w:r>
          </w:p>
        </w:tc>
        <w:tc>
          <w:tcPr>
            <w:tcW w:w="1691" w:type="dxa"/>
            <w:vAlign w:val="center"/>
          </w:tcPr>
          <w:p w14:paraId="7698B61A">
            <w:pPr>
              <w:keepNext w:val="0"/>
              <w:keepLines w:val="0"/>
              <w:widowControl/>
              <w:suppressLineNumbers w:val="0"/>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厚3-4mm</w:t>
            </w:r>
          </w:p>
        </w:tc>
        <w:tc>
          <w:tcPr>
            <w:tcW w:w="2132" w:type="dxa"/>
            <w:vAlign w:val="center"/>
          </w:tcPr>
          <w:p w14:paraId="021CEF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sz w:val="21"/>
                <w:szCs w:val="21"/>
              </w:rPr>
              <w:t>西卡、马贝、施贝</w:t>
            </w:r>
          </w:p>
        </w:tc>
      </w:tr>
      <w:tr w14:paraId="769F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039D1723">
            <w:pPr>
              <w:spacing w:line="580" w:lineRule="exact"/>
              <w:jc w:val="center"/>
              <w:rPr>
                <w:rFonts w:hint="eastAsia" w:ascii="宋体" w:hAnsi="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6</w:t>
            </w:r>
          </w:p>
        </w:tc>
        <w:tc>
          <w:tcPr>
            <w:tcW w:w="3862" w:type="dxa"/>
            <w:vAlign w:val="center"/>
          </w:tcPr>
          <w:p w14:paraId="037EDFC7">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环氧防滑橘纹地坪</w:t>
            </w:r>
          </w:p>
        </w:tc>
        <w:tc>
          <w:tcPr>
            <w:tcW w:w="1691" w:type="dxa"/>
            <w:vAlign w:val="center"/>
          </w:tcPr>
          <w:p w14:paraId="08084694">
            <w:pPr>
              <w:keepNext w:val="0"/>
              <w:keepLines w:val="0"/>
              <w:widowControl/>
              <w:suppressLineNumbers w:val="0"/>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厚1.5mm</w:t>
            </w:r>
          </w:p>
        </w:tc>
        <w:tc>
          <w:tcPr>
            <w:tcW w:w="2132" w:type="dxa"/>
            <w:vAlign w:val="center"/>
          </w:tcPr>
          <w:p w14:paraId="409EA5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sz w:val="21"/>
                <w:szCs w:val="21"/>
              </w:rPr>
              <w:t>西卡、马贝、施贝</w:t>
            </w:r>
          </w:p>
        </w:tc>
      </w:tr>
      <w:tr w14:paraId="2105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71521E6C">
            <w:pPr>
              <w:spacing w:line="580" w:lineRule="exact"/>
              <w:jc w:val="center"/>
              <w:rPr>
                <w:rFonts w:hint="default"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7</w:t>
            </w:r>
          </w:p>
        </w:tc>
        <w:tc>
          <w:tcPr>
            <w:tcW w:w="3862" w:type="dxa"/>
            <w:vAlign w:val="center"/>
          </w:tcPr>
          <w:p w14:paraId="32D82565">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混凝土密封固化</w:t>
            </w:r>
            <w:r>
              <w:rPr>
                <w:rFonts w:hint="eastAsia" w:ascii="宋体" w:hAnsi="宋体" w:eastAsia="宋体" w:cs="宋体"/>
                <w:b w:val="0"/>
                <w:bCs w:val="0"/>
                <w:color w:val="000000"/>
                <w:kern w:val="2"/>
                <w:sz w:val="21"/>
                <w:szCs w:val="21"/>
                <w:lang w:val="en-US" w:eastAsia="zh-CN" w:bidi="ar-SA"/>
              </w:rPr>
              <w:t>地坪</w:t>
            </w:r>
          </w:p>
        </w:tc>
        <w:tc>
          <w:tcPr>
            <w:tcW w:w="1691" w:type="dxa"/>
            <w:vAlign w:val="center"/>
          </w:tcPr>
          <w:p w14:paraId="59343D89">
            <w:pPr>
              <w:keepNext w:val="0"/>
              <w:keepLines w:val="0"/>
              <w:widowControl/>
              <w:suppressLineNumbers w:val="0"/>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用量0.3kg/㎡</w:t>
            </w:r>
          </w:p>
        </w:tc>
        <w:tc>
          <w:tcPr>
            <w:tcW w:w="2132" w:type="dxa"/>
            <w:vAlign w:val="center"/>
          </w:tcPr>
          <w:p w14:paraId="1F934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sz w:val="21"/>
                <w:szCs w:val="21"/>
              </w:rPr>
              <w:t>西卡、马贝、施贝</w:t>
            </w:r>
          </w:p>
        </w:tc>
      </w:tr>
      <w:tr w14:paraId="5B78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65CBE914">
            <w:pPr>
              <w:spacing w:line="58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8</w:t>
            </w:r>
          </w:p>
        </w:tc>
        <w:tc>
          <w:tcPr>
            <w:tcW w:w="3862" w:type="dxa"/>
            <w:vAlign w:val="center"/>
          </w:tcPr>
          <w:p w14:paraId="65834965">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彩色混凝土密封固化</w:t>
            </w:r>
            <w:r>
              <w:rPr>
                <w:rFonts w:hint="eastAsia" w:ascii="宋体" w:hAnsi="宋体" w:eastAsia="宋体" w:cs="宋体"/>
                <w:b w:val="0"/>
                <w:bCs w:val="0"/>
                <w:color w:val="000000"/>
                <w:kern w:val="2"/>
                <w:sz w:val="21"/>
                <w:szCs w:val="21"/>
                <w:lang w:val="en-US" w:eastAsia="zh-CN" w:bidi="ar-SA"/>
              </w:rPr>
              <w:t>地坪</w:t>
            </w:r>
          </w:p>
        </w:tc>
        <w:tc>
          <w:tcPr>
            <w:tcW w:w="1691" w:type="dxa"/>
            <w:vAlign w:val="center"/>
          </w:tcPr>
          <w:p w14:paraId="12384A92">
            <w:pPr>
              <w:keepNext w:val="0"/>
              <w:keepLines w:val="0"/>
              <w:widowControl/>
              <w:suppressLineNumbers w:val="0"/>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用量0.3kg/㎡</w:t>
            </w:r>
          </w:p>
        </w:tc>
        <w:tc>
          <w:tcPr>
            <w:tcW w:w="2132" w:type="dxa"/>
            <w:vAlign w:val="center"/>
          </w:tcPr>
          <w:p w14:paraId="3762F4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sz w:val="21"/>
                <w:szCs w:val="21"/>
              </w:rPr>
              <w:t>西卡、马贝、施贝</w:t>
            </w:r>
          </w:p>
        </w:tc>
      </w:tr>
      <w:tr w14:paraId="06BF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5ADF67D8">
            <w:pPr>
              <w:spacing w:line="580" w:lineRule="exact"/>
              <w:jc w:val="center"/>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9</w:t>
            </w:r>
          </w:p>
        </w:tc>
        <w:tc>
          <w:tcPr>
            <w:tcW w:w="3862" w:type="dxa"/>
            <w:vAlign w:val="center"/>
          </w:tcPr>
          <w:p w14:paraId="57EA7FE1">
            <w:pPr>
              <w:spacing w:line="580" w:lineRule="exact"/>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聚氨酯罩面亮新</w:t>
            </w:r>
          </w:p>
        </w:tc>
        <w:tc>
          <w:tcPr>
            <w:tcW w:w="1691" w:type="dxa"/>
            <w:vAlign w:val="center"/>
          </w:tcPr>
          <w:p w14:paraId="6BD5FE78">
            <w:pPr>
              <w:keepNext w:val="0"/>
              <w:keepLines w:val="0"/>
              <w:widowControl/>
              <w:suppressLineNumbers w:val="0"/>
              <w:jc w:val="left"/>
              <w:textAlignment w:val="center"/>
              <w:rPr>
                <w:rFonts w:hint="eastAsia" w:ascii="宋体" w:hAnsi="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厚0.8-1.2mm</w:t>
            </w:r>
          </w:p>
        </w:tc>
        <w:tc>
          <w:tcPr>
            <w:tcW w:w="2132" w:type="dxa"/>
            <w:vAlign w:val="center"/>
          </w:tcPr>
          <w:p w14:paraId="23687C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sz w:val="21"/>
                <w:szCs w:val="21"/>
              </w:rPr>
              <w:t>西卡、马贝、施贝</w:t>
            </w:r>
          </w:p>
        </w:tc>
      </w:tr>
      <w:tr w14:paraId="697C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41DBC235">
            <w:pPr>
              <w:spacing w:line="580" w:lineRule="exact"/>
              <w:jc w:val="center"/>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highlight w:val="none"/>
                <w:lang w:val="en-US" w:eastAsia="zh-CN"/>
              </w:rPr>
              <w:t>10</w:t>
            </w:r>
          </w:p>
        </w:tc>
        <w:tc>
          <w:tcPr>
            <w:tcW w:w="3862" w:type="dxa"/>
            <w:vAlign w:val="center"/>
          </w:tcPr>
          <w:p w14:paraId="35B805CE">
            <w:pPr>
              <w:spacing w:line="580" w:lineRule="exact"/>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聚氨酯罩面彩色标识线</w:t>
            </w:r>
          </w:p>
        </w:tc>
        <w:tc>
          <w:tcPr>
            <w:tcW w:w="1691" w:type="dxa"/>
            <w:vAlign w:val="center"/>
          </w:tcPr>
          <w:p w14:paraId="1BF9283A">
            <w:pPr>
              <w:keepNext w:val="0"/>
              <w:keepLines w:val="0"/>
              <w:widowControl/>
              <w:suppressLineNumbers w:val="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厚0.3-0.5mm</w:t>
            </w:r>
          </w:p>
        </w:tc>
        <w:tc>
          <w:tcPr>
            <w:tcW w:w="2132" w:type="dxa"/>
            <w:vAlign w:val="center"/>
          </w:tcPr>
          <w:p w14:paraId="2836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sz w:val="21"/>
                <w:szCs w:val="21"/>
              </w:rPr>
              <w:t>西卡、马贝、施贝</w:t>
            </w:r>
          </w:p>
        </w:tc>
      </w:tr>
      <w:tr w14:paraId="761A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2D10A588">
            <w:pPr>
              <w:spacing w:line="58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11</w:t>
            </w:r>
          </w:p>
        </w:tc>
        <w:tc>
          <w:tcPr>
            <w:tcW w:w="3862" w:type="dxa"/>
            <w:vAlign w:val="center"/>
          </w:tcPr>
          <w:p w14:paraId="2726126A">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环氧自流平地坪</w:t>
            </w:r>
          </w:p>
        </w:tc>
        <w:tc>
          <w:tcPr>
            <w:tcW w:w="1691" w:type="dxa"/>
            <w:vAlign w:val="center"/>
          </w:tcPr>
          <w:p w14:paraId="207C132E">
            <w:pPr>
              <w:keepNext w:val="0"/>
              <w:keepLines w:val="0"/>
              <w:widowControl/>
              <w:suppressLineNumbers w:val="0"/>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厚3mm</w:t>
            </w:r>
          </w:p>
        </w:tc>
        <w:tc>
          <w:tcPr>
            <w:tcW w:w="2132" w:type="dxa"/>
            <w:vAlign w:val="center"/>
          </w:tcPr>
          <w:p w14:paraId="4B100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rPr>
            </w:pPr>
            <w:r>
              <w:rPr>
                <w:rFonts w:hint="eastAsia"/>
              </w:rPr>
              <w:t>立邦、多乐士、嘉宝莉、三棵树、秀珀尔</w:t>
            </w:r>
          </w:p>
        </w:tc>
      </w:tr>
      <w:tr w14:paraId="78F9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5068A532">
            <w:pPr>
              <w:spacing w:line="580" w:lineRule="exact"/>
              <w:jc w:val="center"/>
              <w:rPr>
                <w:rFonts w:hint="default"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12</w:t>
            </w:r>
          </w:p>
        </w:tc>
        <w:tc>
          <w:tcPr>
            <w:tcW w:w="3862" w:type="dxa"/>
            <w:vAlign w:val="center"/>
          </w:tcPr>
          <w:p w14:paraId="0E8C587B">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环氧</w:t>
            </w:r>
            <w:r>
              <w:rPr>
                <w:rFonts w:hint="eastAsia" w:ascii="宋体" w:hAnsi="宋体" w:cs="宋体"/>
                <w:b w:val="0"/>
                <w:bCs w:val="0"/>
                <w:color w:val="000000"/>
                <w:kern w:val="2"/>
                <w:sz w:val="21"/>
                <w:szCs w:val="21"/>
                <w:lang w:val="en-US" w:eastAsia="zh-CN" w:bidi="ar-SA"/>
              </w:rPr>
              <w:t>地坪漆</w:t>
            </w:r>
            <w:r>
              <w:rPr>
                <w:rFonts w:hint="eastAsia" w:ascii="宋体" w:hAnsi="宋体" w:eastAsia="宋体" w:cs="宋体"/>
                <w:b w:val="0"/>
                <w:bCs w:val="0"/>
                <w:color w:val="000000"/>
                <w:kern w:val="2"/>
                <w:sz w:val="21"/>
                <w:szCs w:val="21"/>
                <w:lang w:val="en-US" w:eastAsia="zh-CN" w:bidi="ar-SA"/>
              </w:rPr>
              <w:t>平涂地坪</w:t>
            </w:r>
          </w:p>
        </w:tc>
        <w:tc>
          <w:tcPr>
            <w:tcW w:w="1691" w:type="dxa"/>
            <w:vAlign w:val="center"/>
          </w:tcPr>
          <w:p w14:paraId="4555D0DB">
            <w:pPr>
              <w:keepNext w:val="0"/>
              <w:keepLines w:val="0"/>
              <w:widowControl/>
              <w:suppressLineNumbers w:val="0"/>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厚1.5mm</w:t>
            </w:r>
          </w:p>
        </w:tc>
        <w:tc>
          <w:tcPr>
            <w:tcW w:w="2132" w:type="dxa"/>
            <w:vAlign w:val="center"/>
          </w:tcPr>
          <w:p w14:paraId="0FD39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rPr>
              <w:t>立邦、多乐士、嘉宝莉、三棵树、秀珀尔</w:t>
            </w:r>
          </w:p>
        </w:tc>
      </w:tr>
      <w:tr w14:paraId="6F19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6F58D31D">
            <w:pPr>
              <w:spacing w:line="580" w:lineRule="exact"/>
              <w:jc w:val="center"/>
              <w:rPr>
                <w:rFonts w:hint="eastAsia" w:ascii="宋体" w:hAnsi="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13</w:t>
            </w:r>
          </w:p>
        </w:tc>
        <w:tc>
          <w:tcPr>
            <w:tcW w:w="3862" w:type="dxa"/>
            <w:vAlign w:val="center"/>
          </w:tcPr>
          <w:p w14:paraId="54E8422B">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环氧自流平</w:t>
            </w:r>
            <w:r>
              <w:rPr>
                <w:rFonts w:hint="eastAsia" w:ascii="宋体" w:hAnsi="宋体" w:cs="宋体"/>
                <w:b w:val="0"/>
                <w:bCs w:val="0"/>
                <w:color w:val="000000"/>
                <w:sz w:val="21"/>
                <w:szCs w:val="21"/>
                <w:lang w:val="en-US" w:eastAsia="zh-CN"/>
              </w:rPr>
              <w:t>+聚氨酯</w:t>
            </w:r>
            <w:r>
              <w:rPr>
                <w:rFonts w:hint="eastAsia" w:ascii="宋体" w:hAnsi="宋体" w:eastAsia="宋体" w:cs="宋体"/>
                <w:b w:val="0"/>
                <w:bCs w:val="0"/>
                <w:color w:val="000000"/>
                <w:sz w:val="21"/>
                <w:szCs w:val="21"/>
              </w:rPr>
              <w:t>超耐磨</w:t>
            </w:r>
            <w:r>
              <w:rPr>
                <w:rFonts w:hint="eastAsia" w:ascii="宋体" w:hAnsi="宋体" w:eastAsia="宋体" w:cs="宋体"/>
                <w:b w:val="0"/>
                <w:bCs w:val="0"/>
                <w:color w:val="000000"/>
                <w:kern w:val="2"/>
                <w:sz w:val="21"/>
                <w:szCs w:val="21"/>
                <w:lang w:val="en-US" w:eastAsia="zh-CN" w:bidi="ar-SA"/>
              </w:rPr>
              <w:t>地坪</w:t>
            </w:r>
          </w:p>
        </w:tc>
        <w:tc>
          <w:tcPr>
            <w:tcW w:w="1691" w:type="dxa"/>
            <w:vAlign w:val="center"/>
          </w:tcPr>
          <w:p w14:paraId="208DB94F">
            <w:pPr>
              <w:keepNext w:val="0"/>
              <w:keepLines w:val="0"/>
              <w:widowControl/>
              <w:suppressLineNumbers w:val="0"/>
              <w:jc w:val="left"/>
              <w:textAlignment w:val="center"/>
              <w:rPr>
                <w:rFonts w:hint="eastAsia" w:ascii="宋体" w:hAnsi="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厚3mm</w:t>
            </w:r>
          </w:p>
        </w:tc>
        <w:tc>
          <w:tcPr>
            <w:tcW w:w="2132" w:type="dxa"/>
            <w:vAlign w:val="center"/>
          </w:tcPr>
          <w:p w14:paraId="06E2F6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rPr>
              <w:t>立邦、多乐士、嘉宝莉、三棵树、秀珀尔</w:t>
            </w:r>
          </w:p>
        </w:tc>
      </w:tr>
      <w:tr w14:paraId="067A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6E864C8D">
            <w:pPr>
              <w:spacing w:line="580" w:lineRule="exact"/>
              <w:jc w:val="center"/>
              <w:rPr>
                <w:rFonts w:hint="eastAsia"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14</w:t>
            </w:r>
          </w:p>
        </w:tc>
        <w:tc>
          <w:tcPr>
            <w:tcW w:w="3862" w:type="dxa"/>
            <w:vAlign w:val="center"/>
          </w:tcPr>
          <w:p w14:paraId="226D6618">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环氧</w:t>
            </w:r>
            <w:r>
              <w:rPr>
                <w:rFonts w:hint="eastAsia" w:ascii="宋体" w:hAnsi="宋体" w:cs="宋体"/>
                <w:b w:val="0"/>
                <w:bCs w:val="0"/>
                <w:color w:val="000000"/>
                <w:kern w:val="2"/>
                <w:sz w:val="21"/>
                <w:szCs w:val="21"/>
                <w:lang w:val="en-US" w:eastAsia="zh-CN" w:bidi="ar-SA"/>
              </w:rPr>
              <w:t>地坪漆</w:t>
            </w:r>
            <w:r>
              <w:rPr>
                <w:rFonts w:hint="eastAsia" w:ascii="宋体" w:hAnsi="宋体" w:eastAsia="宋体" w:cs="宋体"/>
                <w:b w:val="0"/>
                <w:bCs w:val="0"/>
                <w:color w:val="000000"/>
                <w:kern w:val="2"/>
                <w:sz w:val="21"/>
                <w:szCs w:val="21"/>
                <w:lang w:val="en-US" w:eastAsia="zh-CN" w:bidi="ar-SA"/>
              </w:rPr>
              <w:t>平涂</w:t>
            </w:r>
            <w:r>
              <w:rPr>
                <w:rFonts w:hint="eastAsia" w:ascii="宋体" w:hAnsi="宋体" w:cs="宋体"/>
                <w:b w:val="0"/>
                <w:bCs w:val="0"/>
                <w:color w:val="000000"/>
                <w:sz w:val="21"/>
                <w:szCs w:val="21"/>
                <w:lang w:val="en-US" w:eastAsia="zh-CN"/>
              </w:rPr>
              <w:t>+聚氨酯</w:t>
            </w:r>
            <w:r>
              <w:rPr>
                <w:rFonts w:hint="eastAsia" w:ascii="宋体" w:hAnsi="宋体" w:eastAsia="宋体" w:cs="宋体"/>
                <w:b w:val="0"/>
                <w:bCs w:val="0"/>
                <w:color w:val="000000"/>
                <w:sz w:val="21"/>
                <w:szCs w:val="21"/>
              </w:rPr>
              <w:t>超耐磨</w:t>
            </w:r>
            <w:r>
              <w:rPr>
                <w:rFonts w:hint="eastAsia" w:ascii="宋体" w:hAnsi="宋体" w:eastAsia="宋体" w:cs="宋体"/>
                <w:b w:val="0"/>
                <w:bCs w:val="0"/>
                <w:color w:val="000000"/>
                <w:kern w:val="2"/>
                <w:sz w:val="21"/>
                <w:szCs w:val="21"/>
                <w:lang w:val="en-US" w:eastAsia="zh-CN" w:bidi="ar-SA"/>
              </w:rPr>
              <w:t>地坪</w:t>
            </w:r>
          </w:p>
        </w:tc>
        <w:tc>
          <w:tcPr>
            <w:tcW w:w="1691" w:type="dxa"/>
            <w:vAlign w:val="center"/>
          </w:tcPr>
          <w:p w14:paraId="6DD51BEB">
            <w:pPr>
              <w:keepNext w:val="0"/>
              <w:keepLines w:val="0"/>
              <w:widowControl/>
              <w:suppressLineNumbers w:val="0"/>
              <w:jc w:val="left"/>
              <w:textAlignment w:val="center"/>
              <w:rPr>
                <w:rFonts w:hint="eastAsia" w:ascii="宋体" w:hAnsi="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厚1.5mm</w:t>
            </w:r>
          </w:p>
        </w:tc>
        <w:tc>
          <w:tcPr>
            <w:tcW w:w="2132" w:type="dxa"/>
            <w:vAlign w:val="center"/>
          </w:tcPr>
          <w:p w14:paraId="69010A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rPr>
              <w:t>立邦、多乐士、嘉宝莉、三棵树、秀珀尔</w:t>
            </w:r>
          </w:p>
        </w:tc>
      </w:tr>
      <w:tr w14:paraId="0130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07CD409D">
            <w:pPr>
              <w:spacing w:line="580" w:lineRule="exact"/>
              <w:jc w:val="center"/>
              <w:rPr>
                <w:rFonts w:hint="eastAsia"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15</w:t>
            </w:r>
          </w:p>
        </w:tc>
        <w:tc>
          <w:tcPr>
            <w:tcW w:w="3862" w:type="dxa"/>
            <w:vAlign w:val="center"/>
          </w:tcPr>
          <w:p w14:paraId="58C196A0">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环氧防滑坡道地坪</w:t>
            </w:r>
          </w:p>
        </w:tc>
        <w:tc>
          <w:tcPr>
            <w:tcW w:w="1691" w:type="dxa"/>
            <w:vAlign w:val="center"/>
          </w:tcPr>
          <w:p w14:paraId="15C5E2BD">
            <w:pPr>
              <w:keepNext w:val="0"/>
              <w:keepLines w:val="0"/>
              <w:widowControl/>
              <w:suppressLineNumbers w:val="0"/>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厚3-4mm</w:t>
            </w:r>
          </w:p>
        </w:tc>
        <w:tc>
          <w:tcPr>
            <w:tcW w:w="2132" w:type="dxa"/>
            <w:vAlign w:val="center"/>
          </w:tcPr>
          <w:p w14:paraId="66D194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rPr>
              <w:t>立邦、多乐士、嘉宝莉、三棵树、秀珀尔</w:t>
            </w:r>
          </w:p>
        </w:tc>
      </w:tr>
      <w:tr w14:paraId="7BEE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050CB203">
            <w:pPr>
              <w:spacing w:line="580" w:lineRule="exact"/>
              <w:jc w:val="center"/>
              <w:rPr>
                <w:rFonts w:hint="eastAsia" w:ascii="宋体" w:hAnsi="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16</w:t>
            </w:r>
          </w:p>
        </w:tc>
        <w:tc>
          <w:tcPr>
            <w:tcW w:w="3862" w:type="dxa"/>
            <w:vAlign w:val="center"/>
          </w:tcPr>
          <w:p w14:paraId="3FF8C26A">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环氧防滑橘纹地坪</w:t>
            </w:r>
          </w:p>
        </w:tc>
        <w:tc>
          <w:tcPr>
            <w:tcW w:w="1691" w:type="dxa"/>
            <w:vAlign w:val="center"/>
          </w:tcPr>
          <w:p w14:paraId="2919E5ED">
            <w:pPr>
              <w:keepNext w:val="0"/>
              <w:keepLines w:val="0"/>
              <w:widowControl/>
              <w:suppressLineNumbers w:val="0"/>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厚1.5mm</w:t>
            </w:r>
          </w:p>
        </w:tc>
        <w:tc>
          <w:tcPr>
            <w:tcW w:w="2132" w:type="dxa"/>
            <w:vAlign w:val="center"/>
          </w:tcPr>
          <w:p w14:paraId="169EEE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rPr>
              <w:t>立邦、多乐士、嘉宝莉、三棵树、秀珀尔</w:t>
            </w:r>
          </w:p>
        </w:tc>
      </w:tr>
      <w:tr w14:paraId="03A4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6852C00D">
            <w:pPr>
              <w:spacing w:line="580" w:lineRule="exact"/>
              <w:jc w:val="center"/>
              <w:rPr>
                <w:rFonts w:hint="default"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17</w:t>
            </w:r>
          </w:p>
        </w:tc>
        <w:tc>
          <w:tcPr>
            <w:tcW w:w="3862" w:type="dxa"/>
            <w:vAlign w:val="center"/>
          </w:tcPr>
          <w:p w14:paraId="797C4D1A">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混凝土密封固化</w:t>
            </w:r>
            <w:r>
              <w:rPr>
                <w:rFonts w:hint="eastAsia" w:ascii="宋体" w:hAnsi="宋体" w:eastAsia="宋体" w:cs="宋体"/>
                <w:b w:val="0"/>
                <w:bCs w:val="0"/>
                <w:color w:val="000000"/>
                <w:kern w:val="2"/>
                <w:sz w:val="21"/>
                <w:szCs w:val="21"/>
                <w:lang w:val="en-US" w:eastAsia="zh-CN" w:bidi="ar-SA"/>
              </w:rPr>
              <w:t>地坪</w:t>
            </w:r>
          </w:p>
        </w:tc>
        <w:tc>
          <w:tcPr>
            <w:tcW w:w="1691" w:type="dxa"/>
            <w:vAlign w:val="center"/>
          </w:tcPr>
          <w:p w14:paraId="71B7D34C">
            <w:pPr>
              <w:keepNext w:val="0"/>
              <w:keepLines w:val="0"/>
              <w:widowControl/>
              <w:suppressLineNumbers w:val="0"/>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用量0.3kg/㎡</w:t>
            </w:r>
          </w:p>
        </w:tc>
        <w:tc>
          <w:tcPr>
            <w:tcW w:w="2132" w:type="dxa"/>
            <w:vAlign w:val="center"/>
          </w:tcPr>
          <w:p w14:paraId="71362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rPr>
              <w:t>立邦、多乐士、嘉宝莉、三棵树、秀珀尔</w:t>
            </w:r>
          </w:p>
        </w:tc>
      </w:tr>
      <w:tr w14:paraId="46A2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185A41D0">
            <w:pPr>
              <w:spacing w:line="580" w:lineRule="exact"/>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sz w:val="21"/>
                <w:szCs w:val="21"/>
                <w:lang w:val="en-US" w:eastAsia="zh-CN"/>
              </w:rPr>
              <w:t>18</w:t>
            </w:r>
          </w:p>
        </w:tc>
        <w:tc>
          <w:tcPr>
            <w:tcW w:w="3862" w:type="dxa"/>
            <w:vAlign w:val="center"/>
          </w:tcPr>
          <w:p w14:paraId="00A33A56">
            <w:pPr>
              <w:spacing w:line="580" w:lineRule="exact"/>
              <w:jc w:val="left"/>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彩色混凝土密封固化</w:t>
            </w:r>
            <w:r>
              <w:rPr>
                <w:rFonts w:hint="eastAsia" w:ascii="宋体" w:hAnsi="宋体" w:eastAsia="宋体" w:cs="宋体"/>
                <w:b w:val="0"/>
                <w:bCs w:val="0"/>
                <w:color w:val="000000"/>
                <w:kern w:val="2"/>
                <w:sz w:val="21"/>
                <w:szCs w:val="21"/>
                <w:lang w:val="en-US" w:eastAsia="zh-CN" w:bidi="ar-SA"/>
              </w:rPr>
              <w:t>地坪</w:t>
            </w:r>
          </w:p>
        </w:tc>
        <w:tc>
          <w:tcPr>
            <w:tcW w:w="1691" w:type="dxa"/>
            <w:vAlign w:val="center"/>
          </w:tcPr>
          <w:p w14:paraId="3BB93A48">
            <w:pPr>
              <w:keepNext w:val="0"/>
              <w:keepLines w:val="0"/>
              <w:widowControl/>
              <w:suppressLineNumbers w:val="0"/>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用量0.3kg/㎡</w:t>
            </w:r>
          </w:p>
        </w:tc>
        <w:tc>
          <w:tcPr>
            <w:tcW w:w="2132" w:type="dxa"/>
            <w:vAlign w:val="center"/>
          </w:tcPr>
          <w:p w14:paraId="5E0175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rPr>
              <w:t>立邦、多乐士、嘉宝莉、三棵树、秀珀尔</w:t>
            </w:r>
          </w:p>
        </w:tc>
      </w:tr>
      <w:tr w14:paraId="0CA2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79045889">
            <w:pPr>
              <w:spacing w:line="580" w:lineRule="exact"/>
              <w:jc w:val="center"/>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19</w:t>
            </w:r>
          </w:p>
        </w:tc>
        <w:tc>
          <w:tcPr>
            <w:tcW w:w="3862" w:type="dxa"/>
            <w:vAlign w:val="center"/>
          </w:tcPr>
          <w:p w14:paraId="03272AC7">
            <w:pPr>
              <w:spacing w:line="580" w:lineRule="exact"/>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聚氨酯罩面亮新</w:t>
            </w:r>
          </w:p>
        </w:tc>
        <w:tc>
          <w:tcPr>
            <w:tcW w:w="1691" w:type="dxa"/>
            <w:vAlign w:val="center"/>
          </w:tcPr>
          <w:p w14:paraId="5CE7582E">
            <w:pPr>
              <w:keepNext w:val="0"/>
              <w:keepLines w:val="0"/>
              <w:widowControl/>
              <w:suppressLineNumbers w:val="0"/>
              <w:jc w:val="left"/>
              <w:textAlignment w:val="center"/>
              <w:rPr>
                <w:rFonts w:hint="eastAsia" w:ascii="宋体" w:hAnsi="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厚0.8-1.2mm</w:t>
            </w:r>
          </w:p>
        </w:tc>
        <w:tc>
          <w:tcPr>
            <w:tcW w:w="2132" w:type="dxa"/>
            <w:vAlign w:val="center"/>
          </w:tcPr>
          <w:p w14:paraId="4F118F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rPr>
              <w:t>立邦、多乐士、嘉宝莉、三棵树、秀珀尔</w:t>
            </w:r>
          </w:p>
        </w:tc>
      </w:tr>
      <w:tr w14:paraId="4F22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14:paraId="048A6BC5">
            <w:pPr>
              <w:spacing w:line="580" w:lineRule="exact"/>
              <w:jc w:val="center"/>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highlight w:val="none"/>
                <w:lang w:val="en-US" w:eastAsia="zh-CN"/>
              </w:rPr>
              <w:t>20</w:t>
            </w:r>
          </w:p>
        </w:tc>
        <w:tc>
          <w:tcPr>
            <w:tcW w:w="3862" w:type="dxa"/>
            <w:vAlign w:val="center"/>
          </w:tcPr>
          <w:p w14:paraId="6F0A3A9E">
            <w:pPr>
              <w:spacing w:line="580" w:lineRule="exact"/>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聚氨酯罩面彩色标识线</w:t>
            </w:r>
          </w:p>
        </w:tc>
        <w:tc>
          <w:tcPr>
            <w:tcW w:w="1691" w:type="dxa"/>
            <w:vAlign w:val="center"/>
          </w:tcPr>
          <w:p w14:paraId="34B4FEC1">
            <w:pPr>
              <w:keepNext w:val="0"/>
              <w:keepLines w:val="0"/>
              <w:widowControl/>
              <w:suppressLineNumbers w:val="0"/>
              <w:jc w:val="left"/>
              <w:textAlignment w:val="center"/>
              <w:rPr>
                <w:rFonts w:hint="eastAsia" w:ascii="宋体" w:hAnsi="宋体" w:eastAsia="宋体" w:cs="宋体"/>
                <w:b w:val="0"/>
                <w:bCs w:val="0"/>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厚0.3-0.5mm</w:t>
            </w:r>
          </w:p>
        </w:tc>
        <w:tc>
          <w:tcPr>
            <w:tcW w:w="2132" w:type="dxa"/>
            <w:vAlign w:val="center"/>
          </w:tcPr>
          <w:p w14:paraId="65720B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2"/>
                <w:sz w:val="21"/>
                <w:szCs w:val="21"/>
                <w:lang w:val="en-US" w:eastAsia="zh-CN" w:bidi="ar-SA"/>
              </w:rPr>
            </w:pPr>
            <w:r>
              <w:rPr>
                <w:rFonts w:hint="eastAsia"/>
              </w:rPr>
              <w:t>立邦、多乐士、嘉宝莉、三棵树、秀珀尔</w:t>
            </w:r>
          </w:p>
        </w:tc>
      </w:tr>
    </w:tbl>
    <w:p w14:paraId="511AB5ED">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bookmarkStart w:id="1" w:name="_Toc25694_WPSOffice_Level2"/>
    </w:p>
    <w:p w14:paraId="26F241FC">
      <w:pPr>
        <w:keepNext w:val="0"/>
        <w:keepLines w:val="0"/>
        <w:widowControl/>
        <w:suppressLineNumbers w:val="0"/>
        <w:jc w:val="left"/>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说明：本项目数量为预估数量，实际结算数量以审计结果为准。</w:t>
      </w:r>
      <w:r>
        <w:rPr>
          <w:rFonts w:hint="eastAsia" w:ascii="宋体" w:hAnsi="宋体" w:cs="宋体"/>
          <w:b/>
          <w:i w:val="0"/>
          <w:color w:val="000000"/>
          <w:kern w:val="0"/>
          <w:sz w:val="24"/>
          <w:szCs w:val="24"/>
          <w:highlight w:val="none"/>
          <w:u w:val="none"/>
          <w:lang w:val="en-US" w:eastAsia="zh-CN" w:bidi="ar"/>
        </w:rPr>
        <w:t>单次施工费用10万元以内。</w:t>
      </w:r>
    </w:p>
    <w:p w14:paraId="36FE69CF">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p w14:paraId="5D650E3D">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二、技术质量及工期要求</w:t>
      </w:r>
      <w:bookmarkEnd w:id="1"/>
    </w:p>
    <w:p w14:paraId="26304EF4">
      <w:pPr>
        <w:outlineLvl w:val="1"/>
        <w:rPr>
          <w:rFonts w:hint="eastAsia" w:cs="仿宋" w:asciiTheme="minorEastAsia" w:hAnsiTheme="minorEastAsia" w:eastAsiaTheme="minorEastAsia"/>
          <w:b/>
          <w:bCs/>
          <w:kern w:val="2"/>
          <w:sz w:val="24"/>
          <w:szCs w:val="24"/>
          <w:lang w:val="en-US" w:eastAsia="zh-CN" w:bidi="ar-SA"/>
        </w:rPr>
      </w:pPr>
      <w:r>
        <w:rPr>
          <w:rFonts w:hint="eastAsia" w:ascii="黑体" w:hAnsi="宋体" w:eastAsia="黑体"/>
          <w:sz w:val="24"/>
          <w:szCs w:val="24"/>
        </w:rPr>
        <w:t xml:space="preserve"> </w:t>
      </w:r>
      <w:r>
        <w:rPr>
          <w:rFonts w:ascii="黑体" w:hAnsi="宋体" w:eastAsia="黑体"/>
          <w:sz w:val="24"/>
          <w:szCs w:val="24"/>
        </w:rPr>
        <w:t xml:space="preserve">                             </w:t>
      </w:r>
      <w:r>
        <w:rPr>
          <w:rFonts w:hint="eastAsia" w:cs="仿宋" w:asciiTheme="minorEastAsia" w:hAnsiTheme="minorEastAsia" w:eastAsiaTheme="minorEastAsia"/>
          <w:b/>
          <w:bCs/>
          <w:kern w:val="2"/>
          <w:sz w:val="24"/>
          <w:szCs w:val="24"/>
          <w:lang w:val="en-US" w:eastAsia="zh-CN" w:bidi="ar-SA"/>
        </w:rPr>
        <w:t>地面施工工艺要求</w:t>
      </w:r>
    </w:p>
    <w:p w14:paraId="0E9B844F">
      <w:pPr>
        <w:ind w:firstLine="482" w:firstLineChars="200"/>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整体要求</w:t>
      </w:r>
      <w:r>
        <w:rPr>
          <w:rFonts w:hint="eastAsia" w:ascii="宋体" w:hAnsi="宋体" w:cs="宋体"/>
          <w:b/>
          <w:sz w:val="24"/>
          <w:szCs w:val="24"/>
          <w:lang w:val="en-US" w:eastAsia="zh-CN"/>
        </w:rPr>
        <w:t>：</w:t>
      </w:r>
    </w:p>
    <w:p w14:paraId="241205C1">
      <w:pPr>
        <w:pStyle w:val="14"/>
        <w:ind w:firstLine="480" w:firstLineChars="200"/>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1</w:t>
      </w:r>
      <w:r>
        <w:rPr>
          <w:rFonts w:hint="eastAsia" w:hAnsi="宋体" w:cs="宋体"/>
          <w:sz w:val="24"/>
          <w:szCs w:val="24"/>
          <w:lang w:eastAsia="zh-CN"/>
        </w:rPr>
        <w:t>）</w:t>
      </w:r>
      <w:r>
        <w:rPr>
          <w:rFonts w:hint="eastAsia" w:ascii="宋体" w:hAnsi="宋体" w:eastAsia="宋体" w:cs="宋体"/>
          <w:sz w:val="24"/>
          <w:szCs w:val="24"/>
        </w:rPr>
        <w:t>要求地坪耐磨、抗重压，表面光滑，美观，能够用抹布、肥皂水或自动清洗器等轻易去除污泽。</w:t>
      </w:r>
    </w:p>
    <w:p w14:paraId="23E422C1">
      <w:pPr>
        <w:pStyle w:val="14"/>
        <w:ind w:firstLine="480" w:firstLineChars="200"/>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2</w:t>
      </w:r>
      <w:r>
        <w:rPr>
          <w:rFonts w:hint="eastAsia" w:hAnsi="宋体" w:cs="宋体"/>
          <w:sz w:val="24"/>
          <w:szCs w:val="24"/>
          <w:lang w:eastAsia="zh-CN"/>
        </w:rPr>
        <w:t>）</w:t>
      </w:r>
      <w:r>
        <w:rPr>
          <w:rFonts w:hint="eastAsia" w:ascii="宋体" w:hAnsi="宋体" w:eastAsia="宋体" w:cs="宋体"/>
          <w:sz w:val="24"/>
          <w:szCs w:val="24"/>
        </w:rPr>
        <w:t>颜色：按要求。</w:t>
      </w:r>
    </w:p>
    <w:p w14:paraId="326A29B4">
      <w:pPr>
        <w:pStyle w:val="14"/>
        <w:ind w:firstLine="480" w:firstLineChars="200"/>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3</w:t>
      </w:r>
      <w:r>
        <w:rPr>
          <w:rFonts w:hint="eastAsia" w:hAnsi="宋体" w:cs="宋体"/>
          <w:sz w:val="24"/>
          <w:szCs w:val="24"/>
          <w:lang w:eastAsia="zh-CN"/>
        </w:rPr>
        <w:t>）</w:t>
      </w:r>
      <w:r>
        <w:rPr>
          <w:rFonts w:hint="eastAsia" w:ascii="宋体" w:hAnsi="宋体" w:eastAsia="宋体" w:cs="宋体"/>
          <w:sz w:val="24"/>
          <w:szCs w:val="24"/>
        </w:rPr>
        <w:t>使用环境要求：满足3吨叉车行驶。</w:t>
      </w:r>
    </w:p>
    <w:p w14:paraId="4C924403">
      <w:pPr>
        <w:pStyle w:val="14"/>
        <w:ind w:firstLine="480" w:firstLineChars="200"/>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4</w:t>
      </w:r>
      <w:r>
        <w:rPr>
          <w:rFonts w:hint="eastAsia" w:hAnsi="宋体" w:cs="宋体"/>
          <w:sz w:val="24"/>
          <w:szCs w:val="24"/>
          <w:lang w:eastAsia="zh-CN"/>
        </w:rPr>
        <w:t>）</w:t>
      </w:r>
      <w:r>
        <w:rPr>
          <w:rFonts w:hint="eastAsia" w:ascii="宋体" w:hAnsi="宋体" w:eastAsia="宋体" w:cs="宋体"/>
          <w:sz w:val="24"/>
          <w:szCs w:val="24"/>
        </w:rPr>
        <w:t>地坪要求使用年限：≥3年。</w:t>
      </w:r>
    </w:p>
    <w:p w14:paraId="5218AEB0">
      <w:pPr>
        <w:pStyle w:val="14"/>
        <w:ind w:firstLine="480" w:firstLineChars="200"/>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5</w:t>
      </w:r>
      <w:r>
        <w:rPr>
          <w:rFonts w:hint="eastAsia" w:hAnsi="宋体" w:cs="宋体"/>
          <w:sz w:val="24"/>
          <w:szCs w:val="24"/>
          <w:lang w:eastAsia="zh-CN"/>
        </w:rPr>
        <w:t>）</w:t>
      </w:r>
      <w:r>
        <w:rPr>
          <w:rFonts w:hint="eastAsia" w:ascii="宋体" w:hAnsi="宋体" w:eastAsia="宋体" w:cs="宋体"/>
          <w:sz w:val="24"/>
          <w:szCs w:val="24"/>
        </w:rPr>
        <w:t>地基结构缝、伸缩缝、裂缝、台阶等要求打磨、切割，要注意防尘、防护，不能污染设备。用无溶剂树脂砂浆对缝隙进行填补，然后施工地坪涂层。完工后地坪要求无缝或整齐切缝。</w:t>
      </w:r>
    </w:p>
    <w:p w14:paraId="086C93D0">
      <w:pPr>
        <w:pStyle w:val="14"/>
        <w:ind w:firstLine="480" w:firstLineChars="200"/>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6</w:t>
      </w:r>
      <w:r>
        <w:rPr>
          <w:rFonts w:hint="eastAsia" w:hAnsi="宋体" w:cs="宋体"/>
          <w:sz w:val="24"/>
          <w:szCs w:val="24"/>
          <w:lang w:eastAsia="zh-CN"/>
        </w:rPr>
        <w:t>）</w:t>
      </w:r>
      <w:r>
        <w:rPr>
          <w:rFonts w:hint="eastAsia" w:ascii="宋体" w:hAnsi="宋体" w:eastAsia="宋体" w:cs="宋体"/>
          <w:sz w:val="24"/>
          <w:szCs w:val="24"/>
        </w:rPr>
        <w:t>采用环保材料，无毒、无污染、无放射性、不燃，VOC含量≤60mg/L。</w:t>
      </w:r>
    </w:p>
    <w:p w14:paraId="2D44E560">
      <w:pPr>
        <w:pStyle w:val="14"/>
        <w:ind w:firstLine="480" w:firstLineChars="200"/>
        <w:rPr>
          <w:rFonts w:hint="eastAsia" w:ascii="宋体" w:hAnsi="宋体" w:eastAsia="宋体" w:cs="宋体"/>
          <w:sz w:val="24"/>
          <w:szCs w:val="24"/>
        </w:rPr>
      </w:pPr>
    </w:p>
    <w:p w14:paraId="538082EE">
      <w:pPr>
        <w:ind w:firstLine="482" w:firstLineChars="200"/>
        <w:rPr>
          <w:rFonts w:hint="eastAsia" w:ascii="宋体" w:hAnsi="宋体" w:eastAsia="宋体" w:cs="宋体"/>
          <w:b/>
          <w:sz w:val="24"/>
          <w:szCs w:val="24"/>
          <w:lang w:val="en-US" w:eastAsia="zh-CN"/>
        </w:rPr>
      </w:pPr>
      <w:r>
        <w:rPr>
          <w:rFonts w:hint="eastAsia" w:ascii="宋体" w:hAnsi="宋体" w:cs="宋体"/>
          <w:b/>
          <w:sz w:val="24"/>
          <w:szCs w:val="24"/>
          <w:lang w:val="en-US" w:eastAsia="zh-CN"/>
        </w:rPr>
        <w:t>1、</w:t>
      </w:r>
      <w:r>
        <w:rPr>
          <w:rFonts w:hint="eastAsia" w:ascii="宋体" w:hAnsi="宋体" w:eastAsia="宋体" w:cs="宋体"/>
          <w:b/>
          <w:sz w:val="24"/>
          <w:szCs w:val="24"/>
        </w:rPr>
        <w:t>环氧自流平</w:t>
      </w:r>
      <w:r>
        <w:rPr>
          <w:rFonts w:hint="eastAsia" w:ascii="宋体" w:hAnsi="宋体" w:cs="宋体"/>
          <w:b/>
          <w:sz w:val="24"/>
          <w:szCs w:val="24"/>
          <w:lang w:val="en-US" w:eastAsia="zh-CN"/>
        </w:rPr>
        <w:t>地坪</w:t>
      </w:r>
    </w:p>
    <w:p w14:paraId="083DB478">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施工步骤：</w:t>
      </w:r>
    </w:p>
    <w:p w14:paraId="7287DEF1">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a.用大型研磨</w:t>
      </w:r>
      <w:r>
        <w:rPr>
          <w:rFonts w:hint="eastAsia" w:hAnsi="宋体" w:cs="宋体"/>
          <w:sz w:val="24"/>
          <w:szCs w:val="24"/>
          <w:lang w:val="en-US" w:eastAsia="zh-CN"/>
        </w:rPr>
        <w:t>机</w:t>
      </w:r>
      <w:r>
        <w:rPr>
          <w:rFonts w:hint="eastAsia" w:ascii="宋体" w:hAnsi="宋体" w:eastAsia="宋体" w:cs="宋体"/>
          <w:sz w:val="24"/>
          <w:szCs w:val="24"/>
        </w:rPr>
        <w:t>对混凝土基层/原油漆层进行彻底打磨，直至把浮浆、残留物全部打磨掉，以增强环氧跟混凝土的附着力，防止出现环氧脱皮隐患。</w:t>
      </w:r>
    </w:p>
    <w:p w14:paraId="1B60B279">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b.对裂缝用角磨机开成V型槽，清理干净裂缝和伸缩缝，然后用环氧砂浆进行填补平整；对于基面局部大的孔洞用环氧树脂砂浆填补洞眼，打磨至平整，然后清洁除尘,保证基面的局部平整度；</w:t>
      </w:r>
    </w:p>
    <w:p w14:paraId="35614741">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c.对于基面遭受油污污染的地面用专用稀释剂清洗并用火枪烤油，避免影响环氧地坪漆的附着力；</w:t>
      </w:r>
    </w:p>
    <w:p w14:paraId="623326BA">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d.对于基面局部受潮，素地含水率较高的部位用火枪烘烤，避免环氧地坪漆层出现水疱现象。</w:t>
      </w:r>
    </w:p>
    <w:p w14:paraId="1AE259A7">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e.涂刷底漆：用环氧地坪漆涂刷地坪,底漆量要用足，对刷完底漆表面还发白的地方要进行补涂，以确保底漆对混凝土有足够的渗透性。</w:t>
      </w:r>
    </w:p>
    <w:p w14:paraId="1BA7F6BD">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f.刮涂环氧砂浆不低于两遍，对有缺陷地面着重点补</w:t>
      </w:r>
      <w:r>
        <w:rPr>
          <w:rFonts w:hint="eastAsia" w:ascii="宋体" w:hAnsi="宋体" w:eastAsia="宋体" w:cs="宋体"/>
          <w:sz w:val="24"/>
          <w:szCs w:val="24"/>
          <w:lang w:eastAsia="zh-CN"/>
        </w:rPr>
        <w:t>，</w:t>
      </w:r>
      <w:r>
        <w:rPr>
          <w:rFonts w:hint="eastAsia" w:ascii="宋体" w:hAnsi="宋体" w:eastAsia="宋体" w:cs="宋体"/>
          <w:sz w:val="24"/>
          <w:szCs w:val="24"/>
        </w:rPr>
        <w:t>使达到初步平整。</w:t>
      </w:r>
    </w:p>
    <w:p w14:paraId="49B8AEEF">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g.在环氧砂浆层固化后打磨环氧砂浆层，使之基本平整、顺滑，并在完全吸尘干净后用环氧砂浆中涂</w:t>
      </w:r>
      <w:r>
        <w:rPr>
          <w:rFonts w:hint="eastAsia" w:ascii="宋体" w:hAnsi="宋体" w:eastAsia="宋体" w:cs="宋体"/>
          <w:sz w:val="24"/>
          <w:szCs w:val="24"/>
          <w:highlight w:val="none"/>
        </w:rPr>
        <w:t>（中涂+腻子粉）刮涂环氧腻子中层二</w:t>
      </w:r>
      <w:r>
        <w:rPr>
          <w:rFonts w:hint="eastAsia" w:hAnsi="宋体" w:cs="宋体"/>
          <w:sz w:val="24"/>
          <w:szCs w:val="24"/>
          <w:highlight w:val="none"/>
          <w:lang w:val="en-US" w:eastAsia="zh-CN"/>
        </w:rPr>
        <w:t>遍</w:t>
      </w:r>
      <w:r>
        <w:rPr>
          <w:rFonts w:hint="eastAsia" w:ascii="宋体" w:hAnsi="宋体" w:eastAsia="宋体" w:cs="宋体"/>
          <w:sz w:val="24"/>
          <w:szCs w:val="24"/>
          <w:highlight w:val="none"/>
        </w:rPr>
        <w:t>，以封闭中涂砂浆层的砂眼、气孔及修饰平整中涂层。</w:t>
      </w:r>
    </w:p>
    <w:p w14:paraId="4311F9DD">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h.腻子固化后打磨修饰平整并吸尘干净，在确保封闭的表面镘刮自流平面涂一</w:t>
      </w:r>
      <w:r>
        <w:rPr>
          <w:rFonts w:hint="eastAsia" w:hAnsi="宋体" w:cs="宋体"/>
          <w:sz w:val="24"/>
          <w:szCs w:val="24"/>
          <w:highlight w:val="none"/>
          <w:lang w:val="en-US" w:eastAsia="zh-CN"/>
        </w:rPr>
        <w:t>遍</w:t>
      </w:r>
      <w:r>
        <w:rPr>
          <w:rFonts w:hint="eastAsia" w:ascii="宋体" w:hAnsi="宋体" w:eastAsia="宋体" w:cs="宋体"/>
          <w:sz w:val="24"/>
          <w:szCs w:val="24"/>
          <w:highlight w:val="none"/>
        </w:rPr>
        <w:t>，使达到最终平整度要求。</w:t>
      </w:r>
    </w:p>
    <w:p w14:paraId="559C6E2E">
      <w:pPr>
        <w:ind w:firstLine="482" w:firstLineChars="200"/>
        <w:rPr>
          <w:rFonts w:hint="eastAsia" w:ascii="宋体" w:hAnsi="宋体" w:cs="宋体"/>
          <w:b/>
          <w:sz w:val="24"/>
          <w:szCs w:val="24"/>
          <w:highlight w:val="none"/>
          <w:lang w:val="en-US" w:eastAsia="zh-CN"/>
        </w:rPr>
      </w:pPr>
    </w:p>
    <w:p w14:paraId="75A371CA">
      <w:pPr>
        <w:ind w:firstLine="482" w:firstLineChars="200"/>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2、</w:t>
      </w:r>
      <w:r>
        <w:rPr>
          <w:rFonts w:hint="eastAsia" w:ascii="宋体" w:hAnsi="宋体" w:eastAsia="宋体" w:cs="宋体"/>
          <w:b/>
          <w:sz w:val="24"/>
          <w:szCs w:val="24"/>
          <w:highlight w:val="none"/>
        </w:rPr>
        <w:t>环氧</w:t>
      </w:r>
      <w:r>
        <w:rPr>
          <w:rFonts w:hint="eastAsia" w:ascii="宋体" w:hAnsi="宋体" w:cs="宋体"/>
          <w:b/>
          <w:sz w:val="24"/>
          <w:szCs w:val="24"/>
          <w:highlight w:val="none"/>
          <w:lang w:val="en-US" w:eastAsia="zh-CN"/>
        </w:rPr>
        <w:t>地坪漆平</w:t>
      </w:r>
      <w:r>
        <w:rPr>
          <w:rFonts w:hint="eastAsia" w:ascii="宋体" w:hAnsi="宋体" w:eastAsia="宋体" w:cs="宋体"/>
          <w:b/>
          <w:sz w:val="24"/>
          <w:szCs w:val="24"/>
          <w:highlight w:val="none"/>
        </w:rPr>
        <w:t>涂地坪</w:t>
      </w:r>
    </w:p>
    <w:p w14:paraId="49032A21">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施工步骤：</w:t>
      </w:r>
    </w:p>
    <w:p w14:paraId="0E6A70BD">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a.用大型研磨</w:t>
      </w:r>
      <w:r>
        <w:rPr>
          <w:rFonts w:hint="eastAsia" w:hAnsi="宋体" w:cs="宋体"/>
          <w:sz w:val="24"/>
          <w:szCs w:val="24"/>
          <w:highlight w:val="none"/>
          <w:lang w:val="en-US" w:eastAsia="zh-CN"/>
        </w:rPr>
        <w:t>机</w:t>
      </w:r>
      <w:r>
        <w:rPr>
          <w:rFonts w:hint="eastAsia" w:ascii="宋体" w:hAnsi="宋体" w:eastAsia="宋体" w:cs="宋体"/>
          <w:sz w:val="24"/>
          <w:szCs w:val="24"/>
          <w:highlight w:val="none"/>
        </w:rPr>
        <w:t>对混凝土基层</w:t>
      </w:r>
      <w:r>
        <w:rPr>
          <w:rFonts w:hint="eastAsia" w:hAnsi="宋体" w:cs="宋体"/>
          <w:sz w:val="24"/>
          <w:szCs w:val="24"/>
          <w:highlight w:val="none"/>
          <w:lang w:eastAsia="zh-CN"/>
        </w:rPr>
        <w:t>、</w:t>
      </w:r>
      <w:r>
        <w:rPr>
          <w:rFonts w:hint="eastAsia" w:ascii="宋体" w:hAnsi="宋体" w:eastAsia="宋体" w:cs="宋体"/>
          <w:sz w:val="24"/>
          <w:szCs w:val="24"/>
          <w:highlight w:val="none"/>
        </w:rPr>
        <w:t>原油漆层进行彻底打磨，直至把浮浆、残留物全部打磨掉，以增强环氧跟混凝土的附着力，防止出现环氧脱皮隐患。</w:t>
      </w:r>
    </w:p>
    <w:p w14:paraId="36B2F0C6">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b.对裂缝用角磨机开成V型槽，清理干净裂缝和伸缩缝，然后用环氧砂浆进行填补平整；对于基面局部大的孔洞用环氧树脂砂浆填补洞眼，打磨至平整，然后清洁除尘,保证基面的局部平整度；</w:t>
      </w:r>
    </w:p>
    <w:p w14:paraId="5AE0411A">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c.对于基面遭受油污污染的地面用专用稀释剂清洗并用火枪烤油，避免影响环氧地坪漆的附着力；</w:t>
      </w:r>
    </w:p>
    <w:p w14:paraId="372B87F2">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d.对于基面局部受潮，素地含水率较高的部位用火枪烘烤，避免环氧地坪漆层出现水疱现象。</w:t>
      </w:r>
    </w:p>
    <w:p w14:paraId="653E642D">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e.涂刷底漆：用环氧地坪漆涂刷地坪,底漆量要用足，对刷完底漆表面还发白的地方要进行补涂，以确保底漆对混凝土有足够的渗透性。</w:t>
      </w:r>
    </w:p>
    <w:p w14:paraId="5051719A">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f.刮涂环氧砂浆不低于两遍，对有缺陷地面着重点补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使达到初步平整。</w:t>
      </w:r>
    </w:p>
    <w:p w14:paraId="134986E7">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g.在环氧砂浆层固化后打磨环氧砂浆层，使之基本平整、顺滑，并在完全吸尘干净后用环氧砂浆中涂（中涂+腻子粉）刮涂环氧腻子中层二</w:t>
      </w:r>
      <w:r>
        <w:rPr>
          <w:rFonts w:hint="eastAsia" w:hAnsi="宋体" w:cs="宋体"/>
          <w:sz w:val="24"/>
          <w:szCs w:val="24"/>
          <w:highlight w:val="none"/>
          <w:lang w:val="en-US" w:eastAsia="zh-CN"/>
        </w:rPr>
        <w:t>遍</w:t>
      </w:r>
      <w:r>
        <w:rPr>
          <w:rFonts w:hint="eastAsia" w:ascii="宋体" w:hAnsi="宋体" w:eastAsia="宋体" w:cs="宋体"/>
          <w:sz w:val="24"/>
          <w:szCs w:val="24"/>
          <w:highlight w:val="none"/>
        </w:rPr>
        <w:t>，以封闭中涂砂浆层的砂眼、气孔及修饰平整中涂层。</w:t>
      </w:r>
    </w:p>
    <w:p w14:paraId="63501D36">
      <w:pPr>
        <w:pStyle w:val="14"/>
        <w:ind w:firstLine="480" w:firstLineChars="200"/>
        <w:rPr>
          <w:rFonts w:hint="eastAsia" w:ascii="宋体" w:hAnsi="宋体" w:eastAsia="宋体" w:cs="宋体"/>
          <w:sz w:val="24"/>
          <w:szCs w:val="24"/>
          <w:highlight w:val="none"/>
        </w:rPr>
      </w:pPr>
      <w:r>
        <w:rPr>
          <w:rFonts w:hint="eastAsia" w:hAnsi="宋体" w:cs="宋体"/>
          <w:sz w:val="24"/>
          <w:szCs w:val="24"/>
          <w:highlight w:val="none"/>
          <w:lang w:val="en-US" w:eastAsia="zh-CN"/>
        </w:rPr>
        <w:t>h</w:t>
      </w:r>
      <w:r>
        <w:rPr>
          <w:rFonts w:hint="eastAsia" w:ascii="宋体" w:hAnsi="宋体" w:eastAsia="宋体" w:cs="宋体"/>
          <w:sz w:val="24"/>
          <w:szCs w:val="24"/>
          <w:highlight w:val="none"/>
        </w:rPr>
        <w:t>.施工环氧色漆层：涂刷无溶剂高树脂含量环氧地坪色漆两道，刮涂一遍，滚涂一遍。施工过程注意防护浮尘污染，以保证色漆表面的美观。</w:t>
      </w:r>
    </w:p>
    <w:p w14:paraId="5B333077">
      <w:pPr>
        <w:rPr>
          <w:rFonts w:hint="eastAsia"/>
          <w:highlight w:val="none"/>
        </w:rPr>
      </w:pPr>
    </w:p>
    <w:p w14:paraId="72811E56">
      <w:pPr>
        <w:ind w:firstLine="482" w:firstLineChars="200"/>
        <w:rPr>
          <w:rFonts w:hint="eastAsia"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3、</w:t>
      </w:r>
      <w:r>
        <w:rPr>
          <w:rFonts w:hint="eastAsia" w:ascii="宋体" w:hAnsi="宋体" w:cs="宋体"/>
          <w:b/>
          <w:sz w:val="24"/>
          <w:szCs w:val="24"/>
          <w:highlight w:val="none"/>
        </w:rPr>
        <w:t>环氧自流平</w:t>
      </w:r>
      <w:r>
        <w:rPr>
          <w:rFonts w:hint="eastAsia" w:ascii="宋体" w:hAnsi="宋体" w:cs="宋体"/>
          <w:b/>
          <w:sz w:val="24"/>
          <w:szCs w:val="24"/>
          <w:highlight w:val="none"/>
          <w:lang w:val="en-US" w:eastAsia="zh-CN"/>
        </w:rPr>
        <w:t>+聚氨酯</w:t>
      </w:r>
      <w:r>
        <w:rPr>
          <w:rFonts w:hint="eastAsia" w:ascii="宋体" w:hAnsi="宋体" w:cs="宋体"/>
          <w:b/>
          <w:sz w:val="24"/>
          <w:szCs w:val="24"/>
          <w:highlight w:val="none"/>
        </w:rPr>
        <w:t>超耐磨</w:t>
      </w:r>
      <w:r>
        <w:rPr>
          <w:rFonts w:hint="eastAsia" w:ascii="宋体" w:hAnsi="宋体" w:cs="宋体"/>
          <w:b/>
          <w:sz w:val="24"/>
          <w:szCs w:val="24"/>
          <w:highlight w:val="none"/>
          <w:lang w:val="en-US" w:eastAsia="zh-CN"/>
        </w:rPr>
        <w:t>地坪</w:t>
      </w:r>
    </w:p>
    <w:p w14:paraId="739889DB">
      <w:pPr>
        <w:tabs>
          <w:tab w:val="left" w:pos="390"/>
        </w:tabs>
        <w:ind w:firstLine="480" w:firstLineChars="200"/>
        <w:rPr>
          <w:rFonts w:hint="eastAsia" w:ascii="宋体" w:hAnsi="宋体" w:cs="宋体"/>
          <w:sz w:val="24"/>
          <w:szCs w:val="24"/>
          <w:highlight w:val="none"/>
        </w:rPr>
      </w:pPr>
      <w:r>
        <w:rPr>
          <w:rFonts w:hint="eastAsia" w:ascii="宋体" w:hAnsi="宋体" w:cs="宋体"/>
          <w:sz w:val="24"/>
          <w:szCs w:val="24"/>
          <w:highlight w:val="none"/>
        </w:rPr>
        <w:t>施工步骤：</w:t>
      </w:r>
    </w:p>
    <w:p w14:paraId="76B21501">
      <w:pPr>
        <w:pStyle w:val="14"/>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a.用大型研磨剂对混凝土基层/原油漆层进行彻底打</w:t>
      </w:r>
      <w:r>
        <w:rPr>
          <w:rFonts w:hint="eastAsia" w:ascii="宋体" w:hAnsi="宋体" w:eastAsia="宋体" w:cs="宋体"/>
          <w:sz w:val="24"/>
          <w:szCs w:val="24"/>
        </w:rPr>
        <w:t>磨，直至把浮浆、残留物全部打磨掉，以增强环氧跟混凝土的附着力，防止出现环氧脱皮隐患。</w:t>
      </w:r>
    </w:p>
    <w:p w14:paraId="56ECD0B1">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b.对裂缝用角磨机开成V型槽，清理干净裂缝和伸缩缝，然后用环氧砂浆进行填补平整；对于基面局部大的孔洞用环氧树脂砂浆填补洞眼，打磨至平整，然后清洁除尘,保证基面的局部平整度；</w:t>
      </w:r>
    </w:p>
    <w:p w14:paraId="10DE7924">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c.对于基面遭受油污污染的地面用专用稀释剂清洗并用火枪烤油，避免影响环氧地坪漆的附着力；</w:t>
      </w:r>
    </w:p>
    <w:p w14:paraId="4884A763">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d.对于基面局部受潮，素地含水率较高的部位用火枪烘烤，避免环氧地坪漆层出现水疱现象。</w:t>
      </w:r>
    </w:p>
    <w:p w14:paraId="2BB45A02">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e.涂刷底漆：用环氧地坪漆涂刷地坪,底漆量要用足，对刷完底漆表面还发白的地方要进行补涂，以确保底漆对混凝土有足够的渗透性。</w:t>
      </w:r>
    </w:p>
    <w:p w14:paraId="0069B85C">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f.刮涂环氧砂浆不低于两遍，对有缺陷地面着重点补</w:t>
      </w:r>
      <w:r>
        <w:rPr>
          <w:rFonts w:hint="eastAsia" w:ascii="宋体" w:hAnsi="宋体" w:eastAsia="宋体" w:cs="宋体"/>
          <w:sz w:val="24"/>
          <w:szCs w:val="24"/>
          <w:lang w:eastAsia="zh-CN"/>
        </w:rPr>
        <w:t>，</w:t>
      </w:r>
      <w:r>
        <w:rPr>
          <w:rFonts w:hint="eastAsia" w:ascii="宋体" w:hAnsi="宋体" w:eastAsia="宋体" w:cs="宋体"/>
          <w:sz w:val="24"/>
          <w:szCs w:val="24"/>
        </w:rPr>
        <w:t>使达到初步平整。</w:t>
      </w:r>
    </w:p>
    <w:p w14:paraId="0FC9E448">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g.在环氧砂浆层固化后打磨环氧砂浆层，使之基本平整、顺滑，并在完全吸尘干净后用环氧砂浆中涂（中涂+腻子粉）刮涂环氧腻子中层二</w:t>
      </w:r>
      <w:r>
        <w:rPr>
          <w:rFonts w:hint="eastAsia" w:hAnsi="宋体" w:cs="宋体"/>
          <w:sz w:val="24"/>
          <w:szCs w:val="24"/>
          <w:lang w:val="en-US" w:eastAsia="zh-CN"/>
        </w:rPr>
        <w:t>遍</w:t>
      </w:r>
      <w:r>
        <w:rPr>
          <w:rFonts w:hint="eastAsia" w:ascii="宋体" w:hAnsi="宋体" w:eastAsia="宋体" w:cs="宋体"/>
          <w:sz w:val="24"/>
          <w:szCs w:val="24"/>
        </w:rPr>
        <w:t>，以封闭中涂砂浆层的砂眼、气孔及修饰平整</w:t>
      </w:r>
      <w:r>
        <w:rPr>
          <w:rFonts w:hint="eastAsia" w:ascii="宋体" w:hAnsi="宋体" w:eastAsia="宋体" w:cs="宋体"/>
          <w:sz w:val="24"/>
          <w:szCs w:val="24"/>
          <w:highlight w:val="none"/>
        </w:rPr>
        <w:t>中涂层。</w:t>
      </w:r>
    </w:p>
    <w:p w14:paraId="68AF04C5">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h.腻子固化后打磨修饰平整并吸尘干净，在确保封闭的表面镘刮自流平面涂一</w:t>
      </w:r>
      <w:r>
        <w:rPr>
          <w:rFonts w:hint="eastAsia" w:hAnsi="宋体" w:cs="宋体"/>
          <w:sz w:val="24"/>
          <w:szCs w:val="24"/>
          <w:highlight w:val="none"/>
          <w:lang w:val="en-US" w:eastAsia="zh-CN"/>
        </w:rPr>
        <w:t>遍</w:t>
      </w:r>
      <w:r>
        <w:rPr>
          <w:rFonts w:hint="eastAsia" w:ascii="宋体" w:hAnsi="宋体" w:eastAsia="宋体" w:cs="宋体"/>
          <w:sz w:val="24"/>
          <w:szCs w:val="24"/>
          <w:highlight w:val="none"/>
        </w:rPr>
        <w:t>，使达到最终平整度要求。</w:t>
      </w:r>
    </w:p>
    <w:p w14:paraId="2D23A1EB">
      <w:pPr>
        <w:ind w:firstLine="480" w:firstLineChars="200"/>
        <w:rPr>
          <w:rFonts w:hint="eastAsia" w:ascii="宋体" w:hAnsi="宋体" w:cs="宋体"/>
          <w:sz w:val="24"/>
          <w:szCs w:val="24"/>
          <w:highlight w:val="none"/>
        </w:rPr>
      </w:pPr>
      <w:r>
        <w:rPr>
          <w:rFonts w:hint="eastAsia" w:ascii="宋体" w:hAnsi="宋体" w:cs="宋体"/>
          <w:sz w:val="24"/>
          <w:szCs w:val="24"/>
          <w:highlight w:val="none"/>
        </w:rPr>
        <w:t>j.打磨，刮涂聚氨酯超耐磨面漆。</w:t>
      </w:r>
    </w:p>
    <w:p w14:paraId="17794CF6">
      <w:pPr>
        <w:ind w:firstLine="482" w:firstLineChars="200"/>
        <w:rPr>
          <w:rFonts w:hint="eastAsia" w:ascii="宋体" w:hAnsi="宋体" w:cs="宋体"/>
          <w:b/>
          <w:sz w:val="24"/>
          <w:szCs w:val="24"/>
          <w:highlight w:val="none"/>
          <w:lang w:val="en-US" w:eastAsia="zh-CN"/>
        </w:rPr>
      </w:pPr>
    </w:p>
    <w:p w14:paraId="68540086">
      <w:pPr>
        <w:ind w:firstLine="482" w:firstLineChars="200"/>
        <w:rPr>
          <w:rFonts w:hint="eastAsia"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4、</w:t>
      </w:r>
      <w:r>
        <w:rPr>
          <w:rFonts w:hint="eastAsia" w:ascii="宋体" w:hAnsi="宋体" w:cs="宋体"/>
          <w:b/>
          <w:sz w:val="24"/>
          <w:szCs w:val="24"/>
          <w:highlight w:val="none"/>
        </w:rPr>
        <w:t>环氧</w:t>
      </w:r>
      <w:r>
        <w:rPr>
          <w:rFonts w:hint="eastAsia" w:ascii="宋体" w:hAnsi="宋体" w:cs="宋体"/>
          <w:b/>
          <w:sz w:val="24"/>
          <w:szCs w:val="24"/>
          <w:highlight w:val="none"/>
          <w:lang w:val="en-US" w:eastAsia="zh-CN"/>
        </w:rPr>
        <w:t>地坪漆平涂+聚氨酯</w:t>
      </w:r>
      <w:r>
        <w:rPr>
          <w:rFonts w:hint="eastAsia" w:ascii="宋体" w:hAnsi="宋体" w:cs="宋体"/>
          <w:b/>
          <w:sz w:val="24"/>
          <w:szCs w:val="24"/>
          <w:highlight w:val="none"/>
        </w:rPr>
        <w:t>超耐磨</w:t>
      </w:r>
      <w:r>
        <w:rPr>
          <w:rFonts w:hint="eastAsia" w:ascii="宋体" w:hAnsi="宋体" w:cs="宋体"/>
          <w:b/>
          <w:sz w:val="24"/>
          <w:szCs w:val="24"/>
          <w:highlight w:val="none"/>
          <w:lang w:val="en-US" w:eastAsia="zh-CN"/>
        </w:rPr>
        <w:t>地坪</w:t>
      </w:r>
    </w:p>
    <w:p w14:paraId="3F8E90F8">
      <w:pPr>
        <w:tabs>
          <w:tab w:val="left" w:pos="390"/>
        </w:tabs>
        <w:ind w:firstLine="480" w:firstLineChars="200"/>
        <w:rPr>
          <w:rFonts w:hint="eastAsia" w:ascii="宋体" w:hAnsi="宋体" w:cs="宋体"/>
          <w:sz w:val="24"/>
          <w:szCs w:val="24"/>
          <w:highlight w:val="none"/>
        </w:rPr>
      </w:pPr>
      <w:r>
        <w:rPr>
          <w:rFonts w:hint="eastAsia" w:ascii="宋体" w:hAnsi="宋体" w:cs="宋体"/>
          <w:sz w:val="24"/>
          <w:szCs w:val="24"/>
          <w:highlight w:val="none"/>
        </w:rPr>
        <w:t>施工步骤：</w:t>
      </w:r>
    </w:p>
    <w:p w14:paraId="6C9F2611">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a.用大型研磨</w:t>
      </w:r>
      <w:r>
        <w:rPr>
          <w:rFonts w:hint="eastAsia" w:hAnsi="宋体" w:cs="宋体"/>
          <w:sz w:val="24"/>
          <w:szCs w:val="24"/>
          <w:highlight w:val="none"/>
          <w:lang w:val="en-US" w:eastAsia="zh-CN"/>
        </w:rPr>
        <w:t>机</w:t>
      </w:r>
      <w:r>
        <w:rPr>
          <w:rFonts w:hint="eastAsia" w:ascii="宋体" w:hAnsi="宋体" w:eastAsia="宋体" w:cs="宋体"/>
          <w:sz w:val="24"/>
          <w:szCs w:val="24"/>
          <w:highlight w:val="none"/>
        </w:rPr>
        <w:t>对混凝土基层</w:t>
      </w:r>
      <w:r>
        <w:rPr>
          <w:rFonts w:hint="eastAsia" w:hAnsi="宋体" w:cs="宋体"/>
          <w:sz w:val="24"/>
          <w:szCs w:val="24"/>
          <w:highlight w:val="none"/>
          <w:lang w:eastAsia="zh-CN"/>
        </w:rPr>
        <w:t>、</w:t>
      </w:r>
      <w:r>
        <w:rPr>
          <w:rFonts w:hint="eastAsia" w:ascii="宋体" w:hAnsi="宋体" w:eastAsia="宋体" w:cs="宋体"/>
          <w:sz w:val="24"/>
          <w:szCs w:val="24"/>
          <w:highlight w:val="none"/>
        </w:rPr>
        <w:t>原油漆层进行彻底打磨，直至把浮浆、残留物全部打磨掉，以增强环氧跟混凝土的附着力，防止出现环氧脱皮隐患。</w:t>
      </w:r>
    </w:p>
    <w:p w14:paraId="637A9E4E">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b.对裂缝用角磨机开成V型槽，清理干净裂缝和伸缩缝，然后用环氧砂浆进行填补平整；对于基面局部大的孔洞用环氧树脂砂浆填补洞眼，打磨至平整，然后清洁除尘,保证基面的局部平整度；</w:t>
      </w:r>
    </w:p>
    <w:p w14:paraId="3A6A5132">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c.对于基面遭受油污污染的地面用专用稀释剂清洗并用火枪烤油，避免影响环氧地坪漆的附着力；</w:t>
      </w:r>
    </w:p>
    <w:p w14:paraId="3EAFE244">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d.对于基面局部受潮，素地含水率较高的部位用火枪烘烤，避免环氧地坪漆层出现水疱现象。</w:t>
      </w:r>
    </w:p>
    <w:p w14:paraId="7A618D16">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e.涂刷底漆：用环氧地坪漆涂刷地坪,底漆量要用足，对刷完底漆表面还发白的地方要进行补涂，以确保底漆对混凝土有足够的渗透性。</w:t>
      </w:r>
    </w:p>
    <w:p w14:paraId="6020C60B">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f.刮涂环氧砂浆不低于两遍，对有缺陷地面着重点补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使达到初步平整。</w:t>
      </w:r>
    </w:p>
    <w:p w14:paraId="54EE864C">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g.在环氧砂浆层固化后打磨环氧砂浆层，使之基本平整、顺滑，并在完全吸尘干净后用环氧砂浆中涂（中涂+腻子粉）刮涂环氧腻子中层二</w:t>
      </w:r>
      <w:r>
        <w:rPr>
          <w:rFonts w:hint="eastAsia" w:hAnsi="宋体" w:cs="宋体"/>
          <w:sz w:val="24"/>
          <w:szCs w:val="24"/>
          <w:highlight w:val="none"/>
          <w:lang w:val="en-US" w:eastAsia="zh-CN"/>
        </w:rPr>
        <w:t>遍</w:t>
      </w:r>
      <w:r>
        <w:rPr>
          <w:rFonts w:hint="eastAsia" w:ascii="宋体" w:hAnsi="宋体" w:eastAsia="宋体" w:cs="宋体"/>
          <w:sz w:val="24"/>
          <w:szCs w:val="24"/>
          <w:highlight w:val="none"/>
        </w:rPr>
        <w:t>，以封闭中涂砂浆层的砂眼、气孔及修饰平整中涂层。</w:t>
      </w:r>
    </w:p>
    <w:p w14:paraId="1918CE6C">
      <w:pPr>
        <w:pStyle w:val="14"/>
        <w:ind w:firstLine="480" w:firstLineChars="200"/>
        <w:rPr>
          <w:rFonts w:hint="eastAsia" w:ascii="宋体" w:hAnsi="宋体" w:eastAsia="宋体" w:cs="宋体"/>
          <w:sz w:val="24"/>
          <w:szCs w:val="24"/>
          <w:highlight w:val="none"/>
        </w:rPr>
      </w:pPr>
      <w:r>
        <w:rPr>
          <w:rFonts w:hint="eastAsia" w:hAnsi="宋体" w:cs="宋体"/>
          <w:sz w:val="24"/>
          <w:szCs w:val="24"/>
          <w:highlight w:val="none"/>
          <w:lang w:val="en-US" w:eastAsia="zh-CN"/>
        </w:rPr>
        <w:t>h</w:t>
      </w:r>
      <w:r>
        <w:rPr>
          <w:rFonts w:hint="eastAsia" w:ascii="宋体" w:hAnsi="宋体" w:eastAsia="宋体" w:cs="宋体"/>
          <w:sz w:val="24"/>
          <w:szCs w:val="24"/>
          <w:highlight w:val="none"/>
        </w:rPr>
        <w:t>.施工环氧色漆层：涂刷无溶剂高树脂含量环氧地坪色漆两道，刮涂一遍，滚涂一遍。施工过程注意防护浮尘污染，以保证色漆表面的美观。</w:t>
      </w:r>
    </w:p>
    <w:p w14:paraId="46BA5D19">
      <w:pPr>
        <w:ind w:firstLine="480" w:firstLineChars="200"/>
        <w:rPr>
          <w:rFonts w:hint="eastAsia" w:ascii="宋体" w:hAnsi="宋体" w:cs="宋体"/>
          <w:sz w:val="24"/>
          <w:szCs w:val="24"/>
          <w:lang w:val="en-US" w:eastAsia="zh-CN"/>
        </w:rPr>
      </w:pPr>
      <w:r>
        <w:rPr>
          <w:rFonts w:hint="eastAsia" w:ascii="宋体" w:hAnsi="宋体" w:cs="宋体"/>
          <w:sz w:val="24"/>
          <w:szCs w:val="24"/>
        </w:rPr>
        <w:t>i.打磨，刮涂聚氨酯超耐磨面漆。</w:t>
      </w:r>
      <w:r>
        <w:rPr>
          <w:rFonts w:hint="eastAsia" w:ascii="宋体" w:hAnsi="宋体" w:cs="宋体"/>
          <w:sz w:val="24"/>
          <w:szCs w:val="24"/>
          <w:lang w:val="en-US" w:eastAsia="zh-CN"/>
        </w:rPr>
        <w:t xml:space="preserve"> </w:t>
      </w:r>
    </w:p>
    <w:p w14:paraId="714D1465">
      <w:pPr>
        <w:ind w:firstLine="482" w:firstLineChars="200"/>
        <w:rPr>
          <w:rFonts w:hint="eastAsia" w:ascii="宋体" w:hAnsi="宋体" w:cs="宋体"/>
          <w:b/>
          <w:sz w:val="24"/>
          <w:szCs w:val="24"/>
          <w:lang w:val="en-US" w:eastAsia="zh-CN"/>
        </w:rPr>
      </w:pPr>
    </w:p>
    <w:p w14:paraId="3C80601A">
      <w:pPr>
        <w:ind w:firstLine="482" w:firstLineChars="200"/>
        <w:rPr>
          <w:rFonts w:hint="eastAsia" w:ascii="宋体" w:hAnsi="宋体" w:cs="宋体"/>
          <w:b/>
          <w:sz w:val="24"/>
          <w:szCs w:val="24"/>
          <w:lang w:val="en-US" w:eastAsia="zh-CN"/>
        </w:rPr>
      </w:pPr>
      <w:r>
        <w:rPr>
          <w:rFonts w:hint="eastAsia" w:ascii="宋体" w:hAnsi="宋体" w:cs="宋体"/>
          <w:b/>
          <w:sz w:val="24"/>
          <w:szCs w:val="24"/>
          <w:lang w:val="en-US" w:eastAsia="zh-CN"/>
        </w:rPr>
        <w:t>5、环氧防滑坡道地坪</w:t>
      </w:r>
    </w:p>
    <w:p w14:paraId="45DFBF39">
      <w:pPr>
        <w:pStyle w:val="14"/>
        <w:ind w:firstLine="480" w:firstLineChars="200"/>
        <w:rPr>
          <w:rFonts w:hint="eastAsia"/>
          <w:lang w:val="en-US" w:eastAsia="zh-CN"/>
        </w:rPr>
      </w:pPr>
      <w:r>
        <w:rPr>
          <w:rFonts w:hint="eastAsia" w:ascii="宋体" w:hAnsi="宋体" w:eastAsia="宋体" w:cs="宋体"/>
          <w:sz w:val="24"/>
          <w:szCs w:val="24"/>
        </w:rPr>
        <w:t>施工步骤：</w:t>
      </w:r>
    </w:p>
    <w:p w14:paraId="2671A4E6">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a.</w:t>
      </w:r>
      <w:r>
        <w:rPr>
          <w:rFonts w:hint="eastAsia" w:ascii="宋体" w:hAnsi="宋体" w:eastAsia="宋体" w:cs="宋体"/>
          <w:sz w:val="24"/>
          <w:szCs w:val="24"/>
          <w:lang w:val="en-US" w:eastAsia="zh-CN"/>
        </w:rPr>
        <w:t>基层处理：清除原地坪的水泥疙瘩及其它凸起物；清除原地坪的潮湿部分；对原先地坪的空鼓起壳部分进行填补；对原地坪开裂及有缺陷的孔洞进行修补；</w:t>
      </w:r>
      <w:r>
        <w:rPr>
          <w:rFonts w:hint="eastAsia" w:hAnsi="宋体" w:cs="宋体"/>
          <w:sz w:val="24"/>
          <w:szCs w:val="24"/>
          <w:lang w:val="en-US" w:eastAsia="zh-CN"/>
        </w:rPr>
        <w:t>以上步骤</w:t>
      </w:r>
      <w:r>
        <w:rPr>
          <w:rFonts w:hint="eastAsia" w:ascii="宋体" w:hAnsi="宋体" w:eastAsia="宋体" w:cs="宋体"/>
          <w:sz w:val="24"/>
          <w:szCs w:val="24"/>
          <w:lang w:val="en-US" w:eastAsia="zh-CN"/>
        </w:rPr>
        <w:t>完</w:t>
      </w:r>
      <w:r>
        <w:rPr>
          <w:rFonts w:hint="eastAsia" w:hAnsi="宋体" w:cs="宋体"/>
          <w:sz w:val="24"/>
          <w:szCs w:val="24"/>
          <w:lang w:val="en-US" w:eastAsia="zh-CN"/>
        </w:rPr>
        <w:t>成后，进行打磨处理。</w:t>
      </w:r>
    </w:p>
    <w:p w14:paraId="2DE1C3E8">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b.清理原地面油污与杂质，填补孔洞、地面打磨平整、清洁。</w:t>
      </w:r>
    </w:p>
    <w:p w14:paraId="3DE897B3">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c.滚涂专用渗透底涂层：打磨、清洁后基面整体滚涂渗透型环氧树脂底涂，渗入混凝土，目的在于封闭混凝土毛孔，使混凝土地面牢固整合。 </w:t>
      </w:r>
    </w:p>
    <w:p w14:paraId="5F464035">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d.批刮专用止滑抗压中涂层：待底涂干燥后整体批刮止滑抗压中层；待不粘脚后按设计划线并粘贴美纹纸。</w:t>
      </w:r>
    </w:p>
    <w:p w14:paraId="04047C1A">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e.整体喷撒防滑面层。 </w:t>
      </w:r>
    </w:p>
    <w:p w14:paraId="65978B92">
      <w:pPr>
        <w:pStyle w:val="14"/>
        <w:ind w:firstLine="480" w:firstLineChars="200"/>
        <w:rPr>
          <w:rFonts w:hint="eastAsia" w:hAnsi="宋体" w:cs="宋体"/>
          <w:sz w:val="24"/>
          <w:szCs w:val="24"/>
          <w:highlight w:val="none"/>
          <w:lang w:val="en-US" w:eastAsia="zh-CN"/>
        </w:rPr>
      </w:pPr>
      <w:r>
        <w:rPr>
          <w:rFonts w:hint="eastAsia" w:hAnsi="宋体" w:cs="宋体"/>
          <w:sz w:val="24"/>
          <w:szCs w:val="24"/>
          <w:lang w:val="en-US" w:eastAsia="zh-CN"/>
        </w:rPr>
        <w:t>f.喷涂或滚涂专业止滑车道养护剂，待防滑面层初凝时揭去美纹纸，并在防滑面层干燥时</w:t>
      </w:r>
      <w:r>
        <w:rPr>
          <w:rFonts w:hint="eastAsia" w:hAnsi="宋体" w:cs="宋体"/>
          <w:sz w:val="24"/>
          <w:szCs w:val="24"/>
          <w:highlight w:val="none"/>
          <w:lang w:val="en-US" w:eastAsia="zh-CN"/>
        </w:rPr>
        <w:t xml:space="preserve">滚涂有色环氧面漆来养护车道。 </w:t>
      </w:r>
    </w:p>
    <w:p w14:paraId="73D2CE53">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 xml:space="preserve">g.防滑车道养护。 </w:t>
      </w:r>
    </w:p>
    <w:p w14:paraId="2C7AD7AB">
      <w:pPr>
        <w:pStyle w:val="14"/>
        <w:ind w:firstLine="480" w:firstLineChars="200"/>
        <w:rPr>
          <w:rFonts w:hint="eastAsia" w:hAnsi="宋体" w:cs="宋体"/>
          <w:sz w:val="24"/>
          <w:szCs w:val="24"/>
          <w:highlight w:val="none"/>
          <w:lang w:val="en-US" w:eastAsia="zh-CN"/>
        </w:rPr>
      </w:pPr>
    </w:p>
    <w:p w14:paraId="2097A581">
      <w:pPr>
        <w:ind w:firstLine="482" w:firstLineChars="200"/>
        <w:rPr>
          <w:rFonts w:hint="eastAsia" w:ascii="宋体" w:hAnsi="宋体" w:cs="宋体"/>
          <w:b/>
          <w:sz w:val="24"/>
          <w:szCs w:val="24"/>
          <w:highlight w:val="none"/>
          <w:lang w:val="en-US" w:eastAsia="zh-CN"/>
        </w:rPr>
      </w:pPr>
      <w:r>
        <w:rPr>
          <w:rFonts w:hint="eastAsia" w:ascii="宋体" w:hAnsi="宋体" w:cs="宋体"/>
          <w:b/>
          <w:sz w:val="24"/>
          <w:szCs w:val="24"/>
          <w:highlight w:val="none"/>
          <w:lang w:val="en-US" w:eastAsia="zh-CN"/>
        </w:rPr>
        <w:t>6、环氧防滑橘纹地坪</w:t>
      </w:r>
    </w:p>
    <w:p w14:paraId="3E090E2C">
      <w:pPr>
        <w:pStyle w:val="14"/>
        <w:ind w:firstLine="480" w:firstLineChars="200"/>
        <w:rPr>
          <w:rFonts w:hint="eastAsia"/>
          <w:highlight w:val="none"/>
          <w:lang w:val="en-US" w:eastAsia="zh-CN"/>
        </w:rPr>
      </w:pPr>
      <w:r>
        <w:rPr>
          <w:rFonts w:hint="eastAsia" w:ascii="宋体" w:hAnsi="宋体" w:eastAsia="宋体" w:cs="宋体"/>
          <w:sz w:val="24"/>
          <w:szCs w:val="24"/>
          <w:highlight w:val="none"/>
        </w:rPr>
        <w:t>施工步骤：</w:t>
      </w:r>
    </w:p>
    <w:p w14:paraId="39A91FE4">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a.</w:t>
      </w:r>
      <w:r>
        <w:rPr>
          <w:rFonts w:hint="eastAsia" w:ascii="宋体" w:hAnsi="宋体" w:eastAsia="宋体" w:cs="宋体"/>
          <w:sz w:val="24"/>
          <w:szCs w:val="24"/>
          <w:highlight w:val="none"/>
          <w:lang w:val="en-US" w:eastAsia="zh-CN"/>
        </w:rPr>
        <w:t>基层处理：</w:t>
      </w:r>
      <w:r>
        <w:rPr>
          <w:rFonts w:hint="eastAsia" w:hAnsi="宋体" w:cs="宋体"/>
          <w:sz w:val="24"/>
          <w:szCs w:val="24"/>
          <w:highlight w:val="none"/>
          <w:lang w:val="en-US" w:eastAsia="zh-CN"/>
        </w:rPr>
        <w:t>用无尘打磨机整体打磨，对地面打磨铲除，清扫浮尘，对地坪已开裂部分，用环氧树脂加入石英砂进行批刮修补，再采用磨面机械处理水泥地基面，使地面平整、无脱落、无粉化等情况。</w:t>
      </w:r>
    </w:p>
    <w:p w14:paraId="7694DC29">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 xml:space="preserve">b.环氧树脂封闭底漆施工：将环氧树脂封闭底漆充分搅拌均匀，滚涂或批刮在清扫干净的地面上。待其充分渗透后，如发现局部发白、漏涂或无光亮，依情况可以局部再滚涂一次，以保证底涂的密封效果。 </w:t>
      </w:r>
    </w:p>
    <w:p w14:paraId="2F875AAB">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 xml:space="preserve">c.环氧树脂中涂施工：将环氧树脂中涂材料搅拌均匀，然后在地面上以刮刀全面做一层批覆，填平局部破损处，使表面平整。 </w:t>
      </w:r>
    </w:p>
    <w:p w14:paraId="0615D930">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d.打磨：待环氧树脂砂浆中涂完全干燥后，用磨光机、砂纸等打磨，将批涂产生的刀痕、不平整之处及颗粒打磨掉，并用吸尘器将灰尘处理干净。</w:t>
      </w:r>
    </w:p>
    <w:p w14:paraId="0FDB199D">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e.环氧树脂中涂施工：待地面硬化干燥后全面砂磨，再以吸尘器吸净地面灰尘，然后进行一道石英粉中涂的施工。将环氧树脂中涂材料搅拌均匀，然后在地面上以刮刀全面做一层批覆，填平局部破损处，使表面平整。对于地面开裂处，须进行多次修复，以保证整体的一致性和环氧地坪的抗拉性，保证施工后表面没有明显裂纹显现。</w:t>
      </w:r>
    </w:p>
    <w:p w14:paraId="6ED0D5BA">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 xml:space="preserve">f.环氧树脂防滑橘纹地坪面漆施工（批刮）：待打磨结束之后，进行环氧树脂地坪面漆的施工。将环氧树脂地坪面漆混合均匀，再用专用地坪刮刀整体批刮。 </w:t>
      </w:r>
    </w:p>
    <w:p w14:paraId="7275B4B2">
      <w:pPr>
        <w:pStyle w:val="14"/>
        <w:ind w:firstLine="480" w:firstLineChars="200"/>
        <w:rPr>
          <w:rFonts w:hint="eastAsia" w:ascii="宋体" w:hAnsi="宋体" w:cs="宋体"/>
          <w:b/>
          <w:sz w:val="24"/>
          <w:szCs w:val="24"/>
          <w:highlight w:val="none"/>
          <w:lang w:val="en-US" w:eastAsia="zh-CN"/>
        </w:rPr>
      </w:pPr>
      <w:r>
        <w:rPr>
          <w:rFonts w:hint="eastAsia" w:hAnsi="宋体" w:cs="宋体"/>
          <w:sz w:val="24"/>
          <w:szCs w:val="24"/>
          <w:highlight w:val="none"/>
          <w:lang w:val="en-US" w:eastAsia="zh-CN"/>
        </w:rPr>
        <w:t>g.环氧树脂防滑橘纹地坪面漆施工（滚涂）：待环氧树脂防滑橘纹地坪漆刮涂面漆干燥后，将环氧树脂防滑橘纹地坪面漆材料混合均匀，再用专用地坪拉毛滚筒整体涂布施工。</w:t>
      </w:r>
    </w:p>
    <w:p w14:paraId="0A64DB0F">
      <w:pPr>
        <w:ind w:firstLine="480" w:firstLineChars="200"/>
        <w:rPr>
          <w:rFonts w:hint="eastAsia" w:ascii="宋体" w:hAnsi="宋体" w:cs="宋体"/>
          <w:sz w:val="24"/>
          <w:szCs w:val="24"/>
        </w:rPr>
      </w:pPr>
    </w:p>
    <w:p w14:paraId="6011FEC0">
      <w:pPr>
        <w:ind w:firstLine="482" w:firstLineChars="200"/>
        <w:rPr>
          <w:rFonts w:hint="eastAsia" w:ascii="宋体" w:hAnsi="宋体" w:eastAsia="宋体" w:cs="宋体"/>
          <w:b/>
          <w:sz w:val="24"/>
          <w:szCs w:val="24"/>
        </w:rPr>
      </w:pPr>
      <w:r>
        <w:rPr>
          <w:rFonts w:hint="eastAsia" w:ascii="宋体" w:hAnsi="宋体" w:cs="宋体"/>
          <w:b/>
          <w:sz w:val="24"/>
          <w:szCs w:val="24"/>
          <w:lang w:val="en-US" w:eastAsia="zh-CN"/>
        </w:rPr>
        <w:t>7、</w:t>
      </w:r>
      <w:r>
        <w:rPr>
          <w:rFonts w:hint="eastAsia" w:ascii="宋体" w:hAnsi="宋体" w:eastAsia="宋体" w:cs="宋体"/>
          <w:b/>
          <w:sz w:val="24"/>
          <w:szCs w:val="24"/>
        </w:rPr>
        <w:t>混凝土密封固化</w:t>
      </w:r>
      <w:r>
        <w:rPr>
          <w:rFonts w:hint="eastAsia" w:ascii="宋体" w:hAnsi="宋体" w:cs="宋体"/>
          <w:b/>
          <w:sz w:val="24"/>
          <w:szCs w:val="24"/>
          <w:lang w:val="en-US" w:eastAsia="zh-CN"/>
        </w:rPr>
        <w:t>地坪</w:t>
      </w:r>
    </w:p>
    <w:p w14:paraId="363481AF">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施工步骤：</w:t>
      </w:r>
    </w:p>
    <w:p w14:paraId="437126CE">
      <w:pPr>
        <w:pStyle w:val="14"/>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a.清理修补地面：清洗、清除地面的杂物、油污等，修补地面的坑洞和裂缝。</w:t>
      </w:r>
    </w:p>
    <w:p w14:paraId="4EB8025A">
      <w:pPr>
        <w:pStyle w:val="14"/>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地面裂缝的处理方案：使用切割机将裂缝与切割缝割出“V”型槽，把“V”型槽内的垃圾清理干净，用吸尘器将槽内的粉尘及松散物质彻底清除，先刷一遍粘合剂，再用填补料填补。</w:t>
      </w:r>
    </w:p>
    <w:p w14:paraId="3E672BE3">
      <w:pPr>
        <w:pStyle w:val="14"/>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地面破损处处理方案：清理空鼓及破损坑的杂物，处理干净后，先刷一遍粘合剂，再用填补料将地面破损处填补找平。待填补处固化后，用打磨机打磨找平。</w:t>
      </w:r>
    </w:p>
    <w:p w14:paraId="2F4F35BE">
      <w:pPr>
        <w:pStyle w:val="14"/>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b.打磨：打磨原地面，金刚石60目打磨1-2遍，80目打磨1-2遍，将污渍打磨掉，重新恢复混凝土表面的原色。</w:t>
      </w:r>
    </w:p>
    <w:p w14:paraId="757C8812">
      <w:pPr>
        <w:pStyle w:val="14"/>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c.粗磨：用专业打磨机配树脂磨片进行地面粗磨，50目打磨2-3遍，100目打磨2-3遍，将水泥毛孔充分显露。</w:t>
      </w:r>
    </w:p>
    <w:p w14:paraId="7358B9FD">
      <w:pPr>
        <w:pStyle w:val="14"/>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d.细磨：用树脂磨片200目打磨1-2遍。</w:t>
      </w:r>
    </w:p>
    <w:p w14:paraId="1DD28F14">
      <w:pPr>
        <w:pStyle w:val="14"/>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e.喷洒固化剂：清理地面，均匀地将密封固化剂喷洒到地面上，使固化剂充分渗入地面，进</w:t>
      </w:r>
      <w:r>
        <w:rPr>
          <w:rFonts w:hint="eastAsia" w:ascii="宋体" w:hAnsi="宋体" w:eastAsia="宋体" w:cs="宋体"/>
          <w:sz w:val="24"/>
          <w:szCs w:val="24"/>
          <w:highlight w:val="none"/>
          <w:lang w:val="en-US" w:eastAsia="zh-CN"/>
        </w:rPr>
        <w:t>行充分反应。</w:t>
      </w:r>
    </w:p>
    <w:p w14:paraId="5FF07A22">
      <w:pPr>
        <w:pStyle w:val="14"/>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f.精磨：树脂磨片200目对地面再次进行精磨1遍。</w:t>
      </w:r>
    </w:p>
    <w:p w14:paraId="44E0B3ED">
      <w:pPr>
        <w:pStyle w:val="14"/>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g.喷洒固化剂：清理地面，均匀地将密封固化剂喷洒到地面上，使固化剂充分渗入地面，进行充分反应。</w:t>
      </w:r>
    </w:p>
    <w:p w14:paraId="32062423">
      <w:pPr>
        <w:pStyle w:val="14"/>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h.精磨：再次用树脂磨片对地面进行精磨1遍，使地面手感光滑带有光泽。</w:t>
      </w:r>
    </w:p>
    <w:p w14:paraId="54DF53C8">
      <w:pPr>
        <w:pStyle w:val="14"/>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i.抛光：清理地面，待地面干</w:t>
      </w:r>
      <w:r>
        <w:rPr>
          <w:rFonts w:hint="eastAsia" w:ascii="宋体" w:hAnsi="宋体" w:eastAsia="宋体" w:cs="宋体"/>
          <w:sz w:val="24"/>
          <w:szCs w:val="24"/>
          <w:lang w:val="en-US" w:eastAsia="zh-CN"/>
        </w:rPr>
        <w:t>燥后，对地面进行全面抛光多次。最终使地面有光度泽度，手感细腻，光洁、平整、美观。</w:t>
      </w:r>
    </w:p>
    <w:p w14:paraId="219DC0FD">
      <w:pPr>
        <w:pStyle w:val="14"/>
        <w:rPr>
          <w:rFonts w:hint="eastAsia" w:ascii="宋体" w:hAnsi="宋体" w:eastAsia="宋体" w:cs="宋体"/>
          <w:sz w:val="24"/>
          <w:szCs w:val="24"/>
        </w:rPr>
      </w:pPr>
    </w:p>
    <w:p w14:paraId="34C8E90F">
      <w:pPr>
        <w:ind w:firstLine="482" w:firstLineChars="200"/>
        <w:rPr>
          <w:rFonts w:hint="eastAsia" w:ascii="宋体" w:hAnsi="宋体" w:eastAsia="宋体" w:cs="宋体"/>
          <w:b/>
          <w:sz w:val="24"/>
          <w:szCs w:val="24"/>
          <w:lang w:val="en-US" w:eastAsia="zh-CN"/>
        </w:rPr>
      </w:pPr>
      <w:r>
        <w:rPr>
          <w:rFonts w:hint="eastAsia" w:ascii="宋体" w:hAnsi="宋体" w:cs="宋体"/>
          <w:b/>
          <w:sz w:val="24"/>
          <w:szCs w:val="24"/>
          <w:lang w:val="en-US" w:eastAsia="zh-CN"/>
        </w:rPr>
        <w:t>8、</w:t>
      </w:r>
      <w:r>
        <w:rPr>
          <w:rFonts w:hint="eastAsia" w:ascii="宋体" w:hAnsi="宋体" w:eastAsia="宋体" w:cs="宋体"/>
          <w:b/>
          <w:sz w:val="24"/>
          <w:szCs w:val="24"/>
        </w:rPr>
        <w:t>彩色混凝土密封固化</w:t>
      </w:r>
      <w:r>
        <w:rPr>
          <w:rFonts w:hint="eastAsia" w:ascii="宋体" w:hAnsi="宋体" w:cs="宋体"/>
          <w:b/>
          <w:sz w:val="24"/>
          <w:szCs w:val="24"/>
          <w:lang w:val="en-US" w:eastAsia="zh-CN"/>
        </w:rPr>
        <w:t>地坪</w:t>
      </w:r>
    </w:p>
    <w:p w14:paraId="756CD52D">
      <w:pPr>
        <w:pStyle w:val="14"/>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施工步骤：</w:t>
      </w:r>
    </w:p>
    <w:p w14:paraId="3C356D1B">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a.清理修补地面：清洗、清除地面的杂物、油污等，修补地面的坑洞和裂缝。</w:t>
      </w:r>
    </w:p>
    <w:p w14:paraId="7A7EF977">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地面裂缝的处理方案：使用切割机将裂缝与切割缝割出“V”型槽，把“V”型槽内的垃圾清理干净，用吸尘器将槽内的粉尘及松散物质彻底清除，先刷一遍粘合剂，再用填补料填补。</w:t>
      </w:r>
    </w:p>
    <w:p w14:paraId="5C886BBD">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地面破损处处理方案：清理空鼓及破损坑的杂物，处理干净后，先刷一遍粘合剂，再用填补料将地面破损处填补找平。待填补处固化后，用打磨机打磨找平</w:t>
      </w:r>
    </w:p>
    <w:p w14:paraId="72B6DD3A">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b.打磨：打磨原地面，金刚石60目打磨1-2遍，80目打磨1-2遍，将污渍打磨掉，重新恢复混凝土表面的原色。</w:t>
      </w:r>
    </w:p>
    <w:p w14:paraId="71CF457E">
      <w:pPr>
        <w:pStyle w:val="14"/>
        <w:ind w:firstLine="480" w:firstLineChars="200"/>
        <w:rPr>
          <w:rFonts w:hint="eastAsia" w:hAnsi="宋体" w:cs="宋体"/>
          <w:sz w:val="24"/>
          <w:szCs w:val="24"/>
          <w:highlight w:val="none"/>
          <w:lang w:val="en-US" w:eastAsia="zh-CN"/>
        </w:rPr>
      </w:pPr>
      <w:r>
        <w:rPr>
          <w:rFonts w:hint="eastAsia" w:hAnsi="宋体" w:cs="宋体"/>
          <w:sz w:val="24"/>
          <w:szCs w:val="24"/>
          <w:lang w:val="en-US" w:eastAsia="zh-CN"/>
        </w:rPr>
        <w:t>c.粗磨：用专业打磨机配树脂磨片进行地面粗磨，50目打磨2-3遍，100目打磨2-3遍，将水</w:t>
      </w:r>
      <w:r>
        <w:rPr>
          <w:rFonts w:hint="eastAsia" w:hAnsi="宋体" w:cs="宋体"/>
          <w:sz w:val="24"/>
          <w:szCs w:val="24"/>
          <w:highlight w:val="none"/>
          <w:lang w:val="en-US" w:eastAsia="zh-CN"/>
        </w:rPr>
        <w:t>泥毛孔充分显露。</w:t>
      </w:r>
    </w:p>
    <w:p w14:paraId="321F4763">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d.细磨：用树脂磨片300目水磨1-2遍。</w:t>
      </w:r>
    </w:p>
    <w:p w14:paraId="5DC73F4C">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e.喷洒固化剂：清理地面，均匀地将密封固化剂喷洒到地面上，使固化剂充分渗入地面，进行充分反应。</w:t>
      </w:r>
    </w:p>
    <w:p w14:paraId="283F7B68">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f.精磨：树脂磨片300目对地面再次进行精磨1遍。</w:t>
      </w:r>
    </w:p>
    <w:p w14:paraId="1DEDDD2F">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g.喷洒固化剂：清理地面，均匀地将密封固化剂喷洒到地面上，使固化剂充分渗入地面，进行充分反应。</w:t>
      </w:r>
    </w:p>
    <w:p w14:paraId="30FC0CFF">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h.采用500#树脂磨片水磨地面，研磨后用吸水器洗吸干净地面的污水,完全晾干。</w:t>
      </w:r>
    </w:p>
    <w:p w14:paraId="1EACB795">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i.地面充分晾干后，采用喷雾器喷洒第一遍染色剂。</w:t>
      </w:r>
    </w:p>
    <w:p w14:paraId="37E141BE">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j.用喷雾器喷洒第二遍染色剂。第二次喷洒染色剂时需在干的比较快部分增加涂刷用量，涂抹面积也要增大。</w:t>
      </w:r>
    </w:p>
    <w:p w14:paraId="21CBCEB9">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k.待染色后的地面完全干燥后，采用2000#树脂磨片干磨地面，去除染色地面表面的杂质。</w:t>
      </w:r>
    </w:p>
    <w:p w14:paraId="034590FA">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l.地面染色剂完全晾干后，采用喷水壶对地面喷洒固色剂。用羊毛抛光片对地面进行固色抛光，抛光达到颜色均匀，无遗漏。</w:t>
      </w:r>
    </w:p>
    <w:p w14:paraId="70CBC337">
      <w:pPr>
        <w:ind w:firstLine="482" w:firstLineChars="200"/>
        <w:rPr>
          <w:rFonts w:hint="eastAsia" w:ascii="宋体" w:hAnsi="宋体" w:cs="宋体"/>
          <w:b/>
          <w:sz w:val="24"/>
          <w:szCs w:val="24"/>
          <w:highlight w:val="none"/>
          <w:lang w:val="en-US" w:eastAsia="zh-CN"/>
        </w:rPr>
      </w:pPr>
    </w:p>
    <w:p w14:paraId="4D9DB436">
      <w:pPr>
        <w:ind w:firstLine="482" w:firstLineChars="200"/>
        <w:rPr>
          <w:rFonts w:hint="eastAsia" w:ascii="宋体" w:hAnsi="宋体" w:eastAsia="宋体" w:cs="宋体"/>
          <w:b/>
          <w:color w:val="auto"/>
          <w:sz w:val="24"/>
          <w:szCs w:val="24"/>
          <w:highlight w:val="none"/>
        </w:rPr>
      </w:pPr>
      <w:r>
        <w:rPr>
          <w:rFonts w:hint="eastAsia" w:ascii="宋体" w:hAnsi="宋体" w:cs="宋体"/>
          <w:b/>
          <w:sz w:val="24"/>
          <w:szCs w:val="24"/>
          <w:highlight w:val="none"/>
          <w:lang w:val="en-US" w:eastAsia="zh-CN"/>
        </w:rPr>
        <w:t>9、</w:t>
      </w:r>
      <w:r>
        <w:rPr>
          <w:rFonts w:hint="eastAsia" w:ascii="宋体" w:hAnsi="宋体" w:eastAsia="宋体" w:cs="宋体"/>
          <w:b/>
          <w:sz w:val="24"/>
          <w:szCs w:val="24"/>
          <w:highlight w:val="none"/>
        </w:rPr>
        <w:t>超耐磨罩面亮新</w:t>
      </w:r>
    </w:p>
    <w:p w14:paraId="6FE00476">
      <w:pPr>
        <w:pStyle w:val="14"/>
        <w:ind w:firstLine="480" w:firstLineChars="200"/>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1</w:t>
      </w:r>
      <w:r>
        <w:rPr>
          <w:rFonts w:hint="eastAsia" w:hAnsi="宋体" w:cs="宋体"/>
          <w:sz w:val="24"/>
          <w:szCs w:val="24"/>
          <w:highlight w:val="none"/>
          <w:lang w:eastAsia="zh-CN"/>
        </w:rPr>
        <w:t>）</w:t>
      </w:r>
      <w:r>
        <w:rPr>
          <w:rFonts w:hint="eastAsia" w:ascii="宋体" w:hAnsi="宋体" w:eastAsia="宋体" w:cs="宋体"/>
          <w:sz w:val="24"/>
          <w:szCs w:val="24"/>
          <w:highlight w:val="none"/>
        </w:rPr>
        <w:t>材料及施工要求：聚氨酯砂浆</w:t>
      </w:r>
      <w:r>
        <w:rPr>
          <w:rFonts w:hint="eastAsia" w:hAnsi="宋体" w:cs="宋体"/>
          <w:sz w:val="24"/>
          <w:szCs w:val="24"/>
          <w:highlight w:val="none"/>
          <w:lang w:eastAsia="zh-CN"/>
        </w:rPr>
        <w:t>、</w:t>
      </w:r>
      <w:r>
        <w:rPr>
          <w:rFonts w:hint="eastAsia" w:hAnsi="宋体" w:cs="宋体"/>
          <w:sz w:val="24"/>
          <w:szCs w:val="24"/>
          <w:highlight w:val="none"/>
          <w:lang w:val="en-US" w:eastAsia="zh-CN"/>
        </w:rPr>
        <w:t>面漆</w:t>
      </w:r>
      <w:r>
        <w:rPr>
          <w:rFonts w:hint="eastAsia" w:ascii="宋体" w:hAnsi="宋体" w:eastAsia="宋体" w:cs="宋体"/>
          <w:sz w:val="24"/>
          <w:szCs w:val="24"/>
          <w:highlight w:val="none"/>
        </w:rPr>
        <w:t>平涂。</w:t>
      </w:r>
    </w:p>
    <w:p w14:paraId="462F4CBF">
      <w:pPr>
        <w:pStyle w:val="14"/>
        <w:ind w:firstLine="480" w:firstLineChars="200"/>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2</w:t>
      </w:r>
      <w:r>
        <w:rPr>
          <w:rFonts w:hint="eastAsia" w:hAnsi="宋体" w:cs="宋体"/>
          <w:sz w:val="24"/>
          <w:szCs w:val="24"/>
          <w:highlight w:val="none"/>
          <w:lang w:eastAsia="zh-CN"/>
        </w:rPr>
        <w:t>）</w:t>
      </w:r>
      <w:r>
        <w:rPr>
          <w:rFonts w:hint="eastAsia" w:ascii="宋体" w:hAnsi="宋体" w:eastAsia="宋体" w:cs="宋体"/>
          <w:sz w:val="24"/>
          <w:szCs w:val="24"/>
          <w:highlight w:val="none"/>
        </w:rPr>
        <w:t>要求地坪耐磨、抗重压，表面光滑、美观，能够用抹布、肥皂水或自动清洗器等轻易去除污泽。</w:t>
      </w:r>
    </w:p>
    <w:p w14:paraId="56B7D836">
      <w:pPr>
        <w:pStyle w:val="14"/>
        <w:ind w:firstLine="480" w:firstLineChars="200"/>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3</w:t>
      </w:r>
      <w:r>
        <w:rPr>
          <w:rFonts w:hint="eastAsia" w:hAnsi="宋体" w:cs="宋体"/>
          <w:sz w:val="24"/>
          <w:szCs w:val="24"/>
          <w:highlight w:val="none"/>
          <w:lang w:eastAsia="zh-CN"/>
        </w:rPr>
        <w:t>）</w:t>
      </w:r>
      <w:r>
        <w:rPr>
          <w:rFonts w:hint="eastAsia" w:ascii="宋体" w:hAnsi="宋体" w:eastAsia="宋体" w:cs="宋体"/>
          <w:sz w:val="24"/>
          <w:szCs w:val="24"/>
          <w:highlight w:val="none"/>
        </w:rPr>
        <w:t>颜色：重汽绿、淡灰。</w:t>
      </w:r>
    </w:p>
    <w:p w14:paraId="6D8B9BAF">
      <w:pPr>
        <w:pStyle w:val="14"/>
        <w:ind w:firstLine="480" w:firstLineChars="200"/>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4</w:t>
      </w:r>
      <w:r>
        <w:rPr>
          <w:rFonts w:hint="eastAsia" w:hAnsi="宋体" w:cs="宋体"/>
          <w:sz w:val="24"/>
          <w:szCs w:val="24"/>
          <w:highlight w:val="none"/>
          <w:lang w:eastAsia="zh-CN"/>
        </w:rPr>
        <w:t>）</w:t>
      </w:r>
      <w:r>
        <w:rPr>
          <w:rFonts w:hint="eastAsia" w:ascii="宋体" w:hAnsi="宋体" w:eastAsia="宋体" w:cs="宋体"/>
          <w:sz w:val="24"/>
          <w:szCs w:val="24"/>
          <w:highlight w:val="none"/>
        </w:rPr>
        <w:t>使用环境要求：满足</w:t>
      </w:r>
      <w:r>
        <w:rPr>
          <w:rFonts w:hint="eastAsia" w:hAnsi="宋体" w:cs="宋体"/>
          <w:sz w:val="24"/>
          <w:szCs w:val="24"/>
          <w:highlight w:val="none"/>
          <w:lang w:val="en-US" w:eastAsia="zh-CN"/>
        </w:rPr>
        <w:t>5</w:t>
      </w:r>
      <w:r>
        <w:rPr>
          <w:rFonts w:hint="eastAsia" w:ascii="宋体" w:hAnsi="宋体" w:eastAsia="宋体" w:cs="宋体"/>
          <w:sz w:val="24"/>
          <w:szCs w:val="24"/>
          <w:highlight w:val="none"/>
        </w:rPr>
        <w:t>吨叉车行驶。</w:t>
      </w:r>
    </w:p>
    <w:p w14:paraId="475CCF08">
      <w:pPr>
        <w:pStyle w:val="14"/>
        <w:ind w:firstLine="480" w:firstLineChars="200"/>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5</w:t>
      </w:r>
      <w:r>
        <w:rPr>
          <w:rFonts w:hint="eastAsia" w:hAnsi="宋体" w:cs="宋体"/>
          <w:sz w:val="24"/>
          <w:szCs w:val="24"/>
          <w:highlight w:val="none"/>
          <w:lang w:eastAsia="zh-CN"/>
        </w:rPr>
        <w:t>）</w:t>
      </w:r>
      <w:r>
        <w:rPr>
          <w:rFonts w:hint="eastAsia" w:ascii="宋体" w:hAnsi="宋体" w:eastAsia="宋体" w:cs="宋体"/>
          <w:sz w:val="24"/>
          <w:szCs w:val="24"/>
          <w:highlight w:val="none"/>
        </w:rPr>
        <w:t>要求使用寿命：不低于3年。</w:t>
      </w:r>
    </w:p>
    <w:p w14:paraId="4BE3F30D">
      <w:pPr>
        <w:pStyle w:val="14"/>
        <w:ind w:firstLine="480" w:firstLineChars="200"/>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6</w:t>
      </w:r>
      <w:r>
        <w:rPr>
          <w:rFonts w:hint="eastAsia" w:hAnsi="宋体" w:cs="宋体"/>
          <w:sz w:val="24"/>
          <w:szCs w:val="24"/>
          <w:highlight w:val="none"/>
          <w:lang w:eastAsia="zh-CN"/>
        </w:rPr>
        <w:t>）</w:t>
      </w:r>
      <w:r>
        <w:rPr>
          <w:rFonts w:hint="eastAsia" w:ascii="宋体" w:hAnsi="宋体" w:eastAsia="宋体" w:cs="宋体"/>
          <w:sz w:val="24"/>
          <w:szCs w:val="24"/>
          <w:highlight w:val="none"/>
        </w:rPr>
        <w:t>采用环保材料，无毒、无污染、无放射性、不燃，VOC含量≤60mg/L。</w:t>
      </w:r>
    </w:p>
    <w:p w14:paraId="3E49D6CA">
      <w:pPr>
        <w:pStyle w:val="14"/>
        <w:ind w:firstLine="480" w:firstLineChars="200"/>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7</w:t>
      </w:r>
      <w:r>
        <w:rPr>
          <w:rFonts w:hint="eastAsia" w:hAnsi="宋体" w:cs="宋体"/>
          <w:sz w:val="24"/>
          <w:szCs w:val="24"/>
          <w:highlight w:val="none"/>
          <w:lang w:eastAsia="zh-CN"/>
        </w:rPr>
        <w:t>）</w:t>
      </w:r>
      <w:r>
        <w:rPr>
          <w:rFonts w:hint="eastAsia" w:ascii="宋体" w:hAnsi="宋体" w:eastAsia="宋体" w:cs="宋体"/>
          <w:sz w:val="24"/>
          <w:szCs w:val="24"/>
          <w:highlight w:val="none"/>
        </w:rPr>
        <w:t>施工步骤：</w:t>
      </w:r>
    </w:p>
    <w:p w14:paraId="5893C1D0">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a.打磨、修补破损地面，整体清扫干净。</w:t>
      </w:r>
    </w:p>
    <w:p w14:paraId="3E41EE45">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b.满刮封闭。</w:t>
      </w:r>
    </w:p>
    <w:p w14:paraId="224334B5">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c.馒涂自流平面漆一遍。</w:t>
      </w:r>
    </w:p>
    <w:p w14:paraId="3DDD160A">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d.全面打磨地面1遍。</w:t>
      </w:r>
    </w:p>
    <w:p w14:paraId="6311EE58">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e.整体打磨一遍并清扫干净。</w:t>
      </w:r>
    </w:p>
    <w:p w14:paraId="3E457742">
      <w:pPr>
        <w:pStyle w:val="14"/>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f.刮涂聚氨酯超耐磨。</w:t>
      </w:r>
    </w:p>
    <w:p w14:paraId="30E760B3">
      <w:pPr>
        <w:pStyle w:val="14"/>
        <w:rPr>
          <w:rFonts w:hint="eastAsia" w:ascii="宋体" w:hAnsi="宋体" w:eastAsia="宋体" w:cs="宋体"/>
          <w:sz w:val="24"/>
          <w:szCs w:val="24"/>
          <w:highlight w:val="none"/>
        </w:rPr>
      </w:pPr>
    </w:p>
    <w:p w14:paraId="0E8D4581">
      <w:pPr>
        <w:ind w:firstLine="482" w:firstLineChars="200"/>
        <w:rPr>
          <w:rFonts w:hint="eastAsia" w:ascii="宋体" w:hAnsi="宋体" w:cs="宋体"/>
          <w:b/>
          <w:sz w:val="24"/>
          <w:szCs w:val="24"/>
          <w:highlight w:val="none"/>
        </w:rPr>
      </w:pPr>
      <w:r>
        <w:rPr>
          <w:rFonts w:hint="eastAsia" w:ascii="宋体" w:hAnsi="宋体" w:cs="宋体"/>
          <w:b/>
          <w:sz w:val="24"/>
          <w:szCs w:val="24"/>
          <w:highlight w:val="none"/>
          <w:lang w:val="en-US" w:eastAsia="zh-CN"/>
        </w:rPr>
        <w:t>10、</w:t>
      </w:r>
      <w:r>
        <w:rPr>
          <w:rFonts w:hint="eastAsia" w:ascii="宋体" w:hAnsi="宋体" w:cs="宋体"/>
          <w:b/>
          <w:sz w:val="24"/>
          <w:szCs w:val="24"/>
          <w:highlight w:val="none"/>
        </w:rPr>
        <w:t>聚氨酯罩面彩色标识线</w:t>
      </w:r>
    </w:p>
    <w:p w14:paraId="10FBE49E">
      <w:pPr>
        <w:pStyle w:val="14"/>
        <w:ind w:firstLine="480" w:firstLineChars="200"/>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1</w:t>
      </w:r>
      <w:r>
        <w:rPr>
          <w:rFonts w:hint="eastAsia" w:hAnsi="宋体" w:cs="宋体"/>
          <w:sz w:val="24"/>
          <w:szCs w:val="24"/>
          <w:highlight w:val="none"/>
          <w:lang w:eastAsia="zh-CN"/>
        </w:rPr>
        <w:t>）</w:t>
      </w:r>
      <w:r>
        <w:rPr>
          <w:rFonts w:hint="eastAsia" w:hAnsi="宋体" w:cs="宋体"/>
          <w:sz w:val="24"/>
          <w:szCs w:val="24"/>
          <w:highlight w:val="none"/>
        </w:rPr>
        <w:t>材料及施工要求：聚氨酯划线漆。</w:t>
      </w:r>
    </w:p>
    <w:p w14:paraId="427BE12B">
      <w:pPr>
        <w:pStyle w:val="14"/>
        <w:ind w:firstLine="480" w:firstLineChars="200"/>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2</w:t>
      </w:r>
      <w:r>
        <w:rPr>
          <w:rFonts w:hint="eastAsia" w:hAnsi="宋体" w:cs="宋体"/>
          <w:sz w:val="24"/>
          <w:szCs w:val="24"/>
          <w:highlight w:val="none"/>
          <w:lang w:eastAsia="zh-CN"/>
        </w:rPr>
        <w:t>）</w:t>
      </w:r>
      <w:r>
        <w:rPr>
          <w:rFonts w:hint="eastAsia" w:hAnsi="宋体" w:cs="宋体"/>
          <w:sz w:val="24"/>
          <w:szCs w:val="24"/>
          <w:highlight w:val="none"/>
        </w:rPr>
        <w:t>要求地坪表面光滑、美观，能够用抹布、肥皂水或自动清洗器等轻易去除污泽。</w:t>
      </w:r>
    </w:p>
    <w:p w14:paraId="75F4A8FB">
      <w:pPr>
        <w:pStyle w:val="14"/>
        <w:ind w:firstLine="480" w:firstLineChars="200"/>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3</w:t>
      </w:r>
      <w:r>
        <w:rPr>
          <w:rFonts w:hint="eastAsia" w:hAnsi="宋体" w:cs="宋体"/>
          <w:sz w:val="24"/>
          <w:szCs w:val="24"/>
          <w:highlight w:val="none"/>
          <w:lang w:eastAsia="zh-CN"/>
        </w:rPr>
        <w:t>）</w:t>
      </w:r>
      <w:r>
        <w:rPr>
          <w:rFonts w:hint="eastAsia" w:hAnsi="宋体" w:cs="宋体"/>
          <w:sz w:val="24"/>
          <w:szCs w:val="24"/>
          <w:highlight w:val="none"/>
        </w:rPr>
        <w:t>颜色：黄色+白色。</w:t>
      </w:r>
    </w:p>
    <w:p w14:paraId="5D4CACE3">
      <w:pPr>
        <w:pStyle w:val="14"/>
        <w:ind w:firstLine="480" w:firstLineChars="200"/>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4</w:t>
      </w:r>
      <w:r>
        <w:rPr>
          <w:rFonts w:hint="eastAsia" w:hAnsi="宋体" w:cs="宋体"/>
          <w:sz w:val="24"/>
          <w:szCs w:val="24"/>
          <w:highlight w:val="none"/>
          <w:lang w:eastAsia="zh-CN"/>
        </w:rPr>
        <w:t>）</w:t>
      </w:r>
      <w:r>
        <w:rPr>
          <w:rFonts w:hint="eastAsia" w:hAnsi="宋体" w:cs="宋体"/>
          <w:sz w:val="24"/>
          <w:szCs w:val="24"/>
          <w:highlight w:val="none"/>
        </w:rPr>
        <w:t>使用环境要求：满足</w:t>
      </w:r>
      <w:r>
        <w:rPr>
          <w:rFonts w:hint="eastAsia" w:hAnsi="宋体" w:cs="宋体"/>
          <w:sz w:val="24"/>
          <w:szCs w:val="24"/>
          <w:highlight w:val="none"/>
          <w:lang w:val="en-US" w:eastAsia="zh-CN"/>
        </w:rPr>
        <w:t>5</w:t>
      </w:r>
      <w:r>
        <w:rPr>
          <w:rFonts w:hint="eastAsia" w:hAnsi="宋体" w:cs="宋体"/>
          <w:sz w:val="24"/>
          <w:szCs w:val="24"/>
          <w:highlight w:val="none"/>
        </w:rPr>
        <w:t>吨叉车行驶。</w:t>
      </w:r>
    </w:p>
    <w:p w14:paraId="42274F7D">
      <w:pPr>
        <w:pStyle w:val="14"/>
        <w:ind w:firstLine="480" w:firstLineChars="200"/>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5</w:t>
      </w:r>
      <w:r>
        <w:rPr>
          <w:rFonts w:hint="eastAsia" w:hAnsi="宋体" w:cs="宋体"/>
          <w:sz w:val="24"/>
          <w:szCs w:val="24"/>
          <w:highlight w:val="none"/>
          <w:lang w:eastAsia="zh-CN"/>
        </w:rPr>
        <w:t>）</w:t>
      </w:r>
      <w:r>
        <w:rPr>
          <w:rFonts w:hint="eastAsia" w:hAnsi="宋体" w:cs="宋体"/>
          <w:sz w:val="24"/>
          <w:szCs w:val="24"/>
          <w:highlight w:val="none"/>
        </w:rPr>
        <w:t>要求使用寿命：不低于2年。</w:t>
      </w:r>
    </w:p>
    <w:p w14:paraId="26C64F37">
      <w:pPr>
        <w:pStyle w:val="14"/>
        <w:ind w:firstLine="480" w:firstLineChars="200"/>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6</w:t>
      </w:r>
      <w:r>
        <w:rPr>
          <w:rFonts w:hint="eastAsia" w:hAnsi="宋体" w:cs="宋体"/>
          <w:sz w:val="24"/>
          <w:szCs w:val="24"/>
          <w:highlight w:val="none"/>
          <w:lang w:eastAsia="zh-CN"/>
        </w:rPr>
        <w:t>）</w:t>
      </w:r>
      <w:r>
        <w:rPr>
          <w:rFonts w:hint="eastAsia" w:hAnsi="宋体" w:cs="宋体"/>
          <w:sz w:val="24"/>
          <w:szCs w:val="24"/>
          <w:highlight w:val="none"/>
        </w:rPr>
        <w:t>采用环保材料，无毒、无污染、无放射性、不燃，VOC含量≤60mg/L。</w:t>
      </w:r>
    </w:p>
    <w:p w14:paraId="0C29151A">
      <w:pPr>
        <w:pStyle w:val="14"/>
        <w:ind w:firstLine="480" w:firstLineChars="200"/>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7</w:t>
      </w:r>
      <w:r>
        <w:rPr>
          <w:rFonts w:hint="eastAsia" w:hAnsi="宋体" w:cs="宋体"/>
          <w:sz w:val="24"/>
          <w:szCs w:val="24"/>
          <w:highlight w:val="none"/>
          <w:lang w:eastAsia="zh-CN"/>
        </w:rPr>
        <w:t>）</w:t>
      </w:r>
      <w:r>
        <w:rPr>
          <w:rFonts w:hint="eastAsia" w:hAnsi="宋体" w:cs="宋体"/>
          <w:sz w:val="24"/>
          <w:szCs w:val="24"/>
          <w:highlight w:val="none"/>
        </w:rPr>
        <w:t>施工步骤：</w:t>
      </w:r>
    </w:p>
    <w:p w14:paraId="74D71316">
      <w:pPr>
        <w:pStyle w:val="14"/>
        <w:ind w:firstLine="480" w:firstLineChars="200"/>
        <w:rPr>
          <w:rFonts w:hint="eastAsia" w:hAnsi="宋体" w:cs="宋体"/>
          <w:sz w:val="24"/>
          <w:szCs w:val="24"/>
          <w:highlight w:val="none"/>
        </w:rPr>
      </w:pPr>
      <w:r>
        <w:rPr>
          <w:rFonts w:hint="eastAsia" w:hAnsi="宋体" w:cs="宋体"/>
          <w:sz w:val="24"/>
          <w:szCs w:val="24"/>
          <w:highlight w:val="none"/>
        </w:rPr>
        <w:t>清理地面，滚涂不少于2遍聚氨酯划线漆。</w:t>
      </w:r>
    </w:p>
    <w:p w14:paraId="6D048BC4">
      <w:pPr>
        <w:pStyle w:val="14"/>
        <w:rPr>
          <w:rFonts w:hint="eastAsia" w:ascii="宋体" w:hAnsi="宋体" w:eastAsia="宋体" w:cs="宋体"/>
          <w:sz w:val="24"/>
          <w:szCs w:val="24"/>
          <w:highlight w:val="none"/>
        </w:rPr>
      </w:pPr>
    </w:p>
    <w:p w14:paraId="78670D53">
      <w:pPr>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p w14:paraId="0FE74EFF">
      <w:pPr>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cs="宋体"/>
          <w:b/>
          <w:sz w:val="24"/>
          <w:szCs w:val="24"/>
          <w:highlight w:val="none"/>
          <w:lang w:val="en-US" w:eastAsia="zh-CN"/>
        </w:rPr>
        <w:t>.</w:t>
      </w:r>
      <w:r>
        <w:rPr>
          <w:rFonts w:hint="eastAsia" w:ascii="宋体" w:hAnsi="宋体" w:eastAsia="宋体" w:cs="宋体"/>
          <w:b/>
          <w:sz w:val="24"/>
          <w:szCs w:val="24"/>
          <w:highlight w:val="none"/>
        </w:rPr>
        <w:t>对于柱子底端及墙角，大型机器无法打磨或抛光的地方，用手磨机进行打磨或抛光，使地面平整度及光泽度保持一致。</w:t>
      </w:r>
    </w:p>
    <w:p w14:paraId="5F591379">
      <w:pPr>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cs="宋体"/>
          <w:b/>
          <w:sz w:val="24"/>
          <w:szCs w:val="24"/>
          <w:highlight w:val="none"/>
          <w:lang w:val="en-US" w:eastAsia="zh-CN"/>
        </w:rPr>
        <w:t>.</w:t>
      </w:r>
      <w:r>
        <w:rPr>
          <w:rFonts w:hint="eastAsia" w:ascii="宋体" w:hAnsi="宋体" w:eastAsia="宋体" w:cs="宋体"/>
          <w:b/>
          <w:sz w:val="24"/>
          <w:szCs w:val="24"/>
          <w:highlight w:val="none"/>
        </w:rPr>
        <w:t>质保期统一要求3年。</w:t>
      </w:r>
    </w:p>
    <w:p w14:paraId="10E1F383">
      <w:pPr>
        <w:ind w:firstLine="482" w:firstLineChars="200"/>
        <w:jc w:val="center"/>
        <w:rPr>
          <w:rFonts w:hint="eastAsia" w:ascii="宋体" w:hAnsi="宋体" w:eastAsia="宋体" w:cs="宋体"/>
          <w:b/>
          <w:sz w:val="24"/>
          <w:szCs w:val="24"/>
          <w:highlight w:val="none"/>
        </w:rPr>
      </w:pPr>
    </w:p>
    <w:p w14:paraId="6607B74F">
      <w:pPr>
        <w:pStyle w:val="14"/>
        <w:spacing w:line="360" w:lineRule="auto"/>
        <w:ind w:firstLine="482" w:firstLineChars="200"/>
        <w:rPr>
          <w:rFonts w:hint="eastAsia" w:cs="仿宋" w:asciiTheme="minorEastAsia" w:hAnsiTheme="minorEastAsia" w:eastAsiaTheme="minorEastAsia"/>
          <w:b/>
          <w:bCs/>
          <w:sz w:val="24"/>
          <w:szCs w:val="24"/>
          <w:highlight w:val="none"/>
          <w:lang w:val="en-US" w:eastAsia="zh-CN"/>
        </w:rPr>
      </w:pPr>
      <w:r>
        <w:rPr>
          <w:rFonts w:hint="eastAsia" w:cs="仿宋" w:asciiTheme="minorEastAsia" w:hAnsiTheme="minorEastAsia" w:eastAsiaTheme="minorEastAsia"/>
          <w:b/>
          <w:bCs/>
          <w:sz w:val="24"/>
          <w:szCs w:val="24"/>
          <w:highlight w:val="none"/>
          <w:lang w:val="en-US" w:eastAsia="zh-CN"/>
        </w:rPr>
        <w:t>三、施工要求</w:t>
      </w:r>
    </w:p>
    <w:p w14:paraId="030AB002">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1.施工方在施工现场必须配备足够满足本项目需要的具有一定实践经验的工程技术人员；</w:t>
      </w:r>
    </w:p>
    <w:p w14:paraId="6AD0FD48">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2.施工方在施工中要严格按照国家、行业标准和企业规范，并随时接受发包方的检查。</w:t>
      </w:r>
    </w:p>
    <w:p w14:paraId="297B1888">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3.施工方在施工中必须严格按施工工艺要求操作，保证施工质量。</w:t>
      </w:r>
    </w:p>
    <w:p w14:paraId="0EE93810">
      <w:pPr>
        <w:pStyle w:val="14"/>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4.施工过程中的水、电、气等能源均由业主免费提供。</w:t>
      </w:r>
    </w:p>
    <w:p w14:paraId="00D42397">
      <w:pPr>
        <w:pStyle w:val="14"/>
        <w:ind w:firstLine="480" w:firstLineChars="200"/>
        <w:rPr>
          <w:rFonts w:hint="eastAsia" w:hAnsi="宋体" w:cs="宋体"/>
          <w:sz w:val="24"/>
          <w:szCs w:val="24"/>
          <w:lang w:val="en-US" w:eastAsia="zh-CN"/>
        </w:rPr>
      </w:pPr>
      <w:r>
        <w:rPr>
          <w:rFonts w:hint="eastAsia" w:hAnsi="宋体" w:cs="宋体"/>
          <w:sz w:val="24"/>
          <w:szCs w:val="24"/>
          <w:highlight w:val="none"/>
          <w:lang w:val="en-US" w:eastAsia="zh-CN"/>
        </w:rPr>
        <w:t>5.对进场的材料须是国内知名厂家的产品。必须符合合同要求和国家有关标准，具有出厂合格证，注明厂名、产品型号、规格、出厂日期和检查编号等。材料质</w:t>
      </w:r>
      <w:r>
        <w:rPr>
          <w:rFonts w:hint="eastAsia" w:hAnsi="宋体" w:cs="宋体"/>
          <w:sz w:val="24"/>
          <w:szCs w:val="24"/>
          <w:lang w:val="en-US" w:eastAsia="zh-CN"/>
        </w:rPr>
        <w:t>量应符合国家或部颁标准。每批材料应有合格证或质保书。。</w:t>
      </w:r>
    </w:p>
    <w:p w14:paraId="52DEF23D">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6.对施工中完成的阶段成果（隐蔽工程、分项工程、主要部位），由施工方提出申请，业主方组织检验和验收，签署阶段成果检验验收记录。</w:t>
      </w:r>
    </w:p>
    <w:p w14:paraId="4E2E4CA6">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7.如果在施工或调试过程中发生质量事故，施工方应及时查明原因，制订解决方案，并以书面形式报告业主，并按商定的处理方案实施。</w:t>
      </w:r>
    </w:p>
    <w:p w14:paraId="14908102">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8.如果施工方不能满足质量要求而被业主责令停工超过两次，业主有权要求施工方停工并撤出施工现场。本合同终止，施工方承担违约责任。</w:t>
      </w:r>
    </w:p>
    <w:p w14:paraId="7C78C4A5">
      <w:pPr>
        <w:pStyle w:val="14"/>
        <w:spacing w:line="360" w:lineRule="auto"/>
        <w:ind w:firstLine="482" w:firstLineChars="200"/>
        <w:rPr>
          <w:rFonts w:hint="eastAsia" w:cs="仿宋" w:asciiTheme="minorEastAsia" w:hAnsiTheme="minorEastAsia" w:eastAsiaTheme="minorEastAsia"/>
          <w:b/>
          <w:bCs/>
          <w:sz w:val="24"/>
          <w:szCs w:val="24"/>
          <w:highlight w:val="none"/>
          <w:lang w:val="en-US" w:eastAsia="zh-CN"/>
        </w:rPr>
      </w:pPr>
      <w:r>
        <w:rPr>
          <w:rFonts w:hint="eastAsia" w:cs="仿宋" w:asciiTheme="minorEastAsia" w:hAnsiTheme="minorEastAsia" w:eastAsiaTheme="minorEastAsia"/>
          <w:b/>
          <w:bCs/>
          <w:sz w:val="24"/>
          <w:szCs w:val="24"/>
          <w:highlight w:val="none"/>
          <w:lang w:val="en-US" w:eastAsia="zh-CN"/>
        </w:rPr>
        <w:t>四、工程进度</w:t>
      </w:r>
    </w:p>
    <w:p w14:paraId="6FBD871C">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1.业主将随时检查和监督施工方施工进度执行情况，并协调各方，使外部环境条件能满足施工要求。</w:t>
      </w:r>
    </w:p>
    <w:p w14:paraId="03EA7E00">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2.由于施工方原因而未能按业主规定的时间按期交工验收，施工方要承担违约责任和经济处罚。</w:t>
      </w:r>
    </w:p>
    <w:p w14:paraId="7669DF8C">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3.施工方要尽可能的做好保障工期的各种预案，对于遇重污染天气，市政府要求的停产停工造成的工期延误情况，由施工方自行承担。</w:t>
      </w:r>
    </w:p>
    <w:p w14:paraId="61E8FF92">
      <w:pPr>
        <w:pStyle w:val="14"/>
        <w:spacing w:line="360" w:lineRule="auto"/>
        <w:ind w:firstLine="482" w:firstLineChars="200"/>
        <w:rPr>
          <w:rFonts w:hint="eastAsia" w:cs="仿宋" w:asciiTheme="minorEastAsia" w:hAnsiTheme="minorEastAsia" w:eastAsiaTheme="minorEastAsia"/>
          <w:b/>
          <w:bCs/>
          <w:sz w:val="24"/>
          <w:szCs w:val="24"/>
          <w:highlight w:val="none"/>
          <w:lang w:val="en-US" w:eastAsia="zh-CN"/>
        </w:rPr>
      </w:pPr>
      <w:r>
        <w:rPr>
          <w:rFonts w:hint="eastAsia" w:cs="仿宋" w:asciiTheme="minorEastAsia" w:hAnsiTheme="minorEastAsia" w:eastAsiaTheme="minorEastAsia"/>
          <w:b/>
          <w:bCs/>
          <w:sz w:val="24"/>
          <w:szCs w:val="24"/>
          <w:highlight w:val="none"/>
          <w:lang w:val="en-US" w:eastAsia="zh-CN"/>
        </w:rPr>
        <w:t>五、文明施工</w:t>
      </w:r>
    </w:p>
    <w:p w14:paraId="0125AB9A">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1.施工方应建立管理制度，保证施工现场井然有序。</w:t>
      </w:r>
    </w:p>
    <w:p w14:paraId="6475FA4D">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2.施工方在施工过程中应负责对现场的一切设施和施工工程的成品、半成品进行保护并承担费用。</w:t>
      </w:r>
    </w:p>
    <w:p w14:paraId="581AD4EA">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3.施工方应有统一着装（工作服），费用由施工方负担。</w:t>
      </w:r>
    </w:p>
    <w:p w14:paraId="6A2C37C6">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4.施工方业主存在交叉作业的情况下，应保证业主工作的正常进行。</w:t>
      </w:r>
    </w:p>
    <w:p w14:paraId="3CB29B2D">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5.施工方的施工设备、工具箱和材料等不允许堆放在通道上。施工方制作的半成品、部件等未安装前应码放整齐。</w:t>
      </w:r>
    </w:p>
    <w:p w14:paraId="0317A185">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6.施工方应保持本单位施工区域内的清洁卫生，每天下午下班后必须整理、清扫干净施工的设备和场地，废料集中放置，垃圾倒在指定地方。</w:t>
      </w:r>
    </w:p>
    <w:p w14:paraId="77C930C4">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7.凡使用电焊机、切割机、砂轮机等设备作业时，应注意周围环境，避免焊渣、火星乱溅而影响他人作业或损坏设备及地面，切割机、角磨机必须有防护罩。</w:t>
      </w:r>
    </w:p>
    <w:p w14:paraId="060E9378">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8.施工方应安排好其施工人员的食宿，保证施工人员的身体健康，费用施工方自理。</w:t>
      </w:r>
    </w:p>
    <w:p w14:paraId="3913CBA6">
      <w:pPr>
        <w:pStyle w:val="14"/>
        <w:spacing w:line="360" w:lineRule="auto"/>
        <w:ind w:firstLine="482" w:firstLineChars="200"/>
        <w:rPr>
          <w:rFonts w:hint="eastAsia" w:cs="仿宋" w:asciiTheme="minorEastAsia" w:hAnsiTheme="minorEastAsia" w:eastAsiaTheme="minorEastAsia"/>
          <w:b/>
          <w:bCs/>
          <w:sz w:val="24"/>
          <w:szCs w:val="24"/>
          <w:highlight w:val="none"/>
          <w:lang w:val="en-US" w:eastAsia="zh-CN"/>
        </w:rPr>
      </w:pPr>
      <w:r>
        <w:rPr>
          <w:rFonts w:hint="eastAsia" w:cs="仿宋" w:asciiTheme="minorEastAsia" w:hAnsiTheme="minorEastAsia" w:eastAsiaTheme="minorEastAsia"/>
          <w:b/>
          <w:bCs/>
          <w:sz w:val="24"/>
          <w:szCs w:val="24"/>
          <w:highlight w:val="none"/>
          <w:lang w:val="en-US" w:eastAsia="zh-CN"/>
        </w:rPr>
        <w:t>六、工期</w:t>
      </w:r>
    </w:p>
    <w:p w14:paraId="51D10166">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施工工期按照各单位具体要求，施工时不能影响生产，可根据生产要求进行多次分片、分布实施，施工现场应设置隔离柱、警戒线等。</w:t>
      </w:r>
    </w:p>
    <w:p w14:paraId="51C32073">
      <w:pPr>
        <w:pStyle w:val="14"/>
        <w:spacing w:line="360" w:lineRule="auto"/>
        <w:ind w:firstLine="482" w:firstLineChars="200"/>
        <w:rPr>
          <w:rFonts w:hint="eastAsia" w:cs="仿宋" w:asciiTheme="minorEastAsia" w:hAnsiTheme="minorEastAsia" w:eastAsiaTheme="minorEastAsia"/>
          <w:b/>
          <w:bCs/>
          <w:sz w:val="24"/>
          <w:szCs w:val="24"/>
          <w:highlight w:val="none"/>
          <w:lang w:val="en-US" w:eastAsia="zh-CN"/>
        </w:rPr>
      </w:pPr>
      <w:r>
        <w:rPr>
          <w:rFonts w:hint="eastAsia" w:cs="仿宋" w:asciiTheme="minorEastAsia" w:hAnsiTheme="minorEastAsia" w:eastAsiaTheme="minorEastAsia"/>
          <w:b/>
          <w:bCs/>
          <w:sz w:val="24"/>
          <w:szCs w:val="24"/>
          <w:highlight w:val="none"/>
          <w:lang w:val="en-US" w:eastAsia="zh-CN"/>
        </w:rPr>
        <w:t>七、安全要求</w:t>
      </w:r>
    </w:p>
    <w:p w14:paraId="61C86CAA">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1.施工方应对其施工人员进行安全教育，并对他们的安全负责，保证施工现场的各项作业均遵守相关的国家安全标准规范，严禁违章操作。</w:t>
      </w:r>
    </w:p>
    <w:p w14:paraId="659BA61A">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2.施工方要遵守发包方单位内部的各项规章制度，按要求办理各种安全、出入等手续，接收安全监督和考核，手续费用由施工方负担。</w:t>
      </w:r>
    </w:p>
    <w:p w14:paraId="2697A9FB">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3.施工单位在施工前必须到业主有关部门办理动火手续，现场施工人员必须备有动火手续复印件，以备有关部门检查。</w:t>
      </w:r>
    </w:p>
    <w:p w14:paraId="4B036FFF">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4.工程开工前, 施工方应为建设工程、施工设备和施工场地内的自有人员及第三人人员生命财产办理保险，支付保险费用。如果因施工方未办理保险而造成的任何损失全部由施工方负责。</w:t>
      </w:r>
    </w:p>
    <w:p w14:paraId="4ECF3621">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5.施工人员进入施工现场必须穿戴安全帽、工作服和工作鞋，特殊工种要配置相应的劳保服装和工具。</w:t>
      </w:r>
    </w:p>
    <w:p w14:paraId="1FAE7C4B">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6.施工方应在其施工区域内设置安全警示标志，特殊区域、特殊位置应专门设置有针对性的安全警示标志。</w:t>
      </w:r>
    </w:p>
    <w:p w14:paraId="046285F3">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7.施工方应由专业电工负责本单位施工所用设备的临时供电和线路的安全检查。在施工现场，非电工人员不得擅自插接电源。</w:t>
      </w:r>
    </w:p>
    <w:p w14:paraId="2E82759E">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8.施工过程中凡利用厂房建筑结构作为起吊或搬运设备承力点时，必须书面申请并得到批准后方可操作。如果未经过批准或超负荷使用，责任人将承担发生的一切后果。</w:t>
      </w:r>
    </w:p>
    <w:p w14:paraId="3E5EF4B3">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9.电、焊、气割、起重、升降机、登高架设作业、汽车驾驶等特殊工种必须持有国家相关部门颁发的特种作业人员操作证上岗，决不允许无证人员上岗操作。涉及危险作业（动火、有限空间、临时线、高空作业等）的必须按照业主方相关规定办理审批手续。</w:t>
      </w:r>
    </w:p>
    <w:p w14:paraId="17AD19A1">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10.电焊机、切割机、砂轮机、气瓶等设备应按安全标准规范合理摆放、固定和使用。</w:t>
      </w:r>
    </w:p>
    <w:p w14:paraId="54F911B4">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11.高空作业应有安全保护措施。对生产过程中的吊装、运输等危险性较大的工作必须责任到人，并派专人指挥。起吊重物时必须先检查吊具、吊索的工作状态，捆扎牢固，有棱角的物件加垫物，防止磨损或割断绳索。</w:t>
      </w:r>
    </w:p>
    <w:p w14:paraId="25FCD6D3">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12.不得雇佣年老体弱及不具备施工能力的员工，由此出现的问题由施工方自行承担。</w:t>
      </w:r>
    </w:p>
    <w:p w14:paraId="587009E5">
      <w:pPr>
        <w:pStyle w:val="14"/>
        <w:spacing w:line="360" w:lineRule="auto"/>
        <w:ind w:firstLine="482" w:firstLineChars="200"/>
        <w:rPr>
          <w:rFonts w:hint="eastAsia" w:cs="仿宋" w:asciiTheme="minorEastAsia" w:hAnsiTheme="minorEastAsia" w:eastAsiaTheme="minorEastAsia"/>
          <w:b/>
          <w:bCs/>
          <w:sz w:val="24"/>
          <w:szCs w:val="24"/>
          <w:highlight w:val="none"/>
          <w:lang w:val="en-US" w:eastAsia="zh-CN"/>
        </w:rPr>
      </w:pPr>
      <w:r>
        <w:rPr>
          <w:rFonts w:hint="eastAsia" w:cs="仿宋" w:asciiTheme="minorEastAsia" w:hAnsiTheme="minorEastAsia" w:eastAsiaTheme="minorEastAsia"/>
          <w:b/>
          <w:bCs/>
          <w:sz w:val="24"/>
          <w:szCs w:val="24"/>
          <w:highlight w:val="none"/>
          <w:lang w:val="en-US" w:eastAsia="zh-CN"/>
        </w:rPr>
        <w:t>八、环保要求</w:t>
      </w:r>
    </w:p>
    <w:p w14:paraId="2F6128BA">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1.现场需作降尘处理，防止扬尘污染环境。</w:t>
      </w:r>
    </w:p>
    <w:p w14:paraId="21BF401E">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2.严禁将污水排放至雨水管道。</w:t>
      </w:r>
    </w:p>
    <w:p w14:paraId="3C1FECB5">
      <w:pPr>
        <w:pStyle w:val="14"/>
        <w:spacing w:line="360" w:lineRule="auto"/>
        <w:ind w:firstLine="482" w:firstLineChars="200"/>
        <w:rPr>
          <w:rFonts w:hint="eastAsia" w:cs="仿宋" w:asciiTheme="minorEastAsia" w:hAnsiTheme="minorEastAsia" w:eastAsiaTheme="minorEastAsia"/>
          <w:b/>
          <w:bCs/>
          <w:sz w:val="24"/>
          <w:szCs w:val="24"/>
          <w:highlight w:val="none"/>
          <w:lang w:val="en-US" w:eastAsia="zh-CN"/>
        </w:rPr>
      </w:pPr>
      <w:r>
        <w:rPr>
          <w:rFonts w:hint="eastAsia" w:cs="仿宋" w:asciiTheme="minorEastAsia" w:hAnsiTheme="minorEastAsia" w:eastAsiaTheme="minorEastAsia"/>
          <w:b/>
          <w:bCs/>
          <w:sz w:val="24"/>
          <w:szCs w:val="24"/>
          <w:highlight w:val="none"/>
          <w:lang w:val="en-US" w:eastAsia="zh-CN"/>
        </w:rPr>
        <w:t>九、质保期</w:t>
      </w:r>
    </w:p>
    <w:p w14:paraId="763DDB92">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所有施工工程的质保期均按照行业规定。</w:t>
      </w:r>
    </w:p>
    <w:p w14:paraId="2762E5D8">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质量保修期自工程竣工验收合格之日起计算，质保期为3年，施工方在质保期内负责对工程质量进行包修，费用由责任方承担。在质保期内，承包内容出现的任何质量问题，施工方在接到业主的通知后24小时内到达现场整改，并按要求期限整改。</w:t>
      </w:r>
    </w:p>
    <w:p w14:paraId="5DA07E8E">
      <w:pPr>
        <w:pStyle w:val="14"/>
        <w:spacing w:line="360" w:lineRule="auto"/>
        <w:ind w:firstLine="482" w:firstLineChars="200"/>
        <w:rPr>
          <w:rFonts w:hint="eastAsia" w:cs="仿宋" w:asciiTheme="minorEastAsia" w:hAnsiTheme="minorEastAsia" w:eastAsiaTheme="minorEastAsia"/>
          <w:b/>
          <w:bCs/>
          <w:sz w:val="24"/>
          <w:szCs w:val="24"/>
          <w:highlight w:val="none"/>
          <w:lang w:val="en-US" w:eastAsia="zh-CN"/>
        </w:rPr>
      </w:pPr>
      <w:r>
        <w:rPr>
          <w:rFonts w:hint="eastAsia" w:cs="仿宋" w:asciiTheme="minorEastAsia" w:hAnsiTheme="minorEastAsia" w:eastAsiaTheme="minorEastAsia"/>
          <w:b/>
          <w:bCs/>
          <w:sz w:val="24"/>
          <w:szCs w:val="24"/>
          <w:highlight w:val="none"/>
          <w:lang w:val="en-US" w:eastAsia="zh-CN"/>
        </w:rPr>
        <w:t>十、其他</w:t>
      </w:r>
    </w:p>
    <w:p w14:paraId="17FA1749">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1.其余未尽事宜，投标人应与招标人指派的答疑人员充分沟通，理解认可并接受相关技术规范及服务要求。</w:t>
      </w:r>
    </w:p>
    <w:p w14:paraId="648A8D3F">
      <w:pPr>
        <w:pStyle w:val="14"/>
        <w:ind w:firstLine="480" w:firstLineChars="200"/>
        <w:rPr>
          <w:rFonts w:hint="eastAsia" w:hAnsi="宋体" w:cs="宋体"/>
          <w:sz w:val="24"/>
          <w:szCs w:val="24"/>
          <w:lang w:val="en-US" w:eastAsia="zh-CN"/>
        </w:rPr>
      </w:pPr>
      <w:r>
        <w:rPr>
          <w:rFonts w:hint="eastAsia" w:hAnsi="宋体" w:cs="宋体"/>
          <w:sz w:val="24"/>
          <w:szCs w:val="24"/>
          <w:lang w:val="en-US" w:eastAsia="zh-CN"/>
        </w:rPr>
        <w:t>2.所派驻的业务经理和施工人员应保证不来自于新冠肺炎的疫区；未接触过疫区人员；未接触过疑似和确诊病例。</w:t>
      </w:r>
    </w:p>
    <w:p w14:paraId="4ED54516">
      <w:pPr>
        <w:rPr>
          <w:rFonts w:hint="eastAsia" w:ascii="宋体" w:hAnsi="宋体" w:eastAsia="宋体" w:cs="宋体"/>
          <w:b/>
          <w:szCs w:val="21"/>
        </w:rPr>
      </w:pPr>
    </w:p>
    <w:p w14:paraId="7939E321">
      <w:pPr>
        <w:widowControl/>
        <w:spacing w:line="440" w:lineRule="exact"/>
        <w:ind w:firstLine="486" w:firstLineChars="200"/>
        <w:rPr>
          <w:rFonts w:hint="eastAsia" w:ascii="宋体" w:hAnsi="宋体" w:eastAsia="宋体" w:cs="宋体"/>
          <w:b/>
          <w:color w:val="000000"/>
          <w:spacing w:val="1"/>
          <w:sz w:val="24"/>
          <w:szCs w:val="24"/>
          <w:lang w:val="en-US" w:eastAsia="zh-CN"/>
        </w:rPr>
      </w:pPr>
    </w:p>
    <w:p w14:paraId="030E7396">
      <w:pPr>
        <w:pStyle w:val="14"/>
        <w:spacing w:line="360" w:lineRule="auto"/>
        <w:jc w:val="center"/>
        <w:rPr>
          <w:rFonts w:ascii="黑体" w:eastAsia="黑体"/>
          <w:b/>
          <w:bCs/>
          <w:color w:val="000000"/>
          <w:sz w:val="36"/>
          <w:szCs w:val="36"/>
        </w:rPr>
      </w:pPr>
      <w:r>
        <w:rPr>
          <w:rFonts w:hint="eastAsia" w:hAnsi="宋体" w:cs="宋体"/>
          <w:b/>
          <w:bCs/>
          <w:color w:val="000000"/>
          <w:sz w:val="36"/>
          <w:szCs w:val="36"/>
        </w:rPr>
        <w:t>第</w:t>
      </w:r>
      <w:r>
        <w:rPr>
          <w:rFonts w:hint="eastAsia" w:hAnsi="宋体" w:cs="宋体"/>
          <w:b/>
          <w:bCs/>
          <w:color w:val="000000"/>
          <w:sz w:val="36"/>
          <w:szCs w:val="36"/>
          <w:lang w:val="en-US" w:eastAsia="zh-CN"/>
        </w:rPr>
        <w:t>三</w:t>
      </w:r>
      <w:r>
        <w:rPr>
          <w:rFonts w:hint="eastAsia" w:hAnsi="宋体" w:cs="宋体"/>
          <w:b/>
          <w:bCs/>
          <w:color w:val="000000"/>
          <w:sz w:val="36"/>
          <w:szCs w:val="36"/>
        </w:rPr>
        <w:t>部分  投标人须知</w:t>
      </w:r>
    </w:p>
    <w:p w14:paraId="79D03B3F">
      <w:pPr>
        <w:pStyle w:val="3"/>
        <w:spacing w:before="120" w:after="120" w:line="360" w:lineRule="auto"/>
        <w:ind w:firstLine="602" w:firstLineChars="214"/>
        <w:jc w:val="left"/>
        <w:rPr>
          <w:rFonts w:ascii="宋体" w:hAnsi="宋体" w:eastAsia="宋体" w:cs="宋体"/>
          <w:sz w:val="28"/>
          <w:szCs w:val="28"/>
        </w:rPr>
      </w:pPr>
      <w:bookmarkStart w:id="2" w:name="_Toc48665526"/>
      <w:r>
        <w:rPr>
          <w:rFonts w:hint="eastAsia" w:ascii="宋体" w:hAnsi="宋体" w:eastAsia="宋体" w:cs="宋体"/>
          <w:sz w:val="28"/>
          <w:szCs w:val="28"/>
          <w:lang w:val="en-US" w:eastAsia="zh-CN"/>
        </w:rPr>
        <w:t>一</w:t>
      </w:r>
      <w:r>
        <w:rPr>
          <w:rFonts w:hint="eastAsia" w:ascii="宋体" w:hAnsi="宋体" w:eastAsia="宋体" w:cs="宋体"/>
          <w:sz w:val="28"/>
          <w:szCs w:val="28"/>
        </w:rPr>
        <w:t>、投标文件</w:t>
      </w:r>
      <w:bookmarkEnd w:id="2"/>
    </w:p>
    <w:p w14:paraId="52816083">
      <w:pPr>
        <w:spacing w:line="360" w:lineRule="auto"/>
        <w:ind w:firstLine="482" w:firstLineChars="200"/>
        <w:rPr>
          <w:rFonts w:hint="eastAsia" w:ascii="宋体" w:hAnsi="宋体"/>
          <w:b/>
          <w:bCs/>
          <w:sz w:val="24"/>
        </w:rPr>
      </w:pPr>
      <w:bookmarkStart w:id="3" w:name="_Toc212369512"/>
      <w:bookmarkStart w:id="4" w:name="_Toc92678113"/>
      <w:r>
        <w:rPr>
          <w:rFonts w:hint="eastAsia" w:ascii="宋体" w:hAnsi="宋体"/>
          <w:b/>
          <w:bCs/>
          <w:sz w:val="24"/>
          <w:lang w:val="en-US" w:eastAsia="zh-CN"/>
        </w:rPr>
        <w:t>1</w:t>
      </w:r>
      <w:r>
        <w:rPr>
          <w:rFonts w:hint="eastAsia" w:ascii="宋体" w:hAnsi="宋体"/>
          <w:b/>
          <w:bCs/>
          <w:sz w:val="24"/>
        </w:rPr>
        <w:t>、投标报价语言及计量单位</w:t>
      </w:r>
      <w:bookmarkEnd w:id="3"/>
      <w:bookmarkEnd w:id="4"/>
    </w:p>
    <w:p w14:paraId="0902D58F">
      <w:pPr>
        <w:pStyle w:val="14"/>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1</w:t>
      </w:r>
      <w:r>
        <w:rPr>
          <w:rFonts w:hint="eastAsia" w:cs="仿宋" w:asciiTheme="minorEastAsia" w:hAnsiTheme="minorEastAsia" w:eastAsiaTheme="minorEastAsia"/>
          <w:sz w:val="24"/>
          <w:szCs w:val="24"/>
        </w:rPr>
        <w:t>.1投标文件和与投标有关的所有文件均应使用中文。</w:t>
      </w:r>
    </w:p>
    <w:p w14:paraId="2F7EB4AC">
      <w:pPr>
        <w:pStyle w:val="14"/>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1</w:t>
      </w:r>
      <w:r>
        <w:rPr>
          <w:rFonts w:hint="eastAsia" w:cs="仿宋" w:asciiTheme="minorEastAsia" w:hAnsiTheme="minorEastAsia" w:eastAsiaTheme="minorEastAsia"/>
          <w:sz w:val="24"/>
          <w:szCs w:val="24"/>
        </w:rPr>
        <w:t>.2 除投标文件的技术规格中另有规定外，投标文件中所使用的计量单位应为中华人民共和国法定计量单位。</w:t>
      </w:r>
    </w:p>
    <w:p w14:paraId="5FE17AD0">
      <w:pPr>
        <w:spacing w:line="360" w:lineRule="auto"/>
        <w:ind w:firstLine="482" w:firstLineChars="200"/>
        <w:rPr>
          <w:rFonts w:hint="eastAsia" w:ascii="宋体" w:hAnsi="宋体"/>
          <w:b/>
          <w:bCs/>
          <w:sz w:val="24"/>
        </w:rPr>
      </w:pPr>
      <w:bookmarkStart w:id="5" w:name="_Toc212369513"/>
      <w:bookmarkStart w:id="6" w:name="_Toc92678114"/>
      <w:r>
        <w:rPr>
          <w:rFonts w:hint="eastAsia" w:ascii="宋体" w:hAnsi="宋体"/>
          <w:b/>
          <w:bCs/>
          <w:sz w:val="24"/>
          <w:lang w:val="en-US" w:eastAsia="zh-CN"/>
        </w:rPr>
        <w:t>2</w:t>
      </w:r>
      <w:r>
        <w:rPr>
          <w:rFonts w:hint="eastAsia" w:ascii="宋体" w:hAnsi="宋体"/>
          <w:b/>
          <w:bCs/>
          <w:sz w:val="24"/>
        </w:rPr>
        <w:t>、投标文件组成</w:t>
      </w:r>
      <w:bookmarkEnd w:id="5"/>
      <w:bookmarkEnd w:id="6"/>
    </w:p>
    <w:p w14:paraId="772ECC1C">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投标人的投标文件由资格证明文件、投标文件技术部分、投标文件商务部分共三部分构成，</w:t>
      </w:r>
      <w:r>
        <w:rPr>
          <w:rFonts w:hint="eastAsia" w:cs="仿宋" w:asciiTheme="minorEastAsia" w:hAnsiTheme="minorEastAsia" w:eastAsiaTheme="minorEastAsia"/>
          <w:sz w:val="24"/>
          <w:szCs w:val="24"/>
          <w:highlight w:val="none"/>
          <w:lang w:val="en-US" w:eastAsia="zh-CN"/>
        </w:rPr>
        <w:t>分别封装（正本各一份）。</w:t>
      </w:r>
    </w:p>
    <w:p w14:paraId="1982B953">
      <w:pPr>
        <w:pStyle w:val="14"/>
        <w:spacing w:line="360" w:lineRule="auto"/>
        <w:ind w:firstLine="480" w:firstLineChars="200"/>
        <w:rPr>
          <w:rFonts w:hint="eastAsia"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u w:val="single"/>
          <w:lang w:val="en-US" w:eastAsia="zh-CN"/>
        </w:rPr>
        <w:t>注1：招标文件给定格式的按给定的格式填写，未给定格式的，由投标人自行编制，但需包含以下内容。</w:t>
      </w:r>
    </w:p>
    <w:p w14:paraId="2AC12B68">
      <w:pPr>
        <w:pStyle w:val="14"/>
        <w:spacing w:line="360" w:lineRule="auto"/>
        <w:ind w:firstLine="480" w:firstLineChars="200"/>
        <w:rPr>
          <w:rFonts w:hint="eastAsia"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u w:val="single"/>
          <w:lang w:val="en-US" w:eastAsia="zh-CN"/>
        </w:rPr>
        <w:t>注2：以下需（可）提供的招标文件均需加盖公章。</w:t>
      </w:r>
    </w:p>
    <w:p w14:paraId="7927DDAD">
      <w:pPr>
        <w:pStyle w:val="14"/>
        <w:spacing w:line="360" w:lineRule="auto"/>
        <w:ind w:firstLine="480" w:firstLineChars="200"/>
        <w:rPr>
          <w:rFonts w:hint="eastAsia" w:cs="仿宋" w:asciiTheme="minorEastAsia" w:hAnsiTheme="minorEastAsia" w:eastAsiaTheme="minorEastAsia"/>
          <w:sz w:val="24"/>
          <w:szCs w:val="24"/>
          <w:lang w:val="en-US" w:eastAsia="zh-CN"/>
        </w:rPr>
      </w:pPr>
      <w:bookmarkStart w:id="7" w:name="_Toc212369516"/>
      <w:r>
        <w:rPr>
          <w:rFonts w:hint="eastAsia" w:cs="仿宋" w:asciiTheme="minorEastAsia" w:hAnsiTheme="minorEastAsia" w:eastAsiaTheme="minorEastAsia"/>
          <w:sz w:val="24"/>
          <w:szCs w:val="24"/>
          <w:lang w:val="en-US" w:eastAsia="zh-CN"/>
        </w:rPr>
        <w:t>2.1资格证明文件包括</w:t>
      </w:r>
      <w:bookmarkEnd w:id="7"/>
      <w:r>
        <w:rPr>
          <w:rFonts w:hint="eastAsia" w:cs="仿宋" w:asciiTheme="minorEastAsia" w:hAnsiTheme="minorEastAsia" w:eastAsiaTheme="minorEastAsia"/>
          <w:sz w:val="24"/>
          <w:szCs w:val="24"/>
          <w:lang w:val="en-US" w:eastAsia="zh-CN"/>
        </w:rPr>
        <w:t>：</w:t>
      </w:r>
    </w:p>
    <w:p w14:paraId="041D7E70">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（1）营业执照复印件；</w:t>
      </w:r>
    </w:p>
    <w:p w14:paraId="691ADEE2">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（2）法定代表人（或负责人）授权委托书和被授权人身份证复印件；</w:t>
      </w:r>
    </w:p>
    <w:p w14:paraId="11F89E44">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（3）投标人基本情况表。</w:t>
      </w:r>
    </w:p>
    <w:p w14:paraId="30E6BEF0">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bookmarkStart w:id="8" w:name="_Toc212369515"/>
      <w:r>
        <w:rPr>
          <w:rFonts w:hint="eastAsia" w:cs="仿宋" w:asciiTheme="minorEastAsia" w:hAnsiTheme="minorEastAsia" w:eastAsiaTheme="minorEastAsia"/>
          <w:sz w:val="24"/>
          <w:szCs w:val="24"/>
          <w:highlight w:val="none"/>
          <w:lang w:val="en-US" w:eastAsia="zh-CN"/>
        </w:rPr>
        <w:t>2.2技术部分</w:t>
      </w:r>
      <w:bookmarkEnd w:id="8"/>
      <w:r>
        <w:rPr>
          <w:rFonts w:hint="eastAsia" w:cs="仿宋" w:asciiTheme="minorEastAsia" w:hAnsiTheme="minorEastAsia" w:eastAsiaTheme="minorEastAsia"/>
          <w:sz w:val="24"/>
          <w:szCs w:val="24"/>
          <w:highlight w:val="none"/>
          <w:lang w:val="en-US" w:eastAsia="zh-CN"/>
        </w:rPr>
        <w:t>文件包括：</w:t>
      </w:r>
    </w:p>
    <w:p w14:paraId="2355B865">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为提高评标效率，请投标人按照技术部分所列的资料清单内容及顺序编制技术部分投标</w:t>
      </w:r>
      <w:r>
        <w:rPr>
          <w:rFonts w:hint="eastAsia" w:ascii="宋体" w:hAnsi="宋体" w:cs="Times New Roman"/>
          <w:bCs/>
          <w:sz w:val="24"/>
          <w:szCs w:val="22"/>
          <w:highlight w:val="none"/>
        </w:rPr>
        <w:t>文件，如投标人未按照以下内容及顺序编制投标文件技术部分，可能会影响技术部分得分，请各</w:t>
      </w:r>
      <w:r>
        <w:rPr>
          <w:rFonts w:hint="eastAsia" w:cs="仿宋" w:asciiTheme="minorEastAsia" w:hAnsiTheme="minorEastAsia" w:eastAsiaTheme="minorEastAsia"/>
          <w:sz w:val="24"/>
          <w:szCs w:val="24"/>
          <w:highlight w:val="none"/>
          <w:lang w:val="en-US" w:eastAsia="zh-CN"/>
        </w:rPr>
        <w:t>投标单位务必注意。</w:t>
      </w:r>
    </w:p>
    <w:p w14:paraId="069FF24C">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（1）技术规格偏离表；</w:t>
      </w:r>
    </w:p>
    <w:p w14:paraId="5433F0FA">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（2）施工流程方案：方案的合理性、实施的安全性、配置的合理性；</w:t>
      </w:r>
    </w:p>
    <w:p w14:paraId="74F17CA8">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（3）投标单位针对本次项目提出合理化建议。</w:t>
      </w:r>
    </w:p>
    <w:p w14:paraId="771758AE">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bookmarkStart w:id="9" w:name="_Toc212369514"/>
      <w:r>
        <w:rPr>
          <w:rFonts w:hint="eastAsia" w:cs="仿宋" w:asciiTheme="minorEastAsia" w:hAnsiTheme="minorEastAsia" w:eastAsiaTheme="minorEastAsia"/>
          <w:sz w:val="24"/>
          <w:szCs w:val="24"/>
          <w:highlight w:val="none"/>
          <w:lang w:val="en-US" w:eastAsia="zh-CN"/>
        </w:rPr>
        <w:t>2.3商务部分文件包括</w:t>
      </w:r>
      <w:bookmarkEnd w:id="9"/>
      <w:r>
        <w:rPr>
          <w:rFonts w:hint="eastAsia" w:cs="仿宋" w:asciiTheme="minorEastAsia" w:hAnsiTheme="minorEastAsia" w:eastAsiaTheme="minorEastAsia"/>
          <w:sz w:val="24"/>
          <w:szCs w:val="24"/>
          <w:highlight w:val="none"/>
          <w:lang w:val="en-US" w:eastAsia="zh-CN"/>
        </w:rPr>
        <w:t>：</w:t>
      </w:r>
    </w:p>
    <w:p w14:paraId="61F67CFE">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投标函；</w:t>
      </w:r>
    </w:p>
    <w:p w14:paraId="61612722">
      <w:pPr>
        <w:pStyle w:val="14"/>
        <w:spacing w:line="360" w:lineRule="auto"/>
        <w:ind w:firstLine="480" w:firstLineChars="200"/>
        <w:rPr>
          <w:rFonts w:hint="eastAsia" w:cs="仿宋" w:asciiTheme="minorEastAsia" w:hAnsiTheme="minorEastAsia" w:eastAsiaTheme="minorEastAsia"/>
          <w:strike w:val="0"/>
          <w:dstrike w:val="0"/>
          <w:sz w:val="24"/>
          <w:szCs w:val="24"/>
          <w:highlight w:val="none"/>
          <w:u w:val="single"/>
          <w:lang w:val="en-US" w:eastAsia="zh-CN"/>
        </w:rPr>
      </w:pPr>
      <w:r>
        <w:rPr>
          <w:rFonts w:hint="eastAsia" w:cs="仿宋" w:asciiTheme="minorEastAsia" w:hAnsiTheme="minorEastAsia" w:eastAsiaTheme="minorEastAsia"/>
          <w:strike w:val="0"/>
          <w:dstrike w:val="0"/>
          <w:sz w:val="24"/>
          <w:szCs w:val="24"/>
          <w:highlight w:val="none"/>
          <w:u w:val="single"/>
          <w:lang w:val="en-US" w:eastAsia="zh-CN"/>
        </w:rPr>
        <w:t>开标一览表，为在开标仪式上唱标的内容。</w:t>
      </w:r>
    </w:p>
    <w:p w14:paraId="21A348EC">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投标报价明细表，按以下规格分别形成投标报价明细；</w:t>
      </w:r>
    </w:p>
    <w:p w14:paraId="2AC56ADA">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商务条款偏离表：</w:t>
      </w:r>
    </w:p>
    <w:p w14:paraId="5E5DC3FD">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经营业绩一览表；</w:t>
      </w:r>
    </w:p>
    <w:p w14:paraId="4327C0BA">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服务承诺函；</w:t>
      </w:r>
    </w:p>
    <w:p w14:paraId="0F0BD81F">
      <w:pPr>
        <w:pStyle w:val="14"/>
        <w:spacing w:line="360" w:lineRule="auto"/>
        <w:ind w:firstLine="480" w:firstLineChars="200"/>
        <w:rPr>
          <w:rFonts w:hint="eastAsia"/>
          <w:lang w:val="en-US" w:eastAsia="zh-CN"/>
        </w:rPr>
      </w:pPr>
      <w:r>
        <w:rPr>
          <w:rFonts w:hint="eastAsia" w:cs="仿宋" w:asciiTheme="minorEastAsia" w:hAnsiTheme="minorEastAsia" w:eastAsiaTheme="minorEastAsia"/>
          <w:sz w:val="24"/>
          <w:szCs w:val="24"/>
          <w:highlight w:val="none"/>
          <w:lang w:val="en-US" w:eastAsia="zh-CN"/>
        </w:rPr>
        <w:t>对本项目招标文件、招标文本的澄清/答疑/修改及“合同条款”的认同及优惠条件说明。</w:t>
      </w:r>
    </w:p>
    <w:p w14:paraId="1F1A0BEF">
      <w:pPr>
        <w:spacing w:line="360" w:lineRule="auto"/>
        <w:ind w:firstLine="482" w:firstLineChars="200"/>
        <w:rPr>
          <w:rFonts w:ascii="宋体" w:hAnsi="宋体"/>
          <w:b/>
          <w:bCs/>
          <w:color w:val="auto"/>
          <w:sz w:val="24"/>
        </w:rPr>
      </w:pPr>
      <w:r>
        <w:rPr>
          <w:rFonts w:hint="eastAsia" w:ascii="宋体" w:hAnsi="宋体"/>
          <w:b/>
          <w:bCs/>
          <w:color w:val="auto"/>
          <w:sz w:val="24"/>
          <w:lang w:val="en-US" w:eastAsia="zh-CN"/>
        </w:rPr>
        <w:t>3</w:t>
      </w:r>
      <w:r>
        <w:rPr>
          <w:rFonts w:hint="eastAsia" w:ascii="宋体" w:hAnsi="宋体"/>
          <w:b/>
          <w:bCs/>
          <w:color w:val="auto"/>
          <w:sz w:val="24"/>
        </w:rPr>
        <w:t>、投标文件的装订、密封和标记</w:t>
      </w:r>
    </w:p>
    <w:p w14:paraId="20BE224A">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3.1投标文件的装订：</w:t>
      </w:r>
    </w:p>
    <w:p w14:paraId="0E7EE555">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投标人必须将投标文件按照投标文件组成的顺序装订成册，并在首页编制“投标文件目录”。</w:t>
      </w:r>
    </w:p>
    <w:p w14:paraId="56C46D09">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3.2投标文件的密封、标记：</w:t>
      </w:r>
    </w:p>
    <w:p w14:paraId="2CBE2AD9">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投标人应将投标文件的一并密封并在封面明显处注明以下内容：</w:t>
      </w:r>
    </w:p>
    <w:p w14:paraId="1F0EB5C2">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项目编号、项目名称；</w:t>
      </w:r>
    </w:p>
    <w:p w14:paraId="7D10886C">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投标人名称（加盖公章）、地址、邮编、电话、传真；</w:t>
      </w:r>
    </w:p>
    <w:p w14:paraId="13840290">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密封件在封口处注明“于    年   月   日   时   分之前不准启封”字样。</w:t>
      </w:r>
    </w:p>
    <w:p w14:paraId="0A838110">
      <w:pPr>
        <w:spacing w:line="360" w:lineRule="auto"/>
        <w:ind w:firstLine="482" w:firstLineChars="200"/>
        <w:rPr>
          <w:rFonts w:hint="eastAsia" w:ascii="宋体" w:hAnsi="宋体"/>
          <w:b/>
          <w:bCs/>
          <w:sz w:val="24"/>
        </w:rPr>
      </w:pPr>
      <w:bookmarkStart w:id="10" w:name="_Toc212369519"/>
      <w:r>
        <w:rPr>
          <w:rFonts w:hint="eastAsia" w:ascii="宋体" w:hAnsi="宋体"/>
          <w:b/>
          <w:bCs/>
          <w:sz w:val="24"/>
          <w:lang w:val="en-US" w:eastAsia="zh-CN"/>
        </w:rPr>
        <w:t>4</w:t>
      </w:r>
      <w:r>
        <w:rPr>
          <w:rFonts w:hint="eastAsia" w:ascii="宋体" w:hAnsi="宋体"/>
          <w:b/>
          <w:bCs/>
          <w:sz w:val="24"/>
        </w:rPr>
        <w:t>、投标报价</w:t>
      </w:r>
      <w:bookmarkEnd w:id="10"/>
    </w:p>
    <w:p w14:paraId="02371535">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4.1投标报价包括：全部（全新）消耗物品价、专用工具价、运杂费（包括现场卸车费）、人工费、验收、服务费、资料费、税费等所有费用的总和。所有投标均以人民币报价。</w:t>
      </w:r>
    </w:p>
    <w:p w14:paraId="516C4076">
      <w:pPr>
        <w:pStyle w:val="14"/>
        <w:spacing w:line="360" w:lineRule="auto"/>
        <w:ind w:firstLine="480" w:firstLineChars="200"/>
        <w:rPr>
          <w:rFonts w:hint="eastAsia" w:cs="仿宋" w:asciiTheme="minorEastAsia" w:hAnsiTheme="minorEastAsia" w:eastAsiaTheme="minorEastAsia"/>
          <w:sz w:val="24"/>
          <w:szCs w:val="24"/>
          <w:lang w:val="en-US" w:eastAsia="zh-CN"/>
        </w:rPr>
      </w:pPr>
      <w:bookmarkStart w:id="11" w:name="_Toc346372891"/>
      <w:bookmarkStart w:id="12" w:name="_Toc346306744"/>
      <w:bookmarkStart w:id="13" w:name="_Toc352332865"/>
      <w:r>
        <w:rPr>
          <w:rFonts w:hint="eastAsia" w:cs="仿宋" w:asciiTheme="minorEastAsia" w:hAnsiTheme="minorEastAsia" w:eastAsiaTheme="minorEastAsia"/>
          <w:sz w:val="24"/>
          <w:szCs w:val="24"/>
          <w:lang w:val="en-US" w:eastAsia="zh-CN"/>
        </w:rPr>
        <w:t>4.2投标人要按投标规格名称、投标报价明细表（统一格式）的内容填写产品单价、总价及其他事项，并由法人代表或授权代表签署。</w:t>
      </w:r>
    </w:p>
    <w:p w14:paraId="31C65295">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4.3对于非标准货物的投标，还应填分解报价表（分解报价表格式由投标人自行设计）。</w:t>
      </w:r>
    </w:p>
    <w:p w14:paraId="2772F2EE">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4.4投标人如需用外汇购入某些投标货物，须折合人民币计入总报价中。</w:t>
      </w:r>
    </w:p>
    <w:p w14:paraId="45851BCB">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4.5招标人不接受任何选择报价，对每一种货物只允许一个报价。</w:t>
      </w:r>
    </w:p>
    <w:p w14:paraId="68CA4666">
      <w:pPr>
        <w:pStyle w:val="14"/>
        <w:spacing w:line="360" w:lineRule="auto"/>
        <w:ind w:firstLine="480" w:firstLineChars="200"/>
        <w:rPr>
          <w:rFonts w:hint="eastAsia" w:ascii="宋体" w:hAnsi="宋体" w:cs="宋体"/>
          <w:sz w:val="24"/>
          <w:szCs w:val="22"/>
          <w:lang w:val="en-US" w:eastAsia="zh-CN"/>
        </w:rPr>
      </w:pPr>
      <w:r>
        <w:rPr>
          <w:rFonts w:hint="eastAsia" w:cs="仿宋" w:asciiTheme="minorEastAsia" w:hAnsiTheme="minorEastAsia" w:eastAsiaTheme="minorEastAsia"/>
          <w:sz w:val="24"/>
          <w:szCs w:val="24"/>
          <w:lang w:val="en-US" w:eastAsia="zh-CN"/>
        </w:rPr>
        <w:t>4.6 投标人须提供分项单价和报价总价，如果单价和总价不符，以单价为准，并根据单价修正总价。评标委员会认为单价有明显的小数点错误，应以标出的总价为准，并修改单</w:t>
      </w:r>
      <w:r>
        <w:rPr>
          <w:rFonts w:hint="eastAsia" w:ascii="宋体" w:hAnsi="宋体" w:cs="宋体"/>
          <w:sz w:val="24"/>
          <w:szCs w:val="22"/>
          <w:lang w:val="en-US" w:eastAsia="zh-CN"/>
        </w:rPr>
        <w:t>价。</w:t>
      </w:r>
    </w:p>
    <w:p w14:paraId="78BD6658">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4.7如果大写的金额和小写的金额不一致时，以大写的金额为准。</w:t>
      </w:r>
    </w:p>
    <w:p w14:paraId="154E0673">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4.8投标人免费提供的项目，应先填写该项目的实际价格，并注明免费。此项不计入总报价。</w:t>
      </w:r>
    </w:p>
    <w:p w14:paraId="2E8267F8">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4.9最低报价不能作为中标的保证。</w:t>
      </w:r>
    </w:p>
    <w:p w14:paraId="3288F3C6">
      <w:pPr>
        <w:spacing w:line="360" w:lineRule="auto"/>
        <w:ind w:firstLine="482" w:firstLineChars="200"/>
        <w:rPr>
          <w:rFonts w:hint="eastAsia" w:ascii="宋体" w:hAnsi="宋体"/>
          <w:b/>
          <w:bCs/>
          <w:sz w:val="24"/>
          <w:szCs w:val="22"/>
        </w:rPr>
      </w:pPr>
      <w:r>
        <w:rPr>
          <w:rFonts w:hint="eastAsia" w:ascii="宋体" w:hAnsi="宋体"/>
          <w:b/>
          <w:bCs/>
          <w:sz w:val="24"/>
          <w:szCs w:val="22"/>
          <w:lang w:val="en-US" w:eastAsia="zh-CN"/>
        </w:rPr>
        <w:t>5</w:t>
      </w:r>
      <w:r>
        <w:rPr>
          <w:rFonts w:hint="eastAsia" w:ascii="宋体" w:hAnsi="宋体"/>
          <w:b/>
          <w:bCs/>
          <w:sz w:val="24"/>
          <w:szCs w:val="22"/>
        </w:rPr>
        <w:t>、投标文件签署</w:t>
      </w:r>
      <w:bookmarkEnd w:id="11"/>
      <w:bookmarkEnd w:id="12"/>
      <w:bookmarkEnd w:id="13"/>
    </w:p>
    <w:p w14:paraId="33A963CE">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5.1投标文件应加盖投标人单位公章（不得使用其他形式如带有“专用章”等字样的印章）并经法定代表人（或负责人）或其委托代理人签字。</w:t>
      </w:r>
    </w:p>
    <w:p w14:paraId="48F2A38A">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5.2本招标文件提供的投标文件式中，标注有盖公章、签字之处，应有投标人的盖章、委托代理人的签字或法定代表人（或负责人）的签字。</w:t>
      </w:r>
    </w:p>
    <w:p w14:paraId="5BF4E191">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5.3投标单位法人或委托代理人亲自签署。由委托代理人签字的投标资格证明文件中须附授权委托书。</w:t>
      </w:r>
    </w:p>
    <w:p w14:paraId="1CEB63CB">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5.4签字须使用黑色或蓝色不可退色签字笔。</w:t>
      </w:r>
    </w:p>
    <w:p w14:paraId="6BDAC15F">
      <w:pPr>
        <w:pStyle w:val="14"/>
        <w:spacing w:line="360" w:lineRule="auto"/>
        <w:ind w:firstLine="480" w:firstLineChars="200"/>
        <w:rPr>
          <w:rFonts w:hint="eastAsia"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u w:val="single"/>
          <w:lang w:val="en-US" w:eastAsia="zh-CN"/>
        </w:rPr>
        <w:t>注：投标人代表必须按招标文件的规定签署投标文件（正本、副本及各附件）。</w:t>
      </w:r>
    </w:p>
    <w:p w14:paraId="17DF7984">
      <w:pPr>
        <w:spacing w:line="360" w:lineRule="auto"/>
        <w:ind w:firstLine="482" w:firstLineChars="200"/>
        <w:rPr>
          <w:rFonts w:hint="eastAsia" w:ascii="宋体" w:hAnsi="宋体"/>
          <w:b/>
          <w:bCs/>
          <w:sz w:val="24"/>
          <w:szCs w:val="22"/>
        </w:rPr>
      </w:pPr>
      <w:bookmarkStart w:id="14" w:name="_Toc346306746"/>
      <w:bookmarkStart w:id="15" w:name="_Toc352332867"/>
      <w:bookmarkStart w:id="16" w:name="_Toc346372893"/>
      <w:r>
        <w:rPr>
          <w:rFonts w:hint="eastAsia" w:ascii="宋体" w:hAnsi="宋体"/>
          <w:b/>
          <w:bCs/>
          <w:sz w:val="24"/>
          <w:szCs w:val="22"/>
          <w:lang w:val="en-US" w:eastAsia="zh-CN"/>
        </w:rPr>
        <w:t>6</w:t>
      </w:r>
      <w:r>
        <w:rPr>
          <w:rFonts w:hint="eastAsia" w:ascii="宋体" w:hAnsi="宋体"/>
          <w:b/>
          <w:bCs/>
          <w:sz w:val="24"/>
          <w:szCs w:val="22"/>
        </w:rPr>
        <w:t>、投标保证金</w:t>
      </w:r>
      <w:bookmarkEnd w:id="14"/>
      <w:bookmarkEnd w:id="15"/>
      <w:bookmarkEnd w:id="16"/>
    </w:p>
    <w:p w14:paraId="609F48C2">
      <w:pPr>
        <w:pStyle w:val="14"/>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bookmarkStart w:id="17" w:name="_Toc346372894"/>
      <w:bookmarkStart w:id="18" w:name="_Toc346306747"/>
      <w:bookmarkStart w:id="19" w:name="_Toc352332868"/>
      <w:r>
        <w:rPr>
          <w:rFonts w:hint="eastAsia" w:ascii="宋体" w:hAnsi="宋体" w:eastAsia="宋体" w:cs="宋体"/>
          <w:sz w:val="24"/>
          <w:szCs w:val="24"/>
        </w:rPr>
        <w:t>（1）</w:t>
      </w:r>
      <w:r>
        <w:rPr>
          <w:rFonts w:hint="eastAsia" w:ascii="Times New Roman" w:hAnsi="Times New Roman"/>
          <w:sz w:val="24"/>
          <w:szCs w:val="24"/>
        </w:rPr>
        <w:t>投标人在报名参与本项目的同时，应提供</w:t>
      </w:r>
      <w:r>
        <w:rPr>
          <w:rFonts w:hint="eastAsia" w:ascii="宋体" w:hAnsi="宋体" w:eastAsia="宋体" w:cs="宋体"/>
          <w:b/>
          <w:bCs/>
          <w:sz w:val="24"/>
          <w:szCs w:val="24"/>
          <w:u w:val="single"/>
          <w:lang w:val="en-US" w:eastAsia="zh-CN"/>
        </w:rPr>
        <w:t>5</w:t>
      </w:r>
      <w:r>
        <w:rPr>
          <w:rFonts w:hint="eastAsia" w:ascii="宋体" w:hAnsi="宋体" w:eastAsia="宋体" w:cs="宋体"/>
          <w:b/>
          <w:bCs/>
          <w:sz w:val="24"/>
          <w:szCs w:val="24"/>
          <w:u w:val="single"/>
        </w:rPr>
        <w:t>000</w:t>
      </w:r>
      <w:r>
        <w:rPr>
          <w:rFonts w:hint="eastAsia" w:ascii="Times New Roman" w:hAnsi="Times New Roman"/>
          <w:b/>
          <w:bCs/>
          <w:sz w:val="24"/>
          <w:szCs w:val="24"/>
          <w:u w:val="single"/>
        </w:rPr>
        <w:t>元</w:t>
      </w:r>
      <w:r>
        <w:rPr>
          <w:rFonts w:hint="eastAsia" w:ascii="Times New Roman" w:hAnsi="Times New Roman"/>
          <w:sz w:val="24"/>
          <w:szCs w:val="24"/>
        </w:rPr>
        <w:t>的投标保证金，并作为其投标文件的组成部分。投标保证金应在投标截止时间</w:t>
      </w:r>
      <w:r>
        <w:rPr>
          <w:rFonts w:hint="eastAsia" w:ascii="宋体" w:hAnsi="宋体" w:eastAsia="宋体" w:cs="宋体"/>
          <w:sz w:val="24"/>
          <w:szCs w:val="24"/>
        </w:rPr>
        <w:t>1</w:t>
      </w:r>
      <w:r>
        <w:rPr>
          <w:rFonts w:hint="eastAsia" w:ascii="Times New Roman" w:hAnsi="Times New Roman"/>
          <w:sz w:val="24"/>
          <w:szCs w:val="24"/>
        </w:rPr>
        <w:t>日前将投标保证金从投标人单位基本帐户转出并到账，否则按否决投标处理；未按规定提交保证金的投标人，其投标文件按否决投标处理；保证金提交后，请报名时提供转账依据。</w:t>
      </w:r>
    </w:p>
    <w:p w14:paraId="52D14A66">
      <w:pPr>
        <w:pStyle w:val="14"/>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r>
        <w:rPr>
          <w:rFonts w:hint="eastAsia" w:ascii="宋体" w:hAnsi="宋体" w:eastAsia="宋体" w:cs="宋体"/>
          <w:sz w:val="24"/>
          <w:szCs w:val="24"/>
        </w:rPr>
        <w:t>（2）</w:t>
      </w:r>
      <w:r>
        <w:rPr>
          <w:rFonts w:hint="eastAsia" w:ascii="Times New Roman" w:hAnsi="Times New Roman"/>
          <w:sz w:val="24"/>
          <w:szCs w:val="24"/>
        </w:rPr>
        <w:t>招标人银行账户信息如下：</w:t>
      </w:r>
    </w:p>
    <w:p w14:paraId="4B13DF91">
      <w:pPr>
        <w:spacing w:line="360" w:lineRule="auto"/>
        <w:ind w:firstLine="480" w:firstLineChars="200"/>
        <w:rPr>
          <w:rFonts w:hint="eastAsia" w:ascii="宋体" w:hAnsi="宋体" w:cs="Times New Roman"/>
          <w:b/>
          <w:bCs/>
          <w:sz w:val="24"/>
          <w:szCs w:val="22"/>
          <w:lang w:val="en-US" w:eastAsia="zh-CN"/>
        </w:rPr>
      </w:pPr>
      <w:r>
        <w:rPr>
          <w:rFonts w:hint="eastAsia" w:ascii="Times New Roman" w:hAnsi="Times New Roman"/>
          <w:sz w:val="24"/>
          <w:szCs w:val="24"/>
        </w:rPr>
        <w:t>账号：</w:t>
      </w:r>
      <w:r>
        <w:rPr>
          <w:rFonts w:hint="eastAsia" w:ascii="宋体" w:hAnsi="宋体" w:cs="Times New Roman"/>
          <w:b/>
          <w:bCs/>
          <w:sz w:val="24"/>
          <w:szCs w:val="22"/>
          <w:lang w:val="en-US" w:eastAsia="zh-CN"/>
        </w:rPr>
        <w:t>37001616508050150300</w:t>
      </w:r>
    </w:p>
    <w:p w14:paraId="56786C9D">
      <w:pPr>
        <w:pStyle w:val="14"/>
        <w:pageBreakBefore w:val="0"/>
        <w:kinsoku/>
        <w:wordWrap/>
        <w:overflowPunct/>
        <w:topLinePunct w:val="0"/>
        <w:autoSpaceDE/>
        <w:autoSpaceDN/>
        <w:bidi w:val="0"/>
        <w:adjustRightInd/>
        <w:snapToGrid/>
        <w:spacing w:line="360" w:lineRule="auto"/>
        <w:ind w:firstLine="470" w:firstLineChars="196"/>
        <w:textAlignment w:val="auto"/>
        <w:rPr>
          <w:rFonts w:hint="eastAsia" w:ascii="Times New Roman" w:hAnsi="Times New Roman" w:eastAsia="宋体"/>
          <w:sz w:val="24"/>
          <w:szCs w:val="24"/>
          <w:lang w:eastAsia="zh-CN"/>
        </w:rPr>
      </w:pPr>
      <w:r>
        <w:rPr>
          <w:rFonts w:hint="eastAsia" w:ascii="Times New Roman" w:hAnsi="Times New Roman"/>
          <w:sz w:val="24"/>
          <w:szCs w:val="24"/>
        </w:rPr>
        <w:t>开户行：</w:t>
      </w:r>
      <w:r>
        <w:rPr>
          <w:rFonts w:hint="eastAsia" w:ascii="宋体" w:hAnsi="宋体" w:cs="Times New Roman"/>
          <w:b/>
          <w:bCs/>
          <w:sz w:val="24"/>
          <w:szCs w:val="22"/>
          <w:lang w:val="en-US" w:eastAsia="zh-CN"/>
        </w:rPr>
        <w:t>中国建设银行济南天桥支行</w:t>
      </w:r>
      <w:r>
        <w:rPr>
          <w:rFonts w:hint="eastAsia" w:ascii="Times New Roman" w:hAnsi="Times New Roman"/>
          <w:sz w:val="24"/>
          <w:szCs w:val="24"/>
          <w:lang w:val="en-US" w:eastAsia="zh-CN"/>
        </w:rPr>
        <w:t xml:space="preserve"> </w:t>
      </w:r>
    </w:p>
    <w:p w14:paraId="41E17661">
      <w:pPr>
        <w:pStyle w:val="14"/>
        <w:pageBreakBefore w:val="0"/>
        <w:kinsoku/>
        <w:wordWrap/>
        <w:overflowPunct/>
        <w:topLinePunct w:val="0"/>
        <w:autoSpaceDE/>
        <w:autoSpaceDN/>
        <w:bidi w:val="0"/>
        <w:adjustRightInd/>
        <w:snapToGrid/>
        <w:spacing w:line="360" w:lineRule="auto"/>
        <w:ind w:firstLine="470" w:firstLineChars="196"/>
        <w:textAlignment w:val="auto"/>
        <w:rPr>
          <w:rFonts w:hint="eastAsia" w:ascii="Times New Roman" w:hAnsi="Times New Roman"/>
          <w:sz w:val="24"/>
          <w:szCs w:val="24"/>
        </w:rPr>
      </w:pPr>
      <w:r>
        <w:rPr>
          <w:rFonts w:hint="eastAsia" w:ascii="Times New Roman" w:hAnsi="Times New Roman"/>
          <w:sz w:val="24"/>
          <w:szCs w:val="24"/>
        </w:rPr>
        <w:t>单位名称：</w:t>
      </w:r>
      <w:r>
        <w:rPr>
          <w:rFonts w:hint="eastAsia" w:ascii="宋体" w:hAnsi="宋体" w:cs="Times New Roman"/>
          <w:b/>
          <w:bCs/>
          <w:sz w:val="24"/>
          <w:szCs w:val="22"/>
          <w:lang w:val="en-US" w:eastAsia="zh-CN"/>
        </w:rPr>
        <w:t>中国重汽集团济南动力有限公司</w:t>
      </w:r>
    </w:p>
    <w:p w14:paraId="510CE338">
      <w:pPr>
        <w:pStyle w:val="14"/>
        <w:pageBreakBefore w:val="0"/>
        <w:kinsoku/>
        <w:wordWrap/>
        <w:overflowPunct/>
        <w:topLinePunct w:val="0"/>
        <w:autoSpaceDE/>
        <w:autoSpaceDN/>
        <w:bidi w:val="0"/>
        <w:adjustRightInd/>
        <w:snapToGrid/>
        <w:spacing w:line="360" w:lineRule="auto"/>
        <w:ind w:firstLine="470" w:firstLineChars="196"/>
        <w:textAlignment w:val="auto"/>
        <w:rPr>
          <w:rFonts w:ascii="Times New Roman" w:hAnsi="Times New Roman"/>
          <w:sz w:val="24"/>
          <w:szCs w:val="24"/>
        </w:rPr>
      </w:pPr>
      <w:r>
        <w:rPr>
          <w:rFonts w:hint="eastAsia" w:ascii="Times New Roman" w:hAnsi="Times New Roman"/>
          <w:sz w:val="24"/>
          <w:szCs w:val="24"/>
        </w:rPr>
        <w:t>投标保证金形式</w:t>
      </w:r>
    </w:p>
    <w:p w14:paraId="53357747">
      <w:pPr>
        <w:pStyle w:val="14"/>
        <w:pageBreakBefore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hAnsi="宋体" w:cs="宋体"/>
          <w:sz w:val="24"/>
          <w:szCs w:val="24"/>
          <w:lang w:eastAsia="zh-CN"/>
        </w:rPr>
        <w:t>（</w:t>
      </w:r>
      <w:r>
        <w:rPr>
          <w:rFonts w:hint="eastAsia" w:hAnsi="宋体" w:cs="宋体"/>
          <w:sz w:val="24"/>
          <w:szCs w:val="24"/>
          <w:lang w:val="en-US" w:eastAsia="zh-CN"/>
        </w:rPr>
        <w:t>一</w:t>
      </w:r>
      <w:r>
        <w:rPr>
          <w:rFonts w:hint="eastAsia" w:hAnsi="宋体" w:cs="宋体"/>
          <w:sz w:val="24"/>
          <w:szCs w:val="24"/>
          <w:lang w:eastAsia="zh-CN"/>
        </w:rPr>
        <w:t>）</w:t>
      </w:r>
      <w:r>
        <w:rPr>
          <w:rFonts w:hint="eastAsia" w:ascii="宋体" w:hAnsi="宋体" w:eastAsia="宋体" w:cs="宋体"/>
          <w:sz w:val="24"/>
          <w:szCs w:val="24"/>
        </w:rPr>
        <w:t>该银行账户只接受电汇</w:t>
      </w:r>
      <w:r>
        <w:rPr>
          <w:rFonts w:hint="eastAsia" w:ascii="宋体" w:hAnsi="宋体" w:eastAsia="宋体" w:cs="仿宋"/>
          <w:b/>
          <w:bCs/>
          <w:sz w:val="24"/>
          <w:szCs w:val="24"/>
          <w:lang w:val="en-US" w:eastAsia="zh-CN"/>
        </w:rPr>
        <w:t>（备注“</w:t>
      </w:r>
      <w:r>
        <w:rPr>
          <w:rFonts w:hint="eastAsia" w:hAnsi="宋体" w:cs="仿宋"/>
          <w:b/>
          <w:bCs/>
          <w:sz w:val="24"/>
          <w:szCs w:val="24"/>
          <w:lang w:val="en-US" w:eastAsia="zh-CN"/>
        </w:rPr>
        <w:t>环氧地坪维修</w:t>
      </w:r>
      <w:r>
        <w:rPr>
          <w:rFonts w:hint="eastAsia" w:ascii="宋体" w:hAnsi="宋体" w:eastAsia="宋体" w:cs="仿宋"/>
          <w:b/>
          <w:bCs/>
          <w:sz w:val="24"/>
          <w:szCs w:val="24"/>
          <w:lang w:val="en-US" w:eastAsia="zh-CN"/>
        </w:rPr>
        <w:t>项目”）</w:t>
      </w:r>
      <w:r>
        <w:rPr>
          <w:rFonts w:hint="eastAsia" w:ascii="宋体" w:hAnsi="宋体" w:eastAsia="宋体" w:cs="宋体"/>
          <w:sz w:val="24"/>
          <w:szCs w:val="24"/>
        </w:rPr>
        <w:t>。</w:t>
      </w:r>
    </w:p>
    <w:p w14:paraId="02088DD2">
      <w:pPr>
        <w:pStyle w:val="1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投标保证金应从投标人的基本账户转出至上述账户并到账，否则视为无效投标。</w:t>
      </w:r>
    </w:p>
    <w:p w14:paraId="28B39356">
      <w:pPr>
        <w:pStyle w:val="1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转账附言：</w:t>
      </w:r>
      <w:r>
        <w:rPr>
          <w:rFonts w:hint="eastAsia" w:ascii="宋体" w:hAnsi="宋体" w:eastAsia="宋体" w:cs="宋体"/>
          <w:sz w:val="24"/>
          <w:szCs w:val="24"/>
          <w:highlight w:val="none"/>
          <w:u w:val="single"/>
        </w:rPr>
        <w:t>公司名称+项目名称+投标保证金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不按照此要求备注，不保证保证金退还时间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3BF35A3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cs="宋体"/>
          <w:sz w:val="24"/>
          <w:szCs w:val="24"/>
          <w:lang w:eastAsia="zh-CN"/>
        </w:rPr>
        <w:t>）</w:t>
      </w:r>
      <w:r>
        <w:rPr>
          <w:rFonts w:hint="eastAsia" w:ascii="宋体" w:hAnsi="宋体" w:eastAsia="宋体" w:cs="宋体"/>
          <w:sz w:val="24"/>
          <w:szCs w:val="24"/>
        </w:rPr>
        <w:t>投标保证金将于招标人内部完成中标人评审并确认最终中标人后在30工作日内予以原路返还。</w:t>
      </w:r>
    </w:p>
    <w:p w14:paraId="6253EEC4">
      <w:pPr>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五</w:t>
      </w:r>
      <w:r>
        <w:rPr>
          <w:rFonts w:hint="eastAsia" w:ascii="宋体" w:hAnsi="宋体" w:eastAsia="宋体" w:cs="宋体"/>
          <w:color w:val="000000"/>
          <w:sz w:val="24"/>
          <w:szCs w:val="24"/>
        </w:rPr>
        <w:t xml:space="preserve">）有下列情形之一的，投标保证金将不予退还：                                                            </w:t>
      </w:r>
    </w:p>
    <w:p w14:paraId="175A63EB">
      <w:pPr>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（1）截至开标前2天，投标人无正当理由、未以书面形式递交说明而在投标截止日不来投标的；</w:t>
      </w:r>
    </w:p>
    <w:p w14:paraId="1C071555">
      <w:pPr>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（2）投标人递送文件后，无正当理由放弃投标的；</w:t>
      </w:r>
    </w:p>
    <w:p w14:paraId="26DE807A">
      <w:pPr>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（3）自中标（成交）通知书发出之日起</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0日内，中标人无正当理由不签订合同的；</w:t>
      </w:r>
    </w:p>
    <w:p w14:paraId="10354BB4">
      <w:pPr>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（4）投标过程中被查实有串标、围标、陪标等违规违纪行为的；</w:t>
      </w:r>
    </w:p>
    <w:p w14:paraId="01CD2878">
      <w:pPr>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（5）投标人有违约违规行为或被投诉、举报的、在调查处理期间，保证金暂不退还，待调查处理结束后按有关规定处理。</w:t>
      </w:r>
    </w:p>
    <w:p w14:paraId="783B9EF6">
      <w:pPr>
        <w:spacing w:line="360" w:lineRule="auto"/>
        <w:ind w:firstLine="482" w:firstLineChars="200"/>
        <w:rPr>
          <w:rFonts w:hint="eastAsia" w:ascii="宋体" w:hAnsi="宋体"/>
          <w:b/>
          <w:bCs/>
          <w:sz w:val="24"/>
          <w:szCs w:val="22"/>
        </w:rPr>
      </w:pPr>
      <w:r>
        <w:rPr>
          <w:rFonts w:hint="eastAsia" w:ascii="宋体" w:hAnsi="宋体"/>
          <w:b/>
          <w:bCs/>
          <w:sz w:val="24"/>
          <w:szCs w:val="22"/>
          <w:lang w:val="en-US" w:eastAsia="zh-CN"/>
        </w:rPr>
        <w:t>7</w:t>
      </w:r>
      <w:r>
        <w:rPr>
          <w:rFonts w:hint="eastAsia" w:ascii="宋体" w:hAnsi="宋体"/>
          <w:b/>
          <w:bCs/>
          <w:sz w:val="24"/>
          <w:szCs w:val="22"/>
        </w:rPr>
        <w:t>、投标有效期</w:t>
      </w:r>
      <w:bookmarkEnd w:id="17"/>
      <w:bookmarkEnd w:id="18"/>
      <w:bookmarkEnd w:id="19"/>
    </w:p>
    <w:p w14:paraId="3C870AD5">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7.1本项目投标有效期：自开标之日起 30 个日历天。</w:t>
      </w:r>
    </w:p>
    <w:p w14:paraId="1A2F5064">
      <w:pPr>
        <w:pStyle w:val="14"/>
        <w:spacing w:line="360" w:lineRule="auto"/>
        <w:ind w:firstLine="480" w:firstLineChars="200"/>
        <w:rPr>
          <w:rFonts w:hint="eastAsia"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u w:val="single"/>
          <w:lang w:val="en-US" w:eastAsia="zh-CN"/>
        </w:rPr>
        <w:t>注：投标函的有效期比本须知规定的有效期短的，将被视为非响应性投标，该投标文件按无效投标处理。</w:t>
      </w:r>
    </w:p>
    <w:p w14:paraId="036EBC12">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7.2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14:paraId="46E71CA3">
      <w:pPr>
        <w:pStyle w:val="3"/>
        <w:spacing w:before="120" w:after="120" w:line="360" w:lineRule="auto"/>
        <w:ind w:firstLine="602" w:firstLineChars="214"/>
        <w:jc w:val="left"/>
        <w:rPr>
          <w:rFonts w:ascii="宋体" w:hAnsi="宋体" w:eastAsia="宋体" w:cs="宋体"/>
          <w:sz w:val="28"/>
          <w:szCs w:val="28"/>
        </w:rPr>
      </w:pPr>
      <w:bookmarkStart w:id="20" w:name="_Toc48665527"/>
      <w:r>
        <w:rPr>
          <w:rFonts w:hint="eastAsia" w:ascii="宋体" w:hAnsi="宋体" w:eastAsia="宋体" w:cs="宋体"/>
          <w:sz w:val="28"/>
          <w:szCs w:val="28"/>
          <w:lang w:val="en-US" w:eastAsia="zh-CN"/>
        </w:rPr>
        <w:t>二</w:t>
      </w:r>
      <w:r>
        <w:rPr>
          <w:rFonts w:hint="eastAsia" w:ascii="宋体" w:hAnsi="宋体" w:eastAsia="宋体" w:cs="宋体"/>
          <w:sz w:val="28"/>
          <w:szCs w:val="28"/>
        </w:rPr>
        <w:t>、投标文件递交</w:t>
      </w:r>
      <w:bookmarkEnd w:id="20"/>
    </w:p>
    <w:p w14:paraId="6C72279B">
      <w:pPr>
        <w:pStyle w:val="10"/>
        <w:tabs>
          <w:tab w:val="left" w:pos="955"/>
        </w:tabs>
        <w:spacing w:after="0" w:line="360" w:lineRule="auto"/>
        <w:ind w:left="1146" w:leftChars="273" w:hanging="573" w:hangingChars="238"/>
        <w:rPr>
          <w:rFonts w:hint="eastAsia" w:ascii="宋体" w:hAnsi="宋体" w:eastAsia="宋体" w:cs="宋体"/>
          <w:b/>
          <w:bCs/>
          <w:sz w:val="24"/>
          <w:szCs w:val="24"/>
        </w:rPr>
      </w:pPr>
      <w:bookmarkStart w:id="21" w:name="_Toc346306749"/>
      <w:bookmarkStart w:id="22" w:name="_Toc352332870"/>
      <w:bookmarkStart w:id="23" w:name="_Toc346372896"/>
      <w:r>
        <w:rPr>
          <w:rFonts w:hint="eastAsia" w:ascii="宋体" w:hAnsi="宋体" w:eastAsia="宋体" w:cs="宋体"/>
          <w:b/>
          <w:bCs/>
          <w:sz w:val="24"/>
          <w:szCs w:val="24"/>
          <w:lang w:val="en-US" w:eastAsia="zh-CN"/>
        </w:rPr>
        <w:t>8</w:t>
      </w:r>
      <w:r>
        <w:rPr>
          <w:rFonts w:hint="eastAsia" w:ascii="宋体" w:hAnsi="宋体" w:eastAsia="宋体" w:cs="宋体"/>
          <w:b/>
          <w:bCs/>
          <w:sz w:val="24"/>
          <w:szCs w:val="24"/>
        </w:rPr>
        <w:t>、投标文件递交时间和地点</w:t>
      </w:r>
      <w:bookmarkEnd w:id="21"/>
      <w:bookmarkEnd w:id="22"/>
      <w:bookmarkEnd w:id="23"/>
    </w:p>
    <w:p w14:paraId="2FE29701">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8.1投标文件（此处不含投标保证金）递交起止时间及地点</w:t>
      </w:r>
    </w:p>
    <w:p w14:paraId="1E1CA09E">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（1）投标文件递交开始时间：</w:t>
      </w:r>
      <w:r>
        <w:rPr>
          <w:rFonts w:hint="eastAsia" w:cs="仿宋" w:asciiTheme="minorEastAsia" w:hAnsiTheme="minorEastAsia" w:eastAsiaTheme="minorEastAsia"/>
          <w:sz w:val="24"/>
          <w:szCs w:val="24"/>
          <w:highlight w:val="none"/>
          <w:u w:val="single"/>
          <w:lang w:val="en-US" w:eastAsia="zh-CN"/>
        </w:rPr>
        <w:t xml:space="preserve">           见议程安排                 </w:t>
      </w:r>
      <w:r>
        <w:rPr>
          <w:rFonts w:hint="eastAsia" w:cs="仿宋" w:asciiTheme="minorEastAsia" w:hAnsiTheme="minorEastAsia" w:eastAsiaTheme="minorEastAsia"/>
          <w:sz w:val="24"/>
          <w:szCs w:val="24"/>
          <w:highlight w:val="none"/>
          <w:lang w:val="en-US" w:eastAsia="zh-CN"/>
        </w:rPr>
        <w:t>；</w:t>
      </w:r>
      <w:r>
        <w:rPr>
          <w:rFonts w:hint="eastAsia" w:cs="仿宋" w:asciiTheme="minorEastAsia" w:hAnsiTheme="minorEastAsia" w:eastAsiaTheme="minorEastAsia"/>
          <w:sz w:val="24"/>
          <w:szCs w:val="24"/>
          <w:lang w:val="en-US" w:eastAsia="zh-CN"/>
        </w:rPr>
        <w:t xml:space="preserve">                  </w:t>
      </w:r>
    </w:p>
    <w:p w14:paraId="7DAA7AA2">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（2）投标文件递交截止时间：</w:t>
      </w:r>
      <w:r>
        <w:rPr>
          <w:rFonts w:hint="eastAsia" w:cs="仿宋" w:asciiTheme="minorEastAsia" w:hAnsiTheme="minorEastAsia" w:eastAsiaTheme="minorEastAsia"/>
          <w:sz w:val="24"/>
          <w:szCs w:val="24"/>
          <w:highlight w:val="none"/>
          <w:u w:val="single"/>
          <w:lang w:val="en-US" w:eastAsia="zh-CN"/>
        </w:rPr>
        <w:t xml:space="preserve">            见议程安排                </w:t>
      </w:r>
      <w:r>
        <w:rPr>
          <w:rFonts w:hint="eastAsia" w:cs="仿宋" w:asciiTheme="minorEastAsia" w:hAnsiTheme="minorEastAsia" w:eastAsiaTheme="minorEastAsia"/>
          <w:sz w:val="24"/>
          <w:szCs w:val="24"/>
          <w:highlight w:val="none"/>
          <w:lang w:val="en-US" w:eastAsia="zh-CN"/>
        </w:rPr>
        <w:t>；</w:t>
      </w:r>
    </w:p>
    <w:p w14:paraId="33636EC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sz w:val="24"/>
          <w:szCs w:val="24"/>
          <w:highlight w:val="none"/>
          <w:u w:val="single"/>
          <w:lang w:val="en-US" w:eastAsia="zh-CN"/>
        </w:rPr>
      </w:pPr>
      <w:r>
        <w:rPr>
          <w:rFonts w:hint="eastAsia" w:cs="仿宋" w:asciiTheme="minorEastAsia" w:hAnsiTheme="minorEastAsia" w:eastAsiaTheme="minorEastAsia"/>
          <w:sz w:val="24"/>
          <w:szCs w:val="24"/>
          <w:lang w:val="en-US" w:eastAsia="zh-CN"/>
        </w:rPr>
        <w:t>（3）</w:t>
      </w:r>
      <w:r>
        <w:rPr>
          <w:rFonts w:hint="eastAsia" w:cs="仿宋" w:asciiTheme="minorEastAsia" w:hAnsiTheme="minorEastAsia" w:eastAsiaTheme="minorEastAsia"/>
          <w:sz w:val="24"/>
          <w:szCs w:val="24"/>
          <w:highlight w:val="none"/>
          <w:lang w:val="en-US" w:eastAsia="zh-CN"/>
        </w:rPr>
        <w:t>投标文件递交地点：</w:t>
      </w:r>
      <w:r>
        <w:rPr>
          <w:rFonts w:hint="eastAsia" w:cs="仿宋" w:asciiTheme="minorEastAsia" w:hAnsiTheme="minorEastAsia" w:eastAsiaTheme="minorEastAsia"/>
          <w:sz w:val="24"/>
          <w:szCs w:val="24"/>
          <w:highlight w:val="none"/>
          <w:u w:val="single"/>
          <w:lang w:val="en-US" w:eastAsia="zh-CN"/>
        </w:rPr>
        <w:t xml:space="preserve">济南市高新区华奥路777号重汽科技大厦  </w:t>
      </w:r>
    </w:p>
    <w:p w14:paraId="77C57F90">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highlight w:val="none"/>
          <w:u w:val="none"/>
          <w:lang w:val="en-US" w:eastAsia="zh-CN"/>
        </w:rPr>
        <w:t>收件人：</w:t>
      </w:r>
      <w:r>
        <w:rPr>
          <w:rFonts w:hint="eastAsia" w:ascii="宋体" w:hAnsi="宋体" w:eastAsia="宋体" w:cs="宋体"/>
          <w:sz w:val="24"/>
          <w:szCs w:val="24"/>
          <w:highlight w:val="none"/>
          <w:u w:val="single"/>
          <w:lang w:val="en-US" w:eastAsia="zh-CN"/>
        </w:rPr>
        <w:t>刘琦13668800214</w:t>
      </w:r>
    </w:p>
    <w:p w14:paraId="7E1657B5">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8.2投标人代表必须在投标截止时间前将投标文件送达指定地点。如因招标文件的修</w:t>
      </w:r>
      <w:r>
        <w:rPr>
          <w:rFonts w:hint="eastAsia" w:ascii="宋体" w:hAnsi="宋体"/>
          <w:spacing w:val="4"/>
          <w:sz w:val="24"/>
        </w:rPr>
        <w:t>改推</w:t>
      </w:r>
      <w:r>
        <w:rPr>
          <w:rFonts w:hint="eastAsia" w:cs="仿宋" w:asciiTheme="minorEastAsia" w:hAnsiTheme="minorEastAsia" w:eastAsiaTheme="minorEastAsia"/>
          <w:sz w:val="24"/>
          <w:szCs w:val="24"/>
          <w:lang w:val="en-US" w:eastAsia="zh-CN"/>
        </w:rPr>
        <w:t>迟投标截止日期的，则按招标人另行通知规定的时间递交。</w:t>
      </w:r>
    </w:p>
    <w:p w14:paraId="61367608">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8.3招标人不接收投标截止时间后送达的投标文件。</w:t>
      </w:r>
    </w:p>
    <w:p w14:paraId="03AB3E69">
      <w:pPr>
        <w:pStyle w:val="10"/>
        <w:tabs>
          <w:tab w:val="left" w:pos="955"/>
        </w:tabs>
        <w:spacing w:after="0" w:line="360" w:lineRule="auto"/>
        <w:ind w:left="1146" w:leftChars="273" w:hanging="573" w:hangingChars="238"/>
        <w:rPr>
          <w:rFonts w:hint="eastAsia" w:ascii="宋体" w:hAnsi="宋体" w:eastAsia="宋体" w:cs="宋体"/>
          <w:b/>
          <w:bCs/>
          <w:color w:val="auto"/>
          <w:sz w:val="24"/>
          <w:szCs w:val="24"/>
        </w:rPr>
      </w:pPr>
      <w:bookmarkStart w:id="24" w:name="_Toc346372897"/>
      <w:bookmarkStart w:id="25" w:name="_Toc346306750"/>
      <w:bookmarkStart w:id="26" w:name="_Toc352332871"/>
      <w:r>
        <w:rPr>
          <w:rFonts w:hint="eastAsia" w:ascii="宋体" w:hAnsi="宋体" w:cs="宋体"/>
          <w:b/>
          <w:bCs/>
          <w:color w:val="auto"/>
          <w:sz w:val="24"/>
          <w:szCs w:val="24"/>
          <w:lang w:val="en-US" w:eastAsia="zh-CN"/>
        </w:rPr>
        <w:t>9</w:t>
      </w:r>
      <w:r>
        <w:rPr>
          <w:rFonts w:hint="eastAsia" w:ascii="宋体" w:hAnsi="宋体" w:cs="宋体"/>
          <w:b/>
          <w:bCs/>
          <w:color w:val="auto"/>
          <w:sz w:val="24"/>
          <w:szCs w:val="24"/>
        </w:rPr>
        <w:t>、</w:t>
      </w:r>
      <w:r>
        <w:rPr>
          <w:rFonts w:hint="eastAsia" w:ascii="宋体" w:hAnsi="宋体" w:eastAsia="宋体" w:cs="宋体"/>
          <w:b/>
          <w:bCs/>
          <w:color w:val="auto"/>
          <w:sz w:val="24"/>
          <w:szCs w:val="24"/>
        </w:rPr>
        <w:t>投标文件签收</w:t>
      </w:r>
      <w:bookmarkEnd w:id="24"/>
      <w:bookmarkEnd w:id="25"/>
      <w:bookmarkEnd w:id="26"/>
    </w:p>
    <w:p w14:paraId="63259E53">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9.1本项目只接受现场递交书面形式的投标，其他形式的投标不予接收。</w:t>
      </w:r>
    </w:p>
    <w:p w14:paraId="59B00B2D">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9.2投标截止时间后对投标人已提交的投标文件不予退还。</w:t>
      </w:r>
      <w:bookmarkStart w:id="27" w:name="_Toc346372898"/>
      <w:bookmarkStart w:id="28" w:name="_Toc352332872"/>
      <w:bookmarkStart w:id="29" w:name="_Toc346306751"/>
    </w:p>
    <w:p w14:paraId="11D8DCA8">
      <w:pPr>
        <w:spacing w:line="360" w:lineRule="auto"/>
        <w:ind w:left="124" w:leftChars="59" w:firstLine="487" w:firstLineChars="202"/>
        <w:rPr>
          <w:rFonts w:ascii="宋体" w:hAnsi="宋体"/>
          <w:b/>
          <w:bCs/>
          <w:sz w:val="24"/>
          <w:szCs w:val="24"/>
        </w:rPr>
      </w:pPr>
      <w:r>
        <w:rPr>
          <w:rFonts w:ascii="宋体" w:hAnsi="宋体" w:cs="宋体"/>
          <w:b/>
          <w:bCs/>
          <w:sz w:val="24"/>
          <w:szCs w:val="24"/>
        </w:rPr>
        <w:t>1</w:t>
      </w:r>
      <w:r>
        <w:rPr>
          <w:rFonts w:hint="eastAsia" w:ascii="宋体" w:hAnsi="宋体" w:cs="宋体"/>
          <w:b/>
          <w:bCs/>
          <w:sz w:val="24"/>
          <w:szCs w:val="24"/>
          <w:lang w:val="en-US" w:eastAsia="zh-CN"/>
        </w:rPr>
        <w:t>0</w:t>
      </w:r>
      <w:r>
        <w:rPr>
          <w:rFonts w:hint="eastAsia" w:ascii="宋体" w:hAnsi="宋体" w:cs="宋体"/>
          <w:b/>
          <w:bCs/>
          <w:sz w:val="24"/>
          <w:szCs w:val="24"/>
        </w:rPr>
        <w:t>、投标文件修改与撤回</w:t>
      </w:r>
      <w:bookmarkEnd w:id="27"/>
      <w:bookmarkEnd w:id="28"/>
      <w:bookmarkEnd w:id="29"/>
    </w:p>
    <w:p w14:paraId="58B0BBA3">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10.1投标人在招标文件要求提交投标文件的截止时间前，可以修改或者撤回已提交的投标文件，按并书面形式通知招标人。</w:t>
      </w:r>
    </w:p>
    <w:p w14:paraId="35DBBCF7">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10.2任何修改内容必须由投标人的法定代表人（或负责人）或其授权代理人签字，不得涂抹。经法定代表人（或负责人）或其授权代理人正式签署的修改文件组成投标文件的一部分，份数和密封要求同投标文件一致。由委托代理人签字的投标资格证明文件中须附授权委托书。</w:t>
      </w:r>
    </w:p>
    <w:p w14:paraId="48F1B037">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10.3投标截止时间后不允许对投标文件做实质性修改。</w:t>
      </w:r>
    </w:p>
    <w:p w14:paraId="0BC09AB5">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10.4投标有效期内不得撤回投标。</w:t>
      </w:r>
    </w:p>
    <w:p w14:paraId="1A1D8E2F">
      <w:pPr>
        <w:spacing w:line="360" w:lineRule="auto"/>
        <w:ind w:left="124" w:leftChars="59" w:firstLine="487" w:firstLineChars="202"/>
        <w:rPr>
          <w:rFonts w:ascii="宋体" w:hAnsi="宋体" w:cs="宋体"/>
          <w:b/>
          <w:bCs/>
          <w:sz w:val="24"/>
          <w:szCs w:val="24"/>
        </w:rPr>
      </w:pPr>
      <w:bookmarkStart w:id="30" w:name="_Toc48665528"/>
      <w:r>
        <w:rPr>
          <w:rFonts w:hint="eastAsia" w:ascii="宋体" w:hAnsi="宋体" w:cs="宋体"/>
          <w:b/>
          <w:bCs/>
          <w:sz w:val="24"/>
          <w:szCs w:val="24"/>
          <w:lang w:val="en-US" w:eastAsia="zh-CN"/>
        </w:rPr>
        <w:t>三</w:t>
      </w:r>
      <w:r>
        <w:rPr>
          <w:rFonts w:hint="eastAsia" w:ascii="宋体" w:hAnsi="宋体" w:cs="宋体"/>
          <w:b/>
          <w:bCs/>
          <w:sz w:val="24"/>
          <w:szCs w:val="24"/>
        </w:rPr>
        <w:t>、开标与评标</w:t>
      </w:r>
      <w:bookmarkEnd w:id="30"/>
    </w:p>
    <w:p w14:paraId="7011091E">
      <w:pPr>
        <w:spacing w:line="360" w:lineRule="auto"/>
        <w:ind w:left="124" w:leftChars="59" w:firstLine="487" w:firstLineChars="202"/>
        <w:rPr>
          <w:rFonts w:hint="eastAsia" w:ascii="宋体" w:hAnsi="宋体" w:cs="宋体"/>
          <w:b/>
          <w:bCs/>
          <w:sz w:val="24"/>
          <w:szCs w:val="24"/>
        </w:rPr>
      </w:pPr>
      <w:bookmarkStart w:id="31" w:name="_Toc212369527"/>
      <w:r>
        <w:rPr>
          <w:rFonts w:hint="eastAsia"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、开标</w:t>
      </w:r>
      <w:bookmarkEnd w:id="31"/>
    </w:p>
    <w:p w14:paraId="22307A3C">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11.1本次招标的开标、评标由招标人依法组织实施。</w:t>
      </w:r>
    </w:p>
    <w:p w14:paraId="6DA07276">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11.2本项目开标时间和地点见投标人须知。开标会议由招标人组织并主持。招标人和招标人邀请各投标人派员参加开标会议。投标人未参加开标的，视同认可开标结果。</w:t>
      </w:r>
    </w:p>
    <w:p w14:paraId="11B04235">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bookmarkStart w:id="32" w:name="_Toc92678127"/>
      <w:r>
        <w:rPr>
          <w:rFonts w:hint="eastAsia" w:cs="仿宋" w:asciiTheme="minorEastAsia" w:hAnsiTheme="minorEastAsia" w:eastAsiaTheme="minorEastAsia"/>
          <w:sz w:val="24"/>
          <w:szCs w:val="24"/>
          <w:highlight w:val="none"/>
          <w:lang w:val="en-US" w:eastAsia="zh-CN"/>
        </w:rPr>
        <w:t>11.3开标程序</w:t>
      </w:r>
    </w:p>
    <w:p w14:paraId="6899D342">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（1）宣布开标会议开始。</w:t>
      </w:r>
    </w:p>
    <w:p w14:paraId="6B6D665C">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（2）宣读评标纪律，并确认。</w:t>
      </w:r>
    </w:p>
    <w:p w14:paraId="18E89B5C">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（3）投标人或投标人推选的代表对投标文件密封情况进行检查（投标人未参加现场开标会议的，视同认可投标文件密封完好）。</w:t>
      </w:r>
    </w:p>
    <w:p w14:paraId="3C716C4C">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（4）经确认无误后，由工作人员当众拆封，拆启投标人资格证明文件进行核验，再拆启技术标书，商务标书、开标一览表暂时不拆启，由招标人指定专人保管。</w:t>
      </w:r>
    </w:p>
    <w:p w14:paraId="402B2D51">
      <w:pPr>
        <w:pStyle w:val="14"/>
        <w:spacing w:line="360" w:lineRule="auto"/>
        <w:ind w:firstLine="480" w:firstLineChars="200"/>
        <w:rPr>
          <w:rFonts w:hint="eastAsia" w:ascii="宋体" w:hAnsi="宋体"/>
          <w:spacing w:val="4"/>
          <w:sz w:val="24"/>
          <w:highlight w:val="none"/>
        </w:rPr>
      </w:pPr>
      <w:r>
        <w:rPr>
          <w:rFonts w:hint="eastAsia" w:cs="仿宋" w:asciiTheme="minorEastAsia" w:hAnsiTheme="minorEastAsia" w:eastAsiaTheme="minorEastAsia"/>
          <w:sz w:val="24"/>
          <w:szCs w:val="24"/>
          <w:highlight w:val="none"/>
          <w:lang w:val="en-US" w:eastAsia="zh-CN"/>
        </w:rPr>
        <w:t>（5）由评标专家组对所有投标方的技术方案进行综合评定和打分，确定进入商务标</w:t>
      </w:r>
      <w:r>
        <w:rPr>
          <w:rFonts w:hint="eastAsia" w:ascii="宋体" w:hAnsi="宋体"/>
          <w:spacing w:val="4"/>
          <w:sz w:val="24"/>
          <w:highlight w:val="none"/>
        </w:rPr>
        <w:t>评阶段的投标方。</w:t>
      </w:r>
    </w:p>
    <w:p w14:paraId="44D0E079">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6）根据技术标评审结果，通知未进入商务标评标资格的投标方离场，商务投标书不可带走。经进入商务标的投标方对投标一览表、商务标书密封性进行检查，经确认无误后，由工作人员当众拆封进入商务标评标资格单位的开标一览表，宣读投标人名称、投标价格和投标文件的其他主要内容，投标人授权代表现场确认无误后进行商务标的评标，招标专家组可与投标方进行多次商务谈判。</w:t>
      </w:r>
    </w:p>
    <w:p w14:paraId="21EA1F77">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（7）根据技术标及商务标综合得分，形成专家意见汇总，确定投标人排序及入围方。</w:t>
      </w:r>
    </w:p>
    <w:p w14:paraId="7343D723">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（8）招标人有权根据项目情况，采取多级评标模式，最终确定中标人。</w:t>
      </w:r>
    </w:p>
    <w:p w14:paraId="27477C4C">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（9）投标前请各投标方按照招标文件要求对项目方案进行充分准备，投标单位已默认认可上述开标、评标过程，无异议。招标人无义务对未入围投标方及未中标方做任何解释。</w:t>
      </w:r>
    </w:p>
    <w:p w14:paraId="262AF5F8">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（10）开标结束后，招标方仍可组织对投标人的投标资格进行审查，评标委员会对投标人是否实质性响应招标文件要求进行符合性审查。</w:t>
      </w:r>
    </w:p>
    <w:p w14:paraId="59B526B6">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11）对招标文件的实质性要求和条件做出响应的投标应该是与招标文件要求的全部条款、条件、指标和规格相符，没有重大偏离的投标。招标方和评委判定投标的响应性只根据投标本身的内容，而不寻求外部的证据。评标委员会认为有必要时，将要求投标人述标或对投标文件中某些内容做出澄清或说明，但不接受投标人主动提出的澄清和说明。</w:t>
      </w:r>
    </w:p>
    <w:p w14:paraId="50BCBF8D">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11.4投标文件及评标过程出现（但不限于）下列情况之一的，由评标委员会评审后有权拒绝其投标或作无效投标处理：</w:t>
      </w:r>
    </w:p>
    <w:p w14:paraId="61E8C1F3">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（1）超出经营范围投标的；</w:t>
      </w:r>
    </w:p>
    <w:p w14:paraId="3465954E">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（2）不具备招标文件规定的资格条件及未按招标文件规定的要求提供资格证明文件的；</w:t>
      </w:r>
    </w:p>
    <w:p w14:paraId="111371A4">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（3）无法定代表人（或负责人）签字或盖章的，签字人无法定代表人（或负责人）有效授权的，应加盖投标人公章而未盖章的，未按照招标文件要求密封的；</w:t>
      </w:r>
    </w:p>
    <w:p w14:paraId="1DF65167">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（4）投标人名称或组织结构与资格预审时不一致的；</w:t>
      </w:r>
    </w:p>
    <w:p w14:paraId="7EE1F123">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（5）投标有效期不足的；</w:t>
      </w:r>
    </w:p>
    <w:p w14:paraId="240FEC60">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（6）同一投标人提交两个及以上投标报价的；</w:t>
      </w:r>
    </w:p>
    <w:p w14:paraId="7B2F07B1">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（7）投标报价不合理，低于成本的；</w:t>
      </w:r>
    </w:p>
    <w:p w14:paraId="5120906D">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（8）重要内容或关键字迹模糊不清无法辨认的；</w:t>
      </w:r>
    </w:p>
    <w:p w14:paraId="10348D6F">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（9）其他未对招标文件实质性要求和条件做出响应的；</w:t>
      </w:r>
    </w:p>
    <w:p w14:paraId="017101A3">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（10）不同投标人投标文件相互混装的；不同投标人投标文件中的项目相关人员出现同一人的；不同投标人的投标文件内容出现非正常一致的；</w:t>
      </w:r>
    </w:p>
    <w:p w14:paraId="15A2FAC3">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（11）故意哄抬价格或压价等其他恶意串通投标的；有损害招标方和用户利益的规定的。</w:t>
      </w:r>
    </w:p>
    <w:p w14:paraId="2F686553">
      <w:pPr>
        <w:spacing w:line="360" w:lineRule="auto"/>
        <w:ind w:left="124" w:leftChars="59" w:firstLine="487" w:firstLineChars="202"/>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2</w:t>
      </w:r>
      <w:r>
        <w:rPr>
          <w:rFonts w:hint="eastAsia" w:ascii="宋体" w:hAnsi="宋体" w:cs="宋体"/>
          <w:b/>
          <w:bCs/>
          <w:sz w:val="24"/>
          <w:szCs w:val="24"/>
        </w:rPr>
        <w:t>、评标</w:t>
      </w:r>
      <w:bookmarkEnd w:id="32"/>
    </w:p>
    <w:p w14:paraId="0264D2A7">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12.1评标委员会</w:t>
      </w:r>
    </w:p>
    <w:p w14:paraId="15C2C453">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招标人将根据本项目的特点组建评标委员会，评标委员会负责对投标文件进行审查、质疑、评标，提出书面评标报告，并向招标人推荐中标候选人排序名单。</w:t>
      </w:r>
    </w:p>
    <w:p w14:paraId="546C5AC0">
      <w:pPr>
        <w:spacing w:line="360" w:lineRule="auto"/>
        <w:ind w:left="124" w:leftChars="59" w:firstLine="487" w:firstLineChars="202"/>
        <w:rPr>
          <w:rFonts w:hint="eastAsia" w:ascii="宋体" w:hAnsi="宋体" w:cs="宋体"/>
          <w:b/>
          <w:bCs/>
          <w:sz w:val="24"/>
          <w:szCs w:val="24"/>
          <w:highlight w:val="none"/>
        </w:rPr>
      </w:pPr>
      <w:bookmarkStart w:id="33" w:name="_Toc92678128"/>
      <w:bookmarkStart w:id="34" w:name="_Toc212369528"/>
      <w:r>
        <w:rPr>
          <w:rFonts w:hint="eastAsia" w:ascii="宋体" w:hAnsi="宋体" w:cs="宋体"/>
          <w:b/>
          <w:bCs/>
          <w:sz w:val="24"/>
          <w:szCs w:val="24"/>
          <w:highlight w:val="none"/>
          <w:lang w:val="en-US" w:eastAsia="zh-CN"/>
        </w:rPr>
        <w:t>12.2</w:t>
      </w:r>
      <w:r>
        <w:rPr>
          <w:rFonts w:hint="eastAsia" w:ascii="宋体" w:hAnsi="宋体" w:cs="宋体"/>
          <w:b/>
          <w:bCs/>
          <w:sz w:val="24"/>
          <w:szCs w:val="24"/>
          <w:highlight w:val="none"/>
        </w:rPr>
        <w:t>评标原则</w:t>
      </w:r>
      <w:bookmarkEnd w:id="33"/>
      <w:bookmarkEnd w:id="34"/>
    </w:p>
    <w:p w14:paraId="12132B0C">
      <w:pPr>
        <w:pStyle w:val="14"/>
        <w:spacing w:line="360" w:lineRule="auto"/>
        <w:ind w:firstLine="480" w:firstLineChars="200"/>
        <w:rPr>
          <w:rFonts w:hint="eastAsia" w:cs="仿宋" w:asciiTheme="minorEastAsia" w:hAnsiTheme="minorEastAsia" w:eastAsiaTheme="minorEastAsia"/>
          <w:sz w:val="24"/>
          <w:szCs w:val="24"/>
          <w:lang w:val="en-US" w:eastAsia="zh-CN"/>
        </w:rPr>
      </w:pPr>
      <w:bookmarkStart w:id="35" w:name="_Toc212369529"/>
      <w:r>
        <w:rPr>
          <w:rFonts w:hint="eastAsia" w:cs="仿宋" w:asciiTheme="minorEastAsia" w:hAnsiTheme="minorEastAsia" w:eastAsiaTheme="minorEastAsia"/>
          <w:sz w:val="24"/>
          <w:szCs w:val="24"/>
          <w:lang w:val="en-US" w:eastAsia="zh-CN"/>
        </w:rPr>
        <w:t>“公平、公正、科学、择优”为本次评标的基本原则，评标委员会按照这一原则的要求，公正、平等地对待各投标人。同时，在评标过程中恪守以下原则：</w:t>
      </w:r>
      <w:bookmarkEnd w:id="35"/>
    </w:p>
    <w:p w14:paraId="139E3803">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（1）客观性原则：评标委员会将严格按照招标文件要求的内容，对投标人的投标文件进行认真评审；评标委员会对投标文件的评审仅依据投标文件本身，而不依靠投标文件以外的任何因素；</w:t>
      </w:r>
    </w:p>
    <w:p w14:paraId="19B7D8E7">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（2）统一性原则：评标委员会将按照统一的评标原则和评标办法，用同一标准进行评审。</w:t>
      </w:r>
    </w:p>
    <w:p w14:paraId="67287F12">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（3）独立性原则：评标工作在评标委员会内部独立进行，不受外界任何因素的干扰和影响。评标委员会成员对出具的评审意见承担个人责任。</w:t>
      </w:r>
    </w:p>
    <w:p w14:paraId="0F3A54AA">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（4）保密性原则：招标人应当采取必要的措施，保证评标在严格保密的情况下进行。</w:t>
      </w:r>
    </w:p>
    <w:p w14:paraId="68BE89E5">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（5）综合性原则：评标委员会将综合分析、评审投标人的各项指标，而不以单项指标的优劣评定出中标人。</w:t>
      </w:r>
    </w:p>
    <w:p w14:paraId="617B5B84">
      <w:pPr>
        <w:spacing w:line="360" w:lineRule="auto"/>
        <w:ind w:left="124" w:leftChars="59" w:firstLine="487" w:firstLineChars="202"/>
        <w:rPr>
          <w:rFonts w:hint="eastAsia" w:ascii="宋体" w:hAnsi="宋体" w:eastAsia="宋体" w:cs="宋体"/>
          <w:b/>
          <w:bCs/>
          <w:sz w:val="24"/>
          <w:szCs w:val="24"/>
          <w:highlight w:val="none"/>
          <w:lang w:val="en-US" w:eastAsia="zh-CN"/>
        </w:rPr>
      </w:pPr>
      <w:bookmarkStart w:id="36" w:name="_Toc48665529"/>
      <w:r>
        <w:rPr>
          <w:rFonts w:hint="eastAsia" w:ascii="宋体" w:hAnsi="宋体" w:cs="宋体"/>
          <w:b/>
          <w:bCs/>
          <w:sz w:val="24"/>
          <w:szCs w:val="24"/>
          <w:highlight w:val="none"/>
          <w:lang w:val="en-US" w:eastAsia="zh-CN"/>
        </w:rPr>
        <w:t>12.3</w:t>
      </w:r>
      <w:r>
        <w:rPr>
          <w:rFonts w:hint="eastAsia" w:ascii="宋体" w:hAnsi="宋体" w:eastAsia="宋体" w:cs="宋体"/>
          <w:b/>
          <w:bCs/>
          <w:sz w:val="24"/>
          <w:szCs w:val="24"/>
          <w:highlight w:val="none"/>
          <w:lang w:val="en-US" w:eastAsia="zh-CN"/>
        </w:rPr>
        <w:t>评分细则</w:t>
      </w:r>
    </w:p>
    <w:p w14:paraId="3FB9D1E6">
      <w:pPr>
        <w:spacing w:line="360" w:lineRule="auto"/>
        <w:ind w:firstLine="566" w:firstLineChars="236"/>
        <w:rPr>
          <w:rFonts w:hint="eastAsia" w:ascii="宋体" w:hAnsi="宋体" w:cs="宋体"/>
          <w:b w:val="0"/>
          <w:bCs w:val="0"/>
          <w:sz w:val="24"/>
          <w:highlight w:val="none"/>
        </w:rPr>
      </w:pPr>
      <w:r>
        <w:rPr>
          <w:rFonts w:hint="eastAsia" w:ascii="宋体" w:hAnsi="宋体" w:cs="宋体"/>
          <w:b w:val="0"/>
          <w:bCs w:val="0"/>
          <w:sz w:val="24"/>
          <w:highlight w:val="none"/>
        </w:rPr>
        <w:t>评标工作由招标人为该项目依法组织的、由三人及以上单数成员（视标的额大小按规定确定专家人数）组成的评标工作小组负责，参照以下评分标准，</w:t>
      </w:r>
      <w:r>
        <w:rPr>
          <w:rFonts w:hint="eastAsia" w:ascii="宋体" w:hAnsi="宋体" w:cs="宋体"/>
          <w:b/>
          <w:bCs/>
          <w:sz w:val="24"/>
          <w:highlight w:val="none"/>
          <w:lang w:val="en-US" w:eastAsia="zh-CN"/>
        </w:rPr>
        <w:t>采用技术标入围后，商务标实行低价中标</w:t>
      </w:r>
      <w:r>
        <w:rPr>
          <w:rFonts w:hint="eastAsia" w:ascii="宋体" w:hAnsi="宋体" w:cs="宋体"/>
          <w:b w:val="0"/>
          <w:bCs w:val="0"/>
          <w:sz w:val="24"/>
          <w:highlight w:val="none"/>
        </w:rPr>
        <w:t>，即由评标工作小组按照国家招投标有关规定，本着公平、公正、公开、有序的原则，在最大限度地满足招标文件实质性要求的前提下，按照招标文件中规定的各项因素进行评审，并根据</w:t>
      </w:r>
      <w:r>
        <w:rPr>
          <w:rFonts w:hint="eastAsia" w:ascii="宋体" w:hAnsi="宋体" w:cs="宋体"/>
          <w:b w:val="0"/>
          <w:bCs w:val="0"/>
          <w:sz w:val="24"/>
          <w:highlight w:val="none"/>
          <w:lang w:val="en-US" w:eastAsia="zh-CN"/>
        </w:rPr>
        <w:t>材料、维修费</w:t>
      </w:r>
      <w:r>
        <w:rPr>
          <w:rFonts w:hint="eastAsia" w:ascii="宋体" w:hAnsi="宋体" w:cs="宋体"/>
          <w:b w:val="0"/>
          <w:bCs w:val="0"/>
          <w:sz w:val="24"/>
          <w:highlight w:val="none"/>
        </w:rPr>
        <w:t>报价情况，依据本招标书列示的相关报价</w:t>
      </w:r>
      <w:r>
        <w:rPr>
          <w:rFonts w:hint="eastAsia" w:ascii="宋体" w:hAnsi="宋体" w:cs="宋体"/>
          <w:b w:val="0"/>
          <w:bCs w:val="0"/>
          <w:sz w:val="24"/>
          <w:highlight w:val="none"/>
          <w:lang w:val="en-US" w:eastAsia="zh-CN"/>
        </w:rPr>
        <w:t>评审</w:t>
      </w:r>
      <w:r>
        <w:rPr>
          <w:rFonts w:hint="eastAsia" w:ascii="宋体" w:hAnsi="宋体" w:cs="宋体"/>
          <w:b w:val="0"/>
          <w:bCs w:val="0"/>
          <w:sz w:val="24"/>
          <w:highlight w:val="none"/>
        </w:rPr>
        <w:t>规则</w:t>
      </w:r>
      <w:r>
        <w:rPr>
          <w:rFonts w:hint="eastAsia" w:ascii="宋体" w:hAnsi="宋体" w:cs="宋体"/>
          <w:b/>
          <w:bCs/>
          <w:sz w:val="24"/>
          <w:highlight w:val="none"/>
        </w:rPr>
        <w:t>，</w:t>
      </w:r>
      <w:r>
        <w:rPr>
          <w:rFonts w:hint="eastAsia" w:ascii="宋体" w:hAnsi="宋体" w:cs="宋体"/>
          <w:b/>
          <w:bCs/>
          <w:sz w:val="24"/>
          <w:highlight w:val="none"/>
          <w:lang w:val="en-US" w:eastAsia="zh-CN"/>
        </w:rPr>
        <w:t>按需</w:t>
      </w:r>
      <w:r>
        <w:rPr>
          <w:rFonts w:hint="eastAsia" w:ascii="宋体" w:hAnsi="宋体" w:cs="宋体"/>
          <w:b/>
          <w:bCs/>
          <w:sz w:val="24"/>
          <w:highlight w:val="none"/>
        </w:rPr>
        <w:t>确定中标候选人</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中标人不唯一</w:t>
      </w:r>
      <w:r>
        <w:rPr>
          <w:rFonts w:hint="eastAsia" w:ascii="宋体" w:hAnsi="宋体" w:cs="宋体"/>
          <w:b/>
          <w:bCs/>
          <w:sz w:val="24"/>
          <w:highlight w:val="none"/>
          <w:lang w:eastAsia="zh-CN"/>
        </w:rPr>
        <w:t>）</w:t>
      </w:r>
      <w:r>
        <w:rPr>
          <w:rFonts w:hint="eastAsia" w:ascii="宋体" w:hAnsi="宋体" w:cs="宋体"/>
          <w:b w:val="0"/>
          <w:bCs w:val="0"/>
          <w:sz w:val="24"/>
          <w:highlight w:val="none"/>
        </w:rPr>
        <w:t>，对未中标人不做任何解释。</w:t>
      </w:r>
    </w:p>
    <w:p w14:paraId="0EA4E33F">
      <w:pPr>
        <w:spacing w:line="360" w:lineRule="auto"/>
        <w:ind w:firstLine="569" w:firstLineChars="236"/>
        <w:rPr>
          <w:rFonts w:ascii="宋体" w:cs="宋体"/>
          <w:b/>
          <w:bCs/>
          <w:kern w:val="0"/>
          <w:sz w:val="24"/>
          <w:highlight w:val="none"/>
        </w:rPr>
      </w:pPr>
      <w:r>
        <w:rPr>
          <w:rFonts w:hint="eastAsia" w:ascii="宋体" w:hAnsi="宋体" w:cs="宋体"/>
          <w:b/>
          <w:bCs/>
          <w:sz w:val="24"/>
          <w:highlight w:val="none"/>
        </w:rPr>
        <w:t>评分细则如下：</w:t>
      </w:r>
    </w:p>
    <w:p w14:paraId="7B8F3746">
      <w:pPr>
        <w:pStyle w:val="80"/>
        <w:spacing w:before="0" w:after="0"/>
        <w:jc w:val="center"/>
        <w:rPr>
          <w:rStyle w:val="82"/>
          <w:rFonts w:hAnsi="宋体"/>
          <w:highlight w:val="none"/>
        </w:rPr>
      </w:pPr>
      <w:r>
        <w:rPr>
          <w:rStyle w:val="82"/>
          <w:rFonts w:hint="eastAsia" w:ascii="宋体" w:hAnsi="宋体"/>
          <w:sz w:val="24"/>
          <w:highlight w:val="none"/>
        </w:rPr>
        <w:t>技术标评分细则（满分100分）</w:t>
      </w:r>
    </w:p>
    <w:p w14:paraId="4F36916A">
      <w:pPr>
        <w:pStyle w:val="80"/>
        <w:spacing w:before="0" w:after="0"/>
        <w:jc w:val="center"/>
        <w:rPr>
          <w:rStyle w:val="82"/>
          <w:rFonts w:ascii="宋体" w:hAnsi="宋体"/>
          <w:sz w:val="24"/>
          <w:highlight w:val="none"/>
        </w:rPr>
      </w:pPr>
    </w:p>
    <w:tbl>
      <w:tblPr>
        <w:tblStyle w:val="31"/>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083"/>
        <w:gridCol w:w="886"/>
        <w:gridCol w:w="7452"/>
      </w:tblGrid>
      <w:tr w14:paraId="2230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tcBorders>
              <w:top w:val="single" w:color="auto" w:sz="4" w:space="0"/>
              <w:left w:val="single" w:color="auto" w:sz="4" w:space="0"/>
              <w:bottom w:val="single" w:color="auto" w:sz="4" w:space="0"/>
              <w:right w:val="single" w:color="auto" w:sz="4" w:space="0"/>
            </w:tcBorders>
            <w:noWrap/>
            <w:vAlign w:val="center"/>
          </w:tcPr>
          <w:p w14:paraId="133A4601">
            <w:pPr>
              <w:widowControl/>
              <w:spacing w:line="360" w:lineRule="auto"/>
              <w:jc w:val="center"/>
              <w:rPr>
                <w:rFonts w:cs="宋体"/>
                <w:spacing w:val="-20"/>
                <w:highlight w:val="none"/>
              </w:rPr>
            </w:pPr>
            <w:r>
              <w:rPr>
                <w:rFonts w:hint="eastAsia" w:ascii="宋体" w:cs="宋体"/>
                <w:spacing w:val="-20"/>
                <w:kern w:val="0"/>
                <w:szCs w:val="21"/>
                <w:highlight w:val="none"/>
              </w:rPr>
              <w:t>序号</w:t>
            </w:r>
          </w:p>
        </w:tc>
        <w:tc>
          <w:tcPr>
            <w:tcW w:w="1084" w:type="dxa"/>
            <w:tcBorders>
              <w:top w:val="single" w:color="auto" w:sz="4" w:space="0"/>
              <w:left w:val="single" w:color="auto" w:sz="4" w:space="0"/>
              <w:bottom w:val="single" w:color="auto" w:sz="4" w:space="0"/>
              <w:right w:val="single" w:color="auto" w:sz="4" w:space="0"/>
            </w:tcBorders>
            <w:noWrap/>
            <w:vAlign w:val="center"/>
          </w:tcPr>
          <w:p w14:paraId="3E4870EB">
            <w:pPr>
              <w:widowControl/>
              <w:spacing w:line="360" w:lineRule="auto"/>
              <w:jc w:val="center"/>
              <w:rPr>
                <w:rFonts w:ascii="宋体" w:cs="宋体"/>
                <w:highlight w:val="none"/>
              </w:rPr>
            </w:pPr>
            <w:r>
              <w:rPr>
                <w:rFonts w:hint="eastAsia" w:ascii="宋体" w:cs="宋体"/>
                <w:kern w:val="0"/>
                <w:szCs w:val="21"/>
                <w:highlight w:val="none"/>
              </w:rPr>
              <w:t>类别</w:t>
            </w:r>
          </w:p>
        </w:tc>
        <w:tc>
          <w:tcPr>
            <w:tcW w:w="887" w:type="dxa"/>
            <w:tcBorders>
              <w:top w:val="single" w:color="auto" w:sz="4" w:space="0"/>
              <w:left w:val="single" w:color="auto" w:sz="4" w:space="0"/>
              <w:bottom w:val="single" w:color="auto" w:sz="4" w:space="0"/>
              <w:right w:val="single" w:color="auto" w:sz="4" w:space="0"/>
            </w:tcBorders>
            <w:noWrap/>
            <w:vAlign w:val="center"/>
          </w:tcPr>
          <w:p w14:paraId="099DF68F">
            <w:pPr>
              <w:widowControl/>
              <w:spacing w:line="360" w:lineRule="auto"/>
              <w:jc w:val="center"/>
              <w:rPr>
                <w:rFonts w:ascii="宋体" w:cs="宋体"/>
                <w:highlight w:val="none"/>
              </w:rPr>
            </w:pPr>
            <w:r>
              <w:rPr>
                <w:rFonts w:hint="eastAsia" w:ascii="宋体" w:cs="宋体"/>
                <w:kern w:val="0"/>
                <w:szCs w:val="21"/>
                <w:highlight w:val="none"/>
              </w:rPr>
              <w:t>满分</w:t>
            </w:r>
          </w:p>
        </w:tc>
        <w:tc>
          <w:tcPr>
            <w:tcW w:w="7458" w:type="dxa"/>
            <w:tcBorders>
              <w:top w:val="single" w:color="auto" w:sz="4" w:space="0"/>
              <w:left w:val="single" w:color="auto" w:sz="4" w:space="0"/>
              <w:bottom w:val="single" w:color="auto" w:sz="4" w:space="0"/>
              <w:right w:val="single" w:color="auto" w:sz="4" w:space="0"/>
            </w:tcBorders>
            <w:noWrap/>
            <w:vAlign w:val="center"/>
          </w:tcPr>
          <w:p w14:paraId="02C8C33A">
            <w:pPr>
              <w:widowControl/>
              <w:spacing w:line="360" w:lineRule="auto"/>
              <w:jc w:val="center"/>
              <w:rPr>
                <w:rFonts w:ascii="宋体" w:cs="宋体"/>
                <w:highlight w:val="none"/>
              </w:rPr>
            </w:pPr>
            <w:r>
              <w:rPr>
                <w:rFonts w:hint="eastAsia" w:ascii="宋体" w:cs="宋体"/>
                <w:kern w:val="0"/>
                <w:szCs w:val="21"/>
                <w:highlight w:val="none"/>
              </w:rPr>
              <w:t>得  分  标  准</w:t>
            </w:r>
          </w:p>
        </w:tc>
      </w:tr>
      <w:tr w14:paraId="6571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38" w:type="dxa"/>
            <w:tcBorders>
              <w:top w:val="single" w:color="auto" w:sz="4" w:space="0"/>
              <w:left w:val="single" w:color="auto" w:sz="4" w:space="0"/>
              <w:bottom w:val="single" w:color="auto" w:sz="4" w:space="0"/>
              <w:right w:val="single" w:color="auto" w:sz="4" w:space="0"/>
            </w:tcBorders>
            <w:noWrap/>
            <w:vAlign w:val="center"/>
          </w:tcPr>
          <w:p w14:paraId="191F3C73">
            <w:pPr>
              <w:widowControl/>
              <w:spacing w:line="360" w:lineRule="auto"/>
              <w:jc w:val="center"/>
              <w:rPr>
                <w:rFonts w:ascii="宋体" w:cs="宋体"/>
                <w:kern w:val="0"/>
                <w:szCs w:val="21"/>
                <w:highlight w:val="none"/>
              </w:rPr>
            </w:pPr>
            <w:r>
              <w:rPr>
                <w:rFonts w:hint="eastAsia" w:ascii="宋体" w:cs="宋体"/>
                <w:kern w:val="0"/>
                <w:szCs w:val="21"/>
                <w:highlight w:val="none"/>
              </w:rPr>
              <w:t>1</w:t>
            </w:r>
          </w:p>
        </w:tc>
        <w:tc>
          <w:tcPr>
            <w:tcW w:w="1084" w:type="dxa"/>
            <w:tcBorders>
              <w:top w:val="single" w:color="auto" w:sz="4" w:space="0"/>
              <w:left w:val="single" w:color="auto" w:sz="4" w:space="0"/>
              <w:bottom w:val="single" w:color="auto" w:sz="4" w:space="0"/>
              <w:right w:val="single" w:color="auto" w:sz="4" w:space="0"/>
            </w:tcBorders>
            <w:noWrap/>
            <w:vAlign w:val="center"/>
          </w:tcPr>
          <w:p w14:paraId="57E86AFF">
            <w:pPr>
              <w:widowControl/>
              <w:spacing w:line="360" w:lineRule="auto"/>
              <w:rPr>
                <w:rFonts w:ascii="宋体" w:cs="宋体"/>
                <w:highlight w:val="none"/>
              </w:rPr>
            </w:pPr>
            <w:r>
              <w:rPr>
                <w:rFonts w:hint="eastAsia" w:ascii="宋体" w:cs="宋体"/>
                <w:kern w:val="0"/>
                <w:szCs w:val="21"/>
                <w:highlight w:val="none"/>
              </w:rPr>
              <w:t>施工</w:t>
            </w:r>
          </w:p>
          <w:p w14:paraId="0C80E74B">
            <w:pPr>
              <w:widowControl/>
              <w:spacing w:line="360" w:lineRule="auto"/>
              <w:rPr>
                <w:rFonts w:ascii="宋体" w:cs="宋体"/>
                <w:kern w:val="0"/>
                <w:szCs w:val="21"/>
                <w:highlight w:val="none"/>
              </w:rPr>
            </w:pPr>
            <w:r>
              <w:rPr>
                <w:rFonts w:hint="eastAsia" w:ascii="宋体" w:cs="宋体"/>
                <w:kern w:val="0"/>
                <w:szCs w:val="21"/>
                <w:highlight w:val="none"/>
              </w:rPr>
              <w:t>方案</w:t>
            </w:r>
          </w:p>
        </w:tc>
        <w:tc>
          <w:tcPr>
            <w:tcW w:w="887" w:type="dxa"/>
            <w:tcBorders>
              <w:top w:val="single" w:color="auto" w:sz="4" w:space="0"/>
              <w:left w:val="single" w:color="auto" w:sz="4" w:space="0"/>
              <w:bottom w:val="single" w:color="auto" w:sz="4" w:space="0"/>
              <w:right w:val="single" w:color="auto" w:sz="4" w:space="0"/>
            </w:tcBorders>
            <w:noWrap/>
            <w:vAlign w:val="center"/>
          </w:tcPr>
          <w:p w14:paraId="0958C8A0">
            <w:pPr>
              <w:widowControl/>
              <w:spacing w:line="360" w:lineRule="auto"/>
              <w:ind w:left="2520" w:hanging="2520"/>
              <w:jc w:val="center"/>
              <w:rPr>
                <w:rFonts w:ascii="宋体" w:cs="宋体"/>
                <w:kern w:val="0"/>
                <w:szCs w:val="21"/>
                <w:highlight w:val="none"/>
              </w:rPr>
            </w:pPr>
            <w:r>
              <w:rPr>
                <w:rFonts w:hint="eastAsia" w:ascii="宋体" w:cs="宋体"/>
                <w:kern w:val="0"/>
                <w:szCs w:val="21"/>
                <w:highlight w:val="none"/>
              </w:rPr>
              <w:t>20分</w:t>
            </w:r>
          </w:p>
        </w:tc>
        <w:tc>
          <w:tcPr>
            <w:tcW w:w="7458" w:type="dxa"/>
            <w:tcBorders>
              <w:top w:val="single" w:color="auto" w:sz="4" w:space="0"/>
              <w:left w:val="single" w:color="auto" w:sz="4" w:space="0"/>
              <w:bottom w:val="single" w:color="auto" w:sz="4" w:space="0"/>
              <w:right w:val="single" w:color="auto" w:sz="4" w:space="0"/>
            </w:tcBorders>
            <w:noWrap/>
          </w:tcPr>
          <w:p w14:paraId="2A9CC1B2">
            <w:pPr>
              <w:pStyle w:val="9"/>
              <w:widowControl/>
              <w:spacing w:line="360" w:lineRule="auto"/>
              <w:rPr>
                <w:rFonts w:ascii="宋体" w:hAnsi="Calibri" w:cs="宋体"/>
                <w:highlight w:val="none"/>
              </w:rPr>
            </w:pPr>
            <w:r>
              <w:rPr>
                <w:rFonts w:hint="eastAsia" w:ascii="宋体" w:hAnsi="Calibri" w:cs="宋体"/>
                <w:highlight w:val="none"/>
              </w:rPr>
              <w:t>提</w:t>
            </w:r>
            <w:r>
              <w:rPr>
                <w:rFonts w:hint="eastAsia" w:ascii="宋体" w:hAnsi="Calibri" w:eastAsia="宋体" w:cs="宋体"/>
                <w:highlight w:val="none"/>
              </w:rPr>
              <w:t>供</w:t>
            </w:r>
            <w:r>
              <w:rPr>
                <w:rFonts w:hint="eastAsia" w:ascii="宋体" w:hAnsi="Calibri" w:eastAsia="宋体" w:cs="宋体"/>
                <w:highlight w:val="none"/>
                <w:lang w:val="en-US" w:eastAsia="zh-CN"/>
              </w:rPr>
              <w:t>施工方案</w:t>
            </w:r>
            <w:r>
              <w:rPr>
                <w:rFonts w:hint="eastAsia" w:ascii="宋体" w:hAnsi="Calibri" w:cs="宋体"/>
                <w:highlight w:val="none"/>
              </w:rPr>
              <w:t>，对整体</w:t>
            </w:r>
            <w:r>
              <w:rPr>
                <w:rFonts w:hint="eastAsia" w:ascii="宋体" w:hAnsi="Calibri" w:cs="宋体"/>
                <w:highlight w:val="none"/>
                <w:lang w:val="en-US" w:eastAsia="zh-CN"/>
              </w:rPr>
              <w:t>方案</w:t>
            </w:r>
            <w:r>
              <w:rPr>
                <w:rFonts w:hint="eastAsia" w:ascii="宋体" w:hAnsi="Calibri" w:cs="宋体"/>
                <w:highlight w:val="none"/>
              </w:rPr>
              <w:t>等进行评价，一般、良、优，</w:t>
            </w:r>
            <w:r>
              <w:rPr>
                <w:rFonts w:hint="eastAsia" w:ascii="宋体" w:hAnsi="Times New Roman" w:cs="宋体"/>
                <w:kern w:val="0"/>
                <w:szCs w:val="21"/>
                <w:highlight w:val="none"/>
              </w:rPr>
              <w:t>分别酌情得0-10分,10-15分,15-20</w:t>
            </w:r>
            <w:r>
              <w:rPr>
                <w:rFonts w:hint="eastAsia" w:ascii="宋体" w:cs="宋体"/>
                <w:highlight w:val="none"/>
              </w:rPr>
              <w:t>分。</w:t>
            </w:r>
          </w:p>
        </w:tc>
      </w:tr>
      <w:tr w14:paraId="697F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38" w:type="dxa"/>
            <w:vMerge w:val="restart"/>
            <w:tcBorders>
              <w:top w:val="single" w:color="auto" w:sz="4" w:space="0"/>
              <w:left w:val="single" w:color="auto" w:sz="4" w:space="0"/>
              <w:bottom w:val="single" w:color="auto" w:sz="4" w:space="0"/>
              <w:right w:val="single" w:color="auto" w:sz="4" w:space="0"/>
            </w:tcBorders>
            <w:noWrap/>
            <w:vAlign w:val="center"/>
          </w:tcPr>
          <w:p w14:paraId="17462DC1">
            <w:pPr>
              <w:widowControl/>
              <w:spacing w:line="360" w:lineRule="auto"/>
              <w:jc w:val="center"/>
              <w:rPr>
                <w:rFonts w:ascii="宋体" w:cs="宋体"/>
                <w:highlight w:val="none"/>
              </w:rPr>
            </w:pPr>
            <w:r>
              <w:rPr>
                <w:rFonts w:hint="eastAsia" w:ascii="宋体" w:cs="宋体"/>
                <w:kern w:val="0"/>
                <w:szCs w:val="21"/>
                <w:highlight w:val="none"/>
              </w:rPr>
              <w:t>2</w:t>
            </w:r>
          </w:p>
        </w:tc>
        <w:tc>
          <w:tcPr>
            <w:tcW w:w="1084" w:type="dxa"/>
            <w:vMerge w:val="restart"/>
            <w:tcBorders>
              <w:top w:val="single" w:color="auto" w:sz="4" w:space="0"/>
              <w:left w:val="single" w:color="auto" w:sz="4" w:space="0"/>
              <w:bottom w:val="single" w:color="auto" w:sz="4" w:space="0"/>
              <w:right w:val="single" w:color="auto" w:sz="4" w:space="0"/>
            </w:tcBorders>
            <w:noWrap/>
            <w:vAlign w:val="center"/>
          </w:tcPr>
          <w:p w14:paraId="22F08BE7">
            <w:pPr>
              <w:widowControl/>
              <w:spacing w:line="360" w:lineRule="auto"/>
              <w:rPr>
                <w:rFonts w:ascii="宋体" w:cs="宋体"/>
                <w:highlight w:val="none"/>
              </w:rPr>
            </w:pPr>
            <w:r>
              <w:rPr>
                <w:rFonts w:hint="eastAsia" w:ascii="宋体" w:cs="宋体"/>
                <w:kern w:val="0"/>
                <w:szCs w:val="21"/>
                <w:highlight w:val="none"/>
              </w:rPr>
              <w:t>施工</w:t>
            </w:r>
          </w:p>
          <w:p w14:paraId="75F08AF2">
            <w:pPr>
              <w:widowControl/>
              <w:spacing w:line="360" w:lineRule="auto"/>
              <w:rPr>
                <w:rFonts w:hint="eastAsia" w:ascii="宋体" w:cs="宋体"/>
                <w:kern w:val="0"/>
                <w:szCs w:val="21"/>
                <w:highlight w:val="none"/>
              </w:rPr>
            </w:pPr>
            <w:r>
              <w:rPr>
                <w:rFonts w:hint="eastAsia" w:ascii="宋体" w:cs="宋体"/>
                <w:kern w:val="0"/>
                <w:szCs w:val="21"/>
                <w:highlight w:val="none"/>
              </w:rPr>
              <w:t>组织</w:t>
            </w:r>
          </w:p>
          <w:p w14:paraId="289DF4DE">
            <w:pPr>
              <w:widowControl/>
              <w:spacing w:line="360" w:lineRule="auto"/>
              <w:rPr>
                <w:rFonts w:hint="eastAsia" w:ascii="宋体" w:cs="宋体"/>
                <w:kern w:val="0"/>
                <w:szCs w:val="21"/>
                <w:highlight w:val="none"/>
              </w:rPr>
            </w:pPr>
            <w:r>
              <w:rPr>
                <w:rFonts w:hint="eastAsia" w:ascii="宋体" w:cs="宋体"/>
                <w:kern w:val="0"/>
                <w:szCs w:val="21"/>
                <w:highlight w:val="none"/>
              </w:rPr>
              <w:t>设计</w:t>
            </w:r>
          </w:p>
          <w:p w14:paraId="70706935">
            <w:pPr>
              <w:widowControl/>
              <w:spacing w:line="360" w:lineRule="auto"/>
              <w:rPr>
                <w:rFonts w:ascii="宋体" w:cs="宋体"/>
                <w:highlight w:val="none"/>
              </w:rPr>
            </w:pPr>
            <w:r>
              <w:rPr>
                <w:rFonts w:hint="eastAsia" w:ascii="宋体" w:cs="宋体"/>
                <w:kern w:val="0"/>
                <w:szCs w:val="21"/>
                <w:highlight w:val="none"/>
              </w:rPr>
              <w:t>（80分）</w:t>
            </w:r>
          </w:p>
        </w:tc>
        <w:tc>
          <w:tcPr>
            <w:tcW w:w="887" w:type="dxa"/>
            <w:tcBorders>
              <w:top w:val="single" w:color="auto" w:sz="4" w:space="0"/>
              <w:left w:val="single" w:color="auto" w:sz="4" w:space="0"/>
              <w:bottom w:val="single" w:color="auto" w:sz="4" w:space="0"/>
              <w:right w:val="single" w:color="auto" w:sz="4" w:space="0"/>
            </w:tcBorders>
            <w:noWrap/>
            <w:vAlign w:val="center"/>
          </w:tcPr>
          <w:p w14:paraId="0D92926A">
            <w:pPr>
              <w:widowControl/>
              <w:spacing w:line="360" w:lineRule="auto"/>
              <w:jc w:val="center"/>
              <w:rPr>
                <w:rFonts w:ascii="宋体" w:cs="宋体"/>
                <w:highlight w:val="none"/>
              </w:rPr>
            </w:pPr>
            <w:r>
              <w:rPr>
                <w:rFonts w:hint="eastAsia" w:ascii="宋体" w:cs="宋体"/>
                <w:kern w:val="0"/>
                <w:szCs w:val="21"/>
                <w:highlight w:val="none"/>
              </w:rPr>
              <w:t>15分</w:t>
            </w:r>
          </w:p>
        </w:tc>
        <w:tc>
          <w:tcPr>
            <w:tcW w:w="7458" w:type="dxa"/>
            <w:tcBorders>
              <w:top w:val="single" w:color="auto" w:sz="4" w:space="0"/>
              <w:left w:val="single" w:color="auto" w:sz="4" w:space="0"/>
              <w:bottom w:val="single" w:color="auto" w:sz="4" w:space="0"/>
              <w:right w:val="single" w:color="auto" w:sz="4" w:space="0"/>
            </w:tcBorders>
            <w:noWrap/>
          </w:tcPr>
          <w:p w14:paraId="38C7C11B">
            <w:pPr>
              <w:pStyle w:val="9"/>
              <w:widowControl/>
              <w:spacing w:line="360" w:lineRule="auto"/>
              <w:rPr>
                <w:rFonts w:ascii="宋体" w:hAnsi="Calibri" w:cs="宋体"/>
                <w:highlight w:val="none"/>
              </w:rPr>
            </w:pPr>
            <w:r>
              <w:rPr>
                <w:rFonts w:hint="eastAsia" w:ascii="宋体" w:hAnsi="Calibri" w:cs="宋体"/>
                <w:highlight w:val="none"/>
              </w:rPr>
              <w:t>施工组织总体方案（</w:t>
            </w:r>
            <w:r>
              <w:rPr>
                <w:rFonts w:hint="eastAsia" w:ascii="宋体" w:cs="宋体"/>
                <w:highlight w:val="none"/>
              </w:rPr>
              <w:t>对项目特点认知、项目管理机构组建、施工准备、施工总平面布置、施工组织等）等进行阐述，</w:t>
            </w:r>
            <w:r>
              <w:rPr>
                <w:rFonts w:hint="eastAsia" w:ascii="宋体" w:hAnsi="Calibri" w:cs="宋体"/>
                <w:highlight w:val="none"/>
              </w:rPr>
              <w:t>力求简洁。评委根</w:t>
            </w:r>
            <w:r>
              <w:rPr>
                <w:rFonts w:hint="eastAsia" w:ascii="宋体" w:hAnsi="Calibri" w:cs="宋体"/>
                <w:b w:val="0"/>
                <w:bCs w:val="0"/>
                <w:highlight w:val="none"/>
              </w:rPr>
              <w:t>据投标文件情况及项目经理现场答辩情况分为一般、良、优，</w:t>
            </w:r>
            <w:r>
              <w:rPr>
                <w:rFonts w:hint="eastAsia" w:ascii="宋体" w:hAnsi="Times New Roman" w:cs="宋体"/>
                <w:b w:val="0"/>
                <w:bCs w:val="0"/>
                <w:kern w:val="0"/>
                <w:szCs w:val="21"/>
                <w:highlight w:val="none"/>
              </w:rPr>
              <w:t>分别酌情得0-5分,</w:t>
            </w:r>
            <w:r>
              <w:rPr>
                <w:rFonts w:hint="eastAsia" w:ascii="宋体" w:hAnsi="Times New Roman" w:cs="宋体"/>
                <w:kern w:val="0"/>
                <w:szCs w:val="21"/>
                <w:highlight w:val="none"/>
              </w:rPr>
              <w:t>5-10分,10-15</w:t>
            </w:r>
            <w:r>
              <w:rPr>
                <w:rFonts w:hint="eastAsia" w:ascii="宋体" w:cs="宋体"/>
                <w:highlight w:val="none"/>
              </w:rPr>
              <w:t>分，</w:t>
            </w:r>
            <w:r>
              <w:rPr>
                <w:rFonts w:hint="eastAsia" w:ascii="宋体" w:hAnsi="Calibri" w:cs="宋体"/>
                <w:highlight w:val="none"/>
              </w:rPr>
              <w:t>内容不全酌情扣分，若此条缺项不得分。</w:t>
            </w:r>
          </w:p>
        </w:tc>
      </w:tr>
      <w:tr w14:paraId="7FAB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967" w:type="dxa"/>
            <w:vMerge w:val="continue"/>
            <w:tcBorders>
              <w:top w:val="single" w:color="auto" w:sz="4" w:space="0"/>
              <w:left w:val="single" w:color="auto" w:sz="4" w:space="0"/>
              <w:bottom w:val="single" w:color="auto" w:sz="4" w:space="0"/>
              <w:right w:val="single" w:color="auto" w:sz="4" w:space="0"/>
            </w:tcBorders>
            <w:vAlign w:val="center"/>
          </w:tcPr>
          <w:p w14:paraId="5CABE812">
            <w:pPr>
              <w:widowControl/>
              <w:jc w:val="left"/>
              <w:rPr>
                <w:rFonts w:ascii="宋体" w:cs="宋体"/>
                <w:highlight w:val="none"/>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14:paraId="29AFE66B">
            <w:pPr>
              <w:widowControl/>
              <w:jc w:val="left"/>
              <w:rPr>
                <w:rFonts w:ascii="宋体" w:cs="宋体"/>
                <w:highlight w:val="none"/>
              </w:rPr>
            </w:pPr>
          </w:p>
        </w:tc>
        <w:tc>
          <w:tcPr>
            <w:tcW w:w="887" w:type="dxa"/>
            <w:tcBorders>
              <w:top w:val="single" w:color="auto" w:sz="4" w:space="0"/>
              <w:left w:val="single" w:color="auto" w:sz="4" w:space="0"/>
              <w:bottom w:val="single" w:color="auto" w:sz="4" w:space="0"/>
              <w:right w:val="single" w:color="auto" w:sz="4" w:space="0"/>
            </w:tcBorders>
            <w:noWrap/>
            <w:vAlign w:val="center"/>
          </w:tcPr>
          <w:p w14:paraId="5A6CB0CB">
            <w:pPr>
              <w:widowControl/>
              <w:spacing w:line="360" w:lineRule="auto"/>
              <w:jc w:val="center"/>
              <w:rPr>
                <w:rFonts w:ascii="宋体" w:cs="宋体"/>
                <w:highlight w:val="none"/>
              </w:rPr>
            </w:pPr>
            <w:r>
              <w:rPr>
                <w:rFonts w:hint="eastAsia" w:ascii="宋体" w:cs="宋体"/>
                <w:kern w:val="0"/>
                <w:szCs w:val="21"/>
                <w:highlight w:val="none"/>
              </w:rPr>
              <w:t>15分</w:t>
            </w:r>
          </w:p>
        </w:tc>
        <w:tc>
          <w:tcPr>
            <w:tcW w:w="7458" w:type="dxa"/>
            <w:tcBorders>
              <w:top w:val="single" w:color="auto" w:sz="4" w:space="0"/>
              <w:left w:val="single" w:color="auto" w:sz="4" w:space="0"/>
              <w:bottom w:val="single" w:color="auto" w:sz="4" w:space="0"/>
              <w:right w:val="single" w:color="auto" w:sz="4" w:space="0"/>
            </w:tcBorders>
            <w:noWrap/>
          </w:tcPr>
          <w:p w14:paraId="4701152D">
            <w:pPr>
              <w:widowControl/>
              <w:spacing w:line="360" w:lineRule="auto"/>
              <w:rPr>
                <w:rFonts w:ascii="宋体" w:cs="宋体"/>
                <w:highlight w:val="none"/>
              </w:rPr>
            </w:pPr>
            <w:r>
              <w:rPr>
                <w:rFonts w:hint="eastAsia" w:ascii="宋体" w:cs="宋体"/>
                <w:kern w:val="0"/>
                <w:szCs w:val="21"/>
                <w:highlight w:val="none"/>
              </w:rPr>
              <w:t>施工进度计划及保证措施（1、要求根据建设单位提供的关键节点，提供施工总进度横道图或网络图计划，施工内容要切合实际、全面；2、列举分析本工程的工期风险点及应对保证措施）。评委根据投标文件情况分为一般、良、优，分别酌情得0-5分,5-10分,10-15</w:t>
            </w:r>
            <w:r>
              <w:rPr>
                <w:rFonts w:hint="eastAsia" w:ascii="宋体" w:cs="宋体"/>
                <w:highlight w:val="none"/>
              </w:rPr>
              <w:t>分</w:t>
            </w:r>
            <w:r>
              <w:rPr>
                <w:rFonts w:hint="eastAsia" w:ascii="宋体" w:cs="宋体"/>
                <w:kern w:val="0"/>
                <w:szCs w:val="21"/>
                <w:highlight w:val="none"/>
              </w:rPr>
              <w:t>，内容不全酌情扣分，若此条缺项不得分。</w:t>
            </w:r>
          </w:p>
        </w:tc>
      </w:tr>
      <w:tr w14:paraId="34F8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967" w:type="dxa"/>
            <w:vMerge w:val="continue"/>
            <w:tcBorders>
              <w:top w:val="single" w:color="auto" w:sz="4" w:space="0"/>
              <w:left w:val="single" w:color="auto" w:sz="4" w:space="0"/>
              <w:bottom w:val="single" w:color="auto" w:sz="4" w:space="0"/>
              <w:right w:val="single" w:color="auto" w:sz="4" w:space="0"/>
            </w:tcBorders>
            <w:vAlign w:val="center"/>
          </w:tcPr>
          <w:p w14:paraId="096B20CF">
            <w:pPr>
              <w:widowControl/>
              <w:jc w:val="left"/>
              <w:rPr>
                <w:rFonts w:ascii="宋体" w:cs="宋体"/>
                <w:highlight w:val="none"/>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14:paraId="5FE0B964">
            <w:pPr>
              <w:widowControl/>
              <w:jc w:val="left"/>
              <w:rPr>
                <w:rFonts w:ascii="宋体" w:cs="宋体"/>
                <w:highlight w:val="none"/>
              </w:rPr>
            </w:pPr>
          </w:p>
        </w:tc>
        <w:tc>
          <w:tcPr>
            <w:tcW w:w="887" w:type="dxa"/>
            <w:tcBorders>
              <w:top w:val="single" w:color="auto" w:sz="4" w:space="0"/>
              <w:left w:val="single" w:color="auto" w:sz="4" w:space="0"/>
              <w:bottom w:val="single" w:color="auto" w:sz="4" w:space="0"/>
              <w:right w:val="single" w:color="auto" w:sz="4" w:space="0"/>
            </w:tcBorders>
            <w:noWrap/>
            <w:vAlign w:val="center"/>
          </w:tcPr>
          <w:p w14:paraId="1845BE2F">
            <w:pPr>
              <w:widowControl/>
              <w:spacing w:line="360" w:lineRule="auto"/>
              <w:jc w:val="center"/>
              <w:rPr>
                <w:rFonts w:ascii="宋体" w:cs="宋体"/>
                <w:highlight w:val="none"/>
              </w:rPr>
            </w:pPr>
            <w:r>
              <w:rPr>
                <w:rFonts w:hint="eastAsia" w:ascii="宋体" w:cs="宋体"/>
                <w:kern w:val="0"/>
                <w:szCs w:val="21"/>
                <w:highlight w:val="none"/>
              </w:rPr>
              <w:t>20分</w:t>
            </w:r>
          </w:p>
        </w:tc>
        <w:tc>
          <w:tcPr>
            <w:tcW w:w="7458" w:type="dxa"/>
            <w:tcBorders>
              <w:top w:val="single" w:color="auto" w:sz="4" w:space="0"/>
              <w:left w:val="single" w:color="auto" w:sz="4" w:space="0"/>
              <w:bottom w:val="single" w:color="auto" w:sz="4" w:space="0"/>
              <w:right w:val="single" w:color="auto" w:sz="4" w:space="0"/>
            </w:tcBorders>
            <w:noWrap/>
          </w:tcPr>
          <w:p w14:paraId="118E1E66">
            <w:pPr>
              <w:widowControl/>
              <w:spacing w:line="360" w:lineRule="auto"/>
              <w:rPr>
                <w:rFonts w:ascii="宋体" w:cs="宋体"/>
                <w:highlight w:val="none"/>
              </w:rPr>
            </w:pPr>
            <w:r>
              <w:rPr>
                <w:rFonts w:hint="eastAsia" w:ascii="宋体" w:cs="宋体"/>
                <w:kern w:val="0"/>
                <w:szCs w:val="21"/>
                <w:highlight w:val="none"/>
              </w:rPr>
              <w:t>关键施工技术、工艺及工程实施的重点、难点分析。要求提炼出招标项目的关键施工工艺、施工重难点、危险性较大的专项工程等。评委根据投标文件情况分为一般、良、优，别酌情得分别酌情得0-10分,10-15分,15-20</w:t>
            </w:r>
            <w:r>
              <w:rPr>
                <w:rFonts w:hint="eastAsia" w:ascii="宋体" w:cs="宋体"/>
                <w:highlight w:val="none"/>
              </w:rPr>
              <w:t>分</w:t>
            </w:r>
            <w:r>
              <w:rPr>
                <w:rFonts w:hint="eastAsia" w:ascii="宋体" w:cs="宋体"/>
                <w:kern w:val="0"/>
                <w:szCs w:val="21"/>
                <w:highlight w:val="none"/>
              </w:rPr>
              <w:t>，内容不全酌情扣分，若此条缺项不得分。</w:t>
            </w:r>
          </w:p>
        </w:tc>
      </w:tr>
      <w:tr w14:paraId="3B07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967" w:type="dxa"/>
            <w:vMerge w:val="continue"/>
            <w:tcBorders>
              <w:top w:val="single" w:color="auto" w:sz="4" w:space="0"/>
              <w:left w:val="single" w:color="auto" w:sz="4" w:space="0"/>
              <w:bottom w:val="single" w:color="auto" w:sz="4" w:space="0"/>
              <w:right w:val="single" w:color="auto" w:sz="4" w:space="0"/>
            </w:tcBorders>
            <w:vAlign w:val="center"/>
          </w:tcPr>
          <w:p w14:paraId="3CB78DF3">
            <w:pPr>
              <w:widowControl/>
              <w:jc w:val="left"/>
              <w:rPr>
                <w:rFonts w:ascii="宋体" w:cs="宋体"/>
                <w:highlight w:val="none"/>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14:paraId="399ABBE8">
            <w:pPr>
              <w:widowControl/>
              <w:jc w:val="left"/>
              <w:rPr>
                <w:rFonts w:ascii="宋体" w:cs="宋体"/>
                <w:highlight w:val="none"/>
              </w:rPr>
            </w:pPr>
          </w:p>
        </w:tc>
        <w:tc>
          <w:tcPr>
            <w:tcW w:w="887" w:type="dxa"/>
            <w:tcBorders>
              <w:top w:val="single" w:color="auto" w:sz="4" w:space="0"/>
              <w:left w:val="single" w:color="auto" w:sz="4" w:space="0"/>
              <w:bottom w:val="single" w:color="auto" w:sz="4" w:space="0"/>
              <w:right w:val="single" w:color="auto" w:sz="4" w:space="0"/>
            </w:tcBorders>
            <w:noWrap/>
            <w:vAlign w:val="center"/>
          </w:tcPr>
          <w:p w14:paraId="19323EF7">
            <w:pPr>
              <w:widowControl/>
              <w:spacing w:line="360" w:lineRule="auto"/>
              <w:jc w:val="center"/>
              <w:rPr>
                <w:rFonts w:ascii="宋体" w:cs="宋体"/>
                <w:highlight w:val="none"/>
              </w:rPr>
            </w:pPr>
            <w:r>
              <w:rPr>
                <w:rFonts w:hint="eastAsia" w:ascii="宋体" w:cs="宋体"/>
                <w:kern w:val="0"/>
                <w:szCs w:val="21"/>
                <w:highlight w:val="none"/>
              </w:rPr>
              <w:t>15分</w:t>
            </w:r>
          </w:p>
        </w:tc>
        <w:tc>
          <w:tcPr>
            <w:tcW w:w="7458" w:type="dxa"/>
            <w:tcBorders>
              <w:top w:val="single" w:color="auto" w:sz="4" w:space="0"/>
              <w:left w:val="single" w:color="auto" w:sz="4" w:space="0"/>
              <w:bottom w:val="single" w:color="auto" w:sz="4" w:space="0"/>
              <w:right w:val="single" w:color="auto" w:sz="4" w:space="0"/>
            </w:tcBorders>
            <w:noWrap/>
          </w:tcPr>
          <w:p w14:paraId="1D38591C">
            <w:pPr>
              <w:widowControl/>
              <w:spacing w:line="360" w:lineRule="auto"/>
              <w:rPr>
                <w:rFonts w:ascii="宋体" w:cs="宋体"/>
                <w:highlight w:val="none"/>
              </w:rPr>
            </w:pPr>
            <w:r>
              <w:rPr>
                <w:rFonts w:hint="eastAsia" w:ascii="宋体" w:cs="宋体"/>
                <w:kern w:val="0"/>
                <w:szCs w:val="21"/>
                <w:highlight w:val="none"/>
              </w:rPr>
              <w:t>质量保证措施。（要求针对性分析本工程容易出现的质量通病、质量控制重点和保证措施）评委根据投标文件情况分为一般、良、优，</w:t>
            </w:r>
            <w:r>
              <w:rPr>
                <w:rFonts w:hint="eastAsia" w:ascii="宋体" w:hAnsi="Calibri" w:cs="宋体"/>
                <w:highlight w:val="none"/>
              </w:rPr>
              <w:t>分别酌情得</w:t>
            </w:r>
            <w:r>
              <w:rPr>
                <w:rFonts w:hint="eastAsia" w:ascii="宋体" w:cs="宋体"/>
                <w:kern w:val="0"/>
                <w:szCs w:val="21"/>
                <w:highlight w:val="none"/>
              </w:rPr>
              <w:t>分别酌情得0-5分,5-10分,10-15</w:t>
            </w:r>
            <w:r>
              <w:rPr>
                <w:rFonts w:hint="eastAsia" w:ascii="宋体" w:cs="宋体"/>
                <w:highlight w:val="none"/>
              </w:rPr>
              <w:t>分</w:t>
            </w:r>
            <w:r>
              <w:rPr>
                <w:rFonts w:hint="eastAsia" w:ascii="宋体" w:cs="宋体"/>
                <w:kern w:val="0"/>
                <w:szCs w:val="21"/>
                <w:highlight w:val="none"/>
              </w:rPr>
              <w:t>，内容不全酌情扣分，若此条缺项不得分。</w:t>
            </w:r>
          </w:p>
        </w:tc>
      </w:tr>
      <w:tr w14:paraId="47E8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967" w:type="dxa"/>
            <w:vMerge w:val="continue"/>
            <w:tcBorders>
              <w:top w:val="single" w:color="auto" w:sz="4" w:space="0"/>
              <w:left w:val="single" w:color="auto" w:sz="4" w:space="0"/>
              <w:bottom w:val="single" w:color="auto" w:sz="4" w:space="0"/>
              <w:right w:val="single" w:color="auto" w:sz="4" w:space="0"/>
            </w:tcBorders>
            <w:vAlign w:val="center"/>
          </w:tcPr>
          <w:p w14:paraId="3FD111C9">
            <w:pPr>
              <w:widowControl/>
              <w:jc w:val="left"/>
              <w:rPr>
                <w:rFonts w:ascii="宋体" w:cs="宋体"/>
                <w:highlight w:val="none"/>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14:paraId="5708F8F3">
            <w:pPr>
              <w:widowControl/>
              <w:jc w:val="left"/>
              <w:rPr>
                <w:rFonts w:ascii="宋体" w:cs="宋体"/>
                <w:highlight w:val="none"/>
              </w:rPr>
            </w:pPr>
          </w:p>
        </w:tc>
        <w:tc>
          <w:tcPr>
            <w:tcW w:w="887" w:type="dxa"/>
            <w:tcBorders>
              <w:top w:val="single" w:color="auto" w:sz="4" w:space="0"/>
              <w:left w:val="single" w:color="auto" w:sz="4" w:space="0"/>
              <w:bottom w:val="single" w:color="auto" w:sz="4" w:space="0"/>
              <w:right w:val="single" w:color="auto" w:sz="4" w:space="0"/>
            </w:tcBorders>
            <w:noWrap/>
            <w:vAlign w:val="center"/>
          </w:tcPr>
          <w:p w14:paraId="147E7787">
            <w:pPr>
              <w:widowControl/>
              <w:spacing w:line="360" w:lineRule="auto"/>
              <w:jc w:val="center"/>
              <w:rPr>
                <w:rFonts w:ascii="宋体" w:cs="宋体"/>
                <w:highlight w:val="none"/>
              </w:rPr>
            </w:pPr>
            <w:r>
              <w:rPr>
                <w:rFonts w:hint="eastAsia" w:ascii="宋体" w:cs="宋体"/>
                <w:kern w:val="0"/>
                <w:szCs w:val="21"/>
                <w:highlight w:val="none"/>
              </w:rPr>
              <w:t>15分</w:t>
            </w:r>
          </w:p>
        </w:tc>
        <w:tc>
          <w:tcPr>
            <w:tcW w:w="7458" w:type="dxa"/>
            <w:tcBorders>
              <w:top w:val="single" w:color="auto" w:sz="4" w:space="0"/>
              <w:left w:val="single" w:color="auto" w:sz="4" w:space="0"/>
              <w:bottom w:val="single" w:color="auto" w:sz="4" w:space="0"/>
              <w:right w:val="single" w:color="auto" w:sz="4" w:space="0"/>
            </w:tcBorders>
            <w:noWrap/>
          </w:tcPr>
          <w:p w14:paraId="6FE4FB1F">
            <w:pPr>
              <w:widowControl/>
              <w:spacing w:line="360" w:lineRule="auto"/>
              <w:rPr>
                <w:rFonts w:ascii="宋体" w:cs="宋体"/>
                <w:highlight w:val="none"/>
              </w:rPr>
            </w:pPr>
            <w:r>
              <w:rPr>
                <w:rFonts w:hint="eastAsia" w:ascii="宋体" w:cs="宋体"/>
                <w:kern w:val="0"/>
                <w:szCs w:val="21"/>
                <w:highlight w:val="none"/>
              </w:rPr>
              <w:t>安全文明施工措施。（要求对安全生产、文明施工、环境保护及防尘施工措施，制定保证措施和承诺）。评委根据投标文件情况分为一般、良、优，</w:t>
            </w:r>
            <w:r>
              <w:rPr>
                <w:rFonts w:hint="eastAsia" w:ascii="宋体" w:hAnsi="Calibri" w:cs="宋体"/>
                <w:highlight w:val="none"/>
              </w:rPr>
              <w:t>分别酌情</w:t>
            </w:r>
            <w:r>
              <w:rPr>
                <w:rFonts w:hint="eastAsia" w:ascii="宋体" w:cs="宋体"/>
                <w:kern w:val="0"/>
                <w:szCs w:val="21"/>
                <w:highlight w:val="none"/>
              </w:rPr>
              <w:t>得0-5分,5-10分,10-15</w:t>
            </w:r>
            <w:r>
              <w:rPr>
                <w:rFonts w:hint="eastAsia" w:ascii="宋体" w:cs="宋体"/>
                <w:highlight w:val="none"/>
              </w:rPr>
              <w:t>分</w:t>
            </w:r>
            <w:r>
              <w:rPr>
                <w:rFonts w:hint="eastAsia" w:ascii="宋体" w:cs="宋体"/>
                <w:kern w:val="0"/>
                <w:szCs w:val="21"/>
                <w:highlight w:val="none"/>
              </w:rPr>
              <w:t>，内容不全酌情扣分，若此条缺项不得分。</w:t>
            </w:r>
          </w:p>
        </w:tc>
      </w:tr>
      <w:tr w14:paraId="6DF1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38" w:type="dxa"/>
            <w:tcBorders>
              <w:top w:val="single" w:color="auto" w:sz="2" w:space="0"/>
              <w:left w:val="single" w:color="auto" w:sz="2" w:space="0"/>
              <w:bottom w:val="single" w:color="auto" w:sz="2" w:space="0"/>
              <w:right w:val="single" w:color="auto" w:sz="2" w:space="0"/>
            </w:tcBorders>
            <w:noWrap/>
            <w:tcMar>
              <w:top w:w="0" w:type="dxa"/>
              <w:left w:w="91" w:type="dxa"/>
              <w:bottom w:w="0" w:type="dxa"/>
              <w:right w:w="108" w:type="dxa"/>
            </w:tcMar>
            <w:vAlign w:val="center"/>
          </w:tcPr>
          <w:p w14:paraId="65D739AD">
            <w:pPr>
              <w:widowControl/>
              <w:spacing w:line="360" w:lineRule="auto"/>
              <w:jc w:val="center"/>
              <w:rPr>
                <w:rFonts w:ascii="宋体" w:cs="宋体"/>
                <w:highlight w:val="none"/>
              </w:rPr>
            </w:pPr>
            <w:r>
              <w:rPr>
                <w:rFonts w:hint="eastAsia" w:ascii="宋体" w:cs="宋体"/>
                <w:kern w:val="0"/>
                <w:szCs w:val="21"/>
                <w:highlight w:val="none"/>
              </w:rPr>
              <w:t>3</w:t>
            </w:r>
          </w:p>
        </w:tc>
        <w:tc>
          <w:tcPr>
            <w:tcW w:w="1084" w:type="dxa"/>
            <w:tcBorders>
              <w:top w:val="single" w:color="auto" w:sz="2" w:space="0"/>
              <w:left w:val="single" w:color="auto" w:sz="2" w:space="0"/>
              <w:bottom w:val="single" w:color="auto" w:sz="2" w:space="0"/>
              <w:right w:val="single" w:color="auto" w:sz="2" w:space="0"/>
            </w:tcBorders>
            <w:noWrap/>
            <w:tcMar>
              <w:top w:w="0" w:type="dxa"/>
              <w:left w:w="91" w:type="dxa"/>
              <w:bottom w:w="0" w:type="dxa"/>
              <w:right w:w="108" w:type="dxa"/>
            </w:tcMar>
            <w:vAlign w:val="center"/>
          </w:tcPr>
          <w:p w14:paraId="0293D240">
            <w:pPr>
              <w:widowControl/>
              <w:spacing w:line="360" w:lineRule="auto"/>
              <w:jc w:val="center"/>
              <w:rPr>
                <w:rFonts w:ascii="宋体" w:cs="宋体"/>
                <w:highlight w:val="none"/>
              </w:rPr>
            </w:pPr>
            <w:r>
              <w:rPr>
                <w:rFonts w:hint="eastAsia" w:ascii="宋体" w:cs="宋体"/>
                <w:kern w:val="0"/>
                <w:szCs w:val="21"/>
                <w:highlight w:val="none"/>
              </w:rPr>
              <w:t>合计</w:t>
            </w:r>
          </w:p>
        </w:tc>
        <w:tc>
          <w:tcPr>
            <w:tcW w:w="887" w:type="dxa"/>
            <w:tcBorders>
              <w:top w:val="single" w:color="auto" w:sz="2" w:space="0"/>
              <w:left w:val="single" w:color="auto" w:sz="2" w:space="0"/>
              <w:bottom w:val="single" w:color="auto" w:sz="2" w:space="0"/>
              <w:right w:val="single" w:color="auto" w:sz="2" w:space="0"/>
            </w:tcBorders>
            <w:noWrap/>
            <w:tcMar>
              <w:top w:w="0" w:type="dxa"/>
              <w:left w:w="91" w:type="dxa"/>
              <w:bottom w:w="0" w:type="dxa"/>
              <w:right w:w="108" w:type="dxa"/>
            </w:tcMar>
            <w:vAlign w:val="center"/>
          </w:tcPr>
          <w:p w14:paraId="6FE2F91A">
            <w:pPr>
              <w:widowControl/>
              <w:spacing w:line="360" w:lineRule="auto"/>
              <w:jc w:val="center"/>
              <w:rPr>
                <w:rFonts w:ascii="宋体" w:cs="宋体"/>
                <w:highlight w:val="none"/>
              </w:rPr>
            </w:pPr>
            <w:r>
              <w:rPr>
                <w:rFonts w:hint="eastAsia" w:ascii="宋体" w:cs="宋体"/>
                <w:kern w:val="0"/>
                <w:szCs w:val="21"/>
                <w:highlight w:val="none"/>
              </w:rPr>
              <w:t>100分</w:t>
            </w:r>
          </w:p>
        </w:tc>
        <w:tc>
          <w:tcPr>
            <w:tcW w:w="7458" w:type="dxa"/>
            <w:tcBorders>
              <w:top w:val="single" w:color="auto" w:sz="2" w:space="0"/>
              <w:left w:val="single" w:color="auto" w:sz="2" w:space="0"/>
              <w:bottom w:val="single" w:color="auto" w:sz="2" w:space="0"/>
              <w:right w:val="single" w:color="auto" w:sz="2" w:space="0"/>
            </w:tcBorders>
            <w:noWrap/>
            <w:tcMar>
              <w:top w:w="0" w:type="dxa"/>
              <w:left w:w="91" w:type="dxa"/>
              <w:bottom w:w="0" w:type="dxa"/>
              <w:right w:w="108" w:type="dxa"/>
            </w:tcMar>
            <w:vAlign w:val="center"/>
          </w:tcPr>
          <w:p w14:paraId="39C456ED">
            <w:pPr>
              <w:widowControl/>
              <w:spacing w:line="360" w:lineRule="auto"/>
              <w:rPr>
                <w:rFonts w:ascii="宋体" w:cs="宋体"/>
                <w:highlight w:val="none"/>
              </w:rPr>
            </w:pPr>
            <w:r>
              <w:rPr>
                <w:rFonts w:hint="eastAsia" w:ascii="宋体" w:cs="宋体"/>
                <w:kern w:val="0"/>
                <w:szCs w:val="21"/>
                <w:highlight w:val="none"/>
              </w:rPr>
              <w:t>=1+2</w:t>
            </w:r>
          </w:p>
        </w:tc>
      </w:tr>
      <w:tr w14:paraId="2E5A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9967" w:type="dxa"/>
            <w:gridSpan w:val="4"/>
            <w:tcBorders>
              <w:top w:val="single" w:color="auto" w:sz="2" w:space="0"/>
              <w:left w:val="single" w:color="auto" w:sz="2" w:space="0"/>
              <w:bottom w:val="single" w:color="auto" w:sz="2" w:space="0"/>
              <w:right w:val="single" w:color="auto" w:sz="2" w:space="0"/>
            </w:tcBorders>
            <w:noWrap/>
            <w:tcMar>
              <w:top w:w="0" w:type="dxa"/>
              <w:left w:w="91" w:type="dxa"/>
              <w:bottom w:w="0" w:type="dxa"/>
              <w:right w:w="108" w:type="dxa"/>
            </w:tcMar>
            <w:vAlign w:val="center"/>
          </w:tcPr>
          <w:p w14:paraId="48CD1982">
            <w:pPr>
              <w:widowControl/>
              <w:spacing w:line="360" w:lineRule="auto"/>
              <w:rPr>
                <w:rFonts w:ascii="宋体" w:cs="宋体"/>
                <w:b/>
                <w:kern w:val="0"/>
                <w:szCs w:val="21"/>
                <w:highlight w:val="none"/>
              </w:rPr>
            </w:pPr>
            <w:r>
              <w:rPr>
                <w:rFonts w:hint="eastAsia" w:ascii="宋体" w:cs="宋体"/>
                <w:b/>
                <w:kern w:val="0"/>
                <w:szCs w:val="21"/>
                <w:highlight w:val="none"/>
              </w:rPr>
              <w:t>1、投标人技术标的最终得分为所有评委打分汇总后的算术平均值。</w:t>
            </w:r>
          </w:p>
          <w:p w14:paraId="0F288E81">
            <w:pPr>
              <w:widowControl/>
              <w:spacing w:line="360" w:lineRule="auto"/>
              <w:rPr>
                <w:highlight w:val="none"/>
              </w:rPr>
            </w:pPr>
            <w:r>
              <w:rPr>
                <w:rFonts w:hint="eastAsia" w:ascii="宋体" w:cs="宋体"/>
                <w:b/>
                <w:kern w:val="0"/>
                <w:szCs w:val="21"/>
                <w:highlight w:val="none"/>
              </w:rPr>
              <w:t>2、技术标根据评分办法进行打分，技术标评标小组推荐至少3家技术得分70分以上的投标人进入商务标。技术入围投标人不足三家时，本次按废标处理，招标人有权根据招标采购管理流程重新组织招标。</w:t>
            </w:r>
          </w:p>
        </w:tc>
      </w:tr>
    </w:tbl>
    <w:p w14:paraId="78496644">
      <w:pPr>
        <w:pStyle w:val="80"/>
        <w:spacing w:before="0" w:after="0"/>
        <w:rPr>
          <w:rStyle w:val="82"/>
          <w:highlight w:val="none"/>
        </w:rPr>
      </w:pPr>
    </w:p>
    <w:p w14:paraId="7CC0873E">
      <w:pPr>
        <w:spacing w:line="360" w:lineRule="auto"/>
        <w:ind w:firstLine="569" w:firstLineChars="236"/>
        <w:rPr>
          <w:rFonts w:ascii="宋体" w:cs="宋体"/>
          <w:b/>
          <w:bCs/>
          <w:sz w:val="24"/>
          <w:highlight w:val="none"/>
          <w:lang w:bidi="ar"/>
        </w:rPr>
      </w:pPr>
    </w:p>
    <w:p w14:paraId="23452DF4">
      <w:pPr>
        <w:pStyle w:val="80"/>
        <w:spacing w:before="0" w:after="0"/>
        <w:jc w:val="center"/>
        <w:rPr>
          <w:rStyle w:val="82"/>
          <w:rFonts w:ascii="宋体" w:hAnsi="宋体"/>
          <w:sz w:val="24"/>
          <w:highlight w:val="none"/>
        </w:rPr>
      </w:pPr>
      <w:r>
        <w:rPr>
          <w:rStyle w:val="82"/>
          <w:rFonts w:ascii="宋体" w:hAnsi="宋体"/>
          <w:sz w:val="24"/>
          <w:highlight w:val="none"/>
        </w:rPr>
        <w:t>商务标评分细则</w:t>
      </w:r>
    </w:p>
    <w:tbl>
      <w:tblPr>
        <w:tblStyle w:val="31"/>
        <w:tblW w:w="98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1676"/>
        <w:gridCol w:w="699"/>
        <w:gridCol w:w="6764"/>
      </w:tblGrid>
      <w:tr w14:paraId="65012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320C7B39">
            <w:pPr>
              <w:jc w:val="center"/>
              <w:rPr>
                <w:rStyle w:val="82"/>
                <w:rFonts w:ascii="宋体" w:hAnsi="宋体"/>
                <w:bCs/>
                <w:highlight w:val="none"/>
              </w:rPr>
            </w:pPr>
            <w:r>
              <w:rPr>
                <w:rStyle w:val="82"/>
                <w:rFonts w:ascii="宋体" w:hAnsi="宋体"/>
                <w:bCs/>
                <w:highlight w:val="none"/>
              </w:rPr>
              <w:t>序号</w:t>
            </w:r>
          </w:p>
        </w:tc>
        <w:tc>
          <w:tcPr>
            <w:tcW w:w="1676" w:type="dxa"/>
            <w:tcBorders>
              <w:top w:val="single" w:color="000000" w:sz="4" w:space="0"/>
              <w:left w:val="single" w:color="000000" w:sz="4" w:space="0"/>
              <w:bottom w:val="single" w:color="000000" w:sz="4" w:space="0"/>
              <w:right w:val="single" w:color="000000" w:sz="4" w:space="0"/>
            </w:tcBorders>
            <w:vAlign w:val="center"/>
          </w:tcPr>
          <w:p w14:paraId="1C5A8547">
            <w:pPr>
              <w:jc w:val="center"/>
              <w:rPr>
                <w:rStyle w:val="82"/>
                <w:rFonts w:ascii="宋体" w:hAnsi="宋体"/>
                <w:bCs/>
                <w:highlight w:val="none"/>
              </w:rPr>
            </w:pPr>
            <w:r>
              <w:rPr>
                <w:rStyle w:val="82"/>
                <w:rFonts w:ascii="宋体" w:hAnsi="宋体"/>
                <w:bCs/>
                <w:highlight w:val="none"/>
              </w:rPr>
              <w:t>类别</w:t>
            </w:r>
          </w:p>
        </w:tc>
        <w:tc>
          <w:tcPr>
            <w:tcW w:w="699" w:type="dxa"/>
            <w:tcBorders>
              <w:top w:val="single" w:color="000000" w:sz="4" w:space="0"/>
              <w:left w:val="single" w:color="000000" w:sz="4" w:space="0"/>
              <w:bottom w:val="single" w:color="000000" w:sz="4" w:space="0"/>
              <w:right w:val="single" w:color="000000" w:sz="4" w:space="0"/>
            </w:tcBorders>
            <w:vAlign w:val="center"/>
          </w:tcPr>
          <w:p w14:paraId="3C3A2C66">
            <w:pPr>
              <w:jc w:val="center"/>
              <w:rPr>
                <w:rStyle w:val="82"/>
                <w:rFonts w:ascii="宋体" w:hAnsi="宋体"/>
                <w:bCs/>
                <w:highlight w:val="none"/>
              </w:rPr>
            </w:pPr>
            <w:r>
              <w:rPr>
                <w:rStyle w:val="82"/>
                <w:rFonts w:ascii="宋体" w:hAnsi="宋体"/>
                <w:bCs/>
                <w:highlight w:val="none"/>
              </w:rPr>
              <w:t>满分</w:t>
            </w:r>
          </w:p>
        </w:tc>
        <w:tc>
          <w:tcPr>
            <w:tcW w:w="6764" w:type="dxa"/>
            <w:tcBorders>
              <w:top w:val="single" w:color="000000" w:sz="4" w:space="0"/>
              <w:left w:val="single" w:color="000000" w:sz="4" w:space="0"/>
              <w:bottom w:val="single" w:color="000000" w:sz="4" w:space="0"/>
              <w:right w:val="single" w:color="000000" w:sz="4" w:space="0"/>
            </w:tcBorders>
            <w:vAlign w:val="center"/>
          </w:tcPr>
          <w:p w14:paraId="6AFF6A85">
            <w:pPr>
              <w:jc w:val="center"/>
              <w:rPr>
                <w:rStyle w:val="82"/>
                <w:rFonts w:ascii="宋体" w:hAnsi="宋体"/>
                <w:bCs/>
                <w:sz w:val="20"/>
                <w:szCs w:val="22"/>
                <w:highlight w:val="none"/>
              </w:rPr>
            </w:pPr>
            <w:r>
              <w:rPr>
                <w:rFonts w:hint="eastAsia" w:ascii="宋体" w:hAnsi="宋体" w:cs="宋体"/>
                <w:highlight w:val="none"/>
              </w:rPr>
              <w:t>得   分   标   准</w:t>
            </w:r>
          </w:p>
        </w:tc>
      </w:tr>
      <w:tr w14:paraId="6D12D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764BC835">
            <w:pPr>
              <w:jc w:val="center"/>
              <w:rPr>
                <w:rStyle w:val="82"/>
                <w:rFonts w:ascii="宋体" w:hAnsi="宋体"/>
                <w:bCs/>
                <w:highlight w:val="none"/>
              </w:rPr>
            </w:pPr>
            <w:r>
              <w:rPr>
                <w:rStyle w:val="82"/>
                <w:rFonts w:ascii="宋体" w:hAnsi="宋体"/>
                <w:bCs/>
                <w:highlight w:val="none"/>
              </w:rPr>
              <w:t>1</w:t>
            </w:r>
          </w:p>
        </w:tc>
        <w:tc>
          <w:tcPr>
            <w:tcW w:w="1676" w:type="dxa"/>
            <w:tcBorders>
              <w:top w:val="single" w:color="000000" w:sz="4" w:space="0"/>
              <w:left w:val="single" w:color="000000" w:sz="4" w:space="0"/>
              <w:bottom w:val="single" w:color="000000" w:sz="4" w:space="0"/>
              <w:right w:val="single" w:color="000000" w:sz="4" w:space="0"/>
            </w:tcBorders>
            <w:vAlign w:val="center"/>
          </w:tcPr>
          <w:p w14:paraId="3ECDDF01">
            <w:pPr>
              <w:jc w:val="center"/>
              <w:rPr>
                <w:rStyle w:val="82"/>
                <w:rFonts w:ascii="宋体" w:hAnsi="宋体"/>
                <w:bCs/>
                <w:highlight w:val="none"/>
              </w:rPr>
            </w:pPr>
            <w:r>
              <w:rPr>
                <w:rStyle w:val="82"/>
                <w:rFonts w:ascii="宋体" w:hAnsi="宋体"/>
                <w:bCs/>
                <w:highlight w:val="none"/>
              </w:rPr>
              <w:t>工程总报价</w:t>
            </w:r>
          </w:p>
        </w:tc>
        <w:tc>
          <w:tcPr>
            <w:tcW w:w="699" w:type="dxa"/>
            <w:tcBorders>
              <w:top w:val="single" w:color="000000" w:sz="4" w:space="0"/>
              <w:left w:val="single" w:color="000000" w:sz="4" w:space="0"/>
              <w:bottom w:val="single" w:color="000000" w:sz="4" w:space="0"/>
              <w:right w:val="single" w:color="000000" w:sz="4" w:space="0"/>
            </w:tcBorders>
            <w:vAlign w:val="center"/>
          </w:tcPr>
          <w:p w14:paraId="4A29B9ED">
            <w:pPr>
              <w:jc w:val="center"/>
              <w:rPr>
                <w:rStyle w:val="82"/>
                <w:rFonts w:ascii="宋体" w:hAnsi="宋体"/>
                <w:bCs/>
                <w:highlight w:val="none"/>
              </w:rPr>
            </w:pPr>
            <w:r>
              <w:rPr>
                <w:rStyle w:val="82"/>
                <w:rFonts w:hint="eastAsia" w:ascii="宋体" w:hAnsi="宋体"/>
                <w:bCs/>
                <w:highlight w:val="none"/>
              </w:rPr>
              <w:t>/</w:t>
            </w:r>
          </w:p>
        </w:tc>
        <w:tc>
          <w:tcPr>
            <w:tcW w:w="6764" w:type="dxa"/>
            <w:tcBorders>
              <w:top w:val="single" w:color="000000" w:sz="4" w:space="0"/>
              <w:left w:val="single" w:color="000000" w:sz="4" w:space="0"/>
              <w:bottom w:val="single" w:color="000000" w:sz="4" w:space="0"/>
              <w:right w:val="single" w:color="000000" w:sz="4" w:space="0"/>
            </w:tcBorders>
            <w:vAlign w:val="center"/>
          </w:tcPr>
          <w:p w14:paraId="0B40DC9C">
            <w:pPr>
              <w:spacing w:line="360" w:lineRule="auto"/>
              <w:ind w:firstLine="420" w:firstLineChars="200"/>
              <w:jc w:val="left"/>
              <w:rPr>
                <w:rFonts w:ascii="宋体" w:hAnsi="宋体" w:cs="宋体"/>
                <w:bCs/>
                <w:szCs w:val="21"/>
                <w:highlight w:val="none"/>
                <w:lang w:bidi="ar"/>
              </w:rPr>
            </w:pPr>
            <w:r>
              <w:rPr>
                <w:rFonts w:hint="eastAsia" w:ascii="宋体" w:hAnsi="宋体" w:cs="宋体"/>
                <w:bCs/>
                <w:szCs w:val="21"/>
                <w:highlight w:val="none"/>
                <w:lang w:bidi="ar"/>
              </w:rPr>
              <w:t>在开标价的基础上进行至少</w:t>
            </w:r>
            <w:r>
              <w:rPr>
                <w:rFonts w:hint="eastAsia" w:ascii="宋体" w:hAnsi="宋体" w:cs="宋体"/>
                <w:bCs/>
                <w:szCs w:val="21"/>
                <w:highlight w:val="none"/>
                <w:lang w:val="en-US" w:eastAsia="zh-CN" w:bidi="ar"/>
              </w:rPr>
              <w:t>2</w:t>
            </w:r>
            <w:r>
              <w:rPr>
                <w:rFonts w:hint="eastAsia" w:ascii="宋体" w:hAnsi="宋体" w:cs="宋体"/>
                <w:bCs/>
                <w:szCs w:val="21"/>
                <w:highlight w:val="none"/>
                <w:lang w:bidi="ar"/>
              </w:rPr>
              <w:t>轮商务谈判并实行淘汰制，</w:t>
            </w:r>
            <w:r>
              <w:rPr>
                <w:rFonts w:hint="eastAsia" w:ascii="宋体" w:cs="宋体"/>
                <w:bCs/>
                <w:kern w:val="0"/>
                <w:szCs w:val="21"/>
                <w:highlight w:val="none"/>
                <w:lang w:bidi="ar"/>
              </w:rPr>
              <w:t>根据最终有效报价的由低到高进行排序，报价最低者排名第一，报价次低者排名第二，以此类推，报价最高者排名最后。</w:t>
            </w:r>
            <w:r>
              <w:rPr>
                <w:rFonts w:hint="eastAsia" w:ascii="宋体" w:hAnsi="宋体" w:cs="宋体"/>
                <w:bCs/>
                <w:szCs w:val="21"/>
                <w:highlight w:val="none"/>
                <w:lang w:bidi="ar"/>
              </w:rPr>
              <w:t>最终排名第一的推荐为拟中标人，但是报价明显低于成本的除外。</w:t>
            </w:r>
          </w:p>
          <w:p w14:paraId="3647FE07">
            <w:pPr>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不允许采用不平衡报价。</w:t>
            </w:r>
          </w:p>
          <w:p w14:paraId="63354622">
            <w:pPr>
              <w:spacing w:line="360" w:lineRule="auto"/>
              <w:ind w:firstLine="422" w:firstLineChars="200"/>
              <w:jc w:val="left"/>
              <w:rPr>
                <w:rFonts w:ascii="宋体" w:cs="宋体"/>
                <w:b/>
                <w:kern w:val="0"/>
                <w:szCs w:val="21"/>
                <w:highlight w:val="none"/>
                <w:lang w:bidi="ar"/>
              </w:rPr>
            </w:pPr>
            <w:r>
              <w:rPr>
                <w:rFonts w:hint="eastAsia" w:ascii="宋体" w:cs="宋体"/>
                <w:b/>
                <w:kern w:val="0"/>
                <w:szCs w:val="21"/>
                <w:highlight w:val="none"/>
                <w:lang w:bidi="ar"/>
              </w:rPr>
              <w:t>开标清标后按照招标人清标发现的问题进行纠偏调整，形成修正版工程量清单并同步修正开标报价（但不得高于开标唱标价），推荐拟中标价格以此修正版清单进行同比例下浮，下浮系数=商务标最后一轮澄清总报价/开标清标修正后的总报价。单独澄清的清单项除外。</w:t>
            </w:r>
          </w:p>
          <w:p w14:paraId="065B5A1D">
            <w:pPr>
              <w:spacing w:line="360" w:lineRule="auto"/>
              <w:ind w:firstLine="422" w:firstLineChars="200"/>
              <w:jc w:val="left"/>
              <w:rPr>
                <w:highlight w:val="none"/>
              </w:rPr>
            </w:pPr>
            <w:r>
              <w:rPr>
                <w:rFonts w:hint="eastAsia" w:ascii="宋体" w:cs="宋体"/>
                <w:b/>
                <w:kern w:val="0"/>
                <w:szCs w:val="21"/>
                <w:highlight w:val="none"/>
                <w:lang w:bidi="ar"/>
              </w:rPr>
              <w:t>招标人对下浮后的工程量清单价格进一步价格审核，如发现不平衡报价，招标人有权对其高报价部分予以调低，同时降低拟中标总价。</w:t>
            </w:r>
          </w:p>
        </w:tc>
      </w:tr>
    </w:tbl>
    <w:p w14:paraId="357D1514">
      <w:pPr>
        <w:pStyle w:val="14"/>
        <w:spacing w:line="360" w:lineRule="auto"/>
        <w:ind w:firstLine="480" w:firstLineChars="200"/>
        <w:rPr>
          <w:rFonts w:hint="eastAsia" w:cs="仿宋" w:asciiTheme="minorEastAsia" w:hAnsiTheme="minorEastAsia" w:eastAsiaTheme="minorEastAsia"/>
          <w:sz w:val="24"/>
          <w:szCs w:val="24"/>
          <w:highlight w:val="none"/>
          <w:u w:val="single"/>
          <w:lang w:val="en-US" w:eastAsia="zh-CN"/>
        </w:rPr>
      </w:pPr>
    </w:p>
    <w:p w14:paraId="6E33361A">
      <w:pPr>
        <w:spacing w:line="360" w:lineRule="auto"/>
        <w:ind w:firstLine="569" w:firstLineChars="236"/>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12.4</w:t>
      </w:r>
      <w:r>
        <w:rPr>
          <w:rFonts w:hint="eastAsia" w:ascii="宋体" w:hAnsi="宋体" w:eastAsia="宋体" w:cs="宋体"/>
          <w:b/>
          <w:bCs/>
          <w:sz w:val="24"/>
          <w:highlight w:val="none"/>
        </w:rPr>
        <w:t>评标方法</w:t>
      </w:r>
    </w:p>
    <w:p w14:paraId="74614ABA">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（1）技术标和商务标同时开标、分阶段评标的模式。</w:t>
      </w:r>
    </w:p>
    <w:p w14:paraId="64268496">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（2）首先进行技术标评审，由评标专家组对所有投标方的技术标部分综合评定和打分，确定进入商务标评比资格的投标方（技术标评分不带入商务标）。</w:t>
      </w:r>
    </w:p>
    <w:p w14:paraId="635DF287">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（3）然后进行商务标的评标，招标人有权根据项目情况，商务标采取多轮（至少</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lang w:val="en-US" w:eastAsia="zh-CN"/>
        </w:rPr>
        <w:t>轮）评标模式，最终根据商务标的得分确定各投标人排序，原则上按照评标合理最低价确定推荐</w:t>
      </w:r>
      <w:r>
        <w:rPr>
          <w:rFonts w:hint="eastAsia" w:ascii="宋体" w:hAnsi="宋体" w:cs="宋体"/>
          <w:b w:val="0"/>
          <w:bCs w:val="0"/>
          <w:sz w:val="24"/>
          <w:highlight w:val="none"/>
          <w:u w:val="single"/>
          <w:lang w:val="en-US" w:eastAsia="zh-CN"/>
        </w:rPr>
        <w:t>1家</w:t>
      </w:r>
      <w:r>
        <w:rPr>
          <w:rFonts w:hint="eastAsia" w:ascii="宋体" w:hAnsi="宋体" w:eastAsia="宋体" w:cs="宋体"/>
          <w:b w:val="0"/>
          <w:bCs w:val="0"/>
          <w:sz w:val="24"/>
          <w:highlight w:val="none"/>
          <w:lang w:val="en-US" w:eastAsia="zh-CN"/>
        </w:rPr>
        <w:t>中标人（不保证最低价格中标），对未中标单位不做任何解释。</w:t>
      </w:r>
    </w:p>
    <w:p w14:paraId="4D04BCED">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（4）招标人有权根据项目情况，采取多轮报价模式。除开标唱标为公开报价方式外，后续多轮澄清报价均为非公开的方式，投标人在重汽e采通进行提报报价。</w:t>
      </w:r>
    </w:p>
    <w:p w14:paraId="6645FA4B">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12.5评标程序</w:t>
      </w:r>
    </w:p>
    <w:p w14:paraId="533CB9D3">
      <w:pPr>
        <w:pStyle w:val="14"/>
        <w:spacing w:line="360" w:lineRule="auto"/>
        <w:ind w:firstLine="482" w:firstLineChars="200"/>
        <w:rPr>
          <w:rFonts w:hint="eastAsia" w:cs="仿宋" w:asciiTheme="minorEastAsia" w:hAnsiTheme="minorEastAsia" w:eastAsiaTheme="minorEastAsia"/>
          <w:b/>
          <w:bCs/>
          <w:sz w:val="24"/>
          <w:szCs w:val="24"/>
          <w:highlight w:val="none"/>
          <w:lang w:val="en-US" w:eastAsia="zh-CN"/>
        </w:rPr>
      </w:pPr>
      <w:r>
        <w:rPr>
          <w:rFonts w:hint="eastAsia" w:cs="仿宋" w:asciiTheme="minorEastAsia" w:hAnsiTheme="minorEastAsia" w:eastAsiaTheme="minorEastAsia"/>
          <w:b/>
          <w:bCs/>
          <w:sz w:val="24"/>
          <w:szCs w:val="24"/>
          <w:highlight w:val="none"/>
          <w:lang w:val="en-US" w:eastAsia="zh-CN"/>
        </w:rPr>
        <w:t>12.5.1 初步评审</w:t>
      </w:r>
    </w:p>
    <w:p w14:paraId="6D003724">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（1）评标委员会可以要求投标人提交资格审查文件规定的有关证明和证件的原件，以便核验。评标委员会对投标文件进行初步评审。有一项不符合资格要求的，作无效标处理。</w:t>
      </w:r>
    </w:p>
    <w:p w14:paraId="6A71AF4C">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（2）投标人有以下情形之一的，其投标作废标处理：详见：废标条件。</w:t>
      </w:r>
    </w:p>
    <w:p w14:paraId="12E926EF">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（3）投标报价有算术错误的，评标委员会按以下原则对投标报价进行修正，修正的价格经投标人书面确认后具有约束力。投标人不接受修正价格的，其投标作无效标处理。</w:t>
      </w:r>
    </w:p>
    <w:p w14:paraId="44146ACA">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a.投标文件中的大写金额与小写金额不一致的，以大写金额为准；</w:t>
      </w:r>
    </w:p>
    <w:p w14:paraId="08CA6769">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b.总价金额与依据单价计算出的结果不一致的，以总价金额为准修正单价。</w:t>
      </w:r>
    </w:p>
    <w:p w14:paraId="57A2A95C">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c.唱标单报价与投标报价文件中价格不一致的，评标过程中，评定内容的具体数据以单独递交的唱标单报价为准，签订合同及后期结算时，以价格低的为准，价格根据下浮率同比例下调。</w:t>
      </w:r>
    </w:p>
    <w:p w14:paraId="1DDDA591">
      <w:pPr>
        <w:pStyle w:val="14"/>
        <w:spacing w:line="360" w:lineRule="auto"/>
        <w:ind w:firstLine="480" w:firstLineChars="200"/>
        <w:rPr>
          <w:rFonts w:hint="eastAsia" w:cs="仿宋" w:asciiTheme="minorEastAsia" w:hAnsiTheme="minorEastAsia" w:eastAsiaTheme="minorEastAsia"/>
          <w:b w:val="0"/>
          <w:bCs w:val="0"/>
          <w:sz w:val="24"/>
          <w:szCs w:val="24"/>
          <w:highlight w:val="none"/>
          <w:lang w:val="en-US" w:eastAsia="zh-CN"/>
        </w:rPr>
      </w:pPr>
      <w:r>
        <w:rPr>
          <w:rFonts w:hint="eastAsia" w:cs="仿宋" w:asciiTheme="minorEastAsia" w:hAnsiTheme="minorEastAsia" w:eastAsiaTheme="minorEastAsia"/>
          <w:b w:val="0"/>
          <w:bCs w:val="0"/>
          <w:sz w:val="24"/>
          <w:szCs w:val="24"/>
          <w:highlight w:val="none"/>
          <w:lang w:val="en-US" w:eastAsia="zh-CN"/>
        </w:rPr>
        <w:t>投标人有下列情形之一的视为无效投标：</w:t>
      </w:r>
    </w:p>
    <w:p w14:paraId="35B89722">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（1）参加开标会议的投标人的法定代表人或其委托代理人未携带本人身份证，委托代理人未携带参加开标会议的法定代表人授权委托书，法定代表人未携带法定代表人证书，无法证明其身份的；</w:t>
      </w:r>
    </w:p>
    <w:p w14:paraId="3B401048">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（2）无单位盖章并无法定代表人或法定代表人授权的代理人签字或盖章的；</w:t>
      </w:r>
    </w:p>
    <w:p w14:paraId="4F226DE7">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（3）未按规定格式填写，内容不全或关键字迹模糊、无法辨认的；</w:t>
      </w:r>
    </w:p>
    <w:p w14:paraId="247DD37C">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（4）投标人递交两份或多份内容不同的投标文件，或在一份投标文件中对同一招标项目抱有两个或多个报价，且未声明哪一个有效，按招标文件规定提交备选投标方案的除外；</w:t>
      </w:r>
    </w:p>
    <w:p w14:paraId="13B01875">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（5）投标人名称或组织结构与资格预审时不一致（资格预审的）；</w:t>
      </w:r>
    </w:p>
    <w:p w14:paraId="642F4068">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（6）投标人未按投标文件的要求提交投标保证金的；</w:t>
      </w:r>
    </w:p>
    <w:p w14:paraId="2E2BCDE1">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（7）联合体投标未附联合体各方共同投标协议的（允许联合体投标的）；</w:t>
      </w:r>
    </w:p>
    <w:p w14:paraId="064BF586">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bookmarkStart w:id="37" w:name="_Toc16063905"/>
      <w:r>
        <w:rPr>
          <w:rFonts w:hint="eastAsia" w:cs="仿宋" w:asciiTheme="minorEastAsia" w:hAnsiTheme="minorEastAsia" w:eastAsiaTheme="minorEastAsia"/>
          <w:sz w:val="24"/>
          <w:szCs w:val="24"/>
          <w:highlight w:val="none"/>
          <w:lang w:val="en-US" w:eastAsia="zh-CN"/>
        </w:rPr>
        <w:t>（8）投标文件未按照招标文件的要求予以密封的；</w:t>
      </w:r>
      <w:bookmarkEnd w:id="37"/>
    </w:p>
    <w:p w14:paraId="383D8E56">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（9）投标文件中的投标函未加盖投标人的企业及企业法定代表人印章的，或者企业法定代表人委托代理人没有合法、有效的委托书（原件）及委托代理人印章的；</w:t>
      </w:r>
    </w:p>
    <w:p w14:paraId="14F69C50">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（10）资格审查未通过的；</w:t>
      </w:r>
    </w:p>
    <w:p w14:paraId="66E47B2E">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（11）未实质性响应招标文件内容的；</w:t>
      </w:r>
    </w:p>
    <w:p w14:paraId="69DDBE69">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（12）投标单位负责人为同一人或存在管理关系的。</w:t>
      </w:r>
    </w:p>
    <w:p w14:paraId="14EE3D3A">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（13）投标人被举报、检举，并经招标方查实无误的。</w:t>
      </w:r>
    </w:p>
    <w:p w14:paraId="602848F1">
      <w:pPr>
        <w:pStyle w:val="14"/>
        <w:spacing w:line="360" w:lineRule="auto"/>
        <w:ind w:firstLine="482" w:firstLineChars="200"/>
        <w:rPr>
          <w:rFonts w:hint="eastAsia" w:cs="仿宋" w:asciiTheme="minorEastAsia" w:hAnsiTheme="minorEastAsia" w:eastAsiaTheme="minorEastAsia"/>
          <w:b/>
          <w:bCs/>
          <w:sz w:val="24"/>
          <w:szCs w:val="24"/>
          <w:highlight w:val="none"/>
          <w:lang w:val="en-US" w:eastAsia="zh-CN"/>
        </w:rPr>
      </w:pPr>
      <w:r>
        <w:rPr>
          <w:rFonts w:hint="eastAsia" w:cs="仿宋" w:asciiTheme="minorEastAsia" w:hAnsiTheme="minorEastAsia" w:eastAsiaTheme="minorEastAsia"/>
          <w:b/>
          <w:bCs/>
          <w:sz w:val="24"/>
          <w:szCs w:val="24"/>
          <w:highlight w:val="none"/>
          <w:lang w:val="en-US" w:eastAsia="zh-CN"/>
        </w:rPr>
        <w:t>12.5.2 详细评审</w:t>
      </w:r>
    </w:p>
    <w:p w14:paraId="7C10D082">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（1）技术标：评标委员会按本章评分细则进行打分，并计算出平均得分；商务标：按照重汽e采通平台有效报价的由低到高进行排序，报价最低者排名第一，报价次低者排名第二，以此类推。</w:t>
      </w:r>
    </w:p>
    <w:p w14:paraId="732C1EDF">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（2）评分分值计算保留小数点后两位，小数点后第三位“四舍五入”。</w:t>
      </w:r>
    </w:p>
    <w:p w14:paraId="25FCCD55">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（3）投标人得分=评标委员会按照本章评分细则评审的得分。</w:t>
      </w:r>
    </w:p>
    <w:p w14:paraId="3A24D9AB">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4）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29F49218">
      <w:pPr>
        <w:pStyle w:val="14"/>
        <w:spacing w:line="360" w:lineRule="auto"/>
        <w:ind w:firstLine="482" w:firstLineChars="200"/>
        <w:rPr>
          <w:rFonts w:hint="eastAsia" w:cs="仿宋" w:asciiTheme="minorEastAsia" w:hAnsiTheme="minorEastAsia" w:eastAsiaTheme="minorEastAsia"/>
          <w:b/>
          <w:bCs/>
          <w:sz w:val="24"/>
          <w:szCs w:val="24"/>
          <w:highlight w:val="none"/>
          <w:lang w:val="en-US" w:eastAsia="zh-CN"/>
        </w:rPr>
      </w:pPr>
      <w:r>
        <w:rPr>
          <w:rFonts w:hint="eastAsia" w:cs="仿宋" w:asciiTheme="minorEastAsia" w:hAnsiTheme="minorEastAsia" w:eastAsiaTheme="minorEastAsia"/>
          <w:b/>
          <w:bCs/>
          <w:sz w:val="24"/>
          <w:szCs w:val="24"/>
          <w:highlight w:val="none"/>
          <w:lang w:val="en-US" w:eastAsia="zh-CN"/>
        </w:rPr>
        <w:t>12.5.3 投标文件的澄清和补正</w:t>
      </w:r>
    </w:p>
    <w:p w14:paraId="284820AC">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（1）在评标过程中，评标委员会可以书面形式要求投标人对所提交投标文件中不明确的内容进行书面澄清或说明，或者对细微偏差进行补正。评标委员会不接受投标人主动提出的澄清、说明或补正。</w:t>
      </w:r>
    </w:p>
    <w:p w14:paraId="49A8EC00">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（2）投标人的书面澄清、说明和补正属于投标文件的组成部分。</w:t>
      </w:r>
    </w:p>
    <w:p w14:paraId="46E42AB7">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（3）评标委员会对投标人提交的澄清、说明或补正有疑问的，可以要求投标人进一步澄清、说明或补正，直至满足评标委员会的要求。</w:t>
      </w:r>
    </w:p>
    <w:p w14:paraId="12061334">
      <w:pPr>
        <w:pStyle w:val="14"/>
        <w:spacing w:line="360" w:lineRule="auto"/>
        <w:ind w:firstLine="482" w:firstLineChars="200"/>
        <w:rPr>
          <w:rFonts w:hint="eastAsia" w:cs="仿宋" w:asciiTheme="minorEastAsia" w:hAnsiTheme="minorEastAsia" w:eastAsiaTheme="minorEastAsia"/>
          <w:b/>
          <w:bCs/>
          <w:sz w:val="24"/>
          <w:szCs w:val="24"/>
          <w:highlight w:val="none"/>
          <w:lang w:val="en-US" w:eastAsia="zh-CN"/>
        </w:rPr>
      </w:pPr>
      <w:r>
        <w:rPr>
          <w:rFonts w:hint="eastAsia" w:cs="仿宋" w:asciiTheme="minorEastAsia" w:hAnsiTheme="minorEastAsia" w:eastAsiaTheme="minorEastAsia"/>
          <w:b/>
          <w:bCs/>
          <w:sz w:val="24"/>
          <w:szCs w:val="24"/>
          <w:highlight w:val="none"/>
          <w:lang w:val="en-US" w:eastAsia="zh-CN"/>
        </w:rPr>
        <w:t>12.5.4 评标结果</w:t>
      </w:r>
    </w:p>
    <w:p w14:paraId="4819AE17">
      <w:pPr>
        <w:pStyle w:val="14"/>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（1）评标委员会按照最终得分由高到低的次序排列。</w:t>
      </w:r>
    </w:p>
    <w:p w14:paraId="241FE384">
      <w:pPr>
        <w:spacing w:line="360" w:lineRule="auto"/>
        <w:ind w:firstLine="480" w:firstLineChars="200"/>
        <w:rPr>
          <w:rFonts w:hint="eastAsia"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（2）评标委员会完成评标后，应当向招标人提交书面评标报告。</w:t>
      </w:r>
    </w:p>
    <w:p w14:paraId="39977DDF">
      <w:pPr>
        <w:spacing w:line="360" w:lineRule="auto"/>
        <w:ind w:firstLine="498" w:firstLineChars="200"/>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四、中标和合同</w:t>
      </w:r>
      <w:bookmarkEnd w:id="36"/>
    </w:p>
    <w:p w14:paraId="15352082">
      <w:pPr>
        <w:spacing w:line="360" w:lineRule="auto"/>
        <w:ind w:firstLine="498" w:firstLineChars="200"/>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13、定标</w:t>
      </w:r>
    </w:p>
    <w:p w14:paraId="6BD94D56">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13.1评标委员会按照得分高低顺序对投标人进行排列。得分相同的，按投标报价由低到高顺序排列。得分最高且排名第一的投标人将被推荐为中标候选人或者直接被确定为中标人。</w:t>
      </w:r>
    </w:p>
    <w:p w14:paraId="62764695">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13.2评标委员会认为所有投标报价均不合理或所有投标方案均不能满足招标方要求时，有权否决所有投标，评标委员会也没有义务必须接受最低报价的投标。</w:t>
      </w:r>
    </w:p>
    <w:p w14:paraId="7C2A7B3E">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13.3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20C87CB">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（1）投标人提供的有关资格、资质证明文件不合格、不真实或提供虚假投标材料；</w:t>
      </w:r>
    </w:p>
    <w:p w14:paraId="34F499F3">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（2）投标人在报价有效期内撤回投标；</w:t>
      </w:r>
    </w:p>
    <w:p w14:paraId="14ACB08A">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（3）在整个评标过程中，投标人有企图影响评标结果公正性的任何活动；</w:t>
      </w:r>
    </w:p>
    <w:p w14:paraId="2F51E6B4">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（4）投标过程中被查实有串标、围标、陪标，采取不正当手段诋毁、排挤其他投标人等违规违法行为的；</w:t>
      </w:r>
    </w:p>
    <w:p w14:paraId="336766E9">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（5）以他人名义投标或者以其他方式弄虚作假，骗取中标的；</w:t>
      </w:r>
    </w:p>
    <w:p w14:paraId="5449D410">
      <w:pPr>
        <w:pStyle w:val="14"/>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（6）法律、法规规定的其他情况。</w:t>
      </w:r>
    </w:p>
    <w:p w14:paraId="40826B40">
      <w:pPr>
        <w:spacing w:line="360" w:lineRule="auto"/>
        <w:ind w:firstLine="624" w:firstLineChars="252"/>
        <w:rPr>
          <w:rFonts w:hint="eastAsia" w:ascii="宋体" w:hAnsi="宋体"/>
          <w:spacing w:val="4"/>
          <w:sz w:val="24"/>
        </w:rPr>
      </w:pPr>
      <w:r>
        <w:rPr>
          <w:rFonts w:hint="eastAsia" w:ascii="宋体" w:hAnsi="宋体"/>
          <w:spacing w:val="4"/>
          <w:sz w:val="24"/>
          <w:lang w:val="en-US" w:eastAsia="zh-CN"/>
        </w:rPr>
        <w:t>13</w:t>
      </w:r>
      <w:r>
        <w:rPr>
          <w:rFonts w:hint="eastAsia" w:ascii="宋体" w:hAnsi="宋体"/>
          <w:spacing w:val="4"/>
          <w:sz w:val="24"/>
        </w:rPr>
        <w:t>.4出现下列情形之一的，应予废标：</w:t>
      </w:r>
    </w:p>
    <w:p w14:paraId="73F398E1">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（1）发生影响招标公平、公正的违法、违规行为的；</w:t>
      </w:r>
    </w:p>
    <w:p w14:paraId="6E8F7FCB">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（2）符合条件的投标人或者对招标文件做实质响应的投标人不足2家的；</w:t>
      </w:r>
    </w:p>
    <w:p w14:paraId="4B62DCC1">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（3）因重大变故，采购任务取消的。</w:t>
      </w:r>
    </w:p>
    <w:p w14:paraId="7DF32879">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13.5对未中标的投标人，招标方不做未中标解释。招标人对评标委员会推荐的中标候选人进行审查。</w:t>
      </w:r>
    </w:p>
    <w:p w14:paraId="471E6259">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13.6通过对中标候选人的最终审查确定中标人：</w:t>
      </w:r>
    </w:p>
    <w:p w14:paraId="1433C6BC">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最终审查的内容是对中标候选人所报货物与服务的产品性能及性价比、安装方案、调试方案、技术状况、生产方案、生产条件、产品质量、交付时间、投标人信誉以及招标人认为有必要了解的其它问题作进一步的审查或了解。</w:t>
      </w:r>
    </w:p>
    <w:p w14:paraId="0651D6B1">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（2）最终审查的方式：对中标候选人进行询问或对中标候选人进行实地考察。</w:t>
      </w:r>
    </w:p>
    <w:p w14:paraId="5C0DED40">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 xml:space="preserve">（3）接受最终审查的中标候选人，必须如实回答和受理招标人的询问或考察。 </w:t>
      </w:r>
    </w:p>
    <w:p w14:paraId="58D082BF">
      <w:pPr>
        <w:spacing w:line="360" w:lineRule="auto"/>
        <w:ind w:left="124" w:leftChars="59" w:firstLine="503" w:firstLineChars="202"/>
        <w:rPr>
          <w:rFonts w:hint="eastAsia" w:ascii="宋体" w:hAnsi="宋体"/>
          <w:b/>
          <w:spacing w:val="4"/>
          <w:sz w:val="24"/>
        </w:rPr>
      </w:pPr>
      <w:r>
        <w:rPr>
          <w:rFonts w:hint="eastAsia" w:ascii="宋体" w:hAnsi="宋体"/>
          <w:b/>
          <w:spacing w:val="4"/>
          <w:sz w:val="24"/>
          <w:lang w:val="en-US" w:eastAsia="zh-CN"/>
        </w:rPr>
        <w:t>14</w:t>
      </w:r>
      <w:r>
        <w:rPr>
          <w:rFonts w:hint="eastAsia" w:ascii="宋体" w:hAnsi="宋体"/>
          <w:b/>
          <w:spacing w:val="4"/>
          <w:sz w:val="24"/>
        </w:rPr>
        <w:t>、招标人权利</w:t>
      </w:r>
    </w:p>
    <w:p w14:paraId="08BFDEA9">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（1）在向投标人授予中标通知书时，在保证采购装备、设备、货物、服务规格型号等内容不变的前提下招标人有变更数量的权利。</w:t>
      </w:r>
    </w:p>
    <w:p w14:paraId="09137467">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（2）招标人在中标通知书发出之前任何时候仍有选择或拒绝任何投标人中标或宣布招标无效的权利。对受影响的投标人不承担任何责任，也无义务向受影响的投标人解释采取这一行动的理由。</w:t>
      </w:r>
    </w:p>
    <w:p w14:paraId="617FA75B">
      <w:pPr>
        <w:spacing w:line="360" w:lineRule="auto"/>
        <w:ind w:left="124" w:leftChars="59" w:firstLine="503" w:firstLineChars="202"/>
        <w:rPr>
          <w:rFonts w:hint="eastAsia" w:ascii="宋体" w:hAnsi="宋体"/>
          <w:b/>
          <w:spacing w:val="4"/>
          <w:sz w:val="24"/>
        </w:rPr>
      </w:pPr>
      <w:r>
        <w:rPr>
          <w:rFonts w:hint="eastAsia" w:ascii="宋体" w:hAnsi="宋体"/>
          <w:b/>
          <w:spacing w:val="4"/>
          <w:sz w:val="24"/>
          <w:lang w:val="en-US" w:eastAsia="zh-CN"/>
        </w:rPr>
        <w:t>15</w:t>
      </w:r>
      <w:r>
        <w:rPr>
          <w:rFonts w:hint="eastAsia" w:ascii="宋体" w:hAnsi="宋体"/>
          <w:b/>
          <w:spacing w:val="4"/>
          <w:sz w:val="24"/>
        </w:rPr>
        <w:t>、中标人瑕疵滞后发现的处理原则</w:t>
      </w:r>
    </w:p>
    <w:p w14:paraId="3C7F9896">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无论基于何种原因，各项目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0EA4F317">
      <w:pPr>
        <w:spacing w:line="360" w:lineRule="auto"/>
        <w:ind w:left="124" w:leftChars="59" w:firstLine="503" w:firstLineChars="202"/>
        <w:rPr>
          <w:rFonts w:hint="eastAsia" w:ascii="宋体" w:hAnsi="宋体"/>
          <w:b/>
          <w:spacing w:val="4"/>
          <w:sz w:val="24"/>
        </w:rPr>
      </w:pPr>
      <w:r>
        <w:rPr>
          <w:rFonts w:hint="eastAsia" w:ascii="宋体" w:hAnsi="宋体"/>
          <w:b/>
          <w:spacing w:val="4"/>
          <w:sz w:val="24"/>
          <w:lang w:val="en-US" w:eastAsia="zh-CN"/>
        </w:rPr>
        <w:t>16</w:t>
      </w:r>
      <w:r>
        <w:rPr>
          <w:rFonts w:hint="eastAsia" w:ascii="宋体" w:hAnsi="宋体"/>
          <w:b/>
          <w:spacing w:val="4"/>
          <w:sz w:val="24"/>
        </w:rPr>
        <w:t>、中标通知</w:t>
      </w:r>
    </w:p>
    <w:p w14:paraId="5A1117ED">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16.1确定中标结果后，招标人向中标人签发中标（成交）通知书。</w:t>
      </w:r>
    </w:p>
    <w:p w14:paraId="18AEA790">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16.2中标人收到中标通知书后，应在30日内按照招标人管理流程签订合同与招标方签订合同，过期视为放弃中标。由此给招标人造成损失的，招标人有索赔的权利，投标人应予以赔偿。</w:t>
      </w:r>
    </w:p>
    <w:p w14:paraId="1E8D731C">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16.3如投标人中标后悔标，招标方将取消该投标人本次中标资格及今后3年内的投标资格，给招标人造成损失的，招标人有索赔的权利，投标人应予以赔偿。</w:t>
      </w:r>
    </w:p>
    <w:p w14:paraId="11CCE50F">
      <w:pPr>
        <w:spacing w:line="360" w:lineRule="auto"/>
        <w:ind w:left="124" w:leftChars="59" w:firstLine="503" w:firstLineChars="202"/>
        <w:rPr>
          <w:rFonts w:hint="eastAsia" w:ascii="宋体" w:hAnsi="宋体"/>
          <w:b/>
          <w:spacing w:val="4"/>
          <w:sz w:val="24"/>
        </w:rPr>
      </w:pPr>
      <w:r>
        <w:rPr>
          <w:rFonts w:hint="eastAsia" w:ascii="宋体" w:hAnsi="宋体"/>
          <w:b/>
          <w:spacing w:val="4"/>
          <w:sz w:val="24"/>
          <w:lang w:val="en-US" w:eastAsia="zh-CN"/>
        </w:rPr>
        <w:t>17</w:t>
      </w:r>
      <w:r>
        <w:rPr>
          <w:rFonts w:hint="eastAsia" w:ascii="宋体" w:hAnsi="宋体"/>
          <w:b/>
          <w:spacing w:val="4"/>
          <w:sz w:val="24"/>
        </w:rPr>
        <w:t>、签订合同</w:t>
      </w:r>
    </w:p>
    <w:p w14:paraId="186932D0">
      <w:pPr>
        <w:pStyle w:val="14"/>
        <w:spacing w:line="360" w:lineRule="auto"/>
        <w:ind w:firstLine="480" w:firstLineChars="200"/>
        <w:rPr>
          <w:rFonts w:hAnsi="宋体" w:cs="宋体"/>
          <w:color w:val="000000"/>
          <w:sz w:val="24"/>
          <w:szCs w:val="24"/>
        </w:rPr>
      </w:pPr>
      <w:bookmarkStart w:id="38" w:name="_Toc48665530"/>
      <w:r>
        <w:rPr>
          <w:rFonts w:hint="eastAsia" w:hAnsi="宋体" w:cs="宋体"/>
          <w:color w:val="000000"/>
          <w:sz w:val="24"/>
          <w:szCs w:val="24"/>
          <w:lang w:val="en-US" w:eastAsia="zh-CN"/>
        </w:rPr>
        <w:t>17.1</w:t>
      </w:r>
      <w:r>
        <w:rPr>
          <w:rFonts w:hint="eastAsia" w:hAnsi="宋体" w:cs="宋体"/>
          <w:color w:val="000000"/>
          <w:sz w:val="24"/>
          <w:szCs w:val="24"/>
        </w:rPr>
        <w:t>.招标人根据评标工作小组的评标结果确定中标人，并书面通知中标人，招标人不承诺将合同授予报价最低的投标人。</w:t>
      </w:r>
    </w:p>
    <w:p w14:paraId="15D23F98">
      <w:pPr>
        <w:pStyle w:val="14"/>
        <w:spacing w:line="360" w:lineRule="auto"/>
        <w:ind w:firstLine="480" w:firstLineChars="200"/>
        <w:rPr>
          <w:rFonts w:hAnsi="宋体" w:cs="宋体"/>
          <w:color w:val="000000"/>
          <w:sz w:val="24"/>
          <w:szCs w:val="24"/>
        </w:rPr>
      </w:pPr>
      <w:r>
        <w:rPr>
          <w:rFonts w:hint="eastAsia" w:hAnsi="宋体" w:cs="宋体"/>
          <w:color w:val="000000"/>
          <w:sz w:val="24"/>
          <w:szCs w:val="24"/>
          <w:lang w:val="en-US" w:eastAsia="zh-CN"/>
        </w:rPr>
        <w:t>17.2</w:t>
      </w:r>
      <w:r>
        <w:rPr>
          <w:rFonts w:hint="eastAsia" w:hAnsi="宋体" w:cs="宋体"/>
          <w:color w:val="000000"/>
          <w:sz w:val="24"/>
          <w:szCs w:val="24"/>
        </w:rPr>
        <w:t>中标人应当按照合同约定的履约责任，在保证质量的前提下完成中标项目，不得将中标项目转包或分包给他人，否则视为违约，招标人有权解除合同。</w:t>
      </w:r>
    </w:p>
    <w:p w14:paraId="4863EE64">
      <w:pPr>
        <w:pStyle w:val="14"/>
        <w:spacing w:line="360" w:lineRule="auto"/>
        <w:ind w:firstLine="480" w:firstLineChars="200"/>
        <w:rPr>
          <w:rFonts w:hint="eastAsia" w:hAnsi="宋体" w:cs="宋体"/>
          <w:color w:val="000000"/>
          <w:sz w:val="24"/>
          <w:szCs w:val="24"/>
        </w:rPr>
      </w:pPr>
      <w:r>
        <w:rPr>
          <w:rFonts w:hint="eastAsia" w:hAnsi="宋体" w:cs="宋体"/>
          <w:color w:val="000000"/>
          <w:sz w:val="24"/>
          <w:szCs w:val="24"/>
          <w:lang w:val="en-US" w:eastAsia="zh-CN"/>
        </w:rPr>
        <w:t>17.3</w:t>
      </w:r>
      <w:r>
        <w:rPr>
          <w:rFonts w:hint="eastAsia" w:hAnsi="宋体" w:cs="宋体"/>
          <w:color w:val="000000"/>
          <w:sz w:val="24"/>
          <w:szCs w:val="24"/>
        </w:rPr>
        <w:t>在履行合同过程中，中标人由于履行义务的能力或信用有严重缺陷，招标人有权解除合同并取消其中标资格，招标人将从中标候选单位中依序重新确定中标人，或重新组织招标。</w:t>
      </w:r>
    </w:p>
    <w:p w14:paraId="7530BD88">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lang w:val="en-US" w:eastAsia="zh-CN"/>
        </w:rPr>
        <w:t>17.4</w:t>
      </w:r>
      <w:r>
        <w:rPr>
          <w:rFonts w:hint="eastAsia" w:hAnsi="宋体" w:cs="宋体"/>
          <w:color w:val="000000"/>
          <w:sz w:val="24"/>
          <w:szCs w:val="24"/>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61240F91">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（1）有效投标不足三家；</w:t>
      </w:r>
    </w:p>
    <w:p w14:paraId="0A68A2A1">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（2）投标人提供的有关资格、资质证明文件不合格、不真实或提供虚假投标材料；</w:t>
      </w:r>
    </w:p>
    <w:p w14:paraId="5CA8DDBC">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（3）投标人在报价有效期内撤回投标；</w:t>
      </w:r>
    </w:p>
    <w:p w14:paraId="3FF42B3D">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（4）在整个评标过程中，投标人有企图影响评标结果公正性的任何活动；</w:t>
      </w:r>
    </w:p>
    <w:p w14:paraId="038A1140">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（5）投标人以任何方式诋毁其他投标人；</w:t>
      </w:r>
    </w:p>
    <w:p w14:paraId="5504BAE1">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（6）投标人串通投标；</w:t>
      </w:r>
    </w:p>
    <w:p w14:paraId="391B34BC">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（7）以他人名义投标或者以其他方式弄虚作假，骗取中标的；</w:t>
      </w:r>
    </w:p>
    <w:p w14:paraId="26067B98">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（8）投标人负责人为同一人或者存在控股、管理关系的不同单位；</w:t>
      </w:r>
    </w:p>
    <w:p w14:paraId="5C730EDA">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（9）法律、法规规定的其他情况。</w:t>
      </w:r>
    </w:p>
    <w:p w14:paraId="1D812633">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lang w:val="en-US" w:eastAsia="zh-CN"/>
        </w:rPr>
        <w:t>17.5</w:t>
      </w:r>
      <w:r>
        <w:rPr>
          <w:rFonts w:hint="eastAsia" w:hAnsi="宋体" w:cs="宋体"/>
          <w:color w:val="000000"/>
          <w:sz w:val="24"/>
          <w:szCs w:val="24"/>
          <w:highlight w:val="none"/>
        </w:rPr>
        <w:t>出现下列情形之一，招标人有权否决所有投标人的投标，并终止招标</w:t>
      </w:r>
    </w:p>
    <w:p w14:paraId="1249BA13">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（1）符合条件的投标人或者对招标文件做实质响应的投标人不足三家的。</w:t>
      </w:r>
    </w:p>
    <w:p w14:paraId="586DD496">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（2）出现影响施工公正的违法、违规行为的；</w:t>
      </w:r>
    </w:p>
    <w:p w14:paraId="704BEE18">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（3）投标人的投标均超过了工程预算；</w:t>
      </w:r>
    </w:p>
    <w:p w14:paraId="163DAF03">
      <w:pPr>
        <w:pStyle w:val="14"/>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（4）因重大变故，采购任务取消的；</w:t>
      </w:r>
    </w:p>
    <w:p w14:paraId="7978AB8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color w:val="000000"/>
          <w:sz w:val="24"/>
          <w:szCs w:val="24"/>
          <w:highlight w:val="none"/>
        </w:rPr>
      </w:pPr>
      <w:r>
        <w:rPr>
          <w:rFonts w:hint="eastAsia" w:hAnsi="宋体" w:cs="宋体"/>
          <w:color w:val="000000"/>
          <w:sz w:val="24"/>
          <w:szCs w:val="24"/>
          <w:highlight w:val="none"/>
        </w:rPr>
        <w:t>（5）如招标人及其上级单位按照规定提出废标要求时，本次招标作废，同时终止招标的相关内容。</w:t>
      </w:r>
    </w:p>
    <w:p w14:paraId="508AA2AB">
      <w:pPr>
        <w:spacing w:line="360" w:lineRule="auto"/>
        <w:ind w:left="124" w:leftChars="59" w:firstLine="503" w:firstLineChars="202"/>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五、相关费用</w:t>
      </w:r>
      <w:bookmarkEnd w:id="38"/>
    </w:p>
    <w:p w14:paraId="59E0723B">
      <w:pPr>
        <w:spacing w:line="360" w:lineRule="auto"/>
        <w:ind w:left="124" w:leftChars="59" w:firstLine="503" w:firstLineChars="202"/>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18、本项目招标无相关费用</w:t>
      </w:r>
    </w:p>
    <w:p w14:paraId="24684675">
      <w:pPr>
        <w:spacing w:line="360" w:lineRule="auto"/>
        <w:ind w:left="124" w:leftChars="59" w:firstLine="503" w:firstLineChars="202"/>
        <w:rPr>
          <w:rFonts w:hint="eastAsia" w:ascii="宋体" w:hAnsi="宋体" w:cs="Times New Roman"/>
          <w:b/>
          <w:spacing w:val="4"/>
          <w:sz w:val="24"/>
          <w:szCs w:val="22"/>
          <w:lang w:val="en-US" w:eastAsia="zh-CN"/>
        </w:rPr>
      </w:pPr>
      <w:bookmarkStart w:id="39" w:name="_Toc48665531"/>
      <w:r>
        <w:rPr>
          <w:rFonts w:hint="eastAsia" w:ascii="宋体" w:hAnsi="宋体" w:cs="Times New Roman"/>
          <w:b/>
          <w:spacing w:val="4"/>
          <w:sz w:val="24"/>
          <w:szCs w:val="22"/>
          <w:lang w:val="en-US" w:eastAsia="zh-CN"/>
        </w:rPr>
        <w:t>六、解释权</w:t>
      </w:r>
      <w:bookmarkEnd w:id="39"/>
    </w:p>
    <w:p w14:paraId="74F64A1B">
      <w:pPr>
        <w:spacing w:line="360" w:lineRule="auto"/>
        <w:ind w:left="124" w:leftChars="59" w:firstLine="503" w:firstLineChars="202"/>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19、本招标文件的最终解释权归招标人</w:t>
      </w:r>
    </w:p>
    <w:p w14:paraId="409C48B3">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当对一个问题有多种解释时以招标人的书面解释为准。招标文件未做明示，而又有相关法律、法规规定的，招标人对此所做解释以相关的法律、法规规定为依据。</w:t>
      </w:r>
    </w:p>
    <w:p w14:paraId="25338A26">
      <w:pPr>
        <w:spacing w:line="360" w:lineRule="auto"/>
        <w:ind w:left="124" w:leftChars="59" w:firstLine="503" w:firstLineChars="202"/>
        <w:rPr>
          <w:rFonts w:hint="eastAsia" w:ascii="宋体" w:hAnsi="宋体" w:cs="Times New Roman"/>
          <w:b/>
          <w:spacing w:val="4"/>
          <w:sz w:val="24"/>
          <w:szCs w:val="22"/>
          <w:lang w:val="en-US" w:eastAsia="zh-CN"/>
        </w:rPr>
      </w:pPr>
      <w:bookmarkStart w:id="40" w:name="_Toc48665532"/>
      <w:r>
        <w:rPr>
          <w:rFonts w:hint="eastAsia" w:ascii="宋体" w:hAnsi="宋体" w:cs="Times New Roman"/>
          <w:b/>
          <w:spacing w:val="4"/>
          <w:sz w:val="24"/>
          <w:szCs w:val="22"/>
          <w:lang w:val="en-US" w:eastAsia="zh-CN"/>
        </w:rPr>
        <w:t>七、</w:t>
      </w:r>
      <w:bookmarkStart w:id="41" w:name="_Toc346306733"/>
      <w:bookmarkStart w:id="42" w:name="_Toc346372880"/>
      <w:bookmarkStart w:id="43" w:name="_Toc352332854"/>
      <w:r>
        <w:rPr>
          <w:rFonts w:hint="eastAsia" w:ascii="宋体" w:hAnsi="宋体" w:cs="Times New Roman"/>
          <w:b/>
          <w:spacing w:val="4"/>
          <w:sz w:val="24"/>
          <w:szCs w:val="22"/>
          <w:lang w:val="en-US" w:eastAsia="zh-CN"/>
        </w:rPr>
        <w:t>投标费用</w:t>
      </w:r>
      <w:bookmarkEnd w:id="41"/>
      <w:bookmarkEnd w:id="42"/>
      <w:bookmarkEnd w:id="43"/>
    </w:p>
    <w:p w14:paraId="4FE0770E">
      <w:pPr>
        <w:spacing w:line="360" w:lineRule="auto"/>
        <w:ind w:left="124" w:leftChars="59" w:firstLine="503" w:firstLineChars="202"/>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20、投标人自行承担参加招标有关费用</w:t>
      </w:r>
    </w:p>
    <w:p w14:paraId="72A3E419">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无论投标过程中的方法和结果如何，投标人自行承担所有与参加招标有关费用。</w:t>
      </w:r>
    </w:p>
    <w:p w14:paraId="5FE92682">
      <w:pPr>
        <w:spacing w:line="360" w:lineRule="auto"/>
        <w:ind w:left="124" w:leftChars="59" w:firstLine="503" w:firstLineChars="202"/>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八、其他</w:t>
      </w:r>
      <w:bookmarkEnd w:id="40"/>
    </w:p>
    <w:p w14:paraId="6A4BB6CA">
      <w:pPr>
        <w:spacing w:line="360" w:lineRule="auto"/>
        <w:ind w:left="124" w:leftChars="59" w:firstLine="503" w:firstLineChars="202"/>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21、合同价款的其他约束</w:t>
      </w:r>
    </w:p>
    <w:p w14:paraId="55BD8141">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21.1其余未尽事宜均以协议（或合同）约定为准。</w:t>
      </w:r>
    </w:p>
    <w:p w14:paraId="659D0EED">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21.2要求招标人或相关合同签订单位提供的配合，在标书文件中说明。</w:t>
      </w:r>
    </w:p>
    <w:p w14:paraId="4F53CB2C">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21.3凡对本次招标提出的问询，均以招标人的书面答复为准。招标人的任何工作人员对投标人所作的任何口头解释、介绍、答复，对招标人和投标人均无任何约束力。</w:t>
      </w:r>
    </w:p>
    <w:p w14:paraId="5000FA6F">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21.4投标人应承担所有与准备和参加投标有关的全部费用，招标人在任何情况下均无义务和责任承担此费用。</w:t>
      </w:r>
    </w:p>
    <w:p w14:paraId="710E803F">
      <w:pPr>
        <w:pStyle w:val="14"/>
        <w:spacing w:line="360" w:lineRule="auto"/>
        <w:ind w:firstLine="540" w:firstLineChars="224"/>
        <w:rPr>
          <w:rFonts w:hint="eastAsia" w:hAnsi="宋体" w:cs="宋体"/>
          <w:b/>
          <w:bCs/>
          <w:color w:val="000000"/>
          <w:sz w:val="24"/>
          <w:szCs w:val="24"/>
          <w:lang w:eastAsia="zh-CN"/>
        </w:rPr>
      </w:pPr>
      <w:r>
        <w:rPr>
          <w:rFonts w:hint="eastAsia" w:hAnsi="宋体" w:cs="宋体"/>
          <w:b/>
          <w:bCs/>
          <w:color w:val="000000"/>
          <w:sz w:val="24"/>
          <w:szCs w:val="24"/>
        </w:rPr>
        <w:t>备注：本次招标最终解释权归招标人。</w:t>
      </w:r>
    </w:p>
    <w:p w14:paraId="50291912">
      <w:pPr>
        <w:spacing w:line="360" w:lineRule="auto"/>
        <w:ind w:left="124" w:leftChars="59" w:firstLine="484" w:firstLineChars="202"/>
        <w:rPr>
          <w:rFonts w:hint="eastAsia" w:ascii="宋体" w:hAnsi="宋体" w:eastAsia="宋体" w:cs="宋体"/>
          <w:bCs/>
          <w:kern w:val="0"/>
          <w:sz w:val="24"/>
          <w:szCs w:val="24"/>
        </w:rPr>
      </w:pPr>
    </w:p>
    <w:p w14:paraId="6DD2980D">
      <w:pPr>
        <w:pStyle w:val="14"/>
        <w:spacing w:line="360" w:lineRule="auto"/>
        <w:jc w:val="center"/>
        <w:rPr>
          <w:rFonts w:hint="eastAsia" w:cs="宋体" w:asciiTheme="minorEastAsia" w:hAnsiTheme="minorEastAsia" w:eastAsiaTheme="minorEastAsia"/>
          <w:b/>
          <w:bCs/>
          <w:color w:val="000000"/>
          <w:sz w:val="36"/>
          <w:szCs w:val="36"/>
        </w:rPr>
      </w:pPr>
      <w:r>
        <w:rPr>
          <w:rFonts w:hint="eastAsia" w:cs="宋体" w:asciiTheme="minorEastAsia" w:hAnsiTheme="minorEastAsia" w:eastAsiaTheme="minorEastAsia"/>
          <w:b/>
          <w:bCs/>
          <w:color w:val="000000"/>
          <w:sz w:val="36"/>
          <w:szCs w:val="36"/>
          <w:lang w:val="en-US" w:eastAsia="zh-CN"/>
        </w:rPr>
        <w:t xml:space="preserve">第四部分 </w:t>
      </w:r>
      <w:r>
        <w:rPr>
          <w:rFonts w:hint="eastAsia" w:cs="宋体" w:asciiTheme="minorEastAsia" w:hAnsiTheme="minorEastAsia" w:eastAsiaTheme="minorEastAsia"/>
          <w:b/>
          <w:bCs/>
          <w:color w:val="000000"/>
          <w:sz w:val="36"/>
          <w:szCs w:val="36"/>
        </w:rPr>
        <w:t>附件（投标文件格式）</w:t>
      </w:r>
    </w:p>
    <w:p w14:paraId="19A3754A">
      <w:pPr>
        <w:spacing w:line="360" w:lineRule="auto"/>
        <w:ind w:firstLine="624" w:firstLineChars="252"/>
        <w:rPr>
          <w:rFonts w:hint="eastAsia" w:ascii="宋体" w:hAnsi="宋体" w:cs="Times New Roman"/>
          <w:spacing w:val="4"/>
          <w:sz w:val="24"/>
          <w:szCs w:val="22"/>
          <w:lang w:val="en-US" w:eastAsia="zh-CN"/>
        </w:rPr>
      </w:pPr>
    </w:p>
    <w:p w14:paraId="50A77672">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说明：</w:t>
      </w:r>
    </w:p>
    <w:p w14:paraId="13F7DFD0">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1、投标人须认真填写和提交本部分中的附件文件；</w:t>
      </w:r>
    </w:p>
    <w:p w14:paraId="71191506">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2、对附件文件中所要求的内容应给予明确的答复；</w:t>
      </w:r>
    </w:p>
    <w:p w14:paraId="1F9E88B7">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3、附件文件的签字人应保证其对一切问题的答复、所做的声明及出具的资格资质文件、资料等具有真实性和准确性；</w:t>
      </w:r>
    </w:p>
    <w:p w14:paraId="6FFE22C6">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4、招标人将对投标人提交的文件、资料等内容予以保密，但不退还；</w:t>
      </w:r>
    </w:p>
    <w:p w14:paraId="0DC48143">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5、所有附件文件应以中文书写，作为投标文件的组成部分。</w:t>
      </w:r>
    </w:p>
    <w:p w14:paraId="2B82BF2C">
      <w:pPr>
        <w:pStyle w:val="14"/>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14:paraId="6279167F">
      <w:pPr>
        <w:pStyle w:val="14"/>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14:paraId="5FDDC912">
      <w:pPr>
        <w:pStyle w:val="14"/>
        <w:spacing w:line="360" w:lineRule="auto"/>
        <w:jc w:val="left"/>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1</w:t>
      </w:r>
    </w:p>
    <w:p w14:paraId="40A020FC">
      <w:pPr>
        <w:pStyle w:val="14"/>
        <w:spacing w:line="360" w:lineRule="auto"/>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投标书</w:t>
      </w:r>
    </w:p>
    <w:p w14:paraId="4FEFF60A">
      <w:pPr>
        <w:spacing w:line="360" w:lineRule="auto"/>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致</w:t>
      </w:r>
      <w:r>
        <w:rPr>
          <w:rFonts w:hint="eastAsia" w:asciiTheme="minorEastAsia" w:hAnsiTheme="minorEastAsia" w:eastAsiaTheme="minorEastAsia"/>
          <w:color w:val="000000"/>
          <w:sz w:val="24"/>
          <w:szCs w:val="24"/>
          <w:u w:val="single"/>
        </w:rPr>
        <w:t>（招标人名称）                            ：</w:t>
      </w:r>
    </w:p>
    <w:p w14:paraId="6DD05984">
      <w:pPr>
        <w:spacing w:line="360" w:lineRule="auto"/>
        <w:ind w:firstLine="64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根据贵方为（</w:t>
      </w:r>
      <w:r>
        <w:rPr>
          <w:rFonts w:hint="eastAsia" w:asciiTheme="minorEastAsia" w:hAnsiTheme="minorEastAsia" w:eastAsiaTheme="minorEastAsia"/>
          <w:color w:val="000000"/>
          <w:sz w:val="24"/>
          <w:szCs w:val="24"/>
          <w:u w:val="single"/>
        </w:rPr>
        <w:t xml:space="preserve">项目名称）                         </w:t>
      </w:r>
      <w:r>
        <w:rPr>
          <w:rFonts w:hint="eastAsia" w:asciiTheme="minorEastAsia" w:hAnsiTheme="minorEastAsia" w:eastAsiaTheme="minorEastAsia"/>
          <w:color w:val="000000"/>
          <w:sz w:val="24"/>
          <w:szCs w:val="24"/>
        </w:rPr>
        <w:t>招标项目的投标邀请，签字代表</w:t>
      </w:r>
      <w:r>
        <w:rPr>
          <w:rFonts w:hint="eastAsia" w:asciiTheme="minorEastAsia" w:hAnsiTheme="minorEastAsia" w:eastAsiaTheme="minorEastAsia"/>
          <w:color w:val="000000"/>
          <w:sz w:val="24"/>
          <w:szCs w:val="24"/>
          <w:u w:val="single"/>
        </w:rPr>
        <w:t xml:space="preserve">（全名、职务）           </w:t>
      </w:r>
      <w:r>
        <w:rPr>
          <w:rFonts w:hint="eastAsia" w:asciiTheme="minorEastAsia" w:hAnsiTheme="minorEastAsia" w:eastAsiaTheme="minorEastAsia"/>
          <w:color w:val="000000"/>
          <w:sz w:val="24"/>
          <w:szCs w:val="24"/>
        </w:rPr>
        <w:t>经正式授权并代表投标人</w:t>
      </w:r>
      <w:r>
        <w:rPr>
          <w:rFonts w:hint="eastAsia" w:asciiTheme="minorEastAsia" w:hAnsiTheme="minorEastAsia" w:eastAsiaTheme="minorEastAsia"/>
          <w:color w:val="000000"/>
          <w:sz w:val="24"/>
          <w:szCs w:val="24"/>
          <w:u w:val="single"/>
        </w:rPr>
        <w:t xml:space="preserve">（投标人名称、地址）              </w:t>
      </w:r>
      <w:r>
        <w:rPr>
          <w:rFonts w:hint="eastAsia" w:asciiTheme="minorEastAsia" w:hAnsiTheme="minorEastAsia" w:eastAsiaTheme="minorEastAsia"/>
          <w:color w:val="000000"/>
          <w:sz w:val="24"/>
          <w:szCs w:val="24"/>
        </w:rPr>
        <w:t>提交下述文件：</w:t>
      </w:r>
    </w:p>
    <w:p w14:paraId="2DE8E9D2">
      <w:pPr>
        <w:spacing w:line="360" w:lineRule="auto"/>
        <w:ind w:firstLine="480" w:firstLineChars="20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投标</w:t>
      </w:r>
      <w:r>
        <w:rPr>
          <w:rFonts w:hint="eastAsia" w:asciiTheme="minorEastAsia" w:hAnsiTheme="minorEastAsia" w:eastAsiaTheme="minorEastAsia"/>
          <w:color w:val="000000"/>
          <w:sz w:val="24"/>
          <w:szCs w:val="24"/>
        </w:rPr>
        <w:t>文件（正本</w:t>
      </w:r>
      <w:r>
        <w:rPr>
          <w:rFonts w:asciiTheme="minorEastAsia" w:hAnsiTheme="minorEastAsia" w:eastAsiaTheme="minorEastAsia"/>
          <w:color w:val="000000"/>
          <w:sz w:val="24"/>
          <w:szCs w:val="24"/>
          <w:u w:val="single"/>
        </w:rPr>
        <w:t>1</w:t>
      </w:r>
      <w:r>
        <w:rPr>
          <w:rFonts w:hint="eastAsia" w:asciiTheme="minorEastAsia" w:hAnsiTheme="minorEastAsia" w:eastAsiaTheme="minorEastAsia"/>
          <w:color w:val="000000"/>
          <w:sz w:val="24"/>
          <w:szCs w:val="24"/>
        </w:rPr>
        <w:t>份）</w:t>
      </w:r>
      <w:r>
        <w:rPr>
          <w:rFonts w:hint="eastAsia" w:asciiTheme="minorEastAsia" w:hAnsiTheme="minorEastAsia" w:eastAsiaTheme="minorEastAsia"/>
          <w:color w:val="000000"/>
          <w:sz w:val="24"/>
          <w:szCs w:val="24"/>
          <w:lang w:eastAsia="zh-CN"/>
        </w:rPr>
        <w:t>。</w:t>
      </w:r>
      <w:bookmarkStart w:id="60" w:name="_GoBack"/>
      <w:bookmarkEnd w:id="60"/>
    </w:p>
    <w:p w14:paraId="62424C7D">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据此，签字代表宣布同意如下：</w:t>
      </w:r>
    </w:p>
    <w:p w14:paraId="1A976379">
      <w:pPr>
        <w:spacing w:line="360" w:lineRule="auto"/>
        <w:ind w:firstLine="480" w:firstLineChars="2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.投标人将按招标文件的规定履行合同责任和义务。</w:t>
      </w:r>
    </w:p>
    <w:p w14:paraId="13EA2181">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2</w:t>
      </w:r>
      <w:r>
        <w:rPr>
          <w:rFonts w:hint="eastAsia" w:asciiTheme="minorEastAsia" w:hAnsiTheme="minorEastAsia" w:eastAsiaTheme="minorEastAsia"/>
          <w:color w:val="000000"/>
          <w:sz w:val="24"/>
          <w:szCs w:val="24"/>
        </w:rPr>
        <w:t>.投标人已详细审查全部招标文件，包括修改文件（如有的话）以及全部参考资料和有关附件，我们完全理解并同意放弃对这方面有不明及误解的权利。</w:t>
      </w:r>
    </w:p>
    <w:p w14:paraId="5AA44D4D">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.投标有效期：自投标截止之日起30个日历日内有效。</w:t>
      </w:r>
    </w:p>
    <w:p w14:paraId="02542496">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4</w:t>
      </w:r>
      <w:r>
        <w:rPr>
          <w:rFonts w:hint="eastAsia" w:asciiTheme="minorEastAsia" w:hAnsiTheme="minorEastAsia" w:eastAsiaTheme="minorEastAsia"/>
          <w:color w:val="000000"/>
          <w:sz w:val="24"/>
          <w:szCs w:val="24"/>
        </w:rPr>
        <w:t>.投标人同意提供贵方要求的可能与投标有关的一切数据和资料，完全理解贵方不一定要接受最低价的投标或收到的任何投标。</w:t>
      </w:r>
    </w:p>
    <w:p w14:paraId="1720890D">
      <w:pPr>
        <w:spacing w:line="360" w:lineRule="auto"/>
        <w:ind w:left="43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5</w:t>
      </w:r>
      <w:r>
        <w:rPr>
          <w:rFonts w:hint="eastAsia" w:asciiTheme="minorEastAsia" w:hAnsiTheme="minorEastAsia" w:eastAsiaTheme="minorEastAsia"/>
          <w:color w:val="000000"/>
          <w:sz w:val="24"/>
          <w:szCs w:val="24"/>
        </w:rPr>
        <w:t>.与本投标有关的一切正式往来通讯请寄：</w:t>
      </w:r>
    </w:p>
    <w:p w14:paraId="09D7CFB9">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地址：                                   邮编：</w:t>
      </w:r>
    </w:p>
    <w:p w14:paraId="212F5B40">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电话：                                   传真：</w:t>
      </w:r>
    </w:p>
    <w:p w14:paraId="12503534">
      <w:pPr>
        <w:spacing w:line="360" w:lineRule="auto"/>
        <w:ind w:left="795"/>
        <w:rPr>
          <w:rFonts w:asciiTheme="minorEastAsia" w:hAnsiTheme="minorEastAsia" w:eastAsiaTheme="minorEastAsia"/>
          <w:color w:val="000000"/>
          <w:sz w:val="24"/>
          <w:szCs w:val="24"/>
        </w:rPr>
      </w:pPr>
    </w:p>
    <w:p w14:paraId="5A64773F">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投标人代表签字：                 职务：                 日期：</w:t>
      </w:r>
    </w:p>
    <w:p w14:paraId="7A314CE2">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投标人代表姓名、职务（印刷体）：</w:t>
      </w:r>
    </w:p>
    <w:p w14:paraId="02014763">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投标人名称（及公章）：</w:t>
      </w:r>
    </w:p>
    <w:p w14:paraId="52F5F80B">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日期：        年       月       日</w:t>
      </w:r>
    </w:p>
    <w:p w14:paraId="5BBD215C">
      <w:pP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br w:type="page"/>
      </w:r>
    </w:p>
    <w:p w14:paraId="2BBB37D9">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2</w:t>
      </w:r>
    </w:p>
    <w:p w14:paraId="756D7D03">
      <w:pPr>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投标文件主要内容</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14:paraId="3988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vAlign w:val="center"/>
          </w:tcPr>
          <w:p w14:paraId="5B4EA482">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6520" w:type="dxa"/>
            <w:vAlign w:val="center"/>
          </w:tcPr>
          <w:p w14:paraId="3119A73B">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主要内容</w:t>
            </w:r>
          </w:p>
        </w:tc>
        <w:tc>
          <w:tcPr>
            <w:tcW w:w="1276" w:type="dxa"/>
            <w:vAlign w:val="center"/>
          </w:tcPr>
          <w:p w14:paraId="3C37AB5B">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索引</w:t>
            </w:r>
          </w:p>
        </w:tc>
      </w:tr>
      <w:tr w14:paraId="16F0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5EA658F">
            <w:pPr>
              <w:jc w:val="center"/>
              <w:rPr>
                <w:rFonts w:asciiTheme="minorEastAsia" w:hAnsiTheme="minorEastAsia" w:eastAsiaTheme="minorEastAsia"/>
                <w:color w:val="000000"/>
                <w:sz w:val="24"/>
                <w:szCs w:val="24"/>
              </w:rPr>
            </w:pPr>
          </w:p>
        </w:tc>
        <w:tc>
          <w:tcPr>
            <w:tcW w:w="6520" w:type="dxa"/>
            <w:vAlign w:val="center"/>
          </w:tcPr>
          <w:p w14:paraId="466998E9">
            <w:pPr>
              <w:jc w:val="center"/>
              <w:rPr>
                <w:rFonts w:asciiTheme="minorEastAsia" w:hAnsiTheme="minorEastAsia" w:eastAsiaTheme="minorEastAsia"/>
                <w:color w:val="000000"/>
                <w:sz w:val="24"/>
                <w:szCs w:val="24"/>
              </w:rPr>
            </w:pPr>
          </w:p>
        </w:tc>
        <w:tc>
          <w:tcPr>
            <w:tcW w:w="1276" w:type="dxa"/>
            <w:vAlign w:val="center"/>
          </w:tcPr>
          <w:p w14:paraId="5B46B0BB">
            <w:pPr>
              <w:jc w:val="center"/>
              <w:rPr>
                <w:rFonts w:asciiTheme="minorEastAsia" w:hAnsiTheme="minorEastAsia" w:eastAsiaTheme="minorEastAsia"/>
                <w:color w:val="000000"/>
                <w:sz w:val="24"/>
                <w:szCs w:val="24"/>
              </w:rPr>
            </w:pPr>
          </w:p>
        </w:tc>
      </w:tr>
      <w:tr w14:paraId="756B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0FDA199">
            <w:pPr>
              <w:jc w:val="center"/>
              <w:rPr>
                <w:rFonts w:asciiTheme="minorEastAsia" w:hAnsiTheme="minorEastAsia" w:eastAsiaTheme="minorEastAsia"/>
                <w:color w:val="000000"/>
                <w:sz w:val="24"/>
                <w:szCs w:val="24"/>
              </w:rPr>
            </w:pPr>
          </w:p>
        </w:tc>
        <w:tc>
          <w:tcPr>
            <w:tcW w:w="6520" w:type="dxa"/>
            <w:vAlign w:val="center"/>
          </w:tcPr>
          <w:p w14:paraId="5CE51C75">
            <w:pPr>
              <w:jc w:val="center"/>
              <w:rPr>
                <w:rFonts w:asciiTheme="minorEastAsia" w:hAnsiTheme="minorEastAsia" w:eastAsiaTheme="minorEastAsia"/>
                <w:color w:val="000000"/>
                <w:sz w:val="24"/>
                <w:szCs w:val="24"/>
              </w:rPr>
            </w:pPr>
          </w:p>
        </w:tc>
        <w:tc>
          <w:tcPr>
            <w:tcW w:w="1276" w:type="dxa"/>
            <w:vAlign w:val="center"/>
          </w:tcPr>
          <w:p w14:paraId="5C68FDAC">
            <w:pPr>
              <w:jc w:val="center"/>
              <w:rPr>
                <w:rFonts w:asciiTheme="minorEastAsia" w:hAnsiTheme="minorEastAsia" w:eastAsiaTheme="minorEastAsia"/>
                <w:color w:val="000000"/>
                <w:sz w:val="24"/>
                <w:szCs w:val="24"/>
              </w:rPr>
            </w:pPr>
          </w:p>
        </w:tc>
      </w:tr>
      <w:tr w14:paraId="22CA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23DB74A">
            <w:pPr>
              <w:jc w:val="center"/>
              <w:rPr>
                <w:rFonts w:asciiTheme="minorEastAsia" w:hAnsiTheme="minorEastAsia" w:eastAsiaTheme="minorEastAsia"/>
                <w:color w:val="000000"/>
                <w:sz w:val="24"/>
                <w:szCs w:val="24"/>
              </w:rPr>
            </w:pPr>
          </w:p>
        </w:tc>
        <w:tc>
          <w:tcPr>
            <w:tcW w:w="6520" w:type="dxa"/>
            <w:vAlign w:val="center"/>
          </w:tcPr>
          <w:p w14:paraId="3652E41A">
            <w:pPr>
              <w:jc w:val="center"/>
              <w:rPr>
                <w:rFonts w:asciiTheme="minorEastAsia" w:hAnsiTheme="minorEastAsia" w:eastAsiaTheme="minorEastAsia"/>
                <w:color w:val="000000"/>
                <w:sz w:val="24"/>
                <w:szCs w:val="24"/>
              </w:rPr>
            </w:pPr>
          </w:p>
        </w:tc>
        <w:tc>
          <w:tcPr>
            <w:tcW w:w="1276" w:type="dxa"/>
            <w:vAlign w:val="center"/>
          </w:tcPr>
          <w:p w14:paraId="08552528">
            <w:pPr>
              <w:jc w:val="center"/>
              <w:rPr>
                <w:rFonts w:asciiTheme="minorEastAsia" w:hAnsiTheme="minorEastAsia" w:eastAsiaTheme="minorEastAsia"/>
                <w:color w:val="000000"/>
                <w:sz w:val="24"/>
                <w:szCs w:val="24"/>
              </w:rPr>
            </w:pPr>
          </w:p>
        </w:tc>
      </w:tr>
      <w:tr w14:paraId="7206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B3DCCB7">
            <w:pPr>
              <w:jc w:val="center"/>
              <w:rPr>
                <w:rFonts w:asciiTheme="minorEastAsia" w:hAnsiTheme="minorEastAsia" w:eastAsiaTheme="minorEastAsia"/>
                <w:color w:val="000000"/>
                <w:sz w:val="24"/>
                <w:szCs w:val="24"/>
              </w:rPr>
            </w:pPr>
          </w:p>
        </w:tc>
        <w:tc>
          <w:tcPr>
            <w:tcW w:w="6520" w:type="dxa"/>
            <w:vAlign w:val="center"/>
          </w:tcPr>
          <w:p w14:paraId="30FA3030">
            <w:pPr>
              <w:jc w:val="center"/>
              <w:rPr>
                <w:rFonts w:asciiTheme="minorEastAsia" w:hAnsiTheme="minorEastAsia" w:eastAsiaTheme="minorEastAsia"/>
                <w:color w:val="000000"/>
                <w:sz w:val="24"/>
                <w:szCs w:val="24"/>
              </w:rPr>
            </w:pPr>
          </w:p>
        </w:tc>
        <w:tc>
          <w:tcPr>
            <w:tcW w:w="1276" w:type="dxa"/>
            <w:vAlign w:val="center"/>
          </w:tcPr>
          <w:p w14:paraId="37232446">
            <w:pPr>
              <w:jc w:val="center"/>
              <w:rPr>
                <w:rFonts w:asciiTheme="minorEastAsia" w:hAnsiTheme="minorEastAsia" w:eastAsiaTheme="minorEastAsia"/>
                <w:color w:val="000000"/>
                <w:sz w:val="24"/>
                <w:szCs w:val="24"/>
              </w:rPr>
            </w:pPr>
          </w:p>
        </w:tc>
      </w:tr>
      <w:tr w14:paraId="6C66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F5A7BF2">
            <w:pPr>
              <w:jc w:val="center"/>
              <w:rPr>
                <w:rFonts w:asciiTheme="minorEastAsia" w:hAnsiTheme="minorEastAsia" w:eastAsiaTheme="minorEastAsia"/>
                <w:color w:val="000000"/>
                <w:sz w:val="24"/>
                <w:szCs w:val="24"/>
              </w:rPr>
            </w:pPr>
          </w:p>
        </w:tc>
        <w:tc>
          <w:tcPr>
            <w:tcW w:w="6520" w:type="dxa"/>
            <w:vAlign w:val="center"/>
          </w:tcPr>
          <w:p w14:paraId="7327EC14">
            <w:pPr>
              <w:jc w:val="center"/>
              <w:rPr>
                <w:rFonts w:asciiTheme="minorEastAsia" w:hAnsiTheme="minorEastAsia" w:eastAsiaTheme="minorEastAsia"/>
                <w:color w:val="000000"/>
                <w:sz w:val="24"/>
                <w:szCs w:val="24"/>
              </w:rPr>
            </w:pPr>
          </w:p>
        </w:tc>
        <w:tc>
          <w:tcPr>
            <w:tcW w:w="1276" w:type="dxa"/>
            <w:vAlign w:val="center"/>
          </w:tcPr>
          <w:p w14:paraId="66CDB384">
            <w:pPr>
              <w:jc w:val="center"/>
              <w:rPr>
                <w:rFonts w:asciiTheme="minorEastAsia" w:hAnsiTheme="minorEastAsia" w:eastAsiaTheme="minorEastAsia"/>
                <w:color w:val="000000"/>
                <w:sz w:val="24"/>
                <w:szCs w:val="24"/>
              </w:rPr>
            </w:pPr>
          </w:p>
        </w:tc>
      </w:tr>
      <w:tr w14:paraId="6FAD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5CD7DA6">
            <w:pPr>
              <w:jc w:val="center"/>
              <w:rPr>
                <w:rFonts w:asciiTheme="minorEastAsia" w:hAnsiTheme="minorEastAsia" w:eastAsiaTheme="minorEastAsia"/>
                <w:color w:val="000000"/>
                <w:sz w:val="24"/>
                <w:szCs w:val="24"/>
              </w:rPr>
            </w:pPr>
          </w:p>
        </w:tc>
        <w:tc>
          <w:tcPr>
            <w:tcW w:w="6520" w:type="dxa"/>
            <w:vAlign w:val="center"/>
          </w:tcPr>
          <w:p w14:paraId="20F61BFF">
            <w:pPr>
              <w:jc w:val="center"/>
              <w:rPr>
                <w:rFonts w:asciiTheme="minorEastAsia" w:hAnsiTheme="minorEastAsia" w:eastAsiaTheme="minorEastAsia"/>
                <w:color w:val="000000"/>
                <w:sz w:val="24"/>
                <w:szCs w:val="24"/>
              </w:rPr>
            </w:pPr>
          </w:p>
        </w:tc>
        <w:tc>
          <w:tcPr>
            <w:tcW w:w="1276" w:type="dxa"/>
            <w:vAlign w:val="center"/>
          </w:tcPr>
          <w:p w14:paraId="26EC216E">
            <w:pPr>
              <w:jc w:val="center"/>
              <w:rPr>
                <w:rFonts w:asciiTheme="minorEastAsia" w:hAnsiTheme="minorEastAsia" w:eastAsiaTheme="minorEastAsia"/>
                <w:color w:val="000000"/>
                <w:sz w:val="24"/>
                <w:szCs w:val="24"/>
              </w:rPr>
            </w:pPr>
          </w:p>
        </w:tc>
      </w:tr>
      <w:tr w14:paraId="262C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7C5952E">
            <w:pPr>
              <w:jc w:val="center"/>
              <w:rPr>
                <w:rFonts w:asciiTheme="minorEastAsia" w:hAnsiTheme="minorEastAsia" w:eastAsiaTheme="minorEastAsia"/>
                <w:color w:val="000000"/>
                <w:sz w:val="24"/>
                <w:szCs w:val="24"/>
              </w:rPr>
            </w:pPr>
          </w:p>
        </w:tc>
        <w:tc>
          <w:tcPr>
            <w:tcW w:w="6520" w:type="dxa"/>
            <w:vAlign w:val="center"/>
          </w:tcPr>
          <w:p w14:paraId="6BFFEB85">
            <w:pPr>
              <w:jc w:val="center"/>
              <w:rPr>
                <w:rFonts w:asciiTheme="minorEastAsia" w:hAnsiTheme="minorEastAsia" w:eastAsiaTheme="minorEastAsia"/>
                <w:color w:val="000000"/>
                <w:sz w:val="24"/>
                <w:szCs w:val="24"/>
              </w:rPr>
            </w:pPr>
          </w:p>
        </w:tc>
        <w:tc>
          <w:tcPr>
            <w:tcW w:w="1276" w:type="dxa"/>
            <w:vAlign w:val="center"/>
          </w:tcPr>
          <w:p w14:paraId="0052CC95">
            <w:pPr>
              <w:jc w:val="center"/>
              <w:rPr>
                <w:rFonts w:asciiTheme="minorEastAsia" w:hAnsiTheme="minorEastAsia" w:eastAsiaTheme="minorEastAsia"/>
                <w:color w:val="000000"/>
                <w:sz w:val="24"/>
                <w:szCs w:val="24"/>
              </w:rPr>
            </w:pPr>
          </w:p>
        </w:tc>
      </w:tr>
      <w:tr w14:paraId="1F3F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466DF7E">
            <w:pPr>
              <w:jc w:val="center"/>
              <w:rPr>
                <w:rFonts w:asciiTheme="minorEastAsia" w:hAnsiTheme="minorEastAsia" w:eastAsiaTheme="minorEastAsia"/>
                <w:color w:val="000000"/>
                <w:sz w:val="24"/>
                <w:szCs w:val="24"/>
              </w:rPr>
            </w:pPr>
          </w:p>
        </w:tc>
        <w:tc>
          <w:tcPr>
            <w:tcW w:w="6520" w:type="dxa"/>
            <w:vAlign w:val="center"/>
          </w:tcPr>
          <w:p w14:paraId="449BEA1F">
            <w:pPr>
              <w:jc w:val="center"/>
              <w:rPr>
                <w:rFonts w:asciiTheme="minorEastAsia" w:hAnsiTheme="minorEastAsia" w:eastAsiaTheme="minorEastAsia"/>
                <w:color w:val="000000"/>
                <w:sz w:val="24"/>
                <w:szCs w:val="24"/>
              </w:rPr>
            </w:pPr>
          </w:p>
        </w:tc>
        <w:tc>
          <w:tcPr>
            <w:tcW w:w="1276" w:type="dxa"/>
            <w:vAlign w:val="center"/>
          </w:tcPr>
          <w:p w14:paraId="78C68A11">
            <w:pPr>
              <w:jc w:val="center"/>
              <w:rPr>
                <w:rFonts w:asciiTheme="minorEastAsia" w:hAnsiTheme="minorEastAsia" w:eastAsiaTheme="minorEastAsia"/>
                <w:color w:val="000000"/>
                <w:sz w:val="24"/>
                <w:szCs w:val="24"/>
              </w:rPr>
            </w:pPr>
          </w:p>
        </w:tc>
      </w:tr>
      <w:tr w14:paraId="20DA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8FBA57">
            <w:pPr>
              <w:jc w:val="center"/>
              <w:rPr>
                <w:rFonts w:asciiTheme="minorEastAsia" w:hAnsiTheme="minorEastAsia" w:eastAsiaTheme="minorEastAsia"/>
                <w:color w:val="000000"/>
                <w:sz w:val="24"/>
                <w:szCs w:val="24"/>
              </w:rPr>
            </w:pPr>
          </w:p>
        </w:tc>
        <w:tc>
          <w:tcPr>
            <w:tcW w:w="6520" w:type="dxa"/>
            <w:vAlign w:val="center"/>
          </w:tcPr>
          <w:p w14:paraId="319C550E">
            <w:pPr>
              <w:jc w:val="center"/>
              <w:rPr>
                <w:rFonts w:asciiTheme="minorEastAsia" w:hAnsiTheme="minorEastAsia" w:eastAsiaTheme="minorEastAsia"/>
                <w:color w:val="000000"/>
                <w:sz w:val="24"/>
                <w:szCs w:val="24"/>
              </w:rPr>
            </w:pPr>
          </w:p>
        </w:tc>
        <w:tc>
          <w:tcPr>
            <w:tcW w:w="1276" w:type="dxa"/>
            <w:vAlign w:val="center"/>
          </w:tcPr>
          <w:p w14:paraId="261CFE16">
            <w:pPr>
              <w:jc w:val="center"/>
              <w:rPr>
                <w:rFonts w:asciiTheme="minorEastAsia" w:hAnsiTheme="minorEastAsia" w:eastAsiaTheme="minorEastAsia"/>
                <w:color w:val="000000"/>
                <w:sz w:val="24"/>
                <w:szCs w:val="24"/>
              </w:rPr>
            </w:pPr>
          </w:p>
        </w:tc>
      </w:tr>
      <w:tr w14:paraId="3458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A8EB22D">
            <w:pPr>
              <w:jc w:val="center"/>
              <w:rPr>
                <w:rFonts w:asciiTheme="minorEastAsia" w:hAnsiTheme="minorEastAsia" w:eastAsiaTheme="minorEastAsia"/>
                <w:color w:val="000000"/>
                <w:sz w:val="24"/>
                <w:szCs w:val="24"/>
              </w:rPr>
            </w:pPr>
          </w:p>
        </w:tc>
        <w:tc>
          <w:tcPr>
            <w:tcW w:w="6520" w:type="dxa"/>
            <w:vAlign w:val="center"/>
          </w:tcPr>
          <w:p w14:paraId="5CE4EAD2">
            <w:pPr>
              <w:jc w:val="center"/>
              <w:rPr>
                <w:rFonts w:asciiTheme="minorEastAsia" w:hAnsiTheme="minorEastAsia" w:eastAsiaTheme="minorEastAsia"/>
                <w:color w:val="000000"/>
                <w:sz w:val="24"/>
                <w:szCs w:val="24"/>
              </w:rPr>
            </w:pPr>
          </w:p>
        </w:tc>
        <w:tc>
          <w:tcPr>
            <w:tcW w:w="1276" w:type="dxa"/>
            <w:vAlign w:val="center"/>
          </w:tcPr>
          <w:p w14:paraId="134FA557">
            <w:pPr>
              <w:jc w:val="center"/>
              <w:rPr>
                <w:rFonts w:asciiTheme="minorEastAsia" w:hAnsiTheme="minorEastAsia" w:eastAsiaTheme="minorEastAsia"/>
                <w:color w:val="000000"/>
                <w:sz w:val="24"/>
                <w:szCs w:val="24"/>
              </w:rPr>
            </w:pPr>
          </w:p>
        </w:tc>
      </w:tr>
      <w:tr w14:paraId="1AC7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95186D6">
            <w:pPr>
              <w:jc w:val="center"/>
              <w:rPr>
                <w:rFonts w:asciiTheme="minorEastAsia" w:hAnsiTheme="minorEastAsia" w:eastAsiaTheme="minorEastAsia"/>
                <w:color w:val="000000"/>
                <w:sz w:val="24"/>
                <w:szCs w:val="24"/>
              </w:rPr>
            </w:pPr>
          </w:p>
        </w:tc>
        <w:tc>
          <w:tcPr>
            <w:tcW w:w="6520" w:type="dxa"/>
            <w:vAlign w:val="center"/>
          </w:tcPr>
          <w:p w14:paraId="080AFEE8">
            <w:pPr>
              <w:jc w:val="center"/>
              <w:rPr>
                <w:rFonts w:asciiTheme="minorEastAsia" w:hAnsiTheme="minorEastAsia" w:eastAsiaTheme="minorEastAsia"/>
                <w:color w:val="000000"/>
                <w:sz w:val="24"/>
                <w:szCs w:val="24"/>
              </w:rPr>
            </w:pPr>
          </w:p>
        </w:tc>
        <w:tc>
          <w:tcPr>
            <w:tcW w:w="1276" w:type="dxa"/>
            <w:vAlign w:val="center"/>
          </w:tcPr>
          <w:p w14:paraId="3F44929D">
            <w:pPr>
              <w:jc w:val="center"/>
              <w:rPr>
                <w:rFonts w:asciiTheme="minorEastAsia" w:hAnsiTheme="minorEastAsia" w:eastAsiaTheme="minorEastAsia"/>
                <w:color w:val="000000"/>
                <w:sz w:val="24"/>
                <w:szCs w:val="24"/>
              </w:rPr>
            </w:pPr>
          </w:p>
        </w:tc>
      </w:tr>
      <w:tr w14:paraId="489E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40B5546">
            <w:pPr>
              <w:jc w:val="center"/>
              <w:rPr>
                <w:rFonts w:asciiTheme="minorEastAsia" w:hAnsiTheme="minorEastAsia" w:eastAsiaTheme="minorEastAsia"/>
                <w:color w:val="000000"/>
                <w:sz w:val="24"/>
                <w:szCs w:val="24"/>
              </w:rPr>
            </w:pPr>
          </w:p>
        </w:tc>
        <w:tc>
          <w:tcPr>
            <w:tcW w:w="6520" w:type="dxa"/>
            <w:vAlign w:val="center"/>
          </w:tcPr>
          <w:p w14:paraId="3EEB8AB1">
            <w:pPr>
              <w:jc w:val="center"/>
              <w:rPr>
                <w:rFonts w:asciiTheme="minorEastAsia" w:hAnsiTheme="minorEastAsia" w:eastAsiaTheme="minorEastAsia"/>
                <w:color w:val="000000"/>
                <w:sz w:val="24"/>
                <w:szCs w:val="24"/>
              </w:rPr>
            </w:pPr>
          </w:p>
        </w:tc>
        <w:tc>
          <w:tcPr>
            <w:tcW w:w="1276" w:type="dxa"/>
            <w:vAlign w:val="center"/>
          </w:tcPr>
          <w:p w14:paraId="708215A8">
            <w:pPr>
              <w:jc w:val="center"/>
              <w:rPr>
                <w:rFonts w:asciiTheme="minorEastAsia" w:hAnsiTheme="minorEastAsia" w:eastAsiaTheme="minorEastAsia"/>
                <w:color w:val="000000"/>
                <w:sz w:val="24"/>
                <w:szCs w:val="24"/>
              </w:rPr>
            </w:pPr>
          </w:p>
        </w:tc>
      </w:tr>
      <w:tr w14:paraId="333A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EC66FEE">
            <w:pPr>
              <w:jc w:val="center"/>
              <w:rPr>
                <w:rFonts w:asciiTheme="minorEastAsia" w:hAnsiTheme="minorEastAsia" w:eastAsiaTheme="minorEastAsia"/>
                <w:color w:val="000000"/>
                <w:sz w:val="24"/>
                <w:szCs w:val="24"/>
              </w:rPr>
            </w:pPr>
          </w:p>
        </w:tc>
        <w:tc>
          <w:tcPr>
            <w:tcW w:w="6520" w:type="dxa"/>
            <w:vAlign w:val="center"/>
          </w:tcPr>
          <w:p w14:paraId="77818AB6">
            <w:pPr>
              <w:jc w:val="center"/>
              <w:rPr>
                <w:rFonts w:asciiTheme="minorEastAsia" w:hAnsiTheme="minorEastAsia" w:eastAsiaTheme="minorEastAsia"/>
                <w:color w:val="000000"/>
                <w:sz w:val="24"/>
                <w:szCs w:val="24"/>
              </w:rPr>
            </w:pPr>
          </w:p>
        </w:tc>
        <w:tc>
          <w:tcPr>
            <w:tcW w:w="1276" w:type="dxa"/>
            <w:vAlign w:val="center"/>
          </w:tcPr>
          <w:p w14:paraId="394162A3">
            <w:pPr>
              <w:jc w:val="center"/>
              <w:rPr>
                <w:rFonts w:asciiTheme="minorEastAsia" w:hAnsiTheme="minorEastAsia" w:eastAsiaTheme="minorEastAsia"/>
                <w:color w:val="000000"/>
                <w:sz w:val="24"/>
                <w:szCs w:val="24"/>
              </w:rPr>
            </w:pPr>
          </w:p>
        </w:tc>
      </w:tr>
    </w:tbl>
    <w:p w14:paraId="2F2A998A">
      <w:pPr>
        <w:ind w:firstLine="240" w:firstLineChars="100"/>
        <w:rPr>
          <w:rFonts w:hint="eastAsia" w:asciiTheme="minorEastAsia" w:hAnsiTheme="minorEastAsia" w:eastAsiaTheme="minorEastAsia"/>
          <w:color w:val="000000"/>
          <w:sz w:val="24"/>
          <w:szCs w:val="24"/>
        </w:rPr>
      </w:pPr>
    </w:p>
    <w:p w14:paraId="6CF4ECF9">
      <w:pPr>
        <w:ind w:firstLine="240" w:firstLineChars="100"/>
        <w:rPr>
          <w:rFonts w:hint="eastAsia" w:asciiTheme="minorEastAsia" w:hAnsiTheme="minorEastAsia" w:eastAsiaTheme="minorEastAsia"/>
          <w:color w:val="000000"/>
          <w:sz w:val="24"/>
          <w:szCs w:val="24"/>
        </w:rPr>
      </w:pPr>
    </w:p>
    <w:p w14:paraId="37199728">
      <w:pPr>
        <w:ind w:firstLine="240" w:firstLineChars="1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投标人授权代表签字：        </w:t>
      </w:r>
      <w:r>
        <w:rPr>
          <w:rFonts w:hint="eastAsia" w:asciiTheme="minorEastAsia" w:hAnsiTheme="minorEastAsia" w:eastAsiaTheme="minorEastAsia"/>
          <w:color w:val="000000"/>
          <w:sz w:val="24"/>
          <w:szCs w:val="24"/>
          <w:lang w:val="en-US" w:eastAsia="zh-CN"/>
        </w:rPr>
        <w:t xml:space="preserve"> </w:t>
      </w:r>
      <w:r>
        <w:rPr>
          <w:rFonts w:hint="eastAsia" w:asciiTheme="minorEastAsia" w:hAnsiTheme="minorEastAsia" w:eastAsiaTheme="minorEastAsia"/>
          <w:color w:val="000000"/>
          <w:sz w:val="24"/>
          <w:szCs w:val="24"/>
        </w:rPr>
        <w:t xml:space="preserve">                 日期： </w:t>
      </w:r>
      <w:r>
        <w:rPr>
          <w:rFonts w:hint="eastAsia" w:asciiTheme="minorEastAsia" w:hAnsiTheme="minorEastAsia" w:eastAsiaTheme="minorEastAsia"/>
          <w:color w:val="000000"/>
          <w:sz w:val="24"/>
          <w:szCs w:val="24"/>
          <w:lang w:val="en-US" w:eastAsia="zh-CN"/>
        </w:rPr>
        <w:t xml:space="preserve">    </w:t>
      </w:r>
      <w:r>
        <w:rPr>
          <w:rFonts w:hint="eastAsia" w:asciiTheme="minorEastAsia" w:hAnsiTheme="minorEastAsia" w:eastAsiaTheme="minorEastAsia"/>
          <w:color w:val="000000"/>
          <w:sz w:val="24"/>
          <w:szCs w:val="24"/>
        </w:rPr>
        <w:t>年  月  日</w:t>
      </w:r>
    </w:p>
    <w:p w14:paraId="18DF851F">
      <w:pPr>
        <w:ind w:firstLine="240" w:firstLineChars="100"/>
        <w:rPr>
          <w:rFonts w:hint="eastAsia" w:asciiTheme="minorEastAsia" w:hAnsiTheme="minorEastAsia" w:eastAsiaTheme="minorEastAsia"/>
          <w:color w:val="000000"/>
          <w:sz w:val="24"/>
          <w:szCs w:val="24"/>
        </w:rPr>
      </w:pPr>
    </w:p>
    <w:p w14:paraId="29F4AB93">
      <w:pPr>
        <w:ind w:firstLine="240" w:firstLineChars="100"/>
        <w:rPr>
          <w:rFonts w:hint="eastAsia" w:asciiTheme="minorEastAsia" w:hAnsiTheme="minorEastAsia" w:eastAsiaTheme="minorEastAsia"/>
          <w:color w:val="000000"/>
          <w:sz w:val="24"/>
          <w:szCs w:val="24"/>
        </w:rPr>
      </w:pPr>
    </w:p>
    <w:p w14:paraId="5D4ECE5E">
      <w:pPr>
        <w:ind w:firstLine="234" w:firstLineChars="97"/>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.本表填写投标文件主要内容，以用于开标宣读。</w:t>
      </w:r>
    </w:p>
    <w:p w14:paraId="56E35B44">
      <w:pPr>
        <w:ind w:firstLine="720" w:firstLineChars="3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．“索引”一栏填写该主要内容对应于投标文件的“条款号/页号”。</w:t>
      </w:r>
    </w:p>
    <w:p w14:paraId="6A30B5D0">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br w:type="page"/>
      </w: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3</w:t>
      </w:r>
    </w:p>
    <w:p w14:paraId="2EFCFB44">
      <w:pPr>
        <w:jc w:val="center"/>
        <w:rPr>
          <w:rFonts w:hint="eastAsia" w:cs="宋体" w:asciiTheme="minorEastAsia" w:hAnsiTheme="minorEastAsia" w:eastAsiaTheme="minorEastAsia"/>
          <w:b/>
          <w:bCs/>
          <w:color w:val="000000"/>
          <w:sz w:val="24"/>
          <w:szCs w:val="24"/>
        </w:rPr>
      </w:pPr>
    </w:p>
    <w:p w14:paraId="74F58AFD">
      <w:pPr>
        <w:pStyle w:val="14"/>
        <w:snapToGrid w:val="0"/>
        <w:spacing w:line="360" w:lineRule="auto"/>
        <w:jc w:val="center"/>
        <w:rPr>
          <w:rFonts w:hint="eastAsia" w:ascii="宋体" w:hAnsi="宋体" w:eastAsia="宋体"/>
          <w:b/>
          <w:sz w:val="32"/>
          <w:szCs w:val="32"/>
        </w:rPr>
      </w:pPr>
      <w:r>
        <w:rPr>
          <w:rFonts w:hint="eastAsia" w:ascii="宋体" w:hAnsi="宋体" w:eastAsia="宋体"/>
          <w:b/>
          <w:sz w:val="32"/>
          <w:szCs w:val="32"/>
        </w:rPr>
        <w:t>开标一览表</w:t>
      </w:r>
    </w:p>
    <w:tbl>
      <w:tblPr>
        <w:tblStyle w:val="31"/>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1"/>
        <w:gridCol w:w="61"/>
        <w:gridCol w:w="1500"/>
        <w:gridCol w:w="2010"/>
        <w:gridCol w:w="780"/>
        <w:gridCol w:w="1267"/>
        <w:gridCol w:w="20"/>
      </w:tblGrid>
      <w:tr w14:paraId="00B2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8"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67F8834A">
            <w:pPr>
              <w:jc w:val="left"/>
              <w:rPr>
                <w:rFonts w:hint="default" w:ascii="Times New Roman" w:hAnsi="Times New Roman" w:eastAsia="宋体" w:cs="宋体"/>
                <w:sz w:val="24"/>
                <w:szCs w:val="24"/>
                <w:lang w:val="en-US" w:eastAsia="zh-CN"/>
              </w:rPr>
            </w:pPr>
            <w:r>
              <w:rPr>
                <w:rFonts w:hint="eastAsia" w:cs="宋体"/>
                <w:sz w:val="24"/>
                <w:szCs w:val="24"/>
                <w:lang w:val="en-US" w:eastAsia="zh-CN"/>
              </w:rPr>
              <w:t>项目名称</w:t>
            </w:r>
          </w:p>
        </w:tc>
        <w:tc>
          <w:tcPr>
            <w:tcW w:w="5618" w:type="dxa"/>
            <w:gridSpan w:val="5"/>
            <w:tcBorders>
              <w:top w:val="single" w:color="auto" w:sz="4" w:space="0"/>
              <w:left w:val="single" w:color="auto" w:sz="4" w:space="0"/>
              <w:bottom w:val="single" w:color="auto" w:sz="4" w:space="0"/>
              <w:right w:val="single" w:color="auto" w:sz="4" w:space="0"/>
            </w:tcBorders>
            <w:vAlign w:val="center"/>
          </w:tcPr>
          <w:p w14:paraId="330FBDE5">
            <w:pPr>
              <w:jc w:val="left"/>
              <w:rPr>
                <w:rFonts w:hint="default" w:ascii="Times New Roman" w:hAnsi="Times New Roman" w:eastAsia="宋体" w:cs="宋体"/>
                <w:szCs w:val="21"/>
                <w:lang w:val="en-US" w:eastAsia="zh-CN"/>
              </w:rPr>
            </w:pPr>
            <w:r>
              <w:rPr>
                <w:rFonts w:hint="eastAsia" w:cs="宋体"/>
                <w:sz w:val="24"/>
                <w:szCs w:val="24"/>
                <w:lang w:val="en-US" w:eastAsia="zh-CN"/>
              </w:rPr>
              <w:t>中国重汽集团环氧地坪</w:t>
            </w:r>
            <w:r>
              <w:rPr>
                <w:rFonts w:hint="eastAsia" w:eastAsia="宋体" w:cs="宋体"/>
                <w:sz w:val="24"/>
                <w:szCs w:val="24"/>
                <w:lang w:val="en-US" w:eastAsia="zh-CN"/>
              </w:rPr>
              <w:t>维修项目</w:t>
            </w:r>
          </w:p>
        </w:tc>
      </w:tr>
      <w:tr w14:paraId="393A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37"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2AB2F4EA">
            <w:pPr>
              <w:jc w:val="left"/>
              <w:rPr>
                <w:rFonts w:hint="eastAsia" w:ascii="Times New Roman" w:hAnsi="Times New Roman" w:eastAsia="宋体" w:cs="宋体"/>
                <w:sz w:val="24"/>
                <w:szCs w:val="24"/>
              </w:rPr>
            </w:pPr>
            <w:r>
              <w:rPr>
                <w:rFonts w:hint="eastAsia" w:ascii="Times New Roman" w:hAnsi="Times New Roman" w:eastAsia="宋体" w:cs="宋体"/>
                <w:sz w:val="24"/>
                <w:szCs w:val="24"/>
              </w:rPr>
              <w:t>投标人名称</w:t>
            </w:r>
          </w:p>
        </w:tc>
        <w:tc>
          <w:tcPr>
            <w:tcW w:w="5618" w:type="dxa"/>
            <w:gridSpan w:val="5"/>
            <w:tcBorders>
              <w:top w:val="single" w:color="auto" w:sz="4" w:space="0"/>
              <w:left w:val="single" w:color="auto" w:sz="4" w:space="0"/>
              <w:bottom w:val="single" w:color="auto" w:sz="4" w:space="0"/>
              <w:right w:val="single" w:color="auto" w:sz="4" w:space="0"/>
            </w:tcBorders>
            <w:vAlign w:val="center"/>
          </w:tcPr>
          <w:p w14:paraId="7C61EED8">
            <w:pPr>
              <w:jc w:val="left"/>
              <w:rPr>
                <w:rFonts w:hint="eastAsia" w:cs="宋体"/>
                <w:szCs w:val="21"/>
                <w:lang w:val="en-US" w:eastAsia="zh-CN"/>
              </w:rPr>
            </w:pPr>
          </w:p>
        </w:tc>
      </w:tr>
      <w:tr w14:paraId="626F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386" w:hRule="atLeast"/>
          <w:jc w:val="center"/>
        </w:trPr>
        <w:tc>
          <w:tcPr>
            <w:tcW w:w="9119" w:type="dxa"/>
            <w:gridSpan w:val="6"/>
            <w:tcBorders>
              <w:top w:val="single" w:color="auto" w:sz="4" w:space="0"/>
              <w:left w:val="single" w:color="auto" w:sz="4" w:space="0"/>
              <w:bottom w:val="single" w:color="auto" w:sz="4" w:space="0"/>
              <w:right w:val="single" w:color="auto" w:sz="4" w:space="0"/>
            </w:tcBorders>
            <w:vAlign w:val="center"/>
          </w:tcPr>
          <w:p w14:paraId="46267233">
            <w:pPr>
              <w:keepNext w:val="0"/>
              <w:keepLines w:val="0"/>
              <w:pageBreakBefore w:val="0"/>
              <w:widowControl w:val="0"/>
              <w:kinsoku/>
              <w:wordWrap/>
              <w:overflowPunct/>
              <w:topLinePunct w:val="0"/>
              <w:autoSpaceDE/>
              <w:autoSpaceDN/>
              <w:bidi w:val="0"/>
              <w:adjustRightInd/>
              <w:snapToGrid/>
              <w:spacing w:line="360" w:lineRule="auto"/>
              <w:textAlignment w:val="auto"/>
              <w:rPr>
                <w:rStyle w:val="82"/>
                <w:rFonts w:hint="eastAsia" w:ascii="宋体" w:hAnsi="宋体" w:eastAsia="宋体" w:cs="Times New Roman"/>
                <w:bCs/>
                <w:sz w:val="24"/>
                <w:szCs w:val="24"/>
                <w:highlight w:val="none"/>
                <w:lang w:val="en-US" w:eastAsia="zh-CN"/>
              </w:rPr>
            </w:pPr>
            <w:r>
              <w:rPr>
                <w:rStyle w:val="82"/>
                <w:rFonts w:hint="eastAsia" w:ascii="宋体" w:hAnsi="宋体" w:eastAsia="宋体" w:cs="Times New Roman"/>
                <w:bCs/>
                <w:sz w:val="24"/>
                <w:szCs w:val="24"/>
                <w:highlight w:val="none"/>
                <w:lang w:val="en-US" w:eastAsia="zh-CN"/>
              </w:rPr>
              <w:t>投标总价：</w:t>
            </w:r>
          </w:p>
          <w:p w14:paraId="3765E87F">
            <w:pPr>
              <w:keepNext w:val="0"/>
              <w:keepLines w:val="0"/>
              <w:pageBreakBefore w:val="0"/>
              <w:widowControl w:val="0"/>
              <w:kinsoku/>
              <w:wordWrap/>
              <w:overflowPunct/>
              <w:topLinePunct w:val="0"/>
              <w:autoSpaceDE/>
              <w:autoSpaceDN/>
              <w:bidi w:val="0"/>
              <w:adjustRightInd/>
              <w:snapToGrid/>
              <w:spacing w:line="360" w:lineRule="auto"/>
              <w:textAlignment w:val="auto"/>
              <w:rPr>
                <w:rStyle w:val="82"/>
                <w:rFonts w:hint="eastAsia" w:ascii="宋体" w:hAnsi="宋体" w:eastAsia="宋体" w:cs="Times New Roman"/>
                <w:bCs/>
                <w:sz w:val="24"/>
                <w:szCs w:val="24"/>
                <w:highlight w:val="none"/>
                <w:lang w:val="en-US" w:eastAsia="zh-CN"/>
              </w:rPr>
            </w:pPr>
            <w:r>
              <w:rPr>
                <w:rStyle w:val="82"/>
                <w:rFonts w:hint="eastAsia" w:ascii="宋体" w:hAnsi="宋体" w:eastAsia="宋体" w:cs="Times New Roman"/>
                <w:bCs/>
                <w:sz w:val="24"/>
                <w:szCs w:val="24"/>
                <w:highlight w:val="none"/>
                <w:lang w:val="en-US" w:eastAsia="zh-CN"/>
              </w:rPr>
              <w:t>不含税报价：大写：人民币</w:t>
            </w:r>
            <w:r>
              <w:rPr>
                <w:rStyle w:val="82"/>
                <w:rFonts w:hint="eastAsia" w:ascii="宋体" w:hAnsi="宋体" w:eastAsia="宋体" w:cs="Times New Roman"/>
                <w:bCs/>
                <w:sz w:val="24"/>
                <w:szCs w:val="24"/>
                <w:highlight w:val="none"/>
                <w:u w:val="single"/>
                <w:lang w:val="en-US" w:eastAsia="zh-CN"/>
              </w:rPr>
              <w:t xml:space="preserve">          </w:t>
            </w:r>
            <w:r>
              <w:rPr>
                <w:rStyle w:val="82"/>
                <w:rFonts w:hint="eastAsia" w:ascii="宋体" w:hAnsi="宋体" w:eastAsia="宋体" w:cs="Times New Roman"/>
                <w:bCs/>
                <w:sz w:val="24"/>
                <w:szCs w:val="24"/>
                <w:highlight w:val="none"/>
                <w:lang w:val="en-US" w:eastAsia="zh-CN"/>
              </w:rPr>
              <w:t xml:space="preserve">元（小写：¥ </w:t>
            </w:r>
            <w:r>
              <w:rPr>
                <w:rStyle w:val="82"/>
                <w:rFonts w:hint="eastAsia" w:ascii="宋体" w:hAnsi="宋体" w:eastAsia="宋体" w:cs="Times New Roman"/>
                <w:bCs/>
                <w:sz w:val="24"/>
                <w:szCs w:val="24"/>
                <w:highlight w:val="none"/>
                <w:u w:val="single"/>
                <w:lang w:val="en-US" w:eastAsia="zh-CN"/>
              </w:rPr>
              <w:t xml:space="preserve">       </w:t>
            </w:r>
            <w:r>
              <w:rPr>
                <w:rStyle w:val="82"/>
                <w:rFonts w:hint="eastAsia" w:ascii="宋体" w:hAnsi="宋体" w:eastAsia="宋体" w:cs="Times New Roman"/>
                <w:bCs/>
                <w:sz w:val="24"/>
                <w:szCs w:val="24"/>
                <w:highlight w:val="none"/>
                <w:lang w:val="en-US" w:eastAsia="zh-CN"/>
              </w:rPr>
              <w:t>元）；</w:t>
            </w:r>
          </w:p>
          <w:p w14:paraId="2D6AE91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宋体"/>
                <w:szCs w:val="21"/>
              </w:rPr>
            </w:pPr>
            <w:r>
              <w:rPr>
                <w:rStyle w:val="82"/>
                <w:rFonts w:hint="eastAsia" w:ascii="宋体" w:hAnsi="宋体" w:eastAsia="宋体" w:cs="Times New Roman"/>
                <w:bCs/>
                <w:sz w:val="24"/>
                <w:szCs w:val="24"/>
                <w:highlight w:val="none"/>
                <w:lang w:val="en-US" w:eastAsia="zh-CN"/>
              </w:rPr>
              <w:t>含税报价：大写：人民币</w:t>
            </w:r>
            <w:r>
              <w:rPr>
                <w:rStyle w:val="82"/>
                <w:rFonts w:hint="eastAsia" w:ascii="宋体" w:hAnsi="宋体" w:eastAsia="宋体" w:cs="Times New Roman"/>
                <w:bCs/>
                <w:sz w:val="24"/>
                <w:szCs w:val="24"/>
                <w:highlight w:val="none"/>
                <w:u w:val="single"/>
                <w:lang w:val="en-US" w:eastAsia="zh-CN"/>
              </w:rPr>
              <w:t xml:space="preserve">          </w:t>
            </w:r>
            <w:r>
              <w:rPr>
                <w:rStyle w:val="82"/>
                <w:rFonts w:hint="eastAsia" w:ascii="宋体" w:hAnsi="宋体" w:eastAsia="宋体" w:cs="Times New Roman"/>
                <w:bCs/>
                <w:sz w:val="24"/>
                <w:szCs w:val="24"/>
                <w:highlight w:val="none"/>
                <w:lang w:val="en-US" w:eastAsia="zh-CN"/>
              </w:rPr>
              <w:t xml:space="preserve">元（小写：¥ </w:t>
            </w:r>
            <w:r>
              <w:rPr>
                <w:rStyle w:val="82"/>
                <w:rFonts w:hint="eastAsia" w:ascii="宋体" w:hAnsi="宋体" w:eastAsia="宋体" w:cs="Times New Roman"/>
                <w:bCs/>
                <w:sz w:val="24"/>
                <w:szCs w:val="24"/>
                <w:highlight w:val="none"/>
                <w:u w:val="single"/>
                <w:lang w:val="en-US" w:eastAsia="zh-CN"/>
              </w:rPr>
              <w:t xml:space="preserve">       </w:t>
            </w:r>
            <w:r>
              <w:rPr>
                <w:rStyle w:val="82"/>
                <w:rFonts w:hint="eastAsia" w:ascii="宋体" w:hAnsi="宋体" w:eastAsia="宋体" w:cs="Times New Roman"/>
                <w:bCs/>
                <w:sz w:val="24"/>
                <w:szCs w:val="24"/>
                <w:highlight w:val="none"/>
                <w:lang w:val="en-US" w:eastAsia="zh-CN"/>
              </w:rPr>
              <w:t xml:space="preserve"> 元），税</w:t>
            </w:r>
            <w:r>
              <w:rPr>
                <w:rStyle w:val="82"/>
                <w:rFonts w:hint="eastAsia" w:ascii="宋体" w:hAnsi="宋体" w:cs="Times New Roman"/>
                <w:bCs/>
                <w:sz w:val="24"/>
                <w:szCs w:val="24"/>
                <w:highlight w:val="none"/>
                <w:lang w:val="en-US" w:eastAsia="zh-CN"/>
              </w:rPr>
              <w:t>率</w:t>
            </w:r>
            <w:r>
              <w:rPr>
                <w:rStyle w:val="82"/>
                <w:rFonts w:hint="eastAsia" w:ascii="宋体" w:hAnsi="宋体" w:cs="Times New Roman"/>
                <w:bCs/>
                <w:sz w:val="24"/>
                <w:szCs w:val="24"/>
                <w:highlight w:val="none"/>
                <w:u w:val="single"/>
                <w:lang w:val="en-US" w:eastAsia="zh-CN"/>
              </w:rPr>
              <w:t xml:space="preserve">      </w:t>
            </w:r>
            <w:r>
              <w:rPr>
                <w:rStyle w:val="82"/>
                <w:rFonts w:hint="eastAsia" w:ascii="宋体" w:hAnsi="宋体" w:eastAsia="宋体" w:cs="Times New Roman"/>
                <w:bCs/>
                <w:sz w:val="24"/>
                <w:szCs w:val="24"/>
                <w:highlight w:val="none"/>
                <w:lang w:val="en-US" w:eastAsia="zh-CN"/>
              </w:rPr>
              <w:t xml:space="preserve">。 </w:t>
            </w:r>
          </w:p>
        </w:tc>
      </w:tr>
      <w:tr w14:paraId="1BB6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92" w:hRule="atLeast"/>
          <w:jc w:val="center"/>
        </w:trPr>
        <w:tc>
          <w:tcPr>
            <w:tcW w:w="9119" w:type="dxa"/>
            <w:gridSpan w:val="6"/>
            <w:tcBorders>
              <w:top w:val="single" w:color="auto" w:sz="4" w:space="0"/>
              <w:left w:val="single" w:color="auto" w:sz="4" w:space="0"/>
              <w:bottom w:val="single" w:color="auto" w:sz="4" w:space="0"/>
              <w:right w:val="single" w:color="auto" w:sz="4" w:space="0"/>
            </w:tcBorders>
            <w:vAlign w:val="center"/>
          </w:tcPr>
          <w:p w14:paraId="3EF093BD">
            <w:pPr>
              <w:ind w:firstLine="480" w:firstLineChars="200"/>
              <w:jc w:val="center"/>
              <w:rPr>
                <w:rFonts w:ascii="Times New Roman" w:hAnsi="Times New Roman" w:eastAsia="宋体" w:cs="宋体"/>
                <w:szCs w:val="21"/>
              </w:rPr>
            </w:pPr>
            <w:r>
              <w:rPr>
                <w:rFonts w:hint="eastAsia" w:ascii="Times New Roman" w:hAnsi="Times New Roman" w:eastAsia="宋体" w:cs="宋体"/>
                <w:b w:val="0"/>
                <w:bCs w:val="0"/>
                <w:sz w:val="24"/>
                <w:szCs w:val="24"/>
              </w:rPr>
              <w:t>分项报价清单（元</w:t>
            </w:r>
            <w:r>
              <w:rPr>
                <w:rFonts w:hint="eastAsia" w:ascii="Times New Roman" w:hAnsi="Times New Roman" w:eastAsia="宋体" w:cs="宋体"/>
                <w:b w:val="0"/>
                <w:bCs w:val="0"/>
                <w:kern w:val="0"/>
                <w:sz w:val="24"/>
                <w:szCs w:val="24"/>
              </w:rPr>
              <w:t>，</w:t>
            </w:r>
            <w:r>
              <w:rPr>
                <w:rFonts w:hint="eastAsia" w:cs="宋体"/>
                <w:b w:val="0"/>
                <w:bCs w:val="0"/>
                <w:kern w:val="0"/>
                <w:sz w:val="24"/>
                <w:szCs w:val="24"/>
                <w:lang w:val="en-US" w:eastAsia="zh-CN"/>
              </w:rPr>
              <w:t>未</w:t>
            </w:r>
            <w:r>
              <w:rPr>
                <w:rFonts w:hint="eastAsia" w:ascii="Times New Roman" w:hAnsi="Times New Roman" w:eastAsia="宋体" w:cs="宋体"/>
                <w:b w:val="0"/>
                <w:bCs w:val="0"/>
                <w:kern w:val="0"/>
                <w:sz w:val="24"/>
                <w:szCs w:val="24"/>
              </w:rPr>
              <w:t>税）</w:t>
            </w:r>
          </w:p>
        </w:tc>
      </w:tr>
      <w:tr w14:paraId="3500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14" w:hRule="atLeast"/>
          <w:jc w:val="center"/>
        </w:trPr>
        <w:tc>
          <w:tcPr>
            <w:tcW w:w="3501" w:type="dxa"/>
            <w:tcBorders>
              <w:top w:val="single" w:color="auto" w:sz="4" w:space="0"/>
              <w:left w:val="single" w:color="auto" w:sz="4" w:space="0"/>
              <w:bottom w:val="single" w:color="auto" w:sz="4" w:space="0"/>
              <w:right w:val="single" w:color="auto" w:sz="4" w:space="0"/>
              <w:tl2br w:val="single" w:color="auto" w:sz="4" w:space="0"/>
            </w:tcBorders>
          </w:tcPr>
          <w:p w14:paraId="768F35F4">
            <w:pPr>
              <w:jc w:val="right"/>
              <w:rPr>
                <w:rFonts w:ascii="Times New Roman" w:hAnsi="Times New Roman" w:eastAsia="宋体" w:cs="宋体"/>
                <w:szCs w:val="21"/>
              </w:rPr>
            </w:pPr>
            <w:r>
              <w:rPr>
                <w:rFonts w:hint="eastAsia" w:ascii="Times New Roman" w:hAnsi="Times New Roman" w:eastAsia="宋体" w:cs="宋体"/>
                <w:szCs w:val="21"/>
              </w:rPr>
              <w:t>报价</w:t>
            </w:r>
          </w:p>
          <w:p w14:paraId="35FF0319">
            <w:pPr>
              <w:rPr>
                <w:rFonts w:ascii="Times New Roman" w:hAnsi="Times New Roman" w:eastAsia="宋体" w:cs="宋体"/>
                <w:szCs w:val="21"/>
              </w:rPr>
            </w:pPr>
            <w:r>
              <w:rPr>
                <w:rFonts w:hint="eastAsia" w:ascii="Times New Roman" w:hAnsi="Times New Roman" w:eastAsia="宋体" w:cs="宋体"/>
                <w:szCs w:val="21"/>
              </w:rPr>
              <w:t>主要分项</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7A96306E">
            <w:pPr>
              <w:jc w:val="center"/>
              <w:rPr>
                <w:rFonts w:hint="eastAsia" w:eastAsia="宋体" w:cs="宋体"/>
                <w:b w:val="0"/>
                <w:bCs/>
                <w:szCs w:val="21"/>
                <w:lang w:val="en-US" w:eastAsia="zh-CN"/>
              </w:rPr>
            </w:pPr>
            <w:r>
              <w:rPr>
                <w:rFonts w:hint="eastAsia" w:eastAsia="宋体" w:cs="宋体"/>
                <w:b w:val="0"/>
                <w:bCs/>
                <w:szCs w:val="21"/>
                <w:lang w:val="en-US" w:eastAsia="zh-CN"/>
              </w:rPr>
              <w:t>规格型号</w:t>
            </w:r>
          </w:p>
        </w:tc>
        <w:tc>
          <w:tcPr>
            <w:tcW w:w="2010" w:type="dxa"/>
            <w:tcBorders>
              <w:top w:val="single" w:color="auto" w:sz="4" w:space="0"/>
              <w:left w:val="single" w:color="auto" w:sz="4" w:space="0"/>
              <w:bottom w:val="single" w:color="auto" w:sz="4" w:space="0"/>
              <w:right w:val="single" w:color="auto" w:sz="4" w:space="0"/>
            </w:tcBorders>
            <w:vAlign w:val="center"/>
          </w:tcPr>
          <w:p w14:paraId="46AA8DD5">
            <w:pPr>
              <w:jc w:val="center"/>
              <w:rPr>
                <w:rFonts w:hint="default" w:eastAsia="宋体" w:cs="宋体"/>
                <w:b w:val="0"/>
                <w:bCs/>
                <w:szCs w:val="21"/>
                <w:lang w:val="en-US" w:eastAsia="zh-CN"/>
              </w:rPr>
            </w:pPr>
            <w:r>
              <w:rPr>
                <w:rFonts w:hint="eastAsia" w:eastAsia="宋体" w:cs="宋体"/>
                <w:b w:val="0"/>
                <w:bCs/>
                <w:szCs w:val="21"/>
                <w:lang w:val="en-US" w:eastAsia="zh-CN"/>
              </w:rPr>
              <w:t>品牌</w:t>
            </w:r>
          </w:p>
        </w:tc>
        <w:tc>
          <w:tcPr>
            <w:tcW w:w="780" w:type="dxa"/>
            <w:tcBorders>
              <w:top w:val="single" w:color="auto" w:sz="4" w:space="0"/>
              <w:left w:val="single" w:color="auto" w:sz="4" w:space="0"/>
              <w:bottom w:val="single" w:color="auto" w:sz="4" w:space="0"/>
              <w:right w:val="single" w:color="auto" w:sz="4" w:space="0"/>
            </w:tcBorders>
            <w:vAlign w:val="center"/>
          </w:tcPr>
          <w:p w14:paraId="724AF96B">
            <w:pPr>
              <w:jc w:val="center"/>
              <w:rPr>
                <w:rFonts w:hint="default" w:cs="宋体"/>
                <w:b w:val="0"/>
                <w:bCs/>
                <w:szCs w:val="21"/>
                <w:lang w:val="en-US" w:eastAsia="zh-CN"/>
              </w:rPr>
            </w:pPr>
            <w:r>
              <w:rPr>
                <w:rFonts w:hint="eastAsia" w:cs="宋体"/>
                <w:b w:val="0"/>
                <w:bCs/>
                <w:szCs w:val="21"/>
                <w:lang w:val="en-US" w:eastAsia="zh-CN"/>
              </w:rPr>
              <w:t>数量</w:t>
            </w:r>
          </w:p>
        </w:tc>
        <w:tc>
          <w:tcPr>
            <w:tcW w:w="1267" w:type="dxa"/>
            <w:tcBorders>
              <w:top w:val="single" w:color="auto" w:sz="4" w:space="0"/>
              <w:left w:val="single" w:color="auto" w:sz="4" w:space="0"/>
              <w:bottom w:val="single" w:color="auto" w:sz="4" w:space="0"/>
              <w:right w:val="single" w:color="auto" w:sz="4" w:space="0"/>
            </w:tcBorders>
            <w:vAlign w:val="center"/>
          </w:tcPr>
          <w:p w14:paraId="19730A92">
            <w:pPr>
              <w:jc w:val="center"/>
              <w:rPr>
                <w:rFonts w:hint="eastAsia" w:cs="宋体"/>
                <w:b w:val="0"/>
                <w:bCs/>
                <w:szCs w:val="21"/>
                <w:lang w:val="en-US" w:eastAsia="zh-CN"/>
              </w:rPr>
            </w:pPr>
            <w:r>
              <w:rPr>
                <w:rFonts w:hint="eastAsia" w:cs="宋体"/>
                <w:b w:val="0"/>
                <w:bCs/>
                <w:szCs w:val="21"/>
                <w:lang w:val="en-US" w:eastAsia="zh-CN"/>
              </w:rPr>
              <w:t>单价</w:t>
            </w:r>
          </w:p>
        </w:tc>
      </w:tr>
      <w:tr w14:paraId="5052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5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2E144BB6">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sz w:val="21"/>
                <w:szCs w:val="21"/>
              </w:rPr>
              <w:t>环氧自流平地坪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52DDA349">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厚3mm</w:t>
            </w:r>
          </w:p>
        </w:tc>
        <w:tc>
          <w:tcPr>
            <w:tcW w:w="2010" w:type="dxa"/>
            <w:tcBorders>
              <w:top w:val="single" w:color="auto" w:sz="4" w:space="0"/>
              <w:left w:val="single" w:color="auto" w:sz="4" w:space="0"/>
              <w:bottom w:val="single" w:color="auto" w:sz="4" w:space="0"/>
              <w:right w:val="single" w:color="auto" w:sz="4" w:space="0"/>
            </w:tcBorders>
            <w:vAlign w:val="center"/>
          </w:tcPr>
          <w:p w14:paraId="124A1F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rPr>
            </w:pPr>
            <w:r>
              <w:rPr>
                <w:rFonts w:hint="eastAsia" w:eastAsia="宋体"/>
                <w:sz w:val="21"/>
                <w:szCs w:val="21"/>
              </w:rPr>
              <w:t>西卡、马贝、施贝</w:t>
            </w:r>
          </w:p>
        </w:tc>
        <w:tc>
          <w:tcPr>
            <w:tcW w:w="780" w:type="dxa"/>
            <w:tcBorders>
              <w:top w:val="single" w:color="auto" w:sz="4" w:space="0"/>
              <w:left w:val="single" w:color="auto" w:sz="4" w:space="0"/>
              <w:bottom w:val="single" w:color="auto" w:sz="4" w:space="0"/>
              <w:right w:val="single" w:color="auto" w:sz="4" w:space="0"/>
            </w:tcBorders>
            <w:vAlign w:val="center"/>
          </w:tcPr>
          <w:p w14:paraId="2915AC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69B8C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rPr>
            </w:pPr>
          </w:p>
        </w:tc>
      </w:tr>
      <w:tr w14:paraId="35EB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5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051F721C">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kern w:val="2"/>
                <w:sz w:val="21"/>
                <w:szCs w:val="21"/>
                <w:lang w:val="en-US" w:eastAsia="zh-CN" w:bidi="ar-SA"/>
              </w:rPr>
              <w:t>环氧</w:t>
            </w:r>
            <w:r>
              <w:rPr>
                <w:rFonts w:hint="eastAsia" w:ascii="宋体" w:hAnsi="宋体" w:cs="宋体"/>
                <w:b w:val="0"/>
                <w:bCs w:val="0"/>
                <w:color w:val="000000"/>
                <w:kern w:val="2"/>
                <w:sz w:val="21"/>
                <w:szCs w:val="21"/>
                <w:lang w:val="en-US" w:eastAsia="zh-CN" w:bidi="ar-SA"/>
              </w:rPr>
              <w:t>地坪漆</w:t>
            </w:r>
            <w:r>
              <w:rPr>
                <w:rFonts w:hint="eastAsia" w:ascii="宋体" w:hAnsi="宋体" w:eastAsia="宋体" w:cs="宋体"/>
                <w:b w:val="0"/>
                <w:bCs w:val="0"/>
                <w:color w:val="000000"/>
                <w:kern w:val="2"/>
                <w:sz w:val="21"/>
                <w:szCs w:val="21"/>
                <w:lang w:val="en-US" w:eastAsia="zh-CN" w:bidi="ar-SA"/>
              </w:rPr>
              <w:t>平涂地坪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06BBF9F2">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厚1.5mm</w:t>
            </w:r>
          </w:p>
        </w:tc>
        <w:tc>
          <w:tcPr>
            <w:tcW w:w="2010" w:type="dxa"/>
            <w:tcBorders>
              <w:top w:val="single" w:color="auto" w:sz="4" w:space="0"/>
              <w:left w:val="single" w:color="auto" w:sz="4" w:space="0"/>
              <w:bottom w:val="single" w:color="auto" w:sz="4" w:space="0"/>
              <w:right w:val="single" w:color="auto" w:sz="4" w:space="0"/>
            </w:tcBorders>
            <w:vAlign w:val="center"/>
          </w:tcPr>
          <w:p w14:paraId="46910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西卡、马贝、施贝</w:t>
            </w:r>
          </w:p>
        </w:tc>
        <w:tc>
          <w:tcPr>
            <w:tcW w:w="780" w:type="dxa"/>
            <w:tcBorders>
              <w:top w:val="single" w:color="auto" w:sz="4" w:space="0"/>
              <w:left w:val="single" w:color="auto" w:sz="4" w:space="0"/>
              <w:bottom w:val="single" w:color="auto" w:sz="4" w:space="0"/>
              <w:right w:val="single" w:color="auto" w:sz="4" w:space="0"/>
            </w:tcBorders>
            <w:vAlign w:val="center"/>
          </w:tcPr>
          <w:p w14:paraId="5515B9B6">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05D7CEFC">
            <w:pPr>
              <w:jc w:val="center"/>
              <w:rPr>
                <w:rFonts w:ascii="Times New Roman" w:hAnsi="Times New Roman" w:eastAsia="宋体" w:cs="宋体"/>
                <w:sz w:val="21"/>
                <w:szCs w:val="21"/>
              </w:rPr>
            </w:pPr>
          </w:p>
        </w:tc>
      </w:tr>
      <w:tr w14:paraId="47F1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5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0FC1C804">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sz w:val="21"/>
                <w:szCs w:val="21"/>
              </w:rPr>
              <w:t>环氧自流平</w:t>
            </w:r>
            <w:r>
              <w:rPr>
                <w:rFonts w:hint="eastAsia" w:ascii="宋体" w:hAnsi="宋体" w:cs="宋体"/>
                <w:b w:val="0"/>
                <w:bCs w:val="0"/>
                <w:color w:val="000000"/>
                <w:sz w:val="21"/>
                <w:szCs w:val="21"/>
                <w:lang w:val="en-US" w:eastAsia="zh-CN"/>
              </w:rPr>
              <w:t>+聚氨酯</w:t>
            </w:r>
            <w:r>
              <w:rPr>
                <w:rFonts w:hint="eastAsia" w:ascii="宋体" w:hAnsi="宋体" w:eastAsia="宋体" w:cs="宋体"/>
                <w:b w:val="0"/>
                <w:bCs w:val="0"/>
                <w:color w:val="000000"/>
                <w:sz w:val="21"/>
                <w:szCs w:val="21"/>
              </w:rPr>
              <w:t>超耐磨</w:t>
            </w:r>
            <w:r>
              <w:rPr>
                <w:rFonts w:hint="eastAsia" w:ascii="宋体" w:hAnsi="宋体" w:eastAsia="宋体" w:cs="宋体"/>
                <w:b w:val="0"/>
                <w:bCs w:val="0"/>
                <w:color w:val="000000"/>
                <w:kern w:val="2"/>
                <w:sz w:val="21"/>
                <w:szCs w:val="21"/>
                <w:lang w:val="en-US" w:eastAsia="zh-CN" w:bidi="ar-SA"/>
              </w:rPr>
              <w:t>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7E6E11C0">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厚3mm</w:t>
            </w:r>
          </w:p>
        </w:tc>
        <w:tc>
          <w:tcPr>
            <w:tcW w:w="2010" w:type="dxa"/>
            <w:tcBorders>
              <w:top w:val="single" w:color="auto" w:sz="4" w:space="0"/>
              <w:left w:val="single" w:color="auto" w:sz="4" w:space="0"/>
              <w:bottom w:val="single" w:color="auto" w:sz="4" w:space="0"/>
              <w:right w:val="single" w:color="auto" w:sz="4" w:space="0"/>
            </w:tcBorders>
            <w:vAlign w:val="center"/>
          </w:tcPr>
          <w:p w14:paraId="1174C4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西卡、马贝、施贝</w:t>
            </w:r>
          </w:p>
        </w:tc>
        <w:tc>
          <w:tcPr>
            <w:tcW w:w="780" w:type="dxa"/>
            <w:tcBorders>
              <w:top w:val="single" w:color="auto" w:sz="4" w:space="0"/>
              <w:left w:val="single" w:color="auto" w:sz="4" w:space="0"/>
              <w:bottom w:val="single" w:color="auto" w:sz="4" w:space="0"/>
              <w:right w:val="single" w:color="auto" w:sz="4" w:space="0"/>
            </w:tcBorders>
            <w:vAlign w:val="center"/>
          </w:tcPr>
          <w:p w14:paraId="3BAA47A2">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151B298E">
            <w:pPr>
              <w:jc w:val="center"/>
              <w:rPr>
                <w:rFonts w:ascii="Times New Roman" w:hAnsi="Times New Roman" w:eastAsia="宋体" w:cs="宋体"/>
                <w:sz w:val="21"/>
                <w:szCs w:val="21"/>
              </w:rPr>
            </w:pPr>
          </w:p>
        </w:tc>
      </w:tr>
      <w:tr w14:paraId="1A41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5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4AB64F62">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kern w:val="2"/>
                <w:sz w:val="21"/>
                <w:szCs w:val="21"/>
                <w:lang w:val="en-US" w:eastAsia="zh-CN" w:bidi="ar-SA"/>
              </w:rPr>
              <w:t>环氧</w:t>
            </w:r>
            <w:r>
              <w:rPr>
                <w:rFonts w:hint="eastAsia" w:ascii="宋体" w:hAnsi="宋体" w:cs="宋体"/>
                <w:b w:val="0"/>
                <w:bCs w:val="0"/>
                <w:color w:val="000000"/>
                <w:kern w:val="2"/>
                <w:sz w:val="21"/>
                <w:szCs w:val="21"/>
                <w:lang w:val="en-US" w:eastAsia="zh-CN" w:bidi="ar-SA"/>
              </w:rPr>
              <w:t>地坪漆</w:t>
            </w:r>
            <w:r>
              <w:rPr>
                <w:rFonts w:hint="eastAsia" w:ascii="宋体" w:hAnsi="宋体" w:eastAsia="宋体" w:cs="宋体"/>
                <w:b w:val="0"/>
                <w:bCs w:val="0"/>
                <w:color w:val="000000"/>
                <w:kern w:val="2"/>
                <w:sz w:val="21"/>
                <w:szCs w:val="21"/>
                <w:lang w:val="en-US" w:eastAsia="zh-CN" w:bidi="ar-SA"/>
              </w:rPr>
              <w:t>平涂</w:t>
            </w:r>
            <w:r>
              <w:rPr>
                <w:rFonts w:hint="eastAsia" w:ascii="宋体" w:hAnsi="宋体" w:cs="宋体"/>
                <w:b w:val="0"/>
                <w:bCs w:val="0"/>
                <w:color w:val="000000"/>
                <w:sz w:val="21"/>
                <w:szCs w:val="21"/>
                <w:lang w:val="en-US" w:eastAsia="zh-CN"/>
              </w:rPr>
              <w:t>+聚氨酯</w:t>
            </w:r>
            <w:r>
              <w:rPr>
                <w:rFonts w:hint="eastAsia" w:ascii="宋体" w:hAnsi="宋体" w:eastAsia="宋体" w:cs="宋体"/>
                <w:b w:val="0"/>
                <w:bCs w:val="0"/>
                <w:color w:val="000000"/>
                <w:sz w:val="21"/>
                <w:szCs w:val="21"/>
              </w:rPr>
              <w:t>超耐磨</w:t>
            </w:r>
            <w:r>
              <w:rPr>
                <w:rFonts w:hint="eastAsia" w:ascii="宋体" w:hAnsi="宋体" w:eastAsia="宋体" w:cs="宋体"/>
                <w:b w:val="0"/>
                <w:bCs w:val="0"/>
                <w:color w:val="000000"/>
                <w:kern w:val="2"/>
                <w:sz w:val="21"/>
                <w:szCs w:val="21"/>
                <w:lang w:val="en-US" w:eastAsia="zh-CN" w:bidi="ar-SA"/>
              </w:rPr>
              <w:t>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711666EC">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厚1.5mm</w:t>
            </w:r>
          </w:p>
        </w:tc>
        <w:tc>
          <w:tcPr>
            <w:tcW w:w="2010" w:type="dxa"/>
            <w:tcBorders>
              <w:top w:val="single" w:color="auto" w:sz="4" w:space="0"/>
              <w:left w:val="single" w:color="auto" w:sz="4" w:space="0"/>
              <w:bottom w:val="single" w:color="auto" w:sz="4" w:space="0"/>
              <w:right w:val="single" w:color="auto" w:sz="4" w:space="0"/>
            </w:tcBorders>
            <w:vAlign w:val="center"/>
          </w:tcPr>
          <w:p w14:paraId="20FC9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西卡、马贝、施贝</w:t>
            </w:r>
          </w:p>
        </w:tc>
        <w:tc>
          <w:tcPr>
            <w:tcW w:w="780" w:type="dxa"/>
            <w:tcBorders>
              <w:top w:val="single" w:color="auto" w:sz="4" w:space="0"/>
              <w:left w:val="single" w:color="auto" w:sz="4" w:space="0"/>
              <w:bottom w:val="single" w:color="auto" w:sz="4" w:space="0"/>
              <w:right w:val="single" w:color="auto" w:sz="4" w:space="0"/>
            </w:tcBorders>
            <w:vAlign w:val="center"/>
          </w:tcPr>
          <w:p w14:paraId="4179A780">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2947B442">
            <w:pPr>
              <w:jc w:val="center"/>
              <w:rPr>
                <w:rFonts w:ascii="Times New Roman" w:hAnsi="Times New Roman" w:eastAsia="宋体" w:cs="宋体"/>
                <w:sz w:val="21"/>
                <w:szCs w:val="21"/>
              </w:rPr>
            </w:pPr>
          </w:p>
        </w:tc>
      </w:tr>
      <w:tr w14:paraId="707B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5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3596B08A">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kern w:val="2"/>
                <w:sz w:val="21"/>
                <w:szCs w:val="21"/>
                <w:lang w:val="en-US" w:eastAsia="zh-CN" w:bidi="ar-SA"/>
              </w:rPr>
              <w:t>环氧防滑坡道地坪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7B4477D5">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厚3-4mm</w:t>
            </w:r>
          </w:p>
        </w:tc>
        <w:tc>
          <w:tcPr>
            <w:tcW w:w="2010" w:type="dxa"/>
            <w:tcBorders>
              <w:top w:val="single" w:color="auto" w:sz="4" w:space="0"/>
              <w:left w:val="single" w:color="auto" w:sz="4" w:space="0"/>
              <w:bottom w:val="single" w:color="auto" w:sz="4" w:space="0"/>
              <w:right w:val="single" w:color="auto" w:sz="4" w:space="0"/>
            </w:tcBorders>
            <w:vAlign w:val="center"/>
          </w:tcPr>
          <w:p w14:paraId="186D8F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西卡、马贝、施贝</w:t>
            </w:r>
          </w:p>
        </w:tc>
        <w:tc>
          <w:tcPr>
            <w:tcW w:w="780" w:type="dxa"/>
            <w:tcBorders>
              <w:top w:val="single" w:color="auto" w:sz="4" w:space="0"/>
              <w:left w:val="single" w:color="auto" w:sz="4" w:space="0"/>
              <w:bottom w:val="single" w:color="auto" w:sz="4" w:space="0"/>
              <w:right w:val="single" w:color="auto" w:sz="4" w:space="0"/>
            </w:tcBorders>
            <w:vAlign w:val="center"/>
          </w:tcPr>
          <w:p w14:paraId="60F75112">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4689A387">
            <w:pPr>
              <w:jc w:val="center"/>
              <w:rPr>
                <w:rFonts w:ascii="Times New Roman" w:hAnsi="Times New Roman" w:eastAsia="宋体" w:cs="宋体"/>
                <w:sz w:val="21"/>
                <w:szCs w:val="21"/>
              </w:rPr>
            </w:pPr>
          </w:p>
        </w:tc>
      </w:tr>
      <w:tr w14:paraId="6FD1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5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7CC65A38">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kern w:val="2"/>
                <w:sz w:val="21"/>
                <w:szCs w:val="21"/>
                <w:lang w:val="en-US" w:eastAsia="zh-CN" w:bidi="ar-SA"/>
              </w:rPr>
              <w:t>环氧防滑橘纹地坪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127AF20F">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厚1.5mm</w:t>
            </w:r>
          </w:p>
        </w:tc>
        <w:tc>
          <w:tcPr>
            <w:tcW w:w="2010" w:type="dxa"/>
            <w:tcBorders>
              <w:top w:val="single" w:color="auto" w:sz="4" w:space="0"/>
              <w:left w:val="single" w:color="auto" w:sz="4" w:space="0"/>
              <w:bottom w:val="single" w:color="auto" w:sz="4" w:space="0"/>
              <w:right w:val="single" w:color="auto" w:sz="4" w:space="0"/>
            </w:tcBorders>
            <w:vAlign w:val="center"/>
          </w:tcPr>
          <w:p w14:paraId="4D010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西卡、马贝、施贝</w:t>
            </w:r>
          </w:p>
        </w:tc>
        <w:tc>
          <w:tcPr>
            <w:tcW w:w="780" w:type="dxa"/>
            <w:tcBorders>
              <w:top w:val="single" w:color="auto" w:sz="4" w:space="0"/>
              <w:left w:val="single" w:color="auto" w:sz="4" w:space="0"/>
              <w:bottom w:val="single" w:color="auto" w:sz="4" w:space="0"/>
              <w:right w:val="single" w:color="auto" w:sz="4" w:space="0"/>
            </w:tcBorders>
            <w:vAlign w:val="center"/>
          </w:tcPr>
          <w:p w14:paraId="1330D688">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2914BC31">
            <w:pPr>
              <w:jc w:val="center"/>
              <w:rPr>
                <w:rFonts w:ascii="Times New Roman" w:hAnsi="Times New Roman" w:eastAsia="宋体" w:cs="宋体"/>
                <w:sz w:val="21"/>
                <w:szCs w:val="21"/>
              </w:rPr>
            </w:pPr>
          </w:p>
        </w:tc>
      </w:tr>
      <w:tr w14:paraId="61D9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5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3FB75C3A">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sz w:val="21"/>
                <w:szCs w:val="21"/>
              </w:rPr>
              <w:t>混凝土密封固化</w:t>
            </w:r>
            <w:r>
              <w:rPr>
                <w:rFonts w:hint="eastAsia" w:ascii="宋体" w:hAnsi="宋体" w:eastAsia="宋体" w:cs="宋体"/>
                <w:b w:val="0"/>
                <w:bCs w:val="0"/>
                <w:color w:val="000000"/>
                <w:kern w:val="2"/>
                <w:sz w:val="21"/>
                <w:szCs w:val="21"/>
                <w:lang w:val="en-US" w:eastAsia="zh-CN" w:bidi="ar-SA"/>
              </w:rPr>
              <w:t>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211BBFFD">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用量0.3kg/㎡</w:t>
            </w:r>
          </w:p>
        </w:tc>
        <w:tc>
          <w:tcPr>
            <w:tcW w:w="2010" w:type="dxa"/>
            <w:tcBorders>
              <w:top w:val="single" w:color="auto" w:sz="4" w:space="0"/>
              <w:left w:val="single" w:color="auto" w:sz="4" w:space="0"/>
              <w:bottom w:val="single" w:color="auto" w:sz="4" w:space="0"/>
              <w:right w:val="single" w:color="auto" w:sz="4" w:space="0"/>
            </w:tcBorders>
            <w:vAlign w:val="center"/>
          </w:tcPr>
          <w:p w14:paraId="480B6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西卡、马贝、施贝</w:t>
            </w:r>
          </w:p>
        </w:tc>
        <w:tc>
          <w:tcPr>
            <w:tcW w:w="780" w:type="dxa"/>
            <w:tcBorders>
              <w:top w:val="single" w:color="auto" w:sz="4" w:space="0"/>
              <w:left w:val="single" w:color="auto" w:sz="4" w:space="0"/>
              <w:bottom w:val="single" w:color="auto" w:sz="4" w:space="0"/>
              <w:right w:val="single" w:color="auto" w:sz="4" w:space="0"/>
            </w:tcBorders>
            <w:vAlign w:val="center"/>
          </w:tcPr>
          <w:p w14:paraId="485ABA00">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01D08EA1">
            <w:pPr>
              <w:jc w:val="center"/>
              <w:rPr>
                <w:rFonts w:ascii="Times New Roman" w:hAnsi="Times New Roman" w:eastAsia="宋体" w:cs="宋体"/>
                <w:sz w:val="21"/>
                <w:szCs w:val="21"/>
              </w:rPr>
            </w:pPr>
          </w:p>
        </w:tc>
      </w:tr>
      <w:tr w14:paraId="2EE0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5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6FC9525A">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sz w:val="21"/>
                <w:szCs w:val="21"/>
              </w:rPr>
              <w:t>彩色混凝土密封固化</w:t>
            </w:r>
            <w:r>
              <w:rPr>
                <w:rFonts w:hint="eastAsia" w:ascii="宋体" w:hAnsi="宋体" w:eastAsia="宋体" w:cs="宋体"/>
                <w:b w:val="0"/>
                <w:bCs w:val="0"/>
                <w:color w:val="000000"/>
                <w:kern w:val="2"/>
                <w:sz w:val="21"/>
                <w:szCs w:val="21"/>
                <w:lang w:val="en-US" w:eastAsia="zh-CN" w:bidi="ar-SA"/>
              </w:rPr>
              <w:t>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627DBC09">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用量0.3kg/㎡</w:t>
            </w:r>
          </w:p>
        </w:tc>
        <w:tc>
          <w:tcPr>
            <w:tcW w:w="2010" w:type="dxa"/>
            <w:tcBorders>
              <w:top w:val="single" w:color="auto" w:sz="4" w:space="0"/>
              <w:left w:val="single" w:color="auto" w:sz="4" w:space="0"/>
              <w:bottom w:val="single" w:color="auto" w:sz="4" w:space="0"/>
              <w:right w:val="single" w:color="auto" w:sz="4" w:space="0"/>
            </w:tcBorders>
            <w:vAlign w:val="center"/>
          </w:tcPr>
          <w:p w14:paraId="72321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西卡、马贝、施贝</w:t>
            </w:r>
          </w:p>
        </w:tc>
        <w:tc>
          <w:tcPr>
            <w:tcW w:w="780" w:type="dxa"/>
            <w:tcBorders>
              <w:top w:val="single" w:color="auto" w:sz="4" w:space="0"/>
              <w:left w:val="single" w:color="auto" w:sz="4" w:space="0"/>
              <w:bottom w:val="single" w:color="auto" w:sz="4" w:space="0"/>
              <w:right w:val="single" w:color="auto" w:sz="4" w:space="0"/>
            </w:tcBorders>
            <w:vAlign w:val="center"/>
          </w:tcPr>
          <w:p w14:paraId="42CC0905">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620A002D">
            <w:pPr>
              <w:jc w:val="center"/>
              <w:rPr>
                <w:rFonts w:ascii="Times New Roman" w:hAnsi="Times New Roman" w:eastAsia="宋体" w:cs="宋体"/>
                <w:sz w:val="21"/>
                <w:szCs w:val="21"/>
              </w:rPr>
            </w:pPr>
          </w:p>
        </w:tc>
      </w:tr>
      <w:tr w14:paraId="63C9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5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2D9CD3C5">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sz w:val="21"/>
                <w:szCs w:val="21"/>
              </w:rPr>
              <w:t>聚氨酯罩面亮新</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321232DD">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厚0.8-1.2mm</w:t>
            </w:r>
          </w:p>
        </w:tc>
        <w:tc>
          <w:tcPr>
            <w:tcW w:w="2010" w:type="dxa"/>
            <w:tcBorders>
              <w:top w:val="single" w:color="auto" w:sz="4" w:space="0"/>
              <w:left w:val="single" w:color="auto" w:sz="4" w:space="0"/>
              <w:bottom w:val="single" w:color="auto" w:sz="4" w:space="0"/>
              <w:right w:val="single" w:color="auto" w:sz="4" w:space="0"/>
            </w:tcBorders>
            <w:vAlign w:val="center"/>
          </w:tcPr>
          <w:p w14:paraId="57FD9E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西卡、马贝、施贝</w:t>
            </w:r>
          </w:p>
        </w:tc>
        <w:tc>
          <w:tcPr>
            <w:tcW w:w="780" w:type="dxa"/>
            <w:tcBorders>
              <w:top w:val="single" w:color="auto" w:sz="4" w:space="0"/>
              <w:left w:val="single" w:color="auto" w:sz="4" w:space="0"/>
              <w:bottom w:val="single" w:color="auto" w:sz="4" w:space="0"/>
              <w:right w:val="single" w:color="auto" w:sz="4" w:space="0"/>
            </w:tcBorders>
            <w:vAlign w:val="center"/>
          </w:tcPr>
          <w:p w14:paraId="6A6B9C69">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778D7E76">
            <w:pPr>
              <w:jc w:val="center"/>
              <w:rPr>
                <w:rFonts w:ascii="Times New Roman" w:hAnsi="Times New Roman" w:eastAsia="宋体" w:cs="宋体"/>
                <w:sz w:val="21"/>
                <w:szCs w:val="21"/>
              </w:rPr>
            </w:pPr>
          </w:p>
        </w:tc>
      </w:tr>
      <w:tr w14:paraId="6EDA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84"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443265AA">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sz w:val="21"/>
                <w:szCs w:val="21"/>
              </w:rPr>
              <w:t>聚氨酯罩面彩色标识线</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0B5CF8A9">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厚0.3-0.5mm</w:t>
            </w:r>
          </w:p>
        </w:tc>
        <w:tc>
          <w:tcPr>
            <w:tcW w:w="2010" w:type="dxa"/>
            <w:tcBorders>
              <w:top w:val="single" w:color="auto" w:sz="4" w:space="0"/>
              <w:left w:val="single" w:color="auto" w:sz="4" w:space="0"/>
              <w:bottom w:val="single" w:color="auto" w:sz="4" w:space="0"/>
              <w:right w:val="single" w:color="auto" w:sz="4" w:space="0"/>
            </w:tcBorders>
            <w:vAlign w:val="center"/>
          </w:tcPr>
          <w:p w14:paraId="5C7EC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西卡、马贝、施贝</w:t>
            </w:r>
          </w:p>
        </w:tc>
        <w:tc>
          <w:tcPr>
            <w:tcW w:w="780" w:type="dxa"/>
            <w:tcBorders>
              <w:top w:val="single" w:color="auto" w:sz="4" w:space="0"/>
              <w:left w:val="single" w:color="auto" w:sz="4" w:space="0"/>
              <w:bottom w:val="single" w:color="auto" w:sz="4" w:space="0"/>
              <w:right w:val="single" w:color="auto" w:sz="4" w:space="0"/>
            </w:tcBorders>
            <w:vAlign w:val="center"/>
          </w:tcPr>
          <w:p w14:paraId="5A9C154C">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7AC05DF1">
            <w:pPr>
              <w:jc w:val="center"/>
              <w:rPr>
                <w:rFonts w:ascii="Times New Roman" w:hAnsi="Times New Roman" w:eastAsia="宋体" w:cs="宋体"/>
                <w:sz w:val="21"/>
                <w:szCs w:val="21"/>
              </w:rPr>
            </w:pPr>
          </w:p>
        </w:tc>
      </w:tr>
      <w:tr w14:paraId="509E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54"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76548AFE">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sz w:val="21"/>
                <w:szCs w:val="21"/>
              </w:rPr>
              <w:t>环氧自流平地坪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388D4CC6">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厚3mm</w:t>
            </w:r>
          </w:p>
        </w:tc>
        <w:tc>
          <w:tcPr>
            <w:tcW w:w="2010" w:type="dxa"/>
            <w:tcBorders>
              <w:top w:val="single" w:color="auto" w:sz="4" w:space="0"/>
              <w:left w:val="single" w:color="auto" w:sz="4" w:space="0"/>
              <w:bottom w:val="single" w:color="auto" w:sz="4" w:space="0"/>
              <w:right w:val="single" w:color="auto" w:sz="4" w:space="0"/>
            </w:tcBorders>
            <w:vAlign w:val="center"/>
          </w:tcPr>
          <w:p w14:paraId="5A4728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立邦、多乐士、嘉宝莉、三棵树、秀珀尔</w:t>
            </w:r>
          </w:p>
        </w:tc>
        <w:tc>
          <w:tcPr>
            <w:tcW w:w="780" w:type="dxa"/>
            <w:tcBorders>
              <w:top w:val="single" w:color="auto" w:sz="4" w:space="0"/>
              <w:left w:val="single" w:color="auto" w:sz="4" w:space="0"/>
              <w:bottom w:val="single" w:color="auto" w:sz="4" w:space="0"/>
              <w:right w:val="single" w:color="auto" w:sz="4" w:space="0"/>
            </w:tcBorders>
            <w:vAlign w:val="center"/>
          </w:tcPr>
          <w:p w14:paraId="323856BC">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7AA757A1">
            <w:pPr>
              <w:jc w:val="center"/>
              <w:rPr>
                <w:rFonts w:ascii="Times New Roman" w:hAnsi="Times New Roman" w:eastAsia="宋体" w:cs="宋体"/>
                <w:sz w:val="21"/>
                <w:szCs w:val="21"/>
              </w:rPr>
            </w:pPr>
          </w:p>
        </w:tc>
      </w:tr>
      <w:tr w14:paraId="2B43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6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09D9DF7F">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kern w:val="2"/>
                <w:sz w:val="21"/>
                <w:szCs w:val="21"/>
                <w:lang w:val="en-US" w:eastAsia="zh-CN" w:bidi="ar-SA"/>
              </w:rPr>
              <w:t>环氧</w:t>
            </w:r>
            <w:r>
              <w:rPr>
                <w:rFonts w:hint="eastAsia" w:ascii="宋体" w:hAnsi="宋体" w:cs="宋体"/>
                <w:b w:val="0"/>
                <w:bCs w:val="0"/>
                <w:color w:val="000000"/>
                <w:kern w:val="2"/>
                <w:sz w:val="21"/>
                <w:szCs w:val="21"/>
                <w:lang w:val="en-US" w:eastAsia="zh-CN" w:bidi="ar-SA"/>
              </w:rPr>
              <w:t>地坪漆</w:t>
            </w:r>
            <w:r>
              <w:rPr>
                <w:rFonts w:hint="eastAsia" w:ascii="宋体" w:hAnsi="宋体" w:eastAsia="宋体" w:cs="宋体"/>
                <w:b w:val="0"/>
                <w:bCs w:val="0"/>
                <w:color w:val="000000"/>
                <w:kern w:val="2"/>
                <w:sz w:val="21"/>
                <w:szCs w:val="21"/>
                <w:lang w:val="en-US" w:eastAsia="zh-CN" w:bidi="ar-SA"/>
              </w:rPr>
              <w:t>平涂地坪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405FACFC">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厚1.5mm</w:t>
            </w:r>
          </w:p>
        </w:tc>
        <w:tc>
          <w:tcPr>
            <w:tcW w:w="2010" w:type="dxa"/>
            <w:tcBorders>
              <w:top w:val="single" w:color="auto" w:sz="4" w:space="0"/>
              <w:left w:val="single" w:color="auto" w:sz="4" w:space="0"/>
              <w:bottom w:val="single" w:color="auto" w:sz="4" w:space="0"/>
              <w:right w:val="single" w:color="auto" w:sz="4" w:space="0"/>
            </w:tcBorders>
            <w:vAlign w:val="center"/>
          </w:tcPr>
          <w:p w14:paraId="08A1F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立邦、多乐士、嘉宝莉、三棵树、秀珀尔</w:t>
            </w:r>
          </w:p>
        </w:tc>
        <w:tc>
          <w:tcPr>
            <w:tcW w:w="780" w:type="dxa"/>
            <w:tcBorders>
              <w:top w:val="single" w:color="auto" w:sz="4" w:space="0"/>
              <w:left w:val="single" w:color="auto" w:sz="4" w:space="0"/>
              <w:bottom w:val="single" w:color="auto" w:sz="4" w:space="0"/>
              <w:right w:val="single" w:color="auto" w:sz="4" w:space="0"/>
            </w:tcBorders>
            <w:vAlign w:val="center"/>
          </w:tcPr>
          <w:p w14:paraId="37A0AEF7">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1B4BB210">
            <w:pPr>
              <w:jc w:val="center"/>
              <w:rPr>
                <w:rFonts w:ascii="Times New Roman" w:hAnsi="Times New Roman" w:eastAsia="宋体" w:cs="宋体"/>
                <w:sz w:val="21"/>
                <w:szCs w:val="21"/>
              </w:rPr>
            </w:pPr>
          </w:p>
        </w:tc>
      </w:tr>
      <w:tr w14:paraId="233C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3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10CF37D2">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sz w:val="21"/>
                <w:szCs w:val="21"/>
              </w:rPr>
              <w:t>环氧自流平</w:t>
            </w:r>
            <w:r>
              <w:rPr>
                <w:rFonts w:hint="eastAsia" w:ascii="宋体" w:hAnsi="宋体" w:cs="宋体"/>
                <w:b w:val="0"/>
                <w:bCs w:val="0"/>
                <w:color w:val="000000"/>
                <w:sz w:val="21"/>
                <w:szCs w:val="21"/>
                <w:lang w:val="en-US" w:eastAsia="zh-CN"/>
              </w:rPr>
              <w:t>+聚氨酯</w:t>
            </w:r>
            <w:r>
              <w:rPr>
                <w:rFonts w:hint="eastAsia" w:ascii="宋体" w:hAnsi="宋体" w:eastAsia="宋体" w:cs="宋体"/>
                <w:b w:val="0"/>
                <w:bCs w:val="0"/>
                <w:color w:val="000000"/>
                <w:sz w:val="21"/>
                <w:szCs w:val="21"/>
              </w:rPr>
              <w:t>超耐磨</w:t>
            </w:r>
            <w:r>
              <w:rPr>
                <w:rFonts w:hint="eastAsia" w:ascii="宋体" w:hAnsi="宋体" w:eastAsia="宋体" w:cs="宋体"/>
                <w:b w:val="0"/>
                <w:bCs w:val="0"/>
                <w:color w:val="000000"/>
                <w:kern w:val="2"/>
                <w:sz w:val="21"/>
                <w:szCs w:val="21"/>
                <w:lang w:val="en-US" w:eastAsia="zh-CN" w:bidi="ar-SA"/>
              </w:rPr>
              <w:t>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33C1FF88">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厚3mm</w:t>
            </w:r>
          </w:p>
        </w:tc>
        <w:tc>
          <w:tcPr>
            <w:tcW w:w="2010" w:type="dxa"/>
            <w:tcBorders>
              <w:top w:val="single" w:color="auto" w:sz="4" w:space="0"/>
              <w:left w:val="single" w:color="auto" w:sz="4" w:space="0"/>
              <w:bottom w:val="single" w:color="auto" w:sz="4" w:space="0"/>
              <w:right w:val="single" w:color="auto" w:sz="4" w:space="0"/>
            </w:tcBorders>
            <w:vAlign w:val="center"/>
          </w:tcPr>
          <w:p w14:paraId="42231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立邦、多乐士、嘉宝莉、三棵树、秀珀尔</w:t>
            </w:r>
          </w:p>
        </w:tc>
        <w:tc>
          <w:tcPr>
            <w:tcW w:w="780" w:type="dxa"/>
            <w:tcBorders>
              <w:top w:val="single" w:color="auto" w:sz="4" w:space="0"/>
              <w:left w:val="single" w:color="auto" w:sz="4" w:space="0"/>
              <w:bottom w:val="single" w:color="auto" w:sz="4" w:space="0"/>
              <w:right w:val="single" w:color="auto" w:sz="4" w:space="0"/>
            </w:tcBorders>
            <w:vAlign w:val="center"/>
          </w:tcPr>
          <w:p w14:paraId="23154C40">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7434E6BF">
            <w:pPr>
              <w:jc w:val="center"/>
              <w:rPr>
                <w:rFonts w:ascii="Times New Roman" w:hAnsi="Times New Roman" w:eastAsia="宋体" w:cs="宋体"/>
                <w:sz w:val="21"/>
                <w:szCs w:val="21"/>
              </w:rPr>
            </w:pPr>
          </w:p>
        </w:tc>
      </w:tr>
      <w:tr w14:paraId="01FC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54"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689FD724">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kern w:val="2"/>
                <w:sz w:val="21"/>
                <w:szCs w:val="21"/>
                <w:lang w:val="en-US" w:eastAsia="zh-CN" w:bidi="ar-SA"/>
              </w:rPr>
              <w:t>环氧</w:t>
            </w:r>
            <w:r>
              <w:rPr>
                <w:rFonts w:hint="eastAsia" w:ascii="宋体" w:hAnsi="宋体" w:cs="宋体"/>
                <w:b w:val="0"/>
                <w:bCs w:val="0"/>
                <w:color w:val="000000"/>
                <w:kern w:val="2"/>
                <w:sz w:val="21"/>
                <w:szCs w:val="21"/>
                <w:lang w:val="en-US" w:eastAsia="zh-CN" w:bidi="ar-SA"/>
              </w:rPr>
              <w:t>地坪漆</w:t>
            </w:r>
            <w:r>
              <w:rPr>
                <w:rFonts w:hint="eastAsia" w:ascii="宋体" w:hAnsi="宋体" w:eastAsia="宋体" w:cs="宋体"/>
                <w:b w:val="0"/>
                <w:bCs w:val="0"/>
                <w:color w:val="000000"/>
                <w:kern w:val="2"/>
                <w:sz w:val="21"/>
                <w:szCs w:val="21"/>
                <w:lang w:val="en-US" w:eastAsia="zh-CN" w:bidi="ar-SA"/>
              </w:rPr>
              <w:t>平涂</w:t>
            </w:r>
            <w:r>
              <w:rPr>
                <w:rFonts w:hint="eastAsia" w:ascii="宋体" w:hAnsi="宋体" w:cs="宋体"/>
                <w:b w:val="0"/>
                <w:bCs w:val="0"/>
                <w:color w:val="000000"/>
                <w:sz w:val="21"/>
                <w:szCs w:val="21"/>
                <w:lang w:val="en-US" w:eastAsia="zh-CN"/>
              </w:rPr>
              <w:t>+聚氨酯</w:t>
            </w:r>
            <w:r>
              <w:rPr>
                <w:rFonts w:hint="eastAsia" w:ascii="宋体" w:hAnsi="宋体" w:eastAsia="宋体" w:cs="宋体"/>
                <w:b w:val="0"/>
                <w:bCs w:val="0"/>
                <w:color w:val="000000"/>
                <w:sz w:val="21"/>
                <w:szCs w:val="21"/>
              </w:rPr>
              <w:t>超耐磨</w:t>
            </w:r>
            <w:r>
              <w:rPr>
                <w:rFonts w:hint="eastAsia" w:ascii="宋体" w:hAnsi="宋体" w:eastAsia="宋体" w:cs="宋体"/>
                <w:b w:val="0"/>
                <w:bCs w:val="0"/>
                <w:color w:val="000000"/>
                <w:kern w:val="2"/>
                <w:sz w:val="21"/>
                <w:szCs w:val="21"/>
                <w:lang w:val="en-US" w:eastAsia="zh-CN" w:bidi="ar-SA"/>
              </w:rPr>
              <w:t>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018505A8">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厚1.5mm</w:t>
            </w:r>
          </w:p>
        </w:tc>
        <w:tc>
          <w:tcPr>
            <w:tcW w:w="2010" w:type="dxa"/>
            <w:tcBorders>
              <w:top w:val="single" w:color="auto" w:sz="4" w:space="0"/>
              <w:left w:val="single" w:color="auto" w:sz="4" w:space="0"/>
              <w:bottom w:val="single" w:color="auto" w:sz="4" w:space="0"/>
              <w:right w:val="single" w:color="auto" w:sz="4" w:space="0"/>
            </w:tcBorders>
            <w:vAlign w:val="center"/>
          </w:tcPr>
          <w:p w14:paraId="48C9D5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立邦、多乐士、嘉宝莉、三棵树、秀珀尔</w:t>
            </w:r>
          </w:p>
        </w:tc>
        <w:tc>
          <w:tcPr>
            <w:tcW w:w="780" w:type="dxa"/>
            <w:tcBorders>
              <w:top w:val="single" w:color="auto" w:sz="4" w:space="0"/>
              <w:left w:val="single" w:color="auto" w:sz="4" w:space="0"/>
              <w:bottom w:val="single" w:color="auto" w:sz="4" w:space="0"/>
              <w:right w:val="single" w:color="auto" w:sz="4" w:space="0"/>
            </w:tcBorders>
            <w:vAlign w:val="center"/>
          </w:tcPr>
          <w:p w14:paraId="4D814746">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6259CB2D">
            <w:pPr>
              <w:jc w:val="center"/>
              <w:rPr>
                <w:rFonts w:ascii="Times New Roman" w:hAnsi="Times New Roman" w:eastAsia="宋体" w:cs="宋体"/>
                <w:sz w:val="21"/>
                <w:szCs w:val="21"/>
              </w:rPr>
            </w:pPr>
          </w:p>
        </w:tc>
      </w:tr>
      <w:tr w14:paraId="469C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24"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58966403">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kern w:val="2"/>
                <w:sz w:val="21"/>
                <w:szCs w:val="21"/>
                <w:lang w:val="en-US" w:eastAsia="zh-CN" w:bidi="ar-SA"/>
              </w:rPr>
              <w:t>环氧防滑坡道地坪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435FEECB">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厚3-4mm</w:t>
            </w:r>
          </w:p>
        </w:tc>
        <w:tc>
          <w:tcPr>
            <w:tcW w:w="2010" w:type="dxa"/>
            <w:tcBorders>
              <w:top w:val="single" w:color="auto" w:sz="4" w:space="0"/>
              <w:left w:val="single" w:color="auto" w:sz="4" w:space="0"/>
              <w:bottom w:val="single" w:color="auto" w:sz="4" w:space="0"/>
              <w:right w:val="single" w:color="auto" w:sz="4" w:space="0"/>
            </w:tcBorders>
            <w:vAlign w:val="center"/>
          </w:tcPr>
          <w:p w14:paraId="3E58D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立邦、多乐士、嘉宝莉、三棵树、秀珀尔</w:t>
            </w:r>
          </w:p>
        </w:tc>
        <w:tc>
          <w:tcPr>
            <w:tcW w:w="780" w:type="dxa"/>
            <w:tcBorders>
              <w:top w:val="single" w:color="auto" w:sz="4" w:space="0"/>
              <w:left w:val="single" w:color="auto" w:sz="4" w:space="0"/>
              <w:bottom w:val="single" w:color="auto" w:sz="4" w:space="0"/>
              <w:right w:val="single" w:color="auto" w:sz="4" w:space="0"/>
            </w:tcBorders>
            <w:vAlign w:val="center"/>
          </w:tcPr>
          <w:p w14:paraId="089F5D2C">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49C8E33B">
            <w:pPr>
              <w:jc w:val="center"/>
              <w:rPr>
                <w:rFonts w:ascii="Times New Roman" w:hAnsi="Times New Roman" w:eastAsia="宋体" w:cs="宋体"/>
                <w:sz w:val="21"/>
                <w:szCs w:val="21"/>
              </w:rPr>
            </w:pPr>
          </w:p>
        </w:tc>
      </w:tr>
      <w:tr w14:paraId="34DB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24"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27F45CAD">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kern w:val="2"/>
                <w:sz w:val="21"/>
                <w:szCs w:val="21"/>
                <w:lang w:val="en-US" w:eastAsia="zh-CN" w:bidi="ar-SA"/>
              </w:rPr>
              <w:t>环氧防滑橘纹地坪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63D64FDC">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厚1.5mm</w:t>
            </w:r>
          </w:p>
        </w:tc>
        <w:tc>
          <w:tcPr>
            <w:tcW w:w="2010" w:type="dxa"/>
            <w:tcBorders>
              <w:top w:val="single" w:color="auto" w:sz="4" w:space="0"/>
              <w:left w:val="single" w:color="auto" w:sz="4" w:space="0"/>
              <w:bottom w:val="single" w:color="auto" w:sz="4" w:space="0"/>
              <w:right w:val="single" w:color="auto" w:sz="4" w:space="0"/>
            </w:tcBorders>
            <w:vAlign w:val="center"/>
          </w:tcPr>
          <w:p w14:paraId="32B23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立邦、多乐士、嘉宝莉、三棵树、秀珀尔</w:t>
            </w:r>
          </w:p>
        </w:tc>
        <w:tc>
          <w:tcPr>
            <w:tcW w:w="780" w:type="dxa"/>
            <w:tcBorders>
              <w:top w:val="single" w:color="auto" w:sz="4" w:space="0"/>
              <w:left w:val="single" w:color="auto" w:sz="4" w:space="0"/>
              <w:bottom w:val="single" w:color="auto" w:sz="4" w:space="0"/>
              <w:right w:val="single" w:color="auto" w:sz="4" w:space="0"/>
            </w:tcBorders>
            <w:vAlign w:val="center"/>
          </w:tcPr>
          <w:p w14:paraId="298172D1">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6B34A9FB">
            <w:pPr>
              <w:jc w:val="center"/>
              <w:rPr>
                <w:rFonts w:ascii="Times New Roman" w:hAnsi="Times New Roman" w:eastAsia="宋体" w:cs="宋体"/>
                <w:sz w:val="21"/>
                <w:szCs w:val="21"/>
              </w:rPr>
            </w:pPr>
          </w:p>
        </w:tc>
      </w:tr>
      <w:tr w14:paraId="4198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3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1F249108">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sz w:val="21"/>
                <w:szCs w:val="21"/>
              </w:rPr>
              <w:t>混凝土密封固化</w:t>
            </w:r>
            <w:r>
              <w:rPr>
                <w:rFonts w:hint="eastAsia" w:ascii="宋体" w:hAnsi="宋体" w:eastAsia="宋体" w:cs="宋体"/>
                <w:b w:val="0"/>
                <w:bCs w:val="0"/>
                <w:color w:val="000000"/>
                <w:kern w:val="2"/>
                <w:sz w:val="21"/>
                <w:szCs w:val="21"/>
                <w:lang w:val="en-US" w:eastAsia="zh-CN" w:bidi="ar-SA"/>
              </w:rPr>
              <w:t>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42B0F6CF">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用量0.3kg/㎡</w:t>
            </w:r>
          </w:p>
        </w:tc>
        <w:tc>
          <w:tcPr>
            <w:tcW w:w="2010" w:type="dxa"/>
            <w:tcBorders>
              <w:top w:val="single" w:color="auto" w:sz="4" w:space="0"/>
              <w:left w:val="single" w:color="auto" w:sz="4" w:space="0"/>
              <w:bottom w:val="single" w:color="auto" w:sz="4" w:space="0"/>
              <w:right w:val="single" w:color="auto" w:sz="4" w:space="0"/>
            </w:tcBorders>
            <w:vAlign w:val="center"/>
          </w:tcPr>
          <w:p w14:paraId="4495F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立邦、多乐士、嘉宝莉、三棵树、秀珀尔</w:t>
            </w:r>
          </w:p>
        </w:tc>
        <w:tc>
          <w:tcPr>
            <w:tcW w:w="780" w:type="dxa"/>
            <w:tcBorders>
              <w:top w:val="single" w:color="auto" w:sz="4" w:space="0"/>
              <w:left w:val="single" w:color="auto" w:sz="4" w:space="0"/>
              <w:bottom w:val="single" w:color="auto" w:sz="4" w:space="0"/>
              <w:right w:val="single" w:color="auto" w:sz="4" w:space="0"/>
            </w:tcBorders>
            <w:vAlign w:val="center"/>
          </w:tcPr>
          <w:p w14:paraId="46450D20">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0127A4F3">
            <w:pPr>
              <w:jc w:val="center"/>
              <w:rPr>
                <w:rFonts w:ascii="Times New Roman" w:hAnsi="Times New Roman" w:eastAsia="宋体" w:cs="宋体"/>
                <w:sz w:val="21"/>
                <w:szCs w:val="21"/>
              </w:rPr>
            </w:pPr>
          </w:p>
        </w:tc>
      </w:tr>
      <w:tr w14:paraId="1DB2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84"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470BDACE">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sz w:val="21"/>
                <w:szCs w:val="21"/>
              </w:rPr>
              <w:t>彩色混凝土密封固化</w:t>
            </w:r>
            <w:r>
              <w:rPr>
                <w:rFonts w:hint="eastAsia" w:ascii="宋体" w:hAnsi="宋体" w:eastAsia="宋体" w:cs="宋体"/>
                <w:b w:val="0"/>
                <w:bCs w:val="0"/>
                <w:color w:val="000000"/>
                <w:kern w:val="2"/>
                <w:sz w:val="21"/>
                <w:szCs w:val="21"/>
                <w:lang w:val="en-US" w:eastAsia="zh-CN" w:bidi="ar-SA"/>
              </w:rPr>
              <w:t>地坪</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1F520870">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用量0.3kg/㎡</w:t>
            </w:r>
          </w:p>
        </w:tc>
        <w:tc>
          <w:tcPr>
            <w:tcW w:w="2010" w:type="dxa"/>
            <w:tcBorders>
              <w:top w:val="single" w:color="auto" w:sz="4" w:space="0"/>
              <w:left w:val="single" w:color="auto" w:sz="4" w:space="0"/>
              <w:bottom w:val="single" w:color="auto" w:sz="4" w:space="0"/>
              <w:right w:val="single" w:color="auto" w:sz="4" w:space="0"/>
            </w:tcBorders>
            <w:vAlign w:val="center"/>
          </w:tcPr>
          <w:p w14:paraId="341EA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立邦、多乐士、嘉宝莉、三棵树、秀珀尔</w:t>
            </w:r>
          </w:p>
        </w:tc>
        <w:tc>
          <w:tcPr>
            <w:tcW w:w="780" w:type="dxa"/>
            <w:tcBorders>
              <w:top w:val="single" w:color="auto" w:sz="4" w:space="0"/>
              <w:left w:val="single" w:color="auto" w:sz="4" w:space="0"/>
              <w:bottom w:val="single" w:color="auto" w:sz="4" w:space="0"/>
              <w:right w:val="single" w:color="auto" w:sz="4" w:space="0"/>
            </w:tcBorders>
            <w:vAlign w:val="center"/>
          </w:tcPr>
          <w:p w14:paraId="44623A34">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02AED081">
            <w:pPr>
              <w:jc w:val="center"/>
              <w:rPr>
                <w:rFonts w:ascii="Times New Roman" w:hAnsi="Times New Roman" w:eastAsia="宋体" w:cs="宋体"/>
                <w:sz w:val="21"/>
                <w:szCs w:val="21"/>
              </w:rPr>
            </w:pPr>
          </w:p>
        </w:tc>
      </w:tr>
      <w:tr w14:paraId="63D8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84"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354C174E">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sz w:val="21"/>
                <w:szCs w:val="21"/>
              </w:rPr>
              <w:t>聚氨酯罩面亮新</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1EF1B090">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厚0.8-1.2mm</w:t>
            </w:r>
          </w:p>
        </w:tc>
        <w:tc>
          <w:tcPr>
            <w:tcW w:w="2010" w:type="dxa"/>
            <w:tcBorders>
              <w:top w:val="single" w:color="auto" w:sz="4" w:space="0"/>
              <w:left w:val="single" w:color="auto" w:sz="4" w:space="0"/>
              <w:bottom w:val="single" w:color="auto" w:sz="4" w:space="0"/>
              <w:right w:val="single" w:color="auto" w:sz="4" w:space="0"/>
            </w:tcBorders>
            <w:vAlign w:val="center"/>
          </w:tcPr>
          <w:p w14:paraId="1C341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立邦、多乐士、嘉宝莉、三棵树、秀珀尔</w:t>
            </w:r>
          </w:p>
        </w:tc>
        <w:tc>
          <w:tcPr>
            <w:tcW w:w="780" w:type="dxa"/>
            <w:tcBorders>
              <w:top w:val="single" w:color="auto" w:sz="4" w:space="0"/>
              <w:left w:val="single" w:color="auto" w:sz="4" w:space="0"/>
              <w:bottom w:val="single" w:color="auto" w:sz="4" w:space="0"/>
              <w:right w:val="single" w:color="auto" w:sz="4" w:space="0"/>
            </w:tcBorders>
            <w:vAlign w:val="center"/>
          </w:tcPr>
          <w:p w14:paraId="61051C63">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35196430">
            <w:pPr>
              <w:jc w:val="center"/>
              <w:rPr>
                <w:rFonts w:ascii="Times New Roman" w:hAnsi="Times New Roman" w:eastAsia="宋体" w:cs="宋体"/>
                <w:sz w:val="21"/>
                <w:szCs w:val="21"/>
              </w:rPr>
            </w:pPr>
          </w:p>
        </w:tc>
      </w:tr>
      <w:tr w14:paraId="5950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39" w:hRule="atLeast"/>
          <w:jc w:val="center"/>
        </w:trPr>
        <w:tc>
          <w:tcPr>
            <w:tcW w:w="3501" w:type="dxa"/>
            <w:tcBorders>
              <w:top w:val="single" w:color="auto" w:sz="4" w:space="0"/>
              <w:left w:val="single" w:color="auto" w:sz="4" w:space="0"/>
              <w:bottom w:val="single" w:color="auto" w:sz="4" w:space="0"/>
              <w:right w:val="single" w:color="auto" w:sz="4" w:space="0"/>
            </w:tcBorders>
            <w:vAlign w:val="center"/>
          </w:tcPr>
          <w:p w14:paraId="161506C9">
            <w:pPr>
              <w:spacing w:line="580" w:lineRule="exact"/>
              <w:jc w:val="left"/>
              <w:rPr>
                <w:rFonts w:ascii="Times New Roman" w:hAnsi="Times New Roman" w:eastAsia="宋体" w:cs="宋体"/>
                <w:bCs/>
                <w:sz w:val="21"/>
                <w:szCs w:val="21"/>
              </w:rPr>
            </w:pPr>
            <w:r>
              <w:rPr>
                <w:rFonts w:hint="eastAsia" w:ascii="宋体" w:hAnsi="宋体" w:eastAsia="宋体" w:cs="宋体"/>
                <w:b w:val="0"/>
                <w:bCs w:val="0"/>
                <w:color w:val="000000"/>
                <w:sz w:val="21"/>
                <w:szCs w:val="21"/>
              </w:rPr>
              <w:t>聚氨酯罩面彩色标识线</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354E8A47">
            <w:pPr>
              <w:keepNext w:val="0"/>
              <w:keepLines w:val="0"/>
              <w:widowControl/>
              <w:suppressLineNumbers w:val="0"/>
              <w:jc w:val="left"/>
              <w:textAlignment w:val="center"/>
              <w:rPr>
                <w:rFonts w:ascii="Times New Roman" w:hAnsi="Times New Roman" w:eastAsia="宋体" w:cs="宋体"/>
                <w:sz w:val="21"/>
                <w:szCs w:val="21"/>
              </w:rPr>
            </w:pPr>
            <w:r>
              <w:rPr>
                <w:rFonts w:hint="eastAsia" w:ascii="宋体" w:hAnsi="宋体" w:eastAsia="宋体" w:cs="宋体"/>
                <w:i w:val="0"/>
                <w:iCs w:val="0"/>
                <w:color w:val="000000"/>
                <w:kern w:val="0"/>
                <w:sz w:val="21"/>
                <w:szCs w:val="21"/>
                <w:u w:val="none"/>
                <w:lang w:val="en-US" w:eastAsia="zh-CN" w:bidi="ar"/>
              </w:rPr>
              <w:t>厚0.3-0.5mm</w:t>
            </w:r>
          </w:p>
        </w:tc>
        <w:tc>
          <w:tcPr>
            <w:tcW w:w="2010" w:type="dxa"/>
            <w:tcBorders>
              <w:top w:val="single" w:color="auto" w:sz="4" w:space="0"/>
              <w:left w:val="single" w:color="auto" w:sz="4" w:space="0"/>
              <w:bottom w:val="single" w:color="auto" w:sz="4" w:space="0"/>
              <w:right w:val="single" w:color="auto" w:sz="4" w:space="0"/>
            </w:tcBorders>
            <w:vAlign w:val="center"/>
          </w:tcPr>
          <w:p w14:paraId="71C75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sz w:val="21"/>
                <w:szCs w:val="21"/>
              </w:rPr>
            </w:pPr>
            <w:r>
              <w:rPr>
                <w:rFonts w:hint="eastAsia"/>
                <w:sz w:val="21"/>
                <w:szCs w:val="21"/>
              </w:rPr>
              <w:t>立邦、多乐士、嘉宝莉、三棵树、秀珀尔</w:t>
            </w:r>
          </w:p>
        </w:tc>
        <w:tc>
          <w:tcPr>
            <w:tcW w:w="780" w:type="dxa"/>
            <w:tcBorders>
              <w:top w:val="single" w:color="auto" w:sz="4" w:space="0"/>
              <w:left w:val="single" w:color="auto" w:sz="4" w:space="0"/>
              <w:bottom w:val="single" w:color="auto" w:sz="4" w:space="0"/>
              <w:right w:val="single" w:color="auto" w:sz="4" w:space="0"/>
            </w:tcBorders>
            <w:vAlign w:val="center"/>
          </w:tcPr>
          <w:p w14:paraId="7F8C706D">
            <w:pPr>
              <w:jc w:val="center"/>
              <w:rPr>
                <w:rFonts w:ascii="Times New Roman" w:hAnsi="Times New Roman" w:eastAsia="宋体" w:cs="宋体"/>
                <w:sz w:val="21"/>
                <w:szCs w:val="21"/>
              </w:rPr>
            </w:pPr>
            <w:r>
              <w:rPr>
                <w:rFonts w:hint="eastAsia" w:eastAsia="宋体"/>
                <w:sz w:val="21"/>
                <w:szCs w:val="21"/>
                <w:lang w:val="en-US" w:eastAsia="zh-CN"/>
              </w:rPr>
              <w:t>1㎡</w:t>
            </w:r>
          </w:p>
        </w:tc>
        <w:tc>
          <w:tcPr>
            <w:tcW w:w="1267" w:type="dxa"/>
            <w:tcBorders>
              <w:top w:val="single" w:color="auto" w:sz="4" w:space="0"/>
              <w:left w:val="single" w:color="auto" w:sz="4" w:space="0"/>
              <w:bottom w:val="single" w:color="auto" w:sz="4" w:space="0"/>
              <w:right w:val="single" w:color="auto" w:sz="4" w:space="0"/>
            </w:tcBorders>
          </w:tcPr>
          <w:p w14:paraId="4891B11E">
            <w:pPr>
              <w:jc w:val="center"/>
              <w:rPr>
                <w:rFonts w:ascii="Times New Roman" w:hAnsi="Times New Roman" w:eastAsia="宋体" w:cs="宋体"/>
                <w:sz w:val="21"/>
                <w:szCs w:val="21"/>
              </w:rPr>
            </w:pPr>
          </w:p>
        </w:tc>
      </w:tr>
      <w:tr w14:paraId="7B0F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34" w:hRule="atLeast"/>
          <w:jc w:val="center"/>
        </w:trPr>
        <w:tc>
          <w:tcPr>
            <w:tcW w:w="7852" w:type="dxa"/>
            <w:gridSpan w:val="5"/>
            <w:tcBorders>
              <w:top w:val="single" w:color="auto" w:sz="4" w:space="0"/>
              <w:left w:val="single" w:color="auto" w:sz="4" w:space="0"/>
              <w:bottom w:val="single" w:color="auto" w:sz="4" w:space="0"/>
              <w:right w:val="single" w:color="auto" w:sz="4" w:space="0"/>
            </w:tcBorders>
            <w:vAlign w:val="center"/>
          </w:tcPr>
          <w:p w14:paraId="6639F626">
            <w:pPr>
              <w:jc w:val="right"/>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总计</w:t>
            </w:r>
          </w:p>
        </w:tc>
        <w:tc>
          <w:tcPr>
            <w:tcW w:w="1267" w:type="dxa"/>
            <w:tcBorders>
              <w:top w:val="single" w:color="auto" w:sz="4" w:space="0"/>
              <w:left w:val="single" w:color="auto" w:sz="4" w:space="0"/>
              <w:bottom w:val="single" w:color="auto" w:sz="4" w:space="0"/>
              <w:right w:val="single" w:color="auto" w:sz="4" w:space="0"/>
            </w:tcBorders>
          </w:tcPr>
          <w:p w14:paraId="3B889A5B">
            <w:pPr>
              <w:jc w:val="left"/>
              <w:rPr>
                <w:rFonts w:hint="eastAsia" w:ascii="宋体" w:hAnsi="宋体" w:eastAsia="宋体" w:cs="宋体"/>
                <w:i w:val="0"/>
                <w:color w:val="000000"/>
                <w:kern w:val="0"/>
                <w:sz w:val="24"/>
                <w:szCs w:val="24"/>
                <w:u w:val="none"/>
                <w:lang w:val="en-US" w:eastAsia="zh-CN" w:bidi="ar"/>
              </w:rPr>
            </w:pPr>
          </w:p>
        </w:tc>
      </w:tr>
      <w:tr w14:paraId="33DF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44" w:hRule="atLeast"/>
          <w:jc w:val="center"/>
        </w:trPr>
        <w:tc>
          <w:tcPr>
            <w:tcW w:w="3562" w:type="dxa"/>
            <w:gridSpan w:val="2"/>
            <w:tcBorders>
              <w:top w:val="single" w:color="auto" w:sz="4" w:space="0"/>
              <w:left w:val="single" w:color="auto" w:sz="4" w:space="0"/>
              <w:bottom w:val="single" w:color="auto" w:sz="4" w:space="0"/>
              <w:right w:val="single" w:color="auto" w:sz="4" w:space="0"/>
            </w:tcBorders>
            <w:vAlign w:val="center"/>
          </w:tcPr>
          <w:p w14:paraId="2970FB4F">
            <w:pPr>
              <w:jc w:val="left"/>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质保期</w:t>
            </w:r>
          </w:p>
        </w:tc>
        <w:tc>
          <w:tcPr>
            <w:tcW w:w="5557" w:type="dxa"/>
            <w:gridSpan w:val="4"/>
            <w:tcBorders>
              <w:top w:val="single" w:color="auto" w:sz="4" w:space="0"/>
              <w:left w:val="single" w:color="auto" w:sz="4" w:space="0"/>
              <w:bottom w:val="single" w:color="auto" w:sz="4" w:space="0"/>
              <w:right w:val="single" w:color="auto" w:sz="4" w:space="0"/>
            </w:tcBorders>
            <w:vAlign w:val="center"/>
          </w:tcPr>
          <w:p w14:paraId="463586DC">
            <w:pPr>
              <w:jc w:val="left"/>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1年</w:t>
            </w:r>
          </w:p>
        </w:tc>
      </w:tr>
      <w:tr w14:paraId="63E7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44" w:hRule="atLeast"/>
          <w:jc w:val="center"/>
        </w:trPr>
        <w:tc>
          <w:tcPr>
            <w:tcW w:w="3562" w:type="dxa"/>
            <w:gridSpan w:val="2"/>
            <w:tcBorders>
              <w:top w:val="single" w:color="auto" w:sz="4" w:space="0"/>
              <w:left w:val="single" w:color="auto" w:sz="4" w:space="0"/>
              <w:bottom w:val="single" w:color="auto" w:sz="4" w:space="0"/>
              <w:right w:val="single" w:color="auto" w:sz="4" w:space="0"/>
            </w:tcBorders>
            <w:vAlign w:val="center"/>
          </w:tcPr>
          <w:p w14:paraId="4DE4487B">
            <w:pPr>
              <w:jc w:val="left"/>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是否同意付款方式</w:t>
            </w:r>
          </w:p>
        </w:tc>
        <w:tc>
          <w:tcPr>
            <w:tcW w:w="5557" w:type="dxa"/>
            <w:gridSpan w:val="4"/>
            <w:tcBorders>
              <w:top w:val="single" w:color="auto" w:sz="4" w:space="0"/>
              <w:left w:val="single" w:color="auto" w:sz="4" w:space="0"/>
              <w:bottom w:val="single" w:color="auto" w:sz="4" w:space="0"/>
              <w:right w:val="single" w:color="auto" w:sz="4" w:space="0"/>
            </w:tcBorders>
            <w:vAlign w:val="center"/>
          </w:tcPr>
          <w:p w14:paraId="53ACD741">
            <w:pPr>
              <w:jc w:val="left"/>
              <w:rPr>
                <w:rFonts w:hint="eastAsia" w:ascii="宋体" w:hAnsi="宋体" w:cs="宋体"/>
                <w:i w:val="0"/>
                <w:color w:val="000000"/>
                <w:kern w:val="0"/>
                <w:sz w:val="24"/>
                <w:szCs w:val="24"/>
                <w:highlight w:val="none"/>
                <w:u w:val="none"/>
                <w:lang w:val="en-US" w:eastAsia="zh-CN" w:bidi="ar"/>
              </w:rPr>
            </w:pPr>
          </w:p>
        </w:tc>
      </w:tr>
      <w:tr w14:paraId="3698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139" w:type="dxa"/>
            <w:gridSpan w:val="7"/>
            <w:tcBorders>
              <w:top w:val="single" w:color="auto" w:sz="4" w:space="0"/>
              <w:left w:val="single" w:color="auto" w:sz="4" w:space="0"/>
              <w:bottom w:val="single" w:color="auto" w:sz="4" w:space="0"/>
              <w:right w:val="single" w:color="auto" w:sz="4" w:space="0"/>
            </w:tcBorders>
            <w:vAlign w:val="top"/>
          </w:tcPr>
          <w:p w14:paraId="5FA2F0F9">
            <w:pPr>
              <w:jc w:val="both"/>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特殊说明：</w:t>
            </w:r>
          </w:p>
        </w:tc>
      </w:tr>
      <w:tr w14:paraId="610D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139" w:type="dxa"/>
            <w:gridSpan w:val="7"/>
            <w:tcBorders>
              <w:top w:val="single" w:color="auto" w:sz="4" w:space="0"/>
              <w:left w:val="single" w:color="auto" w:sz="4" w:space="0"/>
              <w:bottom w:val="single" w:color="auto" w:sz="4" w:space="0"/>
              <w:right w:val="single" w:color="auto" w:sz="4" w:space="0"/>
            </w:tcBorders>
            <w:vAlign w:val="center"/>
          </w:tcPr>
          <w:p w14:paraId="40DD64D5">
            <w:pPr>
              <w:pStyle w:val="14"/>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本投标人是否完全认同招标文件的各项条款要求：</w:t>
            </w:r>
          </w:p>
          <w:p w14:paraId="07BF9FEB">
            <w:pPr>
              <w:jc w:val="left"/>
              <w:rPr>
                <w:rFonts w:hint="eastAsia" w:ascii="宋体" w:hAnsi="宋体" w:eastAsia="宋体" w:cs="宋体"/>
                <w:i w:val="0"/>
                <w:color w:val="000000"/>
                <w:kern w:val="0"/>
                <w:sz w:val="24"/>
                <w:szCs w:val="24"/>
                <w:highlight w:val="none"/>
                <w:u w:val="none"/>
                <w:lang w:val="en-US" w:eastAsia="zh-CN" w:bidi="ar"/>
              </w:rPr>
            </w:pPr>
          </w:p>
        </w:tc>
      </w:tr>
    </w:tbl>
    <w:p w14:paraId="6B5D661A">
      <w:pPr>
        <w:keepNext w:val="0"/>
        <w:keepLines w:val="0"/>
        <w:widowControl/>
        <w:suppressLineNumbers w:val="0"/>
        <w:jc w:val="left"/>
        <w:textAlignment w:val="center"/>
        <w:rPr>
          <w:rFonts w:hint="default" w:ascii="宋体" w:hAnsi="宋体" w:eastAsia="宋体" w:cs="宋体"/>
          <w:b/>
          <w:i w:val="0"/>
          <w:color w:val="000000"/>
          <w:kern w:val="0"/>
          <w:sz w:val="24"/>
          <w:szCs w:val="24"/>
          <w:highlight w:val="none"/>
          <w:u w:val="none"/>
          <w:lang w:val="en-US" w:eastAsia="zh-CN" w:bidi="ar"/>
        </w:rPr>
      </w:pPr>
      <w:r>
        <w:rPr>
          <w:rFonts w:hint="eastAsia" w:ascii="宋体" w:hAnsi="宋体" w:cs="宋体"/>
          <w:b/>
          <w:i w:val="0"/>
          <w:color w:val="000000"/>
          <w:kern w:val="0"/>
          <w:sz w:val="24"/>
          <w:szCs w:val="24"/>
          <w:highlight w:val="none"/>
          <w:u w:val="none"/>
          <w:lang w:val="en-US" w:eastAsia="zh-CN" w:bidi="ar"/>
        </w:rPr>
        <w:t>说明：本项目数量为预估数量，实际结算数量以审计结果为准。单次施工费用10万元以内。</w:t>
      </w:r>
    </w:p>
    <w:p w14:paraId="6DD0F111">
      <w:pPr>
        <w:rPr>
          <w:rFonts w:hint="eastAsia" w:ascii="Times New Roman" w:hAnsi="Times New Roman" w:eastAsia="宋体" w:cs="宋体"/>
          <w:sz w:val="24"/>
          <w:szCs w:val="24"/>
        </w:rPr>
      </w:pPr>
    </w:p>
    <w:p w14:paraId="45C6F462">
      <w:pPr>
        <w:ind w:firstLine="480" w:firstLineChars="200"/>
        <w:jc w:val="both"/>
        <w:rPr>
          <w:rFonts w:hint="eastAsia" w:ascii="Times New Roman" w:hAnsi="Times New Roman" w:eastAsia="宋体" w:cs="宋体"/>
          <w:sz w:val="24"/>
          <w:szCs w:val="24"/>
        </w:rPr>
      </w:pPr>
    </w:p>
    <w:p w14:paraId="0561A59E">
      <w:pPr>
        <w:ind w:firstLine="480" w:firstLineChars="200"/>
        <w:jc w:val="both"/>
        <w:rPr>
          <w:rFonts w:hint="eastAsia" w:ascii="Times New Roman" w:hAnsi="Times New Roman" w:eastAsia="宋体" w:cs="宋体"/>
          <w:sz w:val="24"/>
          <w:szCs w:val="24"/>
        </w:rPr>
      </w:pPr>
    </w:p>
    <w:p w14:paraId="50D65F80">
      <w:pPr>
        <w:ind w:firstLine="480" w:firstLineChars="200"/>
        <w:jc w:val="both"/>
        <w:rPr>
          <w:rFonts w:hint="eastAsia" w:ascii="Times New Roman" w:hAnsi="Times New Roman" w:eastAsia="宋体" w:cs="宋体"/>
          <w:sz w:val="24"/>
          <w:szCs w:val="24"/>
        </w:rPr>
      </w:pPr>
      <w:r>
        <w:rPr>
          <w:rFonts w:hint="eastAsia" w:ascii="Times New Roman" w:hAnsi="Times New Roman" w:eastAsia="宋体" w:cs="宋体"/>
          <w:sz w:val="24"/>
          <w:szCs w:val="24"/>
        </w:rPr>
        <w:t>授权代表签字</w:t>
      </w:r>
      <w:r>
        <w:rPr>
          <w:rFonts w:hint="eastAsia" w:cs="宋体"/>
          <w:sz w:val="24"/>
          <w:szCs w:val="24"/>
          <w:lang w:eastAsia="zh-CN"/>
        </w:rPr>
        <w:t>（</w:t>
      </w:r>
      <w:r>
        <w:rPr>
          <w:rFonts w:hint="eastAsia" w:cs="宋体"/>
          <w:sz w:val="24"/>
          <w:szCs w:val="24"/>
          <w:lang w:val="en-US" w:eastAsia="zh-CN"/>
        </w:rPr>
        <w:t>盖章</w:t>
      </w:r>
      <w:r>
        <w:rPr>
          <w:rFonts w:hint="eastAsia" w:cs="宋体"/>
          <w:sz w:val="24"/>
          <w:szCs w:val="24"/>
          <w:lang w:eastAsia="zh-CN"/>
        </w:rPr>
        <w:t>）</w:t>
      </w:r>
      <w:r>
        <w:rPr>
          <w:rFonts w:hint="eastAsia" w:ascii="Times New Roman" w:hAnsi="Times New Roman" w:eastAsia="宋体" w:cs="宋体"/>
          <w:sz w:val="24"/>
          <w:szCs w:val="24"/>
        </w:rPr>
        <w:t xml:space="preserve">：           </w:t>
      </w:r>
      <w:r>
        <w:rPr>
          <w:rFonts w:hint="eastAsia" w:cs="宋体"/>
          <w:sz w:val="24"/>
          <w:szCs w:val="24"/>
          <w:lang w:val="en-US" w:eastAsia="zh-CN"/>
        </w:rPr>
        <w:t xml:space="preserve">     </w:t>
      </w:r>
      <w:r>
        <w:rPr>
          <w:rFonts w:hint="eastAsia" w:ascii="Times New Roman" w:hAnsi="Times New Roman" w:eastAsia="宋体" w:cs="宋体"/>
          <w:sz w:val="24"/>
          <w:szCs w:val="24"/>
        </w:rPr>
        <w:t xml:space="preserve"> 日期：</w:t>
      </w:r>
    </w:p>
    <w:p w14:paraId="269303C7">
      <w:pPr>
        <w:jc w:val="center"/>
        <w:rPr>
          <w:rFonts w:hint="eastAsia" w:ascii="Times New Roman" w:hAnsi="Times New Roman" w:eastAsia="宋体" w:cs="宋体"/>
          <w:sz w:val="24"/>
          <w:szCs w:val="24"/>
        </w:rPr>
      </w:pPr>
    </w:p>
    <w:p w14:paraId="6307A909">
      <w:pPr>
        <w:jc w:val="center"/>
        <w:rPr>
          <w:rFonts w:hint="eastAsia" w:ascii="Times New Roman" w:hAnsi="Times New Roman" w:eastAsia="宋体" w:cs="宋体"/>
          <w:sz w:val="24"/>
          <w:szCs w:val="24"/>
        </w:rPr>
      </w:pPr>
    </w:p>
    <w:p w14:paraId="533F7BD8">
      <w:pPr>
        <w:jc w:val="center"/>
        <w:rPr>
          <w:rFonts w:hint="eastAsia" w:ascii="Times New Roman" w:hAnsi="Times New Roman" w:eastAsia="宋体" w:cs="宋体"/>
          <w:sz w:val="24"/>
          <w:szCs w:val="24"/>
        </w:rPr>
      </w:pPr>
    </w:p>
    <w:p w14:paraId="385836E5">
      <w:pPr>
        <w:jc w:val="center"/>
        <w:rPr>
          <w:rFonts w:hint="eastAsia" w:ascii="Times New Roman" w:hAnsi="Times New Roman" w:eastAsia="宋体" w:cs="宋体"/>
          <w:sz w:val="24"/>
          <w:szCs w:val="24"/>
        </w:rPr>
      </w:pPr>
    </w:p>
    <w:p w14:paraId="432DBC24">
      <w:pPr>
        <w:jc w:val="center"/>
        <w:rPr>
          <w:rFonts w:hint="eastAsia" w:ascii="Times New Roman" w:hAnsi="Times New Roman" w:eastAsia="宋体" w:cs="宋体"/>
          <w:sz w:val="24"/>
          <w:szCs w:val="24"/>
        </w:rPr>
      </w:pPr>
    </w:p>
    <w:p w14:paraId="5531CA9A">
      <w:pPr>
        <w:jc w:val="center"/>
        <w:rPr>
          <w:rFonts w:hint="eastAsia" w:ascii="Times New Roman" w:hAnsi="Times New Roman" w:eastAsia="宋体" w:cs="宋体"/>
          <w:sz w:val="24"/>
          <w:szCs w:val="24"/>
        </w:rPr>
      </w:pPr>
    </w:p>
    <w:p w14:paraId="4284DF05">
      <w:pPr>
        <w:jc w:val="center"/>
        <w:rPr>
          <w:rFonts w:hint="eastAsia" w:ascii="Times New Roman" w:hAnsi="Times New Roman" w:eastAsia="宋体" w:cs="宋体"/>
          <w:sz w:val="24"/>
          <w:szCs w:val="24"/>
        </w:rPr>
      </w:pPr>
    </w:p>
    <w:p w14:paraId="400C00A2">
      <w:pPr>
        <w:jc w:val="center"/>
        <w:rPr>
          <w:rFonts w:hint="eastAsia" w:ascii="Times New Roman" w:hAnsi="Times New Roman" w:eastAsia="宋体" w:cs="宋体"/>
          <w:sz w:val="24"/>
          <w:szCs w:val="24"/>
        </w:rPr>
      </w:pPr>
    </w:p>
    <w:p w14:paraId="56F92DBD">
      <w:pPr>
        <w:jc w:val="center"/>
        <w:rPr>
          <w:rFonts w:hint="eastAsia" w:ascii="Times New Roman" w:hAnsi="Times New Roman" w:eastAsia="宋体" w:cs="宋体"/>
          <w:sz w:val="24"/>
          <w:szCs w:val="24"/>
        </w:rPr>
      </w:pPr>
    </w:p>
    <w:p w14:paraId="131F8A73">
      <w:pPr>
        <w:jc w:val="center"/>
        <w:rPr>
          <w:rFonts w:hint="eastAsia" w:ascii="Times New Roman" w:hAnsi="Times New Roman" w:eastAsia="宋体" w:cs="宋体"/>
          <w:sz w:val="24"/>
          <w:szCs w:val="24"/>
        </w:rPr>
      </w:pPr>
    </w:p>
    <w:p w14:paraId="56364309">
      <w:pPr>
        <w:jc w:val="center"/>
        <w:rPr>
          <w:rFonts w:hint="eastAsia" w:ascii="Times New Roman" w:hAnsi="Times New Roman" w:eastAsia="宋体" w:cs="宋体"/>
          <w:sz w:val="24"/>
          <w:szCs w:val="24"/>
        </w:rPr>
      </w:pPr>
    </w:p>
    <w:p w14:paraId="08823251">
      <w:pPr>
        <w:jc w:val="center"/>
        <w:rPr>
          <w:rFonts w:hint="eastAsia" w:ascii="Times New Roman" w:hAnsi="Times New Roman" w:eastAsia="宋体" w:cs="宋体"/>
          <w:sz w:val="24"/>
          <w:szCs w:val="24"/>
        </w:rPr>
      </w:pPr>
    </w:p>
    <w:p w14:paraId="1B41C344">
      <w:pPr>
        <w:jc w:val="center"/>
        <w:rPr>
          <w:rFonts w:hint="eastAsia" w:ascii="Times New Roman" w:hAnsi="Times New Roman" w:eastAsia="宋体" w:cs="宋体"/>
          <w:sz w:val="24"/>
          <w:szCs w:val="24"/>
        </w:rPr>
      </w:pPr>
    </w:p>
    <w:p w14:paraId="1AA12F7E">
      <w:pPr>
        <w:jc w:val="center"/>
        <w:rPr>
          <w:rFonts w:hint="eastAsia" w:ascii="Times New Roman" w:hAnsi="Times New Roman" w:eastAsia="宋体" w:cs="宋体"/>
          <w:sz w:val="24"/>
          <w:szCs w:val="24"/>
        </w:rPr>
      </w:pPr>
    </w:p>
    <w:p w14:paraId="1A0D15F0">
      <w:pPr>
        <w:jc w:val="center"/>
        <w:rPr>
          <w:rFonts w:hint="eastAsia" w:ascii="Times New Roman" w:hAnsi="Times New Roman" w:eastAsia="宋体" w:cs="宋体"/>
          <w:sz w:val="24"/>
          <w:szCs w:val="24"/>
        </w:rPr>
      </w:pPr>
    </w:p>
    <w:p w14:paraId="53D7E792">
      <w:pPr>
        <w:jc w:val="center"/>
        <w:rPr>
          <w:rFonts w:hint="eastAsia" w:ascii="Times New Roman" w:hAnsi="Times New Roman" w:eastAsia="宋体" w:cs="宋体"/>
          <w:sz w:val="24"/>
          <w:szCs w:val="24"/>
        </w:rPr>
      </w:pPr>
    </w:p>
    <w:p w14:paraId="56823FA6">
      <w:pPr>
        <w:jc w:val="center"/>
        <w:rPr>
          <w:rFonts w:hint="eastAsia" w:ascii="Times New Roman" w:hAnsi="Times New Roman" w:eastAsia="宋体" w:cs="宋体"/>
          <w:sz w:val="24"/>
          <w:szCs w:val="24"/>
        </w:rPr>
      </w:pPr>
    </w:p>
    <w:p w14:paraId="6B51A60E">
      <w:pPr>
        <w:jc w:val="center"/>
        <w:rPr>
          <w:rFonts w:hint="eastAsia" w:ascii="Times New Roman" w:hAnsi="Times New Roman" w:eastAsia="宋体" w:cs="宋体"/>
          <w:sz w:val="24"/>
          <w:szCs w:val="24"/>
        </w:rPr>
      </w:pPr>
    </w:p>
    <w:p w14:paraId="658E553C">
      <w:pPr>
        <w:jc w:val="center"/>
        <w:rPr>
          <w:rFonts w:hint="eastAsia" w:ascii="Times New Roman" w:hAnsi="Times New Roman" w:eastAsia="宋体" w:cs="宋体"/>
          <w:sz w:val="24"/>
          <w:szCs w:val="24"/>
        </w:rPr>
      </w:pPr>
    </w:p>
    <w:p w14:paraId="20C82AB9">
      <w:pPr>
        <w:jc w:val="center"/>
        <w:rPr>
          <w:rFonts w:hint="eastAsia" w:ascii="Times New Roman" w:hAnsi="Times New Roman" w:eastAsia="宋体" w:cs="宋体"/>
          <w:sz w:val="24"/>
          <w:szCs w:val="24"/>
        </w:rPr>
      </w:pPr>
    </w:p>
    <w:p w14:paraId="0425B623">
      <w:pPr>
        <w:jc w:val="center"/>
        <w:rPr>
          <w:rFonts w:hint="eastAsia" w:ascii="Times New Roman" w:hAnsi="Times New Roman" w:eastAsia="宋体" w:cs="宋体"/>
          <w:sz w:val="24"/>
          <w:szCs w:val="24"/>
        </w:rPr>
      </w:pPr>
    </w:p>
    <w:p w14:paraId="2370F78F">
      <w:pPr>
        <w:jc w:val="center"/>
        <w:rPr>
          <w:rFonts w:hint="eastAsia" w:ascii="Times New Roman" w:hAnsi="Times New Roman" w:eastAsia="宋体" w:cs="宋体"/>
          <w:sz w:val="24"/>
          <w:szCs w:val="24"/>
        </w:rPr>
      </w:pPr>
    </w:p>
    <w:p w14:paraId="1764D08B">
      <w:pPr>
        <w:jc w:val="center"/>
        <w:rPr>
          <w:rFonts w:hint="eastAsia" w:ascii="Times New Roman" w:hAnsi="Times New Roman" w:eastAsia="宋体" w:cs="宋体"/>
          <w:sz w:val="24"/>
          <w:szCs w:val="24"/>
        </w:rPr>
      </w:pPr>
    </w:p>
    <w:p w14:paraId="1BEAE31E">
      <w:pPr>
        <w:jc w:val="center"/>
        <w:rPr>
          <w:rFonts w:hint="eastAsia" w:ascii="Times New Roman" w:hAnsi="Times New Roman" w:eastAsia="宋体" w:cs="宋体"/>
          <w:sz w:val="24"/>
          <w:szCs w:val="24"/>
        </w:rPr>
      </w:pPr>
    </w:p>
    <w:p w14:paraId="1C85123D">
      <w:pPr>
        <w:jc w:val="center"/>
        <w:rPr>
          <w:rFonts w:hint="eastAsia" w:ascii="Times New Roman" w:hAnsi="Times New Roman" w:eastAsia="宋体" w:cs="宋体"/>
          <w:sz w:val="24"/>
          <w:szCs w:val="24"/>
        </w:rPr>
      </w:pPr>
    </w:p>
    <w:p w14:paraId="5612EA00">
      <w:pPr>
        <w:rPr>
          <w:rFonts w:hint="eastAsia" w:asciiTheme="minorEastAsia" w:hAnsiTheme="minorEastAsia" w:eastAsiaTheme="minorEastAsia"/>
          <w:b/>
          <w:bCs/>
          <w:color w:val="000000"/>
          <w:sz w:val="24"/>
          <w:szCs w:val="24"/>
          <w:lang w:eastAsia="zh-CN"/>
        </w:rPr>
      </w:pPr>
      <w:r>
        <w:rPr>
          <w:rFonts w:hint="eastAsia" w:cs="宋体" w:asciiTheme="minorEastAsia" w:hAnsiTheme="minorEastAsia" w:eastAsiaTheme="minorEastAsia"/>
          <w:b/>
          <w:bCs/>
          <w:color w:val="000000"/>
          <w:sz w:val="24"/>
          <w:szCs w:val="24"/>
        </w:rPr>
        <w:t>附件格式</w:t>
      </w:r>
      <w:r>
        <w:rPr>
          <w:rFonts w:hint="eastAsia" w:asciiTheme="minorEastAsia" w:hAnsiTheme="minorEastAsia" w:eastAsiaTheme="minorEastAsia"/>
          <w:b/>
          <w:bCs/>
          <w:color w:val="000000"/>
          <w:sz w:val="24"/>
          <w:szCs w:val="24"/>
          <w:lang w:val="en-US" w:eastAsia="zh-CN"/>
        </w:rPr>
        <w:t>4</w:t>
      </w:r>
    </w:p>
    <w:p w14:paraId="41DC1FA2">
      <w:pPr>
        <w:ind w:firstLine="480"/>
        <w:rPr>
          <w:rFonts w:hint="eastAsia" w:asciiTheme="minorEastAsia" w:hAnsiTheme="minorEastAsia" w:eastAsiaTheme="minorEastAsia"/>
          <w:color w:val="000000"/>
          <w:sz w:val="24"/>
          <w:szCs w:val="24"/>
        </w:rPr>
      </w:pPr>
    </w:p>
    <w:p w14:paraId="3645E7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(XX项目)</w:t>
      </w:r>
    </w:p>
    <w:p w14:paraId="2B392CA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14:paraId="1F0BCB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法人授权委托书</w:t>
      </w:r>
    </w:p>
    <w:p w14:paraId="0344E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（招标人名称）                            ：</w:t>
      </w:r>
    </w:p>
    <w:p w14:paraId="733BE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本授权委托书声明：我</w:t>
      </w:r>
      <w:r>
        <w:rPr>
          <w:rFonts w:hint="eastAsia" w:ascii="宋体" w:hAnsi="宋体" w:eastAsia="宋体" w:cs="宋体"/>
          <w:kern w:val="0"/>
          <w:sz w:val="24"/>
          <w:szCs w:val="24"/>
          <w:u w:val="single"/>
        </w:rPr>
        <w:t xml:space="preserve">（法人姓名）       </w:t>
      </w:r>
      <w:r>
        <w:rPr>
          <w:rFonts w:hint="eastAsia" w:ascii="宋体" w:hAnsi="宋体" w:eastAsia="宋体" w:cs="宋体"/>
          <w:kern w:val="0"/>
          <w:sz w:val="24"/>
          <w:szCs w:val="24"/>
        </w:rPr>
        <w:t>系</w:t>
      </w:r>
      <w:r>
        <w:rPr>
          <w:rFonts w:hint="eastAsia" w:ascii="宋体" w:hAnsi="宋体" w:eastAsia="宋体" w:cs="宋体"/>
          <w:sz w:val="24"/>
          <w:szCs w:val="24"/>
          <w:u w:val="single"/>
        </w:rPr>
        <w:t>（投标人名称）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的法定代表人，现授权委托</w:t>
      </w:r>
      <w:r>
        <w:rPr>
          <w:rFonts w:hint="eastAsia" w:ascii="宋体" w:hAnsi="宋体" w:eastAsia="宋体" w:cs="宋体"/>
          <w:sz w:val="24"/>
          <w:szCs w:val="24"/>
          <w:u w:val="single"/>
        </w:rPr>
        <w:t>（投标人名称）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w:t>
      </w:r>
      <w:r>
        <w:rPr>
          <w:rFonts w:hint="eastAsia" w:ascii="宋体" w:hAnsi="宋体" w:eastAsia="宋体" w:cs="宋体"/>
          <w:kern w:val="0"/>
          <w:sz w:val="24"/>
          <w:szCs w:val="24"/>
          <w:u w:val="single"/>
        </w:rPr>
        <w:t xml:space="preserve"> （授权委托代理人姓名）        </w:t>
      </w:r>
      <w:r>
        <w:rPr>
          <w:rFonts w:hint="eastAsia" w:ascii="宋体" w:hAnsi="宋体" w:eastAsia="宋体" w:cs="宋体"/>
          <w:kern w:val="0"/>
          <w:sz w:val="24"/>
          <w:szCs w:val="24"/>
        </w:rPr>
        <w:t>为我公司参加贵方组织的</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XX项目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046E11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20XX  年X 月 X 日至 20XX  年 X 月 X 日</w:t>
      </w:r>
    </w:p>
    <w:p w14:paraId="522BCC13">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代理人无转委托权，特此委托。</w:t>
      </w:r>
    </w:p>
    <w:p w14:paraId="72BFBE2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代理人姓名：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 </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14:paraId="194ABA1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身份证号码：</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职务： </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32F785F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投标人名称：（盖单位公章）</w:t>
      </w:r>
    </w:p>
    <w:p w14:paraId="054A443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法定代表人：（签字）</w:t>
      </w:r>
    </w:p>
    <w:p w14:paraId="077D1A95">
      <w:pPr>
        <w:spacing w:line="360" w:lineRule="auto"/>
        <w:ind w:firstLine="480" w:firstLineChars="200"/>
        <w:rPr>
          <w:rFonts w:hint="eastAsia" w:ascii="宋体" w:hAnsi="宋体" w:eastAsia="宋体" w:cs="宋体"/>
          <w:kern w:val="0"/>
          <w:sz w:val="24"/>
          <w:szCs w:val="24"/>
        </w:rPr>
      </w:pPr>
    </w:p>
    <w:p w14:paraId="579BDDEA">
      <w:pPr>
        <w:adjustRightInd w:val="0"/>
        <w:spacing w:line="480" w:lineRule="exact"/>
        <w:jc w:val="left"/>
        <w:textAlignment w:val="baseline"/>
        <w:rPr>
          <w:rFonts w:hint="eastAsia" w:ascii="宋体" w:hAnsi="宋体" w:eastAsia="宋体" w:cs="宋体"/>
          <w:b/>
          <w:kern w:val="0"/>
          <w:sz w:val="24"/>
          <w:szCs w:val="24"/>
        </w:rPr>
      </w:pPr>
      <w:r>
        <w:rPr>
          <w:rFonts w:hint="eastAsia" w:ascii="宋体" w:hAnsi="宋体" w:eastAsia="宋体" w:cs="宋体"/>
          <w:b/>
          <w:kern w:val="0"/>
          <w:sz w:val="24"/>
          <w:szCs w:val="24"/>
        </w:rPr>
        <w:t>附被授权人有效的身份证正反两面复印件</w:t>
      </w:r>
    </w:p>
    <w:p w14:paraId="0EE6414C">
      <w:pPr>
        <w:spacing w:line="360" w:lineRule="auto"/>
        <w:rPr>
          <w:rFonts w:hint="eastAsia" w:ascii="宋体" w:hAnsi="宋体" w:eastAsia="宋体" w:cs="宋体"/>
          <w:kern w:val="0"/>
          <w:szCs w:val="21"/>
        </w:rPr>
      </w:pPr>
    </w:p>
    <w:p w14:paraId="0A1C7EAB">
      <w:pPr>
        <w:spacing w:line="360" w:lineRule="auto"/>
        <w:rPr>
          <w:rFonts w:hint="eastAsia" w:ascii="宋体" w:hAnsi="宋体" w:eastAsia="宋体" w:cs="宋体"/>
          <w:kern w:val="0"/>
          <w:szCs w:val="21"/>
        </w:rPr>
      </w:pPr>
    </w:p>
    <w:p w14:paraId="61497358">
      <w:pPr>
        <w:rPr>
          <w:rFonts w:cs="宋体" w:asciiTheme="minorEastAsia" w:hAnsiTheme="minorEastAsia" w:eastAsiaTheme="minorEastAsia"/>
          <w:b/>
          <w:bCs/>
          <w:color w:val="FF0000"/>
          <w:sz w:val="24"/>
          <w:szCs w:val="24"/>
        </w:rPr>
      </w:pPr>
      <w:r>
        <w:rPr>
          <w:rFonts w:hint="eastAsia" w:cs="宋体" w:asciiTheme="minorEastAsia" w:hAnsiTheme="minorEastAsia" w:eastAsiaTheme="minorEastAsia"/>
          <w:b/>
          <w:bCs/>
          <w:color w:val="FF0000"/>
          <w:sz w:val="24"/>
          <w:szCs w:val="24"/>
        </w:rPr>
        <w:br w:type="page"/>
      </w:r>
    </w:p>
    <w:p w14:paraId="53D338D5">
      <w:pPr>
        <w:rPr>
          <w:rFonts w:cs="宋体" w:asciiTheme="minorEastAsia" w:hAnsiTheme="minorEastAsia" w:eastAsiaTheme="minorEastAsia"/>
          <w:b/>
          <w:bCs/>
          <w:color w:val="000000"/>
          <w:sz w:val="24"/>
          <w:szCs w:val="24"/>
        </w:rPr>
      </w:pPr>
    </w:p>
    <w:p w14:paraId="4DBA76A2">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5</w:t>
      </w:r>
    </w:p>
    <w:p w14:paraId="11AA76CD">
      <w:pPr>
        <w:pStyle w:val="14"/>
        <w:spacing w:line="360" w:lineRule="auto"/>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商务条款偏离表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1080"/>
        <w:gridCol w:w="2474"/>
      </w:tblGrid>
      <w:tr w14:paraId="177C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1EBB7E8A">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4140" w:type="dxa"/>
            <w:gridSpan w:val="2"/>
            <w:vAlign w:val="center"/>
          </w:tcPr>
          <w:p w14:paraId="1045146F">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招标文件条款</w:t>
            </w:r>
          </w:p>
        </w:tc>
        <w:tc>
          <w:tcPr>
            <w:tcW w:w="3554" w:type="dxa"/>
            <w:gridSpan w:val="2"/>
            <w:vAlign w:val="center"/>
          </w:tcPr>
          <w:p w14:paraId="12642EFF">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投标书条款</w:t>
            </w:r>
          </w:p>
        </w:tc>
      </w:tr>
      <w:tr w14:paraId="2711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4614F709">
            <w:pPr>
              <w:rPr>
                <w:rFonts w:asciiTheme="minorEastAsia" w:hAnsiTheme="minorEastAsia" w:eastAsiaTheme="minorEastAsia"/>
                <w:color w:val="000000"/>
                <w:sz w:val="24"/>
                <w:szCs w:val="24"/>
              </w:rPr>
            </w:pPr>
          </w:p>
        </w:tc>
        <w:tc>
          <w:tcPr>
            <w:tcW w:w="1080" w:type="dxa"/>
            <w:vAlign w:val="center"/>
          </w:tcPr>
          <w:p w14:paraId="6D3F8538">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条款号</w:t>
            </w:r>
          </w:p>
        </w:tc>
        <w:tc>
          <w:tcPr>
            <w:tcW w:w="3060" w:type="dxa"/>
            <w:vAlign w:val="center"/>
          </w:tcPr>
          <w:p w14:paraId="09B8C4A4">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条款内容</w:t>
            </w:r>
          </w:p>
        </w:tc>
        <w:tc>
          <w:tcPr>
            <w:tcW w:w="1080" w:type="dxa"/>
            <w:vAlign w:val="center"/>
          </w:tcPr>
          <w:p w14:paraId="393F07AE">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条款号</w:t>
            </w:r>
          </w:p>
        </w:tc>
        <w:tc>
          <w:tcPr>
            <w:tcW w:w="2474" w:type="dxa"/>
            <w:vAlign w:val="center"/>
          </w:tcPr>
          <w:p w14:paraId="27F03D58">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条款内容</w:t>
            </w:r>
          </w:p>
        </w:tc>
      </w:tr>
      <w:tr w14:paraId="542C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4EF543A">
            <w:pPr>
              <w:jc w:val="center"/>
              <w:rPr>
                <w:rFonts w:asciiTheme="minorEastAsia" w:hAnsiTheme="minorEastAsia" w:eastAsiaTheme="minorEastAsia"/>
                <w:color w:val="000000"/>
                <w:sz w:val="24"/>
                <w:szCs w:val="24"/>
              </w:rPr>
            </w:pPr>
          </w:p>
        </w:tc>
        <w:tc>
          <w:tcPr>
            <w:tcW w:w="1080" w:type="dxa"/>
            <w:vAlign w:val="center"/>
          </w:tcPr>
          <w:p w14:paraId="1B0A5417">
            <w:pPr>
              <w:rPr>
                <w:rFonts w:asciiTheme="minorEastAsia" w:hAnsiTheme="minorEastAsia" w:eastAsiaTheme="minorEastAsia"/>
                <w:color w:val="000000"/>
                <w:sz w:val="24"/>
                <w:szCs w:val="24"/>
              </w:rPr>
            </w:pPr>
          </w:p>
        </w:tc>
        <w:tc>
          <w:tcPr>
            <w:tcW w:w="3060" w:type="dxa"/>
            <w:vAlign w:val="center"/>
          </w:tcPr>
          <w:p w14:paraId="584756FC">
            <w:pPr>
              <w:rPr>
                <w:rFonts w:asciiTheme="minorEastAsia" w:hAnsiTheme="minorEastAsia" w:eastAsiaTheme="minorEastAsia"/>
                <w:color w:val="000000"/>
                <w:sz w:val="24"/>
                <w:szCs w:val="24"/>
              </w:rPr>
            </w:pPr>
          </w:p>
        </w:tc>
        <w:tc>
          <w:tcPr>
            <w:tcW w:w="1080" w:type="dxa"/>
            <w:vAlign w:val="center"/>
          </w:tcPr>
          <w:p w14:paraId="17747FD7">
            <w:pPr>
              <w:rPr>
                <w:rFonts w:asciiTheme="minorEastAsia" w:hAnsiTheme="minorEastAsia" w:eastAsiaTheme="minorEastAsia"/>
                <w:color w:val="000000"/>
                <w:sz w:val="24"/>
                <w:szCs w:val="24"/>
              </w:rPr>
            </w:pPr>
          </w:p>
        </w:tc>
        <w:tc>
          <w:tcPr>
            <w:tcW w:w="2474" w:type="dxa"/>
            <w:vAlign w:val="center"/>
          </w:tcPr>
          <w:p w14:paraId="1E1F20E5">
            <w:pPr>
              <w:rPr>
                <w:rFonts w:asciiTheme="minorEastAsia" w:hAnsiTheme="minorEastAsia" w:eastAsiaTheme="minorEastAsia"/>
                <w:color w:val="000000"/>
                <w:sz w:val="24"/>
                <w:szCs w:val="24"/>
              </w:rPr>
            </w:pPr>
          </w:p>
        </w:tc>
      </w:tr>
      <w:tr w14:paraId="576A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AA51ED9">
            <w:pPr>
              <w:jc w:val="center"/>
              <w:rPr>
                <w:rFonts w:asciiTheme="minorEastAsia" w:hAnsiTheme="minorEastAsia" w:eastAsiaTheme="minorEastAsia"/>
                <w:color w:val="000000"/>
                <w:sz w:val="24"/>
                <w:szCs w:val="24"/>
              </w:rPr>
            </w:pPr>
          </w:p>
        </w:tc>
        <w:tc>
          <w:tcPr>
            <w:tcW w:w="1080" w:type="dxa"/>
            <w:vAlign w:val="center"/>
          </w:tcPr>
          <w:p w14:paraId="5FB88C48">
            <w:pPr>
              <w:rPr>
                <w:rFonts w:asciiTheme="minorEastAsia" w:hAnsiTheme="minorEastAsia" w:eastAsiaTheme="minorEastAsia"/>
                <w:color w:val="000000"/>
                <w:sz w:val="24"/>
                <w:szCs w:val="24"/>
              </w:rPr>
            </w:pPr>
          </w:p>
        </w:tc>
        <w:tc>
          <w:tcPr>
            <w:tcW w:w="3060" w:type="dxa"/>
            <w:vAlign w:val="center"/>
          </w:tcPr>
          <w:p w14:paraId="0DB2173E">
            <w:pPr>
              <w:rPr>
                <w:rFonts w:asciiTheme="minorEastAsia" w:hAnsiTheme="minorEastAsia" w:eastAsiaTheme="minorEastAsia"/>
                <w:color w:val="000000"/>
                <w:sz w:val="24"/>
                <w:szCs w:val="24"/>
              </w:rPr>
            </w:pPr>
          </w:p>
        </w:tc>
        <w:tc>
          <w:tcPr>
            <w:tcW w:w="1080" w:type="dxa"/>
            <w:vAlign w:val="center"/>
          </w:tcPr>
          <w:p w14:paraId="10FDB602">
            <w:pPr>
              <w:rPr>
                <w:rFonts w:asciiTheme="minorEastAsia" w:hAnsiTheme="minorEastAsia" w:eastAsiaTheme="minorEastAsia"/>
                <w:color w:val="000000"/>
                <w:sz w:val="24"/>
                <w:szCs w:val="24"/>
              </w:rPr>
            </w:pPr>
          </w:p>
        </w:tc>
        <w:tc>
          <w:tcPr>
            <w:tcW w:w="2474" w:type="dxa"/>
            <w:vAlign w:val="center"/>
          </w:tcPr>
          <w:p w14:paraId="057B5F64">
            <w:pPr>
              <w:rPr>
                <w:rFonts w:asciiTheme="minorEastAsia" w:hAnsiTheme="minorEastAsia" w:eastAsiaTheme="minorEastAsia"/>
                <w:color w:val="000000"/>
                <w:sz w:val="24"/>
                <w:szCs w:val="24"/>
              </w:rPr>
            </w:pPr>
          </w:p>
        </w:tc>
      </w:tr>
      <w:tr w14:paraId="16E3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A0E54F8">
            <w:pPr>
              <w:jc w:val="center"/>
              <w:rPr>
                <w:rFonts w:asciiTheme="minorEastAsia" w:hAnsiTheme="minorEastAsia" w:eastAsiaTheme="minorEastAsia"/>
                <w:color w:val="000000"/>
                <w:sz w:val="24"/>
                <w:szCs w:val="24"/>
              </w:rPr>
            </w:pPr>
          </w:p>
        </w:tc>
        <w:tc>
          <w:tcPr>
            <w:tcW w:w="1080" w:type="dxa"/>
            <w:vAlign w:val="center"/>
          </w:tcPr>
          <w:p w14:paraId="6CDED36F">
            <w:pPr>
              <w:rPr>
                <w:rFonts w:asciiTheme="minorEastAsia" w:hAnsiTheme="minorEastAsia" w:eastAsiaTheme="minorEastAsia"/>
                <w:color w:val="000000"/>
                <w:sz w:val="24"/>
                <w:szCs w:val="24"/>
              </w:rPr>
            </w:pPr>
          </w:p>
        </w:tc>
        <w:tc>
          <w:tcPr>
            <w:tcW w:w="3060" w:type="dxa"/>
            <w:vAlign w:val="center"/>
          </w:tcPr>
          <w:p w14:paraId="21B0FC29">
            <w:pPr>
              <w:rPr>
                <w:rFonts w:asciiTheme="minorEastAsia" w:hAnsiTheme="minorEastAsia" w:eastAsiaTheme="minorEastAsia"/>
                <w:color w:val="000000"/>
                <w:sz w:val="24"/>
                <w:szCs w:val="24"/>
              </w:rPr>
            </w:pPr>
          </w:p>
        </w:tc>
        <w:tc>
          <w:tcPr>
            <w:tcW w:w="1080" w:type="dxa"/>
            <w:vAlign w:val="center"/>
          </w:tcPr>
          <w:p w14:paraId="1FDA27A5">
            <w:pPr>
              <w:rPr>
                <w:rFonts w:asciiTheme="minorEastAsia" w:hAnsiTheme="minorEastAsia" w:eastAsiaTheme="minorEastAsia"/>
                <w:color w:val="000000"/>
                <w:sz w:val="24"/>
                <w:szCs w:val="24"/>
              </w:rPr>
            </w:pPr>
          </w:p>
        </w:tc>
        <w:tc>
          <w:tcPr>
            <w:tcW w:w="2474" w:type="dxa"/>
            <w:vAlign w:val="center"/>
          </w:tcPr>
          <w:p w14:paraId="2F3506AB">
            <w:pPr>
              <w:rPr>
                <w:rFonts w:asciiTheme="minorEastAsia" w:hAnsiTheme="minorEastAsia" w:eastAsiaTheme="minorEastAsia"/>
                <w:color w:val="000000"/>
                <w:sz w:val="24"/>
                <w:szCs w:val="24"/>
              </w:rPr>
            </w:pPr>
          </w:p>
        </w:tc>
      </w:tr>
      <w:tr w14:paraId="46B0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0EC673F">
            <w:pPr>
              <w:jc w:val="center"/>
              <w:rPr>
                <w:rFonts w:asciiTheme="minorEastAsia" w:hAnsiTheme="minorEastAsia" w:eastAsiaTheme="minorEastAsia"/>
                <w:color w:val="000000"/>
                <w:sz w:val="24"/>
                <w:szCs w:val="24"/>
              </w:rPr>
            </w:pPr>
          </w:p>
        </w:tc>
        <w:tc>
          <w:tcPr>
            <w:tcW w:w="1080" w:type="dxa"/>
            <w:vAlign w:val="center"/>
          </w:tcPr>
          <w:p w14:paraId="69EB8332">
            <w:pPr>
              <w:rPr>
                <w:rFonts w:asciiTheme="minorEastAsia" w:hAnsiTheme="minorEastAsia" w:eastAsiaTheme="minorEastAsia"/>
                <w:color w:val="000000"/>
                <w:sz w:val="24"/>
                <w:szCs w:val="24"/>
              </w:rPr>
            </w:pPr>
          </w:p>
        </w:tc>
        <w:tc>
          <w:tcPr>
            <w:tcW w:w="3060" w:type="dxa"/>
            <w:vAlign w:val="center"/>
          </w:tcPr>
          <w:p w14:paraId="678E62AD">
            <w:pPr>
              <w:rPr>
                <w:rFonts w:asciiTheme="minorEastAsia" w:hAnsiTheme="minorEastAsia" w:eastAsiaTheme="minorEastAsia"/>
                <w:color w:val="000000"/>
                <w:sz w:val="24"/>
                <w:szCs w:val="24"/>
              </w:rPr>
            </w:pPr>
          </w:p>
        </w:tc>
        <w:tc>
          <w:tcPr>
            <w:tcW w:w="1080" w:type="dxa"/>
            <w:vAlign w:val="center"/>
          </w:tcPr>
          <w:p w14:paraId="7AC76869">
            <w:pPr>
              <w:rPr>
                <w:rFonts w:asciiTheme="minorEastAsia" w:hAnsiTheme="minorEastAsia" w:eastAsiaTheme="minorEastAsia"/>
                <w:color w:val="000000"/>
                <w:sz w:val="24"/>
                <w:szCs w:val="24"/>
              </w:rPr>
            </w:pPr>
          </w:p>
        </w:tc>
        <w:tc>
          <w:tcPr>
            <w:tcW w:w="2474" w:type="dxa"/>
            <w:vAlign w:val="center"/>
          </w:tcPr>
          <w:p w14:paraId="6766D5A1">
            <w:pPr>
              <w:rPr>
                <w:rFonts w:asciiTheme="minorEastAsia" w:hAnsiTheme="minorEastAsia" w:eastAsiaTheme="minorEastAsia"/>
                <w:color w:val="000000"/>
                <w:sz w:val="24"/>
                <w:szCs w:val="24"/>
              </w:rPr>
            </w:pPr>
          </w:p>
        </w:tc>
      </w:tr>
      <w:tr w14:paraId="010E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6CE5B84">
            <w:pPr>
              <w:jc w:val="center"/>
              <w:rPr>
                <w:rFonts w:asciiTheme="minorEastAsia" w:hAnsiTheme="minorEastAsia" w:eastAsiaTheme="minorEastAsia"/>
                <w:color w:val="000000"/>
                <w:sz w:val="24"/>
                <w:szCs w:val="24"/>
              </w:rPr>
            </w:pPr>
          </w:p>
        </w:tc>
        <w:tc>
          <w:tcPr>
            <w:tcW w:w="1080" w:type="dxa"/>
            <w:vAlign w:val="center"/>
          </w:tcPr>
          <w:p w14:paraId="02076813">
            <w:pPr>
              <w:rPr>
                <w:rFonts w:asciiTheme="minorEastAsia" w:hAnsiTheme="minorEastAsia" w:eastAsiaTheme="minorEastAsia"/>
                <w:color w:val="000000"/>
                <w:sz w:val="24"/>
                <w:szCs w:val="24"/>
              </w:rPr>
            </w:pPr>
          </w:p>
        </w:tc>
        <w:tc>
          <w:tcPr>
            <w:tcW w:w="3060" w:type="dxa"/>
            <w:vAlign w:val="center"/>
          </w:tcPr>
          <w:p w14:paraId="1C77AED8">
            <w:pPr>
              <w:rPr>
                <w:rFonts w:asciiTheme="minorEastAsia" w:hAnsiTheme="minorEastAsia" w:eastAsiaTheme="minorEastAsia"/>
                <w:color w:val="000000"/>
                <w:sz w:val="24"/>
                <w:szCs w:val="24"/>
              </w:rPr>
            </w:pPr>
          </w:p>
        </w:tc>
        <w:tc>
          <w:tcPr>
            <w:tcW w:w="1080" w:type="dxa"/>
            <w:vAlign w:val="center"/>
          </w:tcPr>
          <w:p w14:paraId="6F003D5E">
            <w:pPr>
              <w:rPr>
                <w:rFonts w:asciiTheme="minorEastAsia" w:hAnsiTheme="minorEastAsia" w:eastAsiaTheme="minorEastAsia"/>
                <w:color w:val="000000"/>
                <w:sz w:val="24"/>
                <w:szCs w:val="24"/>
              </w:rPr>
            </w:pPr>
          </w:p>
        </w:tc>
        <w:tc>
          <w:tcPr>
            <w:tcW w:w="2474" w:type="dxa"/>
            <w:vAlign w:val="center"/>
          </w:tcPr>
          <w:p w14:paraId="1FE30418">
            <w:pPr>
              <w:rPr>
                <w:rFonts w:asciiTheme="minorEastAsia" w:hAnsiTheme="minorEastAsia" w:eastAsiaTheme="minorEastAsia"/>
                <w:color w:val="000000"/>
                <w:sz w:val="24"/>
                <w:szCs w:val="24"/>
              </w:rPr>
            </w:pPr>
          </w:p>
        </w:tc>
      </w:tr>
      <w:tr w14:paraId="4AA9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42395A1">
            <w:pPr>
              <w:jc w:val="center"/>
              <w:rPr>
                <w:rFonts w:asciiTheme="minorEastAsia" w:hAnsiTheme="minorEastAsia" w:eastAsiaTheme="minorEastAsia"/>
                <w:color w:val="000000"/>
                <w:sz w:val="24"/>
                <w:szCs w:val="24"/>
              </w:rPr>
            </w:pPr>
          </w:p>
        </w:tc>
        <w:tc>
          <w:tcPr>
            <w:tcW w:w="1080" w:type="dxa"/>
            <w:vAlign w:val="center"/>
          </w:tcPr>
          <w:p w14:paraId="3149D3F5">
            <w:pPr>
              <w:rPr>
                <w:rFonts w:asciiTheme="minorEastAsia" w:hAnsiTheme="minorEastAsia" w:eastAsiaTheme="minorEastAsia"/>
                <w:color w:val="000000"/>
                <w:sz w:val="24"/>
                <w:szCs w:val="24"/>
              </w:rPr>
            </w:pPr>
          </w:p>
        </w:tc>
        <w:tc>
          <w:tcPr>
            <w:tcW w:w="3060" w:type="dxa"/>
            <w:vAlign w:val="center"/>
          </w:tcPr>
          <w:p w14:paraId="0625C9A5">
            <w:pPr>
              <w:rPr>
                <w:rFonts w:asciiTheme="minorEastAsia" w:hAnsiTheme="minorEastAsia" w:eastAsiaTheme="minorEastAsia"/>
                <w:color w:val="000000"/>
                <w:sz w:val="24"/>
                <w:szCs w:val="24"/>
              </w:rPr>
            </w:pPr>
          </w:p>
        </w:tc>
        <w:tc>
          <w:tcPr>
            <w:tcW w:w="1080" w:type="dxa"/>
            <w:vAlign w:val="center"/>
          </w:tcPr>
          <w:p w14:paraId="773B8E07">
            <w:pPr>
              <w:rPr>
                <w:rFonts w:asciiTheme="minorEastAsia" w:hAnsiTheme="minorEastAsia" w:eastAsiaTheme="minorEastAsia"/>
                <w:color w:val="000000"/>
                <w:sz w:val="24"/>
                <w:szCs w:val="24"/>
              </w:rPr>
            </w:pPr>
          </w:p>
        </w:tc>
        <w:tc>
          <w:tcPr>
            <w:tcW w:w="2474" w:type="dxa"/>
            <w:vAlign w:val="center"/>
          </w:tcPr>
          <w:p w14:paraId="74926336">
            <w:pPr>
              <w:rPr>
                <w:rFonts w:asciiTheme="minorEastAsia" w:hAnsiTheme="minorEastAsia" w:eastAsiaTheme="minorEastAsia"/>
                <w:color w:val="000000"/>
                <w:sz w:val="24"/>
                <w:szCs w:val="24"/>
              </w:rPr>
            </w:pPr>
          </w:p>
        </w:tc>
      </w:tr>
      <w:tr w14:paraId="4A41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D3113D1">
            <w:pPr>
              <w:jc w:val="center"/>
              <w:rPr>
                <w:rFonts w:asciiTheme="minorEastAsia" w:hAnsiTheme="minorEastAsia" w:eastAsiaTheme="minorEastAsia"/>
                <w:color w:val="000000"/>
                <w:sz w:val="24"/>
                <w:szCs w:val="24"/>
              </w:rPr>
            </w:pPr>
          </w:p>
        </w:tc>
        <w:tc>
          <w:tcPr>
            <w:tcW w:w="1080" w:type="dxa"/>
            <w:vAlign w:val="center"/>
          </w:tcPr>
          <w:p w14:paraId="3CBF1522">
            <w:pPr>
              <w:rPr>
                <w:rFonts w:asciiTheme="minorEastAsia" w:hAnsiTheme="minorEastAsia" w:eastAsiaTheme="minorEastAsia"/>
                <w:color w:val="000000"/>
                <w:sz w:val="24"/>
                <w:szCs w:val="24"/>
              </w:rPr>
            </w:pPr>
          </w:p>
        </w:tc>
        <w:tc>
          <w:tcPr>
            <w:tcW w:w="3060" w:type="dxa"/>
            <w:vAlign w:val="center"/>
          </w:tcPr>
          <w:p w14:paraId="602CD23C">
            <w:pPr>
              <w:rPr>
                <w:rFonts w:asciiTheme="minorEastAsia" w:hAnsiTheme="minorEastAsia" w:eastAsiaTheme="minorEastAsia"/>
                <w:color w:val="000000"/>
                <w:sz w:val="24"/>
                <w:szCs w:val="24"/>
              </w:rPr>
            </w:pPr>
          </w:p>
        </w:tc>
        <w:tc>
          <w:tcPr>
            <w:tcW w:w="1080" w:type="dxa"/>
            <w:vAlign w:val="center"/>
          </w:tcPr>
          <w:p w14:paraId="78ACEB45">
            <w:pPr>
              <w:rPr>
                <w:rFonts w:asciiTheme="minorEastAsia" w:hAnsiTheme="minorEastAsia" w:eastAsiaTheme="minorEastAsia"/>
                <w:color w:val="000000"/>
                <w:sz w:val="24"/>
                <w:szCs w:val="24"/>
              </w:rPr>
            </w:pPr>
          </w:p>
        </w:tc>
        <w:tc>
          <w:tcPr>
            <w:tcW w:w="2474" w:type="dxa"/>
            <w:vAlign w:val="center"/>
          </w:tcPr>
          <w:p w14:paraId="714951A0">
            <w:pPr>
              <w:rPr>
                <w:rFonts w:asciiTheme="minorEastAsia" w:hAnsiTheme="minorEastAsia" w:eastAsiaTheme="minorEastAsia"/>
                <w:color w:val="000000"/>
                <w:sz w:val="24"/>
                <w:szCs w:val="24"/>
              </w:rPr>
            </w:pPr>
          </w:p>
        </w:tc>
      </w:tr>
      <w:tr w14:paraId="7364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87FE5A0">
            <w:pPr>
              <w:jc w:val="center"/>
              <w:rPr>
                <w:rFonts w:asciiTheme="minorEastAsia" w:hAnsiTheme="minorEastAsia" w:eastAsiaTheme="minorEastAsia"/>
                <w:color w:val="000000"/>
                <w:sz w:val="24"/>
                <w:szCs w:val="24"/>
              </w:rPr>
            </w:pPr>
          </w:p>
        </w:tc>
        <w:tc>
          <w:tcPr>
            <w:tcW w:w="1080" w:type="dxa"/>
            <w:vAlign w:val="center"/>
          </w:tcPr>
          <w:p w14:paraId="461F8EB0">
            <w:pPr>
              <w:rPr>
                <w:rFonts w:asciiTheme="minorEastAsia" w:hAnsiTheme="minorEastAsia" w:eastAsiaTheme="minorEastAsia"/>
                <w:color w:val="000000"/>
                <w:sz w:val="24"/>
                <w:szCs w:val="24"/>
              </w:rPr>
            </w:pPr>
          </w:p>
        </w:tc>
        <w:tc>
          <w:tcPr>
            <w:tcW w:w="3060" w:type="dxa"/>
            <w:vAlign w:val="center"/>
          </w:tcPr>
          <w:p w14:paraId="1C94CA6C">
            <w:pPr>
              <w:rPr>
                <w:rFonts w:asciiTheme="minorEastAsia" w:hAnsiTheme="minorEastAsia" w:eastAsiaTheme="minorEastAsia"/>
                <w:color w:val="000000"/>
                <w:sz w:val="24"/>
                <w:szCs w:val="24"/>
              </w:rPr>
            </w:pPr>
          </w:p>
        </w:tc>
        <w:tc>
          <w:tcPr>
            <w:tcW w:w="1080" w:type="dxa"/>
            <w:vAlign w:val="center"/>
          </w:tcPr>
          <w:p w14:paraId="1E7183F8">
            <w:pPr>
              <w:rPr>
                <w:rFonts w:asciiTheme="minorEastAsia" w:hAnsiTheme="minorEastAsia" w:eastAsiaTheme="minorEastAsia"/>
                <w:color w:val="000000"/>
                <w:sz w:val="24"/>
                <w:szCs w:val="24"/>
              </w:rPr>
            </w:pPr>
          </w:p>
        </w:tc>
        <w:tc>
          <w:tcPr>
            <w:tcW w:w="2474" w:type="dxa"/>
            <w:vAlign w:val="center"/>
          </w:tcPr>
          <w:p w14:paraId="39C543A9">
            <w:pPr>
              <w:rPr>
                <w:rFonts w:asciiTheme="minorEastAsia" w:hAnsiTheme="minorEastAsia" w:eastAsiaTheme="minorEastAsia"/>
                <w:color w:val="000000"/>
                <w:sz w:val="24"/>
                <w:szCs w:val="24"/>
              </w:rPr>
            </w:pPr>
          </w:p>
        </w:tc>
      </w:tr>
      <w:tr w14:paraId="3218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5F8E683">
            <w:pPr>
              <w:jc w:val="center"/>
              <w:rPr>
                <w:rFonts w:asciiTheme="minorEastAsia" w:hAnsiTheme="minorEastAsia" w:eastAsiaTheme="minorEastAsia"/>
                <w:color w:val="000000"/>
                <w:sz w:val="24"/>
                <w:szCs w:val="24"/>
              </w:rPr>
            </w:pPr>
          </w:p>
        </w:tc>
        <w:tc>
          <w:tcPr>
            <w:tcW w:w="1080" w:type="dxa"/>
            <w:vAlign w:val="center"/>
          </w:tcPr>
          <w:p w14:paraId="481390DD">
            <w:pPr>
              <w:rPr>
                <w:rFonts w:asciiTheme="minorEastAsia" w:hAnsiTheme="minorEastAsia" w:eastAsiaTheme="minorEastAsia"/>
                <w:color w:val="000000"/>
                <w:sz w:val="24"/>
                <w:szCs w:val="24"/>
              </w:rPr>
            </w:pPr>
          </w:p>
        </w:tc>
        <w:tc>
          <w:tcPr>
            <w:tcW w:w="3060" w:type="dxa"/>
            <w:vAlign w:val="center"/>
          </w:tcPr>
          <w:p w14:paraId="4B01A491">
            <w:pPr>
              <w:rPr>
                <w:rFonts w:asciiTheme="minorEastAsia" w:hAnsiTheme="minorEastAsia" w:eastAsiaTheme="minorEastAsia"/>
                <w:color w:val="000000"/>
                <w:sz w:val="24"/>
                <w:szCs w:val="24"/>
              </w:rPr>
            </w:pPr>
          </w:p>
        </w:tc>
        <w:tc>
          <w:tcPr>
            <w:tcW w:w="1080" w:type="dxa"/>
            <w:vAlign w:val="center"/>
          </w:tcPr>
          <w:p w14:paraId="2E60B628">
            <w:pPr>
              <w:rPr>
                <w:rFonts w:asciiTheme="minorEastAsia" w:hAnsiTheme="minorEastAsia" w:eastAsiaTheme="minorEastAsia"/>
                <w:color w:val="000000"/>
                <w:sz w:val="24"/>
                <w:szCs w:val="24"/>
              </w:rPr>
            </w:pPr>
          </w:p>
        </w:tc>
        <w:tc>
          <w:tcPr>
            <w:tcW w:w="2474" w:type="dxa"/>
            <w:vAlign w:val="center"/>
          </w:tcPr>
          <w:p w14:paraId="2939806D">
            <w:pPr>
              <w:rPr>
                <w:rFonts w:asciiTheme="minorEastAsia" w:hAnsiTheme="minorEastAsia" w:eastAsiaTheme="minorEastAsia"/>
                <w:color w:val="000000"/>
                <w:sz w:val="24"/>
                <w:szCs w:val="24"/>
              </w:rPr>
            </w:pPr>
          </w:p>
        </w:tc>
      </w:tr>
      <w:tr w14:paraId="3088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424E224">
            <w:pPr>
              <w:jc w:val="center"/>
              <w:rPr>
                <w:rFonts w:asciiTheme="minorEastAsia" w:hAnsiTheme="minorEastAsia" w:eastAsiaTheme="minorEastAsia"/>
                <w:color w:val="000000"/>
                <w:sz w:val="24"/>
                <w:szCs w:val="24"/>
              </w:rPr>
            </w:pPr>
          </w:p>
        </w:tc>
        <w:tc>
          <w:tcPr>
            <w:tcW w:w="1080" w:type="dxa"/>
            <w:vAlign w:val="center"/>
          </w:tcPr>
          <w:p w14:paraId="7F6CABBA">
            <w:pPr>
              <w:rPr>
                <w:rFonts w:asciiTheme="minorEastAsia" w:hAnsiTheme="minorEastAsia" w:eastAsiaTheme="minorEastAsia"/>
                <w:color w:val="000000"/>
                <w:sz w:val="24"/>
                <w:szCs w:val="24"/>
              </w:rPr>
            </w:pPr>
          </w:p>
        </w:tc>
        <w:tc>
          <w:tcPr>
            <w:tcW w:w="3060" w:type="dxa"/>
            <w:vAlign w:val="center"/>
          </w:tcPr>
          <w:p w14:paraId="051E6873">
            <w:pPr>
              <w:rPr>
                <w:rFonts w:asciiTheme="minorEastAsia" w:hAnsiTheme="minorEastAsia" w:eastAsiaTheme="minorEastAsia"/>
                <w:color w:val="000000"/>
                <w:sz w:val="24"/>
                <w:szCs w:val="24"/>
              </w:rPr>
            </w:pPr>
          </w:p>
        </w:tc>
        <w:tc>
          <w:tcPr>
            <w:tcW w:w="1080" w:type="dxa"/>
            <w:vAlign w:val="center"/>
          </w:tcPr>
          <w:p w14:paraId="2358B427">
            <w:pPr>
              <w:rPr>
                <w:rFonts w:asciiTheme="minorEastAsia" w:hAnsiTheme="minorEastAsia" w:eastAsiaTheme="minorEastAsia"/>
                <w:color w:val="000000"/>
                <w:sz w:val="24"/>
                <w:szCs w:val="24"/>
              </w:rPr>
            </w:pPr>
          </w:p>
        </w:tc>
        <w:tc>
          <w:tcPr>
            <w:tcW w:w="2474" w:type="dxa"/>
            <w:vAlign w:val="center"/>
          </w:tcPr>
          <w:p w14:paraId="0FC29EB5">
            <w:pPr>
              <w:rPr>
                <w:rFonts w:asciiTheme="minorEastAsia" w:hAnsiTheme="minorEastAsia" w:eastAsiaTheme="minorEastAsia"/>
                <w:color w:val="000000"/>
                <w:sz w:val="24"/>
                <w:szCs w:val="24"/>
              </w:rPr>
            </w:pPr>
          </w:p>
        </w:tc>
      </w:tr>
      <w:tr w14:paraId="1E37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6C3C1E7">
            <w:pPr>
              <w:jc w:val="center"/>
              <w:rPr>
                <w:rFonts w:asciiTheme="minorEastAsia" w:hAnsiTheme="minorEastAsia" w:eastAsiaTheme="minorEastAsia"/>
                <w:color w:val="000000"/>
                <w:sz w:val="24"/>
                <w:szCs w:val="24"/>
              </w:rPr>
            </w:pPr>
          </w:p>
        </w:tc>
        <w:tc>
          <w:tcPr>
            <w:tcW w:w="1080" w:type="dxa"/>
            <w:vAlign w:val="center"/>
          </w:tcPr>
          <w:p w14:paraId="655520DF">
            <w:pPr>
              <w:rPr>
                <w:rFonts w:asciiTheme="minorEastAsia" w:hAnsiTheme="minorEastAsia" w:eastAsiaTheme="minorEastAsia"/>
                <w:color w:val="000000"/>
                <w:sz w:val="24"/>
                <w:szCs w:val="24"/>
              </w:rPr>
            </w:pPr>
          </w:p>
        </w:tc>
        <w:tc>
          <w:tcPr>
            <w:tcW w:w="3060" w:type="dxa"/>
            <w:vAlign w:val="center"/>
          </w:tcPr>
          <w:p w14:paraId="670E7CB0">
            <w:pPr>
              <w:rPr>
                <w:rFonts w:asciiTheme="minorEastAsia" w:hAnsiTheme="minorEastAsia" w:eastAsiaTheme="minorEastAsia"/>
                <w:color w:val="000000"/>
                <w:sz w:val="24"/>
                <w:szCs w:val="24"/>
              </w:rPr>
            </w:pPr>
          </w:p>
        </w:tc>
        <w:tc>
          <w:tcPr>
            <w:tcW w:w="1080" w:type="dxa"/>
            <w:vAlign w:val="center"/>
          </w:tcPr>
          <w:p w14:paraId="53005149">
            <w:pPr>
              <w:rPr>
                <w:rFonts w:asciiTheme="minorEastAsia" w:hAnsiTheme="minorEastAsia" w:eastAsiaTheme="minorEastAsia"/>
                <w:color w:val="000000"/>
                <w:sz w:val="24"/>
                <w:szCs w:val="24"/>
              </w:rPr>
            </w:pPr>
          </w:p>
        </w:tc>
        <w:tc>
          <w:tcPr>
            <w:tcW w:w="2474" w:type="dxa"/>
            <w:vAlign w:val="center"/>
          </w:tcPr>
          <w:p w14:paraId="24E51AEE">
            <w:pPr>
              <w:rPr>
                <w:rFonts w:asciiTheme="minorEastAsia" w:hAnsiTheme="minorEastAsia" w:eastAsiaTheme="minorEastAsia"/>
                <w:color w:val="000000"/>
                <w:sz w:val="24"/>
                <w:szCs w:val="24"/>
              </w:rPr>
            </w:pPr>
          </w:p>
        </w:tc>
      </w:tr>
      <w:tr w14:paraId="7600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F44B8CA">
            <w:pPr>
              <w:jc w:val="center"/>
              <w:rPr>
                <w:rFonts w:asciiTheme="minorEastAsia" w:hAnsiTheme="minorEastAsia" w:eastAsiaTheme="minorEastAsia"/>
                <w:color w:val="000000"/>
                <w:sz w:val="24"/>
                <w:szCs w:val="24"/>
              </w:rPr>
            </w:pPr>
          </w:p>
        </w:tc>
        <w:tc>
          <w:tcPr>
            <w:tcW w:w="1080" w:type="dxa"/>
            <w:vAlign w:val="center"/>
          </w:tcPr>
          <w:p w14:paraId="52E37F27">
            <w:pPr>
              <w:rPr>
                <w:rFonts w:asciiTheme="minorEastAsia" w:hAnsiTheme="minorEastAsia" w:eastAsiaTheme="minorEastAsia"/>
                <w:color w:val="000000"/>
                <w:sz w:val="24"/>
                <w:szCs w:val="24"/>
              </w:rPr>
            </w:pPr>
          </w:p>
        </w:tc>
        <w:tc>
          <w:tcPr>
            <w:tcW w:w="3060" w:type="dxa"/>
            <w:vAlign w:val="center"/>
          </w:tcPr>
          <w:p w14:paraId="15E77DB2">
            <w:pPr>
              <w:rPr>
                <w:rFonts w:asciiTheme="minorEastAsia" w:hAnsiTheme="minorEastAsia" w:eastAsiaTheme="minorEastAsia"/>
                <w:color w:val="000000"/>
                <w:sz w:val="24"/>
                <w:szCs w:val="24"/>
              </w:rPr>
            </w:pPr>
          </w:p>
        </w:tc>
        <w:tc>
          <w:tcPr>
            <w:tcW w:w="1080" w:type="dxa"/>
            <w:vAlign w:val="center"/>
          </w:tcPr>
          <w:p w14:paraId="7776DCBF">
            <w:pPr>
              <w:rPr>
                <w:rFonts w:asciiTheme="minorEastAsia" w:hAnsiTheme="minorEastAsia" w:eastAsiaTheme="minorEastAsia"/>
                <w:color w:val="000000"/>
                <w:sz w:val="24"/>
                <w:szCs w:val="24"/>
              </w:rPr>
            </w:pPr>
          </w:p>
        </w:tc>
        <w:tc>
          <w:tcPr>
            <w:tcW w:w="2474" w:type="dxa"/>
            <w:vAlign w:val="center"/>
          </w:tcPr>
          <w:p w14:paraId="78362239">
            <w:pPr>
              <w:rPr>
                <w:rFonts w:asciiTheme="minorEastAsia" w:hAnsiTheme="minorEastAsia" w:eastAsiaTheme="minorEastAsia"/>
                <w:color w:val="000000"/>
                <w:sz w:val="24"/>
                <w:szCs w:val="24"/>
              </w:rPr>
            </w:pPr>
          </w:p>
        </w:tc>
      </w:tr>
      <w:tr w14:paraId="351A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3375243">
            <w:pPr>
              <w:jc w:val="center"/>
              <w:rPr>
                <w:rFonts w:asciiTheme="minorEastAsia" w:hAnsiTheme="minorEastAsia" w:eastAsiaTheme="minorEastAsia"/>
                <w:color w:val="000000"/>
                <w:sz w:val="24"/>
                <w:szCs w:val="24"/>
              </w:rPr>
            </w:pPr>
          </w:p>
        </w:tc>
        <w:tc>
          <w:tcPr>
            <w:tcW w:w="1080" w:type="dxa"/>
            <w:vAlign w:val="center"/>
          </w:tcPr>
          <w:p w14:paraId="4C901E46">
            <w:pPr>
              <w:rPr>
                <w:rFonts w:asciiTheme="minorEastAsia" w:hAnsiTheme="minorEastAsia" w:eastAsiaTheme="minorEastAsia"/>
                <w:color w:val="000000"/>
                <w:sz w:val="24"/>
                <w:szCs w:val="24"/>
              </w:rPr>
            </w:pPr>
          </w:p>
        </w:tc>
        <w:tc>
          <w:tcPr>
            <w:tcW w:w="3060" w:type="dxa"/>
            <w:vAlign w:val="center"/>
          </w:tcPr>
          <w:p w14:paraId="61F5CF91">
            <w:pPr>
              <w:rPr>
                <w:rFonts w:asciiTheme="minorEastAsia" w:hAnsiTheme="minorEastAsia" w:eastAsiaTheme="minorEastAsia"/>
                <w:color w:val="000000"/>
                <w:sz w:val="24"/>
                <w:szCs w:val="24"/>
              </w:rPr>
            </w:pPr>
          </w:p>
        </w:tc>
        <w:tc>
          <w:tcPr>
            <w:tcW w:w="1080" w:type="dxa"/>
            <w:vAlign w:val="center"/>
          </w:tcPr>
          <w:p w14:paraId="72B266C5">
            <w:pPr>
              <w:rPr>
                <w:rFonts w:asciiTheme="minorEastAsia" w:hAnsiTheme="minorEastAsia" w:eastAsiaTheme="minorEastAsia"/>
                <w:color w:val="000000"/>
                <w:sz w:val="24"/>
                <w:szCs w:val="24"/>
              </w:rPr>
            </w:pPr>
          </w:p>
        </w:tc>
        <w:tc>
          <w:tcPr>
            <w:tcW w:w="2474" w:type="dxa"/>
            <w:vAlign w:val="center"/>
          </w:tcPr>
          <w:p w14:paraId="08D7281E">
            <w:pPr>
              <w:rPr>
                <w:rFonts w:asciiTheme="minorEastAsia" w:hAnsiTheme="minorEastAsia" w:eastAsiaTheme="minorEastAsia"/>
                <w:color w:val="000000"/>
                <w:sz w:val="24"/>
                <w:szCs w:val="24"/>
              </w:rPr>
            </w:pPr>
          </w:p>
        </w:tc>
      </w:tr>
    </w:tbl>
    <w:p w14:paraId="58069210">
      <w:pPr>
        <w:ind w:firstLine="240" w:firstLineChars="100"/>
        <w:rPr>
          <w:rFonts w:hint="eastAsia" w:asciiTheme="minorEastAsia" w:hAnsiTheme="minorEastAsia" w:eastAsiaTheme="minorEastAsia"/>
          <w:color w:val="000000"/>
          <w:sz w:val="24"/>
          <w:szCs w:val="24"/>
        </w:rPr>
      </w:pPr>
    </w:p>
    <w:p w14:paraId="6DD7C21B">
      <w:pPr>
        <w:ind w:firstLine="240" w:firstLineChars="1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投标人名称：                   授权代表签字：            日期：</w:t>
      </w:r>
    </w:p>
    <w:p w14:paraId="3BBD4ACC">
      <w:pPr>
        <w:ind w:firstLine="240" w:firstLineChars="100"/>
        <w:rPr>
          <w:rFonts w:hint="eastAsia" w:asciiTheme="minorEastAsia" w:hAnsiTheme="minorEastAsia" w:eastAsiaTheme="minorEastAsia"/>
          <w:color w:val="000000"/>
          <w:sz w:val="24"/>
          <w:szCs w:val="24"/>
        </w:rPr>
      </w:pPr>
    </w:p>
    <w:p w14:paraId="14C11CB7">
      <w:pPr>
        <w:ind w:left="235" w:leftChars="112"/>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hint="eastAsia" w:asciiTheme="minorEastAsia" w:hAnsiTheme="minorEastAsia" w:eastAsiaTheme="minorEastAsia"/>
          <w:color w:val="000000"/>
          <w:sz w:val="24"/>
          <w:szCs w:val="24"/>
        </w:rPr>
        <w:t>为避免歧义，无偏离也应要提报该表，并注明“无”字。如无该表则即使在其它部分已反映，将也被视为“无偏离”。</w:t>
      </w:r>
    </w:p>
    <w:p w14:paraId="0C3D90FC">
      <w:pPr>
        <w:rPr>
          <w:rFonts w:asciiTheme="minorEastAsia" w:hAnsiTheme="minorEastAsia" w:eastAsiaTheme="minorEastAsia"/>
          <w:b/>
          <w:bCs/>
          <w:color w:val="000000"/>
          <w:sz w:val="24"/>
          <w:szCs w:val="24"/>
        </w:rPr>
      </w:pPr>
    </w:p>
    <w:p w14:paraId="58D5B2FE">
      <w:pP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br w:type="page"/>
      </w:r>
    </w:p>
    <w:p w14:paraId="2A5B0578">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6</w:t>
      </w:r>
    </w:p>
    <w:p w14:paraId="35E206D5">
      <w:pPr>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技术规格、参数偏离表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91"/>
        <w:gridCol w:w="1110"/>
        <w:gridCol w:w="2613"/>
      </w:tblGrid>
      <w:tr w14:paraId="40E9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0D01431D">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3971" w:type="dxa"/>
            <w:gridSpan w:val="2"/>
            <w:vAlign w:val="center"/>
          </w:tcPr>
          <w:p w14:paraId="124790E0">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招标文件条款</w:t>
            </w:r>
          </w:p>
        </w:tc>
        <w:tc>
          <w:tcPr>
            <w:tcW w:w="3723" w:type="dxa"/>
            <w:gridSpan w:val="2"/>
            <w:vAlign w:val="center"/>
          </w:tcPr>
          <w:p w14:paraId="6827FDB9">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投标书条款</w:t>
            </w:r>
          </w:p>
        </w:tc>
      </w:tr>
      <w:tr w14:paraId="6675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57AE268B">
            <w:pPr>
              <w:rPr>
                <w:rFonts w:asciiTheme="minorEastAsia" w:hAnsiTheme="minorEastAsia" w:eastAsiaTheme="minorEastAsia"/>
                <w:color w:val="000000"/>
                <w:sz w:val="24"/>
                <w:szCs w:val="24"/>
              </w:rPr>
            </w:pPr>
          </w:p>
        </w:tc>
        <w:tc>
          <w:tcPr>
            <w:tcW w:w="1080" w:type="dxa"/>
            <w:vAlign w:val="center"/>
          </w:tcPr>
          <w:p w14:paraId="44979052">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设备</w:t>
            </w:r>
          </w:p>
          <w:p w14:paraId="1303EEDF">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型号</w:t>
            </w:r>
          </w:p>
        </w:tc>
        <w:tc>
          <w:tcPr>
            <w:tcW w:w="2891" w:type="dxa"/>
            <w:vAlign w:val="center"/>
          </w:tcPr>
          <w:p w14:paraId="7C142D26">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偏离</w:t>
            </w:r>
          </w:p>
        </w:tc>
        <w:tc>
          <w:tcPr>
            <w:tcW w:w="1110" w:type="dxa"/>
            <w:vAlign w:val="center"/>
          </w:tcPr>
          <w:p w14:paraId="04C17C20">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设备</w:t>
            </w:r>
          </w:p>
          <w:p w14:paraId="55DEA1F3">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型号</w:t>
            </w:r>
          </w:p>
        </w:tc>
        <w:tc>
          <w:tcPr>
            <w:tcW w:w="2613" w:type="dxa"/>
            <w:vAlign w:val="center"/>
          </w:tcPr>
          <w:p w14:paraId="4C135815">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偏离</w:t>
            </w:r>
          </w:p>
        </w:tc>
      </w:tr>
      <w:tr w14:paraId="5563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362156C">
            <w:pPr>
              <w:jc w:val="center"/>
              <w:rPr>
                <w:rFonts w:asciiTheme="minorEastAsia" w:hAnsiTheme="minorEastAsia" w:eastAsiaTheme="minorEastAsia"/>
                <w:color w:val="000000"/>
                <w:sz w:val="24"/>
                <w:szCs w:val="24"/>
              </w:rPr>
            </w:pPr>
          </w:p>
        </w:tc>
        <w:tc>
          <w:tcPr>
            <w:tcW w:w="1080" w:type="dxa"/>
            <w:vAlign w:val="center"/>
          </w:tcPr>
          <w:p w14:paraId="678963B9">
            <w:pPr>
              <w:rPr>
                <w:rFonts w:asciiTheme="minorEastAsia" w:hAnsiTheme="minorEastAsia" w:eastAsiaTheme="minorEastAsia"/>
                <w:color w:val="000000"/>
                <w:sz w:val="24"/>
                <w:szCs w:val="24"/>
              </w:rPr>
            </w:pPr>
          </w:p>
        </w:tc>
        <w:tc>
          <w:tcPr>
            <w:tcW w:w="2891" w:type="dxa"/>
            <w:vAlign w:val="center"/>
          </w:tcPr>
          <w:p w14:paraId="5F268131">
            <w:pPr>
              <w:rPr>
                <w:rFonts w:asciiTheme="minorEastAsia" w:hAnsiTheme="minorEastAsia" w:eastAsiaTheme="minorEastAsia"/>
                <w:color w:val="000000"/>
                <w:sz w:val="24"/>
                <w:szCs w:val="24"/>
              </w:rPr>
            </w:pPr>
          </w:p>
        </w:tc>
        <w:tc>
          <w:tcPr>
            <w:tcW w:w="1110" w:type="dxa"/>
            <w:vAlign w:val="center"/>
          </w:tcPr>
          <w:p w14:paraId="46736CF5">
            <w:pPr>
              <w:rPr>
                <w:rFonts w:asciiTheme="minorEastAsia" w:hAnsiTheme="minorEastAsia" w:eastAsiaTheme="minorEastAsia"/>
                <w:color w:val="000000"/>
                <w:sz w:val="24"/>
                <w:szCs w:val="24"/>
              </w:rPr>
            </w:pPr>
          </w:p>
        </w:tc>
        <w:tc>
          <w:tcPr>
            <w:tcW w:w="2613" w:type="dxa"/>
            <w:vAlign w:val="center"/>
          </w:tcPr>
          <w:p w14:paraId="308AE8D4">
            <w:pPr>
              <w:rPr>
                <w:rFonts w:asciiTheme="minorEastAsia" w:hAnsiTheme="minorEastAsia" w:eastAsiaTheme="minorEastAsia"/>
                <w:color w:val="000000"/>
                <w:sz w:val="24"/>
                <w:szCs w:val="24"/>
              </w:rPr>
            </w:pPr>
          </w:p>
        </w:tc>
      </w:tr>
      <w:tr w14:paraId="511A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472F18A">
            <w:pPr>
              <w:jc w:val="center"/>
              <w:rPr>
                <w:rFonts w:asciiTheme="minorEastAsia" w:hAnsiTheme="minorEastAsia" w:eastAsiaTheme="minorEastAsia"/>
                <w:color w:val="000000"/>
                <w:sz w:val="24"/>
                <w:szCs w:val="24"/>
              </w:rPr>
            </w:pPr>
          </w:p>
        </w:tc>
        <w:tc>
          <w:tcPr>
            <w:tcW w:w="1080" w:type="dxa"/>
            <w:vAlign w:val="center"/>
          </w:tcPr>
          <w:p w14:paraId="7D74E624">
            <w:pPr>
              <w:rPr>
                <w:rFonts w:asciiTheme="minorEastAsia" w:hAnsiTheme="minorEastAsia" w:eastAsiaTheme="minorEastAsia"/>
                <w:color w:val="000000"/>
                <w:sz w:val="24"/>
                <w:szCs w:val="24"/>
              </w:rPr>
            </w:pPr>
          </w:p>
        </w:tc>
        <w:tc>
          <w:tcPr>
            <w:tcW w:w="2891" w:type="dxa"/>
            <w:vAlign w:val="center"/>
          </w:tcPr>
          <w:p w14:paraId="023164E6">
            <w:pPr>
              <w:rPr>
                <w:rFonts w:asciiTheme="minorEastAsia" w:hAnsiTheme="minorEastAsia" w:eastAsiaTheme="minorEastAsia"/>
                <w:color w:val="000000"/>
                <w:sz w:val="24"/>
                <w:szCs w:val="24"/>
              </w:rPr>
            </w:pPr>
          </w:p>
        </w:tc>
        <w:tc>
          <w:tcPr>
            <w:tcW w:w="1110" w:type="dxa"/>
            <w:vAlign w:val="center"/>
          </w:tcPr>
          <w:p w14:paraId="1606AF12">
            <w:pPr>
              <w:rPr>
                <w:rFonts w:asciiTheme="minorEastAsia" w:hAnsiTheme="minorEastAsia" w:eastAsiaTheme="minorEastAsia"/>
                <w:color w:val="000000"/>
                <w:sz w:val="24"/>
                <w:szCs w:val="24"/>
              </w:rPr>
            </w:pPr>
          </w:p>
        </w:tc>
        <w:tc>
          <w:tcPr>
            <w:tcW w:w="2613" w:type="dxa"/>
            <w:vAlign w:val="center"/>
          </w:tcPr>
          <w:p w14:paraId="33361C91">
            <w:pPr>
              <w:rPr>
                <w:rFonts w:asciiTheme="minorEastAsia" w:hAnsiTheme="minorEastAsia" w:eastAsiaTheme="minorEastAsia"/>
                <w:color w:val="000000"/>
                <w:sz w:val="24"/>
                <w:szCs w:val="24"/>
              </w:rPr>
            </w:pPr>
          </w:p>
        </w:tc>
      </w:tr>
      <w:tr w14:paraId="149E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4E68AF6">
            <w:pPr>
              <w:jc w:val="center"/>
              <w:rPr>
                <w:rFonts w:asciiTheme="minorEastAsia" w:hAnsiTheme="minorEastAsia" w:eastAsiaTheme="minorEastAsia"/>
                <w:color w:val="000000"/>
                <w:sz w:val="24"/>
                <w:szCs w:val="24"/>
              </w:rPr>
            </w:pPr>
          </w:p>
        </w:tc>
        <w:tc>
          <w:tcPr>
            <w:tcW w:w="1080" w:type="dxa"/>
            <w:vAlign w:val="center"/>
          </w:tcPr>
          <w:p w14:paraId="2BFB64DA">
            <w:pPr>
              <w:rPr>
                <w:rFonts w:asciiTheme="minorEastAsia" w:hAnsiTheme="minorEastAsia" w:eastAsiaTheme="minorEastAsia"/>
                <w:color w:val="000000"/>
                <w:sz w:val="24"/>
                <w:szCs w:val="24"/>
              </w:rPr>
            </w:pPr>
          </w:p>
        </w:tc>
        <w:tc>
          <w:tcPr>
            <w:tcW w:w="2891" w:type="dxa"/>
            <w:vAlign w:val="center"/>
          </w:tcPr>
          <w:p w14:paraId="7D28A34C">
            <w:pPr>
              <w:rPr>
                <w:rFonts w:asciiTheme="minorEastAsia" w:hAnsiTheme="minorEastAsia" w:eastAsiaTheme="minorEastAsia"/>
                <w:color w:val="000000"/>
                <w:sz w:val="24"/>
                <w:szCs w:val="24"/>
              </w:rPr>
            </w:pPr>
          </w:p>
        </w:tc>
        <w:tc>
          <w:tcPr>
            <w:tcW w:w="1110" w:type="dxa"/>
            <w:vAlign w:val="center"/>
          </w:tcPr>
          <w:p w14:paraId="4F77AD4A">
            <w:pPr>
              <w:rPr>
                <w:rFonts w:asciiTheme="minorEastAsia" w:hAnsiTheme="minorEastAsia" w:eastAsiaTheme="minorEastAsia"/>
                <w:color w:val="000000"/>
                <w:sz w:val="24"/>
                <w:szCs w:val="24"/>
              </w:rPr>
            </w:pPr>
          </w:p>
        </w:tc>
        <w:tc>
          <w:tcPr>
            <w:tcW w:w="2613" w:type="dxa"/>
            <w:vAlign w:val="center"/>
          </w:tcPr>
          <w:p w14:paraId="63CEA46E">
            <w:pPr>
              <w:rPr>
                <w:rFonts w:asciiTheme="minorEastAsia" w:hAnsiTheme="minorEastAsia" w:eastAsiaTheme="minorEastAsia"/>
                <w:color w:val="000000"/>
                <w:sz w:val="24"/>
                <w:szCs w:val="24"/>
              </w:rPr>
            </w:pPr>
          </w:p>
        </w:tc>
      </w:tr>
      <w:tr w14:paraId="043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13FF705">
            <w:pPr>
              <w:jc w:val="center"/>
              <w:rPr>
                <w:rFonts w:asciiTheme="minorEastAsia" w:hAnsiTheme="minorEastAsia" w:eastAsiaTheme="minorEastAsia"/>
                <w:color w:val="000000"/>
                <w:sz w:val="24"/>
                <w:szCs w:val="24"/>
              </w:rPr>
            </w:pPr>
          </w:p>
        </w:tc>
        <w:tc>
          <w:tcPr>
            <w:tcW w:w="1080" w:type="dxa"/>
            <w:vAlign w:val="center"/>
          </w:tcPr>
          <w:p w14:paraId="454BFD6D">
            <w:pPr>
              <w:rPr>
                <w:rFonts w:asciiTheme="minorEastAsia" w:hAnsiTheme="minorEastAsia" w:eastAsiaTheme="minorEastAsia"/>
                <w:color w:val="000000"/>
                <w:sz w:val="24"/>
                <w:szCs w:val="24"/>
              </w:rPr>
            </w:pPr>
          </w:p>
        </w:tc>
        <w:tc>
          <w:tcPr>
            <w:tcW w:w="2891" w:type="dxa"/>
            <w:vAlign w:val="center"/>
          </w:tcPr>
          <w:p w14:paraId="48DE8ECB">
            <w:pPr>
              <w:rPr>
                <w:rFonts w:asciiTheme="minorEastAsia" w:hAnsiTheme="minorEastAsia" w:eastAsiaTheme="minorEastAsia"/>
                <w:color w:val="000000"/>
                <w:sz w:val="24"/>
                <w:szCs w:val="24"/>
              </w:rPr>
            </w:pPr>
          </w:p>
        </w:tc>
        <w:tc>
          <w:tcPr>
            <w:tcW w:w="1110" w:type="dxa"/>
            <w:vAlign w:val="center"/>
          </w:tcPr>
          <w:p w14:paraId="1EEEB7B1">
            <w:pPr>
              <w:rPr>
                <w:rFonts w:asciiTheme="minorEastAsia" w:hAnsiTheme="minorEastAsia" w:eastAsiaTheme="minorEastAsia"/>
                <w:color w:val="000000"/>
                <w:sz w:val="24"/>
                <w:szCs w:val="24"/>
              </w:rPr>
            </w:pPr>
          </w:p>
        </w:tc>
        <w:tc>
          <w:tcPr>
            <w:tcW w:w="2613" w:type="dxa"/>
            <w:vAlign w:val="center"/>
          </w:tcPr>
          <w:p w14:paraId="06631D67">
            <w:pPr>
              <w:rPr>
                <w:rFonts w:asciiTheme="minorEastAsia" w:hAnsiTheme="minorEastAsia" w:eastAsiaTheme="minorEastAsia"/>
                <w:color w:val="000000"/>
                <w:sz w:val="24"/>
                <w:szCs w:val="24"/>
              </w:rPr>
            </w:pPr>
          </w:p>
        </w:tc>
      </w:tr>
      <w:tr w14:paraId="4069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D7555A6">
            <w:pPr>
              <w:jc w:val="center"/>
              <w:rPr>
                <w:rFonts w:asciiTheme="minorEastAsia" w:hAnsiTheme="minorEastAsia" w:eastAsiaTheme="minorEastAsia"/>
                <w:color w:val="000000"/>
                <w:sz w:val="24"/>
                <w:szCs w:val="24"/>
              </w:rPr>
            </w:pPr>
          </w:p>
        </w:tc>
        <w:tc>
          <w:tcPr>
            <w:tcW w:w="1080" w:type="dxa"/>
            <w:vAlign w:val="center"/>
          </w:tcPr>
          <w:p w14:paraId="771A3ECA">
            <w:pPr>
              <w:rPr>
                <w:rFonts w:asciiTheme="minorEastAsia" w:hAnsiTheme="minorEastAsia" w:eastAsiaTheme="minorEastAsia"/>
                <w:color w:val="000000"/>
                <w:sz w:val="24"/>
                <w:szCs w:val="24"/>
              </w:rPr>
            </w:pPr>
          </w:p>
        </w:tc>
        <w:tc>
          <w:tcPr>
            <w:tcW w:w="2891" w:type="dxa"/>
            <w:vAlign w:val="center"/>
          </w:tcPr>
          <w:p w14:paraId="3666AF18">
            <w:pPr>
              <w:rPr>
                <w:rFonts w:asciiTheme="minorEastAsia" w:hAnsiTheme="minorEastAsia" w:eastAsiaTheme="minorEastAsia"/>
                <w:color w:val="000000"/>
                <w:sz w:val="24"/>
                <w:szCs w:val="24"/>
              </w:rPr>
            </w:pPr>
          </w:p>
        </w:tc>
        <w:tc>
          <w:tcPr>
            <w:tcW w:w="1110" w:type="dxa"/>
            <w:vAlign w:val="center"/>
          </w:tcPr>
          <w:p w14:paraId="56265EE1">
            <w:pPr>
              <w:rPr>
                <w:rFonts w:asciiTheme="minorEastAsia" w:hAnsiTheme="minorEastAsia" w:eastAsiaTheme="minorEastAsia"/>
                <w:color w:val="000000"/>
                <w:sz w:val="24"/>
                <w:szCs w:val="24"/>
              </w:rPr>
            </w:pPr>
          </w:p>
        </w:tc>
        <w:tc>
          <w:tcPr>
            <w:tcW w:w="2613" w:type="dxa"/>
            <w:vAlign w:val="center"/>
          </w:tcPr>
          <w:p w14:paraId="2480F792">
            <w:pPr>
              <w:rPr>
                <w:rFonts w:asciiTheme="minorEastAsia" w:hAnsiTheme="minorEastAsia" w:eastAsiaTheme="minorEastAsia"/>
                <w:color w:val="000000"/>
                <w:sz w:val="24"/>
                <w:szCs w:val="24"/>
              </w:rPr>
            </w:pPr>
          </w:p>
        </w:tc>
      </w:tr>
      <w:tr w14:paraId="5BD7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BFD4748">
            <w:pPr>
              <w:jc w:val="center"/>
              <w:rPr>
                <w:rFonts w:asciiTheme="minorEastAsia" w:hAnsiTheme="minorEastAsia" w:eastAsiaTheme="minorEastAsia"/>
                <w:color w:val="000000"/>
                <w:sz w:val="24"/>
                <w:szCs w:val="24"/>
              </w:rPr>
            </w:pPr>
          </w:p>
        </w:tc>
        <w:tc>
          <w:tcPr>
            <w:tcW w:w="1080" w:type="dxa"/>
            <w:vAlign w:val="center"/>
          </w:tcPr>
          <w:p w14:paraId="4D80C7BB">
            <w:pPr>
              <w:rPr>
                <w:rFonts w:asciiTheme="minorEastAsia" w:hAnsiTheme="minorEastAsia" w:eastAsiaTheme="minorEastAsia"/>
                <w:color w:val="000000"/>
                <w:sz w:val="24"/>
                <w:szCs w:val="24"/>
              </w:rPr>
            </w:pPr>
          </w:p>
        </w:tc>
        <w:tc>
          <w:tcPr>
            <w:tcW w:w="2891" w:type="dxa"/>
            <w:vAlign w:val="center"/>
          </w:tcPr>
          <w:p w14:paraId="27D47E5C">
            <w:pPr>
              <w:rPr>
                <w:rFonts w:asciiTheme="minorEastAsia" w:hAnsiTheme="minorEastAsia" w:eastAsiaTheme="minorEastAsia"/>
                <w:color w:val="000000"/>
                <w:sz w:val="24"/>
                <w:szCs w:val="24"/>
              </w:rPr>
            </w:pPr>
          </w:p>
        </w:tc>
        <w:tc>
          <w:tcPr>
            <w:tcW w:w="1110" w:type="dxa"/>
            <w:vAlign w:val="center"/>
          </w:tcPr>
          <w:p w14:paraId="5DD96FE6">
            <w:pPr>
              <w:rPr>
                <w:rFonts w:asciiTheme="minorEastAsia" w:hAnsiTheme="minorEastAsia" w:eastAsiaTheme="minorEastAsia"/>
                <w:color w:val="000000"/>
                <w:sz w:val="24"/>
                <w:szCs w:val="24"/>
              </w:rPr>
            </w:pPr>
          </w:p>
        </w:tc>
        <w:tc>
          <w:tcPr>
            <w:tcW w:w="2613" w:type="dxa"/>
            <w:vAlign w:val="center"/>
          </w:tcPr>
          <w:p w14:paraId="2AB4AB8D">
            <w:pPr>
              <w:rPr>
                <w:rFonts w:asciiTheme="minorEastAsia" w:hAnsiTheme="minorEastAsia" w:eastAsiaTheme="minorEastAsia"/>
                <w:color w:val="000000"/>
                <w:sz w:val="24"/>
                <w:szCs w:val="24"/>
              </w:rPr>
            </w:pPr>
          </w:p>
        </w:tc>
      </w:tr>
      <w:tr w14:paraId="2835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2BDB49B">
            <w:pPr>
              <w:jc w:val="center"/>
              <w:rPr>
                <w:rFonts w:asciiTheme="minorEastAsia" w:hAnsiTheme="minorEastAsia" w:eastAsiaTheme="minorEastAsia"/>
                <w:color w:val="000000"/>
                <w:sz w:val="24"/>
                <w:szCs w:val="24"/>
              </w:rPr>
            </w:pPr>
          </w:p>
        </w:tc>
        <w:tc>
          <w:tcPr>
            <w:tcW w:w="1080" w:type="dxa"/>
            <w:vAlign w:val="center"/>
          </w:tcPr>
          <w:p w14:paraId="751FF515">
            <w:pPr>
              <w:rPr>
                <w:rFonts w:asciiTheme="minorEastAsia" w:hAnsiTheme="minorEastAsia" w:eastAsiaTheme="minorEastAsia"/>
                <w:color w:val="000000"/>
                <w:sz w:val="24"/>
                <w:szCs w:val="24"/>
              </w:rPr>
            </w:pPr>
          </w:p>
        </w:tc>
        <w:tc>
          <w:tcPr>
            <w:tcW w:w="2891" w:type="dxa"/>
            <w:vAlign w:val="center"/>
          </w:tcPr>
          <w:p w14:paraId="7AD0B988">
            <w:pPr>
              <w:rPr>
                <w:rFonts w:asciiTheme="minorEastAsia" w:hAnsiTheme="minorEastAsia" w:eastAsiaTheme="minorEastAsia"/>
                <w:color w:val="000000"/>
                <w:sz w:val="24"/>
                <w:szCs w:val="24"/>
              </w:rPr>
            </w:pPr>
          </w:p>
        </w:tc>
        <w:tc>
          <w:tcPr>
            <w:tcW w:w="1110" w:type="dxa"/>
            <w:vAlign w:val="center"/>
          </w:tcPr>
          <w:p w14:paraId="664900E8">
            <w:pPr>
              <w:rPr>
                <w:rFonts w:asciiTheme="minorEastAsia" w:hAnsiTheme="minorEastAsia" w:eastAsiaTheme="minorEastAsia"/>
                <w:color w:val="000000"/>
                <w:sz w:val="24"/>
                <w:szCs w:val="24"/>
              </w:rPr>
            </w:pPr>
          </w:p>
        </w:tc>
        <w:tc>
          <w:tcPr>
            <w:tcW w:w="2613" w:type="dxa"/>
            <w:vAlign w:val="center"/>
          </w:tcPr>
          <w:p w14:paraId="7947C67D">
            <w:pPr>
              <w:rPr>
                <w:rFonts w:asciiTheme="minorEastAsia" w:hAnsiTheme="minorEastAsia" w:eastAsiaTheme="minorEastAsia"/>
                <w:color w:val="000000"/>
                <w:sz w:val="24"/>
                <w:szCs w:val="24"/>
              </w:rPr>
            </w:pPr>
          </w:p>
        </w:tc>
      </w:tr>
      <w:tr w14:paraId="22F0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913BE76">
            <w:pPr>
              <w:jc w:val="center"/>
              <w:rPr>
                <w:rFonts w:asciiTheme="minorEastAsia" w:hAnsiTheme="minorEastAsia" w:eastAsiaTheme="minorEastAsia"/>
                <w:color w:val="000000"/>
                <w:sz w:val="24"/>
                <w:szCs w:val="24"/>
              </w:rPr>
            </w:pPr>
          </w:p>
        </w:tc>
        <w:tc>
          <w:tcPr>
            <w:tcW w:w="1080" w:type="dxa"/>
            <w:vAlign w:val="center"/>
          </w:tcPr>
          <w:p w14:paraId="1D0EA996">
            <w:pPr>
              <w:rPr>
                <w:rFonts w:asciiTheme="minorEastAsia" w:hAnsiTheme="minorEastAsia" w:eastAsiaTheme="minorEastAsia"/>
                <w:color w:val="000000"/>
                <w:sz w:val="24"/>
                <w:szCs w:val="24"/>
              </w:rPr>
            </w:pPr>
          </w:p>
        </w:tc>
        <w:tc>
          <w:tcPr>
            <w:tcW w:w="2891" w:type="dxa"/>
            <w:vAlign w:val="center"/>
          </w:tcPr>
          <w:p w14:paraId="63EA4B37">
            <w:pPr>
              <w:rPr>
                <w:rFonts w:asciiTheme="minorEastAsia" w:hAnsiTheme="minorEastAsia" w:eastAsiaTheme="minorEastAsia"/>
                <w:color w:val="000000"/>
                <w:sz w:val="24"/>
                <w:szCs w:val="24"/>
              </w:rPr>
            </w:pPr>
          </w:p>
        </w:tc>
        <w:tc>
          <w:tcPr>
            <w:tcW w:w="1110" w:type="dxa"/>
            <w:vAlign w:val="center"/>
          </w:tcPr>
          <w:p w14:paraId="5FA1DEE1">
            <w:pPr>
              <w:rPr>
                <w:rFonts w:asciiTheme="minorEastAsia" w:hAnsiTheme="minorEastAsia" w:eastAsiaTheme="minorEastAsia"/>
                <w:color w:val="000000"/>
                <w:sz w:val="24"/>
                <w:szCs w:val="24"/>
              </w:rPr>
            </w:pPr>
          </w:p>
        </w:tc>
        <w:tc>
          <w:tcPr>
            <w:tcW w:w="2613" w:type="dxa"/>
            <w:vAlign w:val="center"/>
          </w:tcPr>
          <w:p w14:paraId="32486DEE">
            <w:pPr>
              <w:rPr>
                <w:rFonts w:asciiTheme="minorEastAsia" w:hAnsiTheme="minorEastAsia" w:eastAsiaTheme="minorEastAsia"/>
                <w:color w:val="000000"/>
                <w:sz w:val="24"/>
                <w:szCs w:val="24"/>
              </w:rPr>
            </w:pPr>
          </w:p>
        </w:tc>
      </w:tr>
      <w:tr w14:paraId="3FB8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0C4FC56">
            <w:pPr>
              <w:jc w:val="center"/>
              <w:rPr>
                <w:rFonts w:asciiTheme="minorEastAsia" w:hAnsiTheme="minorEastAsia" w:eastAsiaTheme="minorEastAsia"/>
                <w:color w:val="000000"/>
                <w:sz w:val="24"/>
                <w:szCs w:val="24"/>
              </w:rPr>
            </w:pPr>
          </w:p>
        </w:tc>
        <w:tc>
          <w:tcPr>
            <w:tcW w:w="1080" w:type="dxa"/>
            <w:vAlign w:val="center"/>
          </w:tcPr>
          <w:p w14:paraId="4B760E77">
            <w:pPr>
              <w:rPr>
                <w:rFonts w:asciiTheme="minorEastAsia" w:hAnsiTheme="minorEastAsia" w:eastAsiaTheme="minorEastAsia"/>
                <w:color w:val="000000"/>
                <w:sz w:val="24"/>
                <w:szCs w:val="24"/>
              </w:rPr>
            </w:pPr>
          </w:p>
        </w:tc>
        <w:tc>
          <w:tcPr>
            <w:tcW w:w="2891" w:type="dxa"/>
            <w:vAlign w:val="center"/>
          </w:tcPr>
          <w:p w14:paraId="4A315ED2">
            <w:pPr>
              <w:rPr>
                <w:rFonts w:asciiTheme="minorEastAsia" w:hAnsiTheme="minorEastAsia" w:eastAsiaTheme="minorEastAsia"/>
                <w:color w:val="000000"/>
                <w:sz w:val="24"/>
                <w:szCs w:val="24"/>
              </w:rPr>
            </w:pPr>
          </w:p>
        </w:tc>
        <w:tc>
          <w:tcPr>
            <w:tcW w:w="1110" w:type="dxa"/>
            <w:vAlign w:val="center"/>
          </w:tcPr>
          <w:p w14:paraId="5B694141">
            <w:pPr>
              <w:rPr>
                <w:rFonts w:asciiTheme="minorEastAsia" w:hAnsiTheme="minorEastAsia" w:eastAsiaTheme="minorEastAsia"/>
                <w:color w:val="000000"/>
                <w:sz w:val="24"/>
                <w:szCs w:val="24"/>
              </w:rPr>
            </w:pPr>
          </w:p>
        </w:tc>
        <w:tc>
          <w:tcPr>
            <w:tcW w:w="2613" w:type="dxa"/>
            <w:vAlign w:val="center"/>
          </w:tcPr>
          <w:p w14:paraId="4592B10F">
            <w:pPr>
              <w:rPr>
                <w:rFonts w:asciiTheme="minorEastAsia" w:hAnsiTheme="minorEastAsia" w:eastAsiaTheme="minorEastAsia"/>
                <w:color w:val="000000"/>
                <w:sz w:val="24"/>
                <w:szCs w:val="24"/>
              </w:rPr>
            </w:pPr>
          </w:p>
        </w:tc>
      </w:tr>
      <w:tr w14:paraId="2CE7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87CC0F">
            <w:pPr>
              <w:jc w:val="center"/>
              <w:rPr>
                <w:rFonts w:asciiTheme="minorEastAsia" w:hAnsiTheme="minorEastAsia" w:eastAsiaTheme="minorEastAsia"/>
                <w:color w:val="000000"/>
                <w:sz w:val="24"/>
                <w:szCs w:val="24"/>
              </w:rPr>
            </w:pPr>
          </w:p>
        </w:tc>
        <w:tc>
          <w:tcPr>
            <w:tcW w:w="1080" w:type="dxa"/>
            <w:vAlign w:val="center"/>
          </w:tcPr>
          <w:p w14:paraId="1A1AB1AE">
            <w:pPr>
              <w:rPr>
                <w:rFonts w:asciiTheme="minorEastAsia" w:hAnsiTheme="minorEastAsia" w:eastAsiaTheme="minorEastAsia"/>
                <w:color w:val="000000"/>
                <w:sz w:val="24"/>
                <w:szCs w:val="24"/>
              </w:rPr>
            </w:pPr>
          </w:p>
        </w:tc>
        <w:tc>
          <w:tcPr>
            <w:tcW w:w="2891" w:type="dxa"/>
            <w:vAlign w:val="center"/>
          </w:tcPr>
          <w:p w14:paraId="109FCE8C">
            <w:pPr>
              <w:rPr>
                <w:rFonts w:asciiTheme="minorEastAsia" w:hAnsiTheme="minorEastAsia" w:eastAsiaTheme="minorEastAsia"/>
                <w:color w:val="000000"/>
                <w:sz w:val="24"/>
                <w:szCs w:val="24"/>
              </w:rPr>
            </w:pPr>
          </w:p>
        </w:tc>
        <w:tc>
          <w:tcPr>
            <w:tcW w:w="1110" w:type="dxa"/>
            <w:vAlign w:val="center"/>
          </w:tcPr>
          <w:p w14:paraId="14445075">
            <w:pPr>
              <w:rPr>
                <w:rFonts w:asciiTheme="minorEastAsia" w:hAnsiTheme="minorEastAsia" w:eastAsiaTheme="minorEastAsia"/>
                <w:color w:val="000000"/>
                <w:sz w:val="24"/>
                <w:szCs w:val="24"/>
              </w:rPr>
            </w:pPr>
          </w:p>
        </w:tc>
        <w:tc>
          <w:tcPr>
            <w:tcW w:w="2613" w:type="dxa"/>
            <w:vAlign w:val="center"/>
          </w:tcPr>
          <w:p w14:paraId="524A608F">
            <w:pPr>
              <w:rPr>
                <w:rFonts w:asciiTheme="minorEastAsia" w:hAnsiTheme="minorEastAsia" w:eastAsiaTheme="minorEastAsia"/>
                <w:color w:val="000000"/>
                <w:sz w:val="24"/>
                <w:szCs w:val="24"/>
              </w:rPr>
            </w:pPr>
          </w:p>
        </w:tc>
      </w:tr>
      <w:tr w14:paraId="46AD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83C8AFF">
            <w:pPr>
              <w:jc w:val="center"/>
              <w:rPr>
                <w:rFonts w:asciiTheme="minorEastAsia" w:hAnsiTheme="minorEastAsia" w:eastAsiaTheme="minorEastAsia"/>
                <w:color w:val="000000"/>
                <w:sz w:val="24"/>
                <w:szCs w:val="24"/>
              </w:rPr>
            </w:pPr>
          </w:p>
        </w:tc>
        <w:tc>
          <w:tcPr>
            <w:tcW w:w="1080" w:type="dxa"/>
            <w:vAlign w:val="center"/>
          </w:tcPr>
          <w:p w14:paraId="231276CC">
            <w:pPr>
              <w:rPr>
                <w:rFonts w:asciiTheme="minorEastAsia" w:hAnsiTheme="minorEastAsia" w:eastAsiaTheme="minorEastAsia"/>
                <w:color w:val="000000"/>
                <w:sz w:val="24"/>
                <w:szCs w:val="24"/>
              </w:rPr>
            </w:pPr>
          </w:p>
        </w:tc>
        <w:tc>
          <w:tcPr>
            <w:tcW w:w="2891" w:type="dxa"/>
            <w:vAlign w:val="center"/>
          </w:tcPr>
          <w:p w14:paraId="7CCC0DF2">
            <w:pPr>
              <w:rPr>
                <w:rFonts w:asciiTheme="minorEastAsia" w:hAnsiTheme="minorEastAsia" w:eastAsiaTheme="minorEastAsia"/>
                <w:color w:val="000000"/>
                <w:sz w:val="24"/>
                <w:szCs w:val="24"/>
              </w:rPr>
            </w:pPr>
          </w:p>
        </w:tc>
        <w:tc>
          <w:tcPr>
            <w:tcW w:w="1110" w:type="dxa"/>
            <w:vAlign w:val="center"/>
          </w:tcPr>
          <w:p w14:paraId="7498AA13">
            <w:pPr>
              <w:rPr>
                <w:rFonts w:asciiTheme="minorEastAsia" w:hAnsiTheme="minorEastAsia" w:eastAsiaTheme="minorEastAsia"/>
                <w:color w:val="000000"/>
                <w:sz w:val="24"/>
                <w:szCs w:val="24"/>
              </w:rPr>
            </w:pPr>
          </w:p>
        </w:tc>
        <w:tc>
          <w:tcPr>
            <w:tcW w:w="2613" w:type="dxa"/>
            <w:vAlign w:val="center"/>
          </w:tcPr>
          <w:p w14:paraId="137462B4">
            <w:pPr>
              <w:rPr>
                <w:rFonts w:asciiTheme="minorEastAsia" w:hAnsiTheme="minorEastAsia" w:eastAsiaTheme="minorEastAsia"/>
                <w:color w:val="000000"/>
                <w:sz w:val="24"/>
                <w:szCs w:val="24"/>
              </w:rPr>
            </w:pPr>
          </w:p>
        </w:tc>
      </w:tr>
      <w:tr w14:paraId="47A4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219A209">
            <w:pPr>
              <w:jc w:val="center"/>
              <w:rPr>
                <w:rFonts w:asciiTheme="minorEastAsia" w:hAnsiTheme="minorEastAsia" w:eastAsiaTheme="minorEastAsia"/>
                <w:color w:val="000000"/>
                <w:sz w:val="24"/>
                <w:szCs w:val="24"/>
              </w:rPr>
            </w:pPr>
          </w:p>
        </w:tc>
        <w:tc>
          <w:tcPr>
            <w:tcW w:w="1080" w:type="dxa"/>
            <w:vAlign w:val="center"/>
          </w:tcPr>
          <w:p w14:paraId="667EFEAD">
            <w:pPr>
              <w:rPr>
                <w:rFonts w:asciiTheme="minorEastAsia" w:hAnsiTheme="minorEastAsia" w:eastAsiaTheme="minorEastAsia"/>
                <w:color w:val="000000"/>
                <w:sz w:val="24"/>
                <w:szCs w:val="24"/>
              </w:rPr>
            </w:pPr>
          </w:p>
        </w:tc>
        <w:tc>
          <w:tcPr>
            <w:tcW w:w="2891" w:type="dxa"/>
            <w:vAlign w:val="center"/>
          </w:tcPr>
          <w:p w14:paraId="72060C2E">
            <w:pPr>
              <w:rPr>
                <w:rFonts w:asciiTheme="minorEastAsia" w:hAnsiTheme="minorEastAsia" w:eastAsiaTheme="minorEastAsia"/>
                <w:color w:val="000000"/>
                <w:sz w:val="24"/>
                <w:szCs w:val="24"/>
              </w:rPr>
            </w:pPr>
          </w:p>
        </w:tc>
        <w:tc>
          <w:tcPr>
            <w:tcW w:w="1110" w:type="dxa"/>
            <w:vAlign w:val="center"/>
          </w:tcPr>
          <w:p w14:paraId="2729BE2C">
            <w:pPr>
              <w:rPr>
                <w:rFonts w:asciiTheme="minorEastAsia" w:hAnsiTheme="minorEastAsia" w:eastAsiaTheme="minorEastAsia"/>
                <w:color w:val="000000"/>
                <w:sz w:val="24"/>
                <w:szCs w:val="24"/>
              </w:rPr>
            </w:pPr>
          </w:p>
        </w:tc>
        <w:tc>
          <w:tcPr>
            <w:tcW w:w="2613" w:type="dxa"/>
            <w:vAlign w:val="center"/>
          </w:tcPr>
          <w:p w14:paraId="2FF78FE6">
            <w:pPr>
              <w:rPr>
                <w:rFonts w:asciiTheme="minorEastAsia" w:hAnsiTheme="minorEastAsia" w:eastAsiaTheme="minorEastAsia"/>
                <w:color w:val="000000"/>
                <w:sz w:val="24"/>
                <w:szCs w:val="24"/>
              </w:rPr>
            </w:pPr>
          </w:p>
        </w:tc>
      </w:tr>
      <w:tr w14:paraId="1CDB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BFEAC9F">
            <w:pPr>
              <w:jc w:val="center"/>
              <w:rPr>
                <w:rFonts w:asciiTheme="minorEastAsia" w:hAnsiTheme="minorEastAsia" w:eastAsiaTheme="minorEastAsia"/>
                <w:color w:val="000000"/>
                <w:sz w:val="24"/>
                <w:szCs w:val="24"/>
              </w:rPr>
            </w:pPr>
          </w:p>
        </w:tc>
        <w:tc>
          <w:tcPr>
            <w:tcW w:w="1080" w:type="dxa"/>
            <w:vAlign w:val="center"/>
          </w:tcPr>
          <w:p w14:paraId="3C1F219E">
            <w:pPr>
              <w:rPr>
                <w:rFonts w:asciiTheme="minorEastAsia" w:hAnsiTheme="minorEastAsia" w:eastAsiaTheme="minorEastAsia"/>
                <w:color w:val="000000"/>
                <w:sz w:val="24"/>
                <w:szCs w:val="24"/>
              </w:rPr>
            </w:pPr>
          </w:p>
        </w:tc>
        <w:tc>
          <w:tcPr>
            <w:tcW w:w="2891" w:type="dxa"/>
            <w:vAlign w:val="center"/>
          </w:tcPr>
          <w:p w14:paraId="2E173EC4">
            <w:pPr>
              <w:rPr>
                <w:rFonts w:asciiTheme="minorEastAsia" w:hAnsiTheme="minorEastAsia" w:eastAsiaTheme="minorEastAsia"/>
                <w:color w:val="000000"/>
                <w:sz w:val="24"/>
                <w:szCs w:val="24"/>
              </w:rPr>
            </w:pPr>
          </w:p>
        </w:tc>
        <w:tc>
          <w:tcPr>
            <w:tcW w:w="1110" w:type="dxa"/>
            <w:vAlign w:val="center"/>
          </w:tcPr>
          <w:p w14:paraId="33D99779">
            <w:pPr>
              <w:rPr>
                <w:rFonts w:asciiTheme="minorEastAsia" w:hAnsiTheme="minorEastAsia" w:eastAsiaTheme="minorEastAsia"/>
                <w:color w:val="000000"/>
                <w:sz w:val="24"/>
                <w:szCs w:val="24"/>
              </w:rPr>
            </w:pPr>
          </w:p>
        </w:tc>
        <w:tc>
          <w:tcPr>
            <w:tcW w:w="2613" w:type="dxa"/>
            <w:vAlign w:val="center"/>
          </w:tcPr>
          <w:p w14:paraId="4F1BBEB3">
            <w:pPr>
              <w:rPr>
                <w:rFonts w:asciiTheme="minorEastAsia" w:hAnsiTheme="minorEastAsia" w:eastAsiaTheme="minorEastAsia"/>
                <w:color w:val="000000"/>
                <w:sz w:val="24"/>
                <w:szCs w:val="24"/>
              </w:rPr>
            </w:pPr>
          </w:p>
        </w:tc>
      </w:tr>
    </w:tbl>
    <w:p w14:paraId="61197677">
      <w:pPr>
        <w:ind w:firstLine="240" w:firstLineChars="100"/>
        <w:rPr>
          <w:rFonts w:hint="eastAsia" w:asciiTheme="minorEastAsia" w:hAnsiTheme="minorEastAsia" w:eastAsiaTheme="minorEastAsia"/>
          <w:color w:val="000000"/>
          <w:sz w:val="24"/>
          <w:szCs w:val="24"/>
        </w:rPr>
      </w:pPr>
    </w:p>
    <w:p w14:paraId="1D52C4DA">
      <w:pPr>
        <w:ind w:firstLine="240" w:firstLineChars="1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投标人名称：                   授权代表签字：            日期：</w:t>
      </w:r>
    </w:p>
    <w:p w14:paraId="4846A13C">
      <w:pPr>
        <w:rPr>
          <w:rFonts w:asciiTheme="minorEastAsia" w:hAnsiTheme="minorEastAsia" w:eastAsiaTheme="minorEastAsia"/>
          <w:b/>
          <w:color w:val="000000"/>
          <w:sz w:val="24"/>
          <w:szCs w:val="24"/>
        </w:rPr>
      </w:pPr>
    </w:p>
    <w:p w14:paraId="1B0030EB">
      <w:pPr>
        <w:ind w:left="235" w:leftChars="112"/>
        <w:rPr>
          <w:rFonts w:cs="宋体" w:asciiTheme="minorEastAsia" w:hAnsiTheme="minorEastAsia" w:eastAsiaTheme="minorEastAsia"/>
          <w:b/>
          <w:bCs/>
          <w:color w:val="000000"/>
          <w:sz w:val="24"/>
          <w:szCs w:val="24"/>
        </w:rPr>
      </w:pPr>
      <w:r>
        <w:rPr>
          <w:rFonts w:hint="eastAsia" w:asciiTheme="minorEastAsia" w:hAnsiTheme="minorEastAsia" w:eastAsiaTheme="minorEastAsia"/>
          <w:b/>
          <w:color w:val="000000"/>
          <w:sz w:val="24"/>
          <w:szCs w:val="24"/>
        </w:rPr>
        <w:t>注：</w:t>
      </w:r>
      <w:r>
        <w:rPr>
          <w:rFonts w:hint="eastAsia" w:asciiTheme="minorEastAsia" w:hAnsiTheme="minorEastAsia" w:eastAsiaTheme="minorEastAsia"/>
          <w:color w:val="000000"/>
          <w:sz w:val="24"/>
          <w:szCs w:val="24"/>
        </w:rPr>
        <w:t>即使投标人在《技术性能、参数的详细描述》中进行了描述，也要提报该表，</w:t>
      </w:r>
      <w:r>
        <w:rPr>
          <w:rFonts w:hint="eastAsia" w:asciiTheme="minorEastAsia" w:hAnsiTheme="minorEastAsia" w:eastAsiaTheme="minorEastAsia"/>
          <w:b/>
          <w:color w:val="000000"/>
          <w:sz w:val="24"/>
          <w:szCs w:val="24"/>
        </w:rPr>
        <w:t>无该表则被视为“无偏离”。</w:t>
      </w:r>
      <w:r>
        <w:rPr>
          <w:rFonts w:hint="eastAsia" w:asciiTheme="minorEastAsia" w:hAnsiTheme="minorEastAsia" w:eastAsiaTheme="minorEastAsia"/>
          <w:color w:val="000000"/>
          <w:sz w:val="24"/>
          <w:szCs w:val="24"/>
        </w:rPr>
        <w:t>如无偏离注明“无”字。</w:t>
      </w:r>
    </w:p>
    <w:p w14:paraId="0EE76DDE">
      <w:pPr>
        <w:pStyle w:val="14"/>
        <w:spacing w:line="360" w:lineRule="auto"/>
        <w:jc w:val="center"/>
        <w:rPr>
          <w:rFonts w:cs="宋体" w:asciiTheme="minorEastAsia" w:hAnsiTheme="minorEastAsia" w:eastAsiaTheme="minorEastAsia"/>
          <w:b/>
          <w:bCs/>
          <w:color w:val="000000"/>
          <w:sz w:val="24"/>
          <w:szCs w:val="24"/>
        </w:rPr>
      </w:pPr>
    </w:p>
    <w:p w14:paraId="19AC3ED3">
      <w:pPr>
        <w:pStyle w:val="14"/>
        <w:spacing w:line="360" w:lineRule="auto"/>
        <w:jc w:val="center"/>
        <w:rPr>
          <w:rFonts w:cs="宋体" w:asciiTheme="minorEastAsia" w:hAnsiTheme="minorEastAsia" w:eastAsiaTheme="minorEastAsia"/>
          <w:b/>
          <w:bCs/>
          <w:color w:val="000000"/>
          <w:sz w:val="24"/>
          <w:szCs w:val="24"/>
        </w:rPr>
      </w:pPr>
    </w:p>
    <w:p w14:paraId="1CD2AA08">
      <w:pPr>
        <w:pStyle w:val="14"/>
        <w:spacing w:line="360" w:lineRule="auto"/>
        <w:jc w:val="center"/>
        <w:rPr>
          <w:rFonts w:cs="宋体" w:asciiTheme="minorEastAsia" w:hAnsiTheme="minorEastAsia" w:eastAsiaTheme="minorEastAsia"/>
          <w:b/>
          <w:bCs/>
          <w:color w:val="000000"/>
          <w:sz w:val="24"/>
          <w:szCs w:val="24"/>
        </w:rPr>
      </w:pPr>
    </w:p>
    <w:p w14:paraId="2C2D267C">
      <w:pPr>
        <w:pStyle w:val="14"/>
        <w:spacing w:line="360" w:lineRule="auto"/>
        <w:jc w:val="center"/>
        <w:rPr>
          <w:rFonts w:cs="宋体" w:asciiTheme="minorEastAsia" w:hAnsiTheme="minorEastAsia" w:eastAsiaTheme="minorEastAsia"/>
          <w:b/>
          <w:bCs/>
          <w:color w:val="000000"/>
          <w:sz w:val="24"/>
          <w:szCs w:val="24"/>
        </w:rPr>
      </w:pPr>
    </w:p>
    <w:p w14:paraId="3417C41B">
      <w:pPr>
        <w:rPr>
          <w:rFonts w:hint="eastAsia" w:asciiTheme="minorEastAsia" w:hAnsiTheme="minorEastAsia" w:eastAsiaTheme="minorEastAsia"/>
          <w:b/>
          <w:bCs/>
          <w:color w:val="000000"/>
          <w:sz w:val="24"/>
          <w:szCs w:val="24"/>
          <w:lang w:val="en-US" w:eastAsia="zh-CN"/>
        </w:rPr>
      </w:pPr>
      <w:r>
        <w:rPr>
          <w:rFonts w:hint="eastAsia" w:cs="宋体" w:asciiTheme="minorEastAsia" w:hAnsiTheme="minorEastAsia" w:eastAsiaTheme="minorEastAsia"/>
          <w:b/>
          <w:bCs/>
          <w:color w:val="000000"/>
          <w:sz w:val="24"/>
          <w:szCs w:val="24"/>
        </w:rPr>
        <w:t>附件格式</w:t>
      </w:r>
      <w:r>
        <w:rPr>
          <w:rFonts w:hint="eastAsia" w:asciiTheme="minorEastAsia" w:hAnsiTheme="minorEastAsia" w:eastAsiaTheme="minorEastAsia"/>
          <w:b/>
          <w:bCs/>
          <w:color w:val="000000"/>
          <w:sz w:val="24"/>
          <w:szCs w:val="24"/>
          <w:lang w:val="en-US" w:eastAsia="zh-CN"/>
        </w:rPr>
        <w:t>7</w:t>
      </w:r>
    </w:p>
    <w:p w14:paraId="3A594C74">
      <w:pPr>
        <w:adjustRightInd w:val="0"/>
        <w:snapToGrid w:val="0"/>
        <w:spacing w:line="360" w:lineRule="auto"/>
        <w:ind w:right="1124" w:firstLine="5903" w:firstLineChars="2100"/>
        <w:rPr>
          <w:rFonts w:ascii="宋体" w:hAnsi="宋体"/>
          <w:b/>
          <w:sz w:val="28"/>
          <w:szCs w:val="28"/>
        </w:rPr>
      </w:pPr>
      <w:r>
        <w:rPr>
          <w:rFonts w:hint="eastAsia" w:ascii="宋体" w:hAnsi="宋体"/>
          <w:b/>
          <w:sz w:val="28"/>
          <w:szCs w:val="28"/>
          <w:lang w:val="en-US" w:eastAsia="zh-CN"/>
        </w:rPr>
        <w:t>合同</w:t>
      </w:r>
      <w:r>
        <w:rPr>
          <w:rFonts w:ascii="宋体" w:hAnsi="宋体"/>
          <w:b/>
          <w:sz w:val="28"/>
          <w:szCs w:val="28"/>
        </w:rPr>
        <w:t>编号：</w:t>
      </w:r>
      <w:r>
        <w:rPr>
          <w:rFonts w:ascii="宋体" w:hAnsi="宋体"/>
          <w:b/>
          <w:sz w:val="28"/>
          <w:szCs w:val="28"/>
          <w:u w:val="thick"/>
        </w:rPr>
        <w:t xml:space="preserve">            </w:t>
      </w:r>
    </w:p>
    <w:p w14:paraId="79257FE4">
      <w:pPr>
        <w:adjustRightInd w:val="0"/>
        <w:snapToGrid w:val="0"/>
        <w:spacing w:line="360" w:lineRule="auto"/>
        <w:jc w:val="left"/>
        <w:rPr>
          <w:rFonts w:ascii="宋体" w:hAnsi="宋体"/>
          <w:sz w:val="20"/>
          <w:szCs w:val="20"/>
        </w:rPr>
      </w:pPr>
    </w:p>
    <w:p w14:paraId="56EE885C">
      <w:pPr>
        <w:adjustRightInd w:val="0"/>
        <w:snapToGrid w:val="0"/>
        <w:spacing w:line="360" w:lineRule="auto"/>
        <w:jc w:val="left"/>
        <w:rPr>
          <w:rFonts w:hint="eastAsia" w:ascii="宋体" w:hAnsi="宋体"/>
          <w:sz w:val="20"/>
          <w:szCs w:val="20"/>
        </w:rPr>
      </w:pPr>
    </w:p>
    <w:p w14:paraId="0A96E8EA">
      <w:pPr>
        <w:adjustRightInd w:val="0"/>
        <w:snapToGrid w:val="0"/>
        <w:spacing w:line="360" w:lineRule="auto"/>
        <w:jc w:val="left"/>
        <w:rPr>
          <w:rFonts w:hint="eastAsia" w:ascii="宋体" w:hAnsi="宋体"/>
          <w:sz w:val="20"/>
          <w:szCs w:val="20"/>
        </w:rPr>
      </w:pPr>
    </w:p>
    <w:p w14:paraId="3608AE60">
      <w:pPr>
        <w:adjustRightInd w:val="0"/>
        <w:snapToGrid w:val="0"/>
        <w:spacing w:line="360" w:lineRule="auto"/>
        <w:jc w:val="left"/>
        <w:rPr>
          <w:rFonts w:ascii="宋体" w:hAnsi="宋体"/>
          <w:sz w:val="20"/>
          <w:szCs w:val="20"/>
        </w:rPr>
      </w:pPr>
    </w:p>
    <w:p w14:paraId="3DEDCD02">
      <w:pPr>
        <w:adjustRightInd w:val="0"/>
        <w:snapToGrid w:val="0"/>
        <w:spacing w:line="360" w:lineRule="auto"/>
        <w:jc w:val="center"/>
        <w:rPr>
          <w:rFonts w:ascii="宋体" w:hAnsi="宋体"/>
          <w:b/>
          <w:bCs/>
          <w:sz w:val="52"/>
          <w:szCs w:val="36"/>
          <w:highlight w:val="none"/>
        </w:rPr>
      </w:pPr>
      <w:r>
        <w:rPr>
          <w:rFonts w:hint="eastAsia" w:ascii="宋体" w:hAnsi="宋体"/>
          <w:b/>
          <w:bCs/>
          <w:sz w:val="52"/>
          <w:szCs w:val="36"/>
          <w:highlight w:val="none"/>
        </w:rPr>
        <w:t>建设工程施工合同</w:t>
      </w:r>
    </w:p>
    <w:p w14:paraId="3E1715EC">
      <w:pPr>
        <w:adjustRightInd w:val="0"/>
        <w:snapToGrid w:val="0"/>
        <w:spacing w:line="360" w:lineRule="auto"/>
        <w:jc w:val="center"/>
        <w:rPr>
          <w:rFonts w:ascii="宋体" w:hAnsi="宋体"/>
          <w:b/>
          <w:sz w:val="52"/>
          <w:szCs w:val="36"/>
          <w:highlight w:val="none"/>
        </w:rPr>
      </w:pPr>
      <w:r>
        <w:rPr>
          <w:rFonts w:hint="eastAsia" w:ascii="宋体" w:hAnsi="宋体"/>
          <w:b/>
          <w:bCs/>
          <w:sz w:val="52"/>
          <w:szCs w:val="36"/>
          <w:highlight w:val="none"/>
        </w:rPr>
        <w:t>（简易模板）</w:t>
      </w:r>
    </w:p>
    <w:p w14:paraId="64EA0DDF">
      <w:pPr>
        <w:adjustRightInd w:val="0"/>
        <w:snapToGrid w:val="0"/>
        <w:spacing w:line="360" w:lineRule="auto"/>
        <w:ind w:firstLine="723"/>
        <w:jc w:val="left"/>
        <w:rPr>
          <w:rFonts w:ascii="宋体" w:hAnsi="宋体"/>
          <w:b/>
          <w:sz w:val="36"/>
          <w:szCs w:val="36"/>
          <w:highlight w:val="none"/>
        </w:rPr>
      </w:pPr>
    </w:p>
    <w:p w14:paraId="3006D77A">
      <w:pPr>
        <w:adjustRightInd w:val="0"/>
        <w:snapToGrid w:val="0"/>
        <w:spacing w:line="360" w:lineRule="auto"/>
        <w:ind w:firstLine="723"/>
        <w:jc w:val="left"/>
        <w:rPr>
          <w:rFonts w:ascii="宋体" w:hAnsi="宋体"/>
          <w:b/>
          <w:sz w:val="36"/>
          <w:szCs w:val="36"/>
          <w:highlight w:val="none"/>
        </w:rPr>
      </w:pPr>
    </w:p>
    <w:p w14:paraId="74482173">
      <w:pPr>
        <w:adjustRightInd w:val="0"/>
        <w:snapToGrid w:val="0"/>
        <w:spacing w:line="360" w:lineRule="auto"/>
        <w:ind w:firstLine="723"/>
        <w:jc w:val="left"/>
        <w:rPr>
          <w:rFonts w:ascii="宋体" w:hAnsi="宋体"/>
          <w:b/>
          <w:sz w:val="36"/>
          <w:szCs w:val="36"/>
          <w:highlight w:val="none"/>
        </w:rPr>
      </w:pPr>
    </w:p>
    <w:p w14:paraId="079C59C2">
      <w:pPr>
        <w:pStyle w:val="10"/>
        <w:ind w:firstLine="560"/>
        <w:rPr>
          <w:highlight w:val="none"/>
        </w:rPr>
      </w:pPr>
    </w:p>
    <w:p w14:paraId="2D266177">
      <w:pPr>
        <w:adjustRightInd w:val="0"/>
        <w:snapToGrid w:val="0"/>
        <w:spacing w:line="360" w:lineRule="auto"/>
        <w:ind w:firstLine="2327" w:firstLineChars="644"/>
        <w:jc w:val="left"/>
        <w:rPr>
          <w:rFonts w:ascii="宋体" w:hAnsi="宋体"/>
          <w:b/>
          <w:sz w:val="36"/>
          <w:szCs w:val="36"/>
          <w:highlight w:val="none"/>
        </w:rPr>
      </w:pPr>
    </w:p>
    <w:p w14:paraId="3C03CAD3">
      <w:pPr>
        <w:adjustRightInd w:val="0"/>
        <w:snapToGrid w:val="0"/>
        <w:spacing w:line="360" w:lineRule="auto"/>
        <w:ind w:firstLine="2530" w:firstLineChars="900"/>
        <w:jc w:val="left"/>
        <w:rPr>
          <w:rFonts w:ascii="宋体" w:hAnsi="宋体"/>
          <w:b/>
          <w:sz w:val="28"/>
          <w:szCs w:val="36"/>
          <w:highlight w:val="none"/>
          <w:u w:val="thick"/>
        </w:rPr>
      </w:pPr>
      <w:r>
        <w:rPr>
          <w:rFonts w:hint="eastAsia" w:ascii="宋体" w:hAnsi="宋体"/>
          <w:b/>
          <w:sz w:val="28"/>
          <w:szCs w:val="36"/>
          <w:highlight w:val="none"/>
        </w:rPr>
        <w:t>项目名称：</w:t>
      </w:r>
      <w:r>
        <w:rPr>
          <w:rFonts w:ascii="宋体" w:hAnsi="宋体"/>
          <w:b/>
          <w:sz w:val="28"/>
          <w:szCs w:val="36"/>
          <w:highlight w:val="none"/>
          <w:u w:val="thick"/>
        </w:rPr>
        <w:t xml:space="preserve">                           </w:t>
      </w:r>
    </w:p>
    <w:p w14:paraId="39FED819">
      <w:pPr>
        <w:pStyle w:val="10"/>
        <w:ind w:firstLine="2880" w:firstLineChars="900"/>
        <w:rPr>
          <w:highlight w:val="none"/>
        </w:rPr>
      </w:pPr>
    </w:p>
    <w:p w14:paraId="005C4DF5">
      <w:pPr>
        <w:adjustRightInd w:val="0"/>
        <w:snapToGrid w:val="0"/>
        <w:spacing w:line="360" w:lineRule="auto"/>
        <w:ind w:firstLine="2530" w:firstLineChars="900"/>
        <w:jc w:val="left"/>
        <w:rPr>
          <w:rFonts w:ascii="宋体" w:hAnsi="宋体"/>
          <w:b/>
          <w:sz w:val="28"/>
          <w:szCs w:val="36"/>
          <w:highlight w:val="none"/>
        </w:rPr>
      </w:pPr>
      <w:r>
        <w:rPr>
          <w:rFonts w:hint="eastAsia" w:ascii="宋体" w:hAnsi="宋体"/>
          <w:b/>
          <w:sz w:val="28"/>
          <w:szCs w:val="36"/>
          <w:highlight w:val="none"/>
        </w:rPr>
        <w:t>发 包 人：</w:t>
      </w:r>
      <w:r>
        <w:rPr>
          <w:rFonts w:ascii="宋体" w:hAnsi="宋体"/>
          <w:b/>
          <w:sz w:val="28"/>
          <w:szCs w:val="36"/>
          <w:highlight w:val="none"/>
          <w:u w:val="thick"/>
        </w:rPr>
        <w:t xml:space="preserve">                           </w:t>
      </w:r>
    </w:p>
    <w:p w14:paraId="22211EB9">
      <w:pPr>
        <w:adjustRightInd w:val="0"/>
        <w:snapToGrid w:val="0"/>
        <w:spacing w:line="360" w:lineRule="auto"/>
        <w:ind w:firstLine="2530" w:firstLineChars="900"/>
        <w:jc w:val="left"/>
        <w:rPr>
          <w:rFonts w:ascii="宋体" w:hAnsi="宋体"/>
          <w:b/>
          <w:sz w:val="28"/>
          <w:szCs w:val="36"/>
          <w:highlight w:val="none"/>
        </w:rPr>
      </w:pPr>
    </w:p>
    <w:p w14:paraId="7A8FD00B">
      <w:pPr>
        <w:adjustRightInd w:val="0"/>
        <w:snapToGrid w:val="0"/>
        <w:spacing w:line="360" w:lineRule="auto"/>
        <w:ind w:firstLine="2530" w:firstLineChars="900"/>
        <w:jc w:val="left"/>
        <w:rPr>
          <w:rFonts w:ascii="宋体" w:hAnsi="宋体"/>
          <w:b/>
          <w:sz w:val="28"/>
          <w:szCs w:val="36"/>
          <w:highlight w:val="none"/>
        </w:rPr>
      </w:pPr>
      <w:r>
        <w:rPr>
          <w:rFonts w:hint="eastAsia" w:ascii="宋体" w:hAnsi="宋体"/>
          <w:b/>
          <w:sz w:val="28"/>
          <w:szCs w:val="36"/>
          <w:highlight w:val="none"/>
        </w:rPr>
        <w:t>承 包 人：</w:t>
      </w:r>
      <w:r>
        <w:rPr>
          <w:rFonts w:ascii="宋体" w:hAnsi="宋体"/>
          <w:b/>
          <w:sz w:val="28"/>
          <w:szCs w:val="36"/>
          <w:highlight w:val="none"/>
          <w:u w:val="thick"/>
        </w:rPr>
        <w:t xml:space="preserve">                           </w:t>
      </w:r>
    </w:p>
    <w:p w14:paraId="0E73EB75">
      <w:pPr>
        <w:adjustRightInd w:val="0"/>
        <w:snapToGrid w:val="0"/>
        <w:spacing w:line="360" w:lineRule="auto"/>
        <w:ind w:firstLine="2530" w:firstLineChars="900"/>
        <w:jc w:val="left"/>
        <w:rPr>
          <w:rFonts w:ascii="宋体" w:hAnsi="宋体"/>
          <w:b/>
          <w:sz w:val="28"/>
          <w:szCs w:val="36"/>
          <w:highlight w:val="none"/>
        </w:rPr>
      </w:pPr>
    </w:p>
    <w:p w14:paraId="5E3192DE">
      <w:pPr>
        <w:pStyle w:val="83"/>
        <w:adjustRightInd w:val="0"/>
        <w:snapToGrid w:val="0"/>
        <w:spacing w:before="0" w:after="0" w:line="520" w:lineRule="exact"/>
        <w:ind w:firstLine="562"/>
        <w:rPr>
          <w:rFonts w:ascii="宋体" w:hAnsi="宋体"/>
          <w:sz w:val="28"/>
          <w:szCs w:val="36"/>
          <w:highlight w:val="none"/>
        </w:rPr>
        <w:sectPr>
          <w:footerReference r:id="rId5" w:type="first"/>
          <w:headerReference r:id="rId3" w:type="default"/>
          <w:footerReference r:id="rId4" w:type="default"/>
          <w:pgSz w:w="11907" w:h="16840"/>
          <w:pgMar w:top="1213" w:right="1134" w:bottom="907" w:left="1134" w:header="794" w:footer="907" w:gutter="0"/>
          <w:pgNumType w:start="1"/>
          <w:cols w:space="720" w:num="1"/>
          <w:titlePg/>
        </w:sectPr>
      </w:pPr>
    </w:p>
    <w:p w14:paraId="3B523696">
      <w:pPr>
        <w:adjustRightInd w:val="0"/>
        <w:snapToGrid w:val="0"/>
        <w:spacing w:line="520" w:lineRule="exact"/>
        <w:ind w:firstLine="482"/>
        <w:rPr>
          <w:rFonts w:ascii="仿宋" w:hAnsi="仿宋" w:eastAsia="仿宋" w:cs="仿宋"/>
          <w:b/>
          <w:sz w:val="24"/>
          <w:szCs w:val="24"/>
          <w:highlight w:val="none"/>
          <w:u w:val="single"/>
        </w:rPr>
      </w:pPr>
      <w:r>
        <w:rPr>
          <w:rFonts w:hint="eastAsia" w:ascii="仿宋" w:hAnsi="仿宋" w:eastAsia="仿宋" w:cs="仿宋"/>
          <w:b/>
          <w:sz w:val="24"/>
          <w:szCs w:val="24"/>
          <w:highlight w:val="none"/>
        </w:rPr>
        <w:t>发包人（全称）：</w:t>
      </w:r>
      <w:r>
        <w:rPr>
          <w:rFonts w:hint="eastAsia" w:ascii="仿宋" w:hAnsi="仿宋" w:eastAsia="仿宋" w:cs="仿宋"/>
          <w:b/>
          <w:sz w:val="24"/>
          <w:szCs w:val="24"/>
          <w:highlight w:val="none"/>
          <w:u w:val="single"/>
        </w:rPr>
        <w:t>         </w:t>
      </w:r>
    </w:p>
    <w:p w14:paraId="3DF776B7">
      <w:pPr>
        <w:pStyle w:val="10"/>
        <w:ind w:firstLine="482"/>
        <w:rPr>
          <w:highlight w:val="none"/>
        </w:rPr>
      </w:pPr>
      <w:r>
        <w:rPr>
          <w:rFonts w:ascii="仿宋" w:hAnsi="仿宋" w:eastAsia="仿宋" w:cs="仿宋"/>
          <w:b/>
          <w:sz w:val="24"/>
          <w:szCs w:val="24"/>
          <w:highlight w:val="none"/>
        </w:rPr>
        <w:t>住所</w:t>
      </w:r>
      <w:r>
        <w:rPr>
          <w:rFonts w:hint="eastAsia" w:ascii="仿宋" w:hAnsi="仿宋" w:eastAsia="仿宋" w:cs="仿宋"/>
          <w:b/>
          <w:sz w:val="24"/>
          <w:szCs w:val="24"/>
          <w:highlight w:val="none"/>
        </w:rPr>
        <w:t>：</w:t>
      </w:r>
      <w:r>
        <w:rPr>
          <w:rFonts w:hint="eastAsia" w:ascii="仿宋" w:hAnsi="仿宋" w:eastAsia="仿宋" w:cs="仿宋"/>
          <w:b/>
          <w:sz w:val="24"/>
          <w:szCs w:val="24"/>
          <w:highlight w:val="none"/>
          <w:u w:val="single"/>
        </w:rPr>
        <w:t xml:space="preserve">          </w:t>
      </w:r>
      <w:r>
        <w:rPr>
          <w:rFonts w:ascii="仿宋" w:hAnsi="仿宋" w:eastAsia="仿宋" w:cs="仿宋"/>
          <w:b/>
          <w:sz w:val="24"/>
          <w:szCs w:val="24"/>
          <w:highlight w:val="none"/>
          <w:u w:val="single"/>
        </w:rPr>
        <w:t xml:space="preserve">         </w:t>
      </w:r>
    </w:p>
    <w:p w14:paraId="6344A048">
      <w:pPr>
        <w:pStyle w:val="10"/>
        <w:ind w:firstLine="482"/>
        <w:rPr>
          <w:rFonts w:ascii="仿宋" w:hAnsi="仿宋" w:eastAsia="仿宋" w:cs="仿宋"/>
          <w:b/>
          <w:sz w:val="24"/>
          <w:szCs w:val="24"/>
          <w:highlight w:val="none"/>
          <w:u w:val="single"/>
        </w:rPr>
      </w:pPr>
    </w:p>
    <w:p w14:paraId="758AC006">
      <w:pPr>
        <w:adjustRightInd w:val="0"/>
        <w:snapToGrid w:val="0"/>
        <w:spacing w:line="520" w:lineRule="exact"/>
        <w:ind w:firstLine="482"/>
        <w:rPr>
          <w:rFonts w:ascii="仿宋" w:hAnsi="仿宋" w:eastAsia="仿宋" w:cs="仿宋"/>
          <w:b/>
          <w:sz w:val="24"/>
          <w:szCs w:val="24"/>
          <w:highlight w:val="none"/>
          <w:u w:val="single"/>
        </w:rPr>
      </w:pPr>
      <w:r>
        <w:rPr>
          <w:rFonts w:hint="eastAsia" w:ascii="仿宋" w:hAnsi="仿宋" w:eastAsia="仿宋" w:cs="仿宋"/>
          <w:b/>
          <w:sz w:val="24"/>
          <w:szCs w:val="24"/>
          <w:highlight w:val="none"/>
        </w:rPr>
        <w:t>承包人（全称）：</w:t>
      </w:r>
      <w:r>
        <w:rPr>
          <w:rFonts w:hint="eastAsia" w:ascii="仿宋" w:hAnsi="仿宋" w:eastAsia="仿宋" w:cs="仿宋"/>
          <w:b/>
          <w:sz w:val="24"/>
          <w:szCs w:val="24"/>
          <w:highlight w:val="none"/>
          <w:u w:val="single"/>
        </w:rPr>
        <w:t>     </w:t>
      </w:r>
    </w:p>
    <w:p w14:paraId="3837C8DF">
      <w:pPr>
        <w:pStyle w:val="10"/>
        <w:ind w:firstLine="482"/>
        <w:rPr>
          <w:rFonts w:ascii="仿宋" w:hAnsi="仿宋" w:eastAsia="仿宋" w:cs="仿宋"/>
          <w:b/>
          <w:sz w:val="24"/>
          <w:szCs w:val="24"/>
          <w:highlight w:val="none"/>
          <w:u w:val="single"/>
        </w:rPr>
      </w:pPr>
      <w:r>
        <w:rPr>
          <w:rFonts w:ascii="仿宋" w:hAnsi="仿宋" w:eastAsia="仿宋" w:cs="仿宋"/>
          <w:b/>
          <w:sz w:val="24"/>
          <w:szCs w:val="24"/>
          <w:highlight w:val="none"/>
        </w:rPr>
        <w:t>住所</w:t>
      </w:r>
      <w:r>
        <w:rPr>
          <w:rFonts w:hint="eastAsia" w:ascii="仿宋" w:hAnsi="仿宋" w:eastAsia="仿宋" w:cs="仿宋"/>
          <w:b/>
          <w:sz w:val="24"/>
          <w:szCs w:val="24"/>
          <w:highlight w:val="none"/>
        </w:rPr>
        <w:t>：</w:t>
      </w:r>
      <w:r>
        <w:rPr>
          <w:rFonts w:hint="eastAsia" w:ascii="仿宋" w:hAnsi="仿宋" w:eastAsia="仿宋" w:cs="仿宋"/>
          <w:b/>
          <w:sz w:val="24"/>
          <w:szCs w:val="24"/>
          <w:highlight w:val="none"/>
          <w:u w:val="single"/>
        </w:rPr>
        <w:t xml:space="preserve">          </w:t>
      </w:r>
      <w:r>
        <w:rPr>
          <w:rFonts w:ascii="仿宋" w:hAnsi="仿宋" w:eastAsia="仿宋" w:cs="仿宋"/>
          <w:b/>
          <w:sz w:val="24"/>
          <w:szCs w:val="24"/>
          <w:highlight w:val="none"/>
          <w:u w:val="single"/>
        </w:rPr>
        <w:t xml:space="preserve">     </w:t>
      </w:r>
    </w:p>
    <w:p w14:paraId="29620060">
      <w:pPr>
        <w:adjustRightInd w:val="0"/>
        <w:snapToGrid w:val="0"/>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根据《中华人民共和国民法典》《中华人民共和国建筑法》及有关法律规定，遵循平等、自愿、公平和诚实信用的原则，双方就</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工程施工及有关事项协商一致，共同达成如下协议：</w:t>
      </w:r>
    </w:p>
    <w:p w14:paraId="438DE08D">
      <w:pPr>
        <w:pStyle w:val="5"/>
        <w:adjustRightInd w:val="0"/>
        <w:snapToGrid w:val="0"/>
        <w:spacing w:before="120" w:after="120" w:line="520" w:lineRule="exact"/>
        <w:rPr>
          <w:rFonts w:ascii="仿宋" w:hAnsi="仿宋" w:eastAsia="仿宋" w:cs="仿宋"/>
          <w:sz w:val="24"/>
          <w:szCs w:val="24"/>
          <w:highlight w:val="none"/>
        </w:rPr>
      </w:pPr>
      <w:bookmarkStart w:id="44" w:name="_Toc351203481"/>
      <w:r>
        <w:rPr>
          <w:rFonts w:hint="eastAsia" w:ascii="仿宋" w:hAnsi="仿宋" w:eastAsia="仿宋" w:cs="仿宋"/>
          <w:sz w:val="24"/>
          <w:szCs w:val="24"/>
          <w:highlight w:val="none"/>
        </w:rPr>
        <w:t>一、工程概况</w:t>
      </w:r>
      <w:bookmarkEnd w:id="44"/>
    </w:p>
    <w:p w14:paraId="11EF09C1">
      <w:pPr>
        <w:adjustRightInd w:val="0"/>
        <w:snapToGrid w:val="0"/>
        <w:spacing w:line="520" w:lineRule="exact"/>
        <w:ind w:firstLine="470" w:firstLineChars="196"/>
        <w:rPr>
          <w:rFonts w:ascii="仿宋" w:hAnsi="仿宋" w:eastAsia="仿宋" w:cs="仿宋"/>
          <w:sz w:val="24"/>
          <w:szCs w:val="24"/>
          <w:highlight w:val="none"/>
          <w:u w:val="single"/>
        </w:rPr>
      </w:pPr>
      <w:r>
        <w:rPr>
          <w:rFonts w:hint="eastAsia" w:ascii="仿宋" w:hAnsi="仿宋" w:eastAsia="仿宋" w:cs="仿宋"/>
          <w:bCs/>
          <w:sz w:val="24"/>
          <w:szCs w:val="24"/>
          <w:highlight w:val="none"/>
        </w:rPr>
        <w:t>1.1工程名称</w:t>
      </w:r>
      <w:r>
        <w:rPr>
          <w:rFonts w:hint="eastAsia" w:ascii="仿宋" w:hAnsi="仿宋" w:eastAsia="仿宋" w:cs="仿宋"/>
          <w:sz w:val="24"/>
          <w:szCs w:val="24"/>
          <w:highlight w:val="none"/>
        </w:rPr>
        <w:t>：</w:t>
      </w:r>
      <w:r>
        <w:rPr>
          <w:rFonts w:hint="eastAsia" w:ascii="仿宋" w:hAnsi="仿宋" w:eastAsia="仿宋" w:cs="仿宋"/>
          <w:i/>
          <w:iCs/>
          <w:sz w:val="24"/>
          <w:szCs w:val="24"/>
          <w:highlight w:val="none"/>
          <w:u w:val="single"/>
        </w:rPr>
        <w:t>与外部立项（若有）、内部立项文件或招标文件填写一致</w:t>
      </w:r>
      <w:r>
        <w:rPr>
          <w:rFonts w:hint="eastAsia" w:ascii="仿宋" w:hAnsi="仿宋" w:eastAsia="仿宋" w:cs="仿宋"/>
          <w:sz w:val="24"/>
          <w:szCs w:val="24"/>
          <w:highlight w:val="none"/>
        </w:rPr>
        <w:t>。</w:t>
      </w:r>
    </w:p>
    <w:p w14:paraId="1DEB401B">
      <w:pPr>
        <w:adjustRightInd w:val="0"/>
        <w:snapToGrid w:val="0"/>
        <w:spacing w:line="520" w:lineRule="exact"/>
        <w:ind w:firstLine="470" w:firstLineChars="196"/>
        <w:rPr>
          <w:rFonts w:ascii="仿宋" w:hAnsi="仿宋" w:eastAsia="仿宋" w:cs="仿宋"/>
          <w:bCs/>
          <w:sz w:val="24"/>
          <w:szCs w:val="24"/>
          <w:highlight w:val="none"/>
        </w:rPr>
      </w:pPr>
      <w:r>
        <w:rPr>
          <w:rFonts w:hint="eastAsia" w:ascii="仿宋" w:hAnsi="仿宋" w:eastAsia="仿宋" w:cs="仿宋"/>
          <w:bCs/>
          <w:sz w:val="24"/>
          <w:szCs w:val="24"/>
          <w:highlight w:val="none"/>
        </w:rPr>
        <w:t>1.2工程地点：</w:t>
      </w:r>
      <w:r>
        <w:rPr>
          <w:rFonts w:hint="eastAsia" w:ascii="仿宋" w:hAnsi="仿宋" w:eastAsia="仿宋" w:cs="仿宋"/>
          <w:i/>
          <w:iCs/>
          <w:sz w:val="24"/>
          <w:szCs w:val="24"/>
          <w:highlight w:val="none"/>
          <w:u w:val="single"/>
        </w:rPr>
        <w:t>据实填写</w:t>
      </w:r>
      <w:r>
        <w:rPr>
          <w:rFonts w:hint="eastAsia" w:ascii="仿宋" w:hAnsi="仿宋" w:eastAsia="仿宋" w:cs="仿宋"/>
          <w:sz w:val="24"/>
          <w:szCs w:val="24"/>
          <w:highlight w:val="none"/>
        </w:rPr>
        <w:t>。</w:t>
      </w:r>
    </w:p>
    <w:p w14:paraId="252E8065">
      <w:pPr>
        <w:adjustRightInd w:val="0"/>
        <w:snapToGrid w:val="0"/>
        <w:spacing w:line="520" w:lineRule="exact"/>
        <w:ind w:firstLine="470" w:firstLineChars="196"/>
        <w:rPr>
          <w:rFonts w:ascii="仿宋" w:hAnsi="仿宋" w:eastAsia="仿宋" w:cs="仿宋"/>
          <w:bCs/>
          <w:sz w:val="24"/>
          <w:szCs w:val="24"/>
          <w:highlight w:val="none"/>
        </w:rPr>
      </w:pPr>
      <w:r>
        <w:rPr>
          <w:rFonts w:hint="eastAsia" w:ascii="仿宋" w:hAnsi="仿宋" w:eastAsia="仿宋" w:cs="仿宋"/>
          <w:bCs/>
          <w:sz w:val="24"/>
          <w:szCs w:val="24"/>
          <w:highlight w:val="none"/>
        </w:rPr>
        <w:t>1.3资金来源：</w:t>
      </w:r>
      <w:r>
        <w:rPr>
          <w:rFonts w:hint="eastAsia" w:ascii="仿宋" w:hAnsi="仿宋" w:eastAsia="仿宋" w:cs="仿宋"/>
          <w:sz w:val="24"/>
          <w:szCs w:val="24"/>
          <w:highlight w:val="none"/>
          <w:u w:val="single"/>
        </w:rPr>
        <w:t>企业自筹</w:t>
      </w:r>
      <w:r>
        <w:rPr>
          <w:rFonts w:hint="eastAsia" w:ascii="仿宋" w:hAnsi="仿宋" w:eastAsia="仿宋" w:cs="仿宋"/>
          <w:bCs/>
          <w:sz w:val="24"/>
          <w:szCs w:val="24"/>
          <w:highlight w:val="none"/>
        </w:rPr>
        <w:t>。</w:t>
      </w:r>
    </w:p>
    <w:p w14:paraId="2177CE4B">
      <w:pPr>
        <w:adjustRightInd w:val="0"/>
        <w:snapToGrid w:val="0"/>
        <w:spacing w:line="520" w:lineRule="exact"/>
        <w:ind w:firstLine="470" w:firstLineChars="196"/>
        <w:rPr>
          <w:rFonts w:ascii="仿宋" w:hAnsi="仿宋" w:eastAsia="仿宋" w:cs="仿宋"/>
          <w:bCs/>
          <w:sz w:val="24"/>
          <w:szCs w:val="24"/>
          <w:highlight w:val="none"/>
        </w:rPr>
      </w:pPr>
      <w:r>
        <w:rPr>
          <w:rFonts w:hint="eastAsia" w:ascii="仿宋" w:hAnsi="仿宋" w:eastAsia="仿宋" w:cs="仿宋"/>
          <w:bCs/>
          <w:sz w:val="24"/>
          <w:szCs w:val="24"/>
          <w:highlight w:val="none"/>
        </w:rPr>
        <w:t>1.4工程承包范围：</w:t>
      </w:r>
    </w:p>
    <w:p w14:paraId="4DAA3FE9">
      <w:pPr>
        <w:adjustRightInd w:val="0"/>
        <w:snapToGrid w:val="0"/>
        <w:spacing w:line="520" w:lineRule="exact"/>
        <w:ind w:firstLine="470" w:firstLineChars="196"/>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设计图纸范围内的********工程施工内容，包括但不限于发包人设计变更、联系单安排的施工内容等。</w:t>
      </w:r>
      <w:r>
        <w:rPr>
          <w:rFonts w:hint="eastAsia" w:ascii="仿宋" w:hAnsi="仿宋" w:eastAsia="仿宋" w:cs="仿宋"/>
          <w:i/>
          <w:sz w:val="24"/>
          <w:szCs w:val="24"/>
          <w:highlight w:val="none"/>
          <w:u w:val="single"/>
        </w:rPr>
        <w:t>（按招标文件填写）</w:t>
      </w:r>
      <w:r>
        <w:rPr>
          <w:rFonts w:hint="eastAsia" w:ascii="仿宋" w:hAnsi="仿宋" w:eastAsia="仿宋" w:cs="仿宋"/>
          <w:i/>
          <w:iCs/>
          <w:sz w:val="24"/>
          <w:szCs w:val="24"/>
          <w:highlight w:val="none"/>
          <w:u w:val="single"/>
        </w:rPr>
        <w:t>。</w:t>
      </w:r>
    </w:p>
    <w:p w14:paraId="640CC216">
      <w:pPr>
        <w:pStyle w:val="5"/>
        <w:adjustRightInd w:val="0"/>
        <w:snapToGrid w:val="0"/>
        <w:spacing w:before="120" w:after="120" w:line="520" w:lineRule="exact"/>
        <w:rPr>
          <w:rFonts w:ascii="仿宋" w:hAnsi="仿宋" w:eastAsia="仿宋" w:cs="仿宋"/>
          <w:sz w:val="24"/>
          <w:szCs w:val="24"/>
          <w:highlight w:val="none"/>
        </w:rPr>
      </w:pPr>
      <w:bookmarkStart w:id="45" w:name="_Toc351203482"/>
      <w:r>
        <w:rPr>
          <w:rFonts w:hint="eastAsia" w:ascii="仿宋" w:hAnsi="仿宋" w:eastAsia="仿宋" w:cs="仿宋"/>
          <w:sz w:val="24"/>
          <w:szCs w:val="24"/>
          <w:highlight w:val="none"/>
        </w:rPr>
        <w:t>二、合同工期</w:t>
      </w:r>
      <w:bookmarkEnd w:id="45"/>
    </w:p>
    <w:p w14:paraId="0F73392D">
      <w:pPr>
        <w:adjustRightInd w:val="0"/>
        <w:snapToGrid w:val="0"/>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2.1计划开工日期：</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日。</w:t>
      </w:r>
    </w:p>
    <w:p w14:paraId="7DC0AD8A">
      <w:pPr>
        <w:adjustRightInd w:val="0"/>
        <w:snapToGrid w:val="0"/>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计划竣工日期：</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日。</w:t>
      </w:r>
    </w:p>
    <w:p w14:paraId="38E1C153">
      <w:pPr>
        <w:adjustRightInd w:val="0"/>
        <w:snapToGrid w:val="0"/>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工期总日历天数：</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天。工期总日历天数与根据前述计划开竣工日期计算的工期天数不一致的，以工期总日历天数为准。</w:t>
      </w:r>
    </w:p>
    <w:p w14:paraId="048EC8E4">
      <w:pPr>
        <w:adjustRightInd w:val="0"/>
        <w:snapToGrid w:val="0"/>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sym w:font="Wingdings 2" w:char="00A3"/>
      </w:r>
      <w:r>
        <w:rPr>
          <w:rFonts w:hint="eastAsia" w:ascii="仿宋" w:hAnsi="仿宋" w:eastAsia="仿宋" w:cs="仿宋"/>
          <w:sz w:val="24"/>
          <w:szCs w:val="24"/>
          <w:highlight w:val="none"/>
        </w:rPr>
        <w:t>其中关键节点工期计划：</w:t>
      </w:r>
      <w:r>
        <w:rPr>
          <w:rFonts w:hint="eastAsia" w:ascii="仿宋" w:hAnsi="仿宋" w:eastAsia="仿宋" w:cs="仿宋"/>
          <w:i/>
          <w:sz w:val="24"/>
          <w:szCs w:val="24"/>
          <w:highlight w:val="none"/>
          <w:u w:val="single"/>
        </w:rPr>
        <w:t>根据项目实际情况列出里程碑进度节点</w:t>
      </w:r>
      <w:r>
        <w:rPr>
          <w:rFonts w:hint="eastAsia" w:ascii="仿宋" w:hAnsi="仿宋" w:eastAsia="仿宋" w:cs="仿宋"/>
          <w:sz w:val="24"/>
          <w:szCs w:val="24"/>
          <w:highlight w:val="none"/>
        </w:rPr>
        <w:t>。</w:t>
      </w:r>
    </w:p>
    <w:p w14:paraId="362F7C28">
      <w:pPr>
        <w:adjustRightInd w:val="0"/>
        <w:snapToGrid w:val="0"/>
        <w:spacing w:line="520" w:lineRule="exact"/>
        <w:ind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2.2承包人应在</w:t>
      </w:r>
      <w:r>
        <w:rPr>
          <w:rFonts w:hint="eastAsia" w:ascii="仿宋" w:hAnsi="仿宋" w:eastAsia="仿宋" w:cs="仿宋"/>
          <w:i/>
          <w:iCs/>
          <w:sz w:val="24"/>
          <w:szCs w:val="24"/>
          <w:highlight w:val="none"/>
          <w:u w:val="single"/>
        </w:rPr>
        <w:t>进场后3日内或工地第一次例会前</w:t>
      </w:r>
      <w:r>
        <w:rPr>
          <w:rFonts w:hint="eastAsia" w:ascii="仿宋" w:hAnsi="仿宋" w:eastAsia="仿宋" w:cs="仿宋"/>
          <w:sz w:val="24"/>
          <w:szCs w:val="24"/>
          <w:highlight w:val="none"/>
        </w:rPr>
        <w:t>内将详细的施工组织设计（或施工方案）和进度计划提交发包人审核，承包人必须按经发包人确认的进度计划组织施工，并接受发包人的检查、监督。工程实际进度计划不相符时，承包人应按发包人的要求提出改进措施，经发包人确认后执行。</w:t>
      </w:r>
    </w:p>
    <w:p w14:paraId="4EA7EEFC">
      <w:pPr>
        <w:adjustRightInd w:val="0"/>
        <w:snapToGrid w:val="0"/>
        <w:spacing w:line="520" w:lineRule="exact"/>
        <w:ind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2.3因承包人原因造成不能按期开工或中途无故停工的，工期不能顺延，由此引起的赶工等费用由承包人自行承担。</w:t>
      </w:r>
    </w:p>
    <w:p w14:paraId="1CA9DD6F">
      <w:pPr>
        <w:adjustRightInd w:val="0"/>
        <w:snapToGrid w:val="0"/>
        <w:spacing w:line="520" w:lineRule="exact"/>
        <w:ind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除不可抗力原因外，因任何因素造成的工期延误，总工期均不予顺延，停工费用损失不予计取；承包人不能按合同约定的工期完成任一关键里程碑节点的，各里程碑节点每逾期一天按合同最终结算价款</w:t>
      </w:r>
      <w:r>
        <w:rPr>
          <w:rFonts w:ascii="仿宋" w:hAnsi="仿宋" w:eastAsia="仿宋" w:cs="仿宋"/>
          <w:sz w:val="24"/>
          <w:szCs w:val="24"/>
          <w:highlight w:val="none"/>
        </w:rPr>
        <w:t>0.5</w:t>
      </w:r>
      <w:r>
        <w:rPr>
          <w:rFonts w:hint="eastAsia" w:ascii="仿宋" w:hAnsi="仿宋" w:eastAsia="仿宋" w:cs="仿宋"/>
          <w:sz w:val="24"/>
          <w:szCs w:val="24"/>
          <w:highlight w:val="none"/>
        </w:rPr>
        <w:t>‰的金额向发包人支付违约金，没有最终结算价的，按合同签约暂定价的</w:t>
      </w:r>
      <w:r>
        <w:rPr>
          <w:rFonts w:ascii="仿宋" w:hAnsi="仿宋" w:eastAsia="仿宋" w:cs="仿宋"/>
          <w:sz w:val="24"/>
          <w:szCs w:val="24"/>
          <w:highlight w:val="none"/>
        </w:rPr>
        <w:t>0.5</w:t>
      </w:r>
      <w:r>
        <w:rPr>
          <w:rFonts w:hint="eastAsia" w:ascii="仿宋" w:hAnsi="仿宋" w:eastAsia="仿宋" w:cs="仿宋"/>
          <w:sz w:val="24"/>
          <w:szCs w:val="24"/>
          <w:highlight w:val="none"/>
        </w:rPr>
        <w:t>‰计算；各里程碑节点逾期超过</w:t>
      </w:r>
      <w:r>
        <w:rPr>
          <w:rFonts w:ascii="仿宋" w:hAnsi="仿宋" w:eastAsia="仿宋" w:cs="仿宋"/>
          <w:sz w:val="24"/>
          <w:szCs w:val="24"/>
          <w:highlight w:val="none"/>
        </w:rPr>
        <w:t>90</w:t>
      </w:r>
      <w:r>
        <w:rPr>
          <w:rFonts w:hint="eastAsia" w:ascii="仿宋" w:hAnsi="仿宋" w:eastAsia="仿宋" w:cs="仿宋"/>
          <w:sz w:val="24"/>
          <w:szCs w:val="24"/>
          <w:highlight w:val="none"/>
        </w:rPr>
        <w:t>天，每逾期一天按合同最终结算价款</w:t>
      </w:r>
      <w:r>
        <w:rPr>
          <w:rFonts w:ascii="仿宋" w:hAnsi="仿宋" w:eastAsia="仿宋" w:cs="仿宋"/>
          <w:sz w:val="24"/>
          <w:szCs w:val="24"/>
          <w:highlight w:val="none"/>
        </w:rPr>
        <w:t>1</w:t>
      </w:r>
      <w:r>
        <w:rPr>
          <w:rFonts w:hint="eastAsia" w:ascii="仿宋" w:hAnsi="仿宋" w:eastAsia="仿宋" w:cs="仿宋"/>
          <w:sz w:val="24"/>
          <w:szCs w:val="24"/>
          <w:highlight w:val="none"/>
        </w:rPr>
        <w:t>‰的金额向发包人支付违约金，没有最终结算价的，按合同签约暂定价的</w:t>
      </w:r>
      <w:r>
        <w:rPr>
          <w:rFonts w:ascii="仿宋" w:hAnsi="仿宋" w:eastAsia="仿宋" w:cs="仿宋"/>
          <w:sz w:val="24"/>
          <w:szCs w:val="24"/>
          <w:highlight w:val="none"/>
        </w:rPr>
        <w:t>1</w:t>
      </w:r>
      <w:r>
        <w:rPr>
          <w:rFonts w:hint="eastAsia" w:ascii="仿宋" w:hAnsi="仿宋" w:eastAsia="仿宋" w:cs="仿宋"/>
          <w:sz w:val="24"/>
          <w:szCs w:val="24"/>
          <w:highlight w:val="none"/>
        </w:rPr>
        <w:t>‰计算，发包人并有权书面通知单方面解除未完成部分工程的合同。若某个节点未完成，但后续节点按期完成且不影响整体工程如期竣工验收合格的，发包人可以向承包人无息返还之前未完成节点违约金</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，但造成发包人的损失部分不予免除。</w:t>
      </w:r>
    </w:p>
    <w:p w14:paraId="3A1B1F08">
      <w:pPr>
        <w:pStyle w:val="5"/>
        <w:adjustRightInd w:val="0"/>
        <w:snapToGrid w:val="0"/>
        <w:spacing w:before="120" w:after="120" w:line="520" w:lineRule="exact"/>
        <w:rPr>
          <w:rFonts w:ascii="仿宋" w:hAnsi="仿宋" w:eastAsia="仿宋" w:cs="仿宋"/>
          <w:sz w:val="24"/>
          <w:szCs w:val="24"/>
          <w:highlight w:val="none"/>
        </w:rPr>
      </w:pPr>
      <w:bookmarkStart w:id="46" w:name="_Toc351203483"/>
      <w:r>
        <w:rPr>
          <w:rFonts w:hint="eastAsia" w:ascii="仿宋" w:hAnsi="仿宋" w:eastAsia="仿宋" w:cs="仿宋"/>
          <w:sz w:val="24"/>
          <w:szCs w:val="24"/>
          <w:highlight w:val="none"/>
        </w:rPr>
        <w:t>三、质量标准</w:t>
      </w:r>
      <w:bookmarkEnd w:id="46"/>
    </w:p>
    <w:p w14:paraId="32102D7F">
      <w:pPr>
        <w:adjustRightInd w:val="0"/>
        <w:snapToGrid w:val="0"/>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3.1工程质量要求：</w:t>
      </w:r>
      <w:r>
        <w:rPr>
          <w:rFonts w:hint="eastAsia" w:ascii="仿宋" w:hAnsi="仿宋" w:eastAsia="仿宋" w:cs="仿宋"/>
          <w:sz w:val="24"/>
          <w:szCs w:val="24"/>
          <w:highlight w:val="none"/>
          <w:u w:val="single"/>
        </w:rPr>
        <w:t>工程质量达到合格等级标准</w:t>
      </w:r>
      <w:r>
        <w:rPr>
          <w:rFonts w:hint="eastAsia" w:ascii="仿宋" w:hAnsi="仿宋" w:eastAsia="仿宋" w:cs="仿宋"/>
          <w:sz w:val="24"/>
          <w:szCs w:val="24"/>
          <w:highlight w:val="none"/>
        </w:rPr>
        <w:t>。质量标准的评定以现行国家、地方政府以及行业的质量检验评定标准为依据。</w:t>
      </w:r>
    </w:p>
    <w:p w14:paraId="15D0E30A">
      <w:pPr>
        <w:adjustRightInd w:val="0"/>
        <w:snapToGrid w:val="0"/>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3.2经检查对于出现质量不符合要求的部位，发包人有权向承包人发出整改通知，承包人必须无条件返工，直至达到合同约定的质量标准为止。承包人承担由此增加的费用，工期不予顺延。如承包人收到整改通知单24小时内仍无任何整改措施，发包人有权请第三方整改或自行代为整改，由此发生的费用将从承包人的未付工程款中扣除，同时不免除发包人就该事宜对承包人处以金额不超过 5000元/次</w:t>
      </w:r>
      <w:r>
        <w:rPr>
          <w:rFonts w:hint="eastAsia" w:ascii="仿宋" w:hAnsi="仿宋" w:eastAsia="仿宋" w:cs="仿宋"/>
          <w:color w:val="FFFF00"/>
          <w:sz w:val="24"/>
          <w:szCs w:val="24"/>
          <w:highlight w:val="none"/>
        </w:rPr>
        <w:t>（根据项目据实调整）</w:t>
      </w:r>
      <w:r>
        <w:rPr>
          <w:rFonts w:hint="eastAsia" w:ascii="仿宋" w:hAnsi="仿宋" w:eastAsia="仿宋" w:cs="仿宋"/>
          <w:sz w:val="24"/>
          <w:szCs w:val="24"/>
          <w:highlight w:val="none"/>
        </w:rPr>
        <w:t>的罚款，该款项从承包人工程款结算中扣除。</w:t>
      </w:r>
    </w:p>
    <w:p w14:paraId="67889234">
      <w:pPr>
        <w:adjustRightInd w:val="0"/>
        <w:snapToGrid w:val="0"/>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3.3若承包人的工程质量不符合合同约定的质量标准或工程质量经验收不合格或达不到竣工验收条件的，承包人须负责返工、修理、重做；情况严重或导致发包人被政府相关部门责令通报、处罚的或造成重大工程质量事故的，发包人有权视情况解除合同，或/并要求承包人除停工整改、补交罚款外，还应按工程结算价款或合同约定总价款的5%-10%向发包人支付违约金。</w:t>
      </w:r>
    </w:p>
    <w:p w14:paraId="0D09A74E">
      <w:pPr>
        <w:pStyle w:val="5"/>
        <w:adjustRightInd w:val="0"/>
        <w:snapToGrid w:val="0"/>
        <w:spacing w:before="120" w:after="120" w:line="520" w:lineRule="exact"/>
        <w:rPr>
          <w:rFonts w:ascii="仿宋" w:hAnsi="仿宋" w:eastAsia="仿宋" w:cs="仿宋"/>
          <w:sz w:val="24"/>
          <w:szCs w:val="24"/>
          <w:highlight w:val="none"/>
        </w:rPr>
      </w:pPr>
      <w:r>
        <w:rPr>
          <w:rFonts w:hint="eastAsia" w:ascii="仿宋" w:hAnsi="仿宋" w:eastAsia="仿宋" w:cs="仿宋"/>
          <w:sz w:val="24"/>
          <w:szCs w:val="24"/>
          <w:highlight w:val="none"/>
        </w:rPr>
        <w:t>四、合同价款与支付方式</w:t>
      </w:r>
    </w:p>
    <w:p w14:paraId="63E0C3C7">
      <w:pPr>
        <w:adjustRightInd w:val="0"/>
        <w:snapToGrid w:val="0"/>
        <w:spacing w:line="520" w:lineRule="exact"/>
        <w:ind w:left="510"/>
        <w:rPr>
          <w:rFonts w:ascii="仿宋" w:hAnsi="仿宋" w:eastAsia="仿宋" w:cs="仿宋"/>
          <w:i/>
          <w:sz w:val="24"/>
          <w:szCs w:val="24"/>
          <w:highlight w:val="none"/>
        </w:rPr>
      </w:pPr>
      <w:r>
        <w:rPr>
          <w:rFonts w:hint="eastAsia" w:ascii="仿宋" w:hAnsi="仿宋" w:eastAsia="仿宋" w:cs="仿宋"/>
          <w:i/>
          <w:sz w:val="24"/>
          <w:szCs w:val="24"/>
          <w:highlight w:val="none"/>
        </w:rPr>
        <w:t>（说明：本章节分为固定综合单价合同和固定总价合同，不同价格形式的内容不同，应根据实际合同价格形式选择此章节内容）</w:t>
      </w:r>
    </w:p>
    <w:p w14:paraId="35BC7681">
      <w:pPr>
        <w:adjustRightInd w:val="0"/>
        <w:snapToGrid w:val="0"/>
        <w:spacing w:line="52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第一种方式</w:t>
      </w:r>
    </w:p>
    <w:p w14:paraId="347252E2">
      <w:pPr>
        <w:adjustRightInd w:val="0"/>
        <w:snapToGrid w:val="0"/>
        <w:spacing w:line="52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sym w:font="Wingdings 2" w:char="00A3"/>
      </w:r>
      <w:r>
        <w:rPr>
          <w:rFonts w:hint="eastAsia" w:ascii="仿宋" w:hAnsi="仿宋" w:eastAsia="仿宋" w:cs="仿宋"/>
          <w:b/>
          <w:bCs/>
          <w:sz w:val="24"/>
          <w:szCs w:val="24"/>
          <w:highlight w:val="none"/>
        </w:rPr>
        <w:t>固定单价合同</w:t>
      </w:r>
    </w:p>
    <w:p w14:paraId="50F313FE">
      <w:pPr>
        <w:adjustRightInd w:val="0"/>
        <w:snapToGrid w:val="0"/>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4.1合同价款：</w:t>
      </w:r>
    </w:p>
    <w:p w14:paraId="10D7AFC0">
      <w:pPr>
        <w:adjustRightInd w:val="0"/>
        <w:snapToGrid w:val="0"/>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本工程合同签约暂定价格不含税价为</w:t>
      </w:r>
      <w:r>
        <w:rPr>
          <w:rFonts w:ascii="Calibri" w:hAnsi="Calibri" w:eastAsia="仿宋" w:cs="Calibri"/>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元（大写：人民币</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），增值税税率</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%，税额</w:t>
      </w:r>
      <w:r>
        <w:rPr>
          <w:rFonts w:ascii="Calibri" w:hAnsi="Calibri" w:eastAsia="仿宋" w:cs="Calibri"/>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元，含税价</w:t>
      </w:r>
      <w:r>
        <w:rPr>
          <w:rFonts w:ascii="Calibri" w:hAnsi="Calibri" w:eastAsia="仿宋" w:cs="Calibri"/>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元（大写：人民币</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），如国家出台新政策对增值税率进行了调整，则不含税价款不变，本合同含税总价在不含税价基础上根据国家最新税法进行相应的调整。</w:t>
      </w:r>
    </w:p>
    <w:p w14:paraId="1C6010AA">
      <w:pPr>
        <w:adjustRightInd w:val="0"/>
        <w:snapToGrid w:val="0"/>
        <w:spacing w:line="520" w:lineRule="exact"/>
        <w:ind w:firstLine="480" w:firstLineChars="200"/>
        <w:rPr>
          <w:rFonts w:ascii="仿宋" w:hAnsi="仿宋" w:eastAsia="仿宋" w:cs="仿宋"/>
          <w:i/>
          <w:iCs/>
          <w:sz w:val="24"/>
          <w:szCs w:val="24"/>
          <w:highlight w:val="none"/>
        </w:rPr>
      </w:pPr>
      <w:r>
        <w:rPr>
          <w:rFonts w:hint="eastAsia" w:ascii="仿宋" w:hAnsi="仿宋" w:eastAsia="仿宋" w:cs="仿宋"/>
          <w:i/>
          <w:iCs/>
          <w:sz w:val="24"/>
          <w:szCs w:val="24"/>
          <w:highlight w:val="none"/>
        </w:rPr>
        <w:t>□清单报价部分的价格结算时按照承包人中标后调整的最终版工程量清单执行。</w:t>
      </w:r>
    </w:p>
    <w:p w14:paraId="79959732">
      <w:pPr>
        <w:adjustRightInd w:val="0"/>
        <w:snapToGrid w:val="0"/>
        <w:spacing w:line="520" w:lineRule="exact"/>
        <w:ind w:firstLine="480" w:firstLineChars="200"/>
        <w:rPr>
          <w:rFonts w:ascii="仿宋" w:hAnsi="仿宋" w:eastAsia="仿宋" w:cs="仿宋"/>
          <w:i/>
          <w:iCs/>
          <w:sz w:val="24"/>
          <w:szCs w:val="24"/>
          <w:highlight w:val="none"/>
        </w:rPr>
      </w:pPr>
      <w:r>
        <w:rPr>
          <w:rFonts w:hint="eastAsia" w:ascii="仿宋" w:hAnsi="仿宋" w:eastAsia="仿宋" w:cs="仿宋"/>
          <w:i/>
          <w:iCs/>
          <w:sz w:val="24"/>
          <w:szCs w:val="24"/>
          <w:highlight w:val="none"/>
        </w:rPr>
        <w:t>□合同清单部分的价格结算时按照承包人开标修正后的已标价工程量清单价格乘下浮系数（商务标最后一轮澄清含税总报价扣除固定费用/开标清标修正后的含税总报价扣除固定费用）执行，单独澄清的清单项除外。</w:t>
      </w:r>
    </w:p>
    <w:p w14:paraId="20074430">
      <w:pPr>
        <w:adjustRightInd w:val="0"/>
        <w:snapToGrid w:val="0"/>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4.2本工程合同价格形式为：</w:t>
      </w:r>
      <w:r>
        <w:rPr>
          <w:rFonts w:hint="eastAsia" w:ascii="仿宋" w:hAnsi="仿宋" w:eastAsia="仿宋" w:cs="仿宋"/>
          <w:sz w:val="24"/>
          <w:szCs w:val="24"/>
          <w:highlight w:val="none"/>
          <w:u w:val="single"/>
        </w:rPr>
        <w:t>固定综合单价</w:t>
      </w:r>
    </w:p>
    <w:p w14:paraId="3C4B2566">
      <w:pPr>
        <w:adjustRightInd w:val="0"/>
        <w:snapToGrid w:val="0"/>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综合单价是指完成规定计量单位项目所需的人工费、材料费、机械使用费、企业管理费、利润，并考虑合同明示和暗示的所有责任、义务和不可抗力以外的一切风险因素。该综合单价（甲供材料和暂定价材料价格调整除外）不随政策调整而变化且不随量的调整而变化，并作为结算的依据，除双方另有约定外结算时不得调整。清单报价中综合考虑了所有材料报检，各类检测、试验费，不再单独计取。</w:t>
      </w:r>
    </w:p>
    <w:p w14:paraId="05792C88">
      <w:pPr>
        <w:tabs>
          <w:tab w:val="left" w:pos="5565"/>
        </w:tabs>
        <w:adjustRightInd w:val="0"/>
        <w:snapToGrid w:val="0"/>
        <w:spacing w:line="520" w:lineRule="exact"/>
        <w:ind w:left="540"/>
        <w:rPr>
          <w:rStyle w:val="40"/>
          <w:rFonts w:ascii="仿宋" w:hAnsi="仿宋" w:eastAsia="仿宋" w:cs="仿宋"/>
          <w:sz w:val="24"/>
          <w:szCs w:val="24"/>
          <w:highlight w:val="none"/>
        </w:rPr>
      </w:pPr>
      <w:r>
        <w:rPr>
          <w:rFonts w:hint="eastAsia" w:ascii="仿宋" w:hAnsi="仿宋" w:eastAsia="仿宋" w:cs="仿宋"/>
          <w:sz w:val="24"/>
          <w:szCs w:val="24"/>
          <w:highlight w:val="none"/>
        </w:rPr>
        <w:t>4.3工程款支付</w:t>
      </w:r>
    </w:p>
    <w:p w14:paraId="7D2AF242">
      <w:pPr>
        <w:numPr>
          <w:ilvl w:val="3"/>
          <w:numId w:val="1"/>
        </w:numPr>
        <w:tabs>
          <w:tab w:val="left" w:pos="5565"/>
        </w:tabs>
        <w:adjustRightInd w:val="0"/>
        <w:snapToGrid w:val="0"/>
        <w:spacing w:line="520" w:lineRule="exact"/>
        <w:ind w:firstLine="480"/>
        <w:rPr>
          <w:rFonts w:ascii="仿宋" w:hAnsi="仿宋" w:eastAsia="仿宋" w:cs="仿宋"/>
          <w:sz w:val="24"/>
          <w:szCs w:val="24"/>
          <w:highlight w:val="none"/>
          <w:u w:val="single"/>
        </w:rPr>
      </w:pPr>
      <w:r>
        <w:rPr>
          <w:rFonts w:hint="eastAsia" w:ascii="仿宋" w:hAnsi="仿宋" w:eastAsia="仿宋" w:cs="仿宋"/>
          <w:sz w:val="24"/>
          <w:szCs w:val="24"/>
          <w:highlight w:val="none"/>
        </w:rPr>
        <w:t>双方约定的工程款支付的方式：</w:t>
      </w:r>
      <w:r>
        <w:rPr>
          <w:rFonts w:hint="eastAsia" w:ascii="仿宋" w:hAnsi="仿宋" w:eastAsia="仿宋" w:cs="仿宋"/>
          <w:sz w:val="24"/>
          <w:szCs w:val="24"/>
          <w:highlight w:val="none"/>
          <w:u w:val="single"/>
        </w:rPr>
        <w:t>半年期商业汇票（包括银行承兑汇票和商业承兑汇票）；</w:t>
      </w:r>
    </w:p>
    <w:p w14:paraId="1E83DB22">
      <w:pPr>
        <w:numPr>
          <w:ilvl w:val="3"/>
          <w:numId w:val="1"/>
        </w:numPr>
        <w:tabs>
          <w:tab w:val="left" w:pos="5565"/>
        </w:tabs>
        <w:adjustRightInd w:val="0"/>
        <w:snapToGrid w:val="0"/>
        <w:spacing w:line="52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本合同预付款：</w:t>
      </w:r>
      <w:r>
        <w:rPr>
          <w:rFonts w:hint="eastAsia" w:ascii="仿宋" w:hAnsi="仿宋" w:eastAsia="仿宋" w:cs="仿宋"/>
          <w:sz w:val="24"/>
          <w:szCs w:val="24"/>
          <w:highlight w:val="none"/>
          <w:u w:val="single"/>
        </w:rPr>
        <w:t>无预付款</w:t>
      </w:r>
      <w:r>
        <w:rPr>
          <w:rFonts w:hint="eastAsia" w:ascii="仿宋" w:hAnsi="仿宋" w:eastAsia="仿宋" w:cs="仿宋"/>
          <w:sz w:val="24"/>
          <w:szCs w:val="24"/>
          <w:highlight w:val="none"/>
        </w:rPr>
        <w:t>；</w:t>
      </w:r>
    </w:p>
    <w:p w14:paraId="346E3DFB">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每月工程款支付按月形象进度报表，经监理工程师、发包人审核后于次月内付至月形象进度造价的</w:t>
      </w:r>
      <w:r>
        <w:rPr>
          <w:rFonts w:hint="eastAsia" w:ascii="仿宋" w:hAnsi="仿宋" w:eastAsia="仿宋" w:cs="仿宋"/>
          <w:i/>
          <w:iCs/>
          <w:sz w:val="24"/>
          <w:szCs w:val="24"/>
          <w:highlight w:val="none"/>
        </w:rPr>
        <w:t>70-</w:t>
      </w:r>
      <w:r>
        <w:rPr>
          <w:rFonts w:ascii="仿宋" w:hAnsi="仿宋" w:eastAsia="仿宋" w:cs="仿宋"/>
          <w:i/>
          <w:iCs/>
          <w:sz w:val="24"/>
          <w:szCs w:val="24"/>
          <w:highlight w:val="none"/>
        </w:rPr>
        <w:t>80</w:t>
      </w:r>
      <w:r>
        <w:rPr>
          <w:rFonts w:hint="eastAsia" w:ascii="仿宋" w:hAnsi="仿宋" w:eastAsia="仿宋" w:cs="仿宋"/>
          <w:i/>
          <w:iCs/>
          <w:sz w:val="24"/>
          <w:szCs w:val="24"/>
          <w:highlight w:val="none"/>
        </w:rPr>
        <w:t>%</w:t>
      </w:r>
      <w:r>
        <w:rPr>
          <w:rFonts w:hint="eastAsia" w:ascii="仿宋" w:hAnsi="仿宋" w:eastAsia="仿宋" w:cs="仿宋"/>
          <w:sz w:val="24"/>
          <w:szCs w:val="24"/>
          <w:highlight w:val="none"/>
        </w:rPr>
        <w:t>，累计进度款最高付至合同金额的</w:t>
      </w:r>
      <w:r>
        <w:rPr>
          <w:rFonts w:hint="eastAsia" w:ascii="仿宋" w:hAnsi="仿宋" w:eastAsia="仿宋" w:cs="仿宋"/>
          <w:i/>
          <w:iCs/>
          <w:sz w:val="24"/>
          <w:szCs w:val="24"/>
          <w:highlight w:val="none"/>
        </w:rPr>
        <w:t>70-</w:t>
      </w:r>
      <w:r>
        <w:rPr>
          <w:rFonts w:ascii="仿宋" w:hAnsi="仿宋" w:eastAsia="仿宋" w:cs="仿宋"/>
          <w:i/>
          <w:iCs/>
          <w:sz w:val="24"/>
          <w:szCs w:val="24"/>
          <w:highlight w:val="none"/>
        </w:rPr>
        <w:t>80</w:t>
      </w:r>
      <w:r>
        <w:rPr>
          <w:rFonts w:hint="eastAsia" w:ascii="仿宋" w:hAnsi="仿宋" w:eastAsia="仿宋" w:cs="仿宋"/>
          <w:i/>
          <w:iCs/>
          <w:sz w:val="24"/>
          <w:szCs w:val="24"/>
          <w:highlight w:val="none"/>
        </w:rPr>
        <w:t>%</w:t>
      </w:r>
      <w:r>
        <w:rPr>
          <w:rFonts w:hint="eastAsia" w:ascii="仿宋" w:hAnsi="仿宋" w:eastAsia="仿宋" w:cs="仿宋"/>
          <w:sz w:val="24"/>
          <w:szCs w:val="24"/>
          <w:highlight w:val="none"/>
        </w:rPr>
        <w:t>；完成工程竣工资料移交、竣工结算申报且竣工验收合格后付至已完成形象进度产值的</w:t>
      </w:r>
      <w:r>
        <w:rPr>
          <w:rFonts w:hint="eastAsia" w:ascii="仿宋" w:hAnsi="仿宋" w:eastAsia="仿宋" w:cs="仿宋"/>
          <w:i/>
          <w:iCs/>
          <w:sz w:val="24"/>
          <w:szCs w:val="24"/>
          <w:highlight w:val="none"/>
        </w:rPr>
        <w:t>75-</w:t>
      </w:r>
      <w:r>
        <w:rPr>
          <w:rFonts w:ascii="仿宋" w:hAnsi="仿宋" w:eastAsia="仿宋" w:cs="仿宋"/>
          <w:i/>
          <w:iCs/>
          <w:sz w:val="24"/>
          <w:szCs w:val="24"/>
          <w:highlight w:val="none"/>
        </w:rPr>
        <w:t>85</w:t>
      </w:r>
      <w:r>
        <w:rPr>
          <w:rFonts w:hint="eastAsia" w:ascii="仿宋" w:hAnsi="仿宋" w:eastAsia="仿宋" w:cs="仿宋"/>
          <w:i/>
          <w:iCs/>
          <w:sz w:val="24"/>
          <w:szCs w:val="24"/>
          <w:highlight w:val="none"/>
        </w:rPr>
        <w:t>%</w:t>
      </w:r>
      <w:r>
        <w:rPr>
          <w:rFonts w:hint="eastAsia" w:ascii="仿宋" w:hAnsi="仿宋" w:eastAsia="仿宋" w:cs="仿宋"/>
          <w:sz w:val="24"/>
          <w:szCs w:val="24"/>
          <w:highlight w:val="none"/>
        </w:rPr>
        <w:t>，且最高付至合同金额的</w:t>
      </w:r>
      <w:r>
        <w:rPr>
          <w:rFonts w:hint="eastAsia" w:ascii="仿宋" w:hAnsi="仿宋" w:eastAsia="仿宋" w:cs="仿宋"/>
          <w:i/>
          <w:iCs/>
          <w:sz w:val="24"/>
          <w:szCs w:val="24"/>
          <w:highlight w:val="none"/>
        </w:rPr>
        <w:t>75-</w:t>
      </w:r>
      <w:r>
        <w:rPr>
          <w:rFonts w:ascii="仿宋" w:hAnsi="仿宋" w:eastAsia="仿宋" w:cs="仿宋"/>
          <w:i/>
          <w:iCs/>
          <w:sz w:val="24"/>
          <w:szCs w:val="24"/>
          <w:highlight w:val="none"/>
        </w:rPr>
        <w:t>85</w:t>
      </w:r>
      <w:r>
        <w:rPr>
          <w:rFonts w:hint="eastAsia" w:ascii="仿宋" w:hAnsi="仿宋" w:eastAsia="仿宋" w:cs="仿宋"/>
          <w:i/>
          <w:iCs/>
          <w:sz w:val="24"/>
          <w:szCs w:val="24"/>
          <w:highlight w:val="none"/>
        </w:rPr>
        <w:t>%</w:t>
      </w:r>
      <w:r>
        <w:rPr>
          <w:rFonts w:hint="eastAsia" w:ascii="仿宋" w:hAnsi="仿宋" w:eastAsia="仿宋" w:cs="仿宋"/>
          <w:sz w:val="24"/>
          <w:szCs w:val="24"/>
          <w:highlight w:val="none"/>
        </w:rPr>
        <w:t>；竣工结算审计完毕且完成内部验收经双方签字认可后付款至工程结算款的9</w:t>
      </w:r>
      <w:r>
        <w:rPr>
          <w:rFonts w:ascii="仿宋" w:hAnsi="仿宋" w:eastAsia="仿宋" w:cs="仿宋"/>
          <w:sz w:val="24"/>
          <w:szCs w:val="24"/>
          <w:highlight w:val="none"/>
        </w:rPr>
        <w:t>7</w:t>
      </w:r>
      <w:r>
        <w:rPr>
          <w:rFonts w:hint="eastAsia" w:ascii="仿宋" w:hAnsi="仿宋" w:eastAsia="仿宋" w:cs="仿宋"/>
          <w:sz w:val="24"/>
          <w:szCs w:val="24"/>
          <w:highlight w:val="none"/>
        </w:rPr>
        <w:t>%，结算款的</w:t>
      </w:r>
      <w:r>
        <w:rPr>
          <w:rFonts w:ascii="仿宋" w:hAnsi="仿宋" w:eastAsia="仿宋" w:cs="仿宋"/>
          <w:sz w:val="24"/>
          <w:szCs w:val="24"/>
          <w:highlight w:val="none"/>
        </w:rPr>
        <w:t>3</w:t>
      </w:r>
      <w:r>
        <w:rPr>
          <w:rFonts w:hint="eastAsia" w:ascii="仿宋" w:hAnsi="仿宋" w:eastAsia="仿宋" w:cs="仿宋"/>
          <w:sz w:val="24"/>
          <w:szCs w:val="24"/>
          <w:highlight w:val="none"/>
        </w:rPr>
        <w:t>%作为质量保修金。质量保修金的支付按照本合同附件1《工程质量保修书》中的规定执行。</w:t>
      </w:r>
    </w:p>
    <w:p w14:paraId="27A499BB">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发包人所有款项的支付均需承包人持当批付款金额一致的符合国家要求的增值税专用发票、授权委托书、经办人身份证明原件及复印件等其他发包人财务制度要求的资料办理。因发票违规给发包人造成的增值税、所得税等损失，由承包人承担相关责任，包括但不限于税款、滞纳金、罚款及其它相关损失。</w:t>
      </w:r>
      <w:r>
        <w:rPr>
          <w:rFonts w:hint="eastAsia" w:ascii="仿宋" w:hAnsi="仿宋" w:eastAsia="仿宋" w:cs="仿宋"/>
          <w:i/>
          <w:sz w:val="24"/>
          <w:szCs w:val="24"/>
          <w:highlight w:val="none"/>
        </w:rPr>
        <w:t>【发票开具条款可按业务实际情况进行调整】</w:t>
      </w:r>
    </w:p>
    <w:p w14:paraId="771ECAD9">
      <w:pPr>
        <w:spacing w:line="520" w:lineRule="exac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4.4合同价款及调整</w:t>
      </w:r>
    </w:p>
    <w:p w14:paraId="642E97B5">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4.4.1在施工过程中由于非</w:t>
      </w:r>
      <w:r>
        <w:rPr>
          <w:rFonts w:hint="eastAsia" w:ascii="仿宋" w:hAnsi="仿宋" w:eastAsia="仿宋" w:cs="仿宋"/>
          <w:sz w:val="24"/>
          <w:szCs w:val="24"/>
          <w:highlight w:val="none"/>
          <w:u w:val="single"/>
        </w:rPr>
        <w:t>承包人</w:t>
      </w:r>
      <w:r>
        <w:rPr>
          <w:rFonts w:hint="eastAsia" w:ascii="仿宋" w:hAnsi="仿宋" w:eastAsia="仿宋" w:cs="仿宋"/>
          <w:sz w:val="24"/>
          <w:szCs w:val="24"/>
          <w:highlight w:val="none"/>
        </w:rPr>
        <w:t>原因导致工程签证、设计变更引起的工程价款调整的项目，承包人在收到发包人下发的联系单、变更通知单或设计变更后，承包人应在</w:t>
      </w:r>
      <w:r>
        <w:rPr>
          <w:rFonts w:hint="eastAsia" w:ascii="仿宋" w:hAnsi="仿宋" w:eastAsia="仿宋" w:cs="仿宋"/>
          <w:sz w:val="24"/>
          <w:szCs w:val="24"/>
          <w:highlight w:val="none"/>
          <w:u w:val="single"/>
        </w:rPr>
        <w:t xml:space="preserve"> </w:t>
      </w:r>
      <w:r>
        <w:rPr>
          <w:rFonts w:hint="eastAsia" w:ascii="仿宋" w:hAnsi="仿宋" w:eastAsia="仿宋" w:cs="仿宋"/>
          <w:i/>
          <w:iCs/>
          <w:sz w:val="24"/>
          <w:szCs w:val="24"/>
          <w:highlight w:val="none"/>
          <w:u w:val="single"/>
        </w:rPr>
        <w:t xml:space="preserve"> 3</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天内将索赔资料（变更原因、材料价格、变更金额）书面报发包人审核，索赔事件结束后</w:t>
      </w:r>
      <w:r>
        <w:rPr>
          <w:rFonts w:hint="eastAsia" w:ascii="仿宋" w:hAnsi="仿宋" w:eastAsia="仿宋" w:cs="仿宋"/>
          <w:sz w:val="24"/>
          <w:szCs w:val="24"/>
          <w:highlight w:val="none"/>
          <w:u w:val="single"/>
        </w:rPr>
        <w:t xml:space="preserve"> </w:t>
      </w:r>
      <w:r>
        <w:rPr>
          <w:rFonts w:hint="eastAsia" w:ascii="仿宋" w:hAnsi="仿宋" w:eastAsia="仿宋" w:cs="仿宋"/>
          <w:i/>
          <w:iCs/>
          <w:sz w:val="24"/>
          <w:szCs w:val="24"/>
          <w:highlight w:val="none"/>
          <w:u w:val="single"/>
        </w:rPr>
        <w:t xml:space="preserve">14 </w:t>
      </w:r>
      <w:r>
        <w:rPr>
          <w:rFonts w:hint="eastAsia" w:ascii="仿宋" w:hAnsi="仿宋" w:eastAsia="仿宋" w:cs="仿宋"/>
          <w:sz w:val="24"/>
          <w:szCs w:val="24"/>
          <w:highlight w:val="none"/>
          <w:u w:val="single"/>
        </w:rPr>
        <w:t>天内</w:t>
      </w:r>
      <w:r>
        <w:rPr>
          <w:rFonts w:hint="eastAsia" w:ascii="仿宋" w:hAnsi="仿宋" w:eastAsia="仿宋" w:cs="仿宋"/>
          <w:sz w:val="24"/>
          <w:szCs w:val="24"/>
          <w:highlight w:val="none"/>
        </w:rPr>
        <w:t>形成签章齐全的经济技术资料。</w:t>
      </w:r>
    </w:p>
    <w:p w14:paraId="05DCF7F6">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□变更合同价款按下列方法进行：</w:t>
      </w:r>
    </w:p>
    <w:p w14:paraId="22355367">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关于变更估价的约定: （1）如发生与原子项相同的清单项，以承包人中标后调整的最终版工程量清单中已有综合单价乘以工程量进行结算。</w:t>
      </w:r>
    </w:p>
    <w:p w14:paraId="463C0939">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如发生与原子项相类似的清单项，新增清单项的消耗量按原子项执行（高于定额含量的按定额含量执行、低于定额含量的按原投标含量执行）；新增清单项的人工、机械单价执行原子项单价，承包人中标后调整的最终版工程量清单中已有价格的材料执行中标价格，承包人中标后调整的最终版工程量清单中没有价格的主要材料按照发包人、监理人确认的价格执行；管理费、利润等组成综合单价的其他因素均不作调整。按以上原则生成新综合单价，以实际工程量据实结算。清单已有价格的材料（如电线电缆、管材等）设备，仅规格型号发生变更的，变更后仅调整不同规格型号的材料设备市场价差。</w:t>
      </w:r>
    </w:p>
    <w:p w14:paraId="4526FC3B">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□变更合同价款按下列方法进行：</w:t>
      </w:r>
    </w:p>
    <w:p w14:paraId="55D429C3">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（1）如发生与原子项相同的清单项，以承包人开标修正后的已标价工程量清单中已有综合单价（按合同协议书约定同比例下浮后）乘以工程量进行结算。</w:t>
      </w:r>
    </w:p>
    <w:p w14:paraId="0709EF39">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如发生与原子项相类似的清单项，新增清单项的消耗量按原子项执行（高于定额含量的按定额含量执行、低于定额含量的按原投标含量执行）；新增清单项的人工、机械单价执行原子项单价（下浮后），开标修正后的已标价工程量清单中已有价格的材料执行已有清单价格（下浮后），开标修正后的已标价工程量清单中没有价格的主要材料按照发包人、监理人确认的价格执行；管理费、利润等组成综合单价的其他因素均不作调整。按以上原则生成新综合单价，以实际工程量据实结算。清单已有价格的材料（如电线电缆、管材等）设备，仅规格型号发生变更的，变更后仅调整不同规格型号的材料设备市场价差。</w:t>
      </w:r>
    </w:p>
    <w:p w14:paraId="27E69E01">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（3）非以上（1）、（2）两种情况，按照以下原则据实结算：</w:t>
      </w:r>
    </w:p>
    <w:p w14:paraId="2B3735C1">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1 \* GB3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①</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计价依据：</w:t>
      </w:r>
      <w:r>
        <w:rPr>
          <w:rFonts w:hint="eastAsia" w:ascii="仿宋" w:hAnsi="仿宋" w:eastAsia="仿宋" w:cs="仿宋"/>
          <w:i/>
          <w:iCs/>
          <w:sz w:val="24"/>
          <w:szCs w:val="24"/>
          <w:highlight w:val="none"/>
        </w:rPr>
        <w:t>（说明：根据最新依据动态调整）</w:t>
      </w:r>
    </w:p>
    <w:p w14:paraId="3406CCA6">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2016版《山东省建筑工程消耗量定额》、2016版《山东省安装工程消耗量定额》、2016版《山东省市政工程消耗量定额》、2016版《山东省园林绿化工程消耗量定额》及相应2020版价目表；2020版《山东省房屋修缮工程消耗量定额》及2021版价目表；</w:t>
      </w:r>
    </w:p>
    <w:p w14:paraId="00D7D034">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2 \* GB3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②</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工程类别：建筑执行Ⅲ类取费，安装执行工业安装取费，装饰执行Ⅲ类取费，市政执行Ⅲ类取费；</w:t>
      </w:r>
    </w:p>
    <w:p w14:paraId="7B2C6E76">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3 \* GB3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③</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人工费建筑工程128元/工日，装饰工程138元/工日，安装工程138元/工日，市政工程117元/工日，园林绿化工程117元/工日；《山东省建设工程施工机械台班费用编制规则》（鲁建标字〔2016〕39号）中的人工单价调整为130元/工日；材料费投标文件中已有价格的材料执行中标价格，投标文件中没有价格的主要材料按照监理方、发包人书面确定的价格执行，其中清单已有价格的材料（如电线电缆、管材等）设备，仅规格型号发生变更的，变更后仅调整不同规格型号的材料设备市场价差。</w:t>
      </w:r>
    </w:p>
    <w:p w14:paraId="0DA5C2CB">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 4 \* GB3 \* MERGEFORMAT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④</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承包人按上述原则就清单外工作内容按总造价最终优惠率（即让利【】%）；但经发包人审核签认的计入设备费的设备价格不参与让利，（材料和设备划分标准执行《建筑工程计价设备材料划分标准》GB/T50531-2009）。</w:t>
      </w:r>
    </w:p>
    <w:p w14:paraId="71953F64">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（4）非以上（1）、（2）、（3）三种情况，由承包人事前提出书面报价，由发包人按照规定程序审批后确定单价，以实际工程量结算。</w:t>
      </w:r>
    </w:p>
    <w:p w14:paraId="4F386DDA">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（5）按上述原则组成的新综合单价，明显偏离市场价时，发包人有权利对其价格进行调整。</w:t>
      </w:r>
    </w:p>
    <w:p w14:paraId="42F1702D">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（6）招标文件或其他有关文件中所列材料暂定价按照发包人书面确定的价格进行调整。</w:t>
      </w:r>
    </w:p>
    <w:p w14:paraId="69C15724">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w:t>
      </w:r>
      <w:bookmarkStart w:id="47" w:name="_Hlk178170469"/>
      <w:r>
        <w:rPr>
          <w:rFonts w:hint="eastAsia" w:ascii="仿宋" w:hAnsi="仿宋" w:eastAsia="仿宋" w:cs="仿宋"/>
          <w:sz w:val="24"/>
          <w:szCs w:val="24"/>
          <w:highlight w:val="none"/>
        </w:rPr>
        <w:t>因变更或其它情况（除本条后面另行约定外）导致实际完成的工程量与预算书或工程量清单中有变化时，综合单价不予调整。但当实际完成的工程量比已标价工程量清单载明的工程量增加超过15%，且发包人发现承包人的已标价工程量清单相关清单子目中存在异常偏高的，超出已标价工程量清单载明的工程量15%的部分，发包人有权对异常偏高的综合单价进行修正，并按修正后的综合单价进行竣工结算。异常偏高是指清单综合单价（下浮后）与发包人按照</w:t>
      </w:r>
      <w:r>
        <w:rPr>
          <w:rFonts w:ascii="仿宋" w:hAnsi="仿宋" w:eastAsia="仿宋" w:cs="仿宋"/>
          <w:sz w:val="24"/>
          <w:szCs w:val="24"/>
          <w:highlight w:val="none"/>
        </w:rPr>
        <w:t>4.4.1</w:t>
      </w:r>
      <w:r>
        <w:rPr>
          <w:rFonts w:hint="eastAsia" w:ascii="仿宋" w:hAnsi="仿宋" w:eastAsia="仿宋" w:cs="仿宋"/>
          <w:sz w:val="24"/>
          <w:szCs w:val="24"/>
          <w:highlight w:val="none"/>
        </w:rPr>
        <w:t>第（3）条约定而确定的综合单价高出50%及以上</w:t>
      </w:r>
      <w:bookmarkEnd w:id="47"/>
      <w:r>
        <w:rPr>
          <w:rFonts w:hint="eastAsia" w:ascii="仿宋" w:hAnsi="仿宋" w:eastAsia="仿宋" w:cs="仿宋"/>
          <w:sz w:val="24"/>
          <w:szCs w:val="24"/>
          <w:highlight w:val="none"/>
        </w:rPr>
        <w:t>，发包人有权对异常偏高的综合单价按照4.4.1第（3）条进行修正。</w:t>
      </w:r>
    </w:p>
    <w:p w14:paraId="4FE57ADF">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Calibri"/>
          <w:sz w:val="24"/>
          <w:szCs w:val="24"/>
          <w:highlight w:val="none"/>
        </w:rPr>
        <w:t>□</w:t>
      </w:r>
      <w:r>
        <w:rPr>
          <w:rFonts w:hint="eastAsia" w:ascii="仿宋" w:hAnsi="仿宋" w:eastAsia="仿宋" w:cs="仿宋"/>
          <w:sz w:val="24"/>
          <w:szCs w:val="24"/>
          <w:highlight w:val="none"/>
        </w:rPr>
        <w:t>本工程清单内及清单外所有的措施费总价包干使用。无论发生任何变化，措施费均不做调整；</w:t>
      </w:r>
    </w:p>
    <w:p w14:paraId="39E7959C">
      <w:pPr>
        <w:spacing w:line="520" w:lineRule="exact"/>
        <w:ind w:firstLine="480" w:firstLineChars="200"/>
        <w:rPr>
          <w:rFonts w:ascii="仿宋" w:hAnsi="仿宋" w:eastAsia="仿宋" w:cs="仿宋"/>
          <w:i/>
          <w:iCs/>
          <w:sz w:val="24"/>
          <w:szCs w:val="24"/>
          <w:highlight w:val="none"/>
        </w:rPr>
      </w:pPr>
      <w:r>
        <w:rPr>
          <w:rFonts w:hint="eastAsia" w:ascii="仿宋" w:hAnsi="仿宋" w:eastAsia="仿宋" w:cs="仿宋"/>
          <w:sz w:val="24"/>
          <w:szCs w:val="24"/>
          <w:highlight w:val="none"/>
        </w:rPr>
        <w:t>□承包人已对拟建工程（含设计变更及工程量变化）可能发生的措施项目和措施费用作通盘考虑，清单计价一经报出即被认为是包括了所有应该发生的措施项目的全部费用。如果报出的清单中没有列项，而施工中又必须发生的项目，发包人有权认为，其已经综合在分部分项工程量清单的综合单价中。将来措施项目发生时承包人不得以任何借口提出索赔与调整，中标清单措施费包干使用，均不作任何调整。</w:t>
      </w:r>
    </w:p>
    <w:p w14:paraId="64AD2C70">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（9）本项目总承包服务费及甲供材料（设备）采保费：□无。□共</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万元，包干使用。</w:t>
      </w:r>
    </w:p>
    <w:p w14:paraId="48CBE949">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（10）税金：本工程增值税税率为9%。</w:t>
      </w:r>
      <w:r>
        <w:rPr>
          <w:rFonts w:hint="eastAsia" w:ascii="仿宋" w:hAnsi="仿宋" w:eastAsia="仿宋" w:cs="仿宋"/>
          <w:i/>
          <w:iCs/>
          <w:sz w:val="24"/>
          <w:szCs w:val="24"/>
          <w:highlight w:val="none"/>
        </w:rPr>
        <w:t>（根据最新政策调整）</w:t>
      </w:r>
    </w:p>
    <w:p w14:paraId="5BC615D0">
      <w:pPr>
        <w:spacing w:line="5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（11）计日工      元/工日（全费用）。</w:t>
      </w:r>
    </w:p>
    <w:p w14:paraId="188E482D">
      <w:pPr>
        <w:adjustRightInd w:val="0"/>
        <w:snapToGrid w:val="0"/>
        <w:spacing w:line="520" w:lineRule="exact"/>
        <w:ind w:firstLine="422" w:firstLineChars="175"/>
        <w:rPr>
          <w:rFonts w:ascii="仿宋" w:hAnsi="仿宋" w:eastAsia="仿宋" w:cs="仿宋"/>
          <w:b/>
          <w:bCs/>
          <w:sz w:val="24"/>
          <w:szCs w:val="24"/>
          <w:highlight w:val="none"/>
        </w:rPr>
      </w:pPr>
      <w:r>
        <w:rPr>
          <w:rFonts w:hint="eastAsia" w:ascii="仿宋" w:hAnsi="仿宋" w:eastAsia="仿宋" w:cs="仿宋"/>
          <w:b/>
          <w:bCs/>
          <w:sz w:val="24"/>
          <w:szCs w:val="24"/>
          <w:highlight w:val="none"/>
        </w:rPr>
        <w:t>第二种方式</w:t>
      </w:r>
    </w:p>
    <w:p w14:paraId="27D46675">
      <w:pPr>
        <w:adjustRightInd w:val="0"/>
        <w:snapToGrid w:val="0"/>
        <w:spacing w:line="520" w:lineRule="exact"/>
        <w:ind w:firstLine="422" w:firstLineChars="175"/>
        <w:rPr>
          <w:rFonts w:ascii="仿宋" w:hAnsi="仿宋" w:eastAsia="仿宋" w:cs="仿宋"/>
          <w:b/>
          <w:bCs/>
          <w:sz w:val="24"/>
          <w:szCs w:val="24"/>
          <w:highlight w:val="none"/>
        </w:rPr>
      </w:pPr>
      <w:r>
        <w:rPr>
          <w:rFonts w:hint="eastAsia" w:ascii="仿宋" w:hAnsi="仿宋" w:eastAsia="仿宋" w:cs="仿宋"/>
          <w:b/>
          <w:bCs/>
          <w:sz w:val="24"/>
          <w:szCs w:val="24"/>
          <w:highlight w:val="none"/>
        </w:rPr>
        <w:sym w:font="Wingdings 2" w:char="00A3"/>
      </w:r>
      <w:r>
        <w:rPr>
          <w:rFonts w:hint="eastAsia" w:ascii="仿宋" w:hAnsi="仿宋" w:eastAsia="仿宋" w:cs="仿宋"/>
          <w:b/>
          <w:bCs/>
          <w:sz w:val="24"/>
          <w:szCs w:val="24"/>
          <w:highlight w:val="none"/>
        </w:rPr>
        <w:t>固定总价合同</w:t>
      </w:r>
    </w:p>
    <w:p w14:paraId="595A439C">
      <w:pPr>
        <w:adjustRightInd w:val="0"/>
        <w:snapToGrid w:val="0"/>
        <w:spacing w:line="520" w:lineRule="exact"/>
        <w:ind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4.1合同价款：</w:t>
      </w:r>
    </w:p>
    <w:p w14:paraId="6786D8C6">
      <w:pPr>
        <w:adjustRightInd w:val="0"/>
        <w:snapToGrid w:val="0"/>
        <w:spacing w:line="520" w:lineRule="exact"/>
        <w:ind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本工程合同价</w:t>
      </w:r>
      <w:r>
        <w:rPr>
          <w:rFonts w:ascii="仿宋" w:hAnsi="仿宋" w:eastAsia="仿宋" w:cs="仿宋"/>
          <w:sz w:val="24"/>
          <w:szCs w:val="24"/>
          <w:highlight w:val="none"/>
        </w:rPr>
        <w:t>款</w:t>
      </w: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rPr>
        <w:t xml:space="preserve">             元(大写金额：            </w:t>
      </w:r>
      <w:r>
        <w:rPr>
          <w:rFonts w:hint="eastAsia" w:ascii="仿宋" w:hAnsi="仿宋" w:eastAsia="仿宋" w:cs="仿宋"/>
          <w:sz w:val="24"/>
          <w:szCs w:val="24"/>
          <w:highlight w:val="none"/>
        </w:rPr>
        <w:t>)。</w:t>
      </w:r>
    </w:p>
    <w:p w14:paraId="6EFE9904">
      <w:pPr>
        <w:adjustRightInd w:val="0"/>
        <w:snapToGrid w:val="0"/>
        <w:spacing w:line="520" w:lineRule="exact"/>
        <w:ind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4.2本工程合同价格形式为：</w:t>
      </w:r>
      <w:r>
        <w:rPr>
          <w:rFonts w:hint="eastAsia" w:ascii="仿宋" w:hAnsi="仿宋" w:eastAsia="仿宋" w:cs="仿宋"/>
          <w:sz w:val="24"/>
          <w:szCs w:val="24"/>
          <w:highlight w:val="none"/>
          <w:u w:val="single"/>
        </w:rPr>
        <w:t>固定总价。</w:t>
      </w:r>
      <w:r>
        <w:rPr>
          <w:rFonts w:hint="eastAsia" w:ascii="仿宋" w:hAnsi="仿宋" w:eastAsia="仿宋" w:cs="仿宋"/>
          <w:i/>
          <w:iCs/>
          <w:sz w:val="24"/>
          <w:szCs w:val="24"/>
          <w:highlight w:val="none"/>
          <w:u w:val="single"/>
        </w:rPr>
        <w:t>合同价格包括本合同中承包人的全部责任和义务所需发生的所有费用，而且本工程报价中包含了为完成本工程所需的各种施工项目相关的费用。合同价款包括</w:t>
      </w:r>
      <w:r>
        <w:rPr>
          <w:rFonts w:hint="eastAsia" w:ascii="仿宋" w:hAnsi="仿宋" w:eastAsia="仿宋" w:cs="仿宋"/>
          <w:bCs/>
          <w:i/>
          <w:iCs/>
          <w:sz w:val="24"/>
          <w:szCs w:val="24"/>
          <w:highlight w:val="none"/>
          <w:u w:val="single"/>
        </w:rPr>
        <w:t>但不限于：深化设计费、人工费、材料费（损耗费、辅材费、制作加工费、包装费、运输费、装卸费、采购保管费、试验及检测费、安装费、样品费）、机械费、</w:t>
      </w:r>
      <w:r>
        <w:rPr>
          <w:rFonts w:hint="eastAsia" w:ascii="仿宋" w:hAnsi="仿宋" w:eastAsia="仿宋" w:cs="仿宋"/>
          <w:i/>
          <w:iCs/>
          <w:sz w:val="24"/>
          <w:szCs w:val="24"/>
          <w:highlight w:val="none"/>
          <w:u w:val="single"/>
        </w:rPr>
        <w:t>措施费（包含赶工措施费、安全文明施工、临时设施、</w:t>
      </w:r>
      <w:r>
        <w:rPr>
          <w:rFonts w:hint="eastAsia" w:ascii="仿宋" w:hAnsi="仿宋" w:eastAsia="仿宋" w:cs="仿宋"/>
          <w:bCs/>
          <w:i/>
          <w:iCs/>
          <w:sz w:val="24"/>
          <w:szCs w:val="24"/>
          <w:highlight w:val="none"/>
          <w:u w:val="single"/>
        </w:rPr>
        <w:t>半成品及成品保护、</w:t>
      </w:r>
      <w:r>
        <w:rPr>
          <w:rFonts w:hint="eastAsia" w:ascii="仿宋" w:hAnsi="仿宋" w:eastAsia="仿宋" w:cs="仿宋"/>
          <w:i/>
          <w:iCs/>
          <w:sz w:val="24"/>
          <w:szCs w:val="24"/>
          <w:highlight w:val="none"/>
          <w:u w:val="single"/>
        </w:rPr>
        <w:t>垃圾清运）、企业管理费、利润、规费、税金、保险、</w:t>
      </w:r>
      <w:r>
        <w:rPr>
          <w:rFonts w:hint="eastAsia" w:ascii="仿宋" w:hAnsi="仿宋" w:eastAsia="仿宋" w:cs="仿宋"/>
          <w:bCs/>
          <w:i/>
          <w:iCs/>
          <w:sz w:val="24"/>
          <w:szCs w:val="24"/>
          <w:highlight w:val="none"/>
          <w:u w:val="single"/>
        </w:rPr>
        <w:t>技术资料费、竣工资料费、</w:t>
      </w:r>
      <w:r>
        <w:rPr>
          <w:rFonts w:hint="eastAsia" w:ascii="仿宋" w:hAnsi="仿宋" w:eastAsia="仿宋" w:cs="仿宋"/>
          <w:i/>
          <w:iCs/>
          <w:sz w:val="24"/>
          <w:szCs w:val="24"/>
          <w:highlight w:val="none"/>
          <w:u w:val="single"/>
        </w:rPr>
        <w:t>质量保修、配合其他单位施工的相关费用及人工材料涨价、汇率变动、政策性文件规定等不可预见费用的所有费用</w:t>
      </w:r>
      <w:r>
        <w:rPr>
          <w:rFonts w:hint="eastAsia" w:ascii="仿宋" w:hAnsi="仿宋" w:eastAsia="仿宋" w:cs="仿宋"/>
          <w:bCs/>
          <w:i/>
          <w:iCs/>
          <w:sz w:val="24"/>
          <w:szCs w:val="24"/>
          <w:highlight w:val="none"/>
          <w:u w:val="single"/>
        </w:rPr>
        <w:t>。</w:t>
      </w:r>
    </w:p>
    <w:p w14:paraId="4E46772E">
      <w:pPr>
        <w:adjustRightInd w:val="0"/>
        <w:snapToGrid w:val="0"/>
        <w:spacing w:line="520" w:lineRule="exact"/>
        <w:ind w:firstLine="420" w:firstLineChars="175"/>
        <w:jc w:val="left"/>
        <w:rPr>
          <w:rFonts w:ascii="仿宋" w:hAnsi="仿宋" w:eastAsia="仿宋" w:cs="仿宋"/>
          <w:sz w:val="24"/>
          <w:szCs w:val="24"/>
          <w:highlight w:val="none"/>
        </w:rPr>
      </w:pPr>
      <w:r>
        <w:rPr>
          <w:rFonts w:hint="eastAsia" w:ascii="仿宋" w:hAnsi="仿宋" w:eastAsia="仿宋" w:cs="仿宋"/>
          <w:sz w:val="24"/>
          <w:szCs w:val="24"/>
          <w:highlight w:val="none"/>
        </w:rPr>
        <w:t>本合同内工作范围按照发包人在招标文件中给定的范围最终确定，发包人不接受由于承包人对招标范围的理解存在偏差而导致的任何索赔或价格上调。</w:t>
      </w:r>
    </w:p>
    <w:p w14:paraId="72981C50">
      <w:pPr>
        <w:tabs>
          <w:tab w:val="left" w:pos="5565"/>
        </w:tabs>
        <w:adjustRightInd w:val="0"/>
        <w:snapToGrid w:val="0"/>
        <w:spacing w:line="520" w:lineRule="exact"/>
        <w:ind w:firstLine="420" w:firstLineChars="175"/>
        <w:rPr>
          <w:rFonts w:ascii="仿宋" w:hAnsi="仿宋" w:eastAsia="仿宋" w:cs="仿宋"/>
          <w:b/>
          <w:bCs/>
          <w:sz w:val="24"/>
          <w:szCs w:val="24"/>
          <w:highlight w:val="none"/>
        </w:rPr>
      </w:pPr>
      <w:r>
        <w:rPr>
          <w:rFonts w:hint="eastAsia" w:ascii="仿宋" w:hAnsi="仿宋" w:eastAsia="仿宋" w:cs="仿宋"/>
          <w:sz w:val="24"/>
          <w:szCs w:val="24"/>
          <w:highlight w:val="none"/>
        </w:rPr>
        <w:t>4.3工程款支付</w:t>
      </w:r>
      <w:r>
        <w:rPr>
          <w:rFonts w:hint="eastAsia" w:ascii="仿宋" w:hAnsi="仿宋" w:eastAsia="仿宋" w:cs="仿宋"/>
          <w:sz w:val="24"/>
          <w:szCs w:val="24"/>
          <w:highlight w:val="none"/>
          <w:u w:val="single"/>
        </w:rPr>
        <w:t>（与上面固定综合单价部分相应内容一致）。</w:t>
      </w:r>
    </w:p>
    <w:p w14:paraId="26EC16BB">
      <w:pPr>
        <w:pStyle w:val="5"/>
        <w:adjustRightInd w:val="0"/>
        <w:snapToGrid w:val="0"/>
        <w:spacing w:before="120" w:after="120" w:line="520" w:lineRule="exact"/>
        <w:rPr>
          <w:rFonts w:ascii="仿宋" w:hAnsi="仿宋" w:eastAsia="仿宋" w:cs="仿宋"/>
          <w:sz w:val="24"/>
          <w:szCs w:val="24"/>
          <w:highlight w:val="none"/>
        </w:rPr>
      </w:pPr>
      <w:r>
        <w:rPr>
          <w:rFonts w:hint="eastAsia" w:ascii="仿宋" w:hAnsi="仿宋" w:eastAsia="仿宋" w:cs="仿宋"/>
          <w:sz w:val="24"/>
          <w:szCs w:val="24"/>
          <w:highlight w:val="none"/>
        </w:rPr>
        <w:t>五、材料设备的供应和采购</w:t>
      </w:r>
    </w:p>
    <w:p w14:paraId="32546104">
      <w:pPr>
        <w:adjustRightInd w:val="0"/>
        <w:snapToGrid w:val="0"/>
        <w:spacing w:line="5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5.1本工程的材料、设备由承包人采购。</w:t>
      </w:r>
    </w:p>
    <w:p w14:paraId="46C2BF0C">
      <w:pPr>
        <w:adjustRightInd w:val="0"/>
        <w:snapToGrid w:val="0"/>
        <w:spacing w:line="520" w:lineRule="exact"/>
        <w:ind w:firstLine="480" w:firstLineChars="200"/>
        <w:rPr>
          <w:rFonts w:ascii="仿宋" w:hAnsi="仿宋" w:eastAsia="仿宋" w:cs="仿宋"/>
          <w:sz w:val="24"/>
          <w:highlight w:val="none"/>
        </w:rPr>
      </w:pPr>
      <w:r>
        <w:rPr>
          <w:rFonts w:hint="eastAsia" w:ascii="仿宋" w:hAnsi="仿宋" w:eastAsia="仿宋" w:cs="仿宋"/>
          <w:kern w:val="0"/>
          <w:sz w:val="24"/>
          <w:szCs w:val="24"/>
          <w:highlight w:val="none"/>
        </w:rPr>
        <w:t>5.2本工程的主要设备及主要材料品牌按照附件表中选择。投标文件中已按附件选择品牌的，按投标文件所报品牌执行；未按附件选择的，施工过程中必须按此表选择品牌；附表外其他材料，承包人在投标时明确品牌的必须使用投标品牌。另外，材料及设备必须是原厂生产，禁止使用委托第三人生产后贴牌的材料和设备，否则按不合格材料处理，承包人按合同条款承担违约责任</w:t>
      </w:r>
      <w:r>
        <w:rPr>
          <w:rFonts w:hint="eastAsia" w:ascii="仿宋" w:hAnsi="仿宋" w:eastAsia="仿宋" w:cs="仿宋"/>
          <w:sz w:val="24"/>
          <w:highlight w:val="none"/>
        </w:rPr>
        <w:t>。</w:t>
      </w:r>
    </w:p>
    <w:p w14:paraId="53096C40">
      <w:pPr>
        <w:adjustRightInd w:val="0"/>
        <w:snapToGrid w:val="0"/>
        <w:spacing w:line="5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未经发包人批准，承包人不得擅自使用替代材料或工程设备，否则视为使用不合格材料，一经发现，无论本工程是否已经竣工或是否验收合格，发包人均有权要求承包人对其进行更换，并按照应该使用的材料及设备总价的2倍向发包人承担违约金，因更换造成的工期延误和费用由承包人承担。在承包人完成更换之前，该部分工程款不予计入进度款或者进行结算。</w:t>
      </w:r>
    </w:p>
    <w:p w14:paraId="346A2A27">
      <w:pPr>
        <w:adjustRightInd w:val="0"/>
        <w:snapToGrid w:val="0"/>
        <w:spacing w:line="5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若因市场货源不足或供货时间原因确需采用其他品牌、厂家同类产品替代的，承包人必须报发包人审核批准，并同时核定替代产品的单价。若替代产品的市场单价高于合同约定（投标）品牌市场单价，不予调整；若低于合同约定（投标）品牌市场单价，按市场差价据实调整。</w:t>
      </w:r>
    </w:p>
    <w:p w14:paraId="170D7437">
      <w:pPr>
        <w:adjustRightInd w:val="0"/>
        <w:snapToGrid w:val="0"/>
        <w:spacing w:line="5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根据项目需要，发包人有权自行将部分乙购材料、设备改为甲供，或将部分甲供材料、设备改为甲指乙购，价格调整按合同约定条款执行。发包人无需为上述采购方式的变化向承包人支付其他额外费用或者补偿，且工期不予顺延。</w:t>
      </w:r>
    </w:p>
    <w:p w14:paraId="78DD0F6A">
      <w:pPr>
        <w:adjustRightInd w:val="0"/>
        <w:snapToGrid w:val="0"/>
        <w:spacing w:line="5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项目施工所有（不含甲供材料设备、甲分包部分）试验检测费用（包括但不限于见证取样复试、地基基础检测、主体结构检测、钢结构检测、空气质量检测、弱电检测、外墙保温系统型式检测、防雷检测、消防检测、沉降观测、焊缝检测、配电平台高低压设备的相关试验、各类流量计、能量计、温度压力传感器的校验（项目内部验收完移交时，计量装置必须在有效期内）等）均已综合考虑并包含在承包人投标总价中。根据《建设工程质量检测管理办法》第二十一条及《山东省住房和城乡建设厅关于压实建设单位工程质量首要责任的实施办法》，非建设单位委托的检测机构出具的检测报告不得作为工程质量验收资料。乙购材料设备的见证取样送检及施工专项检测（如焊缝探伤等），由发包人委托具有相应资质的第三方检测单位进行检测。若所发生的检测费用由发包人按检测委托合同支付的，在竣工结算时按实际发生检测总费用予以扣除。若所发生的检测费由发包人委托人直接垫付的，由承包人支付给发包人委托人。</w:t>
      </w:r>
    </w:p>
    <w:p w14:paraId="17A3FC76">
      <w:pPr>
        <w:pStyle w:val="5"/>
        <w:adjustRightInd w:val="0"/>
        <w:snapToGrid w:val="0"/>
        <w:spacing w:before="120" w:after="120" w:line="520" w:lineRule="exact"/>
        <w:rPr>
          <w:rFonts w:ascii="仿宋" w:hAnsi="仿宋" w:eastAsia="仿宋" w:cs="仿宋"/>
          <w:sz w:val="24"/>
          <w:szCs w:val="24"/>
          <w:highlight w:val="none"/>
        </w:rPr>
      </w:pPr>
      <w:r>
        <w:rPr>
          <w:rFonts w:hint="eastAsia" w:ascii="仿宋" w:hAnsi="仿宋" w:eastAsia="仿宋" w:cs="仿宋"/>
          <w:sz w:val="24"/>
          <w:szCs w:val="24"/>
          <w:highlight w:val="none"/>
        </w:rPr>
        <w:t>六、竣工验收</w:t>
      </w:r>
    </w:p>
    <w:p w14:paraId="3C63090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6.1工程完成后，在组织竣工验收前，承包人应向发包人移交</w:t>
      </w:r>
      <w:r>
        <w:rPr>
          <w:rFonts w:hint="eastAsia" w:ascii="仿宋" w:hAnsi="仿宋" w:eastAsia="仿宋" w:cs="仿宋"/>
          <w:sz w:val="24"/>
          <w:szCs w:val="24"/>
          <w:highlight w:val="none"/>
          <w:u w:val="single"/>
        </w:rPr>
        <w:t>三</w:t>
      </w:r>
      <w:r>
        <w:rPr>
          <w:rFonts w:hint="eastAsia" w:ascii="仿宋" w:hAnsi="仿宋" w:eastAsia="仿宋" w:cs="仿宋"/>
          <w:sz w:val="24"/>
          <w:szCs w:val="24"/>
          <w:highlight w:val="none"/>
        </w:rPr>
        <w:t>套完整、合格的竣工资料及全套资料扫描电子版（硬盘存储），承包人提交的竣工资料不符合归档及备案要求的，发包人有权退回，承包人应当按要求重新提交合格的竣工资料，在未完成竣工资料移交前发包人不予组织竣工验收，由此造成工期逾期及其他损失，由承包人承担。</w:t>
      </w:r>
    </w:p>
    <w:p w14:paraId="7E0EE20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为免异议，若双方因任何阶段的工程款金额、支付等事宜产生纠纷的，承包人仍应向发包人移交竣工资料及其他资料，不得以任何理由延迟或拒绝移交，前述纠纷由双方友好协商或通过本合同约定的争议解决方式解决。</w:t>
      </w:r>
    </w:p>
    <w:p w14:paraId="74BCDDF8">
      <w:pPr>
        <w:adjustRightInd w:val="0"/>
        <w:snapToGrid w:val="0"/>
        <w:spacing w:line="520" w:lineRule="exact"/>
        <w:ind w:right="-74"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6.</w:t>
      </w:r>
      <w:r>
        <w:rPr>
          <w:rFonts w:ascii="仿宋" w:hAnsi="仿宋" w:eastAsia="仿宋" w:cs="仿宋"/>
          <w:sz w:val="24"/>
          <w:szCs w:val="24"/>
          <w:highlight w:val="none"/>
        </w:rPr>
        <w:t>2</w:t>
      </w:r>
      <w:r>
        <w:rPr>
          <w:rFonts w:hint="eastAsia" w:ascii="仿宋" w:hAnsi="仿宋" w:eastAsia="仿宋" w:cs="仿宋"/>
          <w:sz w:val="24"/>
          <w:szCs w:val="24"/>
          <w:highlight w:val="none"/>
        </w:rPr>
        <w:t>工程具备竣工验收条件，承包人应按国家工程竣工验收有关规定，提前7日向发包人提交完整竣工资料、竣工验收报告、工程质量保修书及工程结算资料。发包人认为符合验收条件后组织验收，验收过程中发现的不合格处承包人必须限期整改并达到复验合格标准。</w:t>
      </w:r>
    </w:p>
    <w:p w14:paraId="5B852684">
      <w:pPr>
        <w:adjustRightInd w:val="0"/>
        <w:snapToGrid w:val="0"/>
        <w:spacing w:line="520" w:lineRule="exact"/>
        <w:ind w:right="-74"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6.</w:t>
      </w:r>
      <w:r>
        <w:rPr>
          <w:rFonts w:ascii="仿宋" w:hAnsi="仿宋" w:eastAsia="仿宋" w:cs="仿宋"/>
          <w:sz w:val="24"/>
          <w:szCs w:val="24"/>
          <w:highlight w:val="none"/>
        </w:rPr>
        <w:t>3</w:t>
      </w:r>
      <w:r>
        <w:rPr>
          <w:rFonts w:hint="eastAsia" w:ascii="仿宋" w:hAnsi="仿宋" w:eastAsia="仿宋" w:cs="仿宋"/>
          <w:sz w:val="24"/>
          <w:szCs w:val="24"/>
          <w:highlight w:val="none"/>
        </w:rPr>
        <w:t>承包人应在竣工验收合格后</w:t>
      </w:r>
      <w:r>
        <w:rPr>
          <w:rFonts w:hint="eastAsia" w:ascii="仿宋" w:hAnsi="仿宋" w:eastAsia="仿宋" w:cs="仿宋"/>
          <w:sz w:val="24"/>
          <w:szCs w:val="24"/>
          <w:highlight w:val="none"/>
          <w:u w:val="single"/>
        </w:rPr>
        <w:t xml:space="preserve"> 7 </w:t>
      </w:r>
      <w:r>
        <w:rPr>
          <w:rFonts w:hint="eastAsia" w:ascii="仿宋" w:hAnsi="仿宋" w:eastAsia="仿宋" w:cs="仿宋"/>
          <w:sz w:val="24"/>
          <w:szCs w:val="24"/>
          <w:highlight w:val="none"/>
        </w:rPr>
        <w:t>日内完成以下工作：</w:t>
      </w:r>
    </w:p>
    <w:p w14:paraId="60CA6B83">
      <w:pPr>
        <w:tabs>
          <w:tab w:val="left" w:pos="720"/>
          <w:tab w:val="left" w:pos="1260"/>
        </w:tabs>
        <w:adjustRightInd w:val="0"/>
        <w:snapToGrid w:val="0"/>
        <w:spacing w:line="520" w:lineRule="exact"/>
        <w:ind w:right="-74"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对本合同承包范围进行全面的现场清理工作，做到工完场清，并撤出全部临建、施工人员、机械设备和剩余材料（除收尾工程所需的以外），并填写工程移交书，经发包人、工程接收单位签字后，视为工程移交完毕；承包人逾期未向发包人移交完毕，承包人按竣工日期拖延支付违约金，每逾期一天按合同最终结算价款</w:t>
      </w:r>
      <w:r>
        <w:rPr>
          <w:rFonts w:ascii="仿宋" w:hAnsi="仿宋" w:eastAsia="仿宋" w:cs="仿宋"/>
          <w:sz w:val="24"/>
          <w:szCs w:val="24"/>
          <w:highlight w:val="none"/>
        </w:rPr>
        <w:t>0.5</w:t>
      </w:r>
      <w:r>
        <w:rPr>
          <w:rFonts w:hint="eastAsia" w:ascii="仿宋" w:hAnsi="仿宋" w:eastAsia="仿宋" w:cs="仿宋"/>
          <w:sz w:val="24"/>
          <w:szCs w:val="24"/>
          <w:highlight w:val="none"/>
        </w:rPr>
        <w:t>‰的金额向发包人支付违约金。</w:t>
      </w:r>
    </w:p>
    <w:p w14:paraId="0BCA1ED4">
      <w:pPr>
        <w:adjustRightInd w:val="0"/>
        <w:snapToGrid w:val="0"/>
        <w:spacing w:line="520" w:lineRule="exact"/>
        <w:ind w:right="-74"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6.</w:t>
      </w:r>
      <w:r>
        <w:rPr>
          <w:rFonts w:ascii="仿宋" w:hAnsi="仿宋" w:eastAsia="仿宋" w:cs="仿宋"/>
          <w:sz w:val="24"/>
          <w:szCs w:val="24"/>
          <w:highlight w:val="none"/>
        </w:rPr>
        <w:t>4</w:t>
      </w:r>
      <w:r>
        <w:rPr>
          <w:rFonts w:hint="eastAsia" w:ascii="仿宋" w:hAnsi="仿宋" w:eastAsia="仿宋" w:cs="仿宋"/>
          <w:sz w:val="24"/>
          <w:szCs w:val="24"/>
          <w:highlight w:val="none"/>
        </w:rPr>
        <w:t>工程在未移交发包人之前，承包人应负责已完工程的成品保护工作，保护期间发生损坏、失窃，承包人自费予以修复。如发包人提前使用，因使用损坏发生的修理费用由发包人承担。</w:t>
      </w:r>
    </w:p>
    <w:p w14:paraId="4D3DAB44">
      <w:pPr>
        <w:pStyle w:val="5"/>
        <w:adjustRightInd w:val="0"/>
        <w:snapToGrid w:val="0"/>
        <w:spacing w:before="120" w:after="120" w:line="520" w:lineRule="exact"/>
        <w:rPr>
          <w:rFonts w:ascii="仿宋" w:hAnsi="仿宋" w:eastAsia="仿宋" w:cs="仿宋"/>
          <w:sz w:val="24"/>
          <w:szCs w:val="24"/>
          <w:highlight w:val="none"/>
        </w:rPr>
      </w:pPr>
      <w:bookmarkStart w:id="48" w:name="_第十一条_工程结算"/>
      <w:bookmarkEnd w:id="48"/>
      <w:r>
        <w:rPr>
          <w:rFonts w:hint="eastAsia" w:ascii="仿宋" w:hAnsi="仿宋" w:eastAsia="仿宋" w:cs="仿宋"/>
          <w:sz w:val="24"/>
          <w:szCs w:val="24"/>
          <w:highlight w:val="none"/>
        </w:rPr>
        <w:t>七、质量保修</w:t>
      </w:r>
    </w:p>
    <w:p w14:paraId="57A3E975">
      <w:pPr>
        <w:adjustRightInd w:val="0"/>
        <w:snapToGrid w:val="0"/>
        <w:spacing w:line="520" w:lineRule="exact"/>
        <w:ind w:right="-74"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7.1本合同工程质量保修期：建设工程的保修期</w:t>
      </w:r>
      <w:r>
        <w:rPr>
          <w:rFonts w:hint="eastAsia" w:ascii="仿宋" w:hAnsi="仿宋" w:eastAsia="仿宋" w:cs="仿宋"/>
          <w:sz w:val="24"/>
          <w:szCs w:val="24"/>
          <w:highlight w:val="none"/>
          <w:u w:val="single"/>
        </w:rPr>
        <w:t>自工程竣工验收合格之日起计算</w:t>
      </w:r>
      <w:r>
        <w:rPr>
          <w:rFonts w:hint="eastAsia" w:ascii="仿宋" w:hAnsi="仿宋" w:eastAsia="仿宋" w:cs="仿宋"/>
          <w:sz w:val="24"/>
          <w:szCs w:val="24"/>
          <w:highlight w:val="none"/>
        </w:rPr>
        <w:t>，详见本合同附件1《工程质量保修书》。</w:t>
      </w:r>
    </w:p>
    <w:p w14:paraId="0A591C5C">
      <w:pPr>
        <w:adjustRightInd w:val="0"/>
        <w:snapToGrid w:val="0"/>
        <w:spacing w:line="520" w:lineRule="exact"/>
        <w:ind w:right="-74"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7.2在保修期内出现</w:t>
      </w:r>
      <w:r>
        <w:rPr>
          <w:rFonts w:hint="eastAsia" w:ascii="仿宋" w:hAnsi="仿宋" w:eastAsia="仿宋" w:cs="仿宋"/>
          <w:i/>
          <w:iCs/>
          <w:sz w:val="24"/>
          <w:szCs w:val="24"/>
          <w:highlight w:val="none"/>
          <w:u w:val="single"/>
        </w:rPr>
        <w:t xml:space="preserve"> 防水 </w:t>
      </w:r>
      <w:r>
        <w:rPr>
          <w:rFonts w:hint="eastAsia" w:ascii="仿宋" w:hAnsi="仿宋" w:eastAsia="仿宋" w:cs="仿宋"/>
          <w:sz w:val="24"/>
          <w:szCs w:val="24"/>
          <w:highlight w:val="none"/>
        </w:rPr>
        <w:t>质量问题经修复完成后，相应保修期重新计算。</w:t>
      </w:r>
    </w:p>
    <w:p w14:paraId="2DAD0B6A">
      <w:pPr>
        <w:pStyle w:val="5"/>
        <w:adjustRightInd w:val="0"/>
        <w:snapToGrid w:val="0"/>
        <w:spacing w:before="120" w:after="120" w:line="520" w:lineRule="exact"/>
        <w:rPr>
          <w:rFonts w:ascii="仿宋" w:hAnsi="仿宋" w:eastAsia="仿宋" w:cs="仿宋"/>
          <w:sz w:val="24"/>
          <w:szCs w:val="24"/>
          <w:highlight w:val="none"/>
        </w:rPr>
      </w:pPr>
      <w:r>
        <w:rPr>
          <w:rFonts w:hint="eastAsia" w:ascii="仿宋" w:hAnsi="仿宋" w:eastAsia="仿宋" w:cs="仿宋"/>
          <w:sz w:val="24"/>
          <w:szCs w:val="24"/>
          <w:highlight w:val="none"/>
        </w:rPr>
        <w:t>八、违约责任</w:t>
      </w:r>
    </w:p>
    <w:p w14:paraId="54943A63">
      <w:pPr>
        <w:adjustRightInd w:val="0"/>
        <w:snapToGrid w:val="0"/>
        <w:spacing w:line="520" w:lineRule="exact"/>
        <w:ind w:right="-74"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8</w:t>
      </w:r>
      <w:r>
        <w:rPr>
          <w:rFonts w:ascii="仿宋" w:hAnsi="仿宋" w:eastAsia="仿宋" w:cs="仿宋"/>
          <w:sz w:val="24"/>
          <w:szCs w:val="24"/>
          <w:highlight w:val="none"/>
        </w:rPr>
        <w:t>.1</w:t>
      </w:r>
      <w:r>
        <w:rPr>
          <w:rFonts w:hint="eastAsia" w:ascii="仿宋" w:hAnsi="仿宋" w:eastAsia="仿宋" w:cs="仿宋"/>
          <w:sz w:val="24"/>
          <w:szCs w:val="24"/>
          <w:highlight w:val="none"/>
        </w:rPr>
        <w:t>承包人在履行合同过程中，不能满足发包人施工进度和质量、安全文明要求的以及承包人项目经理、主要管理人员不能现场履职的，承包人应向发包人支付5000-100000元/次作为赔偿金；如发生承包人及/或实际施工人存在无相关许可资质、借用或冒用他人的资质、印章等严重情节（具体以发包人认定为准）的，发包人有权解除合同，同时承包人按合同最终结算价的10％支付违约金，没有合同最终结算价的，按合同暂定价的10％计算，发包人有权保留进一步索赔的权利。</w:t>
      </w:r>
    </w:p>
    <w:p w14:paraId="124D849A">
      <w:pPr>
        <w:adjustRightInd w:val="0"/>
        <w:snapToGrid w:val="0"/>
        <w:spacing w:line="520" w:lineRule="exact"/>
        <w:ind w:right="-74"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8.2工程量签证现场草签结束后3日内，施工单位汇总统计草签单中的工程量或发生的人工、机械设备台班数量，填写《现场签证单》。签证签批办理最长不超过28日。若超出28日，每超期一天施工单位承担签证单工程量5‰/天/项的折损，直至全部折损完毕。在竣工结算审计时，按正式签证日期与草签单日期的间隔日历天数予以扣除。</w:t>
      </w:r>
    </w:p>
    <w:p w14:paraId="6E602254">
      <w:pPr>
        <w:adjustRightInd w:val="0"/>
        <w:snapToGrid w:val="0"/>
        <w:spacing w:line="520" w:lineRule="exact"/>
        <w:ind w:right="-74" w:firstLine="420" w:firstLineChars="175"/>
        <w:rPr>
          <w:rFonts w:ascii="仿宋" w:hAnsi="仿宋" w:eastAsia="仿宋" w:cs="仿宋"/>
          <w:sz w:val="24"/>
          <w:szCs w:val="24"/>
          <w:highlight w:val="none"/>
        </w:rPr>
      </w:pPr>
      <w:r>
        <w:rPr>
          <w:rFonts w:hint="eastAsia" w:ascii="仿宋" w:hAnsi="仿宋" w:eastAsia="仿宋" w:cs="仿宋"/>
          <w:sz w:val="24"/>
          <w:szCs w:val="24"/>
          <w:highlight w:val="none"/>
        </w:rPr>
        <w:t>8.3当发生新增工作内容，合同中没有价格的，承包人应最迟在28天内提报批价申请以及依据资料，承包人逾期未提报批价申请，承包人丧失主张权利，经发包人同意事后补办的，视为承包人无条件认可发包人最终审批价格，发包人亦不再受理异议。结算时批价资料无需施工方签字认可即为有效。</w:t>
      </w:r>
    </w:p>
    <w:p w14:paraId="66D64A15">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kern w:val="0"/>
          <w:sz w:val="24"/>
          <w:szCs w:val="24"/>
          <w:highlight w:val="none"/>
        </w:rPr>
        <w:t>8.4如果承包人违反本合同约定（含附件，如有）的，除应按本合同约定赔偿损失及违约金外，还应赔偿包括但不限于发包人因此支出的或预计支付的诉讼费、保全申请费、保全保险费、鉴定费、评估费、司法审计费、拍卖费、律师费等一切费用。</w:t>
      </w:r>
    </w:p>
    <w:p w14:paraId="5BD2BC8B">
      <w:pPr>
        <w:pStyle w:val="5"/>
        <w:adjustRightInd w:val="0"/>
        <w:snapToGrid w:val="0"/>
        <w:spacing w:before="120" w:after="120" w:line="520" w:lineRule="exact"/>
        <w:rPr>
          <w:rFonts w:ascii="仿宋" w:hAnsi="仿宋" w:eastAsia="仿宋" w:cs="仿宋"/>
          <w:sz w:val="24"/>
          <w:szCs w:val="24"/>
          <w:highlight w:val="none"/>
        </w:rPr>
      </w:pPr>
      <w:r>
        <w:rPr>
          <w:rFonts w:hint="eastAsia" w:ascii="仿宋" w:hAnsi="仿宋" w:eastAsia="仿宋" w:cs="仿宋"/>
          <w:sz w:val="24"/>
          <w:szCs w:val="24"/>
          <w:highlight w:val="none"/>
        </w:rPr>
        <w:t>九、争议解决</w:t>
      </w:r>
    </w:p>
    <w:p w14:paraId="5415693F">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kern w:val="0"/>
          <w:sz w:val="24"/>
          <w:szCs w:val="24"/>
          <w:highlight w:val="none"/>
        </w:rPr>
        <w:t>9.1本合同有效期内发生纠纷，由双方协商解决。如协商不成，</w:t>
      </w:r>
      <w:r>
        <w:rPr>
          <w:rFonts w:hint="eastAsia" w:ascii="仿宋" w:hAnsi="仿宋" w:eastAsia="仿宋" w:cs="仿宋"/>
          <w:sz w:val="24"/>
          <w:szCs w:val="24"/>
          <w:highlight w:val="none"/>
        </w:rPr>
        <w:t>双方同意依法向</w:t>
      </w:r>
      <w:r>
        <w:rPr>
          <w:rFonts w:hint="eastAsia" w:ascii="仿宋" w:hAnsi="仿宋" w:eastAsia="仿宋" w:cs="仿宋"/>
          <w:i/>
          <w:iCs/>
          <w:sz w:val="24"/>
          <w:szCs w:val="24"/>
          <w:highlight w:val="none"/>
          <w:u w:val="single"/>
        </w:rPr>
        <w:t>建设工程所在地有管辖权的人民法院起诉</w:t>
      </w:r>
      <w:r>
        <w:rPr>
          <w:rFonts w:hint="eastAsia" w:ascii="仿宋" w:hAnsi="仿宋" w:eastAsia="仿宋" w:cs="仿宋"/>
          <w:sz w:val="24"/>
          <w:szCs w:val="24"/>
          <w:highlight w:val="none"/>
        </w:rPr>
        <w:t>解决。</w:t>
      </w:r>
    </w:p>
    <w:p w14:paraId="16D1F869">
      <w:pPr>
        <w:pStyle w:val="5"/>
        <w:adjustRightInd w:val="0"/>
        <w:snapToGrid w:val="0"/>
        <w:spacing w:before="120" w:after="120" w:line="520" w:lineRule="exact"/>
        <w:rPr>
          <w:rFonts w:ascii="仿宋" w:hAnsi="仿宋" w:eastAsia="仿宋" w:cs="仿宋"/>
          <w:sz w:val="24"/>
          <w:szCs w:val="24"/>
          <w:highlight w:val="none"/>
        </w:rPr>
      </w:pPr>
      <w:r>
        <w:rPr>
          <w:rFonts w:hint="eastAsia" w:ascii="仿宋" w:hAnsi="仿宋" w:eastAsia="仿宋" w:cs="仿宋"/>
          <w:sz w:val="24"/>
          <w:szCs w:val="24"/>
          <w:highlight w:val="none"/>
        </w:rPr>
        <w:t>十、附则</w:t>
      </w:r>
      <w:r>
        <w:rPr>
          <w:rFonts w:hint="eastAsia" w:ascii="仿宋" w:hAnsi="仿宋" w:eastAsia="仿宋" w:cs="仿宋"/>
          <w:b w:val="0"/>
          <w:bCs w:val="0"/>
          <w:i/>
          <w:iCs/>
          <w:sz w:val="24"/>
          <w:szCs w:val="24"/>
          <w:highlight w:val="none"/>
        </w:rPr>
        <w:t>（说明：根据工程实际情况，在前述条款未涉及的内容可在此进行补充）</w:t>
      </w:r>
    </w:p>
    <w:p w14:paraId="0BA65C70">
      <w:pPr>
        <w:adjustRightInd w:val="0"/>
        <w:snapToGrid w:val="0"/>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10.1发包人代表为</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w:t>
      </w:r>
    </w:p>
    <w:p w14:paraId="28B4CC80">
      <w:pPr>
        <w:adjustRightInd w:val="0"/>
        <w:snapToGrid w:val="0"/>
        <w:spacing w:line="360" w:lineRule="auto"/>
        <w:ind w:firstLine="960" w:firstLineChars="4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身份证号</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rPr>
        <w:t>执业证书号：</w:t>
      </w:r>
      <w:r>
        <w:rPr>
          <w:rFonts w:hint="eastAsia" w:ascii="仿宋" w:hAnsi="仿宋" w:eastAsia="仿宋" w:cs="仿宋"/>
          <w:sz w:val="24"/>
          <w:szCs w:val="24"/>
          <w:highlight w:val="none"/>
          <w:u w:val="single"/>
        </w:rPr>
        <w:t xml:space="preserve">        。</w:t>
      </w:r>
    </w:p>
    <w:p w14:paraId="5E1D2D8E">
      <w:pPr>
        <w:adjustRightInd w:val="0"/>
        <w:snapToGrid w:val="0"/>
        <w:spacing w:line="360" w:lineRule="auto"/>
        <w:ind w:firstLine="960" w:firstLineChars="400"/>
        <w:rPr>
          <w:rFonts w:ascii="仿宋" w:hAnsi="仿宋" w:eastAsia="仿宋" w:cs="仿宋"/>
          <w:sz w:val="24"/>
          <w:szCs w:val="24"/>
          <w:highlight w:val="none"/>
        </w:rPr>
      </w:pPr>
      <w:r>
        <w:rPr>
          <w:rFonts w:hint="eastAsia" w:ascii="仿宋" w:hAnsi="仿宋" w:eastAsia="仿宋" w:cs="仿宋"/>
          <w:sz w:val="24"/>
          <w:szCs w:val="24"/>
          <w:highlight w:val="none"/>
        </w:rPr>
        <w:t>监理人代表为</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462271E3">
      <w:pPr>
        <w:pStyle w:val="1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10.2其他补充说明</w:t>
      </w:r>
      <w:r>
        <w:rPr>
          <w:rFonts w:hint="eastAsia" w:ascii="仿宋" w:hAnsi="仿宋" w:eastAsia="仿宋" w:cs="仿宋"/>
          <w:i/>
          <w:iCs/>
          <w:sz w:val="24"/>
          <w:szCs w:val="24"/>
          <w:highlight w:val="none"/>
          <w:u w:val="single"/>
        </w:rPr>
        <w:t>（说明：根据招标文件要求补充）</w:t>
      </w:r>
    </w:p>
    <w:p w14:paraId="1568D99E">
      <w:pPr>
        <w:pStyle w:val="10"/>
        <w:numPr>
          <w:ilvl w:val="0"/>
          <w:numId w:val="2"/>
        </w:num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施工区、生活区水电费按表计量缴费，发生费用由承包人承担。</w:t>
      </w:r>
    </w:p>
    <w:p w14:paraId="6DB113D8">
      <w:pPr>
        <w:pStyle w:val="10"/>
        <w:numPr>
          <w:ilvl w:val="0"/>
          <w:numId w:val="2"/>
        </w:num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本工程所用施工机械优先使用山东重工旗下产品，进入发包方所有厂区的物流车辆必须为重汽品牌，无条件严格遵守厂区人员车辆进出管理规定，否则造成的倒运费及工期等一切损失均有承包人承担。</w:t>
      </w:r>
    </w:p>
    <w:p w14:paraId="3069EDA7">
      <w:pPr>
        <w:pStyle w:val="10"/>
        <w:numPr>
          <w:ilvl w:val="0"/>
          <w:numId w:val="2"/>
        </w:num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承包人应做好疫情防控工作，服从项目属地政府有关部门的管理要求，积极配合做好开工复工手续，</w:t>
      </w:r>
      <w:r>
        <w:rPr>
          <w:rFonts w:hint="eastAsia" w:ascii="仿宋" w:hAnsi="仿宋" w:eastAsia="仿宋" w:cs="仿宋"/>
          <w:sz w:val="24"/>
          <w:szCs w:val="24"/>
          <w:highlight w:val="none"/>
        </w:rPr>
        <w:t>施工现场疫情防控工作由施工总承包人统筹管理。防疫各项费用包含自合同签约价中，不另行计取。</w:t>
      </w:r>
    </w:p>
    <w:p w14:paraId="09D4AB9A">
      <w:pPr>
        <w:pStyle w:val="10"/>
        <w:numPr>
          <w:ilvl w:val="0"/>
          <w:numId w:val="2"/>
        </w:numPr>
        <w:spacing w:line="360" w:lineRule="auto"/>
        <w:ind w:firstLine="480" w:firstLineChars="200"/>
        <w:rPr>
          <w:rFonts w:ascii="仿宋" w:hAnsi="仿宋" w:eastAsia="仿宋" w:cs="仿宋"/>
          <w:color w:val="000000" w:themeColor="text1"/>
          <w:sz w:val="30"/>
          <w:szCs w:val="32"/>
          <w:highlight w:val="none"/>
          <w14:textFill>
            <w14:solidFill>
              <w14:schemeClr w14:val="tx1"/>
            </w14:solidFill>
          </w14:textFill>
        </w:rPr>
      </w:pPr>
      <w:bookmarkStart w:id="49" w:name="_Hlk159227912"/>
      <w:r>
        <w:rPr>
          <w:rFonts w:hint="eastAsia" w:ascii="仿宋" w:hAnsi="仿宋" w:eastAsia="仿宋" w:cs="仿宋"/>
          <w:sz w:val="24"/>
          <w:szCs w:val="24"/>
          <w:highlight w:val="none"/>
        </w:rPr>
        <w:t>工程结算审计，由发包人委托造价咨询单位审计或自行审计。（4</w:t>
      </w:r>
      <w:r>
        <w:rPr>
          <w:rFonts w:ascii="仿宋" w:hAnsi="仿宋" w:eastAsia="仿宋" w:cs="仿宋"/>
          <w:sz w:val="24"/>
          <w:szCs w:val="24"/>
          <w:highlight w:val="none"/>
        </w:rPr>
        <w:t>.1</w:t>
      </w:r>
      <w:r>
        <w:rPr>
          <w:rFonts w:hint="eastAsia" w:ascii="仿宋" w:hAnsi="仿宋" w:eastAsia="仿宋" w:cs="仿宋"/>
          <w:sz w:val="24"/>
          <w:szCs w:val="24"/>
          <w:highlight w:val="none"/>
        </w:rPr>
        <w:t>）</w:t>
      </w:r>
      <w:bookmarkEnd w:id="49"/>
      <w:r>
        <w:rPr>
          <w:rFonts w:hint="eastAsia" w:ascii="仿宋" w:hAnsi="仿宋" w:eastAsia="仿宋" w:cs="仿宋"/>
          <w:sz w:val="24"/>
          <w:szCs w:val="24"/>
          <w:highlight w:val="none"/>
        </w:rPr>
        <w:t>初审审计：结算审计费=基本审计费+效益审计费，其中：基本审计费1000元，效益审计费根据工程项目审减额参考鲁价费发【2007】205号文收费标准执行，对结算审减额超过5%部分，按5%计取审计费，以上费用均由承包人支付。审计费由承包人直接缴纳或者由发包人在工程款中代扣代缴。（</w:t>
      </w:r>
      <w:r>
        <w:rPr>
          <w:rFonts w:ascii="仿宋" w:hAnsi="仿宋" w:eastAsia="仿宋" w:cs="仿宋"/>
          <w:sz w:val="24"/>
          <w:szCs w:val="24"/>
          <w:highlight w:val="none"/>
        </w:rPr>
        <w:t>4</w:t>
      </w:r>
      <w:r>
        <w:rPr>
          <w:rFonts w:hint="eastAsia" w:ascii="仿宋" w:hAnsi="仿宋" w:eastAsia="仿宋" w:cs="仿宋"/>
          <w:sz w:val="24"/>
          <w:szCs w:val="24"/>
          <w:highlight w:val="none"/>
        </w:rPr>
        <w:t>.2）复审审计：结算审计费根据工程项目审减额参考鲁价费发【2007】205号文收费标准执行，结算审减额按5%计取审计费，由承包人支付。审计费由承包人直接缴纳或者由发包人在工程款中代扣代缴。</w:t>
      </w:r>
    </w:p>
    <w:p w14:paraId="7CC1C01A">
      <w:pPr>
        <w:pStyle w:val="10"/>
        <w:numPr>
          <w:ilvl w:val="0"/>
          <w:numId w:val="2"/>
        </w:num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项目描述及工作内容相同的清单子项综合单价必须相同，若有不同报价，结算时发包人有权按照较低报价确定该子项的综合单价。</w:t>
      </w:r>
    </w:p>
    <w:p w14:paraId="0E03C019">
      <w:pPr>
        <w:pStyle w:val="5"/>
        <w:adjustRightInd w:val="0"/>
        <w:snapToGrid w:val="0"/>
        <w:spacing w:before="120" w:after="120" w:line="520" w:lineRule="exact"/>
        <w:rPr>
          <w:rFonts w:ascii="仿宋" w:hAnsi="仿宋" w:eastAsia="仿宋" w:cs="仿宋"/>
          <w:sz w:val="24"/>
          <w:szCs w:val="24"/>
          <w:highlight w:val="none"/>
        </w:rPr>
      </w:pPr>
      <w:r>
        <w:rPr>
          <w:rFonts w:hint="eastAsia" w:ascii="仿宋" w:hAnsi="仿宋" w:eastAsia="仿宋" w:cs="仿宋"/>
          <w:sz w:val="24"/>
          <w:szCs w:val="24"/>
          <w:highlight w:val="none"/>
        </w:rPr>
        <w:t>十一、合同生效</w:t>
      </w:r>
    </w:p>
    <w:p w14:paraId="393B9627">
      <w:pPr>
        <w:adjustRightInd w:val="0"/>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11.1本合同签订地点：_</w:t>
      </w:r>
      <w:r>
        <w:rPr>
          <w:rFonts w:hint="eastAsia" w:ascii="仿宋" w:hAnsi="仿宋" w:eastAsia="仿宋" w:cs="仿宋"/>
          <w:bCs/>
          <w:i/>
          <w:iCs/>
          <w:sz w:val="24"/>
          <w:szCs w:val="24"/>
          <w:highlight w:val="none"/>
          <w:u w:val="single"/>
        </w:rPr>
        <w:t>山东省济南市</w:t>
      </w:r>
      <w:r>
        <w:rPr>
          <w:rFonts w:ascii="仿宋" w:hAnsi="仿宋" w:eastAsia="仿宋" w:cs="仿宋"/>
          <w:bCs/>
          <w:sz w:val="24"/>
          <w:szCs w:val="24"/>
          <w:highlight w:val="none"/>
        </w:rPr>
        <w:t>_</w:t>
      </w:r>
      <w:r>
        <w:rPr>
          <w:rFonts w:hint="eastAsia" w:ascii="仿宋" w:hAnsi="仿宋" w:eastAsia="仿宋" w:cs="仿宋"/>
          <w:bCs/>
          <w:sz w:val="24"/>
          <w:szCs w:val="24"/>
          <w:highlight w:val="none"/>
        </w:rPr>
        <w:t>。</w:t>
      </w:r>
    </w:p>
    <w:p w14:paraId="17052FE6">
      <w:pPr>
        <w:adjustRightInd w:val="0"/>
        <w:snapToGrid w:val="0"/>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11.2本合同一式</w:t>
      </w:r>
      <w:r>
        <w:rPr>
          <w:rFonts w:hint="eastAsia" w:ascii="仿宋" w:hAnsi="仿宋" w:eastAsia="仿宋" w:cs="仿宋"/>
          <w:bCs/>
          <w:sz w:val="24"/>
          <w:szCs w:val="24"/>
          <w:highlight w:val="none"/>
          <w:u w:val="single"/>
        </w:rPr>
        <w:t xml:space="preserve"> </w:t>
      </w:r>
      <w:r>
        <w:rPr>
          <w:rFonts w:hint="eastAsia" w:ascii="仿宋" w:hAnsi="仿宋" w:eastAsia="仿宋" w:cs="仿宋"/>
          <w:bCs/>
          <w:i/>
          <w:iCs/>
          <w:sz w:val="24"/>
          <w:szCs w:val="24"/>
          <w:highlight w:val="none"/>
          <w:u w:val="single"/>
        </w:rPr>
        <w:t xml:space="preserve">陆 </w:t>
      </w:r>
      <w:r>
        <w:rPr>
          <w:rFonts w:hint="eastAsia" w:ascii="仿宋" w:hAnsi="仿宋" w:eastAsia="仿宋" w:cs="仿宋"/>
          <w:bCs/>
          <w:sz w:val="24"/>
          <w:szCs w:val="24"/>
          <w:highlight w:val="none"/>
        </w:rPr>
        <w:t>份，均具有同等法律效力，发包人</w:t>
      </w:r>
      <w:r>
        <w:rPr>
          <w:rFonts w:hint="eastAsia" w:ascii="仿宋" w:hAnsi="仿宋" w:eastAsia="仿宋" w:cs="仿宋"/>
          <w:bCs/>
          <w:i/>
          <w:iCs/>
          <w:sz w:val="24"/>
          <w:szCs w:val="24"/>
          <w:highlight w:val="none"/>
          <w:u w:val="single"/>
        </w:rPr>
        <w:t xml:space="preserve"> 肆 </w:t>
      </w:r>
      <w:r>
        <w:rPr>
          <w:rFonts w:hint="eastAsia" w:ascii="仿宋" w:hAnsi="仿宋" w:eastAsia="仿宋" w:cs="仿宋"/>
          <w:bCs/>
          <w:sz w:val="24"/>
          <w:szCs w:val="24"/>
          <w:highlight w:val="none"/>
        </w:rPr>
        <w:t>份，承包人</w:t>
      </w:r>
      <w:r>
        <w:rPr>
          <w:rFonts w:hint="eastAsia" w:ascii="仿宋" w:hAnsi="仿宋" w:eastAsia="仿宋" w:cs="仿宋"/>
          <w:bCs/>
          <w:sz w:val="24"/>
          <w:szCs w:val="24"/>
          <w:highlight w:val="none"/>
          <w:u w:val="single"/>
        </w:rPr>
        <w:t xml:space="preserve"> </w:t>
      </w:r>
      <w:r>
        <w:rPr>
          <w:rFonts w:hint="eastAsia" w:ascii="仿宋" w:hAnsi="仿宋" w:eastAsia="仿宋" w:cs="仿宋"/>
          <w:bCs/>
          <w:i/>
          <w:iCs/>
          <w:sz w:val="24"/>
          <w:szCs w:val="24"/>
          <w:highlight w:val="none"/>
          <w:u w:val="single"/>
        </w:rPr>
        <w:t xml:space="preserve">贰 </w:t>
      </w:r>
      <w:r>
        <w:rPr>
          <w:rFonts w:hint="eastAsia" w:ascii="仿宋" w:hAnsi="仿宋" w:eastAsia="仿宋" w:cs="仿宋"/>
          <w:bCs/>
          <w:sz w:val="24"/>
          <w:szCs w:val="24"/>
          <w:highlight w:val="none"/>
        </w:rPr>
        <w:t>份。</w:t>
      </w:r>
    </w:p>
    <w:p w14:paraId="459D62C6">
      <w:pPr>
        <w:adjustRightInd w:val="0"/>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11.3本合同自</w:t>
      </w:r>
      <w:r>
        <w:rPr>
          <w:rFonts w:ascii="仿宋" w:hAnsi="仿宋" w:eastAsia="仿宋" w:cs="仿宋"/>
          <w:bCs/>
          <w:sz w:val="24"/>
          <w:szCs w:val="24"/>
          <w:highlight w:val="none"/>
        </w:rPr>
        <w:t>双方授权代表签署并加盖公章</w:t>
      </w:r>
      <w:r>
        <w:rPr>
          <w:rFonts w:hint="eastAsia" w:ascii="仿宋" w:hAnsi="仿宋" w:eastAsia="仿宋" w:cs="仿宋"/>
          <w:bCs/>
          <w:sz w:val="24"/>
          <w:szCs w:val="24"/>
          <w:highlight w:val="none"/>
        </w:rPr>
        <w:t>或者合同专用章之日起生效。合同附件作为合同不可分割的一部分，具有同等法律效力。</w:t>
      </w:r>
    </w:p>
    <w:p w14:paraId="6A3D4895">
      <w:pPr>
        <w:adjustRightInd w:val="0"/>
        <w:snapToGrid w:val="0"/>
        <w:spacing w:line="520" w:lineRule="exact"/>
        <w:ind w:firstLine="482" w:firstLineChars="200"/>
        <w:rPr>
          <w:rFonts w:ascii="仿宋" w:hAnsi="仿宋" w:eastAsia="仿宋" w:cs="仿宋"/>
          <w:b/>
          <w:bCs/>
          <w:kern w:val="0"/>
          <w:sz w:val="24"/>
          <w:szCs w:val="24"/>
          <w:highlight w:val="none"/>
        </w:rPr>
      </w:pPr>
      <w:r>
        <w:rPr>
          <w:rFonts w:ascii="仿宋" w:hAnsi="仿宋" w:eastAsia="仿宋" w:cs="仿宋"/>
          <w:b/>
          <w:bCs/>
          <w:kern w:val="0"/>
          <w:sz w:val="24"/>
          <w:szCs w:val="24"/>
          <w:highlight w:val="none"/>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一方擅自增加、删改、篡改部分无效（</w:t>
      </w:r>
      <w:r>
        <w:rPr>
          <w:rFonts w:hint="eastAsia" w:ascii="仿宋" w:hAnsi="仿宋" w:eastAsia="仿宋" w:cs="仿宋"/>
          <w:b/>
          <w:bCs/>
          <w:kern w:val="0"/>
          <w:sz w:val="24"/>
          <w:szCs w:val="24"/>
          <w:highlight w:val="none"/>
        </w:rPr>
        <w:t>个人手写</w:t>
      </w:r>
      <w:r>
        <w:rPr>
          <w:rFonts w:ascii="仿宋" w:hAnsi="仿宋" w:eastAsia="仿宋" w:cs="仿宋"/>
          <w:b/>
          <w:bCs/>
          <w:kern w:val="0"/>
          <w:sz w:val="24"/>
          <w:szCs w:val="24"/>
          <w:highlight w:val="none"/>
        </w:rPr>
        <w:t>签名除外）</w:t>
      </w:r>
      <w:r>
        <w:rPr>
          <w:rFonts w:hint="eastAsia" w:ascii="仿宋" w:hAnsi="仿宋" w:eastAsia="仿宋" w:cs="仿宋"/>
          <w:b/>
          <w:bCs/>
          <w:kern w:val="0"/>
          <w:sz w:val="24"/>
          <w:szCs w:val="24"/>
          <w:highlight w:val="none"/>
        </w:rPr>
        <w:t>。</w:t>
      </w:r>
    </w:p>
    <w:p w14:paraId="4327AB92">
      <w:pPr>
        <w:adjustRightInd w:val="0"/>
        <w:snapToGrid w:val="0"/>
        <w:spacing w:line="520" w:lineRule="exact"/>
        <w:ind w:firstLine="482" w:firstLineChars="200"/>
        <w:rPr>
          <w:rFonts w:ascii="仿宋" w:hAnsi="仿宋" w:eastAsia="仿宋" w:cs="仿宋"/>
          <w:b/>
          <w:bCs/>
          <w:kern w:val="0"/>
          <w:sz w:val="24"/>
          <w:szCs w:val="24"/>
          <w:highlight w:val="none"/>
        </w:rPr>
      </w:pPr>
      <w:r>
        <w:rPr>
          <w:rFonts w:ascii="仿宋" w:hAnsi="仿宋" w:eastAsia="仿宋" w:cs="仿宋"/>
          <w:b/>
          <w:bCs/>
          <w:kern w:val="0"/>
          <w:sz w:val="24"/>
          <w:szCs w:val="24"/>
          <w:highlight w:val="none"/>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w:t>
      </w:r>
      <w:r>
        <w:rPr>
          <w:rFonts w:hint="eastAsia" w:ascii="仿宋" w:hAnsi="仿宋" w:eastAsia="仿宋" w:cs="仿宋"/>
          <w:b/>
          <w:bCs/>
          <w:kern w:val="0"/>
          <w:sz w:val="24"/>
          <w:szCs w:val="24"/>
          <w:highlight w:val="none"/>
        </w:rPr>
        <w:t>各</w:t>
      </w:r>
      <w:r>
        <w:rPr>
          <w:rFonts w:ascii="仿宋" w:hAnsi="仿宋" w:eastAsia="仿宋" w:cs="仿宋"/>
          <w:b/>
          <w:bCs/>
          <w:kern w:val="0"/>
          <w:sz w:val="24"/>
          <w:szCs w:val="24"/>
          <w:highlight w:val="none"/>
        </w:rPr>
        <w:t>方已签署完毕。</w:t>
      </w:r>
    </w:p>
    <w:p w14:paraId="39494B6F">
      <w:pPr>
        <w:adjustRightInd w:val="0"/>
        <w:snapToGrid w:val="0"/>
        <w:spacing w:line="520" w:lineRule="exact"/>
        <w:rPr>
          <w:rFonts w:ascii="仿宋" w:hAnsi="仿宋" w:eastAsia="仿宋" w:cs="仿宋"/>
          <w:sz w:val="24"/>
          <w:szCs w:val="24"/>
          <w:highlight w:val="none"/>
        </w:rPr>
      </w:pPr>
    </w:p>
    <w:tbl>
      <w:tblPr>
        <w:tblStyle w:val="31"/>
        <w:tblW w:w="9179" w:type="dxa"/>
        <w:jc w:val="center"/>
        <w:tblLayout w:type="fixed"/>
        <w:tblCellMar>
          <w:top w:w="0" w:type="dxa"/>
          <w:left w:w="108" w:type="dxa"/>
          <w:bottom w:w="0" w:type="dxa"/>
          <w:right w:w="108" w:type="dxa"/>
        </w:tblCellMar>
      </w:tblPr>
      <w:tblGrid>
        <w:gridCol w:w="4498"/>
        <w:gridCol w:w="4681"/>
      </w:tblGrid>
      <w:tr w14:paraId="77349E4E">
        <w:tblPrEx>
          <w:tblCellMar>
            <w:top w:w="0" w:type="dxa"/>
            <w:left w:w="108" w:type="dxa"/>
            <w:bottom w:w="0" w:type="dxa"/>
            <w:right w:w="108" w:type="dxa"/>
          </w:tblCellMar>
        </w:tblPrEx>
        <w:trPr>
          <w:trHeight w:val="1245" w:hRule="exact"/>
          <w:jc w:val="center"/>
        </w:trPr>
        <w:tc>
          <w:tcPr>
            <w:tcW w:w="4498" w:type="dxa"/>
            <w:tcBorders>
              <w:top w:val="single" w:color="auto" w:sz="4" w:space="0"/>
              <w:left w:val="single" w:color="auto" w:sz="4" w:space="0"/>
              <w:bottom w:val="single" w:color="auto" w:sz="4" w:space="0"/>
              <w:right w:val="single" w:color="auto" w:sz="4" w:space="0"/>
            </w:tcBorders>
          </w:tcPr>
          <w:p w14:paraId="66B0981C">
            <w:pPr>
              <w:spacing w:line="540" w:lineRule="exact"/>
              <w:rPr>
                <w:rFonts w:ascii="仿宋" w:hAnsi="仿宋" w:eastAsia="仿宋" w:cs="仿宋"/>
                <w:bCs/>
                <w:sz w:val="24"/>
                <w:szCs w:val="24"/>
                <w:highlight w:val="none"/>
              </w:rPr>
            </w:pPr>
            <w:r>
              <w:rPr>
                <w:rFonts w:hint="eastAsia" w:ascii="仿宋" w:hAnsi="仿宋" w:eastAsia="仿宋" w:cs="仿宋"/>
                <w:sz w:val="24"/>
                <w:szCs w:val="24"/>
                <w:highlight w:val="none"/>
              </w:rPr>
              <w:t>发包人</w:t>
            </w:r>
            <w:r>
              <w:rPr>
                <w:rFonts w:hint="eastAsia" w:ascii="仿宋" w:hAnsi="仿宋" w:eastAsia="仿宋" w:cs="仿宋"/>
                <w:bCs/>
                <w:sz w:val="24"/>
                <w:szCs w:val="24"/>
                <w:highlight w:val="none"/>
              </w:rPr>
              <w:t>：（签章）</w:t>
            </w:r>
          </w:p>
          <w:p w14:paraId="3C442704">
            <w:pPr>
              <w:spacing w:line="540" w:lineRule="exact"/>
              <w:rPr>
                <w:rFonts w:ascii="仿宋" w:hAnsi="仿宋" w:eastAsia="仿宋" w:cs="仿宋"/>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tcPr>
          <w:p w14:paraId="3DE0434B">
            <w:pPr>
              <w:spacing w:line="540" w:lineRule="exact"/>
              <w:rPr>
                <w:rFonts w:ascii="仿宋" w:hAnsi="仿宋" w:eastAsia="仿宋" w:cs="仿宋"/>
                <w:bCs/>
                <w:sz w:val="24"/>
                <w:szCs w:val="24"/>
                <w:highlight w:val="none"/>
              </w:rPr>
            </w:pPr>
            <w:r>
              <w:rPr>
                <w:rFonts w:hint="eastAsia" w:ascii="仿宋" w:hAnsi="仿宋" w:eastAsia="仿宋" w:cs="仿宋"/>
                <w:bCs/>
                <w:sz w:val="24"/>
                <w:szCs w:val="24"/>
                <w:highlight w:val="none"/>
              </w:rPr>
              <w:t>承包人：（签章）</w:t>
            </w:r>
          </w:p>
          <w:p w14:paraId="67575371">
            <w:pPr>
              <w:spacing w:line="540" w:lineRule="exact"/>
              <w:rPr>
                <w:rFonts w:ascii="仿宋" w:hAnsi="仿宋" w:eastAsia="仿宋" w:cs="仿宋"/>
                <w:bCs/>
                <w:sz w:val="24"/>
                <w:szCs w:val="24"/>
                <w:highlight w:val="none"/>
                <w:lang w:bidi="en-US"/>
              </w:rPr>
            </w:pPr>
          </w:p>
        </w:tc>
      </w:tr>
      <w:tr w14:paraId="12057829">
        <w:tblPrEx>
          <w:tblCellMar>
            <w:top w:w="0" w:type="dxa"/>
            <w:left w:w="108" w:type="dxa"/>
            <w:bottom w:w="0" w:type="dxa"/>
            <w:right w:w="108" w:type="dxa"/>
          </w:tblCellMar>
        </w:tblPrEx>
        <w:trPr>
          <w:trHeight w:val="786" w:hRule="atLeast"/>
          <w:jc w:val="center"/>
        </w:trPr>
        <w:tc>
          <w:tcPr>
            <w:tcW w:w="4498" w:type="dxa"/>
            <w:tcBorders>
              <w:top w:val="single" w:color="auto" w:sz="4" w:space="0"/>
              <w:left w:val="single" w:color="auto" w:sz="4" w:space="0"/>
              <w:bottom w:val="single" w:color="auto" w:sz="4" w:space="0"/>
              <w:right w:val="single" w:color="auto" w:sz="4" w:space="0"/>
            </w:tcBorders>
          </w:tcPr>
          <w:p w14:paraId="38D924BC">
            <w:pPr>
              <w:spacing w:before="240" w:after="160" w:line="240" w:lineRule="exact"/>
              <w:rPr>
                <w:rFonts w:ascii="仿宋" w:hAnsi="仿宋" w:eastAsia="仿宋" w:cs="仿宋"/>
                <w:sz w:val="24"/>
                <w:szCs w:val="24"/>
                <w:highlight w:val="none"/>
              </w:rPr>
            </w:pPr>
            <w:r>
              <w:rPr>
                <w:rFonts w:hint="eastAsia" w:ascii="仿宋" w:hAnsi="仿宋" w:eastAsia="仿宋" w:cs="仿宋"/>
                <w:bCs/>
                <w:sz w:val="24"/>
                <w:szCs w:val="24"/>
                <w:highlight w:val="none"/>
              </w:rPr>
              <w:t>法定代表人/委托人（签字）：</w:t>
            </w:r>
          </w:p>
        </w:tc>
        <w:tc>
          <w:tcPr>
            <w:tcW w:w="4681" w:type="dxa"/>
            <w:tcBorders>
              <w:top w:val="single" w:color="auto" w:sz="4" w:space="0"/>
              <w:left w:val="single" w:color="auto" w:sz="4" w:space="0"/>
              <w:bottom w:val="single" w:color="auto" w:sz="4" w:space="0"/>
              <w:right w:val="single" w:color="auto" w:sz="4" w:space="0"/>
            </w:tcBorders>
          </w:tcPr>
          <w:p w14:paraId="46B5D980">
            <w:pPr>
              <w:spacing w:before="240" w:after="160" w:line="240" w:lineRule="exact"/>
              <w:rPr>
                <w:rFonts w:ascii="仿宋" w:hAnsi="仿宋" w:eastAsia="仿宋" w:cs="仿宋"/>
                <w:bCs/>
                <w:sz w:val="24"/>
                <w:szCs w:val="24"/>
                <w:highlight w:val="none"/>
                <w:lang w:bidi="en-US"/>
              </w:rPr>
            </w:pPr>
            <w:r>
              <w:rPr>
                <w:rFonts w:hint="eastAsia" w:ascii="仿宋" w:hAnsi="仿宋" w:eastAsia="仿宋" w:cs="仿宋"/>
                <w:bCs/>
                <w:sz w:val="24"/>
                <w:szCs w:val="24"/>
                <w:highlight w:val="none"/>
              </w:rPr>
              <w:t>法定代表人/委托人（签字）：</w:t>
            </w:r>
          </w:p>
        </w:tc>
      </w:tr>
      <w:tr w14:paraId="31C6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4498" w:type="dxa"/>
            <w:vAlign w:val="center"/>
          </w:tcPr>
          <w:p w14:paraId="4C526954">
            <w:pPr>
              <w:rPr>
                <w:rFonts w:ascii="仿宋" w:hAnsi="仿宋" w:eastAsia="仿宋" w:cs="仿宋"/>
                <w:sz w:val="24"/>
                <w:szCs w:val="24"/>
                <w:highlight w:val="none"/>
              </w:rPr>
            </w:pPr>
            <w:r>
              <w:rPr>
                <w:rFonts w:hint="eastAsia" w:ascii="仿宋" w:hAnsi="仿宋" w:eastAsia="仿宋" w:cs="仿宋"/>
                <w:bCs/>
                <w:sz w:val="24"/>
                <w:szCs w:val="24"/>
                <w:highlight w:val="none"/>
              </w:rPr>
              <w:t>开户银行：</w:t>
            </w:r>
          </w:p>
        </w:tc>
        <w:tc>
          <w:tcPr>
            <w:tcW w:w="4681" w:type="dxa"/>
            <w:vAlign w:val="center"/>
          </w:tcPr>
          <w:p w14:paraId="6060D9A6">
            <w:pP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r>
      <w:tr w14:paraId="17E8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14:paraId="7E7E572B">
            <w:pPr>
              <w:rPr>
                <w:rFonts w:ascii="仿宋" w:hAnsi="仿宋" w:eastAsia="仿宋" w:cs="仿宋"/>
                <w:sz w:val="24"/>
                <w:szCs w:val="24"/>
                <w:highlight w:val="none"/>
              </w:rPr>
            </w:pPr>
            <w:r>
              <w:rPr>
                <w:rFonts w:hint="eastAsia" w:ascii="仿宋" w:hAnsi="仿宋" w:eastAsia="仿宋" w:cs="仿宋"/>
                <w:bCs/>
                <w:sz w:val="24"/>
                <w:szCs w:val="24"/>
                <w:highlight w:val="none"/>
              </w:rPr>
              <w:t>户名：</w:t>
            </w:r>
          </w:p>
        </w:tc>
        <w:tc>
          <w:tcPr>
            <w:tcW w:w="4681" w:type="dxa"/>
            <w:vAlign w:val="center"/>
          </w:tcPr>
          <w:p w14:paraId="0BC50E99">
            <w:pPr>
              <w:rPr>
                <w:rFonts w:ascii="仿宋" w:hAnsi="仿宋" w:eastAsia="仿宋" w:cs="仿宋"/>
                <w:bCs/>
                <w:sz w:val="24"/>
                <w:szCs w:val="24"/>
                <w:highlight w:val="none"/>
                <w:lang w:bidi="en-US"/>
              </w:rPr>
            </w:pPr>
            <w:r>
              <w:rPr>
                <w:rFonts w:hint="eastAsia" w:ascii="仿宋" w:hAnsi="仿宋" w:eastAsia="仿宋" w:cs="仿宋"/>
                <w:bCs/>
                <w:sz w:val="24"/>
                <w:szCs w:val="24"/>
                <w:highlight w:val="none"/>
              </w:rPr>
              <w:t>户名：</w:t>
            </w:r>
          </w:p>
        </w:tc>
      </w:tr>
      <w:tr w14:paraId="6B62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14:paraId="7240D6BB">
            <w:pPr>
              <w:rPr>
                <w:rFonts w:ascii="仿宋" w:hAnsi="仿宋" w:eastAsia="仿宋" w:cs="仿宋"/>
                <w:sz w:val="24"/>
                <w:szCs w:val="24"/>
                <w:highlight w:val="none"/>
              </w:rPr>
            </w:pPr>
            <w:r>
              <w:rPr>
                <w:rFonts w:hint="eastAsia" w:ascii="仿宋" w:hAnsi="仿宋" w:eastAsia="仿宋" w:cs="仿宋"/>
                <w:bCs/>
                <w:sz w:val="24"/>
                <w:szCs w:val="24"/>
                <w:highlight w:val="none"/>
              </w:rPr>
              <w:t>账号：</w:t>
            </w:r>
          </w:p>
        </w:tc>
        <w:tc>
          <w:tcPr>
            <w:tcW w:w="4681" w:type="dxa"/>
            <w:vAlign w:val="center"/>
          </w:tcPr>
          <w:p w14:paraId="03AEB53D">
            <w:pPr>
              <w:rPr>
                <w:rFonts w:ascii="仿宋" w:hAnsi="仿宋" w:eastAsia="仿宋" w:cs="仿宋"/>
                <w:bCs/>
                <w:sz w:val="24"/>
                <w:szCs w:val="24"/>
                <w:highlight w:val="none"/>
                <w:lang w:eastAsia="en-US" w:bidi="en-US"/>
              </w:rPr>
            </w:pPr>
            <w:r>
              <w:rPr>
                <w:rFonts w:hint="eastAsia" w:ascii="仿宋" w:hAnsi="仿宋" w:eastAsia="仿宋" w:cs="仿宋"/>
                <w:bCs/>
                <w:sz w:val="24"/>
                <w:szCs w:val="24"/>
                <w:highlight w:val="none"/>
              </w:rPr>
              <w:t>账号：</w:t>
            </w:r>
          </w:p>
        </w:tc>
      </w:tr>
      <w:tr w14:paraId="7667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14:paraId="736F3BF5">
            <w:pPr>
              <w:rPr>
                <w:rFonts w:ascii="仿宋" w:hAnsi="仿宋" w:eastAsia="仿宋" w:cs="仿宋"/>
                <w:sz w:val="24"/>
                <w:szCs w:val="24"/>
                <w:highlight w:val="none"/>
              </w:rPr>
            </w:pPr>
            <w:r>
              <w:rPr>
                <w:rFonts w:hint="eastAsia" w:ascii="仿宋" w:hAnsi="仿宋" w:eastAsia="仿宋" w:cs="仿宋"/>
                <w:bCs/>
                <w:sz w:val="24"/>
                <w:szCs w:val="24"/>
                <w:highlight w:val="none"/>
              </w:rPr>
              <w:t>纳税人识别号：</w:t>
            </w:r>
          </w:p>
        </w:tc>
        <w:tc>
          <w:tcPr>
            <w:tcW w:w="4681" w:type="dxa"/>
            <w:vAlign w:val="center"/>
          </w:tcPr>
          <w:p w14:paraId="38BF164C">
            <w:pPr>
              <w:rPr>
                <w:rFonts w:ascii="仿宋" w:hAnsi="仿宋" w:eastAsia="仿宋" w:cs="仿宋"/>
                <w:bCs/>
                <w:sz w:val="24"/>
                <w:szCs w:val="24"/>
                <w:highlight w:val="none"/>
                <w:lang w:eastAsia="en-US" w:bidi="en-US"/>
              </w:rPr>
            </w:pPr>
            <w:r>
              <w:rPr>
                <w:rFonts w:hint="eastAsia" w:ascii="仿宋" w:hAnsi="仿宋" w:eastAsia="仿宋" w:cs="仿宋"/>
                <w:bCs/>
                <w:sz w:val="24"/>
                <w:szCs w:val="24"/>
                <w:highlight w:val="none"/>
              </w:rPr>
              <w:t>纳税人识别号：</w:t>
            </w:r>
          </w:p>
        </w:tc>
      </w:tr>
      <w:tr w14:paraId="4866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14:paraId="379BFEBE">
            <w:pPr>
              <w:rPr>
                <w:rFonts w:ascii="仿宋" w:hAnsi="仿宋" w:eastAsia="仿宋" w:cs="仿宋"/>
                <w:sz w:val="24"/>
                <w:szCs w:val="24"/>
                <w:highlight w:val="none"/>
              </w:rPr>
            </w:pPr>
            <w:r>
              <w:rPr>
                <w:rFonts w:hint="eastAsia" w:ascii="仿宋" w:hAnsi="仿宋" w:eastAsia="仿宋" w:cs="仿宋"/>
                <w:bCs/>
                <w:sz w:val="24"/>
                <w:szCs w:val="24"/>
                <w:highlight w:val="none"/>
              </w:rPr>
              <w:t>邮编：</w:t>
            </w:r>
          </w:p>
        </w:tc>
        <w:tc>
          <w:tcPr>
            <w:tcW w:w="4681" w:type="dxa"/>
            <w:vAlign w:val="center"/>
          </w:tcPr>
          <w:p w14:paraId="23C0D79A">
            <w:pPr>
              <w:rPr>
                <w:rFonts w:ascii="仿宋" w:hAnsi="仿宋" w:eastAsia="仿宋" w:cs="仿宋"/>
                <w:bCs/>
                <w:sz w:val="24"/>
                <w:szCs w:val="24"/>
                <w:highlight w:val="none"/>
                <w:lang w:eastAsia="en-US" w:bidi="en-US"/>
              </w:rPr>
            </w:pPr>
            <w:r>
              <w:rPr>
                <w:rFonts w:hint="eastAsia" w:ascii="仿宋" w:hAnsi="仿宋" w:eastAsia="仿宋" w:cs="仿宋"/>
                <w:bCs/>
                <w:sz w:val="24"/>
                <w:szCs w:val="24"/>
                <w:highlight w:val="none"/>
              </w:rPr>
              <w:t>邮编：</w:t>
            </w:r>
          </w:p>
        </w:tc>
      </w:tr>
      <w:tr w14:paraId="182C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14:paraId="7A17094A">
            <w:pPr>
              <w:rPr>
                <w:rFonts w:ascii="仿宋" w:hAnsi="仿宋" w:eastAsia="仿宋" w:cs="仿宋"/>
                <w:sz w:val="24"/>
                <w:szCs w:val="24"/>
                <w:highlight w:val="none"/>
              </w:rPr>
            </w:pPr>
            <w:r>
              <w:rPr>
                <w:rFonts w:hint="eastAsia" w:ascii="仿宋" w:hAnsi="仿宋" w:eastAsia="仿宋" w:cs="仿宋"/>
                <w:bCs/>
                <w:sz w:val="24"/>
                <w:szCs w:val="24"/>
                <w:highlight w:val="none"/>
              </w:rPr>
              <w:t>电话：</w:t>
            </w:r>
          </w:p>
        </w:tc>
        <w:tc>
          <w:tcPr>
            <w:tcW w:w="4681" w:type="dxa"/>
            <w:vAlign w:val="center"/>
          </w:tcPr>
          <w:p w14:paraId="148066CE">
            <w:pPr>
              <w:rPr>
                <w:rFonts w:ascii="仿宋" w:hAnsi="仿宋" w:eastAsia="仿宋" w:cs="仿宋"/>
                <w:bCs/>
                <w:sz w:val="24"/>
                <w:szCs w:val="24"/>
                <w:highlight w:val="none"/>
                <w:lang w:eastAsia="en-US"/>
              </w:rPr>
            </w:pPr>
            <w:r>
              <w:rPr>
                <w:rFonts w:hint="eastAsia" w:ascii="仿宋" w:hAnsi="仿宋" w:eastAsia="仿宋" w:cs="仿宋"/>
                <w:bCs/>
                <w:sz w:val="24"/>
                <w:szCs w:val="24"/>
                <w:highlight w:val="none"/>
              </w:rPr>
              <w:t>电话：</w:t>
            </w:r>
          </w:p>
        </w:tc>
      </w:tr>
      <w:tr w14:paraId="1D7E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14:paraId="6B43FFBA">
            <w:pPr>
              <w:rPr>
                <w:rFonts w:ascii="仿宋" w:hAnsi="仿宋" w:eastAsia="仿宋" w:cs="仿宋"/>
                <w:sz w:val="24"/>
                <w:szCs w:val="24"/>
                <w:highlight w:val="none"/>
              </w:rPr>
            </w:pPr>
            <w:r>
              <w:rPr>
                <w:rFonts w:hint="eastAsia" w:ascii="仿宋" w:hAnsi="仿宋" w:eastAsia="仿宋" w:cs="仿宋"/>
                <w:bCs/>
                <w:sz w:val="24"/>
                <w:szCs w:val="24"/>
                <w:highlight w:val="none"/>
              </w:rPr>
              <w:t>传真：</w:t>
            </w:r>
          </w:p>
        </w:tc>
        <w:tc>
          <w:tcPr>
            <w:tcW w:w="4681" w:type="dxa"/>
            <w:vAlign w:val="center"/>
          </w:tcPr>
          <w:p w14:paraId="745C7007">
            <w:pPr>
              <w:rPr>
                <w:rFonts w:ascii="仿宋" w:hAnsi="仿宋" w:eastAsia="仿宋" w:cs="仿宋"/>
                <w:bCs/>
                <w:sz w:val="24"/>
                <w:szCs w:val="24"/>
                <w:highlight w:val="none"/>
                <w:lang w:eastAsia="en-US" w:bidi="en-US"/>
              </w:rPr>
            </w:pPr>
            <w:r>
              <w:rPr>
                <w:rFonts w:hint="eastAsia" w:ascii="仿宋" w:hAnsi="仿宋" w:eastAsia="仿宋" w:cs="仿宋"/>
                <w:bCs/>
                <w:sz w:val="24"/>
                <w:szCs w:val="24"/>
                <w:highlight w:val="none"/>
              </w:rPr>
              <w:t>传真：</w:t>
            </w:r>
          </w:p>
        </w:tc>
      </w:tr>
      <w:tr w14:paraId="06A1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14:paraId="0E00A23F">
            <w:pPr>
              <w:rPr>
                <w:rFonts w:ascii="仿宋" w:hAnsi="仿宋" w:eastAsia="仿宋" w:cs="仿宋"/>
                <w:sz w:val="24"/>
                <w:szCs w:val="24"/>
                <w:highlight w:val="none"/>
              </w:rPr>
            </w:pPr>
            <w:r>
              <w:rPr>
                <w:rFonts w:hint="eastAsia" w:ascii="仿宋" w:hAnsi="仿宋" w:eastAsia="仿宋" w:cs="仿宋"/>
                <w:bCs/>
                <w:sz w:val="24"/>
                <w:szCs w:val="24"/>
                <w:highlight w:val="none"/>
              </w:rPr>
              <w:t>邮箱：</w:t>
            </w:r>
          </w:p>
        </w:tc>
        <w:tc>
          <w:tcPr>
            <w:tcW w:w="4681" w:type="dxa"/>
            <w:vAlign w:val="center"/>
          </w:tcPr>
          <w:p w14:paraId="4251610A">
            <w:pPr>
              <w:rPr>
                <w:rFonts w:ascii="仿宋" w:hAnsi="仿宋" w:eastAsia="仿宋" w:cs="仿宋"/>
                <w:bCs/>
                <w:sz w:val="24"/>
                <w:szCs w:val="24"/>
                <w:highlight w:val="none"/>
                <w:lang w:eastAsia="en-US" w:bidi="en-US"/>
              </w:rPr>
            </w:pPr>
            <w:r>
              <w:rPr>
                <w:rFonts w:hint="eastAsia" w:ascii="仿宋" w:hAnsi="仿宋" w:eastAsia="仿宋" w:cs="仿宋"/>
                <w:bCs/>
                <w:sz w:val="24"/>
                <w:szCs w:val="24"/>
                <w:highlight w:val="none"/>
              </w:rPr>
              <w:t>邮箱：</w:t>
            </w:r>
          </w:p>
        </w:tc>
      </w:tr>
      <w:tr w14:paraId="7322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14:paraId="60224BF5">
            <w:pPr>
              <w:rPr>
                <w:rFonts w:ascii="仿宋" w:hAnsi="仿宋" w:eastAsia="仿宋" w:cs="仿宋"/>
                <w:sz w:val="24"/>
                <w:szCs w:val="24"/>
                <w:highlight w:val="none"/>
              </w:rPr>
            </w:pPr>
            <w:r>
              <w:rPr>
                <w:rFonts w:hint="eastAsia" w:ascii="仿宋" w:hAnsi="仿宋" w:eastAsia="仿宋" w:cs="仿宋"/>
                <w:bCs/>
                <w:sz w:val="24"/>
                <w:szCs w:val="24"/>
                <w:highlight w:val="none"/>
              </w:rPr>
              <w:t>联系人：</w:t>
            </w:r>
          </w:p>
        </w:tc>
        <w:tc>
          <w:tcPr>
            <w:tcW w:w="4681" w:type="dxa"/>
            <w:vAlign w:val="center"/>
          </w:tcPr>
          <w:p w14:paraId="479DA840">
            <w:pPr>
              <w:rPr>
                <w:rFonts w:ascii="仿宋" w:hAnsi="仿宋" w:eastAsia="仿宋" w:cs="仿宋"/>
                <w:bCs/>
                <w:sz w:val="24"/>
                <w:szCs w:val="24"/>
                <w:highlight w:val="none"/>
                <w:lang w:bidi="en-US"/>
              </w:rPr>
            </w:pPr>
            <w:r>
              <w:rPr>
                <w:rFonts w:hint="eastAsia" w:ascii="仿宋" w:hAnsi="仿宋" w:eastAsia="仿宋" w:cs="仿宋"/>
                <w:bCs/>
                <w:sz w:val="24"/>
                <w:szCs w:val="24"/>
                <w:highlight w:val="none"/>
              </w:rPr>
              <w:t>联系人：</w:t>
            </w:r>
          </w:p>
        </w:tc>
      </w:tr>
      <w:tr w14:paraId="60C5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4498" w:type="dxa"/>
            <w:vAlign w:val="center"/>
          </w:tcPr>
          <w:p w14:paraId="75D8080E">
            <w:pPr>
              <w:rPr>
                <w:rFonts w:ascii="仿宋" w:hAnsi="仿宋" w:eastAsia="仿宋" w:cs="仿宋"/>
                <w:sz w:val="24"/>
                <w:szCs w:val="24"/>
                <w:highlight w:val="none"/>
              </w:rPr>
            </w:pPr>
            <w:r>
              <w:rPr>
                <w:rFonts w:hint="eastAsia" w:ascii="仿宋" w:hAnsi="仿宋" w:eastAsia="仿宋" w:cs="仿宋"/>
                <w:bCs/>
                <w:sz w:val="24"/>
                <w:szCs w:val="24"/>
                <w:highlight w:val="none"/>
              </w:rPr>
              <w:t xml:space="preserve">地址： </w:t>
            </w:r>
          </w:p>
        </w:tc>
        <w:tc>
          <w:tcPr>
            <w:tcW w:w="4681" w:type="dxa"/>
            <w:vAlign w:val="center"/>
          </w:tcPr>
          <w:p w14:paraId="20AA0ACE">
            <w:pPr>
              <w:rPr>
                <w:rFonts w:ascii="仿宋" w:hAnsi="仿宋" w:eastAsia="仿宋" w:cs="仿宋"/>
                <w:bCs/>
                <w:sz w:val="24"/>
                <w:szCs w:val="24"/>
                <w:highlight w:val="none"/>
                <w:lang w:bidi="en-US"/>
              </w:rPr>
            </w:pPr>
            <w:r>
              <w:rPr>
                <w:rFonts w:hint="eastAsia" w:ascii="仿宋" w:hAnsi="仿宋" w:eastAsia="仿宋" w:cs="仿宋"/>
                <w:bCs/>
                <w:sz w:val="24"/>
                <w:szCs w:val="24"/>
                <w:highlight w:val="none"/>
              </w:rPr>
              <w:t>地址：</w:t>
            </w:r>
          </w:p>
        </w:tc>
      </w:tr>
      <w:tr w14:paraId="0268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4498" w:type="dxa"/>
            <w:vAlign w:val="center"/>
          </w:tcPr>
          <w:p w14:paraId="1DD4D8B3">
            <w:pPr>
              <w:rPr>
                <w:rFonts w:ascii="仿宋" w:hAnsi="仿宋" w:eastAsia="仿宋" w:cs="仿宋"/>
                <w:bCs/>
                <w:sz w:val="24"/>
                <w:szCs w:val="24"/>
                <w:highlight w:val="none"/>
              </w:rPr>
            </w:pPr>
            <w:r>
              <w:rPr>
                <w:rFonts w:hint="eastAsia" w:ascii="仿宋" w:hAnsi="仿宋" w:eastAsia="仿宋" w:cs="仿宋"/>
                <w:bCs/>
                <w:sz w:val="24"/>
                <w:szCs w:val="24"/>
                <w:highlight w:val="none"/>
              </w:rPr>
              <w:t>日期：</w:t>
            </w:r>
          </w:p>
        </w:tc>
        <w:tc>
          <w:tcPr>
            <w:tcW w:w="4681" w:type="dxa"/>
            <w:vAlign w:val="center"/>
          </w:tcPr>
          <w:p w14:paraId="63FF0728">
            <w:pPr>
              <w:rPr>
                <w:rFonts w:ascii="仿宋" w:hAnsi="仿宋" w:eastAsia="仿宋" w:cs="仿宋"/>
                <w:bCs/>
                <w:sz w:val="24"/>
                <w:szCs w:val="24"/>
                <w:highlight w:val="none"/>
              </w:rPr>
            </w:pPr>
            <w:r>
              <w:rPr>
                <w:rFonts w:hint="eastAsia" w:ascii="仿宋" w:hAnsi="仿宋" w:eastAsia="仿宋" w:cs="仿宋"/>
                <w:bCs/>
                <w:sz w:val="24"/>
                <w:szCs w:val="24"/>
                <w:highlight w:val="none"/>
              </w:rPr>
              <w:t>日期：</w:t>
            </w:r>
          </w:p>
        </w:tc>
      </w:tr>
    </w:tbl>
    <w:p w14:paraId="684C8A5A">
      <w:pPr>
        <w:spacing w:line="440" w:lineRule="exact"/>
        <w:rPr>
          <w:rFonts w:ascii="仿宋" w:hAnsi="仿宋" w:eastAsia="仿宋" w:cs="仿宋"/>
          <w:sz w:val="24"/>
          <w:szCs w:val="24"/>
          <w:highlight w:val="none"/>
        </w:rPr>
      </w:pPr>
      <w:r>
        <w:rPr>
          <w:rFonts w:ascii="仿宋" w:hAnsi="仿宋" w:eastAsia="仿宋" w:cs="仿宋"/>
          <w:sz w:val="24"/>
          <w:szCs w:val="24"/>
          <w:highlight w:val="none"/>
        </w:rPr>
        <w:br w:type="page"/>
      </w:r>
    </w:p>
    <w:p w14:paraId="4D5FB583">
      <w:pPr>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附</w:t>
      </w:r>
      <w:bookmarkStart w:id="50" w:name="_Toc267261693"/>
      <w:bookmarkStart w:id="51" w:name="_Toc296891266"/>
      <w:bookmarkStart w:id="52" w:name="_Toc296944565"/>
      <w:bookmarkStart w:id="53" w:name="_Toc296347225"/>
      <w:bookmarkStart w:id="54" w:name="_Toc296891054"/>
      <w:bookmarkStart w:id="55" w:name="_Toc296346727"/>
      <w:bookmarkStart w:id="56" w:name="_Toc296503226"/>
      <w:r>
        <w:rPr>
          <w:rFonts w:hint="eastAsia" w:ascii="仿宋" w:hAnsi="仿宋" w:eastAsia="仿宋" w:cs="仿宋"/>
          <w:sz w:val="24"/>
          <w:szCs w:val="24"/>
          <w:highlight w:val="none"/>
        </w:rPr>
        <w:t>件1：</w:t>
      </w:r>
      <w:bookmarkEnd w:id="50"/>
      <w:bookmarkEnd w:id="51"/>
      <w:bookmarkEnd w:id="52"/>
      <w:bookmarkEnd w:id="53"/>
      <w:bookmarkEnd w:id="54"/>
      <w:bookmarkEnd w:id="55"/>
      <w:bookmarkEnd w:id="56"/>
    </w:p>
    <w:p w14:paraId="36E002BE">
      <w:pPr>
        <w:spacing w:before="158" w:beforeLines="50" w:after="158" w:afterLines="50" w:line="440" w:lineRule="exact"/>
        <w:jc w:val="center"/>
        <w:rPr>
          <w:rFonts w:ascii="黑体" w:hAnsi="黑体" w:eastAsia="黑体"/>
          <w:color w:val="000000" w:themeColor="text1"/>
          <w:sz w:val="28"/>
          <w:highlight w:val="none"/>
          <w14:textFill>
            <w14:solidFill>
              <w14:schemeClr w14:val="tx1"/>
            </w14:solidFill>
          </w14:textFill>
        </w:rPr>
      </w:pPr>
      <w:r>
        <w:rPr>
          <w:rFonts w:hint="eastAsia" w:ascii="黑体" w:hAnsi="黑体" w:eastAsia="黑体"/>
          <w:color w:val="000000" w:themeColor="text1"/>
          <w:sz w:val="28"/>
          <w:highlight w:val="none"/>
          <w14:textFill>
            <w14:solidFill>
              <w14:schemeClr w14:val="tx1"/>
            </w14:solidFill>
          </w14:textFill>
        </w:rPr>
        <w:t>工程质量保修书</w:t>
      </w:r>
    </w:p>
    <w:p w14:paraId="38E29296">
      <w:pPr>
        <w:spacing w:line="44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发包人（全称）：</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p>
    <w:p w14:paraId="520B9CD2">
      <w:pPr>
        <w:spacing w:line="440" w:lineRule="exact"/>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承包人（全称）：</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szCs w:val="24"/>
          <w:highlight w:val="none"/>
          <w14:textFill>
            <w14:solidFill>
              <w14:schemeClr w14:val="tx1"/>
            </w14:solidFill>
          </w14:textFill>
        </w:rPr>
        <w:t xml:space="preserve"> </w:t>
      </w:r>
    </w:p>
    <w:p w14:paraId="16F17542">
      <w:pPr>
        <w:spacing w:line="440" w:lineRule="exact"/>
        <w:rPr>
          <w:rFonts w:ascii="仿宋_GB2312" w:eastAsia="仿宋_GB2312"/>
          <w:color w:val="000000" w:themeColor="text1"/>
          <w:sz w:val="24"/>
          <w:szCs w:val="24"/>
          <w:highlight w:val="none"/>
          <w14:textFill>
            <w14:solidFill>
              <w14:schemeClr w14:val="tx1"/>
            </w14:solidFill>
          </w14:textFill>
        </w:rPr>
      </w:pPr>
    </w:p>
    <w:p w14:paraId="3326926A">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发包人和承包人根据《中华人民共和国建筑法》和《建设工程质量管理条例》，经协商一致就</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（工程全称）签订工程质量保修书。</w:t>
      </w:r>
    </w:p>
    <w:p w14:paraId="27C1D685">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一、工程质量保修范围和内容</w:t>
      </w:r>
    </w:p>
    <w:p w14:paraId="27C07D76">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承包人在质量保修期内，按照有关法律规定和合同约定，承担工程质量保修责任。</w:t>
      </w:r>
    </w:p>
    <w:p w14:paraId="32A30E64">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承包人承包范围以内的全部工程内容。若施工合同中有其它保修约定的按约定执行 </w:t>
      </w:r>
      <w:r>
        <w:rPr>
          <w:rFonts w:hint="eastAsia" w:ascii="仿宋_GB2312" w:eastAsia="仿宋_GB2312"/>
          <w:color w:val="000000" w:themeColor="text1"/>
          <w:sz w:val="24"/>
          <w:highlight w:val="none"/>
          <w14:textFill>
            <w14:solidFill>
              <w14:schemeClr w14:val="tx1"/>
            </w14:solidFill>
          </w14:textFill>
        </w:rPr>
        <w:t>。</w:t>
      </w:r>
    </w:p>
    <w:p w14:paraId="69339015">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二、质量保修期</w:t>
      </w:r>
    </w:p>
    <w:p w14:paraId="43F52CDD">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根据《建设工程质量管理条例》及有关规定，工程的质量保修期如下：</w:t>
      </w:r>
    </w:p>
    <w:p w14:paraId="51CB097E">
      <w:pPr>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1．地基基础工程和主体结构工程为设计文件规定的工程合理使用年限；</w:t>
      </w:r>
    </w:p>
    <w:p w14:paraId="4A451298">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2．屋面防水工程、有防水要求的卫生间、房间和外墙面的防渗为</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5 </w:t>
      </w:r>
      <w:r>
        <w:rPr>
          <w:rFonts w:hint="eastAsia" w:ascii="仿宋_GB2312" w:eastAsia="仿宋_GB2312"/>
          <w:color w:val="000000" w:themeColor="text1"/>
          <w:sz w:val="24"/>
          <w:highlight w:val="none"/>
          <w14:textFill>
            <w14:solidFill>
              <w14:schemeClr w14:val="tx1"/>
            </w14:solidFill>
          </w14:textFill>
        </w:rPr>
        <w:t>年；</w:t>
      </w:r>
    </w:p>
    <w:p w14:paraId="3C244A3C">
      <w:pPr>
        <w:spacing w:line="360" w:lineRule="auto"/>
        <w:ind w:left="420" w:leftChars="200" w:firstLine="120" w:firstLineChars="5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3．装修工程为</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2</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年；</w:t>
      </w:r>
    </w:p>
    <w:p w14:paraId="5B3BCC91">
      <w:pPr>
        <w:spacing w:line="360" w:lineRule="auto"/>
        <w:ind w:left="420" w:leftChars="200" w:firstLine="120" w:firstLineChars="5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4．电气管线、给排水管道、设备安装工程为</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2</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年；</w:t>
      </w:r>
    </w:p>
    <w:p w14:paraId="04F92482">
      <w:pPr>
        <w:spacing w:line="360" w:lineRule="auto"/>
        <w:ind w:left="420" w:leftChars="200" w:firstLine="120" w:firstLineChars="5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5．供热与供冷系统为</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2</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个采暖期、供冷期；</w:t>
      </w:r>
    </w:p>
    <w:p w14:paraId="2D03A6DE">
      <w:pPr>
        <w:spacing w:line="360" w:lineRule="auto"/>
        <w:ind w:left="420" w:leftChars="200" w:firstLine="120" w:firstLineChars="5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6．给排水设施、道路等配套工程为</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2</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14:textFill>
            <w14:solidFill>
              <w14:schemeClr w14:val="tx1"/>
            </w14:solidFill>
          </w14:textFill>
        </w:rPr>
        <w:t>年；</w:t>
      </w:r>
    </w:p>
    <w:p w14:paraId="48691997">
      <w:pPr>
        <w:spacing w:line="360" w:lineRule="auto"/>
        <w:ind w:left="420" w:leftChars="200" w:firstLine="120" w:firstLineChars="5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7．其他项目保修期限约定如下：</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i/>
          <w:color w:val="000000" w:themeColor="text1"/>
          <w:sz w:val="24"/>
          <w:highlight w:val="none"/>
          <w:u w:val="single"/>
          <w14:textFill>
            <w14:solidFill>
              <w14:schemeClr w14:val="tx1"/>
            </w14:solidFill>
          </w14:textFill>
        </w:rPr>
        <w:t xml:space="preserve">依据工程具体情况而定 </w:t>
      </w:r>
      <w:r>
        <w:rPr>
          <w:rFonts w:hint="eastAsia" w:ascii="仿宋_GB2312" w:eastAsia="仿宋_GB2312"/>
          <w:color w:val="000000" w:themeColor="text1"/>
          <w:sz w:val="24"/>
          <w:highlight w:val="none"/>
          <w14:textFill>
            <w14:solidFill>
              <w14:schemeClr w14:val="tx1"/>
            </w14:solidFill>
          </w14:textFill>
        </w:rPr>
        <w:t>。</w:t>
      </w:r>
    </w:p>
    <w:p w14:paraId="0348DFD6">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质量保修期自工程竣工验收合格之日起计算。在保修期内出现</w:t>
      </w:r>
      <w:r>
        <w:rPr>
          <w:rFonts w:hint="eastAsia" w:ascii="仿宋_GB2312" w:eastAsia="仿宋_GB2312"/>
          <w:i/>
          <w:color w:val="000000" w:themeColor="text1"/>
          <w:sz w:val="24"/>
          <w:highlight w:val="none"/>
          <w:u w:val="single"/>
          <w14:textFill>
            <w14:solidFill>
              <w14:schemeClr w14:val="tx1"/>
            </w14:solidFill>
          </w14:textFill>
        </w:rPr>
        <w:t xml:space="preserve"> 防水 </w:t>
      </w:r>
      <w:r>
        <w:rPr>
          <w:rFonts w:hint="eastAsia" w:ascii="仿宋_GB2312" w:eastAsia="仿宋_GB2312"/>
          <w:color w:val="000000" w:themeColor="text1"/>
          <w:sz w:val="24"/>
          <w:highlight w:val="none"/>
          <w14:textFill>
            <w14:solidFill>
              <w14:schemeClr w14:val="tx1"/>
            </w14:solidFill>
          </w14:textFill>
        </w:rPr>
        <w:t>质量问题经修复完成后，相应保修期重新计算。</w:t>
      </w:r>
    </w:p>
    <w:p w14:paraId="6C129C10">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三、质量保修责任</w:t>
      </w:r>
    </w:p>
    <w:p w14:paraId="287F50B3">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1．属于保修范围、内容的项目，承包人应当在接到保修通知之日起24小时内派人保修。承包人不在约定期限内派人保修的，发包人可以委托他人修理；保修费用从质量保修金内双倍扣除。</w:t>
      </w:r>
    </w:p>
    <w:p w14:paraId="1E4ACD31">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2．发生紧急事故需抢修的，承包人在接到事故通知后，应当立即到达事故现场抢修。非承包人施工质量引起的事故，抢修费用由发包人承担。</w:t>
      </w:r>
    </w:p>
    <w:p w14:paraId="3059F10B">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并应承担损害赔偿责任</w:t>
      </w:r>
      <w:r>
        <w:rPr>
          <w:rFonts w:hint="eastAsia" w:ascii="仿宋_GB2312" w:hAnsi="仿宋_GB2312" w:eastAsia="仿宋_GB2312"/>
          <w:color w:val="000000" w:themeColor="text1"/>
          <w:sz w:val="24"/>
          <w:highlight w:val="none"/>
          <w14:textFill>
            <w14:solidFill>
              <w14:schemeClr w14:val="tx1"/>
            </w14:solidFill>
          </w14:textFill>
        </w:rPr>
        <w:t>。</w:t>
      </w:r>
    </w:p>
    <w:p w14:paraId="324A6610">
      <w:pPr>
        <w:spacing w:line="520" w:lineRule="exact"/>
        <w:ind w:firstLine="470" w:firstLineChars="196"/>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4．质量保修完成后，由发包人组织验收。</w:t>
      </w:r>
    </w:p>
    <w:p w14:paraId="5C01751B">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四、质量保修金的支付</w:t>
      </w:r>
    </w:p>
    <w:p w14:paraId="69DB8776">
      <w:pPr>
        <w:spacing w:line="360" w:lineRule="auto"/>
        <w:ind w:left="105" w:leftChars="50" w:firstLine="491" w:firstLineChars="205"/>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本工程双方约定承包人向发包人支付工程质量保修金金额为工程结算款的</w:t>
      </w:r>
      <w:r>
        <w:rPr>
          <w:rFonts w:hint="eastAsia" w:ascii="仿宋_GB2312" w:eastAsia="仿宋_GB2312"/>
          <w:color w:val="000000" w:themeColor="text1"/>
          <w:sz w:val="24"/>
          <w:highlight w:val="none"/>
          <w:u w:val="single"/>
          <w14:textFill>
            <w14:solidFill>
              <w14:schemeClr w14:val="tx1"/>
            </w14:solidFill>
          </w14:textFill>
        </w:rPr>
        <w:t>百分之叁（大写）</w:t>
      </w:r>
      <w:r>
        <w:rPr>
          <w:rFonts w:hint="eastAsia" w:ascii="仿宋_GB2312" w:eastAsia="仿宋_GB2312"/>
          <w:color w:val="000000" w:themeColor="text1"/>
          <w:sz w:val="24"/>
          <w:highlight w:val="none"/>
          <w14:textFill>
            <w14:solidFill>
              <w14:schemeClr w14:val="tx1"/>
            </w14:solidFill>
          </w14:textFill>
        </w:rPr>
        <w:t xml:space="preserve">。质量保修金银行利率为 </w:t>
      </w:r>
      <w:r>
        <w:rPr>
          <w:rFonts w:hint="eastAsia" w:ascii="仿宋_GB2312" w:eastAsia="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color w:val="000000" w:themeColor="text1"/>
          <w:sz w:val="24"/>
          <w:highlight w:val="none"/>
          <w:u w:val="single"/>
          <w14:textFill>
            <w14:solidFill>
              <w14:schemeClr w14:val="tx1"/>
            </w14:solidFill>
          </w14:textFill>
        </w:rPr>
        <w:t>无</w:t>
      </w:r>
      <w:r>
        <w:rPr>
          <w:rFonts w:hint="eastAsia" w:ascii="仿宋_GB2312" w:eastAsia="仿宋_GB2312"/>
          <w:color w:val="000000" w:themeColor="text1"/>
          <w:sz w:val="24"/>
          <w:highlight w:val="none"/>
          <w14:textFill>
            <w14:solidFill>
              <w14:schemeClr w14:val="tx1"/>
            </w14:solidFill>
          </w14:textFill>
        </w:rPr>
        <w:t>。</w:t>
      </w:r>
    </w:p>
    <w:p w14:paraId="5C4BD561">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五、质量保修金的返还</w:t>
      </w:r>
    </w:p>
    <w:p w14:paraId="23C0DF20">
      <w:pPr>
        <w:pStyle w:val="10"/>
        <w:spacing w:line="360" w:lineRule="auto"/>
        <w:ind w:firstLine="480" w:firstLineChars="200"/>
        <w:jc w:val="left"/>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sym w:font="Wingdings 2" w:char="00A3"/>
      </w:r>
      <w:r>
        <w:rPr>
          <w:rFonts w:hint="eastAsia" w:ascii="仿宋_GB2312" w:hAnsi="仿宋" w:eastAsia="仿宋_GB2312" w:cs="仿宋"/>
          <w:sz w:val="24"/>
          <w:szCs w:val="24"/>
          <w:highlight w:val="none"/>
        </w:rPr>
        <w:t>工程竣工验收合格之日起两年且无质量问题，且经工程使用单位或发包人签署质量保修金支付证明后，无息返还质量保修金的100%。</w:t>
      </w:r>
    </w:p>
    <w:p w14:paraId="3C9E6548">
      <w:pPr>
        <w:pStyle w:val="10"/>
        <w:spacing w:line="360" w:lineRule="auto"/>
        <w:ind w:firstLine="480" w:firstLineChars="200"/>
        <w:jc w:val="left"/>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sym w:font="Wingdings 2" w:char="00A3"/>
      </w:r>
      <w:r>
        <w:rPr>
          <w:rFonts w:hint="eastAsia" w:ascii="仿宋_GB2312" w:hAnsi="仿宋" w:eastAsia="仿宋_GB2312" w:cs="仿宋"/>
          <w:sz w:val="24"/>
          <w:szCs w:val="24"/>
          <w:highlight w:val="none"/>
        </w:rPr>
        <w:t>工程竣工验收合格之日起两年且无质量问题，经工程使用单位或发包人签署质量保修金支付证明后，无息返还质量保修金的80%。自工程竣工验收合格之日起三年且无质量问题，经工程使用单位或发包人签署质量保修金支付证明后，无息返还质量保修金的20%。</w:t>
      </w:r>
    </w:p>
    <w:p w14:paraId="167ACF29">
      <w:pPr>
        <w:spacing w:line="360" w:lineRule="auto"/>
        <w:ind w:left="105" w:leftChars="50" w:firstLine="491" w:firstLineChars="205"/>
        <w:rPr>
          <w:rFonts w:ascii="仿宋_GB2312" w:eastAsia="仿宋_GB2312"/>
          <w:color w:val="000000" w:themeColor="text1"/>
          <w:sz w:val="24"/>
          <w:highlight w:val="none"/>
          <w:u w:val="single"/>
          <w14:textFill>
            <w14:solidFill>
              <w14:schemeClr w14:val="tx1"/>
            </w14:solidFill>
          </w14:textFill>
        </w:rPr>
      </w:pPr>
      <w:r>
        <w:rPr>
          <w:rFonts w:hint="eastAsia" w:ascii="仿宋_GB2312" w:hAnsi="仿宋" w:eastAsia="仿宋_GB2312" w:cs="仿宋"/>
          <w:sz w:val="24"/>
          <w:szCs w:val="24"/>
          <w:highlight w:val="none"/>
        </w:rPr>
        <w:sym w:font="Wingdings 2" w:char="00A3"/>
      </w:r>
      <w:r>
        <w:rPr>
          <w:rFonts w:hint="eastAsia" w:ascii="仿宋_GB2312" w:hAnsi="仿宋" w:eastAsia="仿宋_GB2312" w:cs="仿宋"/>
          <w:sz w:val="24"/>
          <w:szCs w:val="24"/>
          <w:highlight w:val="none"/>
        </w:rPr>
        <w:t>自工程竣工验收合格之日起两年且无质量问题，经工程使用单位或发包人签署质量保修金支付证明后，无息返还质量保修金的50%。自工程竣工验收合格之日起三年且无质量问题，经工程使用单位或发包人签署质量保修金支付证明后，无息返还质量保修金的30%，自工程竣工验收合格之日起五年且无质量问题，经工程使用单位或发包人签署质量保修金支付证明后，无息返还质量保修金的20%。</w:t>
      </w:r>
    </w:p>
    <w:p w14:paraId="10AE2D8A">
      <w:pPr>
        <w:spacing w:line="360" w:lineRule="auto"/>
        <w:ind w:left="105" w:leftChars="50" w:firstLine="491" w:firstLineChars="205"/>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质量保修期延长的，最后一笔返还质量保修金的期限同时顺延。</w:t>
      </w:r>
    </w:p>
    <w:p w14:paraId="0EC7EDC9">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六、其它</w:t>
      </w:r>
    </w:p>
    <w:p w14:paraId="748923F3">
      <w:pPr>
        <w:spacing w:line="360" w:lineRule="auto"/>
        <w:ind w:left="105" w:leftChars="50" w:firstLine="491" w:firstLineChars="205"/>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1、本保修书作为施工工程合同的附件，与施工工程合同具有同等法律效力。</w:t>
      </w:r>
    </w:p>
    <w:p w14:paraId="051B3E08">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2、双方约定的其它工程质量保修事项：</w:t>
      </w:r>
    </w:p>
    <w:p w14:paraId="77570969">
      <w:pPr>
        <w:spacing w:line="360" w:lineRule="auto"/>
        <w:ind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对于属于质量问题及保修范围、内容的项目，承包人应当在接到发包人的《质量维修通知单》（书面形式通过顺丰或EMS向施工单位发送，均为有效）之日起按照通知单载明的限期内派人维修。承包人不在约定期限内派人维修的，发包人可以另委托第三方维修；发生的维修费用，按第三方维修单位向发包人主张的结算报审金额计取，从本合同尾款内双倍扣除。本合同尾款不足部分，仍由承包人承担。从合同尾款中扣除的，承包人承诺配合发包人签订合同补充协议，调整合同额。逾期维修造成的的损失亦由承包人承担。</w:t>
      </w:r>
    </w:p>
    <w:p w14:paraId="17025E9F">
      <w:pPr>
        <w:spacing w:line="360" w:lineRule="auto"/>
        <w:ind w:left="105" w:leftChars="50" w:firstLine="491" w:firstLineChars="205"/>
        <w:rPr>
          <w:rFonts w:ascii="仿宋_GB2312" w:eastAsia="仿宋_GB2312"/>
          <w:color w:val="000000" w:themeColor="text1"/>
          <w:sz w:val="24"/>
          <w:szCs w:val="24"/>
          <w:highlight w:val="none"/>
          <w14:textFill>
            <w14:solidFill>
              <w14:schemeClr w14:val="tx1"/>
            </w14:solidFill>
          </w14:textFill>
        </w:rPr>
      </w:pPr>
    </w:p>
    <w:p w14:paraId="00D76561">
      <w:pPr>
        <w:spacing w:line="360" w:lineRule="auto"/>
        <w:ind w:firstLine="456" w:firstLineChars="19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工程质量保修书由发包人、承包人在工程竣工验收前共同签署，作为施工合同附件，其有效期限至保修期满。</w:t>
      </w:r>
    </w:p>
    <w:p w14:paraId="134E2012">
      <w:pPr>
        <w:spacing w:line="360" w:lineRule="auto"/>
        <w:ind w:firstLine="456" w:firstLineChars="190"/>
        <w:rPr>
          <w:rFonts w:ascii="仿宋" w:hAnsi="仿宋" w:eastAsia="仿宋" w:cs="仿宋"/>
          <w:sz w:val="24"/>
          <w:szCs w:val="24"/>
          <w:highlight w:val="none"/>
        </w:rPr>
      </w:pPr>
      <w:r>
        <w:rPr>
          <w:rFonts w:hint="eastAsia" w:ascii="仿宋" w:hAnsi="仿宋" w:eastAsia="仿宋" w:cs="仿宋"/>
          <w:sz w:val="24"/>
          <w:szCs w:val="24"/>
          <w:highlight w:val="none"/>
        </w:rPr>
        <w:br w:type="page"/>
      </w:r>
    </w:p>
    <w:p w14:paraId="62836CF1">
      <w:pPr>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附件2：           </w:t>
      </w:r>
    </w:p>
    <w:p w14:paraId="735A5ADF">
      <w:pPr>
        <w:spacing w:before="158" w:beforeLines="50" w:after="158" w:afterLines="50" w:line="440" w:lineRule="exact"/>
        <w:jc w:val="center"/>
        <w:rPr>
          <w:rFonts w:eastAsia="黑体"/>
          <w:color w:val="000000" w:themeColor="text1"/>
          <w:sz w:val="28"/>
          <w:szCs w:val="28"/>
          <w:highlight w:val="non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相关方安全协议</w:t>
      </w:r>
    </w:p>
    <w:p w14:paraId="4047AAC8">
      <w:pPr>
        <w:pStyle w:val="76"/>
        <w:spacing w:line="300" w:lineRule="auto"/>
        <w:ind w:firstLine="480"/>
        <w:rPr>
          <w:rFonts w:ascii="仿宋_GB2312" w:hAnsi="仿宋_GB2312" w:eastAsia="仿宋_GB2312" w:cs="仿宋_GB2312"/>
          <w:sz w:val="24"/>
          <w:highlight w:val="none"/>
        </w:rPr>
      </w:pPr>
      <w:r>
        <w:rPr>
          <w:rFonts w:ascii="仿宋_GB2312" w:hAnsi="仿宋_GB2312" w:eastAsia="仿宋_GB2312" w:cs="仿宋_GB2312"/>
          <w:sz w:val="24"/>
          <w:szCs w:val="24"/>
          <w:highlight w:val="none"/>
        </w:rPr>
        <w:t>甲方：</w:t>
      </w:r>
    </w:p>
    <w:p w14:paraId="4E16E527">
      <w:pPr>
        <w:pStyle w:val="76"/>
        <w:spacing w:line="300" w:lineRule="auto"/>
        <w:ind w:firstLine="480"/>
        <w:rPr>
          <w:rFonts w:ascii="仿宋_GB2312" w:hAnsi="仿宋_GB2312" w:eastAsia="仿宋_GB2312" w:cs="仿宋_GB2312"/>
          <w:sz w:val="24"/>
          <w:highlight w:val="none"/>
        </w:rPr>
      </w:pPr>
      <w:r>
        <w:rPr>
          <w:rFonts w:ascii="仿宋_GB2312" w:hAnsi="仿宋_GB2312" w:eastAsia="仿宋_GB2312" w:cs="仿宋_GB2312"/>
          <w:sz w:val="24"/>
          <w:szCs w:val="24"/>
          <w:highlight w:val="none"/>
        </w:rPr>
        <w:t>乙方：</w:t>
      </w:r>
    </w:p>
    <w:p w14:paraId="6F1F2DD4">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乙方在甲方厂区（含园区）开展</w:t>
      </w:r>
      <w:r>
        <w:rPr>
          <w:rFonts w:hint="eastAsia" w:ascii="仿宋_GB2312" w:hAnsi="仿宋_GB2312" w:eastAsia="仿宋_GB2312" w:cs="仿宋_GB2312"/>
          <w:sz w:val="24"/>
          <w:szCs w:val="24"/>
          <w:highlight w:val="none"/>
          <w:u w:val="single"/>
        </w:rPr>
        <w:t xml:space="preserve">           </w:t>
      </w:r>
      <w:r>
        <w:rPr>
          <w:rFonts w:ascii="仿宋_GB2312" w:hAnsi="仿宋_GB2312" w:eastAsia="仿宋_GB2312" w:cs="仿宋_GB2312"/>
          <w:sz w:val="24"/>
          <w:szCs w:val="24"/>
          <w:highlight w:val="none"/>
        </w:rPr>
        <w:t>项目</w:t>
      </w: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根据国</w:t>
      </w:r>
      <w:r>
        <w:rPr>
          <w:rFonts w:hint="eastAsia" w:ascii="仿宋_GB2312" w:hAnsi="仿宋_GB2312" w:eastAsia="仿宋_GB2312" w:cs="仿宋_GB2312"/>
          <w:sz w:val="24"/>
          <w:szCs w:val="24"/>
          <w:highlight w:val="none"/>
        </w:rPr>
        <w:t>家、地方</w:t>
      </w:r>
      <w:r>
        <w:rPr>
          <w:rFonts w:ascii="仿宋_GB2312" w:hAnsi="仿宋_GB2312" w:eastAsia="仿宋_GB2312" w:cs="仿宋_GB2312"/>
          <w:sz w:val="24"/>
          <w:szCs w:val="24"/>
          <w:highlight w:val="none"/>
        </w:rPr>
        <w:t>有关安全生产的法律、法规、条例</w:t>
      </w:r>
      <w:r>
        <w:rPr>
          <w:rFonts w:hint="eastAsia" w:ascii="仿宋_GB2312" w:hAnsi="仿宋_GB2312" w:eastAsia="仿宋_GB2312" w:cs="仿宋_GB2312"/>
          <w:sz w:val="24"/>
          <w:szCs w:val="24"/>
          <w:highlight w:val="none"/>
        </w:rPr>
        <w:t>、规章、政策等规范性文件的要求</w:t>
      </w:r>
      <w:r>
        <w:rPr>
          <w:rFonts w:ascii="仿宋_GB2312" w:hAnsi="仿宋_GB2312" w:eastAsia="仿宋_GB2312" w:cs="仿宋_GB2312"/>
          <w:sz w:val="24"/>
          <w:szCs w:val="24"/>
          <w:highlight w:val="none"/>
        </w:rPr>
        <w:t>，为明确甲乙双方安全管理职责与权利，预防各类事故的发生，经甲乙双方协商一致，同意签订本协议，并</w:t>
      </w:r>
      <w:r>
        <w:rPr>
          <w:rFonts w:hint="eastAsia" w:ascii="仿宋_GB2312" w:hAnsi="仿宋_GB2312" w:eastAsia="仿宋_GB2312" w:cs="仿宋_GB2312"/>
          <w:sz w:val="24"/>
          <w:szCs w:val="24"/>
          <w:highlight w:val="none"/>
        </w:rPr>
        <w:t>共同</w:t>
      </w:r>
      <w:r>
        <w:rPr>
          <w:rFonts w:ascii="仿宋_GB2312" w:hAnsi="仿宋_GB2312" w:eastAsia="仿宋_GB2312" w:cs="仿宋_GB2312"/>
          <w:sz w:val="24"/>
          <w:szCs w:val="24"/>
          <w:highlight w:val="none"/>
        </w:rPr>
        <w:t>遵守。</w:t>
      </w:r>
    </w:p>
    <w:p w14:paraId="1E4B0C9F">
      <w:pPr>
        <w:pStyle w:val="76"/>
        <w:spacing w:line="300" w:lineRule="auto"/>
        <w:ind w:firstLine="480"/>
        <w:rPr>
          <w:rFonts w:ascii="黑体" w:hAnsi="黑体" w:eastAsia="黑体" w:cs="黑体"/>
          <w:sz w:val="24"/>
          <w:highlight w:val="none"/>
        </w:rPr>
      </w:pPr>
      <w:r>
        <w:rPr>
          <w:rFonts w:hint="eastAsia" w:ascii="黑体" w:hAnsi="黑体" w:eastAsia="黑体" w:cs="黑体"/>
          <w:sz w:val="24"/>
          <w:szCs w:val="24"/>
          <w:highlight w:val="none"/>
        </w:rPr>
        <w:t>一、甲乙双方安全管理职责与权利：</w:t>
      </w:r>
    </w:p>
    <w:p w14:paraId="056E74FF">
      <w:pPr>
        <w:pStyle w:val="76"/>
        <w:numPr>
          <w:ilvl w:val="255"/>
          <w:numId w:val="0"/>
        </w:numPr>
        <w:spacing w:line="300" w:lineRule="auto"/>
        <w:ind w:firstLine="482" w:firstLineChars="200"/>
        <w:rPr>
          <w:rFonts w:ascii="楷体_GB2312" w:hAnsi="楷体_GB2312" w:eastAsia="楷体_GB2312" w:cs="楷体_GB2312"/>
          <w:b/>
          <w:bCs/>
          <w:sz w:val="24"/>
          <w:highlight w:val="none"/>
        </w:rPr>
      </w:pPr>
      <w:r>
        <w:rPr>
          <w:rFonts w:hint="eastAsia" w:ascii="楷体_GB2312" w:hAnsi="楷体_GB2312" w:eastAsia="楷体_GB2312" w:cs="楷体_GB2312"/>
          <w:b/>
          <w:bCs/>
          <w:sz w:val="24"/>
          <w:szCs w:val="24"/>
          <w:highlight w:val="none"/>
        </w:rPr>
        <w:t>（一）甲方职责与权利</w:t>
      </w:r>
    </w:p>
    <w:p w14:paraId="7A1C72F6">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1.甲方根据协作需求，负责为乙方提供作业场地及必要的风、水、电、气等能源。</w:t>
      </w:r>
    </w:p>
    <w:p w14:paraId="3C618B1D">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2.甲方有权督促乙方遵守国家有关安全的法规、标准和甲方的安全管理规章制度，有权对乙方作业过程中的安全管理工作、安全防范措施的落实进行监督检查，有权向乙方询问有关安全措施的落实情况，调阅有关安全资料，并落实为书面记录。</w:t>
      </w:r>
    </w:p>
    <w:p w14:paraId="2685C2F1">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3.甲方有权对乙方作业过程中出现的事故隐患、违章、冒险行为进行制止和纠正，有权要求乙方立即整改和排除风险。乙方出现重大安全隐患不进行整改的或管理混乱不服从甲方监督和协调的情况，甲方有权停止其作业，并给予警告和经济考核，直至终止本合同及具体业务合同。</w:t>
      </w:r>
    </w:p>
    <w:p w14:paraId="2EBEC37D">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4.甲方对乙方不得违章指挥、强令冒险作业，因甲方人员人为原因造成乙方人员发生事故的，由乙方负责处理，甲方予以协助并赔偿乙方的合理损失。</w:t>
      </w:r>
    </w:p>
    <w:p w14:paraId="6DFEF018">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5.甲方对乙方在甲方发生安全事故时，将尽量协助救护、保护事故现场，并有权开展或参加对事故的调查处理。因乙方原因导致的生产安全事故，由乙方承担相应责任。</w:t>
      </w:r>
    </w:p>
    <w:p w14:paraId="14AC8E26">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6.当物资供应类的物品中含有危险化学品以及其他对甲方职业安全健康有影响的产品时，甲方有权要求乙方提供相关产品的中文版化学品安全技术说明书、产品标准、使用说明书、化学性能参数表等文件。</w:t>
      </w:r>
    </w:p>
    <w:p w14:paraId="3B418672">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7.对于提供生活物质、食品的乙方，甲方有权要求乙方提供乙方工作人员的健康证明。在甲方服务时，乙方要严格遵守甲方的相关安全管理制度和卫生、健康管理制度。</w:t>
      </w:r>
    </w:p>
    <w:p w14:paraId="052CD48D">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8、甲方有权要求乙方提供作业人员的工伤保险及意外保险缴纳证明。</w:t>
      </w:r>
    </w:p>
    <w:p w14:paraId="538FFDC0">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9、甲方指定专人</w:t>
      </w:r>
      <w:r>
        <w:rPr>
          <w:rFonts w:hint="eastAsia" w:ascii="仿宋_GB2312" w:hAnsi="仿宋_GB2312"/>
          <w:sz w:val="24"/>
          <w:highlight w:val="none"/>
        </w:rPr>
        <w:t>（联系人、安全员：</w:t>
      </w:r>
      <w:r>
        <w:rPr>
          <w:rFonts w:ascii="仿宋_GB2312" w:hAnsi="仿宋_GB2312"/>
          <w:sz w:val="24"/>
          <w:highlight w:val="none"/>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sz w:val="24"/>
          <w:highlight w:val="none"/>
        </w:rPr>
        <w:t>；联系方式：</w:t>
      </w:r>
      <w:r>
        <w:rPr>
          <w:rFonts w:hint="eastAsia" w:ascii="仿宋_GB2312" w:hAnsi="仿宋_GB2312" w:eastAsia="仿宋_GB2312" w:cs="仿宋_GB2312"/>
          <w:sz w:val="24"/>
          <w:szCs w:val="24"/>
          <w:highlight w:val="none"/>
        </w:rPr>
        <w:t xml:space="preserve">     </w:t>
      </w:r>
      <w:r>
        <w:rPr>
          <w:rFonts w:ascii="仿宋_GB2312" w:hAnsi="仿宋_GB2312"/>
          <w:sz w:val="24"/>
          <w:highlight w:val="none"/>
        </w:rPr>
        <w:t xml:space="preserve">   </w:t>
      </w:r>
      <w:r>
        <w:rPr>
          <w:rFonts w:hint="eastAsia" w:ascii="仿宋_GB2312" w:hAnsi="仿宋_GB2312"/>
          <w:sz w:val="24"/>
          <w:highlight w:val="none"/>
        </w:rPr>
        <w:t>）</w:t>
      </w:r>
      <w:r>
        <w:rPr>
          <w:rFonts w:hint="eastAsia" w:ascii="仿宋_GB2312" w:hAnsi="仿宋_GB2312" w:eastAsia="仿宋_GB2312" w:cs="仿宋_GB2312"/>
          <w:sz w:val="24"/>
          <w:szCs w:val="24"/>
          <w:highlight w:val="none"/>
        </w:rPr>
        <w:t>负责乙方业务和安全管理，乙方出现各类问题都应及时与甲方联系人、安全员联系。</w:t>
      </w:r>
    </w:p>
    <w:p w14:paraId="380F653E">
      <w:pPr>
        <w:pStyle w:val="76"/>
        <w:numPr>
          <w:ilvl w:val="255"/>
          <w:numId w:val="0"/>
        </w:numPr>
        <w:spacing w:line="300" w:lineRule="auto"/>
        <w:ind w:firstLine="482" w:firstLineChars="200"/>
        <w:rPr>
          <w:rFonts w:ascii="楷体_GB2312" w:hAnsi="楷体_GB2312" w:eastAsia="楷体_GB2312" w:cs="楷体_GB2312"/>
          <w:b/>
          <w:bCs/>
          <w:sz w:val="24"/>
          <w:highlight w:val="none"/>
        </w:rPr>
      </w:pPr>
      <w:r>
        <w:rPr>
          <w:rFonts w:hint="eastAsia" w:ascii="楷体_GB2312" w:hAnsi="楷体_GB2312" w:eastAsia="楷体_GB2312" w:cs="楷体_GB2312"/>
          <w:b/>
          <w:bCs/>
          <w:sz w:val="24"/>
          <w:szCs w:val="24"/>
          <w:highlight w:val="none"/>
        </w:rPr>
        <w:t>（二）乙方职责与权利</w:t>
      </w:r>
    </w:p>
    <w:p w14:paraId="7448EAFB">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1.乙方进入甲方生产现场的车辆、人员必须执行甲方的各项安全管理规定，接受甲方安全管理人员的监督和管理。乙方应在进入现场前充分了解并知悉甲方的各项安全管理规定。</w:t>
      </w:r>
    </w:p>
    <w:p w14:paraId="7206363D">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2.乙方在甲方现场作业应指定安全负责人，佩戴安全管理标识负责本方的安全管理工作，</w:t>
      </w:r>
      <w:r>
        <w:rPr>
          <w:rFonts w:hint="eastAsia" w:ascii="仿宋_GB2312" w:hAnsi="仿宋_GB2312" w:eastAsia="仿宋_GB2312" w:cs="仿宋_GB2312"/>
          <w:sz w:val="24"/>
          <w:highlight w:val="none"/>
        </w:rPr>
        <w:t>乙方安全管理人员要定期开展隐患排查，并将检查及处理情况如实记录存档”</w:t>
      </w:r>
      <w:r>
        <w:rPr>
          <w:rFonts w:hint="eastAsia" w:ascii="仿宋_GB2312" w:hAnsi="仿宋_GB2312" w:eastAsia="仿宋_GB2312" w:cs="仿宋_GB2312"/>
          <w:sz w:val="24"/>
          <w:szCs w:val="24"/>
          <w:highlight w:val="none"/>
        </w:rPr>
        <w:t>。乙方应于本协议签订前，将该负责人姓名及其相关资料送至甲方审核、备案，当负责人发生变动时，乙方应在变动后5个工作日内书面通知甲方并将变动后的人员姓名及相关资料送至甲方备案。</w:t>
      </w:r>
    </w:p>
    <w:p w14:paraId="6060FFF3">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3.在甲方厂区内行驶的各类机动车辆，必须保证车辆的安全性能良好，并挂有公安部门或国家相关管理部门办理的有效牌照并按时审验，特种车辆设有环保码。牌照须按规定位置安装，并保持牢固、清晰、不得损坏，货物必须按规定装载和捆绑固定牢固，严禁超载、超速行驶。</w:t>
      </w:r>
    </w:p>
    <w:p w14:paraId="295828E7">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4.乙方应当保证在其派往甲方厂区的人员进入生产区域作业前，将甲方各项安全管理规章制度告知作业人员，熟知相关安全制度、作业过程存在的风险及预防控制措施并对其进行安全培训及保存相关记录备查。乙方进入甲方现场从事特种作业的工作人员，必须持有国家相关部门颁发的特种作业操作证，熟知相关安全制度、作业过程存在的风险及预防控制措施严禁无证作业。</w:t>
      </w:r>
    </w:p>
    <w:p w14:paraId="0D84B266">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5.乙方进入甲方厂区行驶的各类机动车辆，必须遵守靠右行驶的原则，并遵守相关禁行规定，禁止逆向行驶，禁止行车过程中使用手机。车辆停放时驾驶员不得长时间离开车辆，确需离开应将车辆熄火拉紧手制动器并在停车线内停放，启动钥匙随身携带。</w:t>
      </w:r>
    </w:p>
    <w:p w14:paraId="2ECCBB21">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6.各类机动车辆在甲方厂区主干道行驶速度不超过30公里/小时，其他道路不得超过20公里/小时；结冰、积雪、积水的道路和恶劣天气能见度在30m以内时不超过10公里/小时，</w:t>
      </w:r>
      <w:r>
        <w:rPr>
          <w:rFonts w:hint="eastAsia" w:ascii="仿宋_GB2312" w:hAnsi="仿宋_GB2312" w:eastAsia="仿宋_GB2312" w:cs="仿宋_GB2312"/>
          <w:sz w:val="24"/>
          <w:highlight w:val="none"/>
        </w:rPr>
        <w:t>恶劣天气能见度在5m以内或能见度在10m以内、道路最大纵坡在6%以上时,应停止行驶</w:t>
      </w:r>
      <w:r>
        <w:rPr>
          <w:rFonts w:hint="eastAsia" w:ascii="仿宋_GB2312" w:hAnsi="仿宋_GB2312" w:eastAsia="仿宋_GB2312" w:cs="仿宋_GB2312"/>
          <w:sz w:val="24"/>
          <w:szCs w:val="24"/>
          <w:highlight w:val="none"/>
        </w:rPr>
        <w:t>；车间内行驶速度不超过5公里/小时；进出车间大门行驶速度不超过3公里/小时。</w:t>
      </w:r>
    </w:p>
    <w:p w14:paraId="660E3FD7">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7.除叉车、装载机、厂内物流农用车、托头、电瓶板车等生产现场所需车辆，其余各类车辆原则上禁止进入厂房内部；确因生产需要车辆进入生产车间现场的，需报甲方需进入加工部的安全管理人员批准，并指定专人指挥、负责车辆的安全。</w:t>
      </w:r>
    </w:p>
    <w:p w14:paraId="3DA5118E">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8.乙方项目中涉及有限空间的作业，乙方应按照《工贸企业有限空间作业安全规定》及甲方安全规章制度要求，严格按照监测、作业、审批及应急管理要求执行，安排经专项培训的作业人员、监护人员等进行作业。</w:t>
      </w:r>
    </w:p>
    <w:p w14:paraId="5F327DD0">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9.因乙方人员不遵守相关安全法律法规及甲方的规章制度造成安全生产事故的，乙方应负责处理相关事宜，并承担相应责任和损失，甲方予以协助。</w:t>
      </w:r>
    </w:p>
    <w:p w14:paraId="22AC02E5">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10.乙方负责处理其工作人员在甲方现场工作期间发生的工伤事故，并承担相应费用及责任，甲方予以积极配合。</w:t>
      </w:r>
    </w:p>
    <w:p w14:paraId="1F81F972">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11.乙方人员在甲方现场造成甲方工作人员或第三方人员人身伤害、财产损失或甲方产品、设备等财产损失的，由乙方承担相应费用及责任。</w:t>
      </w:r>
    </w:p>
    <w:p w14:paraId="1E9B43E4">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12.乙方人员及车辆在甲方厂区范围内发生安全生产、交通等事故的，在安监部门、公安、司法机关未结案时，所有费用均由乙方先行全额垫付。待安监部门、公安、司法机关处理完毕后，由国家机关认定的责任人承担相关责任。相关责任人赔偿前，由乙方负责先行全额垫付。</w:t>
      </w:r>
    </w:p>
    <w:p w14:paraId="3FF4FB9A">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13.乙方应当根据《中华人民共和国职业病防治法》的要求，对其所属员工组织进行岗前、岗中、离岗职业健康查体，妥善保存查体报告，杜绝职业禁忌证、职业病人员进入甲方厂区从事相关工作，对进入甲方厂区工作的人员，按照接害因素配备相应的符合国家规范要求的劳动防护用品。乙方出现的职业病、禁忌证人员，由乙方全权负责。</w:t>
      </w:r>
    </w:p>
    <w:p w14:paraId="0AE1E211">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14.乙方所使用的机械设施、各类机器等设备，必须是经过检测且合格可靠的，各类设备设施的合格证、检测证和安全防护装置等必须齐全、完好。严禁使用不安全的设备设施进行作业。</w:t>
      </w:r>
    </w:p>
    <w:p w14:paraId="41DB659A">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15.乙方负责按照相关要求为作业现场配备所需的安全防护设施、消防设施，负责为乙方作业人员配备合格、可靠的安全防护用品（特殊劳动防护用品需提供采购单位相应资质）。</w:t>
      </w:r>
    </w:p>
    <w:p w14:paraId="6E606A77">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16.乙方作业完成后，负责清理现场并恢复作业前的正常环境。对于作业过程中产生的废水、废料、废渣、建筑垃圾等（不包含危险废物），由乙方负责按照环保法律法规要求合法处理，因乙方违规处置产生的后果由乙方承担。</w:t>
      </w:r>
    </w:p>
    <w:p w14:paraId="7F3F58B0">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17.乙方承诺，不将承租的项目部分或全部转包给其他单位，因违规转包而导致的一切后果由乙方自行承担。</w:t>
      </w:r>
    </w:p>
    <w:p w14:paraId="0B357F41">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18.积极支持配合和参加甲方组织的消防安全防范活动，自觉培养消防意识宣传消防重要性。进行经常性的防火安全检查，对发现的火险隐患必须采取应急措施。</w:t>
      </w:r>
    </w:p>
    <w:p w14:paraId="48179AC3">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19.乙方不违规使用电器、不超容量用电和不违规使用液化气、管道煤气等燃气具；禁止私接电源插座，乱拉临时电线，私自拆修开关和更换灯管，灯泡，保险丝等。不在所属住宅房屋、厂房、仓库或车辆内违规贮藏保存易燃易爆危险物品。</w:t>
      </w:r>
    </w:p>
    <w:p w14:paraId="443D60D9">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20.乙方应遵守装修工程消防安全管理规定和工程施工安全技术规范，在作业范围内消防灭火器材的配备及日常的维护由乙方负责，应确保消防器材及设施完好有效。</w:t>
      </w:r>
    </w:p>
    <w:p w14:paraId="1F8DC53D">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21.乙方作业区域发生火灾事故时能冷静准确向119报警，并能灭火、指引和协助他人逃生。必须立即采取有效措施防止事故扩大，组织人员抢救并保护现场，并立即向甲方报告。</w:t>
      </w:r>
    </w:p>
    <w:p w14:paraId="23FC3993">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22.乙方在作业过程中发生安全生产事故，事故现场有关人员应当立即向乙方单位及项目负责人报告。乙方单位及项目负责人接到事故报告后，应当立即如实地向甲方单位报告，并启动相应的应急预案，采取有效措施，组织抢救，防止事故扩大。</w:t>
      </w:r>
    </w:p>
    <w:p w14:paraId="7D6D6EB6">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23.乙方承诺指定专人</w:t>
      </w:r>
      <w:r>
        <w:rPr>
          <w:rFonts w:hint="eastAsia" w:ascii="仿宋_GB2312" w:hAnsi="仿宋_GB2312"/>
          <w:sz w:val="24"/>
          <w:highlight w:val="none"/>
        </w:rPr>
        <w:t>（联系人、安全员：</w:t>
      </w:r>
      <w:r>
        <w:rPr>
          <w:rFonts w:ascii="仿宋_GB2312" w:hAnsi="仿宋_GB2312"/>
          <w:sz w:val="24"/>
          <w:highlight w:val="none"/>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sz w:val="24"/>
          <w:highlight w:val="none"/>
        </w:rPr>
        <w:t>；联系方式：</w:t>
      </w:r>
      <w:r>
        <w:rPr>
          <w:rFonts w:hint="eastAsia" w:ascii="仿宋_GB2312" w:hAnsi="仿宋_GB2312" w:eastAsia="仿宋_GB2312" w:cs="仿宋_GB2312"/>
          <w:sz w:val="24"/>
          <w:szCs w:val="24"/>
          <w:highlight w:val="none"/>
        </w:rPr>
        <w:t xml:space="preserve">    </w:t>
      </w:r>
      <w:r>
        <w:rPr>
          <w:rFonts w:ascii="仿宋_GB2312" w:hAnsi="仿宋_GB2312"/>
          <w:sz w:val="24"/>
          <w:highlight w:val="none"/>
        </w:rPr>
        <w:t xml:space="preserve">    </w:t>
      </w:r>
      <w:r>
        <w:rPr>
          <w:rFonts w:hint="eastAsia" w:ascii="仿宋_GB2312" w:hAnsi="仿宋_GB2312"/>
          <w:sz w:val="24"/>
          <w:highlight w:val="none"/>
        </w:rPr>
        <w:t>）</w:t>
      </w:r>
      <w:r>
        <w:rPr>
          <w:rFonts w:hint="eastAsia" w:ascii="仿宋_GB2312" w:hAnsi="仿宋_GB2312" w:eastAsia="仿宋_GB2312" w:cs="仿宋_GB2312"/>
          <w:sz w:val="24"/>
          <w:highlight w:val="none"/>
        </w:rPr>
        <w:t>负责作业过程中的安全管理，负责与甲方进行安全管理工作的对接，配合甲方统一协调管理。</w:t>
      </w:r>
    </w:p>
    <w:p w14:paraId="11A31607">
      <w:pPr>
        <w:pStyle w:val="76"/>
        <w:spacing w:line="300" w:lineRule="auto"/>
        <w:ind w:firstLine="480"/>
        <w:rPr>
          <w:rFonts w:ascii="黑体" w:hAnsi="黑体" w:eastAsia="黑体" w:cs="黑体"/>
          <w:sz w:val="24"/>
          <w:highlight w:val="none"/>
        </w:rPr>
      </w:pPr>
      <w:r>
        <w:rPr>
          <w:rFonts w:hint="eastAsia" w:ascii="黑体" w:hAnsi="黑体" w:eastAsia="黑体" w:cs="黑体"/>
          <w:sz w:val="24"/>
          <w:szCs w:val="24"/>
          <w:highlight w:val="none"/>
        </w:rPr>
        <w:t>二、其他相关手续办理</w:t>
      </w:r>
    </w:p>
    <w:p w14:paraId="6533AC09">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乙方进入甲方厂区进行施工，办理其他相关手续，应遵守以下约定：</w:t>
      </w:r>
    </w:p>
    <w:p w14:paraId="27F54338">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1.进厂手续：甲方与乙方的施工合同签订后，乙方单位持相关的资质材料，按照甲方管理制度办理施工手续后 ,方可进行作业。</w:t>
      </w:r>
    </w:p>
    <w:p w14:paraId="3173B3CF">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2.施工需进行临时用电、动火作业、高处作业、进入受限空间时，作业方案经甲方审核同意后，办理完成全部审批手续方能开展作业。作业过程中，应当设置好安全警示，严禁违章指挥、违章作业，严格做好监护和应急救援工作。</w:t>
      </w:r>
    </w:p>
    <w:p w14:paraId="39EDBB4E">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3.入厂安全教育：乙方进入甲方厂区前应对其施工人员进行安全教育并提供教育培训的相关资料，到甲方办理《施工许可证》。</w:t>
      </w:r>
    </w:p>
    <w:p w14:paraId="6ABB99AA">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4.乙方要保持施工现场的环境卫生，文明施工；当日的废物、边角料当日清除；施工所用的材料、物品应摆放整齐，不得随地乱放；如因工程需要必须占用车间通道，须经项目施工组织部门与车间及有关科室协调同意，由施工单位做好标示护栏，加以警示。</w:t>
      </w:r>
    </w:p>
    <w:p w14:paraId="47F94A5A">
      <w:pPr>
        <w:pStyle w:val="76"/>
        <w:spacing w:line="300" w:lineRule="auto"/>
        <w:ind w:firstLine="480"/>
        <w:rPr>
          <w:rFonts w:ascii="黑体" w:hAnsi="黑体" w:eastAsia="黑体" w:cs="黑体"/>
          <w:sz w:val="24"/>
          <w:highlight w:val="none"/>
        </w:rPr>
      </w:pPr>
      <w:r>
        <w:rPr>
          <w:rFonts w:hint="eastAsia" w:ascii="黑体" w:hAnsi="黑体" w:eastAsia="黑体" w:cs="黑体"/>
          <w:sz w:val="24"/>
          <w:szCs w:val="24"/>
          <w:highlight w:val="none"/>
        </w:rPr>
        <w:t>三、违约责任</w:t>
      </w:r>
    </w:p>
    <w:p w14:paraId="4054796B">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因乙方人员或车辆违反有关法律、法规、规章、规范性文件、甲方有关管理规定以及本协议约定，造成的一切后果和损失，由乙方承担全部责任并赔偿甲方之损失。</w:t>
      </w:r>
    </w:p>
    <w:p w14:paraId="6B2EBA2D">
      <w:pPr>
        <w:pStyle w:val="76"/>
        <w:spacing w:line="300" w:lineRule="auto"/>
        <w:ind w:firstLine="480"/>
        <w:rPr>
          <w:rFonts w:ascii="黑体" w:hAnsi="黑体" w:eastAsia="黑体" w:cs="黑体"/>
          <w:sz w:val="24"/>
          <w:highlight w:val="none"/>
        </w:rPr>
      </w:pPr>
      <w:r>
        <w:rPr>
          <w:rFonts w:hint="eastAsia" w:ascii="黑体" w:hAnsi="黑体" w:eastAsia="黑体" w:cs="黑体"/>
          <w:sz w:val="24"/>
          <w:szCs w:val="24"/>
          <w:highlight w:val="none"/>
        </w:rPr>
        <w:t>四、争议解决</w:t>
      </w:r>
    </w:p>
    <w:p w14:paraId="046B5923">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本协议履行过程中产生的争议，双方协商解决，协商不成的提交甲方所在地法院诉讼解决。</w:t>
      </w:r>
    </w:p>
    <w:p w14:paraId="7AB4962F">
      <w:pPr>
        <w:pStyle w:val="76"/>
        <w:spacing w:line="300" w:lineRule="auto"/>
        <w:ind w:firstLine="480"/>
        <w:rPr>
          <w:rFonts w:ascii="黑体" w:hAnsi="黑体" w:eastAsia="黑体" w:cs="黑体"/>
          <w:sz w:val="24"/>
          <w:highlight w:val="none"/>
        </w:rPr>
      </w:pPr>
      <w:r>
        <w:rPr>
          <w:rFonts w:hint="eastAsia" w:ascii="黑体" w:hAnsi="黑体" w:eastAsia="黑体" w:cs="黑体"/>
          <w:sz w:val="24"/>
          <w:szCs w:val="24"/>
          <w:highlight w:val="none"/>
        </w:rPr>
        <w:t>五、附则</w:t>
      </w:r>
    </w:p>
    <w:p w14:paraId="5C7306B9">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1.本协议自双方签署后生效，本协议作为执行甲乙双方采购协议或其他合作协议的附件，此协议在双方合作期间有效；本协议生效前甲乙双方未签署《相关方安全协议》但实际已存在供应采购等业务合作关系并进入甲方厂区/园区的，甲乙双方同意有关业务合作适用本协议的所有条款约定。</w:t>
      </w:r>
    </w:p>
    <w:p w14:paraId="3BC67AEF">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2.本协议附件与主协议具有相同的法律效力。在本协议有效期内，双方就未尽事宜达成补充协议的，补充协议与本协议具有同等法律效力。</w:t>
      </w:r>
    </w:p>
    <w:p w14:paraId="5398627A">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3.甲方与乙方签订本协议时，已向乙方告知甲方的各项安全管理规定。乙方已充分了解并知悉甲方的各项安全管理规定及内容，并承诺严格遵守。</w:t>
      </w:r>
    </w:p>
    <w:p w14:paraId="27715D6F">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4.按照《安全生产法》规定，乙方如有不签订本协议和未执行协议擅自在甲方厂区内施工的情况，乙方均属违章作业。</w:t>
      </w:r>
    </w:p>
    <w:p w14:paraId="1CED11F4">
      <w:pPr>
        <w:pStyle w:val="76"/>
        <w:spacing w:line="300" w:lineRule="auto"/>
        <w:ind w:firstLine="48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bookmarkStart w:id="57" w:name="_Hlk201301915"/>
      <w:r>
        <w:rPr>
          <w:rFonts w:ascii="仿宋_GB2312" w:hAnsi="仿宋_GB2312" w:eastAsia="仿宋_GB2312" w:cs="仿宋_GB2312"/>
          <w:sz w:val="24"/>
          <w:szCs w:val="24"/>
          <w:highlight w:val="none"/>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一方擅自增加、删改、篡改部分无效（</w:t>
      </w:r>
      <w:r>
        <w:rPr>
          <w:rFonts w:hint="eastAsia" w:ascii="仿宋_GB2312" w:hAnsi="仿宋_GB2312" w:eastAsia="仿宋_GB2312" w:cs="仿宋_GB2312"/>
          <w:sz w:val="24"/>
          <w:szCs w:val="24"/>
          <w:highlight w:val="none"/>
        </w:rPr>
        <w:t>个人手写</w:t>
      </w:r>
      <w:r>
        <w:rPr>
          <w:rFonts w:ascii="仿宋_GB2312" w:hAnsi="仿宋_GB2312" w:eastAsia="仿宋_GB2312" w:cs="仿宋_GB2312"/>
          <w:sz w:val="24"/>
          <w:szCs w:val="24"/>
          <w:highlight w:val="none"/>
        </w:rPr>
        <w:t>签名除外）</w:t>
      </w:r>
      <w:r>
        <w:rPr>
          <w:rFonts w:hint="eastAsia" w:ascii="仿宋_GB2312" w:hAnsi="仿宋_GB2312" w:eastAsia="仿宋_GB2312" w:cs="仿宋_GB2312"/>
          <w:sz w:val="24"/>
          <w:szCs w:val="24"/>
          <w:highlight w:val="none"/>
        </w:rPr>
        <w:t>。</w:t>
      </w:r>
    </w:p>
    <w:p w14:paraId="00ACA38B">
      <w:pPr>
        <w:pStyle w:val="76"/>
        <w:spacing w:line="300" w:lineRule="auto"/>
        <w:ind w:firstLine="480"/>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w:t>
      </w:r>
      <w:r>
        <w:rPr>
          <w:rFonts w:hint="eastAsia" w:ascii="仿宋_GB2312" w:hAnsi="仿宋_GB2312" w:eastAsia="仿宋_GB2312" w:cs="仿宋_GB2312"/>
          <w:sz w:val="24"/>
          <w:szCs w:val="24"/>
          <w:highlight w:val="none"/>
        </w:rPr>
        <w:t>各</w:t>
      </w:r>
      <w:r>
        <w:rPr>
          <w:rFonts w:ascii="仿宋_GB2312" w:hAnsi="仿宋_GB2312" w:eastAsia="仿宋_GB2312" w:cs="仿宋_GB2312"/>
          <w:sz w:val="24"/>
          <w:szCs w:val="24"/>
          <w:highlight w:val="none"/>
        </w:rPr>
        <w:t>方已签署完毕。</w:t>
      </w:r>
      <w:bookmarkEnd w:id="57"/>
    </w:p>
    <w:p w14:paraId="4A4C254F">
      <w:pPr>
        <w:pStyle w:val="76"/>
        <w:spacing w:line="300" w:lineRule="auto"/>
        <w:ind w:firstLine="480"/>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6.本协议应与具体项目合同同时签订。一式四份，甲乙双方各两份。</w:t>
      </w:r>
    </w:p>
    <w:p w14:paraId="48EB3DBE">
      <w:pPr>
        <w:pStyle w:val="76"/>
        <w:spacing w:line="300" w:lineRule="auto"/>
        <w:ind w:firstLine="480"/>
        <w:rPr>
          <w:rFonts w:ascii="仿宋_GB2312" w:hAnsi="仿宋_GB2312" w:eastAsia="仿宋_GB2312" w:cs="仿宋_GB2312"/>
          <w:sz w:val="24"/>
          <w:highlight w:val="none"/>
        </w:rPr>
      </w:pPr>
    </w:p>
    <w:p w14:paraId="04B07EF2">
      <w:pPr>
        <w:pStyle w:val="76"/>
        <w:spacing w:line="300" w:lineRule="auto"/>
        <w:ind w:firstLine="48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甲方（盖章）：                    乙方（盖章）：</w:t>
      </w:r>
    </w:p>
    <w:p w14:paraId="018FC4BA">
      <w:pPr>
        <w:pStyle w:val="76"/>
        <w:spacing w:line="300" w:lineRule="auto"/>
        <w:ind w:firstLine="480"/>
        <w:rPr>
          <w:rFonts w:ascii="仿宋_GB2312" w:hAnsi="仿宋_GB2312" w:eastAsia="仿宋_GB2312" w:cs="仿宋_GB2312"/>
          <w:sz w:val="24"/>
          <w:szCs w:val="24"/>
          <w:highlight w:val="none"/>
        </w:rPr>
      </w:pPr>
    </w:p>
    <w:p w14:paraId="59D9F46C">
      <w:pPr>
        <w:pStyle w:val="76"/>
        <w:spacing w:line="300" w:lineRule="auto"/>
        <w:ind w:firstLine="48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授权代表（签字）：                授权代表（签字）：</w:t>
      </w:r>
    </w:p>
    <w:p w14:paraId="70A5715D">
      <w:pPr>
        <w:pStyle w:val="76"/>
        <w:spacing w:line="300" w:lineRule="auto"/>
        <w:ind w:firstLine="480"/>
        <w:rPr>
          <w:rFonts w:ascii="仿宋_GB2312" w:hAnsi="仿宋_GB2312" w:eastAsia="仿宋_GB2312" w:cs="仿宋_GB2312"/>
          <w:sz w:val="24"/>
          <w:szCs w:val="24"/>
          <w:highlight w:val="none"/>
        </w:rPr>
      </w:pPr>
    </w:p>
    <w:p w14:paraId="227A5928">
      <w:pPr>
        <w:pStyle w:val="76"/>
        <w:spacing w:line="300" w:lineRule="auto"/>
        <w:ind w:firstLine="480"/>
        <w:rPr>
          <w:rFonts w:ascii="仿宋_GB2312" w:hAnsi="仿宋_GB2312" w:eastAsia="仿宋_GB2312" w:cs="仿宋_GB2312"/>
          <w:sz w:val="24"/>
          <w:highlight w:val="none"/>
        </w:rPr>
      </w:pPr>
    </w:p>
    <w:p w14:paraId="19CE3955">
      <w:pPr>
        <w:pStyle w:val="76"/>
        <w:spacing w:line="360" w:lineRule="auto"/>
        <w:ind w:firstLine="480"/>
        <w:rPr>
          <w:rFonts w:ascii="仿宋_GB2312" w:hAnsi="仿宋_GB2312" w:eastAsia="仿宋_GB2312" w:cs="仿宋_GB2312"/>
          <w:sz w:val="24"/>
          <w:highlight w:val="none"/>
        </w:rPr>
      </w:pPr>
      <w:r>
        <w:rPr>
          <w:rFonts w:ascii="仿宋" w:hAnsi="仿宋" w:eastAsia="仿宋" w:cs="仿宋"/>
          <w:sz w:val="24"/>
          <w:szCs w:val="24"/>
          <w:highlight w:val="none"/>
        </w:rPr>
        <w:br w:type="page"/>
      </w:r>
    </w:p>
    <w:p w14:paraId="115707F9">
      <w:pPr>
        <w:rPr>
          <w:rFonts w:ascii="仿宋" w:hAnsi="仿宋" w:eastAsia="仿宋" w:cs="仿宋"/>
          <w:b/>
          <w:bCs/>
          <w:sz w:val="28"/>
          <w:szCs w:val="28"/>
          <w:highlight w:val="none"/>
        </w:rPr>
      </w:pPr>
      <w:r>
        <w:rPr>
          <w:rFonts w:hint="eastAsia" w:ascii="仿宋" w:hAnsi="仿宋" w:eastAsia="仿宋" w:cs="仿宋"/>
          <w:sz w:val="24"/>
          <w:szCs w:val="24"/>
          <w:highlight w:val="none"/>
        </w:rPr>
        <w:t xml:space="preserve">附件3：                  </w:t>
      </w:r>
      <w:r>
        <w:rPr>
          <w:rFonts w:hint="eastAsia" w:ascii="仿宋" w:hAnsi="仿宋" w:eastAsia="仿宋" w:cs="仿宋"/>
          <w:b/>
          <w:bCs/>
          <w:sz w:val="28"/>
          <w:szCs w:val="28"/>
          <w:highlight w:val="none"/>
        </w:rPr>
        <w:t xml:space="preserve"> </w:t>
      </w:r>
      <w:r>
        <w:rPr>
          <w:rFonts w:hint="eastAsia" w:ascii="黑体" w:hAnsi="黑体" w:eastAsia="黑体" w:cs="仿宋"/>
          <w:sz w:val="28"/>
          <w:szCs w:val="28"/>
          <w:highlight w:val="none"/>
        </w:rPr>
        <w:t>主要材料及设备品牌表</w:t>
      </w:r>
    </w:p>
    <w:p w14:paraId="01F1B3DC">
      <w:pPr>
        <w:spacing w:before="158" w:beforeLines="50" w:after="158" w:afterLines="50" w:line="440" w:lineRule="exact"/>
        <w:jc w:val="center"/>
        <w:rPr>
          <w:rFonts w:eastAsia="黑体"/>
          <w:color w:val="000000" w:themeColor="text1"/>
          <w:sz w:val="28"/>
          <w:szCs w:val="28"/>
          <w:highlight w:val="non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甲限乙购材料品牌表</w:t>
      </w:r>
    </w:p>
    <w:tbl>
      <w:tblPr>
        <w:tblStyle w:val="31"/>
        <w:tblW w:w="5000" w:type="pct"/>
        <w:tblInd w:w="0" w:type="dxa"/>
        <w:tblLayout w:type="autofit"/>
        <w:tblCellMar>
          <w:top w:w="0" w:type="dxa"/>
          <w:left w:w="0" w:type="dxa"/>
          <w:bottom w:w="0" w:type="dxa"/>
          <w:right w:w="0" w:type="dxa"/>
        </w:tblCellMar>
      </w:tblPr>
      <w:tblGrid>
        <w:gridCol w:w="763"/>
        <w:gridCol w:w="2952"/>
        <w:gridCol w:w="5385"/>
      </w:tblGrid>
      <w:tr w14:paraId="00F0C8D4">
        <w:tblPrEx>
          <w:tblCellMar>
            <w:top w:w="0" w:type="dxa"/>
            <w:left w:w="0" w:type="dxa"/>
            <w:bottom w:w="0" w:type="dxa"/>
            <w:right w:w="0" w:type="dxa"/>
          </w:tblCellMar>
        </w:tblPrEx>
        <w:trPr>
          <w:trHeight w:val="600" w:hRule="atLeast"/>
        </w:trPr>
        <w:tc>
          <w:tcPr>
            <w:tcW w:w="4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53326">
            <w:pPr>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序号</w:t>
            </w:r>
          </w:p>
        </w:tc>
        <w:tc>
          <w:tcPr>
            <w:tcW w:w="16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E9DB6">
            <w:pPr>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主材及设备名称</w:t>
            </w:r>
          </w:p>
        </w:tc>
        <w:tc>
          <w:tcPr>
            <w:tcW w:w="29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1D81D">
            <w:pPr>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甲限品牌范围</w:t>
            </w:r>
          </w:p>
        </w:tc>
      </w:tr>
      <w:tr w14:paraId="66FAAD06">
        <w:tblPrEx>
          <w:tblCellMar>
            <w:top w:w="0" w:type="dxa"/>
            <w:left w:w="0" w:type="dxa"/>
            <w:bottom w:w="0" w:type="dxa"/>
            <w:right w:w="0" w:type="dxa"/>
          </w:tblCellMar>
        </w:tblPrEx>
        <w:trPr>
          <w:trHeight w:val="600" w:hRule="atLeast"/>
        </w:trPr>
        <w:tc>
          <w:tcPr>
            <w:tcW w:w="4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5347B">
            <w:pPr>
              <w:jc w:val="center"/>
              <w:textAlignment w:val="center"/>
              <w:rPr>
                <w:rFonts w:ascii="仿宋" w:hAnsi="仿宋" w:eastAsia="仿宋" w:cs="仿宋"/>
                <w:b/>
                <w:color w:val="000000" w:themeColor="text1"/>
                <w:sz w:val="28"/>
                <w:szCs w:val="28"/>
                <w:highlight w:val="none"/>
                <w:lang w:bidi="ar"/>
                <w14:textFill>
                  <w14:solidFill>
                    <w14:schemeClr w14:val="tx1"/>
                  </w14:solidFill>
                </w14:textFill>
              </w:rPr>
            </w:pPr>
          </w:p>
        </w:tc>
        <w:tc>
          <w:tcPr>
            <w:tcW w:w="16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DC8D3">
            <w:pPr>
              <w:jc w:val="center"/>
              <w:textAlignment w:val="center"/>
              <w:rPr>
                <w:rFonts w:ascii="仿宋" w:hAnsi="仿宋" w:eastAsia="仿宋" w:cs="仿宋"/>
                <w:color w:val="000000" w:themeColor="text1"/>
                <w:sz w:val="28"/>
                <w:szCs w:val="28"/>
                <w:highlight w:val="none"/>
                <w14:textFill>
                  <w14:solidFill>
                    <w14:schemeClr w14:val="tx1"/>
                  </w14:solidFill>
                </w14:textFill>
              </w:rPr>
            </w:pPr>
          </w:p>
        </w:tc>
        <w:tc>
          <w:tcPr>
            <w:tcW w:w="295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AD1BD17">
            <w:pPr>
              <w:jc w:val="center"/>
              <w:textAlignment w:val="center"/>
              <w:rPr>
                <w:rFonts w:ascii="仿宋" w:hAnsi="仿宋" w:eastAsia="仿宋" w:cs="仿宋"/>
                <w:color w:val="000000" w:themeColor="text1"/>
                <w:sz w:val="28"/>
                <w:szCs w:val="28"/>
                <w:highlight w:val="none"/>
                <w14:textFill>
                  <w14:solidFill>
                    <w14:schemeClr w14:val="tx1"/>
                  </w14:solidFill>
                </w14:textFill>
              </w:rPr>
            </w:pPr>
          </w:p>
        </w:tc>
      </w:tr>
      <w:tr w14:paraId="4D5D4F8E">
        <w:tblPrEx>
          <w:tblCellMar>
            <w:top w:w="0" w:type="dxa"/>
            <w:left w:w="0" w:type="dxa"/>
            <w:bottom w:w="0" w:type="dxa"/>
            <w:right w:w="0" w:type="dxa"/>
          </w:tblCellMar>
        </w:tblPrEx>
        <w:trPr>
          <w:trHeight w:val="600" w:hRule="atLeast"/>
        </w:trPr>
        <w:tc>
          <w:tcPr>
            <w:tcW w:w="4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55FD8">
            <w:pPr>
              <w:jc w:val="center"/>
              <w:textAlignment w:val="center"/>
              <w:rPr>
                <w:rFonts w:ascii="仿宋" w:hAnsi="仿宋" w:eastAsia="仿宋" w:cs="仿宋"/>
                <w:b/>
                <w:color w:val="000000" w:themeColor="text1"/>
                <w:sz w:val="28"/>
                <w:szCs w:val="28"/>
                <w:highlight w:val="none"/>
                <w:lang w:bidi="ar"/>
                <w14:textFill>
                  <w14:solidFill>
                    <w14:schemeClr w14:val="tx1"/>
                  </w14:solidFill>
                </w14:textFill>
              </w:rPr>
            </w:pPr>
          </w:p>
        </w:tc>
        <w:tc>
          <w:tcPr>
            <w:tcW w:w="16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D05C8">
            <w:pPr>
              <w:jc w:val="center"/>
              <w:textAlignment w:val="center"/>
              <w:rPr>
                <w:rFonts w:ascii="仿宋" w:hAnsi="仿宋" w:eastAsia="仿宋" w:cs="仿宋"/>
                <w:color w:val="000000" w:themeColor="text1"/>
                <w:sz w:val="28"/>
                <w:szCs w:val="28"/>
                <w:highlight w:val="none"/>
                <w14:textFill>
                  <w14:solidFill>
                    <w14:schemeClr w14:val="tx1"/>
                  </w14:solidFill>
                </w14:textFill>
              </w:rPr>
            </w:pPr>
          </w:p>
        </w:tc>
        <w:tc>
          <w:tcPr>
            <w:tcW w:w="295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E3A114">
            <w:pPr>
              <w:jc w:val="center"/>
              <w:textAlignment w:val="center"/>
              <w:rPr>
                <w:rFonts w:ascii="仿宋" w:hAnsi="仿宋" w:eastAsia="仿宋" w:cs="仿宋"/>
                <w:color w:val="000000" w:themeColor="text1"/>
                <w:sz w:val="28"/>
                <w:szCs w:val="28"/>
                <w:highlight w:val="none"/>
                <w14:textFill>
                  <w14:solidFill>
                    <w14:schemeClr w14:val="tx1"/>
                  </w14:solidFill>
                </w14:textFill>
              </w:rPr>
            </w:pPr>
          </w:p>
        </w:tc>
      </w:tr>
      <w:tr w14:paraId="2BE3196D">
        <w:tblPrEx>
          <w:tblCellMar>
            <w:top w:w="0" w:type="dxa"/>
            <w:left w:w="0" w:type="dxa"/>
            <w:bottom w:w="0" w:type="dxa"/>
            <w:right w:w="0" w:type="dxa"/>
          </w:tblCellMar>
        </w:tblPrEx>
        <w:trPr>
          <w:trHeight w:val="600" w:hRule="atLeast"/>
        </w:trPr>
        <w:tc>
          <w:tcPr>
            <w:tcW w:w="4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5F553">
            <w:pPr>
              <w:jc w:val="center"/>
              <w:textAlignment w:val="center"/>
              <w:rPr>
                <w:rFonts w:ascii="仿宋" w:hAnsi="仿宋" w:eastAsia="仿宋" w:cs="仿宋"/>
                <w:b/>
                <w:color w:val="000000" w:themeColor="text1"/>
                <w:sz w:val="28"/>
                <w:szCs w:val="28"/>
                <w:highlight w:val="none"/>
                <w:lang w:bidi="ar"/>
                <w14:textFill>
                  <w14:solidFill>
                    <w14:schemeClr w14:val="tx1"/>
                  </w14:solidFill>
                </w14:textFill>
              </w:rPr>
            </w:pPr>
          </w:p>
        </w:tc>
        <w:tc>
          <w:tcPr>
            <w:tcW w:w="1622" w:type="pc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1866A">
            <w:pPr>
              <w:jc w:val="center"/>
              <w:textAlignment w:val="center"/>
              <w:rPr>
                <w:rFonts w:ascii="仿宋" w:hAnsi="仿宋" w:eastAsia="仿宋" w:cs="仿宋"/>
                <w:color w:val="000000" w:themeColor="text1"/>
                <w:sz w:val="28"/>
                <w:szCs w:val="28"/>
                <w:highlight w:val="none"/>
                <w14:textFill>
                  <w14:solidFill>
                    <w14:schemeClr w14:val="tx1"/>
                  </w14:solidFill>
                </w14:textFill>
              </w:rPr>
            </w:pPr>
          </w:p>
        </w:tc>
        <w:tc>
          <w:tcPr>
            <w:tcW w:w="2959"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BA5145">
            <w:pPr>
              <w:jc w:val="center"/>
              <w:textAlignment w:val="center"/>
              <w:rPr>
                <w:rFonts w:ascii="仿宋" w:hAnsi="仿宋" w:eastAsia="仿宋" w:cs="仿宋"/>
                <w:color w:val="000000" w:themeColor="text1"/>
                <w:sz w:val="28"/>
                <w:szCs w:val="28"/>
                <w:highlight w:val="none"/>
                <w14:textFill>
                  <w14:solidFill>
                    <w14:schemeClr w14:val="tx1"/>
                  </w14:solidFill>
                </w14:textFill>
              </w:rPr>
            </w:pPr>
          </w:p>
        </w:tc>
      </w:tr>
      <w:tr w14:paraId="7F8275B6">
        <w:tblPrEx>
          <w:tblCellMar>
            <w:top w:w="0" w:type="dxa"/>
            <w:left w:w="0" w:type="dxa"/>
            <w:bottom w:w="0" w:type="dxa"/>
            <w:right w:w="0" w:type="dxa"/>
          </w:tblCellMar>
        </w:tblPrEx>
        <w:trPr>
          <w:trHeight w:val="600" w:hRule="atLeast"/>
        </w:trPr>
        <w:tc>
          <w:tcPr>
            <w:tcW w:w="4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89BB2">
            <w:pPr>
              <w:jc w:val="center"/>
              <w:textAlignment w:val="center"/>
              <w:rPr>
                <w:rFonts w:ascii="仿宋" w:hAnsi="仿宋" w:eastAsia="仿宋" w:cs="仿宋"/>
                <w:b/>
                <w:color w:val="000000" w:themeColor="text1"/>
                <w:sz w:val="28"/>
                <w:szCs w:val="28"/>
                <w:highlight w:val="none"/>
                <w:lang w:bidi="ar"/>
                <w14:textFill>
                  <w14:solidFill>
                    <w14:schemeClr w14:val="tx1"/>
                  </w14:solidFill>
                </w14:textFill>
              </w:rPr>
            </w:pPr>
          </w:p>
        </w:tc>
        <w:tc>
          <w:tcPr>
            <w:tcW w:w="1622" w:type="pc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24E9C">
            <w:pPr>
              <w:jc w:val="center"/>
              <w:textAlignment w:val="center"/>
              <w:rPr>
                <w:rFonts w:ascii="仿宋" w:hAnsi="仿宋" w:eastAsia="仿宋" w:cs="仿宋"/>
                <w:color w:val="000000" w:themeColor="text1"/>
                <w:sz w:val="28"/>
                <w:szCs w:val="28"/>
                <w:highlight w:val="none"/>
                <w14:textFill>
                  <w14:solidFill>
                    <w14:schemeClr w14:val="tx1"/>
                  </w14:solidFill>
                </w14:textFill>
              </w:rPr>
            </w:pPr>
          </w:p>
        </w:tc>
        <w:tc>
          <w:tcPr>
            <w:tcW w:w="2959"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49A2871">
            <w:pPr>
              <w:jc w:val="center"/>
              <w:textAlignment w:val="center"/>
              <w:rPr>
                <w:rFonts w:ascii="仿宋" w:hAnsi="仿宋" w:eastAsia="仿宋" w:cs="仿宋"/>
                <w:color w:val="000000" w:themeColor="text1"/>
                <w:sz w:val="28"/>
                <w:szCs w:val="28"/>
                <w:highlight w:val="none"/>
                <w14:textFill>
                  <w14:solidFill>
                    <w14:schemeClr w14:val="tx1"/>
                  </w14:solidFill>
                </w14:textFill>
              </w:rPr>
            </w:pPr>
          </w:p>
        </w:tc>
      </w:tr>
      <w:tr w14:paraId="6A91092B">
        <w:tblPrEx>
          <w:tblCellMar>
            <w:top w:w="0" w:type="dxa"/>
            <w:left w:w="0" w:type="dxa"/>
            <w:bottom w:w="0" w:type="dxa"/>
            <w:right w:w="0" w:type="dxa"/>
          </w:tblCellMar>
        </w:tblPrEx>
        <w:trPr>
          <w:trHeight w:val="600" w:hRule="atLeast"/>
        </w:trPr>
        <w:tc>
          <w:tcPr>
            <w:tcW w:w="4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DC90A">
            <w:pPr>
              <w:jc w:val="center"/>
              <w:textAlignment w:val="center"/>
              <w:rPr>
                <w:rFonts w:ascii="仿宋" w:hAnsi="仿宋" w:eastAsia="仿宋" w:cs="仿宋"/>
                <w:b/>
                <w:color w:val="000000" w:themeColor="text1"/>
                <w:sz w:val="28"/>
                <w:szCs w:val="28"/>
                <w:highlight w:val="none"/>
                <w:lang w:bidi="ar"/>
                <w14:textFill>
                  <w14:solidFill>
                    <w14:schemeClr w14:val="tx1"/>
                  </w14:solidFill>
                </w14:textFill>
              </w:rPr>
            </w:pPr>
          </w:p>
        </w:tc>
        <w:tc>
          <w:tcPr>
            <w:tcW w:w="1622" w:type="pc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383DB">
            <w:pPr>
              <w:jc w:val="center"/>
              <w:textAlignment w:val="center"/>
              <w:rPr>
                <w:rFonts w:ascii="仿宋" w:hAnsi="仿宋" w:eastAsia="仿宋" w:cs="仿宋"/>
                <w:color w:val="000000" w:themeColor="text1"/>
                <w:sz w:val="28"/>
                <w:szCs w:val="28"/>
                <w:highlight w:val="none"/>
                <w14:textFill>
                  <w14:solidFill>
                    <w14:schemeClr w14:val="tx1"/>
                  </w14:solidFill>
                </w14:textFill>
              </w:rPr>
            </w:pPr>
          </w:p>
        </w:tc>
        <w:tc>
          <w:tcPr>
            <w:tcW w:w="2959" w:type="pct"/>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6226AC">
            <w:pPr>
              <w:jc w:val="center"/>
              <w:textAlignment w:val="center"/>
              <w:rPr>
                <w:rFonts w:ascii="仿宋" w:hAnsi="仿宋" w:eastAsia="仿宋" w:cs="仿宋"/>
                <w:color w:val="000000" w:themeColor="text1"/>
                <w:sz w:val="28"/>
                <w:szCs w:val="28"/>
                <w:highlight w:val="none"/>
                <w14:textFill>
                  <w14:solidFill>
                    <w14:schemeClr w14:val="tx1"/>
                  </w14:solidFill>
                </w14:textFill>
              </w:rPr>
            </w:pPr>
          </w:p>
        </w:tc>
      </w:tr>
      <w:tr w14:paraId="16D582D3">
        <w:tblPrEx>
          <w:tblCellMar>
            <w:top w:w="0" w:type="dxa"/>
            <w:left w:w="0" w:type="dxa"/>
            <w:bottom w:w="0" w:type="dxa"/>
            <w:right w:w="0" w:type="dxa"/>
          </w:tblCellMar>
        </w:tblPrEx>
        <w:trPr>
          <w:trHeight w:val="600" w:hRule="atLeast"/>
        </w:trPr>
        <w:tc>
          <w:tcPr>
            <w:tcW w:w="41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0299D">
            <w:pPr>
              <w:jc w:val="center"/>
              <w:textAlignment w:val="center"/>
              <w:rPr>
                <w:rFonts w:ascii="仿宋" w:hAnsi="仿宋" w:eastAsia="仿宋" w:cs="仿宋"/>
                <w:b/>
                <w:color w:val="000000" w:themeColor="text1"/>
                <w:sz w:val="28"/>
                <w:szCs w:val="28"/>
                <w:highlight w:val="none"/>
                <w:lang w:bidi="ar"/>
                <w14:textFill>
                  <w14:solidFill>
                    <w14:schemeClr w14:val="tx1"/>
                  </w14:solidFill>
                </w14:textFill>
              </w:rPr>
            </w:pPr>
          </w:p>
        </w:tc>
        <w:tc>
          <w:tcPr>
            <w:tcW w:w="16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04F06">
            <w:pPr>
              <w:jc w:val="center"/>
              <w:textAlignment w:val="center"/>
              <w:rPr>
                <w:rFonts w:ascii="仿宋" w:hAnsi="仿宋" w:eastAsia="仿宋" w:cs="仿宋"/>
                <w:color w:val="000000" w:themeColor="text1"/>
                <w:sz w:val="28"/>
                <w:szCs w:val="28"/>
                <w:highlight w:val="none"/>
                <w14:textFill>
                  <w14:solidFill>
                    <w14:schemeClr w14:val="tx1"/>
                  </w14:solidFill>
                </w14:textFill>
              </w:rPr>
            </w:pPr>
          </w:p>
        </w:tc>
        <w:tc>
          <w:tcPr>
            <w:tcW w:w="29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E157F">
            <w:pPr>
              <w:jc w:val="center"/>
              <w:textAlignment w:val="center"/>
              <w:rPr>
                <w:rFonts w:ascii="仿宋" w:hAnsi="仿宋" w:eastAsia="仿宋" w:cs="仿宋"/>
                <w:color w:val="000000" w:themeColor="text1"/>
                <w:sz w:val="28"/>
                <w:szCs w:val="28"/>
                <w:highlight w:val="none"/>
                <w14:textFill>
                  <w14:solidFill>
                    <w14:schemeClr w14:val="tx1"/>
                  </w14:solidFill>
                </w14:textFill>
              </w:rPr>
            </w:pPr>
          </w:p>
        </w:tc>
      </w:tr>
    </w:tbl>
    <w:p w14:paraId="2BABCB43">
      <w:pPr>
        <w:jc w:val="center"/>
        <w:rPr>
          <w:rFonts w:ascii="仿宋" w:hAnsi="仿宋" w:eastAsia="仿宋" w:cs="仿宋"/>
          <w:color w:val="000000" w:themeColor="text1"/>
          <w:sz w:val="32"/>
          <w:szCs w:val="32"/>
          <w:highlight w:val="none"/>
          <w14:textFill>
            <w14:solidFill>
              <w14:schemeClr w14:val="tx1"/>
            </w14:solidFill>
          </w14:textFill>
        </w:rPr>
      </w:pPr>
    </w:p>
    <w:p w14:paraId="37D7CDAF">
      <w:pPr>
        <w:spacing w:before="158" w:beforeLines="50" w:after="158" w:afterLines="50" w:line="440" w:lineRule="exact"/>
        <w:jc w:val="center"/>
        <w:rPr>
          <w:rFonts w:eastAsia="黑体"/>
          <w:color w:val="000000" w:themeColor="text1"/>
          <w:sz w:val="28"/>
          <w:szCs w:val="28"/>
          <w:highlight w:val="non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非甲限、乙购主要材料（设备）品牌表</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3443"/>
        <w:gridCol w:w="1252"/>
        <w:gridCol w:w="2335"/>
        <w:gridCol w:w="1384"/>
      </w:tblGrid>
      <w:tr w14:paraId="2192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7A6B1151">
            <w:pPr>
              <w:jc w:val="center"/>
              <w:textAlignment w:val="center"/>
              <w:rPr>
                <w:rFonts w:ascii="仿宋" w:hAnsi="仿宋" w:eastAsia="仿宋" w:cs="仿宋"/>
                <w:b/>
                <w:sz w:val="28"/>
                <w:szCs w:val="28"/>
                <w:highlight w:val="none"/>
              </w:rPr>
            </w:pPr>
            <w:r>
              <w:rPr>
                <w:rFonts w:hint="eastAsia" w:ascii="仿宋" w:hAnsi="仿宋" w:eastAsia="仿宋" w:cs="仿宋"/>
                <w:b/>
                <w:sz w:val="28"/>
                <w:szCs w:val="28"/>
                <w:highlight w:val="none"/>
              </w:rPr>
              <w:t>序号</w:t>
            </w:r>
          </w:p>
        </w:tc>
        <w:tc>
          <w:tcPr>
            <w:tcW w:w="1854" w:type="pct"/>
            <w:vAlign w:val="center"/>
          </w:tcPr>
          <w:p w14:paraId="2A9659ED">
            <w:pPr>
              <w:jc w:val="center"/>
              <w:textAlignment w:val="center"/>
              <w:rPr>
                <w:rFonts w:ascii="仿宋" w:hAnsi="仿宋" w:eastAsia="仿宋" w:cs="仿宋"/>
                <w:b/>
                <w:sz w:val="28"/>
                <w:szCs w:val="28"/>
                <w:highlight w:val="none"/>
              </w:rPr>
            </w:pPr>
            <w:r>
              <w:rPr>
                <w:rFonts w:hint="eastAsia" w:ascii="仿宋" w:hAnsi="仿宋" w:eastAsia="仿宋" w:cs="仿宋"/>
                <w:b/>
                <w:sz w:val="28"/>
                <w:szCs w:val="28"/>
                <w:highlight w:val="none"/>
              </w:rPr>
              <w:t>材料（设备）名称</w:t>
            </w:r>
          </w:p>
        </w:tc>
        <w:tc>
          <w:tcPr>
            <w:tcW w:w="674" w:type="pct"/>
            <w:vAlign w:val="center"/>
          </w:tcPr>
          <w:p w14:paraId="19E59324">
            <w:pPr>
              <w:jc w:val="center"/>
              <w:textAlignment w:val="center"/>
              <w:rPr>
                <w:rFonts w:ascii="仿宋" w:hAnsi="仿宋" w:eastAsia="仿宋" w:cs="仿宋"/>
                <w:b/>
                <w:sz w:val="28"/>
                <w:szCs w:val="28"/>
                <w:highlight w:val="none"/>
              </w:rPr>
            </w:pPr>
            <w:r>
              <w:rPr>
                <w:rFonts w:hint="eastAsia" w:ascii="仿宋" w:hAnsi="仿宋" w:eastAsia="仿宋" w:cs="仿宋"/>
                <w:b/>
                <w:sz w:val="28"/>
                <w:szCs w:val="28"/>
                <w:highlight w:val="none"/>
              </w:rPr>
              <w:t>品牌</w:t>
            </w:r>
          </w:p>
        </w:tc>
        <w:tc>
          <w:tcPr>
            <w:tcW w:w="1257" w:type="pct"/>
            <w:vAlign w:val="center"/>
          </w:tcPr>
          <w:p w14:paraId="2EC9C87F">
            <w:pPr>
              <w:jc w:val="center"/>
              <w:textAlignment w:val="center"/>
              <w:rPr>
                <w:rFonts w:ascii="仿宋" w:hAnsi="仿宋" w:eastAsia="仿宋" w:cs="仿宋"/>
                <w:b/>
                <w:sz w:val="28"/>
                <w:szCs w:val="28"/>
                <w:highlight w:val="none"/>
              </w:rPr>
            </w:pPr>
            <w:r>
              <w:rPr>
                <w:rFonts w:hint="eastAsia" w:ascii="仿宋" w:hAnsi="仿宋" w:eastAsia="仿宋" w:cs="仿宋"/>
                <w:b/>
                <w:sz w:val="28"/>
                <w:szCs w:val="28"/>
                <w:highlight w:val="none"/>
              </w:rPr>
              <w:t>产地</w:t>
            </w:r>
          </w:p>
        </w:tc>
        <w:tc>
          <w:tcPr>
            <w:tcW w:w="745" w:type="pct"/>
            <w:vAlign w:val="center"/>
          </w:tcPr>
          <w:p w14:paraId="04B2FAFE">
            <w:pPr>
              <w:jc w:val="center"/>
              <w:textAlignment w:val="center"/>
              <w:rPr>
                <w:rFonts w:ascii="仿宋" w:hAnsi="仿宋" w:eastAsia="仿宋" w:cs="仿宋"/>
                <w:b/>
                <w:sz w:val="28"/>
                <w:szCs w:val="28"/>
                <w:highlight w:val="none"/>
              </w:rPr>
            </w:pPr>
            <w:r>
              <w:rPr>
                <w:rFonts w:hint="eastAsia" w:ascii="仿宋" w:hAnsi="仿宋" w:eastAsia="仿宋" w:cs="仿宋"/>
                <w:b/>
                <w:sz w:val="28"/>
                <w:szCs w:val="28"/>
                <w:highlight w:val="none"/>
              </w:rPr>
              <w:t>等级</w:t>
            </w:r>
          </w:p>
        </w:tc>
      </w:tr>
      <w:tr w14:paraId="51E1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66369031">
            <w:pPr>
              <w:jc w:val="center"/>
              <w:rPr>
                <w:szCs w:val="26"/>
                <w:highlight w:val="none"/>
              </w:rPr>
            </w:pPr>
            <w:r>
              <w:rPr>
                <w:rFonts w:hint="eastAsia"/>
                <w:szCs w:val="26"/>
                <w:highlight w:val="none"/>
              </w:rPr>
              <w:t>1</w:t>
            </w:r>
          </w:p>
        </w:tc>
        <w:tc>
          <w:tcPr>
            <w:tcW w:w="1854" w:type="pct"/>
            <w:vAlign w:val="center"/>
          </w:tcPr>
          <w:p w14:paraId="37D6756C">
            <w:pPr>
              <w:jc w:val="center"/>
              <w:rPr>
                <w:szCs w:val="26"/>
                <w:highlight w:val="none"/>
              </w:rPr>
            </w:pPr>
            <w:r>
              <w:rPr>
                <w:rFonts w:hint="eastAsia"/>
                <w:szCs w:val="26"/>
                <w:highlight w:val="none"/>
              </w:rPr>
              <w:t>...</w:t>
            </w:r>
          </w:p>
        </w:tc>
        <w:tc>
          <w:tcPr>
            <w:tcW w:w="674" w:type="pct"/>
            <w:vAlign w:val="center"/>
          </w:tcPr>
          <w:p w14:paraId="57BA31D2">
            <w:pPr>
              <w:jc w:val="center"/>
              <w:rPr>
                <w:szCs w:val="26"/>
                <w:highlight w:val="none"/>
              </w:rPr>
            </w:pPr>
          </w:p>
        </w:tc>
        <w:tc>
          <w:tcPr>
            <w:tcW w:w="1257" w:type="pct"/>
            <w:vAlign w:val="center"/>
          </w:tcPr>
          <w:p w14:paraId="54BC4BA9">
            <w:pPr>
              <w:jc w:val="center"/>
              <w:rPr>
                <w:szCs w:val="26"/>
                <w:highlight w:val="none"/>
              </w:rPr>
            </w:pPr>
          </w:p>
        </w:tc>
        <w:tc>
          <w:tcPr>
            <w:tcW w:w="745" w:type="pct"/>
            <w:vAlign w:val="center"/>
          </w:tcPr>
          <w:p w14:paraId="3C8B4B80">
            <w:pPr>
              <w:jc w:val="center"/>
              <w:rPr>
                <w:szCs w:val="26"/>
                <w:highlight w:val="none"/>
              </w:rPr>
            </w:pPr>
          </w:p>
        </w:tc>
      </w:tr>
      <w:tr w14:paraId="730E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24D27195">
            <w:pPr>
              <w:jc w:val="center"/>
              <w:rPr>
                <w:szCs w:val="26"/>
                <w:highlight w:val="none"/>
              </w:rPr>
            </w:pPr>
            <w:r>
              <w:rPr>
                <w:rFonts w:hint="eastAsia"/>
                <w:szCs w:val="26"/>
                <w:highlight w:val="none"/>
              </w:rPr>
              <w:t>2</w:t>
            </w:r>
          </w:p>
        </w:tc>
        <w:tc>
          <w:tcPr>
            <w:tcW w:w="1854" w:type="pct"/>
            <w:vAlign w:val="center"/>
          </w:tcPr>
          <w:p w14:paraId="576E34D3">
            <w:pPr>
              <w:jc w:val="center"/>
              <w:rPr>
                <w:szCs w:val="26"/>
                <w:highlight w:val="none"/>
              </w:rPr>
            </w:pPr>
            <w:r>
              <w:rPr>
                <w:rFonts w:hint="eastAsia"/>
                <w:szCs w:val="26"/>
                <w:highlight w:val="none"/>
              </w:rPr>
              <w:t>...</w:t>
            </w:r>
          </w:p>
        </w:tc>
        <w:tc>
          <w:tcPr>
            <w:tcW w:w="674" w:type="pct"/>
            <w:vAlign w:val="center"/>
          </w:tcPr>
          <w:p w14:paraId="0E732930">
            <w:pPr>
              <w:jc w:val="center"/>
              <w:rPr>
                <w:szCs w:val="26"/>
                <w:highlight w:val="none"/>
              </w:rPr>
            </w:pPr>
          </w:p>
        </w:tc>
        <w:tc>
          <w:tcPr>
            <w:tcW w:w="1257" w:type="pct"/>
            <w:vAlign w:val="center"/>
          </w:tcPr>
          <w:p w14:paraId="5125831C">
            <w:pPr>
              <w:jc w:val="center"/>
              <w:rPr>
                <w:szCs w:val="26"/>
                <w:highlight w:val="none"/>
              </w:rPr>
            </w:pPr>
          </w:p>
        </w:tc>
        <w:tc>
          <w:tcPr>
            <w:tcW w:w="745" w:type="pct"/>
            <w:vAlign w:val="center"/>
          </w:tcPr>
          <w:p w14:paraId="68969DBC">
            <w:pPr>
              <w:jc w:val="center"/>
              <w:rPr>
                <w:szCs w:val="26"/>
                <w:highlight w:val="none"/>
              </w:rPr>
            </w:pPr>
          </w:p>
        </w:tc>
      </w:tr>
      <w:tr w14:paraId="392E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0E290FBD">
            <w:pPr>
              <w:jc w:val="center"/>
              <w:rPr>
                <w:szCs w:val="26"/>
                <w:highlight w:val="none"/>
              </w:rPr>
            </w:pPr>
            <w:r>
              <w:rPr>
                <w:rFonts w:hint="eastAsia"/>
                <w:szCs w:val="26"/>
                <w:highlight w:val="none"/>
              </w:rPr>
              <w:t>3</w:t>
            </w:r>
          </w:p>
        </w:tc>
        <w:tc>
          <w:tcPr>
            <w:tcW w:w="1854" w:type="pct"/>
            <w:vAlign w:val="center"/>
          </w:tcPr>
          <w:p w14:paraId="0CACCF0D">
            <w:pPr>
              <w:jc w:val="center"/>
              <w:rPr>
                <w:szCs w:val="26"/>
                <w:highlight w:val="none"/>
              </w:rPr>
            </w:pPr>
            <w:r>
              <w:rPr>
                <w:rFonts w:hint="eastAsia"/>
                <w:szCs w:val="26"/>
                <w:highlight w:val="none"/>
              </w:rPr>
              <w:t>...</w:t>
            </w:r>
          </w:p>
        </w:tc>
        <w:tc>
          <w:tcPr>
            <w:tcW w:w="674" w:type="pct"/>
            <w:vAlign w:val="center"/>
          </w:tcPr>
          <w:p w14:paraId="6ABB9D94">
            <w:pPr>
              <w:jc w:val="center"/>
              <w:rPr>
                <w:szCs w:val="26"/>
                <w:highlight w:val="none"/>
              </w:rPr>
            </w:pPr>
          </w:p>
        </w:tc>
        <w:tc>
          <w:tcPr>
            <w:tcW w:w="1257" w:type="pct"/>
            <w:vAlign w:val="center"/>
          </w:tcPr>
          <w:p w14:paraId="4924070A">
            <w:pPr>
              <w:jc w:val="center"/>
              <w:rPr>
                <w:szCs w:val="26"/>
                <w:highlight w:val="none"/>
              </w:rPr>
            </w:pPr>
          </w:p>
        </w:tc>
        <w:tc>
          <w:tcPr>
            <w:tcW w:w="745" w:type="pct"/>
            <w:vAlign w:val="center"/>
          </w:tcPr>
          <w:p w14:paraId="00180E66">
            <w:pPr>
              <w:jc w:val="center"/>
              <w:rPr>
                <w:szCs w:val="26"/>
                <w:highlight w:val="none"/>
              </w:rPr>
            </w:pPr>
          </w:p>
        </w:tc>
      </w:tr>
      <w:tr w14:paraId="058C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0" w:type="pct"/>
            <w:vAlign w:val="center"/>
          </w:tcPr>
          <w:p w14:paraId="310667B7">
            <w:pPr>
              <w:jc w:val="center"/>
              <w:rPr>
                <w:szCs w:val="26"/>
                <w:highlight w:val="none"/>
              </w:rPr>
            </w:pPr>
            <w:r>
              <w:rPr>
                <w:rFonts w:hint="eastAsia"/>
                <w:szCs w:val="26"/>
                <w:highlight w:val="none"/>
              </w:rPr>
              <w:t>...</w:t>
            </w:r>
          </w:p>
        </w:tc>
        <w:tc>
          <w:tcPr>
            <w:tcW w:w="1854" w:type="pct"/>
            <w:vAlign w:val="center"/>
          </w:tcPr>
          <w:p w14:paraId="1787A08B">
            <w:pPr>
              <w:jc w:val="center"/>
              <w:rPr>
                <w:szCs w:val="26"/>
                <w:highlight w:val="none"/>
              </w:rPr>
            </w:pPr>
            <w:r>
              <w:rPr>
                <w:rFonts w:hint="eastAsia"/>
                <w:szCs w:val="26"/>
                <w:highlight w:val="none"/>
              </w:rPr>
              <w:t>...</w:t>
            </w:r>
          </w:p>
        </w:tc>
        <w:tc>
          <w:tcPr>
            <w:tcW w:w="674" w:type="pct"/>
            <w:vAlign w:val="center"/>
          </w:tcPr>
          <w:p w14:paraId="4A6C6C98">
            <w:pPr>
              <w:jc w:val="center"/>
              <w:rPr>
                <w:szCs w:val="26"/>
                <w:highlight w:val="none"/>
              </w:rPr>
            </w:pPr>
          </w:p>
        </w:tc>
        <w:tc>
          <w:tcPr>
            <w:tcW w:w="1257" w:type="pct"/>
            <w:vAlign w:val="center"/>
          </w:tcPr>
          <w:p w14:paraId="41CC5EA1">
            <w:pPr>
              <w:jc w:val="center"/>
              <w:rPr>
                <w:szCs w:val="26"/>
                <w:highlight w:val="none"/>
              </w:rPr>
            </w:pPr>
          </w:p>
        </w:tc>
        <w:tc>
          <w:tcPr>
            <w:tcW w:w="745" w:type="pct"/>
            <w:vAlign w:val="center"/>
          </w:tcPr>
          <w:p w14:paraId="2FD3ABA0">
            <w:pPr>
              <w:jc w:val="center"/>
              <w:rPr>
                <w:szCs w:val="26"/>
                <w:highlight w:val="none"/>
              </w:rPr>
            </w:pPr>
          </w:p>
        </w:tc>
      </w:tr>
    </w:tbl>
    <w:p w14:paraId="4B9A505A">
      <w:pPr>
        <w:ind w:firstLine="562"/>
        <w:rPr>
          <w:rFonts w:ascii="仿宋" w:hAnsi="仿宋" w:eastAsia="仿宋" w:cs="仿宋"/>
          <w:b/>
          <w:bCs/>
          <w:sz w:val="28"/>
          <w:szCs w:val="28"/>
          <w:highlight w:val="none"/>
        </w:rPr>
      </w:pPr>
    </w:p>
    <w:p w14:paraId="0F8E8557">
      <w:pPr>
        <w:adjustRightInd w:val="0"/>
        <w:snapToGrid w:val="0"/>
        <w:spacing w:line="520" w:lineRule="exact"/>
        <w:rPr>
          <w:rFonts w:ascii="仿宋" w:hAnsi="仿宋" w:eastAsia="仿宋" w:cs="仿宋"/>
          <w:sz w:val="24"/>
          <w:szCs w:val="24"/>
          <w:highlight w:val="none"/>
          <w:u w:val="single"/>
        </w:rPr>
      </w:pPr>
      <w:r>
        <w:rPr>
          <w:rFonts w:ascii="仿宋" w:hAnsi="仿宋" w:eastAsia="仿宋" w:cs="仿宋"/>
          <w:sz w:val="24"/>
          <w:szCs w:val="24"/>
          <w:highlight w:val="none"/>
          <w:u w:val="single"/>
        </w:rPr>
        <w:br w:type="page"/>
      </w:r>
    </w:p>
    <w:p w14:paraId="3797931C">
      <w:pPr>
        <w:adjustRightInd w:val="0"/>
        <w:snapToGrid w:val="0"/>
        <w:spacing w:line="300" w:lineRule="auto"/>
        <w:jc w:val="left"/>
        <w:rPr>
          <w:rFonts w:ascii="黑体" w:hAnsi="黑体" w:eastAsia="黑体"/>
          <w:sz w:val="32"/>
          <w:szCs w:val="32"/>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4：</w:t>
      </w:r>
      <w:r>
        <w:rPr>
          <w:rFonts w:ascii="黑体" w:hAnsi="黑体" w:eastAsia="黑体"/>
          <w:sz w:val="32"/>
          <w:szCs w:val="32"/>
          <w:highlight w:val="none"/>
        </w:rPr>
        <w:t xml:space="preserve">   </w:t>
      </w:r>
    </w:p>
    <w:p w14:paraId="5A24ED3F">
      <w:pPr>
        <w:adjustRightInd w:val="0"/>
        <w:snapToGrid w:val="0"/>
        <w:spacing w:line="300" w:lineRule="auto"/>
        <w:ind w:firstLine="640"/>
        <w:jc w:val="center"/>
        <w:rPr>
          <w:rFonts w:ascii="黑体" w:hAnsi="黑体" w:eastAsia="黑体"/>
          <w:sz w:val="32"/>
          <w:szCs w:val="32"/>
          <w:highlight w:val="none"/>
        </w:rPr>
      </w:pPr>
      <w:r>
        <w:rPr>
          <w:rFonts w:hint="eastAsia" w:ascii="黑体" w:hAnsi="黑体" w:eastAsia="黑体"/>
          <w:sz w:val="28"/>
          <w:szCs w:val="28"/>
          <w:highlight w:val="none"/>
        </w:rPr>
        <w:t>施工现场管理协议</w:t>
      </w:r>
    </w:p>
    <w:p w14:paraId="63578308">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发包人：                         </w:t>
      </w:r>
    </w:p>
    <w:p w14:paraId="213BCBE0">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承包人：                         </w:t>
      </w:r>
    </w:p>
    <w:p w14:paraId="1842CD2A">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为了切实加强施工现场管理，依照双方签订的施工承包合同，本着平等、自愿的原则，签订本协议书。甲、乙双方均须严格遵守本协议书规定的权利、责任和义务，确保现场安全文明施工。</w:t>
      </w:r>
    </w:p>
    <w:p w14:paraId="3ED0B6BA">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一、管理要求</w:t>
      </w:r>
    </w:p>
    <w:p w14:paraId="233F6851">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、施工现场周围设置封闭式硬质围挡，并做到坚固、稳定、整洁美观，将施工区域和非施工区域封闭隔离，原则上应设置不少于两个施工出入口。</w:t>
      </w:r>
    </w:p>
    <w:p w14:paraId="542DA821">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在施工区出入口及重点醒目位置，统一设置工程概况牌、施工公示牌（标明项目名称、施工单位、监理单位、建设单位负责人姓名及电话，施工工期起止日期等）、安全生产牌、文明施工牌和施工现场总平面布置图。</w:t>
      </w:r>
    </w:p>
    <w:p w14:paraId="68285CA8">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进场劳务工人及现场管理人员，应配合办理人员出入证，统一着装工作反光马甲，便于区分所属单位。进入施工现场的各类人员须戴好安全帽、系好帽带，否则不得准予进场；非施工人员不得擅自进入施工现场。</w:t>
      </w:r>
    </w:p>
    <w:p w14:paraId="28771B15">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、在施工现场禁烟区设立禁烟标志，禁烟区内严禁吸烟，保证地面无烟头。</w:t>
      </w:r>
    </w:p>
    <w:p w14:paraId="52862207">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施工出入口处应设洗车台、沉淀池，不具备设置洗车台的施工现场应根据需要设置高压水枪冲洗车辆，确保驶出车辆冲洗干净，不得污染场区及市政路面。施工途经的厂区道路，按照谁使用谁负责的原则，每日安排及时清扫，常态化保持道路清洁。</w:t>
      </w:r>
    </w:p>
    <w:p w14:paraId="676AFFBE">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、办公区、生活区、材料堆放场、加工场、仓库区地面、工地内外通道必须作混凝土硬化处理。</w:t>
      </w:r>
    </w:p>
    <w:p w14:paraId="74BF1B68">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7</w:t>
      </w:r>
      <w:r>
        <w:rPr>
          <w:rFonts w:hint="eastAsia" w:ascii="仿宋" w:hAnsi="仿宋" w:eastAsia="仿宋" w:cs="仿宋"/>
          <w:sz w:val="24"/>
          <w:szCs w:val="24"/>
          <w:highlight w:val="none"/>
        </w:rPr>
        <w:t>、施工现场应按照施工总平面布置图搭设各项临时设施，定位堆放各种材料、成品、半成品和机械设备并进行标识，并码放整齐、限宽限高、上架入箱、分类挂牌标识，不得侵占场内道路及安全防护等设施。</w:t>
      </w:r>
    </w:p>
    <w:p w14:paraId="45FAB6BC">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8</w:t>
      </w:r>
      <w:r>
        <w:rPr>
          <w:rFonts w:hint="eastAsia" w:ascii="仿宋" w:hAnsi="仿宋" w:eastAsia="仿宋" w:cs="仿宋"/>
          <w:sz w:val="24"/>
          <w:szCs w:val="24"/>
          <w:highlight w:val="none"/>
        </w:rPr>
        <w:t>、施工现场重要和危险部位必须设置明显的安全警示标志及围挡设施。施工现场的楼梯、电梯、预留口、通道、深基础、坑井、平台、屋面、楼面等一切容易坠落的临边临口必须设置有效的防护和警示设施。</w:t>
      </w:r>
    </w:p>
    <w:p w14:paraId="6DE513AB">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9</w:t>
      </w:r>
      <w:r>
        <w:rPr>
          <w:rFonts w:hint="eastAsia" w:ascii="仿宋" w:hAnsi="仿宋" w:eastAsia="仿宋" w:cs="仿宋"/>
          <w:sz w:val="24"/>
          <w:szCs w:val="24"/>
          <w:highlight w:val="none"/>
        </w:rPr>
        <w:t>、建筑垃圾要及时清理，并设置垃圾池指定地点集中堆放；每日下班以前，施工区域必须进行清洁整理，物料码放整齐，废料及时清运，保证现场环境卫生整洁。</w:t>
      </w:r>
    </w:p>
    <w:p w14:paraId="40617146">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10</w:t>
      </w:r>
      <w:r>
        <w:rPr>
          <w:rFonts w:hint="eastAsia" w:ascii="仿宋" w:hAnsi="仿宋" w:eastAsia="仿宋" w:cs="仿宋"/>
          <w:sz w:val="24"/>
          <w:szCs w:val="24"/>
          <w:highlight w:val="none"/>
        </w:rPr>
        <w:t>、施工土方作业时必须采取湿法作业，配备雾炮、洒水车、喷淋等抑尘设施。装载建筑材料、垃圾或渣土的车辆，必须采取环保车型，防止尘土飞扬、洒落或流溢。施工裸土区域必须百分百密目网覆盖，施工完毕后当日及时覆盖恢复到位。</w:t>
      </w:r>
    </w:p>
    <w:p w14:paraId="182CD96B">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11</w:t>
      </w:r>
      <w:r>
        <w:rPr>
          <w:rFonts w:hint="eastAsia" w:ascii="仿宋" w:hAnsi="仿宋" w:eastAsia="仿宋" w:cs="仿宋"/>
          <w:sz w:val="24"/>
          <w:szCs w:val="24"/>
          <w:highlight w:val="none"/>
        </w:rPr>
        <w:t>、项目内必须实行“三级配电三级保护”，即总漏电保护、分配电箱漏电保护和开关箱漏电保护。临时用电设施的安装和使用必须符合安装规范和安全操作规程。</w:t>
      </w:r>
    </w:p>
    <w:p w14:paraId="3A48C1EC">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rPr>
        <w:t>、施工现场应严格建立和执行消防管理制度，设置消防设施，并使其保持完好的备用状态。在容易发生火灾的区域储存、使用易燃、易爆物品时应采取特殊的消防安全措施。现场动火时必须执行动火审批手续和动火监护。</w:t>
      </w:r>
    </w:p>
    <w:p w14:paraId="448550E1">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13</w:t>
      </w:r>
      <w:r>
        <w:rPr>
          <w:rFonts w:hint="eastAsia" w:ascii="仿宋" w:hAnsi="仿宋" w:eastAsia="仿宋" w:cs="仿宋"/>
          <w:sz w:val="24"/>
          <w:szCs w:val="24"/>
          <w:highlight w:val="none"/>
        </w:rPr>
        <w:t>、施工现场的已有设备设施、地下管线、已完工程等，须采取成品保护措施，施工前提前告知报备，施工过程安排人员旁站监督，施工结束及时与相关方交接见证，严禁野蛮施工。</w:t>
      </w:r>
    </w:p>
    <w:p w14:paraId="76EEC75B">
      <w:pPr>
        <w:widowControl/>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14</w:t>
      </w:r>
      <w:r>
        <w:rPr>
          <w:rFonts w:hint="eastAsia" w:ascii="仿宋" w:hAnsi="仿宋" w:eastAsia="仿宋" w:cs="仿宋"/>
          <w:sz w:val="24"/>
          <w:szCs w:val="24"/>
          <w:highlight w:val="none"/>
        </w:rPr>
        <w:t>、工程竣工后，施工单位应当在一周内拆除围挡及临时设施，恢复场地原状，做到“工完料净、场地清”</w:t>
      </w:r>
    </w:p>
    <w:p w14:paraId="0FE55929">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二、责任考核</w:t>
      </w:r>
    </w:p>
    <w:p w14:paraId="5B029DAA">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对于违反上述施工现场管理标准的，发包人将视情节严重情况，依据双方承包合同和《基建项目考核管理办法》，给予承包人</w:t>
      </w:r>
      <w:r>
        <w:rPr>
          <w:rFonts w:ascii="仿宋" w:hAnsi="仿宋" w:eastAsia="仿宋" w:cs="仿宋"/>
          <w:sz w:val="24"/>
          <w:szCs w:val="24"/>
          <w:highlight w:val="none"/>
        </w:rPr>
        <w:t>1000</w:t>
      </w:r>
      <w:r>
        <w:rPr>
          <w:rFonts w:hint="eastAsia" w:ascii="仿宋" w:hAnsi="仿宋" w:eastAsia="仿宋" w:cs="仿宋"/>
          <w:sz w:val="24"/>
          <w:szCs w:val="24"/>
          <w:highlight w:val="none"/>
        </w:rPr>
        <w:t>-</w:t>
      </w:r>
      <w:r>
        <w:rPr>
          <w:rFonts w:ascii="仿宋" w:hAnsi="仿宋" w:eastAsia="仿宋" w:cs="仿宋"/>
          <w:sz w:val="24"/>
          <w:szCs w:val="24"/>
          <w:highlight w:val="none"/>
        </w:rPr>
        <w:t>20000</w:t>
      </w:r>
      <w:r>
        <w:rPr>
          <w:rFonts w:hint="eastAsia" w:ascii="仿宋" w:hAnsi="仿宋" w:eastAsia="仿宋" w:cs="仿宋"/>
          <w:sz w:val="24"/>
          <w:szCs w:val="24"/>
          <w:highlight w:val="none"/>
        </w:rPr>
        <w:t>元/项考核。</w:t>
      </w:r>
    </w:p>
    <w:p w14:paraId="057EEC47">
      <w:pPr>
        <w:widowControl/>
        <w:spacing w:line="360" w:lineRule="auto"/>
        <w:ind w:firstLine="480" w:firstLineChars="200"/>
        <w:rPr>
          <w:rFonts w:ascii="仿宋" w:hAnsi="仿宋" w:eastAsia="仿宋" w:cs="仿宋"/>
          <w:sz w:val="24"/>
          <w:szCs w:val="24"/>
          <w:highlight w:val="none"/>
        </w:rPr>
      </w:pPr>
    </w:p>
    <w:p w14:paraId="75A9AC46">
      <w:pPr>
        <w:adjustRightInd w:val="0"/>
        <w:snapToGrid w:val="0"/>
        <w:spacing w:line="440" w:lineRule="exact"/>
        <w:ind w:firstLine="360" w:firstLineChars="150"/>
        <w:jc w:val="left"/>
        <w:rPr>
          <w:rFonts w:ascii="仿宋" w:hAnsi="仿宋" w:eastAsia="仿宋" w:cs="仿宋"/>
          <w:sz w:val="24"/>
          <w:szCs w:val="24"/>
          <w:highlight w:val="none"/>
        </w:rPr>
      </w:pPr>
      <w:r>
        <w:rPr>
          <w:rFonts w:ascii="仿宋" w:hAnsi="仿宋" w:eastAsia="仿宋" w:cs="仿宋"/>
          <w:sz w:val="24"/>
          <w:szCs w:val="24"/>
          <w:highlight w:val="none"/>
        </w:rPr>
        <w:br w:type="page"/>
      </w:r>
    </w:p>
    <w:p w14:paraId="71BE059A">
      <w:pPr>
        <w:adjustRightInd w:val="0"/>
        <w:snapToGrid w:val="0"/>
        <w:spacing w:line="44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ascii="仿宋" w:hAnsi="仿宋" w:eastAsia="仿宋" w:cs="仿宋"/>
          <w:sz w:val="28"/>
          <w:szCs w:val="28"/>
          <w:highlight w:val="none"/>
        </w:rPr>
        <w:t>5</w:t>
      </w:r>
    </w:p>
    <w:p w14:paraId="401AC5E0">
      <w:pPr>
        <w:adjustRightInd w:val="0"/>
        <w:snapToGrid w:val="0"/>
        <w:spacing w:line="440" w:lineRule="exact"/>
        <w:jc w:val="center"/>
        <w:rPr>
          <w:rFonts w:ascii="黑体" w:hAnsi="黑体" w:eastAsia="黑体" w:cs="仿宋"/>
          <w:sz w:val="28"/>
          <w:szCs w:val="28"/>
          <w:highlight w:val="none"/>
        </w:rPr>
      </w:pPr>
      <w:r>
        <w:rPr>
          <w:rFonts w:hint="eastAsia" w:ascii="黑体" w:hAnsi="黑体" w:eastAsia="黑体" w:cs="仿宋"/>
          <w:sz w:val="28"/>
          <w:szCs w:val="28"/>
          <w:highlight w:val="none"/>
        </w:rPr>
        <w:t>项目考核管理（细则）协议</w:t>
      </w:r>
    </w:p>
    <w:p w14:paraId="41C65D5F">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发包人：                         </w:t>
      </w:r>
    </w:p>
    <w:p w14:paraId="6ABB72C7">
      <w:pPr>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承包人：                         </w:t>
      </w:r>
    </w:p>
    <w:p w14:paraId="263DD97E">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双方同意执行以下考核细则</w:t>
      </w:r>
      <w:r>
        <w:rPr>
          <w:rFonts w:hint="eastAsia" w:ascii="仿宋" w:hAnsi="仿宋" w:eastAsia="仿宋" w:cs="仿宋_GB2312"/>
          <w:color w:val="000000" w:themeColor="text1"/>
          <w:sz w:val="24"/>
          <w:szCs w:val="24"/>
          <w:highlight w:val="none"/>
          <w14:textFill>
            <w14:solidFill>
              <w14:schemeClr w14:val="tx1"/>
            </w14:solidFill>
          </w14:textFill>
        </w:rPr>
        <w:t>，承包人同意按照下述约定由发包人扣除相应费用作为考核</w:t>
      </w:r>
      <w:r>
        <w:rPr>
          <w:rFonts w:hint="eastAsia" w:ascii="仿宋" w:hAnsi="仿宋" w:eastAsia="仿宋"/>
          <w:color w:val="000000" w:themeColor="text1"/>
          <w:sz w:val="24"/>
          <w:highlight w:val="none"/>
          <w14:textFill>
            <w14:solidFill>
              <w14:schemeClr w14:val="tx1"/>
            </w14:solidFill>
          </w14:textFill>
        </w:rPr>
        <w:t>，具体如下：</w:t>
      </w:r>
    </w:p>
    <w:p w14:paraId="2BBFFAB3">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一、施工进度考核</w:t>
      </w:r>
    </w:p>
    <w:p w14:paraId="51F495EA">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1.1施工单位须向监理、项目指挥部按时提交总进度计划、周计划、专项计划以及各节点的控制计划，提交的计划必须经项目经理签字加盖项目章，否则视为无效提交。对未按要求时间提交的，每拖延一天</w:t>
      </w:r>
      <w:r>
        <w:rPr>
          <w:rFonts w:hint="eastAsia" w:ascii="仿宋" w:hAnsi="仿宋" w:eastAsia="仿宋" w:cs="仿宋_GB2312"/>
          <w:color w:val="000000" w:themeColor="text1"/>
          <w:sz w:val="24"/>
          <w:szCs w:val="24"/>
          <w:highlight w:val="none"/>
          <w14:textFill>
            <w14:solidFill>
              <w14:schemeClr w14:val="tx1"/>
            </w14:solidFill>
          </w14:textFill>
        </w:rPr>
        <w:t>处以</w:t>
      </w:r>
      <w:r>
        <w:rPr>
          <w:rFonts w:hint="eastAsia" w:ascii="仿宋" w:hAnsi="仿宋" w:eastAsia="仿宋"/>
          <w:color w:val="000000" w:themeColor="text1"/>
          <w:sz w:val="24"/>
          <w:highlight w:val="none"/>
          <w14:textFill>
            <w14:solidFill>
              <w14:schemeClr w14:val="tx1"/>
            </w14:solidFill>
          </w14:textFill>
        </w:rPr>
        <w:t>2000-10000元</w:t>
      </w:r>
      <w:r>
        <w:rPr>
          <w:rFonts w:hint="eastAsia" w:ascii="仿宋" w:hAnsi="仿宋" w:eastAsia="仿宋" w:cs="仿宋_GB2312"/>
          <w:color w:val="000000" w:themeColor="text1"/>
          <w:sz w:val="24"/>
          <w:szCs w:val="24"/>
          <w:highlight w:val="none"/>
          <w14:textFill>
            <w14:solidFill>
              <w14:schemeClr w14:val="tx1"/>
            </w14:solidFill>
          </w14:textFill>
        </w:rPr>
        <w:t>考核</w:t>
      </w:r>
      <w:r>
        <w:rPr>
          <w:rFonts w:hint="eastAsia" w:ascii="仿宋" w:hAnsi="仿宋" w:eastAsia="仿宋"/>
          <w:color w:val="000000" w:themeColor="text1"/>
          <w:sz w:val="24"/>
          <w:highlight w:val="none"/>
          <w14:textFill>
            <w14:solidFill>
              <w14:schemeClr w14:val="tx1"/>
            </w14:solidFill>
          </w14:textFill>
        </w:rPr>
        <w:t>。</w:t>
      </w:r>
    </w:p>
    <w:p w14:paraId="5C87DA1F">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1.2施工计划编制质量差，屡次整改达不到要求的，处以2000-5000元/次考核。</w:t>
      </w:r>
    </w:p>
    <w:p w14:paraId="19A53460">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1.3周计划进度、专项计划进度、各控制点进度的子项任务未按计划完成，且无正当理由延期的，每一项拖延一天，处以2000-10000元/天/项考核。</w:t>
      </w:r>
    </w:p>
    <w:p w14:paraId="598FE347">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1.4里程碑节点滞后的，按照合同约定的违约条款，处以不低于合同额的万分之三/天且不低于1万元/天考核。</w:t>
      </w:r>
    </w:p>
    <w:p w14:paraId="661C1961">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1.5施工单位为完成进度计划应制定有效的保证措施，包括人、料、机等资源投入，作业时间调整等，对人、料、机投入不能满足施工进度计划要求并对工程进度造成潜在影响的，处以5000-10000元考核。</w:t>
      </w:r>
    </w:p>
    <w:p w14:paraId="5EB3EF1A">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1.6工程进度滞后，现场项目部安排加班抢工，对施工单位不响应抢工要求的，不组织工人机械加班抢工的，处以20000-50000元/天考核。</w:t>
      </w:r>
    </w:p>
    <w:p w14:paraId="2A3B3847">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1.7对于临时工作任务，经现场项目部以书面工作联系单的形式向施工单位发出工作指令，要求限期完成，施工单位无正当理由未按期完成的，每拖延一天处以5000-20000元/天考核。</w:t>
      </w:r>
    </w:p>
    <w:p w14:paraId="3DA88B01">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1.8在周例会或专题会议上，现场项目部要求限期完成的工作任务，施工单位无正当理由未按时完成的，每拖延一天处以5000-20000元/天/项考核。</w:t>
      </w:r>
    </w:p>
    <w:p w14:paraId="57882B97">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1.9施工进度滞后，对组织抢工措施不力，消极应对、采取考核措施仍不见效的施工单位，将采取公司发函、约谈责任单位企业负责人，情节严重的将列入黑名单，取消今后项目招标入围资格。</w:t>
      </w:r>
    </w:p>
    <w:p w14:paraId="74C772BF">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二、施工安全文明考核</w:t>
      </w:r>
    </w:p>
    <w:p w14:paraId="47F7909A">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2.1项目部或监理单位下达的书面整改文件（包括各类通知单、联系单、会议要求等）未按要求时间整改完毕的，每拖延一天处以5000-20000元/天考核。</w:t>
      </w:r>
    </w:p>
    <w:p w14:paraId="14C7691A">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2.2对不按时参加现场组织的安全周、月及专项检查的，处以2000-5000元/次考核。</w:t>
      </w:r>
    </w:p>
    <w:p w14:paraId="799B1591">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2.3“三宝四口”措施不到位，对不正确使用或不使用安全帽、安全带的，予以500元/人·次考核。对“四口”存在的安全隐患，督促后仍未整改的，予以5000元/处考核，并每拖延一天处以10000元考核。        </w:t>
      </w:r>
    </w:p>
    <w:p w14:paraId="697552C6">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2.4特种作业未能持证上岗、未办理动火审批手续、消防器材未配备到位、施工人员未佩戴安全帽、安全绳、高空作业防护不到位、施工现场吸烟等违规行为，每发现一处，处以2000-5000元考核。</w:t>
      </w:r>
    </w:p>
    <w:p w14:paraId="104997EA">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2.5施工单位应每日工完料净，施工垃圾集中清运，道路遗撒污染、施工垃圾及包装物乱堆乱弃等现象，每发现一处，处以2000-10000元考核。</w:t>
      </w:r>
    </w:p>
    <w:p w14:paraId="0288AE9D">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2.6对抑尘措施不到位，发生扬尘现象的，处以2000-10000元/次考核；对被环保、渣土办部门处罚的，除相关处罚所有费用均由施工单位承担外，建设单位对施工单位予以加倍处罚。</w:t>
      </w:r>
    </w:p>
    <w:p w14:paraId="2966AD74">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2.7若施工方对现场存在的安全隐患不予整改或迟迟整改不到位，且采取考核措施后仍不见效的，现场项目部将要求停工整改，并书面通报施工单位企业负责人现场处理，对整改效果仍达不到各方满意的，将上报建设行政主管部门。</w:t>
      </w:r>
    </w:p>
    <w:p w14:paraId="54D4A0CE">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三、施工质量考核</w:t>
      </w:r>
    </w:p>
    <w:p w14:paraId="7AE575E3">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3.1未按要求执行样品样板开路的或擅自更换材料品牌的，处以5000-50000元/次</w:t>
      </w:r>
      <w:r>
        <w:rPr>
          <w:rFonts w:hint="eastAsia" w:ascii="仿宋" w:hAnsi="仿宋" w:eastAsia="仿宋" w:cs="仿宋_GB2312"/>
          <w:color w:val="000000" w:themeColor="text1"/>
          <w:sz w:val="24"/>
          <w:szCs w:val="24"/>
          <w:highlight w:val="none"/>
          <w14:textFill>
            <w14:solidFill>
              <w14:schemeClr w14:val="tx1"/>
            </w14:solidFill>
          </w14:textFill>
        </w:rPr>
        <w:t>考核</w:t>
      </w:r>
      <w:r>
        <w:rPr>
          <w:rFonts w:hint="eastAsia" w:ascii="仿宋" w:hAnsi="仿宋" w:eastAsia="仿宋"/>
          <w:color w:val="000000" w:themeColor="text1"/>
          <w:sz w:val="24"/>
          <w:highlight w:val="none"/>
          <w14:textFill>
            <w14:solidFill>
              <w14:schemeClr w14:val="tx1"/>
            </w14:solidFill>
          </w14:textFill>
        </w:rPr>
        <w:t>。</w:t>
      </w:r>
    </w:p>
    <w:p w14:paraId="7CCD4988">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3.2进场材料不合格，进行退场处理并予以警告，重新进场后经检查仍不合格的或材料进场发生两次及以上不合格的，处以5000-20000元/次考核。</w:t>
      </w:r>
    </w:p>
    <w:p w14:paraId="1BB71EED">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3.3未经验收，擅自进入下道工序施工的，处以5000～20000元/次考核。</w:t>
      </w:r>
    </w:p>
    <w:p w14:paraId="4A814CB1">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3.4对于质量问题不按监理工程师通知单要求整改，擅自进行下一步施工的处以5000～10000元/项考核。在接到监理通知后未在通知时间内完成整改的，处以2000～10000元/项考核。</w:t>
      </w:r>
    </w:p>
    <w:p w14:paraId="4028BA2F">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3.5隐蔽工程未经监理单位检查验收擅自隐蔽的，须打开或拆除后重新检查，并处以5000～20000元/次考核。</w:t>
      </w:r>
    </w:p>
    <w:p w14:paraId="3BE73A54">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3.6同一部位、同一施工质量问题，签发第二份整改通知单的，予以加倍处罚，处以20000～50000元/项考核。</w:t>
      </w:r>
    </w:p>
    <w:p w14:paraId="382BC21B">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3.7对于发生较大、重大质量事故的造成严重影响的，除限期整改、返工并承担损失责任外，另处以10万-20万元/项考核。     </w:t>
      </w:r>
    </w:p>
    <w:p w14:paraId="1376961D">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四、施工成本及结算考核</w:t>
      </w:r>
    </w:p>
    <w:p w14:paraId="195B8540">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4.1批价申请价格高于最终审批价格50%以上的，按最终审批价格乘以0.9系数进入结算审计，作为对施工方的考核；批价申请价格高于最终审批价格100%以上的，按最终审批价格乘以0.8系数进行结算审计，作为对施工方的考核。批价申请资料存在伪造、虚假材料的，视情节另对施工单位进行1000-10000元/项考核。</w:t>
      </w:r>
    </w:p>
    <w:p w14:paraId="1309F25A">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4.2承包人未按照发包人要求的《工程项目结算审计报审资料编制规范》报审竣工结算资料的，发包人每发现一次视影响程度处罚承包人500-3000元；承包人结算资料有重复报审的，发包人每发现一次视影响程度处罚承包人3000-10000 元；承包人报审竣工结算时提供虚假材料的，发包人每发现一次视影响程度处罚承包人10000-50000 元。</w:t>
      </w:r>
    </w:p>
    <w:p w14:paraId="2C5CC4DA">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4.3凡项目竣工验收合格后承包人超期未报审竣工结算资料的，每拖期一天发包人视影响程度处罚承包人 1000-5000 元/天。</w:t>
      </w:r>
    </w:p>
    <w:p w14:paraId="11F7871D">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4.4工程项目结算的报审金额100万元及以下，综合审减率超出10%的；结算的报审金额100万元以上且1000万元及以下，综合审减率超出8%的；结算的报审金额1000万元以上，综合审减率超出5%的工程项目，均按超出部分的2%对施工单位进行考核。</w:t>
      </w:r>
    </w:p>
    <w:p w14:paraId="6DE01092">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4.5分部及分项清单单项审定金额与结算报审金额相比，分项审减率30%及以下不予处罚；分项审减率30%以上且50%及以下的，按超出30%部分的15%对施工单位进行考核；分项审减率大于等于50%且小于100%的，按超出30%部分的30%对施工单位进行考核；分项审减率等于100%的，按审减金额的50%对施工单位进行考核。</w:t>
      </w:r>
    </w:p>
    <w:p w14:paraId="03521093">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4.6除审计部或委托审计机构要求补充的资料外，施工单位初次报审后再次以漏报为由报增的，按报增部分审定金额的10%进行考核。</w:t>
      </w:r>
    </w:p>
    <w:p w14:paraId="21A6882B">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4.7按上述考核规则，当考核金额合计不超过5000元或不超过(审减金额-报审金额*10%)*25%时，按5000元与(审减金额-报审金额*10%)*25%中较大值进行考核；当考核金额合计大于5000元且大于(审减金额-报审金额*10%)*25%时，按实际金额进行考核，由施工单位承担。</w:t>
      </w:r>
    </w:p>
    <w:p w14:paraId="19B954B6">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4.8承包人未及时配合工程审计单位开展工作的，发包人每发现一次视影响程度处罚承包人3000-10000 元。</w:t>
      </w:r>
    </w:p>
    <w:p w14:paraId="63030685">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4.9施工合同的结算报审值与结算审定值偏离≥30%的，存在弄虚作假、恶意虚报瞒报等行为或者累计发生三次及以上结算报审值与结算审定值偏离≥20%的，发包人将采取列入供方黑名单。</w:t>
      </w:r>
    </w:p>
    <w:p w14:paraId="4BC1E44E">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4.10结算报审时考核条款发生变化的，按发包人最新规定执行。</w:t>
      </w:r>
    </w:p>
    <w:p w14:paraId="52650890">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五、其他事项</w:t>
      </w:r>
    </w:p>
    <w:p w14:paraId="611745D4">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.1对未按时参加会议、工作执行不力、工作质量不达要求的，视情节严重程度，对责任单位处以1000-5000元/次考核。</w:t>
      </w:r>
    </w:p>
    <w:p w14:paraId="7D9E88C7">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.2现场施工的质量、进度、安全等发生的考核，由监理单位（如有）出具，经总监理工程师签字盖章后报送现场项目部负责人签字盖章后即为生效</w:t>
      </w:r>
    </w:p>
    <w:p w14:paraId="3685D0C4">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.3监理单位或技改项目部应于每月20日汇总当月累计考核单，并在各单位当月形象进度款中扣除或从合同履约保函（保证金）中扣除。</w:t>
      </w:r>
    </w:p>
    <w:p w14:paraId="55619450">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.4对已经发生的考核，若经积极采取措施，最终完成进度节点或整改结果满足合同及项目部要求的，可视情况予以减免、取消。</w:t>
      </w:r>
    </w:p>
    <w:p w14:paraId="0B1E1E00">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.5若经采取考核措施后责任单位仍然消极应对、效果不明显，发包人项目部将采取约谈企业负责人、书面发函等措施，情节严重的将列入发包人供方黑名单。</w:t>
      </w:r>
    </w:p>
    <w:p w14:paraId="691344F4">
      <w:pPr>
        <w:snapToGrid w:val="0"/>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.6各单位按本规定受处罚后并不免除按法律法规和合同应承担的有关责任。</w:t>
      </w:r>
    </w:p>
    <w:p w14:paraId="13CD43D2">
      <w:pPr>
        <w:autoSpaceDE w:val="0"/>
        <w:autoSpaceDN w:val="0"/>
        <w:adjustRightInd w:val="0"/>
        <w:spacing w:line="520" w:lineRule="exact"/>
        <w:rPr>
          <w:rFonts w:ascii="仿宋" w:hAnsi="仿宋" w:eastAsia="仿宋" w:cs="仿宋"/>
          <w:sz w:val="24"/>
          <w:szCs w:val="24"/>
          <w:highlight w:val="none"/>
        </w:rPr>
      </w:pPr>
    </w:p>
    <w:p w14:paraId="0A8ACDE6">
      <w:pPr>
        <w:rPr>
          <w:rFonts w:ascii="仿宋" w:hAnsi="仿宋" w:eastAsia="仿宋" w:cs="仿宋"/>
          <w:sz w:val="24"/>
          <w:szCs w:val="24"/>
          <w:highlight w:val="none"/>
        </w:rPr>
      </w:pPr>
    </w:p>
    <w:p w14:paraId="4D43591D">
      <w:pPr>
        <w:ind w:firstLine="420"/>
        <w:rPr>
          <w:rFonts w:ascii="仿宋" w:hAnsi="仿宋" w:eastAsia="仿宋" w:cs="仿宋"/>
          <w:sz w:val="32"/>
          <w:szCs w:val="32"/>
          <w:highlight w:val="none"/>
        </w:rPr>
      </w:pPr>
      <w:r>
        <w:rPr>
          <w:rFonts w:ascii="仿宋" w:hAnsi="仿宋" w:eastAsia="仿宋" w:cs="仿宋"/>
          <w:sz w:val="32"/>
          <w:szCs w:val="32"/>
          <w:highlight w:val="none"/>
        </w:rPr>
        <w:br w:type="page"/>
      </w:r>
    </w:p>
    <w:p w14:paraId="300D60B0">
      <w:pP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附件6</w:t>
      </w:r>
    </w:p>
    <w:p w14:paraId="46EB58F5">
      <w:pPr>
        <w:spacing w:before="158" w:beforeLines="50" w:after="158" w:afterLines="50" w:line="440" w:lineRule="exact"/>
        <w:jc w:val="center"/>
        <w:rPr>
          <w:rFonts w:ascii="黑体" w:hAnsi="黑体" w:eastAsia="黑体"/>
          <w:color w:val="000000" w:themeColor="text1"/>
          <w:sz w:val="28"/>
          <w:highlight w:val="none"/>
          <w14:textFill>
            <w14:solidFill>
              <w14:schemeClr w14:val="tx1"/>
            </w14:solidFill>
          </w14:textFill>
        </w:rPr>
      </w:pPr>
      <w:r>
        <w:rPr>
          <w:rFonts w:hint="eastAsia" w:ascii="黑体" w:hAnsi="黑体" w:eastAsia="黑体"/>
          <w:color w:val="000000" w:themeColor="text1"/>
          <w:sz w:val="28"/>
          <w:highlight w:val="none"/>
          <w14:textFill>
            <w14:solidFill>
              <w14:schemeClr w14:val="tx1"/>
            </w14:solidFill>
          </w14:textFill>
        </w:rPr>
        <w:t>廉洁诚信协议</w:t>
      </w:r>
    </w:p>
    <w:p w14:paraId="16DB4F1A">
      <w:pPr>
        <w:spacing w:line="384" w:lineRule="auto"/>
        <w:ind w:left="119" w:right="3771"/>
        <w:rPr>
          <w:rFonts w:ascii="仿宋" w:hAnsi="仿宋" w:eastAsia="仿宋"/>
          <w:b/>
          <w:sz w:val="24"/>
          <w:highlight w:val="none"/>
        </w:rPr>
      </w:pPr>
      <w:r>
        <w:rPr>
          <w:rFonts w:hint="eastAsia" w:ascii="仿宋" w:hAnsi="仿宋" w:eastAsia="仿宋"/>
          <w:b/>
          <w:sz w:val="24"/>
          <w:highlight w:val="none"/>
        </w:rPr>
        <w:t>甲方：</w:t>
      </w:r>
    </w:p>
    <w:p w14:paraId="71F4406B">
      <w:pPr>
        <w:spacing w:line="384" w:lineRule="auto"/>
        <w:ind w:left="119" w:right="3771"/>
        <w:rPr>
          <w:rFonts w:ascii="仿宋" w:hAnsi="仿宋" w:eastAsia="仿宋"/>
          <w:b/>
          <w:sz w:val="24"/>
          <w:highlight w:val="none"/>
        </w:rPr>
      </w:pPr>
      <w:r>
        <w:rPr>
          <w:rFonts w:hint="eastAsia" w:ascii="仿宋" w:hAnsi="仿宋" w:eastAsia="仿宋"/>
          <w:b/>
          <w:sz w:val="24"/>
          <w:highlight w:val="none"/>
        </w:rPr>
        <w:t>乙方：</w:t>
      </w:r>
    </w:p>
    <w:p w14:paraId="77CA1203">
      <w:pPr>
        <w:pStyle w:val="76"/>
        <w:tabs>
          <w:tab w:val="left" w:pos="1244"/>
        </w:tabs>
        <w:adjustRightInd w:val="0"/>
        <w:spacing w:line="384" w:lineRule="auto"/>
        <w:ind w:firstLine="472"/>
        <w:rPr>
          <w:rFonts w:ascii="仿宋" w:hAnsi="仿宋" w:eastAsia="仿宋"/>
          <w:spacing w:val="-2"/>
          <w:sz w:val="24"/>
          <w:highlight w:val="none"/>
        </w:rPr>
      </w:pPr>
      <w:r>
        <w:rPr>
          <w:rFonts w:hint="eastAsia" w:ascii="仿宋" w:hAnsi="仿宋" w:eastAsia="仿宋"/>
          <w:spacing w:val="-2"/>
          <w:sz w:val="24"/>
          <w:highlight w:val="none"/>
        </w:rPr>
        <w:t>乙方是甲方或甲方全资、控股、参股企业的供应商、服务商或采购商、经销商，甲方作为采购方或销售方（包含甲方及其关联企业，以下统称甲方），为保证双方长期稳定合作和健康发展，保证各合作主体之间公平、公正、公开的良性竞争，共同抵制商业贿赂等一切不正当行为，营造诚实信用的商业氛围，积极维护双方信誉</w:t>
      </w:r>
      <w:r>
        <w:rPr>
          <w:rFonts w:ascii="仿宋" w:hAnsi="仿宋" w:eastAsia="仿宋"/>
          <w:spacing w:val="-2"/>
          <w:sz w:val="24"/>
          <w:highlight w:val="none"/>
        </w:rPr>
        <w:t>,共同加强廉洁自律建设，甲乙双方在平等、自愿、协商一致的原则下，签订本协议。</w:t>
      </w:r>
    </w:p>
    <w:p w14:paraId="315721EA">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1.甲乙双方应当共同遵守国家、地方法律法规以及本协议的约定，在合同的订立、履行过程中廉洁自律，绝不弄虚作假、以次充好，虚结虚算。</w:t>
      </w:r>
    </w:p>
    <w:p w14:paraId="3B421E94">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2.乙方声明并承诺甲方人员或其</w:t>
      </w:r>
      <w:r>
        <w:rPr>
          <w:rFonts w:hint="eastAsia" w:ascii="仿宋" w:hAnsi="仿宋" w:eastAsia="仿宋"/>
          <w:spacing w:val="-2"/>
          <w:sz w:val="24"/>
          <w:highlight w:val="none"/>
        </w:rPr>
        <w:t>配偶、子女及其配偶等</w:t>
      </w:r>
      <w:r>
        <w:rPr>
          <w:rFonts w:ascii="仿宋" w:hAnsi="仿宋" w:eastAsia="仿宋"/>
          <w:spacing w:val="-2"/>
          <w:sz w:val="24"/>
          <w:highlight w:val="none"/>
        </w:rPr>
        <w:t>亲属</w:t>
      </w:r>
      <w:r>
        <w:rPr>
          <w:rFonts w:hint="eastAsia" w:ascii="仿宋" w:hAnsi="仿宋" w:eastAsia="仿宋"/>
          <w:spacing w:val="-2"/>
          <w:sz w:val="24"/>
          <w:highlight w:val="none"/>
        </w:rPr>
        <w:t>和其他特定关系人（甲方人员为领导干部的，其他特定关系人包含身边工作人员）</w:t>
      </w:r>
      <w:r>
        <w:rPr>
          <w:rFonts w:ascii="仿宋" w:hAnsi="仿宋" w:eastAsia="仿宋"/>
          <w:spacing w:val="-2"/>
          <w:sz w:val="24"/>
          <w:highlight w:val="none"/>
        </w:rPr>
        <w:t>没有直接或间接投资乙方或持有乙方股权，没有直接或间接投资乙方关联企业或持有乙方关联企业股权。</w:t>
      </w:r>
    </w:p>
    <w:p w14:paraId="469E2A41">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3.乙方承诺乙方或乙方关联企业股东、实际出资人或持股人、高管、主要业务人员不得与甲方人员或其</w:t>
      </w:r>
      <w:r>
        <w:rPr>
          <w:rFonts w:hint="eastAsia" w:ascii="仿宋" w:hAnsi="仿宋" w:eastAsia="仿宋"/>
          <w:spacing w:val="-2"/>
          <w:sz w:val="24"/>
          <w:highlight w:val="none"/>
        </w:rPr>
        <w:t>配偶、子女及其配偶等</w:t>
      </w:r>
      <w:r>
        <w:rPr>
          <w:rFonts w:ascii="仿宋" w:hAnsi="仿宋" w:eastAsia="仿宋"/>
          <w:spacing w:val="-2"/>
          <w:sz w:val="24"/>
          <w:highlight w:val="none"/>
        </w:rPr>
        <w:t>亲属</w:t>
      </w:r>
      <w:r>
        <w:rPr>
          <w:rFonts w:hint="eastAsia" w:ascii="仿宋" w:hAnsi="仿宋" w:eastAsia="仿宋"/>
          <w:spacing w:val="-2"/>
          <w:sz w:val="24"/>
          <w:highlight w:val="none"/>
        </w:rPr>
        <w:t>和其他特定关系人</w:t>
      </w:r>
      <w:r>
        <w:rPr>
          <w:rFonts w:ascii="仿宋" w:hAnsi="仿宋" w:eastAsia="仿宋"/>
          <w:spacing w:val="-2"/>
          <w:sz w:val="24"/>
          <w:highlight w:val="none"/>
        </w:rPr>
        <w:t>共同成立公司，不得聘请甲方人员或其</w:t>
      </w:r>
      <w:r>
        <w:rPr>
          <w:rFonts w:hint="eastAsia" w:ascii="仿宋" w:hAnsi="仿宋" w:eastAsia="仿宋"/>
          <w:spacing w:val="-2"/>
          <w:sz w:val="24"/>
          <w:highlight w:val="none"/>
        </w:rPr>
        <w:t>配偶、子女及其配偶等</w:t>
      </w:r>
      <w:r>
        <w:rPr>
          <w:rFonts w:ascii="仿宋" w:hAnsi="仿宋" w:eastAsia="仿宋"/>
          <w:spacing w:val="-2"/>
          <w:sz w:val="24"/>
          <w:highlight w:val="none"/>
        </w:rPr>
        <w:t>亲属</w:t>
      </w:r>
      <w:r>
        <w:rPr>
          <w:rFonts w:hint="eastAsia" w:ascii="仿宋" w:hAnsi="仿宋" w:eastAsia="仿宋"/>
          <w:spacing w:val="-2"/>
          <w:sz w:val="24"/>
          <w:highlight w:val="none"/>
        </w:rPr>
        <w:t>和其他特定关系人</w:t>
      </w:r>
      <w:r>
        <w:rPr>
          <w:rFonts w:ascii="仿宋" w:hAnsi="仿宋" w:eastAsia="仿宋"/>
          <w:spacing w:val="-2"/>
          <w:sz w:val="24"/>
          <w:highlight w:val="none"/>
        </w:rPr>
        <w:t>在乙方或乙方关联企业股东或实际出资人或高管或主要业务人员成立的企业中担任高管或为其</w:t>
      </w:r>
      <w:r>
        <w:rPr>
          <w:rFonts w:hint="eastAsia" w:ascii="仿宋" w:hAnsi="仿宋" w:eastAsia="仿宋"/>
          <w:spacing w:val="-2"/>
          <w:sz w:val="24"/>
          <w:highlight w:val="none"/>
        </w:rPr>
        <w:t>违规</w:t>
      </w:r>
      <w:r>
        <w:rPr>
          <w:rFonts w:ascii="仿宋" w:hAnsi="仿宋" w:eastAsia="仿宋"/>
          <w:spacing w:val="-2"/>
          <w:sz w:val="24"/>
          <w:highlight w:val="none"/>
        </w:rPr>
        <w:t>发放薪酬。</w:t>
      </w:r>
      <w:r>
        <w:rPr>
          <w:rFonts w:hint="eastAsia" w:ascii="仿宋" w:hAnsi="仿宋" w:eastAsia="仿宋"/>
          <w:spacing w:val="-2"/>
          <w:sz w:val="24"/>
          <w:highlight w:val="none"/>
        </w:rPr>
        <w:t>违规发放薪酬包括不实际工作而获取薪酬或者虽实际工作但领取明显超出同职级标准薪酬。</w:t>
      </w:r>
      <w:r>
        <w:rPr>
          <w:rFonts w:ascii="仿宋" w:hAnsi="仿宋" w:eastAsia="仿宋"/>
          <w:spacing w:val="-2"/>
          <w:sz w:val="24"/>
          <w:highlight w:val="none"/>
        </w:rPr>
        <w:t>（</w:t>
      </w:r>
      <w:r>
        <w:rPr>
          <w:rFonts w:hint="eastAsia" w:ascii="仿宋" w:hAnsi="仿宋" w:eastAsia="仿宋"/>
          <w:spacing w:val="-2"/>
          <w:sz w:val="24"/>
          <w:highlight w:val="none"/>
        </w:rPr>
        <w:t>若乙方为甲方</w:t>
      </w:r>
      <w:r>
        <w:rPr>
          <w:rFonts w:ascii="仿宋" w:hAnsi="仿宋" w:eastAsia="仿宋"/>
          <w:spacing w:val="-2"/>
          <w:sz w:val="24"/>
          <w:highlight w:val="none"/>
        </w:rPr>
        <w:t>新</w:t>
      </w:r>
      <w:r>
        <w:rPr>
          <w:rFonts w:hint="eastAsia" w:ascii="仿宋" w:hAnsi="仿宋" w:eastAsia="仿宋"/>
          <w:spacing w:val="-2"/>
          <w:sz w:val="24"/>
          <w:highlight w:val="none"/>
        </w:rPr>
        <w:t>合作伙伴</w:t>
      </w:r>
      <w:r>
        <w:rPr>
          <w:rFonts w:ascii="仿宋" w:hAnsi="仿宋" w:eastAsia="仿宋"/>
          <w:spacing w:val="-2"/>
          <w:sz w:val="24"/>
          <w:highlight w:val="none"/>
        </w:rPr>
        <w:t>，如在本协议签订前乙方存在本条规定情形的，需在本协议签订后30日内，将相关情况报</w:t>
      </w:r>
      <w:r>
        <w:rPr>
          <w:rFonts w:hint="eastAsia" w:ascii="仿宋" w:hAnsi="仿宋" w:eastAsia="仿宋"/>
          <w:spacing w:val="-2"/>
          <w:sz w:val="24"/>
          <w:highlight w:val="none"/>
        </w:rPr>
        <w:t>甲方所属</w:t>
      </w:r>
      <w:r>
        <w:rPr>
          <w:rFonts w:ascii="仿宋" w:hAnsi="仿宋" w:eastAsia="仿宋"/>
          <w:spacing w:val="-2"/>
          <w:sz w:val="24"/>
          <w:highlight w:val="none"/>
        </w:rPr>
        <w:t>重汽集团</w:t>
      </w:r>
      <w:r>
        <w:rPr>
          <w:rFonts w:hint="eastAsia" w:ascii="仿宋" w:hAnsi="仿宋" w:eastAsia="仿宋"/>
          <w:spacing w:val="-2"/>
          <w:sz w:val="24"/>
          <w:highlight w:val="none"/>
        </w:rPr>
        <w:t>的</w:t>
      </w:r>
      <w:r>
        <w:rPr>
          <w:rFonts w:ascii="仿宋" w:hAnsi="仿宋" w:eastAsia="仿宋"/>
          <w:spacing w:val="-2"/>
          <w:sz w:val="24"/>
          <w:highlight w:val="none"/>
        </w:rPr>
        <w:t>纪</w:t>
      </w:r>
      <w:r>
        <w:rPr>
          <w:rFonts w:hint="eastAsia" w:ascii="仿宋" w:hAnsi="仿宋" w:eastAsia="仿宋"/>
          <w:spacing w:val="-2"/>
          <w:sz w:val="24"/>
          <w:highlight w:val="none"/>
        </w:rPr>
        <w:t>检</w:t>
      </w:r>
      <w:r>
        <w:rPr>
          <w:rFonts w:ascii="仿宋" w:hAnsi="仿宋" w:eastAsia="仿宋"/>
          <w:spacing w:val="-2"/>
          <w:sz w:val="24"/>
          <w:highlight w:val="none"/>
        </w:rPr>
        <w:t>监察部</w:t>
      </w:r>
      <w:r>
        <w:rPr>
          <w:rFonts w:hint="eastAsia" w:ascii="仿宋" w:hAnsi="仿宋" w:eastAsia="仿宋"/>
          <w:spacing w:val="-2"/>
          <w:sz w:val="24"/>
          <w:highlight w:val="none"/>
        </w:rPr>
        <w:t>门</w:t>
      </w:r>
      <w:r>
        <w:rPr>
          <w:rFonts w:ascii="仿宋" w:hAnsi="仿宋" w:eastAsia="仿宋"/>
          <w:spacing w:val="-2"/>
          <w:sz w:val="24"/>
          <w:highlight w:val="none"/>
        </w:rPr>
        <w:t>备案）。</w:t>
      </w:r>
    </w:p>
    <w:p w14:paraId="106CEB53">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4.乙方承诺依法开展经营活动，不得有任何形式的商业贿赂行为。乙方一经发现其员工或其</w:t>
      </w:r>
      <w:r>
        <w:rPr>
          <w:rFonts w:hint="eastAsia" w:ascii="仿宋" w:hAnsi="仿宋" w:eastAsia="仿宋"/>
          <w:spacing w:val="-2"/>
          <w:sz w:val="24"/>
          <w:highlight w:val="none"/>
        </w:rPr>
        <w:t>配偶、子女及其配偶等亲属和其他特定关系人</w:t>
      </w:r>
      <w:r>
        <w:rPr>
          <w:rFonts w:ascii="仿宋" w:hAnsi="仿宋" w:eastAsia="仿宋"/>
          <w:spacing w:val="-2"/>
          <w:sz w:val="24"/>
          <w:highlight w:val="none"/>
        </w:rPr>
        <w:t>存在任何商业贿赂行为，应立即通知甲方并自行进行查处和整改。若甲方认为上述行为严重影响到甲方的利益，则甲方有权单方解除双方</w:t>
      </w:r>
      <w:r>
        <w:rPr>
          <w:rFonts w:hint="eastAsia" w:ascii="仿宋" w:hAnsi="仿宋" w:eastAsia="仿宋"/>
          <w:spacing w:val="-2"/>
          <w:sz w:val="24"/>
          <w:highlight w:val="none"/>
        </w:rPr>
        <w:t>已</w:t>
      </w:r>
      <w:r>
        <w:rPr>
          <w:rFonts w:ascii="仿宋" w:hAnsi="仿宋" w:eastAsia="仿宋"/>
          <w:spacing w:val="-2"/>
          <w:sz w:val="24"/>
          <w:highlight w:val="none"/>
        </w:rPr>
        <w:t>签订的</w:t>
      </w:r>
      <w:r>
        <w:rPr>
          <w:rFonts w:hint="eastAsia" w:ascii="仿宋" w:hAnsi="仿宋" w:eastAsia="仿宋"/>
          <w:spacing w:val="-2"/>
          <w:sz w:val="24"/>
          <w:highlight w:val="none"/>
        </w:rPr>
        <w:t>所有合同</w:t>
      </w:r>
      <w:r>
        <w:rPr>
          <w:rFonts w:ascii="仿宋" w:hAnsi="仿宋" w:eastAsia="仿宋"/>
          <w:spacing w:val="-2"/>
          <w:sz w:val="24"/>
          <w:highlight w:val="none"/>
        </w:rPr>
        <w:t>协议，并要求乙方赔偿。</w:t>
      </w:r>
    </w:p>
    <w:p w14:paraId="4AC431CB">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5.乙方承诺不以任何理由为甲方人员及其</w:t>
      </w:r>
      <w:r>
        <w:rPr>
          <w:rFonts w:hint="eastAsia" w:ascii="仿宋" w:hAnsi="仿宋" w:eastAsia="仿宋"/>
          <w:spacing w:val="-2"/>
          <w:sz w:val="24"/>
          <w:highlight w:val="none"/>
        </w:rPr>
        <w:t>配偶、子女及其配偶等亲属和其他特定关系人提供如下：</w:t>
      </w:r>
    </w:p>
    <w:p w14:paraId="4C66ADE1">
      <w:pPr>
        <w:pStyle w:val="76"/>
        <w:tabs>
          <w:tab w:val="left" w:pos="1244"/>
        </w:tabs>
        <w:adjustRightInd w:val="0"/>
        <w:spacing w:line="384" w:lineRule="auto"/>
        <w:ind w:firstLine="472"/>
        <w:rPr>
          <w:rFonts w:ascii="仿宋" w:hAnsi="仿宋" w:eastAsia="仿宋"/>
          <w:spacing w:val="-2"/>
          <w:sz w:val="24"/>
          <w:highlight w:val="none"/>
        </w:rPr>
      </w:pPr>
      <w:r>
        <w:rPr>
          <w:rFonts w:hint="eastAsia" w:ascii="仿宋" w:hAnsi="仿宋" w:eastAsia="仿宋"/>
          <w:spacing w:val="-2"/>
          <w:sz w:val="24"/>
          <w:highlight w:val="none"/>
        </w:rPr>
        <w:t>a)</w:t>
      </w:r>
      <w:r>
        <w:rPr>
          <w:rFonts w:ascii="仿宋" w:hAnsi="仿宋" w:eastAsia="仿宋"/>
          <w:spacing w:val="-2"/>
          <w:sz w:val="24"/>
          <w:highlight w:val="none"/>
        </w:rPr>
        <w:t>赠送</w:t>
      </w:r>
      <w:r>
        <w:rPr>
          <w:rFonts w:hint="eastAsia" w:ascii="仿宋" w:hAnsi="仿宋" w:eastAsia="仿宋"/>
          <w:spacing w:val="-2"/>
          <w:sz w:val="24"/>
          <w:highlight w:val="none"/>
        </w:rPr>
        <w:t>礼品、</w:t>
      </w:r>
      <w:r>
        <w:rPr>
          <w:rFonts w:ascii="仿宋" w:hAnsi="仿宋" w:eastAsia="仿宋"/>
          <w:spacing w:val="-2"/>
          <w:sz w:val="24"/>
          <w:highlight w:val="none"/>
        </w:rPr>
        <w:t>礼金、</w:t>
      </w:r>
      <w:r>
        <w:rPr>
          <w:rFonts w:hint="eastAsia" w:ascii="仿宋" w:hAnsi="仿宋" w:eastAsia="仿宋"/>
          <w:spacing w:val="-2"/>
          <w:sz w:val="24"/>
          <w:highlight w:val="none"/>
        </w:rPr>
        <w:t>消费卡（券）、</w:t>
      </w:r>
      <w:r>
        <w:rPr>
          <w:rFonts w:ascii="仿宋" w:hAnsi="仿宋" w:eastAsia="仿宋"/>
          <w:spacing w:val="-2"/>
          <w:sz w:val="24"/>
          <w:highlight w:val="none"/>
        </w:rPr>
        <w:t>购物卡、充值卡、信用卡</w:t>
      </w:r>
      <w:r>
        <w:rPr>
          <w:rFonts w:hint="eastAsia" w:ascii="仿宋" w:hAnsi="仿宋" w:eastAsia="仿宋"/>
          <w:spacing w:val="-2"/>
          <w:sz w:val="24"/>
          <w:highlight w:val="none"/>
        </w:rPr>
        <w:t>和</w:t>
      </w:r>
      <w:r>
        <w:rPr>
          <w:rFonts w:ascii="仿宋" w:hAnsi="仿宋" w:eastAsia="仿宋"/>
          <w:spacing w:val="-2"/>
          <w:sz w:val="24"/>
          <w:highlight w:val="none"/>
        </w:rPr>
        <w:t>有价证券</w:t>
      </w:r>
      <w:r>
        <w:rPr>
          <w:rFonts w:hint="eastAsia" w:ascii="仿宋" w:hAnsi="仿宋" w:eastAsia="仿宋"/>
          <w:spacing w:val="-2"/>
          <w:sz w:val="24"/>
          <w:highlight w:val="none"/>
        </w:rPr>
        <w:t>、股权、其他金融产品等财物</w:t>
      </w:r>
      <w:r>
        <w:rPr>
          <w:rFonts w:ascii="仿宋" w:hAnsi="仿宋" w:eastAsia="仿宋"/>
          <w:spacing w:val="-2"/>
          <w:sz w:val="24"/>
          <w:highlight w:val="none"/>
        </w:rPr>
        <w:t>和其他贵重物品；</w:t>
      </w:r>
    </w:p>
    <w:p w14:paraId="7A75EFC2">
      <w:pPr>
        <w:pStyle w:val="76"/>
        <w:tabs>
          <w:tab w:val="left" w:pos="1244"/>
        </w:tabs>
        <w:adjustRightInd w:val="0"/>
        <w:spacing w:line="384" w:lineRule="auto"/>
        <w:ind w:firstLine="472"/>
        <w:rPr>
          <w:rFonts w:ascii="仿宋" w:hAnsi="仿宋" w:eastAsia="仿宋"/>
          <w:spacing w:val="-2"/>
          <w:sz w:val="24"/>
          <w:highlight w:val="none"/>
        </w:rPr>
      </w:pPr>
      <w:r>
        <w:rPr>
          <w:rFonts w:hint="eastAsia" w:ascii="仿宋" w:hAnsi="仿宋" w:eastAsia="仿宋"/>
          <w:spacing w:val="-2"/>
          <w:sz w:val="24"/>
          <w:highlight w:val="none"/>
        </w:rPr>
        <w:t>b)</w:t>
      </w:r>
      <w:r>
        <w:rPr>
          <w:rFonts w:ascii="仿宋" w:hAnsi="仿宋" w:eastAsia="仿宋"/>
          <w:spacing w:val="-2"/>
          <w:sz w:val="24"/>
          <w:highlight w:val="none"/>
        </w:rPr>
        <w:t>报销个人费用</w:t>
      </w:r>
      <w:r>
        <w:rPr>
          <w:rFonts w:hint="eastAsia" w:ascii="仿宋" w:hAnsi="仿宋" w:eastAsia="仿宋"/>
          <w:spacing w:val="-2"/>
          <w:sz w:val="24"/>
          <w:highlight w:val="none"/>
        </w:rPr>
        <w:t>或以讲课费、课题费、咨询费等名义支付费用</w:t>
      </w:r>
      <w:r>
        <w:rPr>
          <w:rFonts w:ascii="仿宋" w:hAnsi="仿宋" w:eastAsia="仿宋"/>
          <w:spacing w:val="-2"/>
          <w:sz w:val="24"/>
          <w:highlight w:val="none"/>
        </w:rPr>
        <w:t>；</w:t>
      </w:r>
    </w:p>
    <w:p w14:paraId="3A18DD34">
      <w:pPr>
        <w:pStyle w:val="76"/>
        <w:tabs>
          <w:tab w:val="left" w:pos="1244"/>
        </w:tabs>
        <w:adjustRightInd w:val="0"/>
        <w:spacing w:line="384" w:lineRule="auto"/>
        <w:ind w:firstLine="472"/>
        <w:rPr>
          <w:rFonts w:ascii="仿宋" w:hAnsi="仿宋" w:eastAsia="仿宋"/>
          <w:spacing w:val="-2"/>
          <w:sz w:val="24"/>
          <w:highlight w:val="none"/>
        </w:rPr>
      </w:pPr>
      <w:r>
        <w:rPr>
          <w:rFonts w:hint="eastAsia" w:ascii="仿宋" w:hAnsi="仿宋" w:eastAsia="仿宋"/>
          <w:spacing w:val="-2"/>
          <w:sz w:val="24"/>
          <w:highlight w:val="none"/>
        </w:rPr>
        <w:t>c)</w:t>
      </w:r>
      <w:r>
        <w:rPr>
          <w:rFonts w:ascii="仿宋" w:hAnsi="仿宋" w:eastAsia="仿宋"/>
          <w:spacing w:val="-2"/>
          <w:sz w:val="24"/>
          <w:highlight w:val="none"/>
        </w:rPr>
        <w:t>以洽谈业务、签订合同等为借口宴请或邀请外出旅游</w:t>
      </w:r>
      <w:r>
        <w:rPr>
          <w:rFonts w:hint="eastAsia" w:ascii="仿宋" w:hAnsi="仿宋" w:eastAsia="仿宋"/>
          <w:spacing w:val="-2"/>
          <w:sz w:val="24"/>
          <w:highlight w:val="none"/>
        </w:rPr>
        <w:t>、健身、娱乐</w:t>
      </w:r>
      <w:r>
        <w:rPr>
          <w:rFonts w:ascii="仿宋" w:hAnsi="仿宋" w:eastAsia="仿宋"/>
          <w:spacing w:val="-2"/>
          <w:sz w:val="24"/>
          <w:highlight w:val="none"/>
        </w:rPr>
        <w:t>和进入营业性娱乐场所；</w:t>
      </w:r>
    </w:p>
    <w:p w14:paraId="3E6E469B">
      <w:pPr>
        <w:pStyle w:val="76"/>
        <w:tabs>
          <w:tab w:val="left" w:pos="1244"/>
        </w:tabs>
        <w:adjustRightInd w:val="0"/>
        <w:spacing w:line="384" w:lineRule="auto"/>
        <w:ind w:firstLine="472"/>
        <w:rPr>
          <w:rFonts w:ascii="仿宋" w:hAnsi="仿宋" w:eastAsia="仿宋"/>
          <w:spacing w:val="-2"/>
          <w:sz w:val="24"/>
          <w:highlight w:val="none"/>
        </w:rPr>
      </w:pPr>
      <w:r>
        <w:rPr>
          <w:rFonts w:hint="eastAsia" w:ascii="仿宋" w:hAnsi="仿宋" w:eastAsia="仿宋"/>
          <w:spacing w:val="-2"/>
          <w:sz w:val="24"/>
          <w:highlight w:val="none"/>
        </w:rPr>
        <w:t>d)</w:t>
      </w:r>
      <w:r>
        <w:rPr>
          <w:rFonts w:ascii="仿宋" w:hAnsi="仿宋" w:eastAsia="仿宋"/>
          <w:spacing w:val="-2"/>
          <w:sz w:val="24"/>
          <w:highlight w:val="none"/>
        </w:rPr>
        <w:t>购置或提供通讯、交通工具</w:t>
      </w:r>
      <w:r>
        <w:rPr>
          <w:rFonts w:hint="eastAsia" w:ascii="仿宋" w:hAnsi="仿宋" w:eastAsia="仿宋"/>
          <w:spacing w:val="-2"/>
          <w:sz w:val="24"/>
          <w:highlight w:val="none"/>
        </w:rPr>
        <w:t>、钱款、住房、车辆等或提供通过民间借贷等金融助其获得大额回报</w:t>
      </w:r>
      <w:r>
        <w:rPr>
          <w:rFonts w:ascii="仿宋" w:hAnsi="仿宋" w:eastAsia="仿宋"/>
          <w:spacing w:val="-2"/>
          <w:sz w:val="24"/>
          <w:highlight w:val="none"/>
        </w:rPr>
        <w:t>；</w:t>
      </w:r>
    </w:p>
    <w:p w14:paraId="30412E0C">
      <w:pPr>
        <w:pStyle w:val="76"/>
        <w:tabs>
          <w:tab w:val="left" w:pos="1244"/>
        </w:tabs>
        <w:adjustRightInd w:val="0"/>
        <w:spacing w:line="384" w:lineRule="auto"/>
        <w:ind w:firstLine="472"/>
        <w:rPr>
          <w:rFonts w:ascii="仿宋" w:hAnsi="仿宋" w:eastAsia="仿宋"/>
          <w:spacing w:val="-2"/>
          <w:sz w:val="24"/>
          <w:highlight w:val="none"/>
        </w:rPr>
      </w:pPr>
      <w:r>
        <w:rPr>
          <w:rFonts w:hint="eastAsia" w:ascii="仿宋" w:hAnsi="仿宋" w:eastAsia="仿宋"/>
          <w:spacing w:val="-2"/>
          <w:sz w:val="24"/>
          <w:highlight w:val="none"/>
        </w:rPr>
        <w:t>e)</w:t>
      </w:r>
      <w:r>
        <w:rPr>
          <w:rFonts w:ascii="仿宋" w:hAnsi="仿宋" w:eastAsia="仿宋"/>
          <w:spacing w:val="-2"/>
          <w:sz w:val="24"/>
          <w:highlight w:val="none"/>
        </w:rPr>
        <w:t>住房装修、婚丧嫁娶、家属和子女的工作安排以及出国等提供任何金钱或非金钱方式的资助或帮助</w:t>
      </w:r>
      <w:r>
        <w:rPr>
          <w:rFonts w:hint="eastAsia" w:ascii="仿宋" w:hAnsi="仿宋" w:eastAsia="仿宋"/>
          <w:spacing w:val="-2"/>
          <w:sz w:val="24"/>
          <w:highlight w:val="none"/>
        </w:rPr>
        <w:t>；</w:t>
      </w:r>
    </w:p>
    <w:p w14:paraId="2654ED7D">
      <w:pPr>
        <w:pStyle w:val="76"/>
        <w:tabs>
          <w:tab w:val="left" w:pos="1244"/>
        </w:tabs>
        <w:adjustRightInd w:val="0"/>
        <w:spacing w:line="384" w:lineRule="auto"/>
        <w:ind w:firstLine="472"/>
        <w:rPr>
          <w:rFonts w:ascii="仿宋" w:hAnsi="仿宋" w:eastAsia="仿宋"/>
          <w:spacing w:val="-2"/>
          <w:sz w:val="24"/>
          <w:highlight w:val="none"/>
        </w:rPr>
      </w:pPr>
      <w:r>
        <w:rPr>
          <w:rFonts w:hint="eastAsia" w:ascii="仿宋" w:hAnsi="仿宋" w:eastAsia="仿宋"/>
          <w:spacing w:val="-2"/>
          <w:sz w:val="24"/>
          <w:highlight w:val="none"/>
        </w:rPr>
        <w:t>f)吸收存款、推销金融产品、经营名贵特产类资源等提供帮助谋取利益；</w:t>
      </w:r>
    </w:p>
    <w:p w14:paraId="51F69BB3">
      <w:pPr>
        <w:pStyle w:val="76"/>
        <w:tabs>
          <w:tab w:val="left" w:pos="1244"/>
        </w:tabs>
        <w:adjustRightInd w:val="0"/>
        <w:spacing w:line="384" w:lineRule="auto"/>
        <w:ind w:firstLine="472"/>
        <w:rPr>
          <w:rFonts w:ascii="仿宋" w:hAnsi="仿宋" w:eastAsia="仿宋"/>
          <w:spacing w:val="-2"/>
          <w:sz w:val="24"/>
          <w:highlight w:val="none"/>
        </w:rPr>
      </w:pPr>
      <w:r>
        <w:rPr>
          <w:rFonts w:hint="eastAsia" w:ascii="仿宋" w:hAnsi="仿宋" w:eastAsia="仿宋"/>
          <w:spacing w:val="-2"/>
          <w:sz w:val="24"/>
          <w:highlight w:val="none"/>
        </w:rPr>
        <w:t>g)其他可能影响甲方人员公平、公正的履行职权或者履行职责的情形</w:t>
      </w:r>
      <w:r>
        <w:rPr>
          <w:rFonts w:ascii="仿宋" w:hAnsi="仿宋" w:eastAsia="仿宋"/>
          <w:spacing w:val="-2"/>
          <w:sz w:val="24"/>
          <w:highlight w:val="none"/>
        </w:rPr>
        <w:t>。</w:t>
      </w:r>
    </w:p>
    <w:p w14:paraId="56F183AC">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6.乙方应当通过正常途径开展相关业务，决不为谋取不正当利益诱使甲方人员就</w:t>
      </w:r>
      <w:r>
        <w:rPr>
          <w:rFonts w:hint="eastAsia" w:ascii="仿宋" w:hAnsi="仿宋" w:eastAsia="仿宋"/>
          <w:spacing w:val="-2"/>
          <w:sz w:val="24"/>
          <w:highlight w:val="none"/>
        </w:rPr>
        <w:t>采购、服务或销售、经销的物项种类</w:t>
      </w:r>
      <w:r>
        <w:rPr>
          <w:rFonts w:ascii="仿宋" w:hAnsi="仿宋" w:eastAsia="仿宋"/>
          <w:spacing w:val="-2"/>
          <w:sz w:val="24"/>
          <w:highlight w:val="none"/>
        </w:rPr>
        <w:t>、</w:t>
      </w:r>
      <w:r>
        <w:rPr>
          <w:rFonts w:hint="eastAsia" w:ascii="仿宋" w:hAnsi="仿宋" w:eastAsia="仿宋"/>
          <w:spacing w:val="-2"/>
          <w:sz w:val="24"/>
          <w:highlight w:val="none"/>
        </w:rPr>
        <w:t>物项</w:t>
      </w:r>
      <w:r>
        <w:rPr>
          <w:rFonts w:ascii="仿宋" w:hAnsi="仿宋" w:eastAsia="仿宋"/>
          <w:spacing w:val="-2"/>
          <w:sz w:val="24"/>
          <w:highlight w:val="none"/>
        </w:rPr>
        <w:t>数量、价格</w:t>
      </w:r>
      <w:r>
        <w:rPr>
          <w:rFonts w:hint="eastAsia" w:ascii="仿宋" w:hAnsi="仿宋" w:eastAsia="仿宋"/>
          <w:spacing w:val="-2"/>
          <w:sz w:val="24"/>
          <w:highlight w:val="none"/>
        </w:rPr>
        <w:t>条件</w:t>
      </w:r>
      <w:r>
        <w:rPr>
          <w:rFonts w:ascii="仿宋" w:hAnsi="仿宋" w:eastAsia="仿宋"/>
          <w:spacing w:val="-2"/>
          <w:sz w:val="24"/>
          <w:highlight w:val="none"/>
        </w:rPr>
        <w:t>、</w:t>
      </w:r>
      <w:r>
        <w:rPr>
          <w:rFonts w:hint="eastAsia" w:ascii="仿宋" w:hAnsi="仿宋" w:eastAsia="仿宋"/>
          <w:spacing w:val="-2"/>
          <w:sz w:val="24"/>
          <w:highlight w:val="none"/>
        </w:rPr>
        <w:t>付款条件、</w:t>
      </w:r>
      <w:r>
        <w:rPr>
          <w:rFonts w:ascii="仿宋" w:hAnsi="仿宋" w:eastAsia="仿宋"/>
          <w:spacing w:val="-2"/>
          <w:sz w:val="24"/>
          <w:highlight w:val="none"/>
        </w:rPr>
        <w:t>质量问题处理等方面私下商谈或达成默契</w:t>
      </w:r>
      <w:r>
        <w:rPr>
          <w:rFonts w:hint="eastAsia" w:ascii="仿宋" w:hAnsi="仿宋" w:eastAsia="仿宋"/>
          <w:spacing w:val="-2"/>
          <w:sz w:val="24"/>
          <w:highlight w:val="none"/>
        </w:rPr>
        <w:t>；</w:t>
      </w:r>
      <w:r>
        <w:rPr>
          <w:rFonts w:ascii="仿宋" w:hAnsi="仿宋" w:eastAsia="仿宋"/>
          <w:spacing w:val="-2"/>
          <w:sz w:val="24"/>
          <w:highlight w:val="none"/>
        </w:rPr>
        <w:t>决不以任何方式诱使甲方人员接受或共同编造虚假议价及质量资料、影响交易价格或交易之达成、违背职务、将合同权利义务转让给第三方及其它损害甲方利益的行为。</w:t>
      </w:r>
    </w:p>
    <w:p w14:paraId="461D27C7">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7.若乙方发现甲方人员或其</w:t>
      </w:r>
      <w:r>
        <w:rPr>
          <w:rFonts w:hint="eastAsia" w:ascii="仿宋" w:hAnsi="仿宋" w:eastAsia="仿宋"/>
          <w:spacing w:val="-2"/>
          <w:sz w:val="24"/>
          <w:highlight w:val="none"/>
        </w:rPr>
        <w:t>配偶、子女及其配偶等亲属和其他特定关系人</w:t>
      </w:r>
      <w:r>
        <w:rPr>
          <w:rFonts w:ascii="仿宋" w:hAnsi="仿宋" w:eastAsia="仿宋"/>
          <w:spacing w:val="-2"/>
          <w:sz w:val="24"/>
          <w:highlight w:val="none"/>
        </w:rPr>
        <w:t>有任何形式的索贿受贿行为，乙方有责任向甲方</w:t>
      </w:r>
      <w:r>
        <w:rPr>
          <w:rFonts w:hint="eastAsia" w:ascii="仿宋" w:hAnsi="仿宋" w:eastAsia="仿宋"/>
          <w:spacing w:val="-2"/>
          <w:sz w:val="24"/>
          <w:highlight w:val="none"/>
        </w:rPr>
        <w:t>所属</w:t>
      </w:r>
      <w:r>
        <w:rPr>
          <w:rFonts w:ascii="仿宋" w:hAnsi="仿宋" w:eastAsia="仿宋"/>
          <w:spacing w:val="-2"/>
          <w:sz w:val="24"/>
          <w:highlight w:val="none"/>
        </w:rPr>
        <w:t>重汽集团</w:t>
      </w:r>
      <w:r>
        <w:rPr>
          <w:rFonts w:hint="eastAsia" w:ascii="仿宋" w:hAnsi="仿宋" w:eastAsia="仿宋"/>
          <w:spacing w:val="-2"/>
          <w:sz w:val="24"/>
          <w:highlight w:val="none"/>
        </w:rPr>
        <w:t>的</w:t>
      </w:r>
      <w:r>
        <w:rPr>
          <w:rFonts w:ascii="仿宋" w:hAnsi="仿宋" w:eastAsia="仿宋"/>
          <w:spacing w:val="-2"/>
          <w:sz w:val="24"/>
          <w:highlight w:val="none"/>
        </w:rPr>
        <w:t>纪</w:t>
      </w:r>
      <w:r>
        <w:rPr>
          <w:rFonts w:hint="eastAsia" w:ascii="仿宋" w:hAnsi="仿宋" w:eastAsia="仿宋"/>
          <w:spacing w:val="-2"/>
          <w:sz w:val="24"/>
          <w:highlight w:val="none"/>
        </w:rPr>
        <w:t>检</w:t>
      </w:r>
      <w:r>
        <w:rPr>
          <w:rFonts w:ascii="仿宋" w:hAnsi="仿宋" w:eastAsia="仿宋"/>
          <w:spacing w:val="-2"/>
          <w:sz w:val="24"/>
          <w:highlight w:val="none"/>
        </w:rPr>
        <w:t>监察部门举报（举报电话：0531-58062233，举报邮箱：zgzqjw@sinotruk.com）。甲方不得</w:t>
      </w:r>
      <w:r>
        <w:rPr>
          <w:rFonts w:hint="eastAsia" w:ascii="仿宋" w:hAnsi="仿宋" w:eastAsia="仿宋"/>
          <w:spacing w:val="-2"/>
          <w:sz w:val="24"/>
          <w:highlight w:val="none"/>
        </w:rPr>
        <w:t>以</w:t>
      </w:r>
      <w:r>
        <w:rPr>
          <w:rFonts w:ascii="仿宋" w:hAnsi="仿宋" w:eastAsia="仿宋"/>
          <w:spacing w:val="-2"/>
          <w:sz w:val="24"/>
          <w:highlight w:val="none"/>
        </w:rPr>
        <w:t>任何借口对乙方进行报复。对举报属实和严格遵守廉洁协议的乙方，在同等条件下甲方优先考虑与乙方继续合作并给予更优惠的商务合作条件。</w:t>
      </w:r>
    </w:p>
    <w:p w14:paraId="442C305E">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8.若乙方知悉其它与甲方合作的供应商</w:t>
      </w:r>
      <w:r>
        <w:rPr>
          <w:rFonts w:hint="eastAsia" w:ascii="仿宋" w:hAnsi="仿宋" w:eastAsia="仿宋"/>
          <w:spacing w:val="-2"/>
          <w:sz w:val="24"/>
          <w:highlight w:val="none"/>
        </w:rPr>
        <w:t>、服务商或采购商、经销商等合作伙伴</w:t>
      </w:r>
      <w:r>
        <w:rPr>
          <w:rFonts w:ascii="仿宋" w:hAnsi="仿宋" w:eastAsia="仿宋"/>
          <w:spacing w:val="-2"/>
          <w:sz w:val="24"/>
          <w:highlight w:val="none"/>
        </w:rPr>
        <w:t>存在违反本协议规定之行为，乙方应向甲方</w:t>
      </w:r>
      <w:r>
        <w:rPr>
          <w:rFonts w:hint="eastAsia" w:ascii="仿宋" w:hAnsi="仿宋" w:eastAsia="仿宋"/>
          <w:spacing w:val="-2"/>
          <w:sz w:val="24"/>
          <w:highlight w:val="none"/>
        </w:rPr>
        <w:t>或</w:t>
      </w:r>
      <w:r>
        <w:rPr>
          <w:rFonts w:ascii="仿宋" w:hAnsi="仿宋" w:eastAsia="仿宋"/>
          <w:spacing w:val="-2"/>
          <w:sz w:val="24"/>
          <w:highlight w:val="none"/>
        </w:rPr>
        <w:t>甲方</w:t>
      </w:r>
      <w:r>
        <w:rPr>
          <w:rFonts w:hint="eastAsia" w:ascii="仿宋" w:hAnsi="仿宋" w:eastAsia="仿宋"/>
          <w:spacing w:val="-2"/>
          <w:sz w:val="24"/>
          <w:highlight w:val="none"/>
        </w:rPr>
        <w:t>所属</w:t>
      </w:r>
      <w:r>
        <w:rPr>
          <w:rFonts w:ascii="仿宋" w:hAnsi="仿宋" w:eastAsia="仿宋"/>
          <w:spacing w:val="-2"/>
          <w:sz w:val="24"/>
          <w:highlight w:val="none"/>
        </w:rPr>
        <w:t>重汽集团</w:t>
      </w:r>
      <w:r>
        <w:rPr>
          <w:rFonts w:hint="eastAsia" w:ascii="仿宋" w:hAnsi="仿宋" w:eastAsia="仿宋"/>
          <w:spacing w:val="-2"/>
          <w:sz w:val="24"/>
          <w:highlight w:val="none"/>
        </w:rPr>
        <w:t>的</w:t>
      </w:r>
      <w:r>
        <w:rPr>
          <w:rFonts w:ascii="仿宋" w:hAnsi="仿宋" w:eastAsia="仿宋"/>
          <w:spacing w:val="-2"/>
          <w:sz w:val="24"/>
          <w:highlight w:val="none"/>
        </w:rPr>
        <w:t>纪</w:t>
      </w:r>
      <w:r>
        <w:rPr>
          <w:rFonts w:hint="eastAsia" w:ascii="仿宋" w:hAnsi="仿宋" w:eastAsia="仿宋"/>
          <w:spacing w:val="-2"/>
          <w:sz w:val="24"/>
          <w:highlight w:val="none"/>
        </w:rPr>
        <w:t>检</w:t>
      </w:r>
      <w:r>
        <w:rPr>
          <w:rFonts w:ascii="仿宋" w:hAnsi="仿宋" w:eastAsia="仿宋"/>
          <w:spacing w:val="-2"/>
          <w:sz w:val="24"/>
          <w:highlight w:val="none"/>
        </w:rPr>
        <w:t>监察部门检举并提供证据。</w:t>
      </w:r>
    </w:p>
    <w:p w14:paraId="45165997">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9.乙方承诺在双方业务往来期间，不得对甲方人员采取任何手段使其离开甲方到乙方或乙方关联企业任职，若出现上述情况，则属于乙方违约，应承担给甲方造成的一切损失。</w:t>
      </w:r>
    </w:p>
    <w:p w14:paraId="26D43D1F">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10.乙方承诺不聘任甲方内退领导干部或其他人员在乙方或乙方关联企业工作；乙方承诺不聘任甲方离职或退休三年内的领导干部或其他人员在乙方或乙方关联企业工作。</w:t>
      </w:r>
    </w:p>
    <w:p w14:paraId="71777B5B">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11.若乙方违反本协议约定的任何一项，乙方自愿向甲方支付5万元至50万元人民币或违反协议约定事件发现的上年度采购额的10%作为违约金，给甲方造成损失的，还应承担全部赔偿责任。另外甲方还有权对乙方采取降低供货比例、取消供货资格、单方解除采购合同等措施。情节特别严重或触犯法律法规的，将交由甲方住所地司法机关依法进行处理。</w:t>
      </w:r>
    </w:p>
    <w:p w14:paraId="46ACD959">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12.关联企业是指：a）本企业的实际控制人，如甲方的实际控制人中国重型汽车集团有限公司或山东重工集团有限公司等；b）本企业实际控制人对外出资，拥有股权超过50%的各级子公司；c）本企业实际控制人直接或间接持股比例虽未超过50%，但为第一大股东，并且通过股东协议、公司章程、董事会决议或者其他协议安排</w:t>
      </w:r>
      <w:r>
        <w:rPr>
          <w:rFonts w:hint="eastAsia" w:ascii="仿宋" w:hAnsi="仿宋" w:eastAsia="仿宋"/>
          <w:spacing w:val="-2"/>
          <w:sz w:val="24"/>
          <w:highlight w:val="none"/>
        </w:rPr>
        <w:t>等</w:t>
      </w:r>
      <w:r>
        <w:rPr>
          <w:rFonts w:ascii="仿宋" w:hAnsi="仿宋" w:eastAsia="仿宋"/>
          <w:spacing w:val="-2"/>
          <w:sz w:val="24"/>
          <w:highlight w:val="none"/>
        </w:rPr>
        <w:t>能够对其实际支配的企业或单位。</w:t>
      </w:r>
    </w:p>
    <w:p w14:paraId="3FB30620">
      <w:pPr>
        <w:pStyle w:val="76"/>
        <w:tabs>
          <w:tab w:val="left" w:pos="1244"/>
        </w:tabs>
        <w:adjustRightInd w:val="0"/>
        <w:spacing w:line="384" w:lineRule="auto"/>
        <w:ind w:firstLine="472"/>
        <w:rPr>
          <w:rFonts w:ascii="仿宋" w:hAnsi="仿宋" w:eastAsia="仿宋"/>
          <w:spacing w:val="-2"/>
          <w:sz w:val="24"/>
          <w:highlight w:val="none"/>
        </w:rPr>
      </w:pPr>
      <w:r>
        <w:rPr>
          <w:rFonts w:hint="eastAsia" w:ascii="仿宋" w:hAnsi="仿宋" w:eastAsia="仿宋"/>
          <w:spacing w:val="-2"/>
          <w:sz w:val="24"/>
          <w:highlight w:val="none"/>
        </w:rPr>
        <w:t>本企业股东、管理人员及其配偶、子女及其配偶等亲属和其他特定关系人以及本企业实际控制人、实际控制人持股超过50%的各级子公司、实际控制人持股未超过50%但能够实际支配的企业或单位的股东、管理人员及其配偶、子女及其配偶等亲属和其他特定关系人，直接持股、间接持股或以其他形式投资的企业或单位，视同本企业的关联企业。</w:t>
      </w:r>
    </w:p>
    <w:p w14:paraId="58757633">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13.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w:t>
      </w:r>
      <w:r>
        <w:rPr>
          <w:rFonts w:hint="eastAsia" w:ascii="仿宋" w:hAnsi="仿宋" w:eastAsia="仿宋" w:cs="楷体"/>
          <w:spacing w:val="-2"/>
          <w:sz w:val="24"/>
          <w:szCs w:val="24"/>
          <w:highlight w:val="none"/>
        </w:rPr>
        <w:t>、一方擅自增加、删改、篡改</w:t>
      </w:r>
      <w:r>
        <w:rPr>
          <w:rFonts w:ascii="仿宋" w:hAnsi="仿宋" w:eastAsia="仿宋"/>
          <w:spacing w:val="-2"/>
          <w:sz w:val="24"/>
          <w:highlight w:val="none"/>
        </w:rPr>
        <w:t>部分无效（个人手写签名除外）。</w:t>
      </w:r>
    </w:p>
    <w:p w14:paraId="3170855F">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w:t>
      </w:r>
      <w:r>
        <w:rPr>
          <w:rFonts w:hint="eastAsia" w:ascii="仿宋" w:hAnsi="仿宋" w:eastAsia="仿宋" w:cs="楷体"/>
          <w:spacing w:val="-2"/>
          <w:sz w:val="24"/>
          <w:szCs w:val="24"/>
          <w:highlight w:val="none"/>
        </w:rPr>
        <w:t>各方</w:t>
      </w:r>
      <w:r>
        <w:rPr>
          <w:rFonts w:ascii="仿宋" w:hAnsi="仿宋" w:eastAsia="仿宋"/>
          <w:spacing w:val="-2"/>
          <w:sz w:val="24"/>
          <w:highlight w:val="none"/>
        </w:rPr>
        <w:t>已签署完毕。</w:t>
      </w:r>
    </w:p>
    <w:p w14:paraId="0B975D8E">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14.本协议作为执行</w:t>
      </w:r>
      <w:r>
        <w:rPr>
          <w:rFonts w:hint="eastAsia" w:ascii="仿宋" w:hAnsi="仿宋" w:eastAsia="仿宋"/>
          <w:spacing w:val="-2"/>
          <w:sz w:val="24"/>
          <w:highlight w:val="none"/>
        </w:rPr>
        <w:t>甲乙双方</w:t>
      </w:r>
      <w:r>
        <w:rPr>
          <w:rFonts w:ascii="仿宋" w:hAnsi="仿宋" w:eastAsia="仿宋"/>
          <w:spacing w:val="-2"/>
          <w:sz w:val="24"/>
          <w:highlight w:val="none"/>
        </w:rPr>
        <w:t>采购协议</w:t>
      </w:r>
      <w:r>
        <w:rPr>
          <w:rFonts w:hint="eastAsia" w:ascii="仿宋" w:hAnsi="仿宋" w:eastAsia="仿宋"/>
          <w:spacing w:val="-2"/>
          <w:sz w:val="24"/>
          <w:highlight w:val="none"/>
        </w:rPr>
        <w:t>或其他合作合同、协议</w:t>
      </w:r>
      <w:r>
        <w:rPr>
          <w:rFonts w:ascii="仿宋" w:hAnsi="仿宋" w:eastAsia="仿宋"/>
          <w:spacing w:val="-2"/>
          <w:sz w:val="24"/>
          <w:highlight w:val="none"/>
        </w:rPr>
        <w:t>的附件，自双方签署之日起生效，此协议在</w:t>
      </w:r>
      <w:r>
        <w:rPr>
          <w:rFonts w:hint="eastAsia" w:ascii="仿宋" w:hAnsi="仿宋" w:eastAsia="仿宋"/>
          <w:spacing w:val="-2"/>
          <w:sz w:val="24"/>
          <w:highlight w:val="none"/>
        </w:rPr>
        <w:t>甲乙</w:t>
      </w:r>
      <w:r>
        <w:rPr>
          <w:rFonts w:ascii="仿宋" w:hAnsi="仿宋" w:eastAsia="仿宋"/>
          <w:spacing w:val="-2"/>
          <w:sz w:val="24"/>
          <w:highlight w:val="none"/>
        </w:rPr>
        <w:t>双方</w:t>
      </w:r>
      <w:r>
        <w:rPr>
          <w:rFonts w:hint="eastAsia" w:ascii="仿宋" w:hAnsi="仿宋" w:eastAsia="仿宋"/>
          <w:spacing w:val="-2"/>
          <w:sz w:val="24"/>
          <w:highlight w:val="none"/>
        </w:rPr>
        <w:t>业务</w:t>
      </w:r>
      <w:r>
        <w:rPr>
          <w:rFonts w:ascii="仿宋" w:hAnsi="仿宋" w:eastAsia="仿宋"/>
          <w:spacing w:val="-2"/>
          <w:sz w:val="24"/>
          <w:highlight w:val="none"/>
        </w:rPr>
        <w:t>合作期间有效</w:t>
      </w:r>
      <w:r>
        <w:rPr>
          <w:rFonts w:hint="eastAsia" w:ascii="仿宋" w:hAnsi="仿宋" w:eastAsia="仿宋"/>
          <w:spacing w:val="-2"/>
          <w:sz w:val="24"/>
          <w:highlight w:val="none"/>
        </w:rPr>
        <w:t>；本协议生效后将自动替代生效日之前双方已签订的《供应商廉洁诚信协议》或类同协议约定；本协议生效前甲乙双方未签署《供应商廉洁诚信协议》或类同协议约定等但实际已存在供应采购等业务合作关系的，甲乙双方同意有关业务合作适用本协议的所有条款约定。</w:t>
      </w:r>
    </w:p>
    <w:p w14:paraId="0FADBF53">
      <w:pPr>
        <w:pStyle w:val="76"/>
        <w:tabs>
          <w:tab w:val="left" w:pos="1244"/>
        </w:tabs>
        <w:adjustRightInd w:val="0"/>
        <w:spacing w:line="384" w:lineRule="auto"/>
        <w:ind w:firstLine="472"/>
        <w:rPr>
          <w:rFonts w:ascii="仿宋" w:hAnsi="仿宋" w:eastAsia="仿宋"/>
          <w:spacing w:val="-2"/>
          <w:sz w:val="24"/>
          <w:highlight w:val="none"/>
        </w:rPr>
      </w:pPr>
      <w:r>
        <w:rPr>
          <w:rFonts w:ascii="仿宋" w:hAnsi="仿宋" w:eastAsia="仿宋"/>
          <w:spacing w:val="-2"/>
          <w:sz w:val="24"/>
          <w:highlight w:val="none"/>
        </w:rPr>
        <w:t>1</w:t>
      </w:r>
      <w:r>
        <w:rPr>
          <w:rFonts w:hint="eastAsia" w:ascii="仿宋" w:hAnsi="仿宋" w:eastAsia="仿宋"/>
          <w:spacing w:val="-2"/>
          <w:sz w:val="24"/>
          <w:highlight w:val="none"/>
        </w:rPr>
        <w:t>5</w:t>
      </w:r>
      <w:r>
        <w:rPr>
          <w:rFonts w:ascii="仿宋" w:hAnsi="仿宋" w:eastAsia="仿宋"/>
          <w:spacing w:val="-2"/>
          <w:sz w:val="24"/>
          <w:highlight w:val="none"/>
        </w:rPr>
        <w:t>.本协议一式二份，双方各执一份，具有同等法律效力。若产生争议，双方协商解决，协商不成的在甲方所在地有管辖权的法院诉讼解决。</w:t>
      </w:r>
    </w:p>
    <w:p w14:paraId="5E803E47">
      <w:pPr>
        <w:pStyle w:val="76"/>
        <w:tabs>
          <w:tab w:val="left" w:pos="1244"/>
        </w:tabs>
        <w:adjustRightInd w:val="0"/>
        <w:spacing w:line="305" w:lineRule="auto"/>
        <w:ind w:firstLine="480"/>
        <w:rPr>
          <w:rFonts w:ascii="仿宋_GB2312" w:hAnsi="楷体"/>
          <w:sz w:val="24"/>
          <w:highlight w:val="none"/>
        </w:rPr>
      </w:pPr>
    </w:p>
    <w:p w14:paraId="35AE6E68">
      <w:pPr>
        <w:tabs>
          <w:tab w:val="left" w:pos="5457"/>
        </w:tabs>
        <w:spacing w:before="1"/>
        <w:ind w:left="117"/>
        <w:rPr>
          <w:rFonts w:ascii="仿宋_GB2312" w:hAnsi="楷体" w:eastAsia="仿宋_GB2312" w:cs="楷体"/>
          <w:b/>
          <w:sz w:val="24"/>
          <w:szCs w:val="24"/>
          <w:highlight w:val="none"/>
        </w:rPr>
      </w:pPr>
      <w:r>
        <w:rPr>
          <w:rFonts w:hint="eastAsia" w:ascii="仿宋_GB2312" w:hAnsi="楷体" w:eastAsia="仿宋_GB2312" w:cs="楷体"/>
          <w:b/>
          <w:spacing w:val="-1"/>
          <w:w w:val="99"/>
          <w:sz w:val="24"/>
          <w:szCs w:val="24"/>
          <w:highlight w:val="none"/>
        </w:rPr>
        <w:t>甲方（盖章</w:t>
      </w:r>
      <w:r>
        <w:rPr>
          <w:rFonts w:hint="eastAsia" w:ascii="仿宋_GB2312" w:hAnsi="楷体" w:eastAsia="仿宋_GB2312" w:cs="楷体"/>
          <w:b/>
          <w:spacing w:val="-140"/>
          <w:w w:val="99"/>
          <w:sz w:val="24"/>
          <w:szCs w:val="24"/>
          <w:highlight w:val="none"/>
        </w:rPr>
        <w:t>）</w:t>
      </w:r>
      <w:r>
        <w:rPr>
          <w:rFonts w:hint="eastAsia" w:ascii="仿宋_GB2312" w:hAnsi="楷体" w:eastAsia="仿宋_GB2312" w:cs="楷体"/>
          <w:b/>
          <w:w w:val="99"/>
          <w:sz w:val="24"/>
          <w:szCs w:val="24"/>
          <w:highlight w:val="none"/>
        </w:rPr>
        <w:t>：</w:t>
      </w:r>
      <w:r>
        <w:rPr>
          <w:rFonts w:hint="eastAsia" w:ascii="仿宋_GB2312" w:hAnsi="楷体" w:eastAsia="仿宋_GB2312" w:cs="楷体"/>
          <w:b/>
          <w:sz w:val="24"/>
          <w:szCs w:val="24"/>
          <w:highlight w:val="none"/>
        </w:rPr>
        <w:tab/>
      </w:r>
      <w:r>
        <w:rPr>
          <w:rFonts w:hint="eastAsia" w:ascii="仿宋_GB2312" w:hAnsi="楷体" w:eastAsia="仿宋_GB2312" w:cs="楷体"/>
          <w:b/>
          <w:spacing w:val="-1"/>
          <w:w w:val="99"/>
          <w:sz w:val="24"/>
          <w:szCs w:val="24"/>
          <w:highlight w:val="none"/>
        </w:rPr>
        <w:t>乙方（盖</w:t>
      </w:r>
      <w:r>
        <w:rPr>
          <w:rFonts w:hint="eastAsia" w:ascii="仿宋_GB2312" w:hAnsi="楷体" w:eastAsia="仿宋_GB2312" w:cs="楷体"/>
          <w:b/>
          <w:spacing w:val="2"/>
          <w:w w:val="99"/>
          <w:sz w:val="24"/>
          <w:szCs w:val="24"/>
          <w:highlight w:val="none"/>
        </w:rPr>
        <w:t>章</w:t>
      </w:r>
      <w:r>
        <w:rPr>
          <w:rFonts w:hint="eastAsia" w:ascii="仿宋_GB2312" w:hAnsi="楷体" w:eastAsia="仿宋_GB2312" w:cs="楷体"/>
          <w:b/>
          <w:spacing w:val="-142"/>
          <w:w w:val="99"/>
          <w:sz w:val="24"/>
          <w:szCs w:val="24"/>
          <w:highlight w:val="none"/>
        </w:rPr>
        <w:t>）</w:t>
      </w:r>
      <w:r>
        <w:rPr>
          <w:rFonts w:hint="eastAsia" w:ascii="仿宋_GB2312" w:hAnsi="楷体" w:eastAsia="仿宋_GB2312" w:cs="楷体"/>
          <w:b/>
          <w:w w:val="99"/>
          <w:sz w:val="24"/>
          <w:szCs w:val="24"/>
          <w:highlight w:val="none"/>
        </w:rPr>
        <w:t>：</w:t>
      </w:r>
    </w:p>
    <w:p w14:paraId="2356ADB9">
      <w:pPr>
        <w:pStyle w:val="10"/>
        <w:ind w:left="420" w:firstLine="482"/>
        <w:rPr>
          <w:rFonts w:ascii="仿宋_GB2312" w:hAnsi="楷体" w:eastAsia="仿宋_GB2312" w:cs="楷体"/>
          <w:b/>
          <w:sz w:val="24"/>
          <w:szCs w:val="24"/>
          <w:highlight w:val="none"/>
        </w:rPr>
      </w:pPr>
    </w:p>
    <w:p w14:paraId="40B66962">
      <w:pPr>
        <w:pStyle w:val="10"/>
        <w:spacing w:before="1"/>
        <w:ind w:left="420" w:firstLine="482"/>
        <w:rPr>
          <w:rFonts w:ascii="仿宋_GB2312" w:hAnsi="楷体" w:eastAsia="仿宋_GB2312" w:cs="楷体"/>
          <w:b/>
          <w:sz w:val="24"/>
          <w:szCs w:val="24"/>
          <w:highlight w:val="none"/>
        </w:rPr>
      </w:pPr>
    </w:p>
    <w:p w14:paraId="54F31134">
      <w:pPr>
        <w:tabs>
          <w:tab w:val="left" w:pos="5457"/>
        </w:tabs>
        <w:ind w:left="117"/>
        <w:rPr>
          <w:rFonts w:ascii="仿宋_GB2312" w:hAnsi="楷体" w:eastAsia="仿宋_GB2312" w:cs="楷体"/>
          <w:b/>
          <w:sz w:val="24"/>
          <w:szCs w:val="24"/>
          <w:highlight w:val="none"/>
        </w:rPr>
      </w:pPr>
      <w:r>
        <w:rPr>
          <w:rFonts w:hint="eastAsia" w:ascii="仿宋_GB2312" w:hAnsi="楷体" w:eastAsia="仿宋_GB2312" w:cs="楷体"/>
          <w:b/>
          <w:sz w:val="24"/>
          <w:szCs w:val="24"/>
          <w:highlight w:val="none"/>
        </w:rPr>
        <w:t>法定代表/授权代表</w:t>
      </w:r>
      <w:r>
        <w:rPr>
          <w:rFonts w:hint="eastAsia" w:ascii="仿宋_GB2312" w:hAnsi="楷体" w:eastAsia="仿宋_GB2312" w:cs="楷体"/>
          <w:b/>
          <w:sz w:val="24"/>
          <w:szCs w:val="24"/>
          <w:highlight w:val="none"/>
        </w:rPr>
        <w:tab/>
      </w:r>
      <w:r>
        <w:rPr>
          <w:rFonts w:hint="eastAsia" w:ascii="仿宋_GB2312" w:hAnsi="楷体" w:eastAsia="仿宋_GB2312" w:cs="楷体"/>
          <w:b/>
          <w:sz w:val="24"/>
          <w:szCs w:val="24"/>
          <w:highlight w:val="none"/>
        </w:rPr>
        <w:t>法定代表/授权代表</w:t>
      </w:r>
    </w:p>
    <w:p w14:paraId="33BA130B">
      <w:pPr>
        <w:tabs>
          <w:tab w:val="left" w:pos="5457"/>
        </w:tabs>
        <w:ind w:left="117"/>
        <w:rPr>
          <w:rFonts w:ascii="仿宋_GB2312" w:hAnsi="楷体" w:eastAsia="仿宋_GB2312" w:cs="楷体"/>
          <w:b/>
          <w:sz w:val="24"/>
          <w:szCs w:val="24"/>
          <w:highlight w:val="none"/>
        </w:rPr>
      </w:pPr>
    </w:p>
    <w:p w14:paraId="5C610733">
      <w:pPr>
        <w:pStyle w:val="30"/>
        <w:ind w:firstLine="480"/>
        <w:rPr>
          <w:rFonts w:ascii="仿宋_GB2312" w:eastAsia="仿宋_GB2312"/>
          <w:sz w:val="24"/>
          <w:szCs w:val="24"/>
          <w:highlight w:val="none"/>
        </w:rPr>
      </w:pPr>
    </w:p>
    <w:p w14:paraId="1CC9DB85">
      <w:pPr>
        <w:tabs>
          <w:tab w:val="left" w:pos="5457"/>
        </w:tabs>
        <w:ind w:left="117"/>
        <w:rPr>
          <w:rFonts w:ascii="仿宋_GB2312" w:hAnsi="楷体" w:eastAsia="仿宋_GB2312" w:cs="楷体"/>
          <w:b/>
          <w:sz w:val="24"/>
          <w:szCs w:val="24"/>
          <w:highlight w:val="none"/>
        </w:rPr>
      </w:pPr>
      <w:r>
        <w:rPr>
          <w:rFonts w:hint="eastAsia" w:ascii="仿宋_GB2312" w:hAnsi="楷体" w:eastAsia="仿宋_GB2312" w:cs="楷体"/>
          <w:b/>
          <w:sz w:val="24"/>
          <w:szCs w:val="24"/>
          <w:highlight w:val="none"/>
        </w:rPr>
        <w:t>日</w:t>
      </w:r>
      <w:r>
        <w:rPr>
          <w:rFonts w:hint="eastAsia" w:ascii="仿宋_GB2312" w:hAnsi="楷体" w:eastAsia="仿宋_GB2312" w:cs="楷体"/>
          <w:b/>
          <w:spacing w:val="-4"/>
          <w:sz w:val="24"/>
          <w:szCs w:val="24"/>
          <w:highlight w:val="none"/>
        </w:rPr>
        <w:t xml:space="preserve"> </w:t>
      </w:r>
      <w:r>
        <w:rPr>
          <w:rFonts w:hint="eastAsia" w:ascii="仿宋_GB2312" w:hAnsi="楷体" w:eastAsia="仿宋_GB2312" w:cs="楷体"/>
          <w:b/>
          <w:sz w:val="24"/>
          <w:szCs w:val="24"/>
          <w:highlight w:val="none"/>
        </w:rPr>
        <w:t>期:</w:t>
      </w:r>
      <w:r>
        <w:rPr>
          <w:rFonts w:hint="eastAsia" w:ascii="仿宋_GB2312" w:hAnsi="楷体" w:eastAsia="仿宋_GB2312" w:cs="楷体"/>
          <w:b/>
          <w:sz w:val="24"/>
          <w:szCs w:val="24"/>
          <w:highlight w:val="none"/>
        </w:rPr>
        <w:tab/>
      </w:r>
      <w:r>
        <w:rPr>
          <w:rFonts w:hint="eastAsia" w:ascii="仿宋_GB2312" w:hAnsi="楷体" w:eastAsia="仿宋_GB2312" w:cs="楷体"/>
          <w:b/>
          <w:sz w:val="24"/>
          <w:szCs w:val="24"/>
          <w:highlight w:val="none"/>
        </w:rPr>
        <w:t>日 期:</w:t>
      </w:r>
    </w:p>
    <w:p w14:paraId="3AB254C1">
      <w:pPr>
        <w:pStyle w:val="76"/>
        <w:tabs>
          <w:tab w:val="left" w:pos="1244"/>
        </w:tabs>
        <w:adjustRightInd w:val="0"/>
        <w:spacing w:line="305" w:lineRule="auto"/>
        <w:ind w:firstLine="592"/>
        <w:rPr>
          <w:rFonts w:ascii="仿宋_GB2312" w:hAnsi="楷体" w:eastAsia="仿宋_GB2312" w:cs="楷体"/>
          <w:spacing w:val="-2"/>
          <w:sz w:val="30"/>
          <w:szCs w:val="30"/>
          <w:highlight w:val="none"/>
        </w:rPr>
      </w:pPr>
    </w:p>
    <w:p w14:paraId="3BA53D8F">
      <w:pPr>
        <w:spacing w:before="158" w:beforeLines="50" w:after="158" w:afterLines="50" w:line="440" w:lineRule="exact"/>
        <w:jc w:val="left"/>
        <w:outlineLvl w:val="3"/>
        <w:rPr>
          <w:rFonts w:ascii="仿宋" w:hAnsi="仿宋" w:eastAsia="仿宋" w:cs="仿宋"/>
          <w:sz w:val="24"/>
          <w:szCs w:val="24"/>
          <w:highlight w:val="none"/>
        </w:rPr>
      </w:pPr>
      <w:r>
        <w:rPr>
          <w:rFonts w:ascii="仿宋" w:hAnsi="仿宋" w:eastAsia="仿宋" w:cs="仿宋"/>
          <w:sz w:val="24"/>
          <w:szCs w:val="24"/>
          <w:highlight w:val="none"/>
        </w:rPr>
        <w:br w:type="page"/>
      </w:r>
    </w:p>
    <w:p w14:paraId="3DF27575">
      <w:pPr>
        <w:rPr>
          <w:rFonts w:ascii="仿宋" w:hAnsi="仿宋"/>
          <w:color w:val="000000" w:themeColor="text1"/>
          <w:sz w:val="24"/>
          <w:highlight w:val="none"/>
          <w14:textFill>
            <w14:solidFill>
              <w14:schemeClr w14:val="tx1"/>
            </w14:solidFill>
          </w14:textFill>
        </w:rPr>
      </w:pPr>
      <w:r>
        <w:rPr>
          <w:rFonts w:hint="eastAsia" w:ascii="仿宋" w:hAnsi="仿宋"/>
          <w:color w:val="000000" w:themeColor="text1"/>
          <w:sz w:val="24"/>
          <w:highlight w:val="none"/>
          <w14:textFill>
            <w14:solidFill>
              <w14:schemeClr w14:val="tx1"/>
            </w14:solidFill>
          </w14:textFill>
        </w:rPr>
        <w:t>附件</w:t>
      </w:r>
      <w:r>
        <w:rPr>
          <w:rFonts w:ascii="仿宋" w:hAnsi="仿宋"/>
          <w:color w:val="000000" w:themeColor="text1"/>
          <w:sz w:val="24"/>
          <w:highlight w:val="none"/>
          <w14:textFill>
            <w14:solidFill>
              <w14:schemeClr w14:val="tx1"/>
            </w14:solidFill>
          </w14:textFill>
        </w:rPr>
        <w:t>7</w:t>
      </w:r>
      <w:r>
        <w:rPr>
          <w:rFonts w:hint="eastAsia" w:ascii="仿宋" w:hAnsi="仿宋"/>
          <w:color w:val="000000" w:themeColor="text1"/>
          <w:sz w:val="24"/>
          <w:highlight w:val="none"/>
          <w14:textFill>
            <w14:solidFill>
              <w14:schemeClr w14:val="tx1"/>
            </w14:solidFill>
          </w14:textFill>
        </w:rPr>
        <w:t>：</w:t>
      </w:r>
    </w:p>
    <w:p w14:paraId="15F456F0">
      <w:pPr>
        <w:spacing w:before="158" w:beforeLines="50" w:after="158" w:afterLines="50" w:line="440" w:lineRule="exact"/>
        <w:jc w:val="center"/>
        <w:rPr>
          <w:color w:val="000000" w:themeColor="text1"/>
          <w:sz w:val="28"/>
          <w:highlight w:val="none"/>
          <w14:textFill>
            <w14:solidFill>
              <w14:schemeClr w14:val="tx1"/>
            </w14:solidFill>
          </w14:textFill>
        </w:rPr>
      </w:pPr>
      <w:r>
        <w:rPr>
          <w:rFonts w:hint="eastAsia"/>
          <w:color w:val="000000" w:themeColor="text1"/>
          <w:sz w:val="28"/>
          <w:highlight w:val="none"/>
          <w14:textFill>
            <w14:solidFill>
              <w14:schemeClr w14:val="tx1"/>
            </w14:solidFill>
          </w14:textFill>
        </w:rPr>
        <w:t>保密协议</w:t>
      </w:r>
    </w:p>
    <w:p w14:paraId="025E4D4B">
      <w:pPr>
        <w:spacing w:line="360" w:lineRule="auto"/>
        <w:rPr>
          <w:rFonts w:ascii="仿宋_GB2312" w:hAnsiTheme="minorEastAsia"/>
          <w:sz w:val="24"/>
          <w:highlight w:val="none"/>
        </w:rPr>
      </w:pPr>
      <w:r>
        <w:rPr>
          <w:rFonts w:hint="eastAsia" w:ascii="仿宋_GB2312" w:hAnsiTheme="minorEastAsia"/>
          <w:sz w:val="24"/>
          <w:highlight w:val="none"/>
        </w:rPr>
        <w:t>本协议由以下双方于</w:t>
      </w:r>
      <w:r>
        <w:rPr>
          <w:rFonts w:hint="eastAsia" w:ascii="仿宋_GB2312" w:eastAsia="仿宋_GB2312" w:hAnsiTheme="minorEastAsia" w:cstheme="minorEastAsia"/>
          <w:sz w:val="24"/>
          <w:szCs w:val="24"/>
          <w:highlight w:val="none"/>
          <w:u w:val="single"/>
        </w:rPr>
        <w:t xml:space="preserve"> </w:t>
      </w:r>
      <w:r>
        <w:rPr>
          <w:rFonts w:ascii="仿宋_GB2312" w:eastAsia="仿宋_GB2312" w:hAnsiTheme="minorEastAsia" w:cstheme="minorEastAsia"/>
          <w:sz w:val="24"/>
          <w:szCs w:val="24"/>
          <w:highlight w:val="none"/>
          <w:u w:val="single"/>
        </w:rPr>
        <w:t xml:space="preserve">      </w:t>
      </w:r>
      <w:r>
        <w:rPr>
          <w:rFonts w:hint="eastAsia" w:ascii="仿宋_GB2312" w:hAnsiTheme="minorEastAsia"/>
          <w:sz w:val="24"/>
          <w:highlight w:val="none"/>
        </w:rPr>
        <w:t>共同签署：</w:t>
      </w:r>
    </w:p>
    <w:p w14:paraId="25CB7F45">
      <w:pPr>
        <w:spacing w:line="360" w:lineRule="auto"/>
        <w:rPr>
          <w:rFonts w:ascii="仿宋_GB2312" w:hAnsi="宋体"/>
          <w:sz w:val="24"/>
          <w:highlight w:val="none"/>
        </w:rPr>
      </w:pPr>
      <w:r>
        <w:rPr>
          <w:rFonts w:hint="eastAsia" w:ascii="仿宋_GB2312" w:hAnsi="宋体"/>
          <w:sz w:val="24"/>
          <w:highlight w:val="none"/>
        </w:rPr>
        <w:t>甲方：</w:t>
      </w:r>
      <w:r>
        <w:rPr>
          <w:rFonts w:hint="eastAsia" w:ascii="仿宋_GB2312" w:hAnsi="宋体" w:eastAsia="仿宋_GB2312" w:cs="宋体"/>
          <w:sz w:val="24"/>
          <w:szCs w:val="24"/>
          <w:highlight w:val="none"/>
        </w:rPr>
        <w:t>中国重汽集团</w:t>
      </w:r>
      <w:r>
        <w:rPr>
          <w:rFonts w:hint="eastAsia" w:ascii="仿宋_GB2312" w:hAnsi="宋体" w:eastAsia="仿宋_GB2312" w:cs="宋体"/>
          <w:sz w:val="24"/>
          <w:szCs w:val="24"/>
          <w:highlight w:val="none"/>
          <w:u w:val="single"/>
        </w:rPr>
        <w:t xml:space="preserve">         </w:t>
      </w:r>
      <w:r>
        <w:rPr>
          <w:rFonts w:hint="eastAsia" w:ascii="仿宋_GB2312" w:hAnsi="宋体" w:eastAsia="仿宋_GB2312" w:cs="宋体"/>
          <w:sz w:val="24"/>
          <w:szCs w:val="24"/>
          <w:highlight w:val="none"/>
        </w:rPr>
        <w:t>有限公司</w:t>
      </w:r>
    </w:p>
    <w:p w14:paraId="69D4707C">
      <w:pPr>
        <w:spacing w:line="360" w:lineRule="auto"/>
        <w:rPr>
          <w:rFonts w:ascii="仿宋_GB2312" w:hAnsi="宋体"/>
          <w:sz w:val="24"/>
          <w:highlight w:val="none"/>
        </w:rPr>
      </w:pPr>
      <w:r>
        <w:rPr>
          <w:rFonts w:hint="eastAsia" w:ascii="仿宋_GB2312" w:hAnsi="宋体"/>
          <w:sz w:val="24"/>
          <w:highlight w:val="none"/>
        </w:rPr>
        <w:t>公司住所：</w:t>
      </w:r>
    </w:p>
    <w:p w14:paraId="3EE5012C">
      <w:pPr>
        <w:spacing w:line="360" w:lineRule="auto"/>
        <w:rPr>
          <w:rFonts w:ascii="仿宋_GB2312" w:hAnsi="宋体"/>
          <w:sz w:val="24"/>
          <w:highlight w:val="none"/>
        </w:rPr>
      </w:pPr>
      <w:r>
        <w:rPr>
          <w:rFonts w:hint="eastAsia" w:ascii="仿宋_GB2312" w:hAnsi="宋体"/>
          <w:sz w:val="24"/>
          <w:highlight w:val="none"/>
        </w:rPr>
        <w:t xml:space="preserve">法定代表人： </w:t>
      </w:r>
    </w:p>
    <w:p w14:paraId="260BC606">
      <w:pPr>
        <w:spacing w:line="360" w:lineRule="auto"/>
        <w:rPr>
          <w:rFonts w:ascii="仿宋_GB2312" w:hAnsi="宋体"/>
          <w:sz w:val="24"/>
          <w:highlight w:val="none"/>
        </w:rPr>
      </w:pPr>
    </w:p>
    <w:p w14:paraId="713010C7">
      <w:pPr>
        <w:spacing w:line="360" w:lineRule="auto"/>
        <w:rPr>
          <w:rFonts w:ascii="仿宋_GB2312" w:hAnsi="宋体"/>
          <w:sz w:val="24"/>
          <w:highlight w:val="none"/>
        </w:rPr>
      </w:pPr>
      <w:r>
        <w:rPr>
          <w:rFonts w:hint="eastAsia" w:ascii="仿宋_GB2312" w:hAnsi="宋体"/>
          <w:sz w:val="24"/>
          <w:highlight w:val="none"/>
        </w:rPr>
        <w:t xml:space="preserve">乙方： </w:t>
      </w:r>
    </w:p>
    <w:p w14:paraId="70B5C6A3">
      <w:pPr>
        <w:spacing w:line="360" w:lineRule="auto"/>
        <w:rPr>
          <w:rFonts w:ascii="仿宋_GB2312" w:hAnsi="宋体"/>
          <w:sz w:val="24"/>
          <w:highlight w:val="none"/>
        </w:rPr>
      </w:pPr>
      <w:r>
        <w:rPr>
          <w:rFonts w:hint="eastAsia" w:ascii="仿宋_GB2312" w:hAnsi="宋体"/>
          <w:sz w:val="24"/>
          <w:highlight w:val="none"/>
        </w:rPr>
        <w:t>公司住所：</w:t>
      </w:r>
    </w:p>
    <w:p w14:paraId="03C5ADB9">
      <w:pPr>
        <w:spacing w:line="360" w:lineRule="auto"/>
        <w:rPr>
          <w:rFonts w:ascii="仿宋_GB2312" w:hAnsi="宋体"/>
          <w:sz w:val="24"/>
          <w:highlight w:val="none"/>
        </w:rPr>
      </w:pPr>
      <w:r>
        <w:rPr>
          <w:rFonts w:hint="eastAsia" w:ascii="仿宋_GB2312" w:hAnsi="宋体"/>
          <w:sz w:val="24"/>
          <w:highlight w:val="none"/>
        </w:rPr>
        <w:t>法定代表人：</w:t>
      </w:r>
    </w:p>
    <w:p w14:paraId="5E4E3E1A">
      <w:pPr>
        <w:spacing w:line="360" w:lineRule="auto"/>
        <w:rPr>
          <w:rFonts w:ascii="仿宋_GB2312" w:hAnsi="宋体"/>
          <w:sz w:val="24"/>
          <w:highlight w:val="none"/>
          <w:lang w:val="en-GB"/>
        </w:rPr>
      </w:pPr>
    </w:p>
    <w:p w14:paraId="196DEC7D">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甲乙双方需开展</w:t>
      </w:r>
      <w:r>
        <w:rPr>
          <w:rFonts w:hint="eastAsia" w:ascii="仿宋_GB2312" w:eastAsia="仿宋_GB2312" w:hAnsiTheme="minorEastAsia" w:cstheme="minorEastAsia"/>
          <w:sz w:val="24"/>
          <w:szCs w:val="24"/>
          <w:highlight w:val="none"/>
          <w:u w:val="single"/>
        </w:rPr>
        <w:t xml:space="preserve"> </w:t>
      </w:r>
      <w:r>
        <w:rPr>
          <w:rFonts w:ascii="仿宋_GB2312" w:eastAsia="仿宋_GB2312" w:hAnsiTheme="minorEastAsia" w:cstheme="minorEastAsia"/>
          <w:sz w:val="24"/>
          <w:szCs w:val="24"/>
          <w:highlight w:val="none"/>
          <w:u w:val="single"/>
        </w:rPr>
        <w:t xml:space="preserve">       </w:t>
      </w:r>
      <w:r>
        <w:rPr>
          <w:rFonts w:hint="eastAsia" w:ascii="仿宋_GB2312" w:hAnsiTheme="minorEastAsia"/>
          <w:sz w:val="24"/>
          <w:highlight w:val="none"/>
        </w:rPr>
        <w:t>项目合作。出于该合作目的，甲方已经或将要向乙方提供有关项目的保密信息。经平等协商，双方自愿签订协议如下：</w:t>
      </w:r>
    </w:p>
    <w:p w14:paraId="5C0A91B4">
      <w:pPr>
        <w:spacing w:line="360" w:lineRule="auto"/>
        <w:ind w:firstLine="480" w:firstLineChars="200"/>
        <w:rPr>
          <w:rFonts w:ascii="黑体" w:hAnsi="黑体"/>
          <w:sz w:val="24"/>
          <w:highlight w:val="none"/>
        </w:rPr>
      </w:pPr>
      <w:r>
        <w:rPr>
          <w:rFonts w:hint="eastAsia" w:ascii="黑体" w:hAnsi="黑体"/>
          <w:sz w:val="24"/>
          <w:highlight w:val="none"/>
        </w:rPr>
        <w:t>第一条 定义</w:t>
      </w:r>
    </w:p>
    <w:p w14:paraId="104213EA">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1、“保密信息”指甲方现在或将来向乙方提供的</w:t>
      </w:r>
      <w:r>
        <w:rPr>
          <w:rFonts w:hint="eastAsia" w:ascii="仿宋_GB2312" w:hAnsiTheme="minorEastAsia"/>
          <w:sz w:val="24"/>
          <w:highlight w:val="none"/>
          <w:lang w:val="en-GB"/>
        </w:rPr>
        <w:t>与本协议有关的任何信息和数据，包括但不限于任何类型的</w:t>
      </w:r>
      <w:r>
        <w:rPr>
          <w:rFonts w:hint="eastAsia" w:ascii="仿宋_GB2312" w:hAnsiTheme="minorEastAsia"/>
          <w:sz w:val="24"/>
          <w:highlight w:val="none"/>
        </w:rPr>
        <w:t>经营信息、技术信息</w:t>
      </w:r>
      <w:r>
        <w:rPr>
          <w:rFonts w:hint="eastAsia" w:ascii="仿宋_GB2312" w:hAnsiTheme="minorEastAsia"/>
          <w:sz w:val="24"/>
          <w:highlight w:val="none"/>
          <w:lang w:val="en-GB"/>
        </w:rPr>
        <w:t>、</w:t>
      </w:r>
      <w:r>
        <w:rPr>
          <w:rFonts w:hint="eastAsia" w:ascii="仿宋_GB2312" w:hAnsiTheme="minorEastAsia"/>
          <w:sz w:val="24"/>
          <w:highlight w:val="none"/>
        </w:rPr>
        <w:t>商务信息、人力资源管理信息及财务信息等，无论该等信息以何种形式提供，如纸质文件、录音、录像、照片、磁（光）盘、数据电文（包括电传、电报、传真、电子数据交换、电子邮件、电子文档）或其他，也无论该信息是以口头还是书面方式、是否标识为保密、也无论该等信息储存于何种载体（包括电子信息）。</w:t>
      </w:r>
    </w:p>
    <w:p w14:paraId="23A82B52">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2、信息提供方：甲方</w:t>
      </w:r>
    </w:p>
    <w:p w14:paraId="758515AA">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3、信息接受方：乙方</w:t>
      </w:r>
    </w:p>
    <w:p w14:paraId="33CD18FD">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4、第三方：指本协议双方之外的任何第三方。</w:t>
      </w:r>
    </w:p>
    <w:p w14:paraId="0FBEC5DF">
      <w:pPr>
        <w:spacing w:line="360" w:lineRule="auto"/>
        <w:ind w:firstLine="480" w:firstLineChars="200"/>
        <w:rPr>
          <w:rFonts w:ascii="仿宋_GB2312" w:hAnsiTheme="minorEastAsia"/>
          <w:sz w:val="24"/>
          <w:highlight w:val="none"/>
        </w:rPr>
      </w:pPr>
      <w:r>
        <w:rPr>
          <w:rFonts w:hint="eastAsia" w:ascii="仿宋_GB2312" w:hAnsi="宋体"/>
          <w:sz w:val="24"/>
          <w:highlight w:val="none"/>
        </w:rPr>
        <w:t>5、</w:t>
      </w:r>
      <w:r>
        <w:rPr>
          <w:rFonts w:hint="eastAsia" w:ascii="仿宋_GB2312" w:hAnsi="宋体"/>
          <w:sz w:val="24"/>
          <w:highlight w:val="none"/>
          <w:lang w:val="en-GB"/>
        </w:rPr>
        <w:t>关联</w:t>
      </w:r>
      <w:r>
        <w:rPr>
          <w:rFonts w:hint="eastAsia" w:ascii="仿宋_GB2312" w:hAnsi="宋体"/>
          <w:sz w:val="24"/>
          <w:highlight w:val="none"/>
        </w:rPr>
        <w:t>公司</w:t>
      </w:r>
      <w:r>
        <w:rPr>
          <w:rFonts w:hint="eastAsia" w:ascii="仿宋_GB2312" w:hAnsi="宋体"/>
          <w:sz w:val="24"/>
          <w:highlight w:val="none"/>
          <w:lang w:val="en-GB"/>
        </w:rPr>
        <w:t>：直接或间接控制</w:t>
      </w:r>
      <w:r>
        <w:rPr>
          <w:rFonts w:hint="eastAsia" w:ascii="仿宋_GB2312" w:hAnsi="宋体"/>
          <w:sz w:val="24"/>
          <w:highlight w:val="none"/>
        </w:rPr>
        <w:t>一</w:t>
      </w:r>
      <w:r>
        <w:rPr>
          <w:rFonts w:hint="eastAsia" w:ascii="仿宋_GB2312" w:hAnsi="宋体"/>
          <w:sz w:val="24"/>
          <w:highlight w:val="none"/>
          <w:lang w:val="en-GB"/>
        </w:rPr>
        <w:t>方，或者受控于</w:t>
      </w:r>
      <w:r>
        <w:rPr>
          <w:rFonts w:hint="eastAsia" w:ascii="仿宋_GB2312" w:hAnsi="宋体"/>
          <w:sz w:val="24"/>
          <w:highlight w:val="none"/>
        </w:rPr>
        <w:t>该</w:t>
      </w:r>
      <w:r>
        <w:rPr>
          <w:rFonts w:hint="eastAsia" w:ascii="仿宋_GB2312" w:hAnsi="宋体"/>
          <w:sz w:val="24"/>
          <w:highlight w:val="none"/>
          <w:lang w:val="en-GB"/>
        </w:rPr>
        <w:t>方，或者与</w:t>
      </w:r>
      <w:r>
        <w:rPr>
          <w:rFonts w:hint="eastAsia" w:ascii="仿宋_GB2312" w:hAnsi="宋体"/>
          <w:sz w:val="24"/>
          <w:highlight w:val="none"/>
        </w:rPr>
        <w:t>该</w:t>
      </w:r>
      <w:r>
        <w:rPr>
          <w:rFonts w:hint="eastAsia" w:ascii="仿宋_GB2312" w:hAnsi="宋体"/>
          <w:sz w:val="24"/>
          <w:highlight w:val="none"/>
          <w:lang w:val="en-GB"/>
        </w:rPr>
        <w:t>方共同处于控制之下的任何</w:t>
      </w:r>
      <w:r>
        <w:rPr>
          <w:rFonts w:hint="eastAsia" w:ascii="仿宋_GB2312" w:hAnsiTheme="minorEastAsia"/>
          <w:sz w:val="24"/>
          <w:highlight w:val="none"/>
        </w:rPr>
        <w:t>第三方。</w:t>
      </w:r>
    </w:p>
    <w:p w14:paraId="2EBC013A">
      <w:pPr>
        <w:spacing w:line="360" w:lineRule="auto"/>
        <w:ind w:firstLine="480" w:firstLineChars="200"/>
        <w:rPr>
          <w:rFonts w:ascii="黑体" w:hAnsi="黑体"/>
          <w:sz w:val="24"/>
          <w:highlight w:val="none"/>
        </w:rPr>
      </w:pPr>
      <w:r>
        <w:rPr>
          <w:rFonts w:hint="eastAsia" w:ascii="黑体" w:hAnsi="黑体"/>
          <w:sz w:val="24"/>
          <w:highlight w:val="none"/>
        </w:rPr>
        <w:t>第二条 保密信息的提供</w:t>
      </w:r>
    </w:p>
    <w:p w14:paraId="2A8FFF89">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1、本协议所述之保密信息均由协议双方为洽谈合作事项之目的而提供。</w:t>
      </w:r>
    </w:p>
    <w:p w14:paraId="095E9150">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2、保密信息的所有权及知识产权归属于甲方或甲方具有合法来源。</w:t>
      </w:r>
    </w:p>
    <w:p w14:paraId="7FB093C6">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3、本协议任何条款均不视为将保密信息的所有权和其他权利转让给乙方。</w:t>
      </w:r>
    </w:p>
    <w:p w14:paraId="57E73B9C">
      <w:pPr>
        <w:spacing w:line="360" w:lineRule="auto"/>
        <w:ind w:firstLine="480" w:firstLineChars="200"/>
        <w:rPr>
          <w:rFonts w:ascii="黑体" w:hAnsi="黑体"/>
          <w:sz w:val="24"/>
          <w:highlight w:val="none"/>
        </w:rPr>
      </w:pPr>
      <w:r>
        <w:rPr>
          <w:rFonts w:hint="eastAsia" w:ascii="黑体" w:hAnsi="黑体"/>
          <w:sz w:val="24"/>
          <w:highlight w:val="none"/>
        </w:rPr>
        <w:t>第三条 保密义务</w:t>
      </w:r>
    </w:p>
    <w:p w14:paraId="0C98908B">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1、乙方仅能将甲方提供的保密信息用于本协议所约定的项目并承担保密义务。</w:t>
      </w:r>
    </w:p>
    <w:p w14:paraId="43A5D3E9">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2、乙方将采取有效措施使用甲方提供的保密信息，只将该等保密信息提供给本方负责决策或实施合作事项的具体参与人员，乙方及其相关人员不得以任何方式或形式散布、披露或传播给该范围以外的人（包括乙方关联机构），也不得允许任何保密信息被泄漏、被披露、被交流。</w:t>
      </w:r>
    </w:p>
    <w:p w14:paraId="5E7524CE">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3、如果乙方为项目需要，而不得不向该第三方披露保密信息，则乙方应事先从甲方得到书面同意。乙方应在披露保密信息之前，按照与本协议相同的保护程度与该第三方签署一份保密协议。若上述第三方（包括其股东、高管、雇员）发生泄密，乙方应与该第三方承担连带责任。</w:t>
      </w:r>
    </w:p>
    <w:p w14:paraId="2BB0801C">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 xml:space="preserve">4、如乙方得悉甲方的任何保密信息遭侵犯或疑似侵权，乙方应立即通知甲方。如果甲方决定就侵权行为进行起诉，或以其他方式停止或阻止该实际或可能发生的侵权行为，乙方尽最大限度予以协助。 </w:t>
      </w:r>
    </w:p>
    <w:p w14:paraId="3D71BDA8">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5、乙方不得在世界任何地方就保密信息进行升级、变更和/或改进，亦不得直接或间接提交或促使提交专利或著作权或其它权利的申请，也不得以其名义取得或促使以其他人名义取得任何专利或其它权利注册。</w:t>
      </w:r>
    </w:p>
    <w:p w14:paraId="0BC85B55">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 xml:space="preserve">6、乙方应遵从甲方不时发出的有关使用、处理和保管保密信息的任何指令或政策，并按照甲方的要求将本协议项下保密信息的使用情况向甲方汇报。 </w:t>
      </w:r>
    </w:p>
    <w:p w14:paraId="7D999E8E">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7、乙方不得为第三方利益使用保密信息，不得非为实现双方合作目的使用保密信息，不得对保密信息采取任何反向工程、反向编译或反向分解等行为。</w:t>
      </w:r>
    </w:p>
    <w:p w14:paraId="519B114D">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8、双方合作期间形成的与本协议有关的任何信息和数据受本协议约束。</w:t>
      </w:r>
    </w:p>
    <w:p w14:paraId="23157343">
      <w:pPr>
        <w:tabs>
          <w:tab w:val="left" w:pos="567"/>
        </w:tabs>
        <w:spacing w:line="360" w:lineRule="auto"/>
        <w:ind w:firstLine="480" w:firstLineChars="200"/>
        <w:rPr>
          <w:rFonts w:ascii="仿宋_GB2312" w:hAnsi="宋体"/>
          <w:sz w:val="24"/>
          <w:highlight w:val="none"/>
          <w:lang w:val="en-GB"/>
        </w:rPr>
      </w:pPr>
      <w:r>
        <w:rPr>
          <w:rFonts w:hint="eastAsia" w:ascii="仿宋_GB2312" w:hAnsi="宋体"/>
          <w:sz w:val="24"/>
          <w:highlight w:val="none"/>
          <w:lang w:val="en-GB"/>
        </w:rPr>
        <w:t>在本协议签订后，</w:t>
      </w:r>
      <w:r>
        <w:rPr>
          <w:rFonts w:hint="eastAsia" w:ascii="仿宋_GB2312" w:hAnsi="宋体"/>
          <w:sz w:val="24"/>
          <w:highlight w:val="none"/>
        </w:rPr>
        <w:t>甲方仅将保密信息向乙</w:t>
      </w:r>
      <w:r>
        <w:rPr>
          <w:rFonts w:hint="eastAsia" w:ascii="仿宋_GB2312" w:hAnsi="宋体"/>
          <w:sz w:val="24"/>
          <w:highlight w:val="none"/>
          <w:lang w:val="en-GB"/>
        </w:rPr>
        <w:t>方</w:t>
      </w:r>
      <w:r>
        <w:rPr>
          <w:rFonts w:hint="eastAsia" w:ascii="仿宋_GB2312" w:hAnsi="宋体"/>
          <w:sz w:val="24"/>
          <w:highlight w:val="none"/>
        </w:rPr>
        <w:t>指定联系人</w:t>
      </w:r>
      <w:bookmarkStart w:id="58" w:name="OLE_LINK3"/>
      <w:bookmarkStart w:id="59" w:name="OLE_LINK2"/>
      <w:r>
        <w:rPr>
          <w:rFonts w:hint="eastAsia" w:ascii="仿宋_GB2312" w:hAnsi="宋体"/>
          <w:sz w:val="24"/>
          <w:highlight w:val="none"/>
        </w:rPr>
        <w:t>：</w:t>
      </w:r>
      <w:bookmarkEnd w:id="58"/>
      <w:bookmarkEnd w:id="59"/>
      <w:r>
        <w:rPr>
          <w:rFonts w:hint="eastAsia" w:ascii="仿宋_GB2312" w:hAnsi="宋体" w:eastAsia="仿宋_GB2312" w:cs="宋体"/>
          <w:sz w:val="24"/>
          <w:szCs w:val="24"/>
          <w:highlight w:val="none"/>
          <w:u w:val="single"/>
        </w:rPr>
        <w:t xml:space="preserve">    </w:t>
      </w:r>
      <w:r>
        <w:rPr>
          <w:rFonts w:hint="eastAsia" w:ascii="仿宋_GB2312" w:hAnsi="宋体"/>
          <w:sz w:val="24"/>
          <w:highlight w:val="none"/>
          <w:u w:val="single"/>
        </w:rPr>
        <w:t xml:space="preserve"> </w:t>
      </w:r>
      <w:r>
        <w:rPr>
          <w:rFonts w:hint="eastAsia" w:ascii="仿宋_GB2312" w:hAnsi="宋体"/>
          <w:sz w:val="24"/>
          <w:highlight w:val="none"/>
        </w:rPr>
        <w:t>进行披露，如乙方联系人发生变更，应立即书面通知甲方并做出新的授权。</w:t>
      </w:r>
    </w:p>
    <w:p w14:paraId="7929E0D8">
      <w:pPr>
        <w:spacing w:line="360" w:lineRule="auto"/>
        <w:ind w:firstLine="480" w:firstLineChars="200"/>
        <w:rPr>
          <w:rFonts w:ascii="黑体" w:hAnsi="黑体"/>
          <w:sz w:val="24"/>
          <w:highlight w:val="none"/>
        </w:rPr>
      </w:pPr>
      <w:r>
        <w:rPr>
          <w:rFonts w:hint="eastAsia" w:ascii="黑体" w:hAnsi="黑体"/>
          <w:sz w:val="24"/>
          <w:highlight w:val="none"/>
        </w:rPr>
        <w:t>第四条 保密义务的例外</w:t>
      </w:r>
    </w:p>
    <w:p w14:paraId="278EDC96">
      <w:pPr>
        <w:spacing w:line="360" w:lineRule="auto"/>
        <w:ind w:firstLine="480" w:firstLineChars="200"/>
        <w:rPr>
          <w:rFonts w:ascii="仿宋_GB2312" w:hAnsiTheme="minorEastAsia"/>
          <w:sz w:val="24"/>
          <w:highlight w:val="none"/>
          <w:lang w:val="en-GB"/>
        </w:rPr>
      </w:pPr>
      <w:r>
        <w:rPr>
          <w:rFonts w:hint="eastAsia" w:ascii="仿宋_GB2312" w:hAnsiTheme="minorEastAsia"/>
          <w:sz w:val="24"/>
          <w:highlight w:val="none"/>
        </w:rPr>
        <w:t>1、</w:t>
      </w:r>
      <w:r>
        <w:rPr>
          <w:rFonts w:hint="eastAsia" w:ascii="仿宋_GB2312" w:hAnsiTheme="minorEastAsia"/>
          <w:sz w:val="24"/>
          <w:highlight w:val="none"/>
          <w:lang w:val="en-GB"/>
        </w:rPr>
        <w:t>根据有关法律或有管辖权的法院、仲裁机构、交易所或政府机构</w:t>
      </w:r>
      <w:r>
        <w:rPr>
          <w:rFonts w:hint="eastAsia" w:ascii="仿宋_GB2312" w:hAnsiTheme="minorEastAsia"/>
          <w:sz w:val="24"/>
          <w:highlight w:val="none"/>
        </w:rPr>
        <w:t>的</w:t>
      </w:r>
      <w:r>
        <w:rPr>
          <w:rFonts w:hint="eastAsia" w:ascii="仿宋_GB2312" w:hAnsiTheme="minorEastAsia"/>
          <w:sz w:val="24"/>
          <w:highlight w:val="none"/>
          <w:lang w:val="en-GB"/>
        </w:rPr>
        <w:t>要求而披露保密信息。</w:t>
      </w:r>
    </w:p>
    <w:p w14:paraId="71C15AC3">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2、事先取得甲方书面同意而公开的信息。</w:t>
      </w:r>
    </w:p>
    <w:p w14:paraId="0968AC69">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披露该等保密信息之前，乙方应当立即通知甲方，并提供有关该等命令的通知，协同甲方采取有效措施防范风险。</w:t>
      </w:r>
    </w:p>
    <w:p w14:paraId="0B4A8582">
      <w:pPr>
        <w:spacing w:line="360" w:lineRule="auto"/>
        <w:ind w:firstLine="480" w:firstLineChars="200"/>
        <w:rPr>
          <w:rFonts w:ascii="黑体" w:hAnsi="黑体"/>
          <w:sz w:val="24"/>
          <w:highlight w:val="none"/>
        </w:rPr>
      </w:pPr>
      <w:r>
        <w:rPr>
          <w:rFonts w:hint="eastAsia" w:ascii="黑体" w:hAnsi="黑体"/>
          <w:sz w:val="24"/>
          <w:highlight w:val="none"/>
        </w:rPr>
        <w:t>第五条 保密信息的返还</w:t>
      </w:r>
    </w:p>
    <w:p w14:paraId="35F28B34">
      <w:pPr>
        <w:tabs>
          <w:tab w:val="left" w:pos="990"/>
        </w:tabs>
        <w:spacing w:line="360" w:lineRule="auto"/>
        <w:ind w:firstLine="480" w:firstLineChars="200"/>
        <w:rPr>
          <w:rFonts w:ascii="仿宋_GB2312" w:hAnsi="宋体"/>
          <w:sz w:val="24"/>
          <w:highlight w:val="none"/>
        </w:rPr>
      </w:pPr>
      <w:r>
        <w:rPr>
          <w:rFonts w:hint="eastAsia" w:ascii="仿宋_GB2312" w:hAnsiTheme="minorEastAsia"/>
          <w:sz w:val="24"/>
          <w:highlight w:val="none"/>
        </w:rPr>
        <w:t>根据</w:t>
      </w:r>
      <w:r>
        <w:rPr>
          <w:rFonts w:hint="eastAsia" w:ascii="仿宋_GB2312" w:hAnsi="宋体"/>
          <w:sz w:val="24"/>
          <w:highlight w:val="none"/>
        </w:rPr>
        <w:t>甲方要求或乙方违约时</w:t>
      </w:r>
      <w:r>
        <w:rPr>
          <w:rFonts w:hint="eastAsia" w:ascii="仿宋_GB2312" w:hAnsi="宋体"/>
          <w:sz w:val="24"/>
          <w:highlight w:val="none"/>
          <w:lang w:val="en-GB"/>
        </w:rPr>
        <w:t>，</w:t>
      </w:r>
      <w:r>
        <w:rPr>
          <w:rFonts w:hint="eastAsia" w:ascii="仿宋_GB2312" w:hAnsi="宋体"/>
          <w:sz w:val="24"/>
          <w:highlight w:val="none"/>
        </w:rPr>
        <w:t>乙方应</w:t>
      </w:r>
      <w:r>
        <w:rPr>
          <w:rFonts w:hint="eastAsia" w:ascii="仿宋_GB2312" w:hAnsi="宋体"/>
          <w:sz w:val="24"/>
          <w:highlight w:val="none"/>
          <w:lang w:val="en-GB"/>
        </w:rPr>
        <w:t>立即</w:t>
      </w:r>
      <w:r>
        <w:rPr>
          <w:rFonts w:hint="eastAsia" w:ascii="仿宋_GB2312" w:hAnsi="宋体"/>
          <w:sz w:val="24"/>
          <w:highlight w:val="none"/>
        </w:rPr>
        <w:t>在甲方要求的时间内</w:t>
      </w:r>
      <w:r>
        <w:rPr>
          <w:rFonts w:hint="eastAsia" w:ascii="仿宋_GB2312" w:hAnsi="宋体"/>
          <w:sz w:val="24"/>
          <w:highlight w:val="none"/>
          <w:lang w:val="en-GB"/>
        </w:rPr>
        <w:t>向甲方返还所有保密信息并不得保存副本，</w:t>
      </w:r>
      <w:r>
        <w:rPr>
          <w:rFonts w:hint="eastAsia" w:ascii="仿宋_GB2312" w:hAnsi="宋体"/>
          <w:sz w:val="24"/>
          <w:highlight w:val="none"/>
        </w:rPr>
        <w:t>包括但不限于储存于</w:t>
      </w:r>
      <w:r>
        <w:rPr>
          <w:rFonts w:hint="eastAsia" w:ascii="仿宋_GB2312" w:hAnsi="宋体"/>
          <w:sz w:val="24"/>
          <w:highlight w:val="none"/>
          <w:lang w:val="en-GB"/>
        </w:rPr>
        <w:t>计算机磁盘、CD-ROM驱动、CD-ROM、硬盘、软件或任何纸质媒介的材料</w:t>
      </w:r>
      <w:r>
        <w:rPr>
          <w:rFonts w:hint="eastAsia" w:ascii="仿宋_GB2312" w:hAnsi="宋体"/>
          <w:sz w:val="24"/>
          <w:highlight w:val="none"/>
        </w:rPr>
        <w:t>及其</w:t>
      </w:r>
      <w:r>
        <w:rPr>
          <w:rFonts w:hint="eastAsia" w:ascii="仿宋_GB2312" w:hAnsi="宋体"/>
          <w:sz w:val="24"/>
          <w:highlight w:val="none"/>
          <w:lang w:val="en-GB"/>
        </w:rPr>
        <w:t>备份。</w:t>
      </w:r>
      <w:r>
        <w:rPr>
          <w:rFonts w:hint="eastAsia" w:ascii="仿宋_GB2312" w:hAnsi="宋体"/>
          <w:sz w:val="24"/>
          <w:highlight w:val="none"/>
        </w:rPr>
        <w:t>因</w:t>
      </w:r>
      <w:r>
        <w:rPr>
          <w:rFonts w:hint="eastAsia" w:ascii="仿宋_GB2312" w:hAnsi="宋体"/>
          <w:sz w:val="24"/>
          <w:highlight w:val="none"/>
          <w:lang w:val="en-GB"/>
        </w:rPr>
        <w:t>保密信息载体及保密信息介质的特性导致客观上无法返还甲方的，乙方应当于甲方要求的时间内将载有保密信息的载体或介质销毁，或对其进行处理使其不具有保密信息保存和传递功能，以达到乙方不保存任何保密信息的目的，</w:t>
      </w:r>
      <w:r>
        <w:rPr>
          <w:rFonts w:hint="eastAsia" w:ascii="仿宋_GB2312" w:hAnsi="宋体"/>
          <w:sz w:val="24"/>
          <w:highlight w:val="none"/>
        </w:rPr>
        <w:t>同时乙方应</w:t>
      </w:r>
      <w:r>
        <w:rPr>
          <w:rFonts w:hint="eastAsia" w:ascii="仿宋_GB2312" w:hAnsi="宋体"/>
          <w:sz w:val="24"/>
          <w:highlight w:val="none"/>
          <w:lang w:val="en-GB"/>
        </w:rPr>
        <w:t>向</w:t>
      </w:r>
      <w:r>
        <w:rPr>
          <w:rFonts w:hint="eastAsia" w:ascii="仿宋_GB2312" w:hAnsi="宋体"/>
          <w:sz w:val="24"/>
          <w:highlight w:val="none"/>
        </w:rPr>
        <w:t>甲</w:t>
      </w:r>
      <w:r>
        <w:rPr>
          <w:rFonts w:hint="eastAsia" w:ascii="仿宋_GB2312" w:hAnsi="宋体"/>
          <w:sz w:val="24"/>
          <w:highlight w:val="none"/>
          <w:lang w:val="en-GB"/>
        </w:rPr>
        <w:t>方出具已经归还或销毁</w:t>
      </w:r>
      <w:r>
        <w:rPr>
          <w:rFonts w:hint="eastAsia" w:ascii="仿宋_GB2312" w:hAnsi="宋体"/>
          <w:sz w:val="24"/>
          <w:highlight w:val="none"/>
        </w:rPr>
        <w:t>全部</w:t>
      </w:r>
      <w:r>
        <w:rPr>
          <w:rFonts w:hint="eastAsia" w:ascii="仿宋_GB2312" w:hAnsi="宋体"/>
          <w:sz w:val="24"/>
          <w:highlight w:val="none"/>
          <w:lang w:val="en-GB"/>
        </w:rPr>
        <w:t>材料的书面</w:t>
      </w:r>
      <w:r>
        <w:rPr>
          <w:rFonts w:hint="eastAsia" w:ascii="仿宋_GB2312" w:hAnsi="宋体"/>
          <w:sz w:val="24"/>
          <w:highlight w:val="none"/>
        </w:rPr>
        <w:t>承诺。</w:t>
      </w:r>
    </w:p>
    <w:p w14:paraId="27A37BFA">
      <w:pPr>
        <w:spacing w:line="360" w:lineRule="auto"/>
        <w:ind w:firstLine="480" w:firstLineChars="200"/>
        <w:rPr>
          <w:rFonts w:ascii="黑体" w:hAnsi="黑体"/>
          <w:sz w:val="24"/>
          <w:highlight w:val="none"/>
        </w:rPr>
      </w:pPr>
      <w:r>
        <w:rPr>
          <w:rFonts w:hint="eastAsia" w:ascii="黑体" w:hAnsi="黑体"/>
          <w:sz w:val="24"/>
          <w:highlight w:val="none"/>
        </w:rPr>
        <w:t>第六条 保密期限</w:t>
      </w:r>
    </w:p>
    <w:p w14:paraId="45AC4CEC">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除本协议双方另有约定外，本协议的保密期限自甲方提供保密信息之日起至本协议所述保密信息向公众披露或为公众所知悉之日止。</w:t>
      </w:r>
    </w:p>
    <w:p w14:paraId="51E6CCF0">
      <w:pPr>
        <w:spacing w:line="360" w:lineRule="auto"/>
        <w:ind w:firstLine="480" w:firstLineChars="200"/>
        <w:rPr>
          <w:rFonts w:ascii="黑体" w:hAnsi="黑体"/>
          <w:sz w:val="24"/>
          <w:highlight w:val="none"/>
        </w:rPr>
      </w:pPr>
      <w:r>
        <w:rPr>
          <w:rFonts w:hint="eastAsia" w:ascii="黑体" w:hAnsi="黑体"/>
          <w:sz w:val="24"/>
          <w:highlight w:val="none"/>
        </w:rPr>
        <w:t>第七条 违约责任</w:t>
      </w:r>
    </w:p>
    <w:p w14:paraId="24DC7386">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 xml:space="preserve">1、如乙方违反本协议约定，应立即停止使用保密信息。如果乙方董事、监事 、高级管理人员、员工、股东、关联机构、代理、顾问、参与项目谈判的人员以及其他利益相关人的行为与本协议相违背，均视为乙方违反本协议。 </w:t>
      </w:r>
    </w:p>
    <w:p w14:paraId="6418A94F">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2、双方确认，基于保密信息的性质，乙方任何违反本协议的行为将对甲方造成不可弥补的损害，乙方（包括乙方董事、监事 、高级管理人员、员工、股东、关联机构、代理、顾问、参与项目谈判的人员以及其他利益相关人），应当对于因违反本协议而给甲方及甲方关联公司造成的全部损失承担赔偿责任及可期待的商业利益损失。</w:t>
      </w:r>
    </w:p>
    <w:p w14:paraId="2EE368DE">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3、在各种情况下，双方一致认为甲方的损失均应被视为最少不低于</w:t>
      </w:r>
      <w:r>
        <w:rPr>
          <w:rFonts w:hint="eastAsia" w:ascii="仿宋_GB2312" w:eastAsia="仿宋_GB2312" w:hAnsiTheme="minorEastAsia" w:cstheme="minorEastAsia"/>
          <w:sz w:val="24"/>
          <w:szCs w:val="24"/>
          <w:highlight w:val="none"/>
          <w:u w:val="single"/>
        </w:rPr>
        <w:t xml:space="preserve"> </w:t>
      </w:r>
      <w:r>
        <w:rPr>
          <w:rFonts w:ascii="仿宋_GB2312" w:eastAsia="仿宋_GB2312" w:hAnsiTheme="minorEastAsia" w:cstheme="minorEastAsia"/>
          <w:sz w:val="24"/>
          <w:szCs w:val="24"/>
          <w:highlight w:val="none"/>
          <w:u w:val="single"/>
        </w:rPr>
        <w:t xml:space="preserve">1 </w:t>
      </w:r>
      <w:r>
        <w:rPr>
          <w:rFonts w:hint="eastAsia" w:ascii="仿宋_GB2312" w:hAnsiTheme="minorEastAsia"/>
          <w:sz w:val="24"/>
          <w:highlight w:val="none"/>
        </w:rPr>
        <w:t xml:space="preserve">万元。 </w:t>
      </w:r>
    </w:p>
    <w:p w14:paraId="0E63A160">
      <w:pPr>
        <w:spacing w:line="360" w:lineRule="auto"/>
        <w:ind w:firstLine="480" w:firstLineChars="200"/>
        <w:rPr>
          <w:rFonts w:ascii="仿宋_GB2312"/>
          <w:sz w:val="24"/>
          <w:highlight w:val="none"/>
        </w:rPr>
      </w:pPr>
      <w:r>
        <w:rPr>
          <w:rFonts w:hint="eastAsia" w:ascii="仿宋_GB2312" w:hAnsiTheme="minorEastAsia"/>
          <w:sz w:val="24"/>
          <w:highlight w:val="none"/>
        </w:rPr>
        <w:t>4、</w:t>
      </w:r>
      <w:r>
        <w:rPr>
          <w:rFonts w:hint="eastAsia" w:ascii="仿宋_GB2312"/>
          <w:sz w:val="24"/>
          <w:highlight w:val="none"/>
        </w:rPr>
        <w:t xml:space="preserve">如乙方违反第三条第5项的约定提交了申请或取得专利或著作权或其他权利注册，则乙方除应按本协议的约定承担违约责任外，还应根据甲方要求，毫不延迟地将该等申请、注册的权利无偿转让给甲方。该等转让或变更涉及所有费用由乙方承担。 </w:t>
      </w:r>
    </w:p>
    <w:p w14:paraId="5369382D">
      <w:pPr>
        <w:spacing w:line="360" w:lineRule="auto"/>
        <w:ind w:firstLine="480" w:firstLineChars="200"/>
        <w:rPr>
          <w:rFonts w:ascii="黑体" w:hAnsi="黑体"/>
          <w:sz w:val="24"/>
          <w:highlight w:val="none"/>
        </w:rPr>
      </w:pPr>
      <w:r>
        <w:rPr>
          <w:rFonts w:hint="eastAsia" w:ascii="黑体" w:hAnsi="黑体"/>
          <w:sz w:val="24"/>
          <w:highlight w:val="none"/>
        </w:rPr>
        <w:t>第八条 适用法律及争议的解决</w:t>
      </w:r>
    </w:p>
    <w:p w14:paraId="18558226">
      <w:pPr>
        <w:tabs>
          <w:tab w:val="left" w:pos="567"/>
        </w:tabs>
        <w:spacing w:line="360" w:lineRule="auto"/>
        <w:ind w:firstLine="480" w:firstLineChars="200"/>
        <w:rPr>
          <w:rFonts w:ascii="仿宋_GB2312" w:hAnsi="宋体"/>
          <w:sz w:val="24"/>
          <w:highlight w:val="none"/>
          <w:lang w:val="en-GB"/>
        </w:rPr>
      </w:pPr>
      <w:r>
        <w:rPr>
          <w:rFonts w:hint="eastAsia" w:ascii="仿宋_GB2312" w:hAnsi="宋体"/>
          <w:sz w:val="24"/>
          <w:highlight w:val="none"/>
          <w:lang w:val="en-GB"/>
        </w:rPr>
        <w:t>本协议受中国现行</w:t>
      </w:r>
      <w:r>
        <w:rPr>
          <w:rFonts w:hint="eastAsia" w:ascii="仿宋_GB2312" w:hAnsi="宋体"/>
          <w:sz w:val="24"/>
          <w:highlight w:val="none"/>
        </w:rPr>
        <w:t>有效的法律</w:t>
      </w:r>
      <w:r>
        <w:rPr>
          <w:rFonts w:hint="eastAsia" w:ascii="仿宋_GB2312" w:hAnsi="宋体"/>
          <w:sz w:val="24"/>
          <w:highlight w:val="none"/>
          <w:lang w:val="en-GB"/>
        </w:rPr>
        <w:t>管辖，因本协议引起的或与本协议有关的任何争议，应由双方先行协商解决，协商不成的，由甲方所在地法院诉讼解决。</w:t>
      </w:r>
    </w:p>
    <w:p w14:paraId="367770E1">
      <w:pPr>
        <w:spacing w:line="360" w:lineRule="auto"/>
        <w:ind w:firstLine="480" w:firstLineChars="200"/>
        <w:rPr>
          <w:rFonts w:ascii="黑体" w:hAnsi="黑体"/>
          <w:sz w:val="24"/>
          <w:highlight w:val="none"/>
        </w:rPr>
      </w:pPr>
      <w:r>
        <w:rPr>
          <w:rFonts w:hint="eastAsia" w:ascii="黑体" w:hAnsi="黑体"/>
          <w:sz w:val="24"/>
          <w:highlight w:val="none"/>
        </w:rPr>
        <w:t xml:space="preserve">第九条 继续有效 </w:t>
      </w:r>
    </w:p>
    <w:p w14:paraId="74D7C97A">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如果本协议有任何条款或部分因任何原因被判定为无效或不可执行，本协议其他条款不应受到影响，在法律允许的范围内继续具有完全效力。</w:t>
      </w:r>
    </w:p>
    <w:p w14:paraId="0DD7A748">
      <w:pPr>
        <w:spacing w:line="360" w:lineRule="auto"/>
        <w:ind w:firstLine="480" w:firstLineChars="200"/>
        <w:rPr>
          <w:rFonts w:ascii="仿宋_GB2312" w:hAnsiTheme="minorEastAsia"/>
          <w:sz w:val="24"/>
          <w:highlight w:val="none"/>
        </w:rPr>
      </w:pPr>
      <w:r>
        <w:rPr>
          <w:rFonts w:hint="eastAsia" w:ascii="黑体" w:hAnsi="黑体"/>
          <w:sz w:val="24"/>
          <w:highlight w:val="none"/>
        </w:rPr>
        <w:t>第十条 协议生效</w:t>
      </w:r>
    </w:p>
    <w:p w14:paraId="7EFA5B53">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1、协议双方同意，本协议于双方签署之日起生效。但是如果本协议签订前存在甲方向乙方提供保密信息的，也适用本协议。</w:t>
      </w:r>
      <w:r>
        <w:rPr>
          <w:rFonts w:ascii="仿宋_GB2312" w:hAnsiTheme="minorEastAsia"/>
          <w:sz w:val="24"/>
          <w:highlight w:val="none"/>
        </w:rPr>
        <w:t xml:space="preserve"> </w:t>
      </w:r>
    </w:p>
    <w:p w14:paraId="65772256">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2、协议双方对本协议内容的修改或补充，应采用书面形式订立补充协议，补充协议经双方签署生效，成为本协议的有效组成部份、与本协议具有同等法律效力。</w:t>
      </w:r>
    </w:p>
    <w:p w14:paraId="0D21DECF">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3、本协议正本一式三份，甲方执两份，乙方执一份，具有同等法律效力。</w:t>
      </w:r>
    </w:p>
    <w:p w14:paraId="42932DAD">
      <w:pPr>
        <w:spacing w:line="360" w:lineRule="auto"/>
        <w:ind w:firstLine="480" w:firstLineChars="200"/>
        <w:rPr>
          <w:rFonts w:ascii="仿宋_GB2312" w:hAnsiTheme="minorEastAsia"/>
          <w:sz w:val="24"/>
          <w:highlight w:val="none"/>
        </w:rPr>
      </w:pPr>
      <w:r>
        <w:rPr>
          <w:rFonts w:hint="eastAsia" w:ascii="仿宋_GB2312" w:hAnsiTheme="minorEastAsia"/>
          <w:sz w:val="24"/>
          <w:highlight w:val="none"/>
        </w:rPr>
        <w:t>兹此，双方已促使本协议由各自正式授权代表签署或加盖双方公章或合同专用章。</w:t>
      </w:r>
    </w:p>
    <w:p w14:paraId="2AE06CEE">
      <w:pPr>
        <w:spacing w:line="360" w:lineRule="auto"/>
        <w:ind w:firstLine="480" w:firstLineChars="200"/>
        <w:rPr>
          <w:rFonts w:ascii="仿宋_GB2312" w:eastAsia="仿宋_GB2312" w:hAnsiTheme="minorEastAsia" w:cstheme="minorEastAsia"/>
          <w:sz w:val="24"/>
          <w:szCs w:val="24"/>
          <w:highlight w:val="none"/>
        </w:rPr>
      </w:pPr>
    </w:p>
    <w:p w14:paraId="3B33CDA1">
      <w:pPr>
        <w:ind w:firstLine="482" w:firstLineChars="200"/>
        <w:rPr>
          <w:rFonts w:ascii="宋体" w:hAnsi="宋体"/>
          <w:b/>
          <w:sz w:val="24"/>
          <w:highlight w:val="none"/>
        </w:rPr>
      </w:pPr>
      <w:r>
        <w:rPr>
          <w:rFonts w:ascii="宋体" w:hAnsi="宋体"/>
          <w:b/>
          <w:sz w:val="24"/>
          <w:highlight w:val="none"/>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一方擅自增加、删改、篡改部分无效（</w:t>
      </w:r>
      <w:r>
        <w:rPr>
          <w:rFonts w:hint="eastAsia" w:ascii="宋体" w:hAnsi="宋体"/>
          <w:b/>
          <w:sz w:val="24"/>
          <w:highlight w:val="none"/>
        </w:rPr>
        <w:t>个人手写</w:t>
      </w:r>
      <w:r>
        <w:rPr>
          <w:rFonts w:ascii="宋体" w:hAnsi="宋体"/>
          <w:b/>
          <w:sz w:val="24"/>
          <w:highlight w:val="none"/>
        </w:rPr>
        <w:t>签名除外）</w:t>
      </w:r>
      <w:r>
        <w:rPr>
          <w:rFonts w:hint="eastAsia" w:ascii="宋体" w:hAnsi="宋体"/>
          <w:b/>
          <w:sz w:val="24"/>
          <w:highlight w:val="none"/>
        </w:rPr>
        <w:t>。</w:t>
      </w:r>
    </w:p>
    <w:p w14:paraId="2B860CA3">
      <w:pPr>
        <w:ind w:firstLine="482" w:firstLineChars="200"/>
        <w:rPr>
          <w:rFonts w:ascii="宋体" w:hAnsi="宋体"/>
          <w:b/>
          <w:sz w:val="24"/>
          <w:highlight w:val="none"/>
        </w:rPr>
      </w:pPr>
      <w:r>
        <w:rPr>
          <w:rFonts w:ascii="宋体" w:hAnsi="宋体"/>
          <w:b/>
          <w:sz w:val="24"/>
          <w:highlight w:val="none"/>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w:t>
      </w:r>
      <w:r>
        <w:rPr>
          <w:rFonts w:hint="eastAsia" w:ascii="宋体" w:hAnsi="宋体"/>
          <w:b/>
          <w:sz w:val="24"/>
          <w:highlight w:val="none"/>
        </w:rPr>
        <w:t>各</w:t>
      </w:r>
      <w:r>
        <w:rPr>
          <w:rFonts w:ascii="宋体" w:hAnsi="宋体"/>
          <w:b/>
          <w:sz w:val="24"/>
          <w:highlight w:val="none"/>
        </w:rPr>
        <w:t>方已签署完毕。</w:t>
      </w:r>
    </w:p>
    <w:p w14:paraId="1A38D5B9">
      <w:pPr>
        <w:spacing w:line="360" w:lineRule="auto"/>
        <w:ind w:firstLine="480" w:firstLineChars="200"/>
        <w:rPr>
          <w:rFonts w:ascii="仿宋_GB2312" w:hAnsiTheme="minorEastAsia"/>
          <w:sz w:val="24"/>
          <w:highlight w:val="none"/>
        </w:rPr>
      </w:pPr>
    </w:p>
    <w:p w14:paraId="12C690B3">
      <w:pPr>
        <w:spacing w:line="360" w:lineRule="auto"/>
        <w:ind w:firstLine="480" w:firstLineChars="200"/>
        <w:rPr>
          <w:rFonts w:ascii="仿宋_GB2312" w:hAnsiTheme="minorEastAsia"/>
          <w:sz w:val="24"/>
          <w:highlight w:val="none"/>
        </w:rPr>
      </w:pPr>
    </w:p>
    <w:p w14:paraId="2C641D50">
      <w:pPr>
        <w:spacing w:line="360" w:lineRule="auto"/>
        <w:rPr>
          <w:rFonts w:ascii="仿宋_GB2312" w:eastAsia="仿宋_GB2312" w:hAnsiTheme="minorEastAsia" w:cstheme="minorEastAsia"/>
          <w:sz w:val="24"/>
          <w:szCs w:val="24"/>
          <w:highlight w:val="none"/>
        </w:rPr>
      </w:pPr>
      <w:r>
        <w:rPr>
          <w:rFonts w:hint="eastAsia" w:ascii="仿宋_GB2312" w:eastAsia="仿宋_GB2312" w:hAnsiTheme="minorEastAsia" w:cstheme="minorEastAsia"/>
          <w:sz w:val="24"/>
          <w:szCs w:val="24"/>
          <w:highlight w:val="none"/>
        </w:rPr>
        <w:t>甲方：中国重汽集团</w:t>
      </w:r>
      <w:r>
        <w:rPr>
          <w:rFonts w:hint="eastAsia" w:ascii="仿宋_GB2312" w:eastAsia="仿宋_GB2312" w:hAnsiTheme="minorEastAsia" w:cstheme="minorEastAsia"/>
          <w:sz w:val="24"/>
          <w:szCs w:val="24"/>
          <w:highlight w:val="none"/>
          <w:u w:val="single"/>
        </w:rPr>
        <w:t xml:space="preserve">                </w:t>
      </w:r>
      <w:r>
        <w:rPr>
          <w:rFonts w:hint="eastAsia" w:ascii="仿宋_GB2312" w:eastAsia="仿宋_GB2312" w:hAnsiTheme="minorEastAsia" w:cstheme="minorEastAsia"/>
          <w:sz w:val="24"/>
          <w:szCs w:val="24"/>
          <w:highlight w:val="none"/>
        </w:rPr>
        <w:t>有限公司（盖章）</w:t>
      </w:r>
    </w:p>
    <w:p w14:paraId="390AEA85">
      <w:pPr>
        <w:spacing w:line="360" w:lineRule="auto"/>
        <w:rPr>
          <w:rFonts w:ascii="仿宋_GB2312" w:eastAsia="仿宋_GB2312" w:hAnsiTheme="minorEastAsia" w:cstheme="minorEastAsia"/>
          <w:sz w:val="24"/>
          <w:szCs w:val="24"/>
          <w:highlight w:val="none"/>
        </w:rPr>
      </w:pPr>
      <w:r>
        <w:rPr>
          <w:rFonts w:hint="eastAsia" w:ascii="仿宋_GB2312" w:eastAsia="仿宋_GB2312" w:hAnsiTheme="minorEastAsia" w:cstheme="minorEastAsia"/>
          <w:sz w:val="24"/>
          <w:szCs w:val="24"/>
          <w:highlight w:val="none"/>
        </w:rPr>
        <w:t>法定代表人或授权代表：</w:t>
      </w:r>
      <w:r>
        <w:rPr>
          <w:rFonts w:hint="eastAsia" w:ascii="仿宋_GB2312" w:eastAsia="仿宋_GB2312" w:hAnsiTheme="minorEastAsia" w:cstheme="minorEastAsia"/>
          <w:sz w:val="24"/>
          <w:szCs w:val="24"/>
          <w:highlight w:val="none"/>
          <w:u w:val="single"/>
        </w:rPr>
        <w:t xml:space="preserve">                </w:t>
      </w:r>
      <w:r>
        <w:rPr>
          <w:rFonts w:hint="eastAsia" w:ascii="仿宋_GB2312" w:eastAsia="仿宋_GB2312" w:hAnsiTheme="minorEastAsia" w:cstheme="minorEastAsia"/>
          <w:sz w:val="24"/>
          <w:szCs w:val="24"/>
          <w:highlight w:val="none"/>
        </w:rPr>
        <w:t>（签字）</w:t>
      </w:r>
    </w:p>
    <w:p w14:paraId="3239EEF8">
      <w:pPr>
        <w:spacing w:line="360" w:lineRule="auto"/>
        <w:rPr>
          <w:rFonts w:ascii="仿宋_GB2312" w:eastAsia="仿宋_GB2312" w:hAnsiTheme="minorEastAsia" w:cstheme="minorEastAsia"/>
          <w:sz w:val="24"/>
          <w:szCs w:val="24"/>
          <w:highlight w:val="none"/>
        </w:rPr>
      </w:pPr>
    </w:p>
    <w:p w14:paraId="1B63A8A3">
      <w:pPr>
        <w:spacing w:line="360" w:lineRule="auto"/>
        <w:rPr>
          <w:rFonts w:ascii="仿宋_GB2312" w:eastAsia="仿宋_GB2312" w:hAnsiTheme="minorEastAsia" w:cstheme="minorEastAsia"/>
          <w:sz w:val="24"/>
          <w:szCs w:val="24"/>
          <w:highlight w:val="none"/>
        </w:rPr>
      </w:pPr>
    </w:p>
    <w:p w14:paraId="6485F78D">
      <w:pPr>
        <w:spacing w:line="360" w:lineRule="auto"/>
        <w:rPr>
          <w:rFonts w:ascii="仿宋_GB2312" w:eastAsia="仿宋_GB2312" w:hAnsiTheme="minorEastAsia" w:cstheme="minorEastAsia"/>
          <w:sz w:val="24"/>
          <w:szCs w:val="24"/>
          <w:highlight w:val="none"/>
        </w:rPr>
      </w:pPr>
    </w:p>
    <w:p w14:paraId="611C2715">
      <w:pPr>
        <w:spacing w:line="360" w:lineRule="auto"/>
        <w:rPr>
          <w:rFonts w:ascii="仿宋_GB2312" w:eastAsia="仿宋_GB2312" w:hAnsiTheme="minorEastAsia" w:cstheme="minorEastAsia"/>
          <w:sz w:val="24"/>
          <w:szCs w:val="24"/>
          <w:highlight w:val="none"/>
        </w:rPr>
      </w:pPr>
      <w:r>
        <w:rPr>
          <w:rFonts w:hint="eastAsia" w:ascii="仿宋_GB2312" w:eastAsia="仿宋_GB2312" w:hAnsiTheme="minorEastAsia" w:cstheme="minorEastAsia"/>
          <w:sz w:val="24"/>
          <w:szCs w:val="24"/>
          <w:highlight w:val="none"/>
        </w:rPr>
        <w:t xml:space="preserve">乙方： </w:t>
      </w:r>
    </w:p>
    <w:p w14:paraId="556B03C6">
      <w:pPr>
        <w:spacing w:line="360" w:lineRule="auto"/>
        <w:rPr>
          <w:rFonts w:ascii="仿宋_GB2312" w:eastAsia="仿宋_GB2312" w:hAnsiTheme="minorEastAsia" w:cstheme="minorEastAsia"/>
          <w:sz w:val="24"/>
          <w:szCs w:val="24"/>
          <w:highlight w:val="none"/>
        </w:rPr>
      </w:pPr>
      <w:r>
        <w:rPr>
          <w:rFonts w:hint="eastAsia" w:ascii="仿宋_GB2312" w:eastAsia="仿宋_GB2312" w:hAnsiTheme="minorEastAsia" w:cstheme="minorEastAsia"/>
          <w:sz w:val="24"/>
          <w:szCs w:val="24"/>
          <w:highlight w:val="none"/>
        </w:rPr>
        <w:t>法定代表人或授权代表：</w:t>
      </w:r>
      <w:r>
        <w:rPr>
          <w:rFonts w:hint="eastAsia" w:ascii="仿宋_GB2312" w:eastAsia="仿宋_GB2312" w:hAnsiTheme="minorEastAsia" w:cstheme="minorEastAsia"/>
          <w:sz w:val="24"/>
          <w:szCs w:val="24"/>
          <w:highlight w:val="none"/>
          <w:u w:val="single"/>
        </w:rPr>
        <w:t xml:space="preserve">                </w:t>
      </w:r>
      <w:r>
        <w:rPr>
          <w:rFonts w:hint="eastAsia" w:ascii="仿宋_GB2312" w:eastAsia="仿宋_GB2312" w:hAnsiTheme="minorEastAsia" w:cstheme="minorEastAsia"/>
          <w:sz w:val="24"/>
          <w:szCs w:val="24"/>
          <w:highlight w:val="none"/>
        </w:rPr>
        <w:t>（签字）</w:t>
      </w:r>
    </w:p>
    <w:p w14:paraId="47AA3905">
      <w:pPr>
        <w:spacing w:line="360" w:lineRule="auto"/>
        <w:ind w:firstLine="5520" w:firstLineChars="2300"/>
        <w:rPr>
          <w:rFonts w:ascii="仿宋_GB2312" w:hAnsiTheme="minorEastAsia"/>
          <w:sz w:val="24"/>
          <w:highlight w:val="none"/>
        </w:rPr>
      </w:pPr>
    </w:p>
    <w:p w14:paraId="27A01FF4">
      <w:pPr>
        <w:spacing w:line="440" w:lineRule="exact"/>
        <w:rPr>
          <w:rFonts w:asciiTheme="minorEastAsia" w:hAnsiTheme="minorEastAsia" w:eastAsiaTheme="minorEastAsia"/>
          <w:b/>
          <w:sz w:val="24"/>
          <w:szCs w:val="24"/>
          <w:highlight w:val="none"/>
        </w:rPr>
      </w:pPr>
    </w:p>
    <w:p w14:paraId="4575B9DF">
      <w:pPr>
        <w:rPr>
          <w:rFonts w:asciiTheme="minorEastAsia" w:hAnsiTheme="minorEastAsia" w:eastAsiaTheme="minorEastAsia"/>
          <w:b/>
          <w:sz w:val="24"/>
          <w:szCs w:val="24"/>
        </w:rPr>
      </w:pPr>
    </w:p>
    <w:sectPr>
      <w:headerReference r:id="rId7" w:type="first"/>
      <w:footerReference r:id="rId9" w:type="first"/>
      <w:headerReference r:id="rId6" w:type="default"/>
      <w:footerReference r:id="rId8" w:type="default"/>
      <w:pgSz w:w="11906" w:h="16838"/>
      <w:pgMar w:top="1588" w:right="1418" w:bottom="1134"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1938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4EAED">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76370">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C9AFF">
                          <w:pPr>
                            <w:pStyle w:val="1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73C9AFF">
                    <w:pPr>
                      <w:pStyle w:val="1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4C51">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F1C69">
                          <w:pPr>
                            <w:pStyle w:val="1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B1F1C69">
                    <w:pPr>
                      <w:pStyle w:val="1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0250C">
    <w:pPr>
      <w:pStyle w:val="20"/>
      <w:pBdr>
        <w:bottom w:val="none" w:color="auto" w:sz="0" w:space="1"/>
      </w:pBdr>
      <w:tabs>
        <w:tab w:val="left" w:pos="1020"/>
        <w:tab w:val="clear" w:pos="4153"/>
      </w:tabs>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908BE">
    <w:pPr>
      <w:pStyle w:val="20"/>
      <w:pBdr>
        <w:bottom w:val="none" w:color="auto" w:sz="0" w:space="0"/>
      </w:pBdr>
      <w:ind w:firstLine="120" w:firstLineChars="50"/>
      <w:jc w:val="left"/>
      <w:rPr>
        <w:sz w:val="24"/>
        <w:szCs w:val="24"/>
      </w:rPr>
    </w:pPr>
  </w:p>
  <w:p w14:paraId="503D8173">
    <w:pPr>
      <w:pStyle w:val="20"/>
      <w:pBdr>
        <w:bottom w:val="none" w:color="auto" w:sz="0" w:space="0"/>
      </w:pBdr>
    </w:pPr>
  </w:p>
  <w:p w14:paraId="641054E3">
    <w:pPr>
      <w:pStyle w:val="20"/>
      <w:pBdr>
        <w:bottom w:val="none" w:color="auto" w:sz="0" w:space="0"/>
      </w:pBdr>
      <w:ind w:right="-483" w:rightChars="-2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D1CE">
    <w:pPr>
      <w:pStyle w:val="20"/>
      <w:pBdr>
        <w:bottom w:val="none" w:color="auto" w:sz="0" w:space="0"/>
      </w:pBdr>
      <w:jc w:val="both"/>
      <w:rPr>
        <w:sz w:val="24"/>
        <w:szCs w:val="24"/>
      </w:rPr>
    </w:pPr>
  </w:p>
  <w:p w14:paraId="1387290A">
    <w:pPr>
      <w:pStyle w:val="20"/>
      <w:pBdr>
        <w:bottom w:val="none" w:color="auto" w:sz="0" w:space="0"/>
      </w:pBdr>
      <w:jc w:val="both"/>
      <w:rPr>
        <w:sz w:val="24"/>
        <w:szCs w:val="24"/>
      </w:rPr>
    </w:pPr>
  </w:p>
  <w:p w14:paraId="6D2E4844">
    <w:pPr>
      <w:pStyle w:val="20"/>
      <w:pBdr>
        <w:bottom w:val="none" w:color="auto" w:sz="0" w:space="0"/>
      </w:pBdr>
      <w:jc w:val="right"/>
      <w:rPr>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435A4"/>
    <w:multiLevelType w:val="multilevel"/>
    <w:tmpl w:val="04A435A4"/>
    <w:lvl w:ilvl="0" w:tentative="0">
      <w:start w:val="5"/>
      <w:numFmt w:val="chineseCountingThousand"/>
      <w:suff w:val="space"/>
      <w:lvlText w:val="%1 、"/>
      <w:lvlJc w:val="left"/>
      <w:pPr>
        <w:ind w:left="0" w:firstLine="510"/>
      </w:pPr>
      <w:rPr>
        <w:rFonts w:hint="eastAsia" w:eastAsia="宋体"/>
        <w:b/>
        <w:i w:val="0"/>
        <w:sz w:val="24"/>
        <w:szCs w:val="24"/>
      </w:rPr>
    </w:lvl>
    <w:lvl w:ilvl="1" w:tentative="0">
      <w:start w:val="1"/>
      <w:numFmt w:val="decimal"/>
      <w:lvlRestart w:val="0"/>
      <w:isLgl/>
      <w:suff w:val="space"/>
      <w:lvlText w:val="%2、"/>
      <w:lvlJc w:val="left"/>
      <w:pPr>
        <w:ind w:left="57" w:firstLine="510"/>
      </w:pPr>
      <w:rPr>
        <w:rFonts w:hint="eastAsia" w:eastAsia="宋体"/>
        <w:sz w:val="24"/>
        <w:szCs w:val="24"/>
      </w:rPr>
    </w:lvl>
    <w:lvl w:ilvl="2" w:tentative="0">
      <w:start w:val="1"/>
      <w:numFmt w:val="decimal"/>
      <w:suff w:val="space"/>
      <w:lvlText w:val="%2.%3"/>
      <w:lvlJc w:val="left"/>
      <w:pPr>
        <w:ind w:left="0" w:firstLine="510"/>
      </w:pPr>
      <w:rPr>
        <w:rFonts w:hint="eastAsia" w:eastAsia="宋体"/>
        <w:b w:val="0"/>
        <w:color w:val="auto"/>
        <w:sz w:val="24"/>
        <w:szCs w:val="24"/>
      </w:rPr>
    </w:lvl>
    <w:lvl w:ilvl="3" w:tentative="0">
      <w:start w:val="1"/>
      <w:numFmt w:val="decimal"/>
      <w:suff w:val="space"/>
      <w:lvlText w:val="(%4)"/>
      <w:lvlJc w:val="left"/>
      <w:pPr>
        <w:ind w:left="0" w:firstLine="510"/>
      </w:pPr>
      <w:rPr>
        <w:rFonts w:hint="eastAsia"/>
        <w:b w:val="0"/>
        <w:sz w:val="24"/>
        <w:szCs w:val="24"/>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
    <w:nsid w:val="70F817EA"/>
    <w:multiLevelType w:val="singleLevel"/>
    <w:tmpl w:val="70F817EA"/>
    <w:lvl w:ilvl="0" w:tentative="0">
      <w:start w:val="1"/>
      <w:numFmt w:val="decimal"/>
      <w:suff w:val="nothing"/>
      <w:lvlText w:val="(%1)"/>
      <w:lvlJc w:val="left"/>
      <w:pPr>
        <w:ind w:left="0" w:firstLine="0"/>
      </w:pPr>
      <w:rPr>
        <w:rFonts w:hint="default"/>
        <w:b w:val="0"/>
        <w:bCs w:val="0"/>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7BF"/>
    <w:rsid w:val="0000048D"/>
    <w:rsid w:val="000014D3"/>
    <w:rsid w:val="00001DCB"/>
    <w:rsid w:val="000056AD"/>
    <w:rsid w:val="00005AF4"/>
    <w:rsid w:val="00006391"/>
    <w:rsid w:val="000073A8"/>
    <w:rsid w:val="00007986"/>
    <w:rsid w:val="00010983"/>
    <w:rsid w:val="00010BB4"/>
    <w:rsid w:val="00010FB5"/>
    <w:rsid w:val="000126A7"/>
    <w:rsid w:val="00013B94"/>
    <w:rsid w:val="000140D2"/>
    <w:rsid w:val="000142C2"/>
    <w:rsid w:val="000153FB"/>
    <w:rsid w:val="00016CB2"/>
    <w:rsid w:val="000201F5"/>
    <w:rsid w:val="0002055A"/>
    <w:rsid w:val="00022BFC"/>
    <w:rsid w:val="00023513"/>
    <w:rsid w:val="000246CB"/>
    <w:rsid w:val="00025E3D"/>
    <w:rsid w:val="00025E68"/>
    <w:rsid w:val="000304EA"/>
    <w:rsid w:val="00030E91"/>
    <w:rsid w:val="00032F3A"/>
    <w:rsid w:val="00033243"/>
    <w:rsid w:val="0003453C"/>
    <w:rsid w:val="00035188"/>
    <w:rsid w:val="00035800"/>
    <w:rsid w:val="000370BC"/>
    <w:rsid w:val="00040F59"/>
    <w:rsid w:val="000426B5"/>
    <w:rsid w:val="00043761"/>
    <w:rsid w:val="000437B4"/>
    <w:rsid w:val="00043B31"/>
    <w:rsid w:val="00043E7D"/>
    <w:rsid w:val="0005298D"/>
    <w:rsid w:val="000547D0"/>
    <w:rsid w:val="00056906"/>
    <w:rsid w:val="00056F0F"/>
    <w:rsid w:val="00060239"/>
    <w:rsid w:val="0006053F"/>
    <w:rsid w:val="00060FC1"/>
    <w:rsid w:val="000626B3"/>
    <w:rsid w:val="0006501F"/>
    <w:rsid w:val="00066685"/>
    <w:rsid w:val="00067867"/>
    <w:rsid w:val="0007042D"/>
    <w:rsid w:val="00071741"/>
    <w:rsid w:val="00071B86"/>
    <w:rsid w:val="00074924"/>
    <w:rsid w:val="00074AC3"/>
    <w:rsid w:val="0007601C"/>
    <w:rsid w:val="00077AF5"/>
    <w:rsid w:val="0008080E"/>
    <w:rsid w:val="00080A11"/>
    <w:rsid w:val="00081F41"/>
    <w:rsid w:val="00082151"/>
    <w:rsid w:val="000825CD"/>
    <w:rsid w:val="00083710"/>
    <w:rsid w:val="00083C90"/>
    <w:rsid w:val="0008454C"/>
    <w:rsid w:val="0008616A"/>
    <w:rsid w:val="00086313"/>
    <w:rsid w:val="00087C81"/>
    <w:rsid w:val="000940E3"/>
    <w:rsid w:val="00094EC9"/>
    <w:rsid w:val="00097138"/>
    <w:rsid w:val="000A0EDD"/>
    <w:rsid w:val="000A10C4"/>
    <w:rsid w:val="000A202D"/>
    <w:rsid w:val="000A2BA0"/>
    <w:rsid w:val="000A5015"/>
    <w:rsid w:val="000A5072"/>
    <w:rsid w:val="000A7372"/>
    <w:rsid w:val="000A7EDB"/>
    <w:rsid w:val="000B1727"/>
    <w:rsid w:val="000B1E28"/>
    <w:rsid w:val="000B5234"/>
    <w:rsid w:val="000B527D"/>
    <w:rsid w:val="000B6DD8"/>
    <w:rsid w:val="000B705B"/>
    <w:rsid w:val="000C1BB6"/>
    <w:rsid w:val="000C3151"/>
    <w:rsid w:val="000C65C2"/>
    <w:rsid w:val="000D14A9"/>
    <w:rsid w:val="000D3325"/>
    <w:rsid w:val="000D486E"/>
    <w:rsid w:val="000D4D7C"/>
    <w:rsid w:val="000D4EA2"/>
    <w:rsid w:val="000D5ACE"/>
    <w:rsid w:val="000D63EF"/>
    <w:rsid w:val="000D6C0C"/>
    <w:rsid w:val="000D7A5B"/>
    <w:rsid w:val="000E141B"/>
    <w:rsid w:val="000E18E1"/>
    <w:rsid w:val="000E329A"/>
    <w:rsid w:val="000E356E"/>
    <w:rsid w:val="000E70CB"/>
    <w:rsid w:val="000E720A"/>
    <w:rsid w:val="000F02A3"/>
    <w:rsid w:val="000F25E7"/>
    <w:rsid w:val="000F3869"/>
    <w:rsid w:val="000F3A83"/>
    <w:rsid w:val="000F4027"/>
    <w:rsid w:val="000F456F"/>
    <w:rsid w:val="000F5488"/>
    <w:rsid w:val="000F5B0A"/>
    <w:rsid w:val="00100754"/>
    <w:rsid w:val="00101DA8"/>
    <w:rsid w:val="00102A52"/>
    <w:rsid w:val="00105E10"/>
    <w:rsid w:val="00106078"/>
    <w:rsid w:val="001069A6"/>
    <w:rsid w:val="00107ADD"/>
    <w:rsid w:val="00110520"/>
    <w:rsid w:val="00112A18"/>
    <w:rsid w:val="0011312D"/>
    <w:rsid w:val="0011354F"/>
    <w:rsid w:val="00114375"/>
    <w:rsid w:val="00114A6A"/>
    <w:rsid w:val="001158C7"/>
    <w:rsid w:val="001160D8"/>
    <w:rsid w:val="0012053A"/>
    <w:rsid w:val="00120F1C"/>
    <w:rsid w:val="001228DF"/>
    <w:rsid w:val="00124193"/>
    <w:rsid w:val="00124801"/>
    <w:rsid w:val="00124DC8"/>
    <w:rsid w:val="0012571D"/>
    <w:rsid w:val="001258FA"/>
    <w:rsid w:val="001267A2"/>
    <w:rsid w:val="00126ED2"/>
    <w:rsid w:val="001302DE"/>
    <w:rsid w:val="00131694"/>
    <w:rsid w:val="00131E0F"/>
    <w:rsid w:val="00134429"/>
    <w:rsid w:val="001353DD"/>
    <w:rsid w:val="0013630E"/>
    <w:rsid w:val="00136356"/>
    <w:rsid w:val="001369FF"/>
    <w:rsid w:val="00140381"/>
    <w:rsid w:val="0014056C"/>
    <w:rsid w:val="00140711"/>
    <w:rsid w:val="00140736"/>
    <w:rsid w:val="001434B4"/>
    <w:rsid w:val="001458B6"/>
    <w:rsid w:val="00147091"/>
    <w:rsid w:val="001471D4"/>
    <w:rsid w:val="0015024C"/>
    <w:rsid w:val="00150C31"/>
    <w:rsid w:val="00152193"/>
    <w:rsid w:val="00152259"/>
    <w:rsid w:val="001531DD"/>
    <w:rsid w:val="001533AA"/>
    <w:rsid w:val="00153684"/>
    <w:rsid w:val="00156266"/>
    <w:rsid w:val="00156A1E"/>
    <w:rsid w:val="0015720C"/>
    <w:rsid w:val="00157B9E"/>
    <w:rsid w:val="001609DF"/>
    <w:rsid w:val="00161531"/>
    <w:rsid w:val="00162435"/>
    <w:rsid w:val="00162592"/>
    <w:rsid w:val="00162999"/>
    <w:rsid w:val="0016501A"/>
    <w:rsid w:val="001652C8"/>
    <w:rsid w:val="001656BB"/>
    <w:rsid w:val="001663D2"/>
    <w:rsid w:val="001708B6"/>
    <w:rsid w:val="0017281F"/>
    <w:rsid w:val="00172ADC"/>
    <w:rsid w:val="00173F23"/>
    <w:rsid w:val="001749E7"/>
    <w:rsid w:val="00174A06"/>
    <w:rsid w:val="0017622A"/>
    <w:rsid w:val="00176B3A"/>
    <w:rsid w:val="00180DE7"/>
    <w:rsid w:val="0018208D"/>
    <w:rsid w:val="001850E7"/>
    <w:rsid w:val="00186A61"/>
    <w:rsid w:val="00187848"/>
    <w:rsid w:val="0019057F"/>
    <w:rsid w:val="00191E43"/>
    <w:rsid w:val="001953D9"/>
    <w:rsid w:val="001A0476"/>
    <w:rsid w:val="001A0538"/>
    <w:rsid w:val="001A479C"/>
    <w:rsid w:val="001A7750"/>
    <w:rsid w:val="001B00E7"/>
    <w:rsid w:val="001B13F5"/>
    <w:rsid w:val="001B1B87"/>
    <w:rsid w:val="001B1F29"/>
    <w:rsid w:val="001B2B12"/>
    <w:rsid w:val="001B644A"/>
    <w:rsid w:val="001B6547"/>
    <w:rsid w:val="001B6A93"/>
    <w:rsid w:val="001C04E2"/>
    <w:rsid w:val="001C109C"/>
    <w:rsid w:val="001C1D5C"/>
    <w:rsid w:val="001C3215"/>
    <w:rsid w:val="001C3682"/>
    <w:rsid w:val="001C3E67"/>
    <w:rsid w:val="001C5908"/>
    <w:rsid w:val="001C70F9"/>
    <w:rsid w:val="001D12D4"/>
    <w:rsid w:val="001D1DF0"/>
    <w:rsid w:val="001D6A5D"/>
    <w:rsid w:val="001E0B6D"/>
    <w:rsid w:val="001E1AA5"/>
    <w:rsid w:val="001E1FE5"/>
    <w:rsid w:val="001E2AFF"/>
    <w:rsid w:val="001E397B"/>
    <w:rsid w:val="001E39F6"/>
    <w:rsid w:val="001E3ABF"/>
    <w:rsid w:val="001E4691"/>
    <w:rsid w:val="001E63F0"/>
    <w:rsid w:val="001F25F8"/>
    <w:rsid w:val="001F337F"/>
    <w:rsid w:val="001F3706"/>
    <w:rsid w:val="001F3871"/>
    <w:rsid w:val="001F46E7"/>
    <w:rsid w:val="001F5748"/>
    <w:rsid w:val="001F73CB"/>
    <w:rsid w:val="00201687"/>
    <w:rsid w:val="00201D34"/>
    <w:rsid w:val="0020244E"/>
    <w:rsid w:val="002033F6"/>
    <w:rsid w:val="00203CED"/>
    <w:rsid w:val="00203CF7"/>
    <w:rsid w:val="00204261"/>
    <w:rsid w:val="002047D2"/>
    <w:rsid w:val="00204DAB"/>
    <w:rsid w:val="00205586"/>
    <w:rsid w:val="00206B5F"/>
    <w:rsid w:val="00206D6F"/>
    <w:rsid w:val="002075B3"/>
    <w:rsid w:val="00211C25"/>
    <w:rsid w:val="00215247"/>
    <w:rsid w:val="00215597"/>
    <w:rsid w:val="002157D9"/>
    <w:rsid w:val="0021644E"/>
    <w:rsid w:val="00216AA3"/>
    <w:rsid w:val="002178FD"/>
    <w:rsid w:val="00223BB6"/>
    <w:rsid w:val="00223FED"/>
    <w:rsid w:val="002272FC"/>
    <w:rsid w:val="0023111B"/>
    <w:rsid w:val="0023452A"/>
    <w:rsid w:val="00234B42"/>
    <w:rsid w:val="00235762"/>
    <w:rsid w:val="0023641F"/>
    <w:rsid w:val="0023657F"/>
    <w:rsid w:val="00236F49"/>
    <w:rsid w:val="002401A4"/>
    <w:rsid w:val="00240742"/>
    <w:rsid w:val="00240890"/>
    <w:rsid w:val="00240DB5"/>
    <w:rsid w:val="00243948"/>
    <w:rsid w:val="002444B8"/>
    <w:rsid w:val="00245CCD"/>
    <w:rsid w:val="002476B1"/>
    <w:rsid w:val="002510B3"/>
    <w:rsid w:val="002516D9"/>
    <w:rsid w:val="0025278D"/>
    <w:rsid w:val="00253E44"/>
    <w:rsid w:val="00254642"/>
    <w:rsid w:val="0025474D"/>
    <w:rsid w:val="00255AC4"/>
    <w:rsid w:val="00256680"/>
    <w:rsid w:val="002575B7"/>
    <w:rsid w:val="00261779"/>
    <w:rsid w:val="00264203"/>
    <w:rsid w:val="0026442A"/>
    <w:rsid w:val="002650E7"/>
    <w:rsid w:val="00266C0D"/>
    <w:rsid w:val="00267148"/>
    <w:rsid w:val="002714D2"/>
    <w:rsid w:val="00271A2C"/>
    <w:rsid w:val="00272D15"/>
    <w:rsid w:val="0027316E"/>
    <w:rsid w:val="002731AC"/>
    <w:rsid w:val="00274153"/>
    <w:rsid w:val="00274683"/>
    <w:rsid w:val="0027584C"/>
    <w:rsid w:val="0028000E"/>
    <w:rsid w:val="002806B7"/>
    <w:rsid w:val="00284CC0"/>
    <w:rsid w:val="00285D9D"/>
    <w:rsid w:val="002908CC"/>
    <w:rsid w:val="00290AF9"/>
    <w:rsid w:val="002918DB"/>
    <w:rsid w:val="00297CE2"/>
    <w:rsid w:val="002A00F9"/>
    <w:rsid w:val="002A0242"/>
    <w:rsid w:val="002A133F"/>
    <w:rsid w:val="002A2AAF"/>
    <w:rsid w:val="002B032B"/>
    <w:rsid w:val="002B12F1"/>
    <w:rsid w:val="002B1789"/>
    <w:rsid w:val="002B2899"/>
    <w:rsid w:val="002B5016"/>
    <w:rsid w:val="002B510D"/>
    <w:rsid w:val="002B5135"/>
    <w:rsid w:val="002B5881"/>
    <w:rsid w:val="002B5BE4"/>
    <w:rsid w:val="002B6209"/>
    <w:rsid w:val="002B6E49"/>
    <w:rsid w:val="002C129C"/>
    <w:rsid w:val="002C44D2"/>
    <w:rsid w:val="002C4A24"/>
    <w:rsid w:val="002C4A5B"/>
    <w:rsid w:val="002C662D"/>
    <w:rsid w:val="002C6BB4"/>
    <w:rsid w:val="002D037B"/>
    <w:rsid w:val="002D046C"/>
    <w:rsid w:val="002D1F57"/>
    <w:rsid w:val="002D3628"/>
    <w:rsid w:val="002D38FC"/>
    <w:rsid w:val="002D3B8C"/>
    <w:rsid w:val="002D478F"/>
    <w:rsid w:val="002D50D1"/>
    <w:rsid w:val="002D5BA2"/>
    <w:rsid w:val="002D67B7"/>
    <w:rsid w:val="002D700F"/>
    <w:rsid w:val="002D742C"/>
    <w:rsid w:val="002D79E9"/>
    <w:rsid w:val="002D7B89"/>
    <w:rsid w:val="002E0BDC"/>
    <w:rsid w:val="002E2C82"/>
    <w:rsid w:val="002E3F33"/>
    <w:rsid w:val="002E556A"/>
    <w:rsid w:val="002F0674"/>
    <w:rsid w:val="002F08AD"/>
    <w:rsid w:val="002F2D1C"/>
    <w:rsid w:val="002F4F8D"/>
    <w:rsid w:val="002F4F93"/>
    <w:rsid w:val="002F73C1"/>
    <w:rsid w:val="002F7E55"/>
    <w:rsid w:val="0030183C"/>
    <w:rsid w:val="00302A83"/>
    <w:rsid w:val="00303AD0"/>
    <w:rsid w:val="003046ED"/>
    <w:rsid w:val="00304E5C"/>
    <w:rsid w:val="003058C6"/>
    <w:rsid w:val="003058F1"/>
    <w:rsid w:val="0031082A"/>
    <w:rsid w:val="00312AD3"/>
    <w:rsid w:val="00314492"/>
    <w:rsid w:val="0031577A"/>
    <w:rsid w:val="00316501"/>
    <w:rsid w:val="0031690F"/>
    <w:rsid w:val="003206D2"/>
    <w:rsid w:val="003222CF"/>
    <w:rsid w:val="0032300C"/>
    <w:rsid w:val="00323B1A"/>
    <w:rsid w:val="00323D93"/>
    <w:rsid w:val="00326B4B"/>
    <w:rsid w:val="00330BD9"/>
    <w:rsid w:val="00331BD6"/>
    <w:rsid w:val="00334FCD"/>
    <w:rsid w:val="00335566"/>
    <w:rsid w:val="00336641"/>
    <w:rsid w:val="00337328"/>
    <w:rsid w:val="00337877"/>
    <w:rsid w:val="00340A81"/>
    <w:rsid w:val="003421B5"/>
    <w:rsid w:val="00342CD3"/>
    <w:rsid w:val="003447BF"/>
    <w:rsid w:val="00344B0C"/>
    <w:rsid w:val="003450FE"/>
    <w:rsid w:val="003453B7"/>
    <w:rsid w:val="00345A9C"/>
    <w:rsid w:val="00345ECF"/>
    <w:rsid w:val="00347301"/>
    <w:rsid w:val="0034785B"/>
    <w:rsid w:val="00347B4A"/>
    <w:rsid w:val="00347CC2"/>
    <w:rsid w:val="0035039C"/>
    <w:rsid w:val="0035253E"/>
    <w:rsid w:val="00352633"/>
    <w:rsid w:val="00355F34"/>
    <w:rsid w:val="00360B4A"/>
    <w:rsid w:val="003635F7"/>
    <w:rsid w:val="00363D42"/>
    <w:rsid w:val="0036526F"/>
    <w:rsid w:val="00367B96"/>
    <w:rsid w:val="003711AC"/>
    <w:rsid w:val="00372F98"/>
    <w:rsid w:val="003733C4"/>
    <w:rsid w:val="00373854"/>
    <w:rsid w:val="00373F41"/>
    <w:rsid w:val="00376454"/>
    <w:rsid w:val="003767B9"/>
    <w:rsid w:val="00376E2C"/>
    <w:rsid w:val="003807C0"/>
    <w:rsid w:val="0038329C"/>
    <w:rsid w:val="003841E8"/>
    <w:rsid w:val="0038469B"/>
    <w:rsid w:val="003854C5"/>
    <w:rsid w:val="00386E3B"/>
    <w:rsid w:val="00390585"/>
    <w:rsid w:val="0039243F"/>
    <w:rsid w:val="00394CD6"/>
    <w:rsid w:val="00394ED9"/>
    <w:rsid w:val="00395B97"/>
    <w:rsid w:val="00396005"/>
    <w:rsid w:val="003962B6"/>
    <w:rsid w:val="003970DC"/>
    <w:rsid w:val="003A142B"/>
    <w:rsid w:val="003A1BFD"/>
    <w:rsid w:val="003A22A0"/>
    <w:rsid w:val="003A3633"/>
    <w:rsid w:val="003A5AB3"/>
    <w:rsid w:val="003B2025"/>
    <w:rsid w:val="003B224A"/>
    <w:rsid w:val="003B4A6D"/>
    <w:rsid w:val="003B6F25"/>
    <w:rsid w:val="003B77E9"/>
    <w:rsid w:val="003B7A95"/>
    <w:rsid w:val="003C0D3E"/>
    <w:rsid w:val="003C1D15"/>
    <w:rsid w:val="003C4BB9"/>
    <w:rsid w:val="003C51CE"/>
    <w:rsid w:val="003C7963"/>
    <w:rsid w:val="003C7AC5"/>
    <w:rsid w:val="003D192F"/>
    <w:rsid w:val="003D2165"/>
    <w:rsid w:val="003D24E4"/>
    <w:rsid w:val="003D6390"/>
    <w:rsid w:val="003D77DF"/>
    <w:rsid w:val="003D7BF1"/>
    <w:rsid w:val="003E09EB"/>
    <w:rsid w:val="003E1132"/>
    <w:rsid w:val="003E2B07"/>
    <w:rsid w:val="003E2E9F"/>
    <w:rsid w:val="003E2F40"/>
    <w:rsid w:val="003E523A"/>
    <w:rsid w:val="003E7138"/>
    <w:rsid w:val="003E7A55"/>
    <w:rsid w:val="003F1410"/>
    <w:rsid w:val="003F18EF"/>
    <w:rsid w:val="003F23A6"/>
    <w:rsid w:val="003F2A8C"/>
    <w:rsid w:val="003F3692"/>
    <w:rsid w:val="003F5F7A"/>
    <w:rsid w:val="0040022A"/>
    <w:rsid w:val="004007F3"/>
    <w:rsid w:val="00403331"/>
    <w:rsid w:val="00404A3D"/>
    <w:rsid w:val="00404B70"/>
    <w:rsid w:val="00405189"/>
    <w:rsid w:val="004068B2"/>
    <w:rsid w:val="004068FB"/>
    <w:rsid w:val="00406C8E"/>
    <w:rsid w:val="00407DF6"/>
    <w:rsid w:val="00412A67"/>
    <w:rsid w:val="00413080"/>
    <w:rsid w:val="00413830"/>
    <w:rsid w:val="00415E31"/>
    <w:rsid w:val="004171AC"/>
    <w:rsid w:val="00417894"/>
    <w:rsid w:val="00417AE1"/>
    <w:rsid w:val="00420A69"/>
    <w:rsid w:val="00420CDB"/>
    <w:rsid w:val="004242C0"/>
    <w:rsid w:val="00424959"/>
    <w:rsid w:val="004249D6"/>
    <w:rsid w:val="00424CEC"/>
    <w:rsid w:val="00424FF3"/>
    <w:rsid w:val="00425890"/>
    <w:rsid w:val="00426825"/>
    <w:rsid w:val="00427430"/>
    <w:rsid w:val="00430437"/>
    <w:rsid w:val="00431929"/>
    <w:rsid w:val="00432CA1"/>
    <w:rsid w:val="00432D9A"/>
    <w:rsid w:val="00432F85"/>
    <w:rsid w:val="004331B4"/>
    <w:rsid w:val="004338F3"/>
    <w:rsid w:val="00433B7C"/>
    <w:rsid w:val="0043557D"/>
    <w:rsid w:val="00435C8F"/>
    <w:rsid w:val="004369CE"/>
    <w:rsid w:val="004408FF"/>
    <w:rsid w:val="00440B29"/>
    <w:rsid w:val="004419A1"/>
    <w:rsid w:val="00441EA6"/>
    <w:rsid w:val="00442587"/>
    <w:rsid w:val="004439A5"/>
    <w:rsid w:val="00444400"/>
    <w:rsid w:val="00445613"/>
    <w:rsid w:val="00446B20"/>
    <w:rsid w:val="004470A7"/>
    <w:rsid w:val="0044784B"/>
    <w:rsid w:val="004525CF"/>
    <w:rsid w:val="00454AB3"/>
    <w:rsid w:val="00455615"/>
    <w:rsid w:val="004558A9"/>
    <w:rsid w:val="00455952"/>
    <w:rsid w:val="00456007"/>
    <w:rsid w:val="00456A3C"/>
    <w:rsid w:val="00461D9C"/>
    <w:rsid w:val="00461E1E"/>
    <w:rsid w:val="00463340"/>
    <w:rsid w:val="004639DA"/>
    <w:rsid w:val="004640C9"/>
    <w:rsid w:val="004642D4"/>
    <w:rsid w:val="00464855"/>
    <w:rsid w:val="004751DE"/>
    <w:rsid w:val="00475F4C"/>
    <w:rsid w:val="004777FD"/>
    <w:rsid w:val="00477BDC"/>
    <w:rsid w:val="00483ACC"/>
    <w:rsid w:val="004843CF"/>
    <w:rsid w:val="00484890"/>
    <w:rsid w:val="00484DAB"/>
    <w:rsid w:val="00484DBA"/>
    <w:rsid w:val="00490786"/>
    <w:rsid w:val="00490A80"/>
    <w:rsid w:val="00490A89"/>
    <w:rsid w:val="00492A36"/>
    <w:rsid w:val="00492E73"/>
    <w:rsid w:val="0049342B"/>
    <w:rsid w:val="0049408B"/>
    <w:rsid w:val="0049581C"/>
    <w:rsid w:val="004A0138"/>
    <w:rsid w:val="004A2295"/>
    <w:rsid w:val="004A28D1"/>
    <w:rsid w:val="004A6294"/>
    <w:rsid w:val="004A650B"/>
    <w:rsid w:val="004A73B5"/>
    <w:rsid w:val="004A78E9"/>
    <w:rsid w:val="004B0197"/>
    <w:rsid w:val="004B08A6"/>
    <w:rsid w:val="004B135E"/>
    <w:rsid w:val="004B2681"/>
    <w:rsid w:val="004B2F5D"/>
    <w:rsid w:val="004B4371"/>
    <w:rsid w:val="004B486A"/>
    <w:rsid w:val="004B58F5"/>
    <w:rsid w:val="004B7614"/>
    <w:rsid w:val="004C11FF"/>
    <w:rsid w:val="004C15BD"/>
    <w:rsid w:val="004C2141"/>
    <w:rsid w:val="004C3010"/>
    <w:rsid w:val="004C485E"/>
    <w:rsid w:val="004C5E79"/>
    <w:rsid w:val="004C60F2"/>
    <w:rsid w:val="004D177C"/>
    <w:rsid w:val="004D1C6B"/>
    <w:rsid w:val="004D1DEE"/>
    <w:rsid w:val="004D26A6"/>
    <w:rsid w:val="004D3345"/>
    <w:rsid w:val="004D392B"/>
    <w:rsid w:val="004D5A62"/>
    <w:rsid w:val="004D70FC"/>
    <w:rsid w:val="004E0EED"/>
    <w:rsid w:val="004E315E"/>
    <w:rsid w:val="004F2DD3"/>
    <w:rsid w:val="004F47A8"/>
    <w:rsid w:val="004F50BC"/>
    <w:rsid w:val="004F5278"/>
    <w:rsid w:val="004F5827"/>
    <w:rsid w:val="004F5994"/>
    <w:rsid w:val="004F5E7F"/>
    <w:rsid w:val="004F6792"/>
    <w:rsid w:val="004F726A"/>
    <w:rsid w:val="004F78CE"/>
    <w:rsid w:val="00500CD9"/>
    <w:rsid w:val="00501A26"/>
    <w:rsid w:val="005023A3"/>
    <w:rsid w:val="0050287F"/>
    <w:rsid w:val="00505662"/>
    <w:rsid w:val="00506771"/>
    <w:rsid w:val="00506F0F"/>
    <w:rsid w:val="00507DB0"/>
    <w:rsid w:val="005108CD"/>
    <w:rsid w:val="00513345"/>
    <w:rsid w:val="00513892"/>
    <w:rsid w:val="00515BAC"/>
    <w:rsid w:val="005207CB"/>
    <w:rsid w:val="005225BE"/>
    <w:rsid w:val="005258B1"/>
    <w:rsid w:val="005259EE"/>
    <w:rsid w:val="0052690E"/>
    <w:rsid w:val="0052786D"/>
    <w:rsid w:val="00527CA1"/>
    <w:rsid w:val="00530470"/>
    <w:rsid w:val="0053060F"/>
    <w:rsid w:val="00530F5A"/>
    <w:rsid w:val="00531AA4"/>
    <w:rsid w:val="005327D0"/>
    <w:rsid w:val="00534424"/>
    <w:rsid w:val="00534EF3"/>
    <w:rsid w:val="00535477"/>
    <w:rsid w:val="00537577"/>
    <w:rsid w:val="00537F86"/>
    <w:rsid w:val="005404C5"/>
    <w:rsid w:val="00541DDC"/>
    <w:rsid w:val="005435FD"/>
    <w:rsid w:val="00543AA0"/>
    <w:rsid w:val="0054493C"/>
    <w:rsid w:val="005450F5"/>
    <w:rsid w:val="0054764C"/>
    <w:rsid w:val="0055043D"/>
    <w:rsid w:val="00551123"/>
    <w:rsid w:val="00551492"/>
    <w:rsid w:val="005515D7"/>
    <w:rsid w:val="0056051C"/>
    <w:rsid w:val="00562D9E"/>
    <w:rsid w:val="00562F3F"/>
    <w:rsid w:val="00563AA4"/>
    <w:rsid w:val="00563DBA"/>
    <w:rsid w:val="00565140"/>
    <w:rsid w:val="005666BC"/>
    <w:rsid w:val="00567EE7"/>
    <w:rsid w:val="00570BBF"/>
    <w:rsid w:val="00572A33"/>
    <w:rsid w:val="00573BA8"/>
    <w:rsid w:val="005746D2"/>
    <w:rsid w:val="0057534A"/>
    <w:rsid w:val="005754CE"/>
    <w:rsid w:val="00575602"/>
    <w:rsid w:val="00576694"/>
    <w:rsid w:val="00576B92"/>
    <w:rsid w:val="00580029"/>
    <w:rsid w:val="00580ACA"/>
    <w:rsid w:val="00580BF4"/>
    <w:rsid w:val="00581E43"/>
    <w:rsid w:val="00582FC4"/>
    <w:rsid w:val="0058351A"/>
    <w:rsid w:val="0058593C"/>
    <w:rsid w:val="0058737F"/>
    <w:rsid w:val="005877F8"/>
    <w:rsid w:val="00590E34"/>
    <w:rsid w:val="00591228"/>
    <w:rsid w:val="00591B98"/>
    <w:rsid w:val="00591FD1"/>
    <w:rsid w:val="00593602"/>
    <w:rsid w:val="00594757"/>
    <w:rsid w:val="005A0210"/>
    <w:rsid w:val="005A11E5"/>
    <w:rsid w:val="005A58E1"/>
    <w:rsid w:val="005B1BF3"/>
    <w:rsid w:val="005B67D4"/>
    <w:rsid w:val="005B7D81"/>
    <w:rsid w:val="005C12DC"/>
    <w:rsid w:val="005C1667"/>
    <w:rsid w:val="005C1F5E"/>
    <w:rsid w:val="005C223C"/>
    <w:rsid w:val="005C2443"/>
    <w:rsid w:val="005C35EA"/>
    <w:rsid w:val="005C36E5"/>
    <w:rsid w:val="005C3EBF"/>
    <w:rsid w:val="005C43D6"/>
    <w:rsid w:val="005C520D"/>
    <w:rsid w:val="005C57D4"/>
    <w:rsid w:val="005C61FD"/>
    <w:rsid w:val="005C65E5"/>
    <w:rsid w:val="005C662C"/>
    <w:rsid w:val="005C6811"/>
    <w:rsid w:val="005C7618"/>
    <w:rsid w:val="005C782D"/>
    <w:rsid w:val="005D0063"/>
    <w:rsid w:val="005D1AFA"/>
    <w:rsid w:val="005D216C"/>
    <w:rsid w:val="005D2F1F"/>
    <w:rsid w:val="005D31AB"/>
    <w:rsid w:val="005D569B"/>
    <w:rsid w:val="005D59EF"/>
    <w:rsid w:val="005D63A5"/>
    <w:rsid w:val="005D6C31"/>
    <w:rsid w:val="005D7CEF"/>
    <w:rsid w:val="005D7E2E"/>
    <w:rsid w:val="005E1353"/>
    <w:rsid w:val="005E276D"/>
    <w:rsid w:val="005E446B"/>
    <w:rsid w:val="005E4709"/>
    <w:rsid w:val="005E5082"/>
    <w:rsid w:val="005E50FA"/>
    <w:rsid w:val="005E5FEF"/>
    <w:rsid w:val="005E637D"/>
    <w:rsid w:val="005E7143"/>
    <w:rsid w:val="005F380F"/>
    <w:rsid w:val="005F3D67"/>
    <w:rsid w:val="005F6885"/>
    <w:rsid w:val="005F6EEB"/>
    <w:rsid w:val="005F76A1"/>
    <w:rsid w:val="005F79B1"/>
    <w:rsid w:val="00600C96"/>
    <w:rsid w:val="00601DB5"/>
    <w:rsid w:val="0060404B"/>
    <w:rsid w:val="0060496B"/>
    <w:rsid w:val="006053FA"/>
    <w:rsid w:val="00605A5D"/>
    <w:rsid w:val="00607354"/>
    <w:rsid w:val="006073AC"/>
    <w:rsid w:val="006079E8"/>
    <w:rsid w:val="00610EC5"/>
    <w:rsid w:val="006129C4"/>
    <w:rsid w:val="0061445A"/>
    <w:rsid w:val="00614E7B"/>
    <w:rsid w:val="006155BE"/>
    <w:rsid w:val="00615DF9"/>
    <w:rsid w:val="006160AC"/>
    <w:rsid w:val="006178D9"/>
    <w:rsid w:val="006204FB"/>
    <w:rsid w:val="00621AEE"/>
    <w:rsid w:val="00622EBF"/>
    <w:rsid w:val="00624CCB"/>
    <w:rsid w:val="00627715"/>
    <w:rsid w:val="006309DA"/>
    <w:rsid w:val="00630E44"/>
    <w:rsid w:val="00630EF0"/>
    <w:rsid w:val="00632470"/>
    <w:rsid w:val="006329B9"/>
    <w:rsid w:val="00632AFC"/>
    <w:rsid w:val="00632CE5"/>
    <w:rsid w:val="0063460A"/>
    <w:rsid w:val="006348DA"/>
    <w:rsid w:val="00635B90"/>
    <w:rsid w:val="006362CD"/>
    <w:rsid w:val="00637C80"/>
    <w:rsid w:val="00640312"/>
    <w:rsid w:val="00640E88"/>
    <w:rsid w:val="006411A5"/>
    <w:rsid w:val="00641866"/>
    <w:rsid w:val="006422D1"/>
    <w:rsid w:val="006424EF"/>
    <w:rsid w:val="0064270E"/>
    <w:rsid w:val="00645F80"/>
    <w:rsid w:val="00645FB2"/>
    <w:rsid w:val="00646647"/>
    <w:rsid w:val="00647218"/>
    <w:rsid w:val="00647775"/>
    <w:rsid w:val="00647B2A"/>
    <w:rsid w:val="00654FCF"/>
    <w:rsid w:val="00655E63"/>
    <w:rsid w:val="006570AD"/>
    <w:rsid w:val="00657394"/>
    <w:rsid w:val="006606B7"/>
    <w:rsid w:val="00662BC7"/>
    <w:rsid w:val="006639D2"/>
    <w:rsid w:val="006643CD"/>
    <w:rsid w:val="0066484F"/>
    <w:rsid w:val="0066495C"/>
    <w:rsid w:val="006668A3"/>
    <w:rsid w:val="0067145D"/>
    <w:rsid w:val="00672E17"/>
    <w:rsid w:val="00672E52"/>
    <w:rsid w:val="00672FCF"/>
    <w:rsid w:val="0067399D"/>
    <w:rsid w:val="0067471C"/>
    <w:rsid w:val="00675DCA"/>
    <w:rsid w:val="006760EA"/>
    <w:rsid w:val="006777B0"/>
    <w:rsid w:val="006778F7"/>
    <w:rsid w:val="00677917"/>
    <w:rsid w:val="006802D8"/>
    <w:rsid w:val="0068232F"/>
    <w:rsid w:val="00682721"/>
    <w:rsid w:val="00682BCD"/>
    <w:rsid w:val="00684592"/>
    <w:rsid w:val="00687831"/>
    <w:rsid w:val="00687ED7"/>
    <w:rsid w:val="0069033F"/>
    <w:rsid w:val="006913DE"/>
    <w:rsid w:val="00691473"/>
    <w:rsid w:val="0069148D"/>
    <w:rsid w:val="00692FF4"/>
    <w:rsid w:val="00694336"/>
    <w:rsid w:val="00695499"/>
    <w:rsid w:val="00696044"/>
    <w:rsid w:val="00697B53"/>
    <w:rsid w:val="006A2099"/>
    <w:rsid w:val="006A2FCB"/>
    <w:rsid w:val="006A449C"/>
    <w:rsid w:val="006A4EC8"/>
    <w:rsid w:val="006A5CB6"/>
    <w:rsid w:val="006A756D"/>
    <w:rsid w:val="006A75D9"/>
    <w:rsid w:val="006B1E24"/>
    <w:rsid w:val="006B44BF"/>
    <w:rsid w:val="006B5F1F"/>
    <w:rsid w:val="006B631E"/>
    <w:rsid w:val="006B6FA0"/>
    <w:rsid w:val="006B7456"/>
    <w:rsid w:val="006B7D4F"/>
    <w:rsid w:val="006C0AEC"/>
    <w:rsid w:val="006C31FA"/>
    <w:rsid w:val="006C3235"/>
    <w:rsid w:val="006C38D4"/>
    <w:rsid w:val="006C460A"/>
    <w:rsid w:val="006C5C0F"/>
    <w:rsid w:val="006C772B"/>
    <w:rsid w:val="006C78F6"/>
    <w:rsid w:val="006C798A"/>
    <w:rsid w:val="006D4F11"/>
    <w:rsid w:val="006D515F"/>
    <w:rsid w:val="006D57CF"/>
    <w:rsid w:val="006D6545"/>
    <w:rsid w:val="006D6805"/>
    <w:rsid w:val="006D6F56"/>
    <w:rsid w:val="006D71DD"/>
    <w:rsid w:val="006D7E84"/>
    <w:rsid w:val="006E042C"/>
    <w:rsid w:val="006E1A49"/>
    <w:rsid w:val="006E5AF1"/>
    <w:rsid w:val="006E672C"/>
    <w:rsid w:val="006E7F33"/>
    <w:rsid w:val="006F055D"/>
    <w:rsid w:val="006F188C"/>
    <w:rsid w:val="006F1AD4"/>
    <w:rsid w:val="006F1DCB"/>
    <w:rsid w:val="006F2640"/>
    <w:rsid w:val="006F2AC1"/>
    <w:rsid w:val="006F2EA5"/>
    <w:rsid w:val="006F3577"/>
    <w:rsid w:val="006F35C0"/>
    <w:rsid w:val="006F3F76"/>
    <w:rsid w:val="006F440D"/>
    <w:rsid w:val="006F6435"/>
    <w:rsid w:val="006F64F7"/>
    <w:rsid w:val="00700FBD"/>
    <w:rsid w:val="007015F7"/>
    <w:rsid w:val="00702257"/>
    <w:rsid w:val="007033C6"/>
    <w:rsid w:val="0070398B"/>
    <w:rsid w:val="007049FC"/>
    <w:rsid w:val="00705463"/>
    <w:rsid w:val="00705E0B"/>
    <w:rsid w:val="007062F4"/>
    <w:rsid w:val="00706DD8"/>
    <w:rsid w:val="00707F0C"/>
    <w:rsid w:val="00710D1D"/>
    <w:rsid w:val="00710EF6"/>
    <w:rsid w:val="00711B2C"/>
    <w:rsid w:val="00712EB1"/>
    <w:rsid w:val="007139F3"/>
    <w:rsid w:val="007143A8"/>
    <w:rsid w:val="00715110"/>
    <w:rsid w:val="007159A1"/>
    <w:rsid w:val="00717311"/>
    <w:rsid w:val="00720472"/>
    <w:rsid w:val="00720BA7"/>
    <w:rsid w:val="00721369"/>
    <w:rsid w:val="0072186C"/>
    <w:rsid w:val="00721DAF"/>
    <w:rsid w:val="00722583"/>
    <w:rsid w:val="00722724"/>
    <w:rsid w:val="00723CE4"/>
    <w:rsid w:val="00723CE5"/>
    <w:rsid w:val="00725C8B"/>
    <w:rsid w:val="00725FFD"/>
    <w:rsid w:val="007271EC"/>
    <w:rsid w:val="00730B7D"/>
    <w:rsid w:val="0073305A"/>
    <w:rsid w:val="007342E0"/>
    <w:rsid w:val="00734438"/>
    <w:rsid w:val="007344E4"/>
    <w:rsid w:val="00736D8E"/>
    <w:rsid w:val="007377E7"/>
    <w:rsid w:val="007379C1"/>
    <w:rsid w:val="0074064C"/>
    <w:rsid w:val="007419A1"/>
    <w:rsid w:val="00742B83"/>
    <w:rsid w:val="00743A46"/>
    <w:rsid w:val="0074486C"/>
    <w:rsid w:val="007453E8"/>
    <w:rsid w:val="00746D34"/>
    <w:rsid w:val="00751E97"/>
    <w:rsid w:val="007521DE"/>
    <w:rsid w:val="00752466"/>
    <w:rsid w:val="00752794"/>
    <w:rsid w:val="00753930"/>
    <w:rsid w:val="00754FA7"/>
    <w:rsid w:val="00755A09"/>
    <w:rsid w:val="00756267"/>
    <w:rsid w:val="00762330"/>
    <w:rsid w:val="007645E6"/>
    <w:rsid w:val="00765AEA"/>
    <w:rsid w:val="00767466"/>
    <w:rsid w:val="00770C5D"/>
    <w:rsid w:val="00771D1F"/>
    <w:rsid w:val="007731F9"/>
    <w:rsid w:val="0077359E"/>
    <w:rsid w:val="0077395B"/>
    <w:rsid w:val="00775035"/>
    <w:rsid w:val="007765BE"/>
    <w:rsid w:val="00780B4F"/>
    <w:rsid w:val="007832E9"/>
    <w:rsid w:val="007834B6"/>
    <w:rsid w:val="00785913"/>
    <w:rsid w:val="0078746D"/>
    <w:rsid w:val="00791646"/>
    <w:rsid w:val="00792CAB"/>
    <w:rsid w:val="00792E85"/>
    <w:rsid w:val="00793075"/>
    <w:rsid w:val="007945B4"/>
    <w:rsid w:val="00797BFF"/>
    <w:rsid w:val="007A0A05"/>
    <w:rsid w:val="007A1B56"/>
    <w:rsid w:val="007A2423"/>
    <w:rsid w:val="007A353D"/>
    <w:rsid w:val="007A3655"/>
    <w:rsid w:val="007A59E0"/>
    <w:rsid w:val="007A5DEE"/>
    <w:rsid w:val="007A7635"/>
    <w:rsid w:val="007B1422"/>
    <w:rsid w:val="007B1F2F"/>
    <w:rsid w:val="007B4862"/>
    <w:rsid w:val="007B49C2"/>
    <w:rsid w:val="007B719E"/>
    <w:rsid w:val="007C3C81"/>
    <w:rsid w:val="007C4B05"/>
    <w:rsid w:val="007C7B54"/>
    <w:rsid w:val="007D03D2"/>
    <w:rsid w:val="007D1ADF"/>
    <w:rsid w:val="007D1FB0"/>
    <w:rsid w:val="007D30D7"/>
    <w:rsid w:val="007D46BA"/>
    <w:rsid w:val="007D6102"/>
    <w:rsid w:val="007D7AD5"/>
    <w:rsid w:val="007E0484"/>
    <w:rsid w:val="007E0ABF"/>
    <w:rsid w:val="007E2B5E"/>
    <w:rsid w:val="007E2B7E"/>
    <w:rsid w:val="007E3074"/>
    <w:rsid w:val="007E35A0"/>
    <w:rsid w:val="007E4D8D"/>
    <w:rsid w:val="007E768E"/>
    <w:rsid w:val="007F039D"/>
    <w:rsid w:val="007F1875"/>
    <w:rsid w:val="007F24A7"/>
    <w:rsid w:val="007F2DE9"/>
    <w:rsid w:val="007F626F"/>
    <w:rsid w:val="007F7AC2"/>
    <w:rsid w:val="00800195"/>
    <w:rsid w:val="00804448"/>
    <w:rsid w:val="008058C3"/>
    <w:rsid w:val="00805D62"/>
    <w:rsid w:val="00806BE7"/>
    <w:rsid w:val="00807210"/>
    <w:rsid w:val="00810E5C"/>
    <w:rsid w:val="00811EBD"/>
    <w:rsid w:val="00814026"/>
    <w:rsid w:val="00820578"/>
    <w:rsid w:val="00820930"/>
    <w:rsid w:val="00823398"/>
    <w:rsid w:val="00826CA4"/>
    <w:rsid w:val="00827EAD"/>
    <w:rsid w:val="00830163"/>
    <w:rsid w:val="00831F12"/>
    <w:rsid w:val="00831F9C"/>
    <w:rsid w:val="008351F2"/>
    <w:rsid w:val="00836DC4"/>
    <w:rsid w:val="00840B0A"/>
    <w:rsid w:val="00841A0A"/>
    <w:rsid w:val="0084292F"/>
    <w:rsid w:val="008466E3"/>
    <w:rsid w:val="00847A44"/>
    <w:rsid w:val="00850EC0"/>
    <w:rsid w:val="008514EB"/>
    <w:rsid w:val="00851F89"/>
    <w:rsid w:val="008526DD"/>
    <w:rsid w:val="00853FE6"/>
    <w:rsid w:val="0085757E"/>
    <w:rsid w:val="0085794F"/>
    <w:rsid w:val="00861E76"/>
    <w:rsid w:val="008624C7"/>
    <w:rsid w:val="00862B4C"/>
    <w:rsid w:val="008630FD"/>
    <w:rsid w:val="0086411E"/>
    <w:rsid w:val="008649D1"/>
    <w:rsid w:val="008654AE"/>
    <w:rsid w:val="00866DA7"/>
    <w:rsid w:val="008674CD"/>
    <w:rsid w:val="00876D70"/>
    <w:rsid w:val="00880798"/>
    <w:rsid w:val="00880D58"/>
    <w:rsid w:val="008819D4"/>
    <w:rsid w:val="00881E95"/>
    <w:rsid w:val="00883BE6"/>
    <w:rsid w:val="008845B0"/>
    <w:rsid w:val="008846ED"/>
    <w:rsid w:val="00885044"/>
    <w:rsid w:val="00885613"/>
    <w:rsid w:val="008869C4"/>
    <w:rsid w:val="0088717D"/>
    <w:rsid w:val="008878FC"/>
    <w:rsid w:val="00891A49"/>
    <w:rsid w:val="008945FF"/>
    <w:rsid w:val="00896120"/>
    <w:rsid w:val="00896867"/>
    <w:rsid w:val="00897D64"/>
    <w:rsid w:val="008A2477"/>
    <w:rsid w:val="008A28A2"/>
    <w:rsid w:val="008A49C0"/>
    <w:rsid w:val="008A4F7D"/>
    <w:rsid w:val="008A7463"/>
    <w:rsid w:val="008B0B59"/>
    <w:rsid w:val="008B1CA4"/>
    <w:rsid w:val="008B6BFF"/>
    <w:rsid w:val="008B7EDD"/>
    <w:rsid w:val="008C0184"/>
    <w:rsid w:val="008C0A62"/>
    <w:rsid w:val="008C10A9"/>
    <w:rsid w:val="008C2A77"/>
    <w:rsid w:val="008C4224"/>
    <w:rsid w:val="008C4542"/>
    <w:rsid w:val="008C5279"/>
    <w:rsid w:val="008C5747"/>
    <w:rsid w:val="008D0336"/>
    <w:rsid w:val="008D2B91"/>
    <w:rsid w:val="008D36FA"/>
    <w:rsid w:val="008D40A7"/>
    <w:rsid w:val="008D4549"/>
    <w:rsid w:val="008D487B"/>
    <w:rsid w:val="008D4BD5"/>
    <w:rsid w:val="008D5BE8"/>
    <w:rsid w:val="008D640A"/>
    <w:rsid w:val="008D6AA2"/>
    <w:rsid w:val="008D6FCD"/>
    <w:rsid w:val="008E0B8D"/>
    <w:rsid w:val="008E1610"/>
    <w:rsid w:val="008E271A"/>
    <w:rsid w:val="008E28DD"/>
    <w:rsid w:val="008E3E26"/>
    <w:rsid w:val="008E6739"/>
    <w:rsid w:val="008E7B9F"/>
    <w:rsid w:val="008F0684"/>
    <w:rsid w:val="008F2568"/>
    <w:rsid w:val="008F48F7"/>
    <w:rsid w:val="008F56AE"/>
    <w:rsid w:val="008F5A62"/>
    <w:rsid w:val="008F7BFD"/>
    <w:rsid w:val="00900E2E"/>
    <w:rsid w:val="00901C4C"/>
    <w:rsid w:val="00901E23"/>
    <w:rsid w:val="00904DC5"/>
    <w:rsid w:val="009066A7"/>
    <w:rsid w:val="0090792B"/>
    <w:rsid w:val="009104F3"/>
    <w:rsid w:val="00911C5E"/>
    <w:rsid w:val="009134D5"/>
    <w:rsid w:val="00913CDD"/>
    <w:rsid w:val="00914BF0"/>
    <w:rsid w:val="00914EFB"/>
    <w:rsid w:val="0091553F"/>
    <w:rsid w:val="00915CD9"/>
    <w:rsid w:val="00916C78"/>
    <w:rsid w:val="009174CA"/>
    <w:rsid w:val="00917A81"/>
    <w:rsid w:val="00920A48"/>
    <w:rsid w:val="009215E9"/>
    <w:rsid w:val="009237D0"/>
    <w:rsid w:val="0092512D"/>
    <w:rsid w:val="0092555F"/>
    <w:rsid w:val="00926466"/>
    <w:rsid w:val="00930E5C"/>
    <w:rsid w:val="00931CF3"/>
    <w:rsid w:val="00932D8E"/>
    <w:rsid w:val="0093415D"/>
    <w:rsid w:val="0093430C"/>
    <w:rsid w:val="00934E30"/>
    <w:rsid w:val="0093542A"/>
    <w:rsid w:val="00935C03"/>
    <w:rsid w:val="009364E3"/>
    <w:rsid w:val="009370FD"/>
    <w:rsid w:val="00937F8F"/>
    <w:rsid w:val="0094039C"/>
    <w:rsid w:val="0094095B"/>
    <w:rsid w:val="00941FF1"/>
    <w:rsid w:val="00943285"/>
    <w:rsid w:val="00944244"/>
    <w:rsid w:val="0094424A"/>
    <w:rsid w:val="00944A26"/>
    <w:rsid w:val="00946EEA"/>
    <w:rsid w:val="0095068B"/>
    <w:rsid w:val="009506F3"/>
    <w:rsid w:val="009515BA"/>
    <w:rsid w:val="00952060"/>
    <w:rsid w:val="009526DC"/>
    <w:rsid w:val="00952F99"/>
    <w:rsid w:val="00955C7A"/>
    <w:rsid w:val="00956F4B"/>
    <w:rsid w:val="009572D5"/>
    <w:rsid w:val="009624E4"/>
    <w:rsid w:val="00962652"/>
    <w:rsid w:val="0096282A"/>
    <w:rsid w:val="009653DD"/>
    <w:rsid w:val="0097115D"/>
    <w:rsid w:val="00973331"/>
    <w:rsid w:val="00973485"/>
    <w:rsid w:val="00973901"/>
    <w:rsid w:val="00973C75"/>
    <w:rsid w:val="009741F2"/>
    <w:rsid w:val="009744EE"/>
    <w:rsid w:val="00974A1D"/>
    <w:rsid w:val="009763F6"/>
    <w:rsid w:val="00977EDA"/>
    <w:rsid w:val="009805DB"/>
    <w:rsid w:val="00984854"/>
    <w:rsid w:val="00984D47"/>
    <w:rsid w:val="00984D9F"/>
    <w:rsid w:val="00985262"/>
    <w:rsid w:val="00985B1E"/>
    <w:rsid w:val="009861E0"/>
    <w:rsid w:val="00987BFD"/>
    <w:rsid w:val="00991056"/>
    <w:rsid w:val="0099211A"/>
    <w:rsid w:val="0099220A"/>
    <w:rsid w:val="009947E6"/>
    <w:rsid w:val="00995904"/>
    <w:rsid w:val="009971D3"/>
    <w:rsid w:val="0099735D"/>
    <w:rsid w:val="00997610"/>
    <w:rsid w:val="00997FD1"/>
    <w:rsid w:val="009A2D4D"/>
    <w:rsid w:val="009A4DF0"/>
    <w:rsid w:val="009B254B"/>
    <w:rsid w:val="009B29B7"/>
    <w:rsid w:val="009B2AB7"/>
    <w:rsid w:val="009B2F47"/>
    <w:rsid w:val="009B562F"/>
    <w:rsid w:val="009B6844"/>
    <w:rsid w:val="009B6E6B"/>
    <w:rsid w:val="009C1A89"/>
    <w:rsid w:val="009C2FAB"/>
    <w:rsid w:val="009C3350"/>
    <w:rsid w:val="009C3CC3"/>
    <w:rsid w:val="009C7857"/>
    <w:rsid w:val="009D1B9B"/>
    <w:rsid w:val="009D3C0D"/>
    <w:rsid w:val="009D4525"/>
    <w:rsid w:val="009D4F7D"/>
    <w:rsid w:val="009D55C9"/>
    <w:rsid w:val="009D6906"/>
    <w:rsid w:val="009D7EB5"/>
    <w:rsid w:val="009D7FCD"/>
    <w:rsid w:val="009E1720"/>
    <w:rsid w:val="009E1F66"/>
    <w:rsid w:val="009E28FF"/>
    <w:rsid w:val="009E2F43"/>
    <w:rsid w:val="009E40C9"/>
    <w:rsid w:val="009E6F38"/>
    <w:rsid w:val="009E7D7C"/>
    <w:rsid w:val="009F0847"/>
    <w:rsid w:val="009F11E8"/>
    <w:rsid w:val="009F13D0"/>
    <w:rsid w:val="009F25B4"/>
    <w:rsid w:val="009F4365"/>
    <w:rsid w:val="009F5980"/>
    <w:rsid w:val="009F5A22"/>
    <w:rsid w:val="009F731B"/>
    <w:rsid w:val="00A0031F"/>
    <w:rsid w:val="00A0114B"/>
    <w:rsid w:val="00A0228D"/>
    <w:rsid w:val="00A056D2"/>
    <w:rsid w:val="00A07ECF"/>
    <w:rsid w:val="00A12DFF"/>
    <w:rsid w:val="00A17255"/>
    <w:rsid w:val="00A17D91"/>
    <w:rsid w:val="00A20586"/>
    <w:rsid w:val="00A20DE3"/>
    <w:rsid w:val="00A223C6"/>
    <w:rsid w:val="00A22AC0"/>
    <w:rsid w:val="00A23DCC"/>
    <w:rsid w:val="00A24E47"/>
    <w:rsid w:val="00A265CF"/>
    <w:rsid w:val="00A311B6"/>
    <w:rsid w:val="00A31C25"/>
    <w:rsid w:val="00A34781"/>
    <w:rsid w:val="00A34E1A"/>
    <w:rsid w:val="00A36052"/>
    <w:rsid w:val="00A37AF2"/>
    <w:rsid w:val="00A40512"/>
    <w:rsid w:val="00A4191F"/>
    <w:rsid w:val="00A41DA1"/>
    <w:rsid w:val="00A420F5"/>
    <w:rsid w:val="00A42536"/>
    <w:rsid w:val="00A436ED"/>
    <w:rsid w:val="00A470DF"/>
    <w:rsid w:val="00A50229"/>
    <w:rsid w:val="00A50CF3"/>
    <w:rsid w:val="00A52319"/>
    <w:rsid w:val="00A52A50"/>
    <w:rsid w:val="00A530DE"/>
    <w:rsid w:val="00A546F3"/>
    <w:rsid w:val="00A552F7"/>
    <w:rsid w:val="00A55C47"/>
    <w:rsid w:val="00A571B1"/>
    <w:rsid w:val="00A571DA"/>
    <w:rsid w:val="00A57639"/>
    <w:rsid w:val="00A60B74"/>
    <w:rsid w:val="00A613F6"/>
    <w:rsid w:val="00A615A1"/>
    <w:rsid w:val="00A617C1"/>
    <w:rsid w:val="00A61BE1"/>
    <w:rsid w:val="00A62309"/>
    <w:rsid w:val="00A62A2B"/>
    <w:rsid w:val="00A62A52"/>
    <w:rsid w:val="00A62EEE"/>
    <w:rsid w:val="00A63429"/>
    <w:rsid w:val="00A639D8"/>
    <w:rsid w:val="00A63FF9"/>
    <w:rsid w:val="00A64E96"/>
    <w:rsid w:val="00A65827"/>
    <w:rsid w:val="00A65F05"/>
    <w:rsid w:val="00A669EE"/>
    <w:rsid w:val="00A66C95"/>
    <w:rsid w:val="00A67AF5"/>
    <w:rsid w:val="00A67E94"/>
    <w:rsid w:val="00A70351"/>
    <w:rsid w:val="00A703B2"/>
    <w:rsid w:val="00A70569"/>
    <w:rsid w:val="00A71628"/>
    <w:rsid w:val="00A7162F"/>
    <w:rsid w:val="00A748B3"/>
    <w:rsid w:val="00A7678B"/>
    <w:rsid w:val="00A81496"/>
    <w:rsid w:val="00A82156"/>
    <w:rsid w:val="00A82AD7"/>
    <w:rsid w:val="00A83A0A"/>
    <w:rsid w:val="00A8480C"/>
    <w:rsid w:val="00A85FC3"/>
    <w:rsid w:val="00A90509"/>
    <w:rsid w:val="00A9058D"/>
    <w:rsid w:val="00A918DE"/>
    <w:rsid w:val="00A927BD"/>
    <w:rsid w:val="00A92F14"/>
    <w:rsid w:val="00A93466"/>
    <w:rsid w:val="00A95938"/>
    <w:rsid w:val="00A95E9A"/>
    <w:rsid w:val="00A968B6"/>
    <w:rsid w:val="00AA35A8"/>
    <w:rsid w:val="00AA5E61"/>
    <w:rsid w:val="00AA6E3D"/>
    <w:rsid w:val="00AB030D"/>
    <w:rsid w:val="00AB09C5"/>
    <w:rsid w:val="00AB11B2"/>
    <w:rsid w:val="00AB240E"/>
    <w:rsid w:val="00AB34AB"/>
    <w:rsid w:val="00AB44C2"/>
    <w:rsid w:val="00AB5554"/>
    <w:rsid w:val="00AB57CC"/>
    <w:rsid w:val="00AB6FF3"/>
    <w:rsid w:val="00AB7637"/>
    <w:rsid w:val="00AC0FDB"/>
    <w:rsid w:val="00AC18B3"/>
    <w:rsid w:val="00AC5B53"/>
    <w:rsid w:val="00AC5BC7"/>
    <w:rsid w:val="00AC5DF3"/>
    <w:rsid w:val="00AC5E52"/>
    <w:rsid w:val="00AC654A"/>
    <w:rsid w:val="00AC7055"/>
    <w:rsid w:val="00AC738D"/>
    <w:rsid w:val="00AC7B7D"/>
    <w:rsid w:val="00AC7EE4"/>
    <w:rsid w:val="00AD2FB0"/>
    <w:rsid w:val="00AD3B37"/>
    <w:rsid w:val="00AD4212"/>
    <w:rsid w:val="00AD6C22"/>
    <w:rsid w:val="00AE08FF"/>
    <w:rsid w:val="00AE0A1A"/>
    <w:rsid w:val="00AE0CB6"/>
    <w:rsid w:val="00AE0E67"/>
    <w:rsid w:val="00AE0EB1"/>
    <w:rsid w:val="00AE10BD"/>
    <w:rsid w:val="00AE16E7"/>
    <w:rsid w:val="00AE1D88"/>
    <w:rsid w:val="00AE2D33"/>
    <w:rsid w:val="00AE3D49"/>
    <w:rsid w:val="00AE5F19"/>
    <w:rsid w:val="00AE5F96"/>
    <w:rsid w:val="00AE6333"/>
    <w:rsid w:val="00AE79CB"/>
    <w:rsid w:val="00AE7E4B"/>
    <w:rsid w:val="00AE7EE0"/>
    <w:rsid w:val="00AF00AB"/>
    <w:rsid w:val="00AF01A9"/>
    <w:rsid w:val="00AF07E1"/>
    <w:rsid w:val="00AF30E0"/>
    <w:rsid w:val="00AF4063"/>
    <w:rsid w:val="00AF541C"/>
    <w:rsid w:val="00AF5FB6"/>
    <w:rsid w:val="00AF6057"/>
    <w:rsid w:val="00AF6297"/>
    <w:rsid w:val="00B000E1"/>
    <w:rsid w:val="00B0261C"/>
    <w:rsid w:val="00B03407"/>
    <w:rsid w:val="00B04C2B"/>
    <w:rsid w:val="00B0613A"/>
    <w:rsid w:val="00B06238"/>
    <w:rsid w:val="00B07A4D"/>
    <w:rsid w:val="00B11B70"/>
    <w:rsid w:val="00B11D42"/>
    <w:rsid w:val="00B12226"/>
    <w:rsid w:val="00B14AAA"/>
    <w:rsid w:val="00B1572C"/>
    <w:rsid w:val="00B1605D"/>
    <w:rsid w:val="00B171F3"/>
    <w:rsid w:val="00B2128F"/>
    <w:rsid w:val="00B25883"/>
    <w:rsid w:val="00B263D3"/>
    <w:rsid w:val="00B27AC0"/>
    <w:rsid w:val="00B315C9"/>
    <w:rsid w:val="00B31E1B"/>
    <w:rsid w:val="00B32262"/>
    <w:rsid w:val="00B33AE7"/>
    <w:rsid w:val="00B34D43"/>
    <w:rsid w:val="00B356D4"/>
    <w:rsid w:val="00B35B9E"/>
    <w:rsid w:val="00B35CF5"/>
    <w:rsid w:val="00B361F0"/>
    <w:rsid w:val="00B36E47"/>
    <w:rsid w:val="00B36EBB"/>
    <w:rsid w:val="00B37290"/>
    <w:rsid w:val="00B4259A"/>
    <w:rsid w:val="00B43712"/>
    <w:rsid w:val="00B43CAD"/>
    <w:rsid w:val="00B44D1D"/>
    <w:rsid w:val="00B44F3C"/>
    <w:rsid w:val="00B451DC"/>
    <w:rsid w:val="00B4553C"/>
    <w:rsid w:val="00B46848"/>
    <w:rsid w:val="00B5117D"/>
    <w:rsid w:val="00B51EA6"/>
    <w:rsid w:val="00B554DD"/>
    <w:rsid w:val="00B55B1D"/>
    <w:rsid w:val="00B56F50"/>
    <w:rsid w:val="00B579C6"/>
    <w:rsid w:val="00B6004B"/>
    <w:rsid w:val="00B62167"/>
    <w:rsid w:val="00B6429A"/>
    <w:rsid w:val="00B6448C"/>
    <w:rsid w:val="00B6487F"/>
    <w:rsid w:val="00B6513E"/>
    <w:rsid w:val="00B6571B"/>
    <w:rsid w:val="00B6620B"/>
    <w:rsid w:val="00B66584"/>
    <w:rsid w:val="00B67504"/>
    <w:rsid w:val="00B71270"/>
    <w:rsid w:val="00B723FD"/>
    <w:rsid w:val="00B725A4"/>
    <w:rsid w:val="00B726E9"/>
    <w:rsid w:val="00B72F78"/>
    <w:rsid w:val="00B76217"/>
    <w:rsid w:val="00B76E4A"/>
    <w:rsid w:val="00B82528"/>
    <w:rsid w:val="00B825B4"/>
    <w:rsid w:val="00B82D99"/>
    <w:rsid w:val="00B83808"/>
    <w:rsid w:val="00B8495C"/>
    <w:rsid w:val="00B85589"/>
    <w:rsid w:val="00B86612"/>
    <w:rsid w:val="00B86E61"/>
    <w:rsid w:val="00B90DAB"/>
    <w:rsid w:val="00B91FB3"/>
    <w:rsid w:val="00B95100"/>
    <w:rsid w:val="00B96838"/>
    <w:rsid w:val="00BA0BA0"/>
    <w:rsid w:val="00BA0C64"/>
    <w:rsid w:val="00BA142F"/>
    <w:rsid w:val="00BA34B9"/>
    <w:rsid w:val="00BB024E"/>
    <w:rsid w:val="00BB2033"/>
    <w:rsid w:val="00BB2F82"/>
    <w:rsid w:val="00BB3BC7"/>
    <w:rsid w:val="00BB42E0"/>
    <w:rsid w:val="00BB4462"/>
    <w:rsid w:val="00BB46F2"/>
    <w:rsid w:val="00BB570C"/>
    <w:rsid w:val="00BC025B"/>
    <w:rsid w:val="00BC06A0"/>
    <w:rsid w:val="00BC1A8D"/>
    <w:rsid w:val="00BC1F6F"/>
    <w:rsid w:val="00BC6744"/>
    <w:rsid w:val="00BC6874"/>
    <w:rsid w:val="00BC6D98"/>
    <w:rsid w:val="00BD0A31"/>
    <w:rsid w:val="00BD19B2"/>
    <w:rsid w:val="00BD1D02"/>
    <w:rsid w:val="00BD3452"/>
    <w:rsid w:val="00BD5269"/>
    <w:rsid w:val="00BD601B"/>
    <w:rsid w:val="00BD6FA6"/>
    <w:rsid w:val="00BD76F3"/>
    <w:rsid w:val="00BD7BCB"/>
    <w:rsid w:val="00BE046B"/>
    <w:rsid w:val="00BE0EAB"/>
    <w:rsid w:val="00BE1167"/>
    <w:rsid w:val="00BE1E7E"/>
    <w:rsid w:val="00BE2611"/>
    <w:rsid w:val="00BE37AD"/>
    <w:rsid w:val="00BE37E5"/>
    <w:rsid w:val="00BE3BB3"/>
    <w:rsid w:val="00BE464F"/>
    <w:rsid w:val="00BE53CA"/>
    <w:rsid w:val="00BE5EF7"/>
    <w:rsid w:val="00BE5F01"/>
    <w:rsid w:val="00BE6001"/>
    <w:rsid w:val="00BE624B"/>
    <w:rsid w:val="00BF0C27"/>
    <w:rsid w:val="00BF2398"/>
    <w:rsid w:val="00BF34E1"/>
    <w:rsid w:val="00BF3DE4"/>
    <w:rsid w:val="00BF41DA"/>
    <w:rsid w:val="00BF6DB1"/>
    <w:rsid w:val="00C00FD7"/>
    <w:rsid w:val="00C01C93"/>
    <w:rsid w:val="00C01D58"/>
    <w:rsid w:val="00C01E20"/>
    <w:rsid w:val="00C01E46"/>
    <w:rsid w:val="00C0304E"/>
    <w:rsid w:val="00C03F10"/>
    <w:rsid w:val="00C04D6F"/>
    <w:rsid w:val="00C0640D"/>
    <w:rsid w:val="00C06576"/>
    <w:rsid w:val="00C06591"/>
    <w:rsid w:val="00C074A2"/>
    <w:rsid w:val="00C12C58"/>
    <w:rsid w:val="00C1463E"/>
    <w:rsid w:val="00C14EC9"/>
    <w:rsid w:val="00C1684A"/>
    <w:rsid w:val="00C17DEB"/>
    <w:rsid w:val="00C21EB8"/>
    <w:rsid w:val="00C23EB9"/>
    <w:rsid w:val="00C24F8F"/>
    <w:rsid w:val="00C2781E"/>
    <w:rsid w:val="00C279BC"/>
    <w:rsid w:val="00C33BE2"/>
    <w:rsid w:val="00C33C1C"/>
    <w:rsid w:val="00C3400A"/>
    <w:rsid w:val="00C35792"/>
    <w:rsid w:val="00C37D1F"/>
    <w:rsid w:val="00C419D2"/>
    <w:rsid w:val="00C42017"/>
    <w:rsid w:val="00C42E53"/>
    <w:rsid w:val="00C45B87"/>
    <w:rsid w:val="00C46AB2"/>
    <w:rsid w:val="00C503AC"/>
    <w:rsid w:val="00C504AE"/>
    <w:rsid w:val="00C50906"/>
    <w:rsid w:val="00C51545"/>
    <w:rsid w:val="00C544DA"/>
    <w:rsid w:val="00C56040"/>
    <w:rsid w:val="00C5690B"/>
    <w:rsid w:val="00C56D94"/>
    <w:rsid w:val="00C57D38"/>
    <w:rsid w:val="00C62150"/>
    <w:rsid w:val="00C6220D"/>
    <w:rsid w:val="00C62667"/>
    <w:rsid w:val="00C63311"/>
    <w:rsid w:val="00C65B51"/>
    <w:rsid w:val="00C6605A"/>
    <w:rsid w:val="00C7012D"/>
    <w:rsid w:val="00C734F9"/>
    <w:rsid w:val="00C73AE2"/>
    <w:rsid w:val="00C7485C"/>
    <w:rsid w:val="00C75450"/>
    <w:rsid w:val="00C776C2"/>
    <w:rsid w:val="00C809F7"/>
    <w:rsid w:val="00C85A37"/>
    <w:rsid w:val="00C86233"/>
    <w:rsid w:val="00C8682B"/>
    <w:rsid w:val="00C875E1"/>
    <w:rsid w:val="00C87EC8"/>
    <w:rsid w:val="00C9019C"/>
    <w:rsid w:val="00C97C52"/>
    <w:rsid w:val="00CA01E3"/>
    <w:rsid w:val="00CA02B0"/>
    <w:rsid w:val="00CA357E"/>
    <w:rsid w:val="00CA377F"/>
    <w:rsid w:val="00CA4FA0"/>
    <w:rsid w:val="00CA5479"/>
    <w:rsid w:val="00CA65DE"/>
    <w:rsid w:val="00CA7468"/>
    <w:rsid w:val="00CA798A"/>
    <w:rsid w:val="00CA7B9F"/>
    <w:rsid w:val="00CA7DF3"/>
    <w:rsid w:val="00CA7F07"/>
    <w:rsid w:val="00CB0310"/>
    <w:rsid w:val="00CB09D1"/>
    <w:rsid w:val="00CB0A82"/>
    <w:rsid w:val="00CB237E"/>
    <w:rsid w:val="00CB2B83"/>
    <w:rsid w:val="00CB4C4E"/>
    <w:rsid w:val="00CB6D9D"/>
    <w:rsid w:val="00CC1ADB"/>
    <w:rsid w:val="00CC2A3D"/>
    <w:rsid w:val="00CC3C93"/>
    <w:rsid w:val="00CC6FA7"/>
    <w:rsid w:val="00CC758C"/>
    <w:rsid w:val="00CD115A"/>
    <w:rsid w:val="00CD158C"/>
    <w:rsid w:val="00CD193E"/>
    <w:rsid w:val="00CD20B3"/>
    <w:rsid w:val="00CD28AE"/>
    <w:rsid w:val="00CD3509"/>
    <w:rsid w:val="00CD4255"/>
    <w:rsid w:val="00CD6DA4"/>
    <w:rsid w:val="00CD7E86"/>
    <w:rsid w:val="00CE1560"/>
    <w:rsid w:val="00CE2660"/>
    <w:rsid w:val="00CE45D3"/>
    <w:rsid w:val="00CE60EB"/>
    <w:rsid w:val="00CE685A"/>
    <w:rsid w:val="00CE7237"/>
    <w:rsid w:val="00CF0876"/>
    <w:rsid w:val="00CF0E4C"/>
    <w:rsid w:val="00CF1AAF"/>
    <w:rsid w:val="00CF1D3D"/>
    <w:rsid w:val="00CF256A"/>
    <w:rsid w:val="00CF34E6"/>
    <w:rsid w:val="00CF3BE8"/>
    <w:rsid w:val="00CF3F9F"/>
    <w:rsid w:val="00CF41B3"/>
    <w:rsid w:val="00CF4D5E"/>
    <w:rsid w:val="00CF531B"/>
    <w:rsid w:val="00CF6355"/>
    <w:rsid w:val="00CF6794"/>
    <w:rsid w:val="00D014A9"/>
    <w:rsid w:val="00D02384"/>
    <w:rsid w:val="00D037C4"/>
    <w:rsid w:val="00D050DE"/>
    <w:rsid w:val="00D05358"/>
    <w:rsid w:val="00D07049"/>
    <w:rsid w:val="00D10712"/>
    <w:rsid w:val="00D10CDF"/>
    <w:rsid w:val="00D12188"/>
    <w:rsid w:val="00D125AE"/>
    <w:rsid w:val="00D1291A"/>
    <w:rsid w:val="00D13E39"/>
    <w:rsid w:val="00D144EF"/>
    <w:rsid w:val="00D145F5"/>
    <w:rsid w:val="00D146BC"/>
    <w:rsid w:val="00D16DDF"/>
    <w:rsid w:val="00D1739C"/>
    <w:rsid w:val="00D220E4"/>
    <w:rsid w:val="00D252C3"/>
    <w:rsid w:val="00D26630"/>
    <w:rsid w:val="00D26741"/>
    <w:rsid w:val="00D271EB"/>
    <w:rsid w:val="00D27641"/>
    <w:rsid w:val="00D311AB"/>
    <w:rsid w:val="00D319C1"/>
    <w:rsid w:val="00D34BED"/>
    <w:rsid w:val="00D40691"/>
    <w:rsid w:val="00D409E6"/>
    <w:rsid w:val="00D413EF"/>
    <w:rsid w:val="00D421C8"/>
    <w:rsid w:val="00D42FFE"/>
    <w:rsid w:val="00D433EF"/>
    <w:rsid w:val="00D452B9"/>
    <w:rsid w:val="00D455D8"/>
    <w:rsid w:val="00D46100"/>
    <w:rsid w:val="00D513D0"/>
    <w:rsid w:val="00D529A1"/>
    <w:rsid w:val="00D558ED"/>
    <w:rsid w:val="00D576A0"/>
    <w:rsid w:val="00D60F51"/>
    <w:rsid w:val="00D61758"/>
    <w:rsid w:val="00D618FB"/>
    <w:rsid w:val="00D63C39"/>
    <w:rsid w:val="00D6474B"/>
    <w:rsid w:val="00D65BE8"/>
    <w:rsid w:val="00D663CB"/>
    <w:rsid w:val="00D664C2"/>
    <w:rsid w:val="00D66518"/>
    <w:rsid w:val="00D70368"/>
    <w:rsid w:val="00D72636"/>
    <w:rsid w:val="00D743CC"/>
    <w:rsid w:val="00D74BA9"/>
    <w:rsid w:val="00D75E26"/>
    <w:rsid w:val="00D762F4"/>
    <w:rsid w:val="00D80620"/>
    <w:rsid w:val="00D82955"/>
    <w:rsid w:val="00D8307C"/>
    <w:rsid w:val="00D83641"/>
    <w:rsid w:val="00D844A1"/>
    <w:rsid w:val="00D86B70"/>
    <w:rsid w:val="00D87A14"/>
    <w:rsid w:val="00D90DA0"/>
    <w:rsid w:val="00D90DD0"/>
    <w:rsid w:val="00D92B91"/>
    <w:rsid w:val="00D9356E"/>
    <w:rsid w:val="00D937D4"/>
    <w:rsid w:val="00D946BC"/>
    <w:rsid w:val="00D96478"/>
    <w:rsid w:val="00D9680F"/>
    <w:rsid w:val="00D96965"/>
    <w:rsid w:val="00D97E89"/>
    <w:rsid w:val="00DA060C"/>
    <w:rsid w:val="00DA1160"/>
    <w:rsid w:val="00DA2E9A"/>
    <w:rsid w:val="00DA47BC"/>
    <w:rsid w:val="00DA56A0"/>
    <w:rsid w:val="00DA779A"/>
    <w:rsid w:val="00DA7865"/>
    <w:rsid w:val="00DB092E"/>
    <w:rsid w:val="00DB324F"/>
    <w:rsid w:val="00DB5FAB"/>
    <w:rsid w:val="00DB6545"/>
    <w:rsid w:val="00DB7149"/>
    <w:rsid w:val="00DB7F6F"/>
    <w:rsid w:val="00DC0701"/>
    <w:rsid w:val="00DC09F2"/>
    <w:rsid w:val="00DC14D4"/>
    <w:rsid w:val="00DC29CF"/>
    <w:rsid w:val="00DC5E5E"/>
    <w:rsid w:val="00DC63F4"/>
    <w:rsid w:val="00DD0036"/>
    <w:rsid w:val="00DD0063"/>
    <w:rsid w:val="00DD05B5"/>
    <w:rsid w:val="00DD191A"/>
    <w:rsid w:val="00DD2117"/>
    <w:rsid w:val="00DD33A6"/>
    <w:rsid w:val="00DD3CE4"/>
    <w:rsid w:val="00DD4AAF"/>
    <w:rsid w:val="00DD547F"/>
    <w:rsid w:val="00DE006A"/>
    <w:rsid w:val="00DE1271"/>
    <w:rsid w:val="00DE2665"/>
    <w:rsid w:val="00DE482E"/>
    <w:rsid w:val="00DE4BA0"/>
    <w:rsid w:val="00DE5899"/>
    <w:rsid w:val="00DE5900"/>
    <w:rsid w:val="00DE6B58"/>
    <w:rsid w:val="00DE7BC1"/>
    <w:rsid w:val="00DF07EF"/>
    <w:rsid w:val="00DF0D8A"/>
    <w:rsid w:val="00DF1349"/>
    <w:rsid w:val="00DF2D40"/>
    <w:rsid w:val="00DF327A"/>
    <w:rsid w:val="00DF3EF4"/>
    <w:rsid w:val="00DF456A"/>
    <w:rsid w:val="00DF6006"/>
    <w:rsid w:val="00DF6524"/>
    <w:rsid w:val="00DF70B2"/>
    <w:rsid w:val="00E029F3"/>
    <w:rsid w:val="00E02DC4"/>
    <w:rsid w:val="00E03B72"/>
    <w:rsid w:val="00E03E1B"/>
    <w:rsid w:val="00E04B8F"/>
    <w:rsid w:val="00E07364"/>
    <w:rsid w:val="00E077B2"/>
    <w:rsid w:val="00E1026E"/>
    <w:rsid w:val="00E120E8"/>
    <w:rsid w:val="00E14CA4"/>
    <w:rsid w:val="00E14FEC"/>
    <w:rsid w:val="00E158E3"/>
    <w:rsid w:val="00E15C73"/>
    <w:rsid w:val="00E15F03"/>
    <w:rsid w:val="00E16AA1"/>
    <w:rsid w:val="00E17478"/>
    <w:rsid w:val="00E17B67"/>
    <w:rsid w:val="00E2212D"/>
    <w:rsid w:val="00E235A9"/>
    <w:rsid w:val="00E2477D"/>
    <w:rsid w:val="00E26016"/>
    <w:rsid w:val="00E30A18"/>
    <w:rsid w:val="00E312ED"/>
    <w:rsid w:val="00E33521"/>
    <w:rsid w:val="00E3464C"/>
    <w:rsid w:val="00E360DE"/>
    <w:rsid w:val="00E37AC9"/>
    <w:rsid w:val="00E40B76"/>
    <w:rsid w:val="00E41BB6"/>
    <w:rsid w:val="00E42CA1"/>
    <w:rsid w:val="00E433D2"/>
    <w:rsid w:val="00E44151"/>
    <w:rsid w:val="00E47292"/>
    <w:rsid w:val="00E51726"/>
    <w:rsid w:val="00E53D36"/>
    <w:rsid w:val="00E55665"/>
    <w:rsid w:val="00E55E00"/>
    <w:rsid w:val="00E56053"/>
    <w:rsid w:val="00E647C1"/>
    <w:rsid w:val="00E64DC0"/>
    <w:rsid w:val="00E65FEE"/>
    <w:rsid w:val="00E721D2"/>
    <w:rsid w:val="00E7325C"/>
    <w:rsid w:val="00E7400C"/>
    <w:rsid w:val="00E742BB"/>
    <w:rsid w:val="00E74833"/>
    <w:rsid w:val="00E77B47"/>
    <w:rsid w:val="00E800F3"/>
    <w:rsid w:val="00E80505"/>
    <w:rsid w:val="00E83633"/>
    <w:rsid w:val="00E83B09"/>
    <w:rsid w:val="00E8415A"/>
    <w:rsid w:val="00E84425"/>
    <w:rsid w:val="00E8623F"/>
    <w:rsid w:val="00E862C8"/>
    <w:rsid w:val="00E87CA5"/>
    <w:rsid w:val="00E87F78"/>
    <w:rsid w:val="00E925FF"/>
    <w:rsid w:val="00E952FA"/>
    <w:rsid w:val="00E954A2"/>
    <w:rsid w:val="00E9587D"/>
    <w:rsid w:val="00E9632A"/>
    <w:rsid w:val="00E96CEF"/>
    <w:rsid w:val="00E975C1"/>
    <w:rsid w:val="00EA3D64"/>
    <w:rsid w:val="00EA3E12"/>
    <w:rsid w:val="00EA45E0"/>
    <w:rsid w:val="00EA508B"/>
    <w:rsid w:val="00EA6A51"/>
    <w:rsid w:val="00EA6E2D"/>
    <w:rsid w:val="00EB2992"/>
    <w:rsid w:val="00EB306B"/>
    <w:rsid w:val="00EB422B"/>
    <w:rsid w:val="00EB48F1"/>
    <w:rsid w:val="00EB4BB1"/>
    <w:rsid w:val="00EB6182"/>
    <w:rsid w:val="00EB6DD0"/>
    <w:rsid w:val="00EC0296"/>
    <w:rsid w:val="00EC0B31"/>
    <w:rsid w:val="00EC230A"/>
    <w:rsid w:val="00EC27E9"/>
    <w:rsid w:val="00EC334D"/>
    <w:rsid w:val="00EC3DC2"/>
    <w:rsid w:val="00EC47F6"/>
    <w:rsid w:val="00EC5941"/>
    <w:rsid w:val="00EC5C26"/>
    <w:rsid w:val="00EC6130"/>
    <w:rsid w:val="00EC62AF"/>
    <w:rsid w:val="00EC7FD9"/>
    <w:rsid w:val="00ED0CB6"/>
    <w:rsid w:val="00ED2992"/>
    <w:rsid w:val="00ED3B35"/>
    <w:rsid w:val="00ED479D"/>
    <w:rsid w:val="00ED6706"/>
    <w:rsid w:val="00ED6A73"/>
    <w:rsid w:val="00ED6F26"/>
    <w:rsid w:val="00ED73F5"/>
    <w:rsid w:val="00ED7B10"/>
    <w:rsid w:val="00EE054F"/>
    <w:rsid w:val="00EE0780"/>
    <w:rsid w:val="00EE1D00"/>
    <w:rsid w:val="00EE2218"/>
    <w:rsid w:val="00EE2495"/>
    <w:rsid w:val="00EE4087"/>
    <w:rsid w:val="00EE4436"/>
    <w:rsid w:val="00EE445F"/>
    <w:rsid w:val="00EE52E0"/>
    <w:rsid w:val="00EE72BF"/>
    <w:rsid w:val="00EF07A5"/>
    <w:rsid w:val="00EF3152"/>
    <w:rsid w:val="00EF36A3"/>
    <w:rsid w:val="00EF557D"/>
    <w:rsid w:val="00EF77C5"/>
    <w:rsid w:val="00F03520"/>
    <w:rsid w:val="00F066F7"/>
    <w:rsid w:val="00F077B2"/>
    <w:rsid w:val="00F10B72"/>
    <w:rsid w:val="00F11CC4"/>
    <w:rsid w:val="00F12D11"/>
    <w:rsid w:val="00F138A7"/>
    <w:rsid w:val="00F15D9E"/>
    <w:rsid w:val="00F16385"/>
    <w:rsid w:val="00F16389"/>
    <w:rsid w:val="00F1707E"/>
    <w:rsid w:val="00F22E7F"/>
    <w:rsid w:val="00F23F54"/>
    <w:rsid w:val="00F27039"/>
    <w:rsid w:val="00F270BF"/>
    <w:rsid w:val="00F27838"/>
    <w:rsid w:val="00F30183"/>
    <w:rsid w:val="00F30476"/>
    <w:rsid w:val="00F305F6"/>
    <w:rsid w:val="00F308BF"/>
    <w:rsid w:val="00F312EC"/>
    <w:rsid w:val="00F3258B"/>
    <w:rsid w:val="00F339AD"/>
    <w:rsid w:val="00F33B87"/>
    <w:rsid w:val="00F34287"/>
    <w:rsid w:val="00F342E2"/>
    <w:rsid w:val="00F34E55"/>
    <w:rsid w:val="00F359B5"/>
    <w:rsid w:val="00F36FC9"/>
    <w:rsid w:val="00F401A8"/>
    <w:rsid w:val="00F42AB2"/>
    <w:rsid w:val="00F45B9C"/>
    <w:rsid w:val="00F45E3C"/>
    <w:rsid w:val="00F54902"/>
    <w:rsid w:val="00F5525A"/>
    <w:rsid w:val="00F553C7"/>
    <w:rsid w:val="00F56ECA"/>
    <w:rsid w:val="00F5745A"/>
    <w:rsid w:val="00F57E8C"/>
    <w:rsid w:val="00F60845"/>
    <w:rsid w:val="00F63369"/>
    <w:rsid w:val="00F63899"/>
    <w:rsid w:val="00F671A8"/>
    <w:rsid w:val="00F67BE5"/>
    <w:rsid w:val="00F71906"/>
    <w:rsid w:val="00F71E6B"/>
    <w:rsid w:val="00F71FD3"/>
    <w:rsid w:val="00F7274D"/>
    <w:rsid w:val="00F756D0"/>
    <w:rsid w:val="00F75DD7"/>
    <w:rsid w:val="00F80393"/>
    <w:rsid w:val="00F80CE2"/>
    <w:rsid w:val="00F81C99"/>
    <w:rsid w:val="00F82801"/>
    <w:rsid w:val="00F82B3C"/>
    <w:rsid w:val="00F83133"/>
    <w:rsid w:val="00F8471E"/>
    <w:rsid w:val="00F85E74"/>
    <w:rsid w:val="00F87FCC"/>
    <w:rsid w:val="00F903D1"/>
    <w:rsid w:val="00F90A03"/>
    <w:rsid w:val="00F90D66"/>
    <w:rsid w:val="00F9207A"/>
    <w:rsid w:val="00F935B4"/>
    <w:rsid w:val="00F93D44"/>
    <w:rsid w:val="00F95C0E"/>
    <w:rsid w:val="00F968CA"/>
    <w:rsid w:val="00F96BBB"/>
    <w:rsid w:val="00F96E6A"/>
    <w:rsid w:val="00FA0E64"/>
    <w:rsid w:val="00FA6E0E"/>
    <w:rsid w:val="00FA79BA"/>
    <w:rsid w:val="00FB166C"/>
    <w:rsid w:val="00FB50B2"/>
    <w:rsid w:val="00FB523B"/>
    <w:rsid w:val="00FB6FA7"/>
    <w:rsid w:val="00FB7196"/>
    <w:rsid w:val="00FC22E5"/>
    <w:rsid w:val="00FC2EC6"/>
    <w:rsid w:val="00FC3954"/>
    <w:rsid w:val="00FC4E57"/>
    <w:rsid w:val="00FC53DC"/>
    <w:rsid w:val="00FC55B7"/>
    <w:rsid w:val="00FC5FD6"/>
    <w:rsid w:val="00FC723A"/>
    <w:rsid w:val="00FD110D"/>
    <w:rsid w:val="00FD14EB"/>
    <w:rsid w:val="00FD178B"/>
    <w:rsid w:val="00FD218C"/>
    <w:rsid w:val="00FD3745"/>
    <w:rsid w:val="00FD5AF8"/>
    <w:rsid w:val="00FD6AA4"/>
    <w:rsid w:val="00FE2E63"/>
    <w:rsid w:val="00FE3F71"/>
    <w:rsid w:val="00FE4904"/>
    <w:rsid w:val="00FE5BE7"/>
    <w:rsid w:val="00FF171D"/>
    <w:rsid w:val="00FF3C9E"/>
    <w:rsid w:val="00FF47F0"/>
    <w:rsid w:val="00FF64DB"/>
    <w:rsid w:val="00FF73E4"/>
    <w:rsid w:val="00FF766B"/>
    <w:rsid w:val="00FF7D8A"/>
    <w:rsid w:val="01E97279"/>
    <w:rsid w:val="030E73CB"/>
    <w:rsid w:val="032936F6"/>
    <w:rsid w:val="032A4C70"/>
    <w:rsid w:val="03773478"/>
    <w:rsid w:val="03D8032B"/>
    <w:rsid w:val="04C9495C"/>
    <w:rsid w:val="05041D30"/>
    <w:rsid w:val="057D69E2"/>
    <w:rsid w:val="05800A23"/>
    <w:rsid w:val="05950A57"/>
    <w:rsid w:val="0626464A"/>
    <w:rsid w:val="068328DF"/>
    <w:rsid w:val="07A0617E"/>
    <w:rsid w:val="0B080929"/>
    <w:rsid w:val="0B630DDE"/>
    <w:rsid w:val="0B7D4ED7"/>
    <w:rsid w:val="0BAD5843"/>
    <w:rsid w:val="0DE50D7C"/>
    <w:rsid w:val="0F032044"/>
    <w:rsid w:val="0F111C74"/>
    <w:rsid w:val="0F4C1435"/>
    <w:rsid w:val="102C480D"/>
    <w:rsid w:val="103A5EEF"/>
    <w:rsid w:val="107F36CE"/>
    <w:rsid w:val="11D56F8D"/>
    <w:rsid w:val="129B20D8"/>
    <w:rsid w:val="13DA0EB3"/>
    <w:rsid w:val="1421626D"/>
    <w:rsid w:val="14A26217"/>
    <w:rsid w:val="16B458A5"/>
    <w:rsid w:val="16BA73B4"/>
    <w:rsid w:val="16E536EF"/>
    <w:rsid w:val="178A184D"/>
    <w:rsid w:val="17F804C8"/>
    <w:rsid w:val="18B611F5"/>
    <w:rsid w:val="190068CF"/>
    <w:rsid w:val="1C8E5E18"/>
    <w:rsid w:val="1C956D37"/>
    <w:rsid w:val="1CF939F3"/>
    <w:rsid w:val="1E562C25"/>
    <w:rsid w:val="1EAB1C04"/>
    <w:rsid w:val="1F901064"/>
    <w:rsid w:val="20495B0A"/>
    <w:rsid w:val="20B70250"/>
    <w:rsid w:val="21261724"/>
    <w:rsid w:val="21B0162B"/>
    <w:rsid w:val="223119FD"/>
    <w:rsid w:val="22857CBD"/>
    <w:rsid w:val="22B01A57"/>
    <w:rsid w:val="238103C1"/>
    <w:rsid w:val="24137107"/>
    <w:rsid w:val="243A07DB"/>
    <w:rsid w:val="2583016A"/>
    <w:rsid w:val="258A48BE"/>
    <w:rsid w:val="25BE0023"/>
    <w:rsid w:val="25E5250A"/>
    <w:rsid w:val="26053EB3"/>
    <w:rsid w:val="2626591B"/>
    <w:rsid w:val="26513373"/>
    <w:rsid w:val="26E85BC3"/>
    <w:rsid w:val="27D9061A"/>
    <w:rsid w:val="27F272B5"/>
    <w:rsid w:val="27F31520"/>
    <w:rsid w:val="29931E19"/>
    <w:rsid w:val="29F933D9"/>
    <w:rsid w:val="2A2F00EE"/>
    <w:rsid w:val="2B1327C6"/>
    <w:rsid w:val="2B1541E7"/>
    <w:rsid w:val="2B863BBC"/>
    <w:rsid w:val="2B983CA3"/>
    <w:rsid w:val="2C6243BB"/>
    <w:rsid w:val="2CBD46FE"/>
    <w:rsid w:val="2CF92F55"/>
    <w:rsid w:val="2D3B11DE"/>
    <w:rsid w:val="2E3B56D4"/>
    <w:rsid w:val="2F087DC3"/>
    <w:rsid w:val="2F593F96"/>
    <w:rsid w:val="30D90475"/>
    <w:rsid w:val="315F4B0F"/>
    <w:rsid w:val="31E55B89"/>
    <w:rsid w:val="31E81A6A"/>
    <w:rsid w:val="34202321"/>
    <w:rsid w:val="346039F4"/>
    <w:rsid w:val="35BC7697"/>
    <w:rsid w:val="36154BBA"/>
    <w:rsid w:val="38370E25"/>
    <w:rsid w:val="38586A6E"/>
    <w:rsid w:val="38622F16"/>
    <w:rsid w:val="38624702"/>
    <w:rsid w:val="389600D6"/>
    <w:rsid w:val="3A790FC2"/>
    <w:rsid w:val="3B42216A"/>
    <w:rsid w:val="3CAD4CD2"/>
    <w:rsid w:val="3F5A5E14"/>
    <w:rsid w:val="3F7667BD"/>
    <w:rsid w:val="40222C43"/>
    <w:rsid w:val="417377D2"/>
    <w:rsid w:val="426B5D8B"/>
    <w:rsid w:val="42DD30EA"/>
    <w:rsid w:val="431E6016"/>
    <w:rsid w:val="43364782"/>
    <w:rsid w:val="43CE7653"/>
    <w:rsid w:val="43D47D05"/>
    <w:rsid w:val="43D67F21"/>
    <w:rsid w:val="44E91969"/>
    <w:rsid w:val="45346C28"/>
    <w:rsid w:val="455230E7"/>
    <w:rsid w:val="4866712F"/>
    <w:rsid w:val="48BB14A6"/>
    <w:rsid w:val="490073E8"/>
    <w:rsid w:val="49615088"/>
    <w:rsid w:val="49F730C9"/>
    <w:rsid w:val="4A1632D1"/>
    <w:rsid w:val="4B5135E7"/>
    <w:rsid w:val="4C5E6928"/>
    <w:rsid w:val="4C894DFB"/>
    <w:rsid w:val="4D2A5E68"/>
    <w:rsid w:val="4DE52E32"/>
    <w:rsid w:val="4E077B10"/>
    <w:rsid w:val="4EDD44AD"/>
    <w:rsid w:val="4F961996"/>
    <w:rsid w:val="51255170"/>
    <w:rsid w:val="515626A1"/>
    <w:rsid w:val="51E52971"/>
    <w:rsid w:val="51F14779"/>
    <w:rsid w:val="52740606"/>
    <w:rsid w:val="54A17506"/>
    <w:rsid w:val="55637075"/>
    <w:rsid w:val="55D450FB"/>
    <w:rsid w:val="564508CA"/>
    <w:rsid w:val="564D5FC7"/>
    <w:rsid w:val="571070B5"/>
    <w:rsid w:val="575974EA"/>
    <w:rsid w:val="57606F49"/>
    <w:rsid w:val="589113DD"/>
    <w:rsid w:val="58BE2B52"/>
    <w:rsid w:val="592866D1"/>
    <w:rsid w:val="5933000A"/>
    <w:rsid w:val="5AA951FB"/>
    <w:rsid w:val="5AE00D43"/>
    <w:rsid w:val="5B09785F"/>
    <w:rsid w:val="5B306813"/>
    <w:rsid w:val="5B4158B4"/>
    <w:rsid w:val="5BE44133"/>
    <w:rsid w:val="5C44724A"/>
    <w:rsid w:val="5D07748F"/>
    <w:rsid w:val="5D395350"/>
    <w:rsid w:val="5D3B6BA3"/>
    <w:rsid w:val="5D8D3742"/>
    <w:rsid w:val="5ECE61CF"/>
    <w:rsid w:val="5F76042F"/>
    <w:rsid w:val="5F846534"/>
    <w:rsid w:val="604A3BA4"/>
    <w:rsid w:val="609E371C"/>
    <w:rsid w:val="613E678C"/>
    <w:rsid w:val="62AB6CDD"/>
    <w:rsid w:val="62CB0B21"/>
    <w:rsid w:val="62FD5F8C"/>
    <w:rsid w:val="64C708FC"/>
    <w:rsid w:val="65B634A1"/>
    <w:rsid w:val="660D28EF"/>
    <w:rsid w:val="668D44AD"/>
    <w:rsid w:val="66AE6241"/>
    <w:rsid w:val="6807406E"/>
    <w:rsid w:val="683D381B"/>
    <w:rsid w:val="68BB67E1"/>
    <w:rsid w:val="690A2DCA"/>
    <w:rsid w:val="69486ADB"/>
    <w:rsid w:val="6ACB5AC8"/>
    <w:rsid w:val="6AF405C0"/>
    <w:rsid w:val="6B1C23D3"/>
    <w:rsid w:val="6B1C3E67"/>
    <w:rsid w:val="6CBF7D74"/>
    <w:rsid w:val="6CC848AC"/>
    <w:rsid w:val="6E776E55"/>
    <w:rsid w:val="6EE52976"/>
    <w:rsid w:val="6F393B8A"/>
    <w:rsid w:val="6F4767E1"/>
    <w:rsid w:val="6FC446FE"/>
    <w:rsid w:val="70360599"/>
    <w:rsid w:val="70B84386"/>
    <w:rsid w:val="730C3E0A"/>
    <w:rsid w:val="7329331A"/>
    <w:rsid w:val="73B02CDB"/>
    <w:rsid w:val="73FA5D53"/>
    <w:rsid w:val="740C55CD"/>
    <w:rsid w:val="742B522D"/>
    <w:rsid w:val="74580397"/>
    <w:rsid w:val="767E7731"/>
    <w:rsid w:val="769D45AE"/>
    <w:rsid w:val="76BB13D7"/>
    <w:rsid w:val="76FB1F6E"/>
    <w:rsid w:val="771A0B81"/>
    <w:rsid w:val="786F0403"/>
    <w:rsid w:val="78BC288B"/>
    <w:rsid w:val="78DB2840"/>
    <w:rsid w:val="78DC26AE"/>
    <w:rsid w:val="793D4148"/>
    <w:rsid w:val="7A5421E3"/>
    <w:rsid w:val="7A796645"/>
    <w:rsid w:val="7B193C74"/>
    <w:rsid w:val="7D860C2E"/>
    <w:rsid w:val="7E01655E"/>
    <w:rsid w:val="7F296F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3"/>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440"/>
      <w:jc w:val="left"/>
    </w:pPr>
    <w:rPr>
      <w:sz w:val="18"/>
      <w:szCs w:val="18"/>
    </w:r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link w:val="55"/>
    <w:qFormat/>
    <w:uiPriority w:val="0"/>
    <w:pPr>
      <w:shd w:val="clear" w:color="auto" w:fill="000080"/>
    </w:pPr>
    <w:rPr>
      <w:sz w:val="24"/>
      <w:szCs w:val="24"/>
    </w:rPr>
  </w:style>
  <w:style w:type="paragraph" w:styleId="9">
    <w:name w:val="annotation text"/>
    <w:basedOn w:val="1"/>
    <w:link w:val="46"/>
    <w:qFormat/>
    <w:uiPriority w:val="0"/>
    <w:pPr>
      <w:jc w:val="left"/>
    </w:pPr>
  </w:style>
  <w:style w:type="paragraph" w:styleId="10">
    <w:name w:val="Body Text"/>
    <w:basedOn w:val="1"/>
    <w:qFormat/>
    <w:uiPriority w:val="0"/>
    <w:rPr>
      <w:rFonts w:ascii="仿宋_GB2312" w:eastAsia="仿宋_GB2312"/>
      <w:sz w:val="32"/>
    </w:rPr>
  </w:style>
  <w:style w:type="paragraph" w:styleId="11">
    <w:name w:val="Body Text Indent"/>
    <w:basedOn w:val="1"/>
    <w:qFormat/>
    <w:uiPriority w:val="0"/>
    <w:pPr>
      <w:spacing w:after="120"/>
      <w:ind w:left="420" w:leftChars="200"/>
    </w:pPr>
  </w:style>
  <w:style w:type="paragraph" w:styleId="12">
    <w:name w:val="toc 5"/>
    <w:basedOn w:val="1"/>
    <w:next w:val="1"/>
    <w:qFormat/>
    <w:uiPriority w:val="0"/>
    <w:pPr>
      <w:ind w:left="960"/>
      <w:jc w:val="left"/>
    </w:pPr>
    <w:rPr>
      <w:sz w:val="18"/>
      <w:szCs w:val="18"/>
    </w:rPr>
  </w:style>
  <w:style w:type="paragraph" w:styleId="13">
    <w:name w:val="toc 3"/>
    <w:basedOn w:val="1"/>
    <w:next w:val="1"/>
    <w:qFormat/>
    <w:uiPriority w:val="0"/>
    <w:pPr>
      <w:ind w:left="480"/>
      <w:jc w:val="left"/>
    </w:pPr>
    <w:rPr>
      <w:i/>
      <w:iCs/>
      <w:sz w:val="20"/>
    </w:rPr>
  </w:style>
  <w:style w:type="paragraph" w:styleId="14">
    <w:name w:val="Plain Text"/>
    <w:basedOn w:val="1"/>
    <w:link w:val="47"/>
    <w:qFormat/>
    <w:uiPriority w:val="0"/>
    <w:rPr>
      <w:rFonts w:ascii="宋体" w:hAnsi="Courier New"/>
    </w:rPr>
  </w:style>
  <w:style w:type="paragraph" w:styleId="15">
    <w:name w:val="toc 8"/>
    <w:basedOn w:val="1"/>
    <w:next w:val="1"/>
    <w:qFormat/>
    <w:uiPriority w:val="0"/>
    <w:pPr>
      <w:ind w:left="1680"/>
      <w:jc w:val="left"/>
    </w:pPr>
    <w:rPr>
      <w:sz w:val="18"/>
      <w:szCs w:val="18"/>
    </w:rPr>
  </w:style>
  <w:style w:type="paragraph" w:styleId="16">
    <w:name w:val="Date"/>
    <w:basedOn w:val="1"/>
    <w:next w:val="1"/>
    <w:link w:val="52"/>
    <w:qFormat/>
    <w:uiPriority w:val="0"/>
    <w:pPr>
      <w:ind w:left="100" w:leftChars="2500"/>
    </w:pPr>
    <w:rPr>
      <w:sz w:val="24"/>
      <w:szCs w:val="24"/>
    </w:rPr>
  </w:style>
  <w:style w:type="paragraph" w:styleId="17">
    <w:name w:val="Body Text Indent 2"/>
    <w:basedOn w:val="1"/>
    <w:link w:val="45"/>
    <w:qFormat/>
    <w:uiPriority w:val="0"/>
    <w:pPr>
      <w:spacing w:after="120" w:line="480" w:lineRule="auto"/>
      <w:ind w:left="420" w:leftChars="200"/>
    </w:pPr>
  </w:style>
  <w:style w:type="paragraph" w:styleId="18">
    <w:name w:val="Balloon Text"/>
    <w:basedOn w:val="1"/>
    <w:link w:val="50"/>
    <w:qFormat/>
    <w:uiPriority w:val="0"/>
    <w:rPr>
      <w:sz w:val="18"/>
      <w:szCs w:val="18"/>
    </w:rPr>
  </w:style>
  <w:style w:type="paragraph" w:styleId="19">
    <w:name w:val="footer"/>
    <w:basedOn w:val="1"/>
    <w:link w:val="77"/>
    <w:qFormat/>
    <w:uiPriority w:val="99"/>
    <w:pPr>
      <w:tabs>
        <w:tab w:val="center" w:pos="4153"/>
        <w:tab w:val="right" w:pos="8306"/>
      </w:tabs>
      <w:snapToGrid w:val="0"/>
      <w:jc w:val="left"/>
    </w:pPr>
    <w:rPr>
      <w:sz w:val="18"/>
      <w:szCs w:val="18"/>
    </w:rPr>
  </w:style>
  <w:style w:type="paragraph" w:styleId="20">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spacing w:line="360" w:lineRule="auto"/>
      <w:jc w:val="left"/>
    </w:pPr>
    <w:rPr>
      <w:rFonts w:ascii="宋体" w:hAnsi="宋体"/>
      <w:b/>
      <w:caps/>
      <w:color w:val="FF0000"/>
      <w:szCs w:val="21"/>
    </w:rPr>
  </w:style>
  <w:style w:type="paragraph" w:styleId="22">
    <w:name w:val="toc 4"/>
    <w:basedOn w:val="1"/>
    <w:next w:val="1"/>
    <w:qFormat/>
    <w:uiPriority w:val="0"/>
    <w:pPr>
      <w:ind w:left="720"/>
      <w:jc w:val="left"/>
    </w:pPr>
    <w:rPr>
      <w:sz w:val="18"/>
      <w:szCs w:val="18"/>
    </w:rPr>
  </w:style>
  <w:style w:type="paragraph" w:styleId="23">
    <w:name w:val="toc 6"/>
    <w:basedOn w:val="1"/>
    <w:next w:val="1"/>
    <w:qFormat/>
    <w:uiPriority w:val="0"/>
    <w:pPr>
      <w:ind w:left="1200"/>
      <w:jc w:val="left"/>
    </w:pPr>
    <w:rPr>
      <w:sz w:val="18"/>
      <w:szCs w:val="18"/>
    </w:rPr>
  </w:style>
  <w:style w:type="paragraph" w:styleId="24">
    <w:name w:val="Body Text Indent 3"/>
    <w:basedOn w:val="1"/>
    <w:link w:val="56"/>
    <w:qFormat/>
    <w:uiPriority w:val="0"/>
    <w:pPr>
      <w:spacing w:after="120"/>
      <w:ind w:left="420" w:leftChars="200"/>
    </w:pPr>
    <w:rPr>
      <w:sz w:val="16"/>
      <w:szCs w:val="16"/>
    </w:rPr>
  </w:style>
  <w:style w:type="paragraph" w:styleId="25">
    <w:name w:val="toc 2"/>
    <w:basedOn w:val="1"/>
    <w:next w:val="1"/>
    <w:unhideWhenUsed/>
    <w:qFormat/>
    <w:uiPriority w:val="0"/>
    <w:pPr>
      <w:ind w:left="420" w:leftChars="200"/>
    </w:pPr>
  </w:style>
  <w:style w:type="paragraph" w:styleId="26">
    <w:name w:val="toc 9"/>
    <w:basedOn w:val="1"/>
    <w:next w:val="1"/>
    <w:qFormat/>
    <w:uiPriority w:val="0"/>
    <w:pPr>
      <w:ind w:left="1920"/>
      <w:jc w:val="left"/>
    </w:pPr>
    <w:rPr>
      <w:sz w:val="18"/>
      <w:szCs w:val="18"/>
    </w:rPr>
  </w:style>
  <w:style w:type="paragraph" w:styleId="27">
    <w:name w:val="index 1"/>
    <w:basedOn w:val="1"/>
    <w:next w:val="1"/>
    <w:qFormat/>
    <w:uiPriority w:val="0"/>
    <w:rPr>
      <w:sz w:val="24"/>
      <w:szCs w:val="24"/>
    </w:rPr>
  </w:style>
  <w:style w:type="paragraph" w:styleId="28">
    <w:name w:val="Title"/>
    <w:basedOn w:val="1"/>
    <w:next w:val="1"/>
    <w:link w:val="54"/>
    <w:qFormat/>
    <w:uiPriority w:val="0"/>
    <w:pPr>
      <w:spacing w:before="160" w:after="40" w:line="0" w:lineRule="atLeast"/>
      <w:ind w:left="425" w:hanging="425"/>
      <w:jc w:val="left"/>
      <w:outlineLvl w:val="0"/>
    </w:pPr>
    <w:rPr>
      <w:rFonts w:ascii="Arial" w:hAnsi="Arial"/>
      <w:b/>
      <w:bCs/>
      <w:sz w:val="32"/>
      <w:szCs w:val="32"/>
    </w:rPr>
  </w:style>
  <w:style w:type="paragraph" w:styleId="29">
    <w:name w:val="annotation subject"/>
    <w:basedOn w:val="9"/>
    <w:next w:val="9"/>
    <w:link w:val="58"/>
    <w:qFormat/>
    <w:uiPriority w:val="0"/>
    <w:rPr>
      <w:b/>
      <w:bCs/>
    </w:rPr>
  </w:style>
  <w:style w:type="paragraph" w:styleId="30">
    <w:name w:val="Body Text First Indent 2"/>
    <w:basedOn w:val="11"/>
    <w:qFormat/>
    <w:uiPriority w:val="0"/>
    <w:pPr>
      <w:ind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TML Definition"/>
    <w:basedOn w:val="33"/>
    <w:qFormat/>
    <w:uiPriority w:val="0"/>
    <w:rPr>
      <w:i/>
    </w:rPr>
  </w:style>
  <w:style w:type="character" w:styleId="38">
    <w:name w:val="Hyperlink"/>
    <w:qFormat/>
    <w:uiPriority w:val="0"/>
    <w:rPr>
      <w:rFonts w:cs="Times New Roman"/>
      <w:color w:val="1F4F88"/>
      <w:u w:val="none"/>
    </w:rPr>
  </w:style>
  <w:style w:type="character" w:styleId="39">
    <w:name w:val="HTML Code"/>
    <w:basedOn w:val="33"/>
    <w:qFormat/>
    <w:uiPriority w:val="0"/>
    <w:rPr>
      <w:rFonts w:ascii="Consolas" w:hAnsi="Consolas" w:eastAsia="Consolas" w:cs="Consolas"/>
      <w:color w:val="C7254E"/>
      <w:sz w:val="21"/>
      <w:szCs w:val="21"/>
      <w:shd w:val="clear" w:fill="F9F2F4"/>
    </w:rPr>
  </w:style>
  <w:style w:type="character" w:styleId="40">
    <w:name w:val="annotation reference"/>
    <w:qFormat/>
    <w:uiPriority w:val="0"/>
    <w:rPr>
      <w:sz w:val="21"/>
      <w:szCs w:val="21"/>
    </w:rPr>
  </w:style>
  <w:style w:type="character" w:styleId="41">
    <w:name w:val="HTML Keyboard"/>
    <w:basedOn w:val="33"/>
    <w:qFormat/>
    <w:uiPriority w:val="0"/>
    <w:rPr>
      <w:rFonts w:hint="default" w:ascii="Consolas" w:hAnsi="Consolas" w:eastAsia="Consolas" w:cs="Consolas"/>
      <w:color w:val="FFFFFF"/>
      <w:sz w:val="21"/>
      <w:szCs w:val="21"/>
      <w:shd w:val="clear" w:fill="333333"/>
    </w:rPr>
  </w:style>
  <w:style w:type="character" w:styleId="42">
    <w:name w:val="HTML Sample"/>
    <w:basedOn w:val="33"/>
    <w:qFormat/>
    <w:uiPriority w:val="0"/>
    <w:rPr>
      <w:rFonts w:hint="default" w:ascii="Consolas" w:hAnsi="Consolas" w:eastAsia="Consolas" w:cs="Consolas"/>
      <w:sz w:val="21"/>
      <w:szCs w:val="21"/>
    </w:rPr>
  </w:style>
  <w:style w:type="character" w:customStyle="1" w:styleId="43">
    <w:name w:val="标题 1 Char"/>
    <w:link w:val="2"/>
    <w:qFormat/>
    <w:uiPriority w:val="0"/>
    <w:rPr>
      <w:b/>
      <w:bCs/>
      <w:kern w:val="44"/>
      <w:sz w:val="44"/>
      <w:szCs w:val="44"/>
    </w:rPr>
  </w:style>
  <w:style w:type="character" w:customStyle="1" w:styleId="44">
    <w:name w:val="标题 2 Char"/>
    <w:link w:val="3"/>
    <w:qFormat/>
    <w:uiPriority w:val="0"/>
    <w:rPr>
      <w:rFonts w:ascii="Arial" w:hAnsi="Arial" w:eastAsia="黑体"/>
      <w:b/>
      <w:bCs/>
      <w:kern w:val="2"/>
      <w:sz w:val="32"/>
      <w:szCs w:val="32"/>
    </w:rPr>
  </w:style>
  <w:style w:type="character" w:customStyle="1" w:styleId="45">
    <w:name w:val="正文文本缩进 2 Char"/>
    <w:link w:val="17"/>
    <w:qFormat/>
    <w:uiPriority w:val="0"/>
    <w:rPr>
      <w:kern w:val="2"/>
      <w:sz w:val="21"/>
    </w:rPr>
  </w:style>
  <w:style w:type="character" w:customStyle="1" w:styleId="46">
    <w:name w:val="批注文字 Char"/>
    <w:link w:val="9"/>
    <w:qFormat/>
    <w:uiPriority w:val="0"/>
    <w:rPr>
      <w:kern w:val="2"/>
      <w:sz w:val="21"/>
    </w:rPr>
  </w:style>
  <w:style w:type="character" w:customStyle="1" w:styleId="47">
    <w:name w:val="纯文本 Char1"/>
    <w:link w:val="14"/>
    <w:qFormat/>
    <w:uiPriority w:val="0"/>
    <w:rPr>
      <w:rFonts w:ascii="宋体" w:hAnsi="Courier New" w:eastAsia="宋体"/>
      <w:kern w:val="2"/>
      <w:sz w:val="21"/>
      <w:lang w:val="en-US" w:eastAsia="zh-CN" w:bidi="ar-SA"/>
    </w:rPr>
  </w:style>
  <w:style w:type="character" w:customStyle="1" w:styleId="48">
    <w:name w:val="Char Char3"/>
    <w:qFormat/>
    <w:uiPriority w:val="0"/>
    <w:rPr>
      <w:rFonts w:ascii="宋体" w:hAnsi="Courier New" w:eastAsia="宋体"/>
      <w:kern w:val="2"/>
      <w:sz w:val="21"/>
      <w:lang w:val="en-US" w:eastAsia="zh-CN" w:bidi="ar-SA"/>
    </w:rPr>
  </w:style>
  <w:style w:type="character" w:customStyle="1" w:styleId="49">
    <w:name w:val="apple-converted-space"/>
    <w:basedOn w:val="33"/>
    <w:qFormat/>
    <w:uiPriority w:val="0"/>
  </w:style>
  <w:style w:type="character" w:customStyle="1" w:styleId="50">
    <w:name w:val="批注框文本 Char"/>
    <w:link w:val="18"/>
    <w:qFormat/>
    <w:uiPriority w:val="0"/>
    <w:rPr>
      <w:kern w:val="2"/>
      <w:sz w:val="18"/>
      <w:szCs w:val="18"/>
    </w:rPr>
  </w:style>
  <w:style w:type="character" w:customStyle="1" w:styleId="51">
    <w:name w:val="Char Char5"/>
    <w:qFormat/>
    <w:uiPriority w:val="0"/>
    <w:rPr>
      <w:rFonts w:ascii="宋体" w:hAnsi="Courier New" w:eastAsia="宋体"/>
      <w:kern w:val="2"/>
      <w:sz w:val="21"/>
      <w:lang w:val="en-US" w:eastAsia="zh-CN" w:bidi="ar-SA"/>
    </w:rPr>
  </w:style>
  <w:style w:type="character" w:customStyle="1" w:styleId="52">
    <w:name w:val="日期 Char"/>
    <w:link w:val="16"/>
    <w:qFormat/>
    <w:uiPriority w:val="0"/>
    <w:rPr>
      <w:kern w:val="2"/>
      <w:sz w:val="24"/>
      <w:szCs w:val="24"/>
    </w:rPr>
  </w:style>
  <w:style w:type="character" w:customStyle="1" w:styleId="53">
    <w:name w:val="纯文本 Char"/>
    <w:qFormat/>
    <w:uiPriority w:val="0"/>
    <w:rPr>
      <w:rFonts w:ascii="宋体" w:hAnsi="Courier New" w:eastAsia="宋体"/>
      <w:kern w:val="2"/>
      <w:sz w:val="21"/>
      <w:lang w:val="en-US" w:eastAsia="zh-CN" w:bidi="ar-SA"/>
    </w:rPr>
  </w:style>
  <w:style w:type="character" w:customStyle="1" w:styleId="54">
    <w:name w:val="标题 Char"/>
    <w:link w:val="28"/>
    <w:qFormat/>
    <w:uiPriority w:val="0"/>
    <w:rPr>
      <w:rFonts w:ascii="Arial" w:hAnsi="Arial" w:cs="Arial"/>
      <w:b/>
      <w:bCs/>
      <w:kern w:val="2"/>
      <w:sz w:val="32"/>
      <w:szCs w:val="32"/>
    </w:rPr>
  </w:style>
  <w:style w:type="character" w:customStyle="1" w:styleId="55">
    <w:name w:val="文档结构图 Char"/>
    <w:link w:val="8"/>
    <w:qFormat/>
    <w:uiPriority w:val="0"/>
    <w:rPr>
      <w:kern w:val="2"/>
      <w:sz w:val="24"/>
      <w:szCs w:val="24"/>
      <w:shd w:val="clear" w:color="auto" w:fill="000080"/>
    </w:rPr>
  </w:style>
  <w:style w:type="character" w:customStyle="1" w:styleId="56">
    <w:name w:val="正文文本缩进 3 Char"/>
    <w:link w:val="24"/>
    <w:qFormat/>
    <w:uiPriority w:val="0"/>
    <w:rPr>
      <w:kern w:val="2"/>
      <w:sz w:val="16"/>
      <w:szCs w:val="16"/>
    </w:rPr>
  </w:style>
  <w:style w:type="character" w:customStyle="1" w:styleId="57">
    <w:name w:val="页眉 Char"/>
    <w:link w:val="20"/>
    <w:qFormat/>
    <w:uiPriority w:val="99"/>
    <w:rPr>
      <w:rFonts w:eastAsia="宋体"/>
      <w:kern w:val="2"/>
      <w:sz w:val="18"/>
      <w:szCs w:val="18"/>
      <w:lang w:val="en-US" w:eastAsia="zh-CN" w:bidi="ar-SA"/>
    </w:rPr>
  </w:style>
  <w:style w:type="character" w:customStyle="1" w:styleId="58">
    <w:name w:val="批注主题 Char"/>
    <w:link w:val="29"/>
    <w:qFormat/>
    <w:uiPriority w:val="0"/>
    <w:rPr>
      <w:b/>
      <w:bCs/>
      <w:kern w:val="2"/>
      <w:sz w:val="21"/>
    </w:rPr>
  </w:style>
  <w:style w:type="character" w:customStyle="1" w:styleId="59">
    <w:name w:val="HTML Markup"/>
    <w:qFormat/>
    <w:uiPriority w:val="0"/>
    <w:rPr>
      <w:vanish/>
      <w:color w:val="FF0000"/>
    </w:rPr>
  </w:style>
  <w:style w:type="character" w:customStyle="1" w:styleId="60">
    <w:name w:val="Char Char2"/>
    <w:qFormat/>
    <w:uiPriority w:val="0"/>
    <w:rPr>
      <w:rFonts w:ascii="宋体" w:hAnsi="Courier New" w:cs="宋体"/>
      <w:kern w:val="2"/>
      <w:sz w:val="21"/>
      <w:szCs w:val="21"/>
    </w:rPr>
  </w:style>
  <w:style w:type="paragraph" w:customStyle="1" w:styleId="61">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3">
    <w:name w:val="1列"/>
    <w:basedOn w:val="1"/>
    <w:qFormat/>
    <w:uiPriority w:val="0"/>
    <w:pPr>
      <w:spacing w:line="360" w:lineRule="auto"/>
      <w:ind w:left="401" w:hanging="401" w:hangingChars="191"/>
    </w:pPr>
    <w:rPr>
      <w:szCs w:val="24"/>
    </w:rPr>
  </w:style>
  <w:style w:type="paragraph" w:customStyle="1" w:styleId="64">
    <w:name w:val="Pied"/>
    <w:basedOn w:val="1"/>
    <w:qFormat/>
    <w:uiPriority w:val="0"/>
    <w:pPr>
      <w:tabs>
        <w:tab w:val="center" w:pos="4252"/>
        <w:tab w:val="right" w:pos="8504"/>
      </w:tabs>
      <w:ind w:left="284" w:right="284"/>
      <w:jc w:val="center"/>
    </w:pPr>
    <w:rPr>
      <w:b/>
      <w:color w:val="000000"/>
      <w:sz w:val="16"/>
      <w:szCs w:val="24"/>
      <w:lang w:val="fr-FR" w:eastAsia="fr-FR"/>
    </w:rPr>
  </w:style>
  <w:style w:type="paragraph" w:customStyle="1" w:styleId="65">
    <w:name w:val="Char Char3 Char Char Char Char Char Char Char"/>
    <w:basedOn w:val="1"/>
    <w:qFormat/>
    <w:uiPriority w:val="0"/>
    <w:pPr>
      <w:widowControl/>
      <w:tabs>
        <w:tab w:val="left" w:pos="425"/>
      </w:tabs>
      <w:spacing w:after="160" w:line="240" w:lineRule="exact"/>
      <w:ind w:left="425" w:hanging="425"/>
      <w:jc w:val="left"/>
    </w:pPr>
    <w:rPr>
      <w:rFonts w:ascii="Verdana" w:hAnsi="Verdana"/>
      <w:kern w:val="0"/>
      <w:sz w:val="20"/>
      <w:lang w:eastAsia="en-US"/>
    </w:rPr>
  </w:style>
  <w:style w:type="paragraph" w:customStyle="1" w:styleId="66">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67">
    <w:name w:val="列出段落1"/>
    <w:basedOn w:val="1"/>
    <w:qFormat/>
    <w:uiPriority w:val="0"/>
    <w:pPr>
      <w:ind w:firstLine="420" w:firstLineChars="200"/>
    </w:pPr>
    <w:rPr>
      <w:rFonts w:ascii="Calibri" w:hAnsi="Calibri"/>
      <w:szCs w:val="22"/>
    </w:rPr>
  </w:style>
  <w:style w:type="paragraph" w:customStyle="1" w:styleId="6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9">
    <w:name w:val="Char Char Char Char Char Char Char"/>
    <w:basedOn w:val="1"/>
    <w:qFormat/>
    <w:uiPriority w:val="0"/>
    <w:rPr>
      <w:rFonts w:ascii="Verdana" w:hAnsi="Verdana"/>
      <w:kern w:val="0"/>
      <w:sz w:val="20"/>
      <w:lang w:eastAsia="en-US"/>
    </w:rPr>
  </w:style>
  <w:style w:type="paragraph" w:customStyle="1" w:styleId="70">
    <w:name w:val="二级列表 Char"/>
    <w:basedOn w:val="1"/>
    <w:qFormat/>
    <w:uiPriority w:val="0"/>
    <w:rPr>
      <w:rFonts w:ascii="Calibri" w:hAnsi="Calibri"/>
    </w:rPr>
  </w:style>
  <w:style w:type="paragraph" w:customStyle="1" w:styleId="71">
    <w:name w:val="BODY TEXT"/>
    <w:basedOn w:val="1"/>
    <w:link w:val="72"/>
    <w:qFormat/>
    <w:uiPriority w:val="0"/>
    <w:pPr>
      <w:adjustRightInd w:val="0"/>
      <w:spacing w:before="120" w:afterLines="50" w:line="280" w:lineRule="atLeast"/>
      <w:textAlignment w:val="baseline"/>
    </w:pPr>
    <w:rPr>
      <w:rFonts w:eastAsia="新宋体"/>
      <w:szCs w:val="21"/>
    </w:rPr>
  </w:style>
  <w:style w:type="character" w:customStyle="1" w:styleId="72">
    <w:name w:val="BODY TEXT Char"/>
    <w:link w:val="71"/>
    <w:qFormat/>
    <w:uiPriority w:val="0"/>
    <w:rPr>
      <w:rFonts w:eastAsia="新宋体"/>
      <w:kern w:val="2"/>
      <w:sz w:val="21"/>
      <w:szCs w:val="21"/>
    </w:rPr>
  </w:style>
  <w:style w:type="character" w:customStyle="1" w:styleId="73">
    <w:name w:val="纯文本 字符"/>
    <w:qFormat/>
    <w:uiPriority w:val="0"/>
    <w:rPr>
      <w:rFonts w:ascii="宋体" w:hAnsi="Courier New" w:eastAsia="宋体"/>
      <w:kern w:val="2"/>
      <w:sz w:val="21"/>
      <w:lang w:val="en-US" w:eastAsia="zh-CN" w:bidi="ar-SA"/>
    </w:rPr>
  </w:style>
  <w:style w:type="paragraph" w:customStyle="1" w:styleId="74">
    <w:name w:val="Tabelle"/>
    <w:basedOn w:val="1"/>
    <w:qFormat/>
    <w:uiPriority w:val="0"/>
    <w:pPr>
      <w:widowControl/>
      <w:spacing w:before="40" w:after="40"/>
      <w:jc w:val="left"/>
    </w:pPr>
    <w:rPr>
      <w:rFonts w:ascii="Arial" w:hAnsi="Arial"/>
      <w:kern w:val="0"/>
      <w:sz w:val="20"/>
      <w:lang w:eastAsia="de-DE"/>
    </w:rPr>
  </w:style>
  <w:style w:type="paragraph" w:customStyle="1" w:styleId="75">
    <w:name w:val="Fließtext"/>
    <w:basedOn w:val="1"/>
    <w:qFormat/>
    <w:uiPriority w:val="0"/>
    <w:pPr>
      <w:widowControl/>
      <w:spacing w:before="40" w:after="40"/>
      <w:jc w:val="left"/>
    </w:pPr>
    <w:rPr>
      <w:rFonts w:ascii="Arial" w:hAnsi="Arial"/>
      <w:kern w:val="0"/>
      <w:sz w:val="20"/>
      <w:lang w:eastAsia="de-DE"/>
    </w:rPr>
  </w:style>
  <w:style w:type="paragraph" w:styleId="76">
    <w:name w:val="List Paragraph"/>
    <w:basedOn w:val="1"/>
    <w:unhideWhenUsed/>
    <w:qFormat/>
    <w:uiPriority w:val="99"/>
    <w:pPr>
      <w:ind w:firstLine="420" w:firstLineChars="200"/>
    </w:pPr>
  </w:style>
  <w:style w:type="character" w:customStyle="1" w:styleId="77">
    <w:name w:val="页脚 Char"/>
    <w:link w:val="19"/>
    <w:qFormat/>
    <w:uiPriority w:val="99"/>
    <w:rPr>
      <w:kern w:val="2"/>
      <w:sz w:val="18"/>
      <w:szCs w:val="18"/>
    </w:rPr>
  </w:style>
  <w:style w:type="paragraph" w:customStyle="1" w:styleId="78">
    <w:name w:val="标书正文格式"/>
    <w:basedOn w:val="14"/>
    <w:qFormat/>
    <w:uiPriority w:val="0"/>
    <w:pPr>
      <w:spacing w:line="360" w:lineRule="auto"/>
      <w:ind w:firstLine="200" w:firstLineChars="200"/>
    </w:pPr>
    <w:rPr>
      <w:rFonts w:hAnsi="宋体"/>
      <w:color w:val="000000"/>
      <w:szCs w:val="24"/>
    </w:rPr>
  </w:style>
  <w:style w:type="paragraph" w:customStyle="1" w:styleId="7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0">
    <w:name w:val="UserStyle_95"/>
    <w:basedOn w:val="81"/>
    <w:qFormat/>
    <w:uiPriority w:val="0"/>
  </w:style>
  <w:style w:type="paragraph" w:customStyle="1" w:styleId="81">
    <w:name w:val="Heading4"/>
    <w:basedOn w:val="1"/>
    <w:next w:val="1"/>
    <w:qFormat/>
    <w:uiPriority w:val="0"/>
    <w:pPr>
      <w:keepNext/>
      <w:spacing w:before="240" w:after="60"/>
    </w:pPr>
    <w:rPr>
      <w:b/>
      <w:bCs/>
      <w:sz w:val="28"/>
      <w:szCs w:val="28"/>
    </w:rPr>
  </w:style>
  <w:style w:type="character" w:customStyle="1" w:styleId="82">
    <w:name w:val="NormalCharacter"/>
    <w:qFormat/>
    <w:uiPriority w:val="0"/>
  </w:style>
  <w:style w:type="paragraph" w:customStyle="1" w:styleId="83">
    <w:name w:val="TOC 标题1"/>
    <w:basedOn w:val="2"/>
    <w:next w:val="1"/>
    <w:autoRedefine/>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80CB2-7B62-4DC6-89B2-3D056686466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11221</Words>
  <Characters>11687</Characters>
  <Lines>108</Lines>
  <Paragraphs>30</Paragraphs>
  <TotalTime>0</TotalTime>
  <ScaleCrop>false</ScaleCrop>
  <LinksUpToDate>false</LinksUpToDate>
  <CharactersWithSpaces>11901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2019-11-16T00:44:00Z</dcterms:created>
  <dc:creator>微软用户</dc:creator>
  <cp:lastModifiedBy>刘琦</cp:lastModifiedBy>
  <cp:lastPrinted>2020-12-22T00:46:00Z</cp:lastPrinted>
  <dcterms:modified xsi:type="dcterms:W3CDTF">2026-03-12T08:41:36Z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9F5CD79C538640E6B5EB997730643F8F</vt:lpwstr>
  </property>
  <property fmtid="{D5CDD505-2E9C-101B-9397-08002B2CF9AE}" pid="4" name="KSOTemplateDocerSaveRecord">
    <vt:lpwstr>eyJoZGlkIjoiY2MwMDhmMjE0N2IyYWU2NDcwNjdhZTI1NzI0MjkyYTAiLCJ1c2VySWQiOiI3NzI3NDA3MTYifQ==</vt:lpwstr>
  </property>
</Properties>
</file>