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pPr>
        <w:pStyle w:val="24"/>
        <w:rPr>
          <w:rFonts w:hint="eastAsia"/>
        </w:rPr>
      </w:pPr>
    </w:p>
    <w:p>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中国重汽集团济南成型厂6300T、3150T热模锻生产线复产项目-新增石墨废水预处理站</w:t>
      </w: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3</w:t>
      </w:r>
      <w:r>
        <w:rPr>
          <w:rFonts w:hint="eastAsia" w:asciiTheme="minorEastAsia" w:hAnsiTheme="minorEastAsia" w:eastAsiaTheme="minorEastAsia" w:cstheme="minorEastAsia"/>
          <w:sz w:val="30"/>
          <w:szCs w:val="30"/>
        </w:rPr>
        <w:t>月</w:t>
      </w: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bookmarkEnd w:id="0"/>
    <w:bookmarkEnd w:id="1"/>
    <w:p>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pPr>
        <w:pStyle w:val="2"/>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r>
        <w:rPr>
          <w:rFonts w:hint="eastAsia" w:asciiTheme="minorEastAsia" w:hAnsiTheme="minorEastAsia" w:eastAsiaTheme="minorEastAsia" w:cstheme="minorEastAsia"/>
          <w:szCs w:val="32"/>
          <w:lang w:eastAsia="zh-CN"/>
        </w:rPr>
        <w:t>（</w:t>
      </w:r>
      <w:r>
        <w:rPr>
          <w:rFonts w:hint="eastAsia" w:asciiTheme="minorEastAsia" w:hAnsiTheme="minorEastAsia" w:eastAsiaTheme="minorEastAsia" w:cstheme="minorEastAsia"/>
          <w:szCs w:val="32"/>
          <w:lang w:val="en-US" w:eastAsia="zh-CN"/>
        </w:rPr>
        <w:t>二次公告）</w:t>
      </w:r>
    </w:p>
    <w:p>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中国重汽集团6300T、3150T热模锻生产线复产项目-新增石墨废水预处理站</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2290"/>
      <w:bookmarkEnd w:id="5"/>
      <w:bookmarkStart w:id="6" w:name="_Toc285809451"/>
      <w:bookmarkEnd w:id="6"/>
      <w:bookmarkStart w:id="7" w:name="_Toc152045514"/>
      <w:bookmarkEnd w:id="7"/>
      <w:bookmarkStart w:id="8" w:name="_Toc179632530"/>
      <w:bookmarkEnd w:id="8"/>
      <w:bookmarkStart w:id="9" w:name="_Toc144974482"/>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6300T、3150T热模锻生产线复产项目-新增石墨废水预处理站  </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ZBGL2026030249</w:t>
      </w:r>
      <w:bookmarkStart w:id="32" w:name="_GoBack"/>
      <w:bookmarkEnd w:id="32"/>
      <w:r>
        <w:rPr>
          <w:rFonts w:hint="eastAsia" w:asciiTheme="minorEastAsia" w:hAnsiTheme="minorEastAsia" w:eastAsiaTheme="minorEastAsia" w:cstheme="minorEastAsia"/>
          <w:kern w:val="0"/>
          <w:sz w:val="24"/>
          <w:szCs w:val="24"/>
          <w:highlight w:val="none"/>
          <w:u w:val="single"/>
          <w:lang w:val="en-US" w:eastAsia="zh-CN"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highlight w:val="none"/>
          <w:u w:val="single"/>
        </w:rPr>
        <w:t>济南成型厂</w:t>
      </w:r>
      <w:r>
        <w:rPr>
          <w:rFonts w:hint="eastAsia" w:ascii="宋体" w:hAnsi="宋体" w:eastAsia="宋体" w:cs="宋体"/>
          <w:color w:val="000000"/>
          <w:sz w:val="24"/>
          <w:highlight w:val="none"/>
          <w:u w:val="single"/>
          <w:lang w:val="en-US" w:eastAsia="zh-CN"/>
        </w:rPr>
        <w:t>党家庄厂区</w:t>
      </w:r>
      <w:r>
        <w:rPr>
          <w:rFonts w:hint="eastAsia" w:asciiTheme="minorEastAsia" w:hAnsiTheme="minorEastAsia" w:eastAsiaTheme="minorEastAsia" w:cstheme="minorEastAsia"/>
          <w:kern w:val="0"/>
          <w:sz w:val="24"/>
          <w:szCs w:val="24"/>
          <w:highlight w:val="none"/>
          <w:u w:val="singl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济南成型厂6300T、3150T 热模锻生产线复产技改项目新增锻造生产线石墨废水预处理站一套。</w:t>
      </w:r>
      <w:r>
        <w:rPr>
          <w:rFonts w:hint="eastAsia" w:ascii="宋体" w:hAnsi="宋体"/>
          <w:b w:val="0"/>
          <w:bCs w:val="0"/>
          <w:color w:val="000000"/>
          <w:sz w:val="24"/>
          <w:szCs w:val="24"/>
          <w:lang w:val="en-US" w:eastAsia="zh-CN" w:bidi="zh-CN"/>
        </w:rPr>
        <w:t>技术要求详见“招标文件”</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10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应标报名截止时间：2026年3月23日17：00</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eastAsia="宋体" w:cs="宋体"/>
          <w:sz w:val="24"/>
          <w:szCs w:val="24"/>
          <w:highlight w:val="none"/>
          <w:lang w:val="en-US" w:eastAsia="zh-CN"/>
        </w:rPr>
        <w:t>在“中国重汽e采通”平台报名，具体流程如下：</w:t>
      </w:r>
      <w:r>
        <w:rPr>
          <w:rFonts w:hint="eastAsia" w:eastAsia="宋体" w:cs="宋体"/>
          <w:sz w:val="24"/>
          <w:szCs w:val="24"/>
          <w:highlight w:val="none"/>
          <w:lang w:val="en-US" w:eastAsia="zh-CN"/>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pPr>
        <w:pStyle w:val="19"/>
        <w:rPr>
          <w:rFonts w:hint="eastAsia"/>
          <w:lang w:eastAsia="zh-CN"/>
        </w:rPr>
      </w:pP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3</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29</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17</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3</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30</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李长城，</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18678304476</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李老师 18678304476</w:t>
      </w:r>
    </w:p>
    <w:p>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cs="Times New Roman"/>
          <w:color w:val="000000"/>
          <w:sz w:val="24"/>
          <w:szCs w:val="24"/>
          <w:highlight w:val="yellow"/>
          <w:lang w:val="en-US" w:eastAsia="zh-CN"/>
        </w:rPr>
        <w:t>3</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pPr>
        <w:pStyle w:val="19"/>
        <w:rPr>
          <w:rFonts w:hint="eastAsia"/>
          <w:lang w:val="en-US" w:eastAsia="zh-CN"/>
        </w:rPr>
      </w:pP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8"/>
      <w:bookmarkStart w:id="12" w:name="OLE_LINK19"/>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pPr>
        <w:pStyle w:val="24"/>
        <w:spacing w:line="360" w:lineRule="auto"/>
        <w:ind w:left="660" w:leftChars="200" w:hanging="240" w:hangingChars="100"/>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⑴本次招标为公开招标，报价应为：</w:t>
      </w:r>
    </w:p>
    <w:p>
      <w:pPr>
        <w:pStyle w:val="24"/>
        <w:spacing w:line="360" w:lineRule="auto"/>
        <w:ind w:firstLine="480" w:firstLineChars="200"/>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经与招标人或其指派的答疑人员充分沟通确认基础上，由投标人在满足招标人所提出的、与本项目所有相关环节有关的所有费用；</w:t>
      </w:r>
    </w:p>
    <w:p>
      <w:pPr>
        <w:pStyle w:val="24"/>
        <w:spacing w:line="360" w:lineRule="auto"/>
        <w:ind w:firstLine="480" w:firstLineChars="200"/>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⑵所有报价货币单位为：万元（人民币），</w:t>
      </w:r>
      <w:r>
        <w:rPr>
          <w:rFonts w:hint="eastAsia" w:asciiTheme="minorEastAsia" w:hAnsiTheme="minorEastAsia" w:eastAsiaTheme="minorEastAsia" w:cstheme="minorEastAsia"/>
          <w:b/>
          <w:bCs w:val="0"/>
          <w:kern w:val="2"/>
          <w:sz w:val="24"/>
          <w:szCs w:val="24"/>
          <w:highlight w:val="none"/>
          <w:lang w:val="en-US" w:eastAsia="zh-CN" w:bidi="ar-SA"/>
        </w:rPr>
        <w:t>含税</w:t>
      </w:r>
      <w:r>
        <w:rPr>
          <w:rFonts w:hint="eastAsia" w:asciiTheme="minorEastAsia" w:hAnsiTheme="minorEastAsia" w:eastAsiaTheme="minorEastAsia" w:cstheme="minorEastAsia"/>
          <w:bCs/>
          <w:kern w:val="2"/>
          <w:sz w:val="24"/>
          <w:szCs w:val="24"/>
          <w:highlight w:val="none"/>
          <w:lang w:val="en-US" w:eastAsia="zh-CN" w:bidi="ar-SA"/>
        </w:rPr>
        <w:t>；</w:t>
      </w:r>
    </w:p>
    <w:p>
      <w:pPr>
        <w:pStyle w:val="24"/>
        <w:keepNext w:val="0"/>
        <w:keepLines w:val="0"/>
        <w:pageBreakBefore w:val="0"/>
        <w:widowControl w:val="0"/>
        <w:kinsoku/>
        <w:wordWrap/>
        <w:topLinePunct w:val="0"/>
        <w:autoSpaceDE/>
        <w:autoSpaceDN/>
        <w:bidi w:val="0"/>
        <w:adjustRightInd w:val="0"/>
        <w:snapToGrid w:val="0"/>
        <w:spacing w:line="30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bCs/>
          <w:kern w:val="2"/>
          <w:sz w:val="24"/>
          <w:szCs w:val="24"/>
          <w:highlight w:val="none"/>
          <w:lang w:val="en-US" w:eastAsia="zh-CN" w:bidi="ar-SA"/>
        </w:rPr>
        <w:t>⑶付款结算方式：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pPr>
        <w:pStyle w:val="19"/>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pPr>
        <w:pStyle w:val="19"/>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asciiTheme="minorEastAsia" w:hAnsiTheme="minorEastAsia" w:eastAsiaTheme="minorEastAsia" w:cstheme="minorEastAsia"/>
          <w:color w:val="000000"/>
          <w:kern w:val="0"/>
          <w:sz w:val="24"/>
          <w:szCs w:val="24"/>
          <w:lang w:val="en-US" w:eastAsia="zh-CN" w:bidi="ar"/>
        </w:rPr>
        <w:t>项目预算：含税15.86万元</w:t>
      </w:r>
      <w:r>
        <w:rPr>
          <w:rFonts w:hint="eastAsia" w:hAnsi="宋体"/>
          <w:highlight w:val="none"/>
          <w:lang w:val="en-US" w:eastAsia="zh-CN"/>
        </w:rPr>
        <w:t>。</w:t>
      </w:r>
    </w:p>
    <w:p>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3</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29</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17</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6"/>
      <w:bookmarkStart w:id="14" w:name="OLE_LINK25"/>
      <w:bookmarkStart w:id="15" w:name="OLE_LINK28"/>
      <w:bookmarkStart w:id="16" w:name="OLE_LINK29"/>
      <w:bookmarkStart w:id="17" w:name="OLE_LINK27"/>
      <w:r>
        <w:rPr>
          <w:rFonts w:hint="eastAsia" w:ascii="宋体" w:hAnsi="宋体" w:eastAsia="宋体" w:cs="宋体"/>
          <w:bCs/>
          <w:sz w:val="24"/>
          <w:szCs w:val="24"/>
          <w:highlight w:val="none"/>
        </w:rPr>
        <w:t>；</w:t>
      </w:r>
      <w:bookmarkEnd w:id="13"/>
      <w:bookmarkEnd w:id="14"/>
      <w:bookmarkEnd w:id="15"/>
      <w:bookmarkEnd w:id="16"/>
      <w:bookmarkEnd w:id="17"/>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1"/>
        <w:rPr>
          <w:rFonts w:ascii="宋体" w:hAnsi="Calibri" w:eastAsia="宋体" w:cs="Times New Roman"/>
          <w:b/>
          <w:bCs/>
          <w:kern w:val="44"/>
          <w:sz w:val="28"/>
          <w:szCs w:val="28"/>
          <w:highlight w:val="none"/>
        </w:rPr>
      </w:pPr>
      <w:bookmarkStart w:id="18"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18"/>
    </w:p>
    <w:p>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2"/>
        <w:rPr>
          <w:rFonts w:ascii="Arial" w:hAnsi="Arial" w:eastAsia="宋体" w:cs="Times New Roman"/>
          <w:b/>
          <w:bCs/>
          <w:sz w:val="24"/>
          <w:highlight w:val="none"/>
        </w:rPr>
      </w:pPr>
      <w:bookmarkStart w:id="19"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19"/>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hint="eastAsia" w:ascii="宋体" w:hAnsi="宋体" w:eastAsia="宋体" w:cs="宋体"/>
          <w:sz w:val="24"/>
          <w:highlight w:val="none"/>
          <w:u w:val="single"/>
          <w:lang w:val="en-US" w:eastAsia="zh-CN"/>
        </w:rPr>
      </w:pPr>
      <w:r>
        <w:rPr>
          <w:rFonts w:hint="eastAsia" w:ascii="宋体" w:hAnsi="宋体" w:eastAsia="宋体" w:cs="宋体"/>
          <w:sz w:val="24"/>
          <w:highlight w:val="none"/>
        </w:rPr>
        <w:t>一、项目名称：</w:t>
      </w:r>
      <w:r>
        <w:rPr>
          <w:rFonts w:hint="eastAsia" w:ascii="宋体" w:hAnsi="宋体" w:eastAsia="宋体" w:cs="宋体"/>
          <w:sz w:val="24"/>
          <w:highlight w:val="none"/>
          <w:u w:val="single"/>
          <w:lang w:val="en-US" w:eastAsia="zh-CN"/>
        </w:rPr>
        <w:t>6300T、3150T</w:t>
      </w:r>
      <w:r>
        <w:rPr>
          <w:rFonts w:hint="eastAsia" w:ascii="宋体" w:hAnsi="宋体" w:cs="宋体"/>
          <w:sz w:val="24"/>
          <w:highlight w:val="none"/>
          <w:u w:val="single"/>
          <w:lang w:val="en-US" w:eastAsia="zh-CN"/>
        </w:rPr>
        <w:t>热模锻生产线复产项目</w:t>
      </w:r>
      <w:r>
        <w:rPr>
          <w:rFonts w:hint="eastAsia" w:ascii="宋体" w:hAnsi="宋体" w:eastAsia="宋体" w:cs="宋体"/>
          <w:sz w:val="24"/>
          <w:highlight w:val="none"/>
          <w:u w:val="single"/>
          <w:lang w:val="en-US" w:eastAsia="zh-CN"/>
        </w:rPr>
        <w:t>-新增石墨废水预处理站</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党家庄厂区机锻车间</w:t>
      </w:r>
      <w:r>
        <w:rPr>
          <w:rFonts w:hint="eastAsia" w:ascii="宋体" w:hAnsi="宋体" w:eastAsia="宋体" w:cs="宋体"/>
          <w:color w:val="000000"/>
          <w:sz w:val="24"/>
          <w:highlight w:val="none"/>
        </w:rPr>
        <w:t>。</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党家庄厂区机锻车间</w:t>
      </w:r>
      <w:r>
        <w:rPr>
          <w:rFonts w:hint="eastAsia" w:ascii="宋体" w:hAnsi="宋体" w:eastAsia="宋体" w:cs="宋体"/>
          <w:color w:val="000000"/>
          <w:sz w:val="24"/>
          <w:highlight w:val="none"/>
        </w:rPr>
        <w:t>。</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w:t>
      </w:r>
      <w:r>
        <w:rPr>
          <w:rFonts w:hint="eastAsia" w:ascii="宋体" w:hAnsi="宋体" w:eastAsia="宋体" w:cs="宋体"/>
          <w:bCs/>
          <w:sz w:val="24"/>
          <w:highlight w:val="none"/>
          <w:lang w:val="en-US" w:eastAsia="zh-CN"/>
        </w:rPr>
        <w:t>7200</w:t>
      </w:r>
      <w:r>
        <w:rPr>
          <w:rFonts w:hint="eastAsia" w:ascii="宋体" w:hAnsi="宋体" w:eastAsia="宋体" w:cs="宋体"/>
          <w:bCs/>
          <w:sz w:val="24"/>
          <w:highlight w:val="none"/>
        </w:rPr>
        <w:t>小时。</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5.1.海拔高度：1000m以下。</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5.5  最大风速：15m/s。</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5.6  最大积雪厚度：190mm。</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5.7  地震烈度：七度。</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2"/>
        <w:rPr>
          <w:rFonts w:hint="eastAsia" w:ascii="宋体" w:hAnsi="宋体" w:eastAsia="宋体" w:cs="Times New Roman"/>
          <w:b/>
          <w:bCs/>
          <w:sz w:val="24"/>
          <w:szCs w:val="24"/>
        </w:rPr>
      </w:pPr>
    </w:p>
    <w:p>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val="0"/>
          <w:bCs/>
          <w:sz w:val="24"/>
          <w:szCs w:val="24"/>
          <w:u w:val="single"/>
          <w:shd w:val="pct10" w:color="auto" w:fill="FFFFFF"/>
        </w:rPr>
      </w:pPr>
      <w:r>
        <w:rPr>
          <w:rFonts w:hint="eastAsia" w:ascii="宋体" w:hAnsi="宋体" w:eastAsia="宋体" w:cs="宋体"/>
          <w:b w:val="0"/>
          <w:bCs/>
          <w:sz w:val="24"/>
          <w:szCs w:val="24"/>
        </w:rPr>
        <w:t>一、货物名称：</w:t>
      </w:r>
      <w:r>
        <w:rPr>
          <w:rFonts w:hint="eastAsia" w:ascii="宋体" w:hAnsi="宋体" w:eastAsia="宋体" w:cs="宋体"/>
          <w:b w:val="0"/>
          <w:bCs/>
          <w:sz w:val="24"/>
          <w:szCs w:val="24"/>
          <w:u w:val="single"/>
          <w:lang w:val="en-US" w:eastAsia="zh-CN"/>
        </w:rPr>
        <w:t>新增石墨废水预处理站</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val="0"/>
          <w:bCs/>
          <w:sz w:val="24"/>
          <w:szCs w:val="24"/>
        </w:rPr>
      </w:pPr>
      <w:r>
        <w:rPr>
          <w:rFonts w:hint="eastAsia" w:ascii="宋体" w:hAnsi="宋体" w:eastAsia="宋体" w:cs="宋体"/>
          <w:b w:val="0"/>
          <w:bCs/>
          <w:sz w:val="24"/>
          <w:szCs w:val="24"/>
        </w:rPr>
        <w:t>二、货物数量：</w:t>
      </w:r>
      <w:r>
        <w:rPr>
          <w:rFonts w:hint="eastAsia" w:ascii="宋体" w:hAnsi="宋体" w:eastAsia="宋体" w:cs="宋体"/>
          <w:b w:val="0"/>
          <w:bCs/>
          <w:sz w:val="24"/>
          <w:szCs w:val="24"/>
          <w:u w:val="single"/>
        </w:rPr>
        <w:t>1</w:t>
      </w:r>
      <w:r>
        <w:rPr>
          <w:rFonts w:hint="eastAsia" w:ascii="宋体" w:hAnsi="宋体" w:eastAsia="宋体" w:cs="宋体"/>
          <w:b w:val="0"/>
          <w:bCs/>
          <w:sz w:val="24"/>
          <w:szCs w:val="24"/>
          <w:u w:val="single"/>
          <w:lang w:val="en-US" w:eastAsia="zh-CN"/>
        </w:rPr>
        <w:t>套</w:t>
      </w:r>
      <w:r>
        <w:rPr>
          <w:rFonts w:hint="eastAsia" w:ascii="宋体" w:hAnsi="宋体" w:eastAsia="宋体" w:cs="宋体"/>
          <w:b w:val="0"/>
          <w:bCs/>
          <w:sz w:val="24"/>
          <w:szCs w:val="24"/>
        </w:rPr>
        <w:t>（详见下表）</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sz w:val="24"/>
          <w:szCs w:val="24"/>
        </w:rPr>
      </w:pPr>
      <w:r>
        <w:rPr>
          <w:rFonts w:hint="eastAsia" w:ascii="宋体" w:hAnsi="宋体" w:eastAsia="宋体" w:cs="宋体"/>
          <w:b/>
          <w:sz w:val="24"/>
          <w:szCs w:val="24"/>
        </w:rPr>
        <w:t>三、分投分中：不允许</w:t>
      </w:r>
    </w:p>
    <w:p>
      <w:pPr>
        <w:pageBreakBefore w:val="0"/>
        <w:kinsoku/>
        <w:wordWrap/>
        <w:overflowPunct/>
        <w:topLinePunct w:val="0"/>
        <w:autoSpaceDE/>
        <w:autoSpaceDN/>
        <w:bidi w:val="0"/>
        <w:adjustRightInd/>
        <w:snapToGrid/>
        <w:spacing w:line="360" w:lineRule="auto"/>
        <w:ind w:left="0" w:leftChars="0" w:right="0" w:firstLine="0" w:firstLineChars="0"/>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8"/>
        <w:tblW w:w="513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3"/>
        <w:gridCol w:w="1056"/>
        <w:gridCol w:w="3727"/>
        <w:gridCol w:w="1214"/>
        <w:gridCol w:w="760"/>
        <w:gridCol w:w="590"/>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序号</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设备名称</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rPr>
            </w:pPr>
            <w:r>
              <w:rPr>
                <w:rFonts w:hint="eastAsia" w:ascii="宋体" w:hAnsi="宋体" w:eastAsia="宋体" w:cs="宋体"/>
                <w:b/>
                <w:i w:val="0"/>
                <w:strike w:val="0"/>
                <w:color w:val="000000"/>
                <w:spacing w:val="0"/>
                <w:sz w:val="20"/>
                <w:u w:val="none"/>
                <w:vertAlign w:val="baseline"/>
              </w:rPr>
              <w:t>具体参数</w:t>
            </w:r>
          </w:p>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（规格型号的描述）</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lang w:val="en-US" w:eastAsia="zh-CN"/>
              </w:rPr>
              <w:t>参考</w:t>
            </w:r>
            <w:r>
              <w:rPr>
                <w:rFonts w:hint="eastAsia" w:ascii="宋体" w:hAnsi="宋体" w:eastAsia="宋体" w:cs="宋体"/>
                <w:b/>
                <w:i w:val="0"/>
                <w:strike w:val="0"/>
                <w:color w:val="000000"/>
                <w:spacing w:val="0"/>
                <w:sz w:val="20"/>
                <w:u w:val="none"/>
                <w:vertAlign w:val="baseline"/>
              </w:rPr>
              <w:t>品牌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计量单位</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数量</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综合调节池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尺寸：长3m×宽2m×高2m，有效水深1.8m，池板厚度：5mm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尺寸：长2m×宽2m×高2m，有效水深1.8m，池板厚度：5mm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隔膜式电动计量泵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Q=170L/h</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加药箱搅拌器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rPr>
              <w:t>配套摆线减速机，I=0.75Kw，配套叶轮和连接杆为304不锈钢，连接杆0.9m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加药箱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尺寸：长1m×宽1m×高1m，有效水深0.9m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w:t>
            </w:r>
            <w:r>
              <w:rPr>
                <w:rFonts w:hint="eastAsia" w:ascii="宋体" w:hAnsi="宋体" w:eastAsia="宋体" w:cs="宋体"/>
                <w:i w:val="0"/>
                <w:strike w:val="0"/>
                <w:color w:val="auto"/>
                <w:spacing w:val="0"/>
                <w:sz w:val="20"/>
                <w:u w:val="none"/>
                <w:vertAlign w:val="baseline"/>
                <w:lang w:val="en-US" w:eastAsia="zh-CN"/>
              </w:rPr>
              <w:t>1.2</w:t>
            </w:r>
            <w:r>
              <w:rPr>
                <w:rFonts w:hint="eastAsia" w:ascii="宋体" w:hAnsi="宋体" w:eastAsia="宋体" w:cs="宋体"/>
                <w:i w:val="0"/>
                <w:strike w:val="0"/>
                <w:color w:val="auto"/>
                <w:spacing w:val="0"/>
                <w:sz w:val="20"/>
                <w:u w:val="none"/>
                <w:vertAlign w:val="baseline"/>
              </w:rPr>
              <w:t>m，有效水深1.1m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配套摆线减速机，I=1.5Kw，配套叶轮和连接杆为304不锈钢，连接杆1.1m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潍坊森胜、 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潜污泵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Q=20m³/h，H=15m，I=2.2Kw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中国进越、新界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3</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污泥螺杆泵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泵体304不锈钢，Q=2m³/h，I=2.2Kw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上海韦森、浙江亿迪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污水回流泵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泵体304不锈钢，Q=25m³/h，H=10m，I=1.5Kw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板框压滤机</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外形尺寸1850×845×950mm，压滤面积10平滤板厚度50mm，进料压力＜0.6Mpa，滤板尺寸500*500mm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斜板沉淀池填料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聚丙烯填料直径</w:t>
            </w:r>
            <w:r>
              <w:rPr>
                <w:rFonts w:hint="eastAsia" w:ascii="宋体" w:hAnsi="宋体" w:eastAsia="宋体" w:cs="宋体"/>
                <w:i w:val="0"/>
                <w:strike w:val="0"/>
                <w:color w:val="auto"/>
                <w:spacing w:val="0"/>
                <w:sz w:val="20"/>
                <w:u w:val="none"/>
                <w:vertAlign w:val="baseline"/>
                <w:lang w:val="en-US" w:eastAsia="zh-CN"/>
              </w:rPr>
              <w:t>50</w:t>
            </w:r>
            <w:r>
              <w:rPr>
                <w:rFonts w:hint="eastAsia" w:ascii="宋体" w:hAnsi="宋体" w:eastAsia="宋体" w:cs="宋体"/>
                <w:i w:val="0"/>
                <w:strike w:val="0"/>
                <w:color w:val="auto"/>
                <w:spacing w:val="0"/>
                <w:sz w:val="20"/>
                <w:u w:val="none"/>
                <w:vertAlign w:val="baseline"/>
              </w:rPr>
              <w:t>mm，比表面积300m/m,堆积个数22500n/m，堆积密度49KG/㎡</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平台楼梯</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材质Q235，</w:t>
            </w:r>
            <w:r>
              <w:rPr>
                <w:rFonts w:hint="eastAsia" w:ascii="宋体" w:hAnsi="宋体" w:eastAsia="宋体" w:cs="宋体"/>
                <w:i w:val="0"/>
                <w:strike w:val="0"/>
                <w:color w:val="auto"/>
                <w:spacing w:val="0"/>
                <w:sz w:val="20"/>
                <w:u w:val="none"/>
                <w:vertAlign w:val="baseline"/>
              </w:rPr>
              <w:t>铁板，厚5mm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电磁流量计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DN65，法兰连接；公称压力:PN16；连接材质及本体材质:碳钢CS；准确度:0.5级；输出及供电电源:4-20mA+脉冲+RS485，220VAC</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lang w:val="en-US" w:eastAsia="zh-CN"/>
              </w:rPr>
              <w:t>格乐普、美控</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立柱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池体支架材质Q235,50mm方管</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根</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12</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管道</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加药管道采用，PVC:DN25-DN100；</w:t>
            </w:r>
          </w:p>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污泥输送管道采用，PVC：DN65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辅料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五金辅材</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电线</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低压电力电缆</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华凌、阳谷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穿线管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镀锌管，Ф20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友发、正元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20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曝气管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PVC：DN50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电控柜</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IP65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电器元件</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断路器、接触器等</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正泰、德力西</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bl>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宋体"/>
          <w:bCs/>
          <w:sz w:val="24"/>
          <w:szCs w:val="24"/>
        </w:rPr>
      </w:pP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宋体"/>
          <w:bCs/>
          <w:sz w:val="24"/>
          <w:szCs w:val="24"/>
        </w:rPr>
      </w:pPr>
      <w:r>
        <w:rPr>
          <w:rFonts w:hint="eastAsia" w:ascii="宋体" w:hAnsi="宋体" w:eastAsia="宋体" w:cs="宋体"/>
          <w:bCs/>
          <w:sz w:val="24"/>
          <w:szCs w:val="24"/>
        </w:rPr>
        <w:t>备注：</w:t>
      </w:r>
    </w:p>
    <w:p>
      <w:pPr>
        <w:pageBreakBefore w:val="0"/>
        <w:kinsoku/>
        <w:wordWrap/>
        <w:overflowPunct/>
        <w:topLinePunct w:val="0"/>
        <w:autoSpaceDE/>
        <w:autoSpaceDN/>
        <w:bidi w:val="0"/>
        <w:adjustRightInd/>
        <w:snapToGrid/>
        <w:spacing w:line="360" w:lineRule="auto"/>
        <w:ind w:left="0" w:leftChars="0" w:right="0" w:firstLine="480" w:firstLineChars="200"/>
        <w:rPr>
          <w:rFonts w:ascii="宋体" w:hAnsi="宋体" w:eastAsia="宋体" w:cs="宋体"/>
          <w:bCs/>
          <w:sz w:val="24"/>
          <w:szCs w:val="24"/>
        </w:rPr>
      </w:pPr>
      <w:r>
        <w:rPr>
          <w:rFonts w:hint="eastAsia" w:ascii="宋体" w:hAnsi="宋体" w:eastAsia="宋体" w:cs="宋体"/>
          <w:bCs/>
          <w:sz w:val="24"/>
          <w:szCs w:val="24"/>
        </w:rPr>
        <w:t>1.本表所列采购货物仅为货物的主要构成部分，应配套供货以及招标人所列其它货物（或设备）和服务，请</w:t>
      </w:r>
      <w:r>
        <w:rPr>
          <w:rFonts w:hint="eastAsia" w:ascii="宋体" w:hAnsi="宋体" w:eastAsia="宋体" w:cs="宋体"/>
          <w:bCs/>
          <w:sz w:val="24"/>
          <w:szCs w:val="24"/>
          <w:lang w:eastAsia="zh-CN"/>
        </w:rPr>
        <w:t>投标方</w:t>
      </w:r>
      <w:r>
        <w:rPr>
          <w:rFonts w:hint="eastAsia" w:ascii="宋体" w:hAnsi="宋体" w:eastAsia="宋体" w:cs="宋体"/>
          <w:bCs/>
          <w:sz w:val="24"/>
          <w:szCs w:val="24"/>
        </w:rPr>
        <w:t>认真阅读“供货范围”。若有异议，不管是多么微小，都应在投标文件“商务偏离”章节中予以详细说明。</w:t>
      </w:r>
    </w:p>
    <w:p>
      <w:pPr>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rPr>
          <w:szCs w:val="21"/>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相关设备试运行等</w:t>
      </w:r>
      <w:r>
        <w:rPr>
          <w:rFonts w:hint="eastAsia" w:ascii="宋体" w:hAnsi="宋体" w:eastAsia="宋体" w:cs="宋体"/>
          <w:bCs/>
          <w:sz w:val="24"/>
          <w:szCs w:val="24"/>
        </w:rPr>
        <w:t>。</w:t>
      </w:r>
    </w:p>
    <w:p>
      <w:pPr>
        <w:pageBreakBefore w:val="0"/>
        <w:kinsoku/>
        <w:wordWrap/>
        <w:overflowPunct/>
        <w:topLinePunct w:val="0"/>
        <w:autoSpaceDE/>
        <w:autoSpaceDN/>
        <w:bidi w:val="0"/>
        <w:adjustRightInd/>
        <w:snapToGrid/>
        <w:spacing w:line="360" w:lineRule="auto"/>
        <w:ind w:left="0" w:leftChars="0" w:right="0" w:firstLine="480" w:firstLineChars="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3.清单中所列管道、辅料、电线、穿线管、曝气管需投标方到现场查勘后确定本项目实际需求量，以此作为整体设计的组成部分以及商务标书的报价根据。</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pageBreakBefore w:val="0"/>
        <w:kinsoku/>
        <w:wordWrap/>
        <w:overflowPunct/>
        <w:topLinePunct w:val="0"/>
        <w:autoSpaceDE/>
        <w:autoSpaceDN/>
        <w:bidi w:val="0"/>
        <w:adjustRightInd/>
        <w:snapToGrid/>
        <w:spacing w:line="360" w:lineRule="auto"/>
        <w:ind w:left="0" w:leftChars="0" w:right="0" w:firstLine="480" w:firstLineChars="200"/>
        <w:rPr>
          <w:rFonts w:hint="default" w:ascii="宋体" w:hAnsi="宋体" w:eastAsia="宋体" w:cs="宋体"/>
          <w:sz w:val="24"/>
          <w:szCs w:val="24"/>
          <w:highlight w:val="yellow"/>
          <w:lang w:val="en-US" w:eastAsia="zh-CN"/>
        </w:rPr>
      </w:pPr>
      <w:r>
        <w:rPr>
          <w:rFonts w:hint="eastAsia" w:ascii="宋体" w:hAnsi="宋体" w:eastAsia="宋体" w:cs="宋体"/>
          <w:sz w:val="24"/>
          <w:szCs w:val="24"/>
        </w:rPr>
        <w:t>招标人所列货物的名称和规格型号，如为某一供应商所特有，则该名称和规格型号可作参考，但要求</w:t>
      </w:r>
      <w:r>
        <w:rPr>
          <w:rFonts w:hint="eastAsia" w:ascii="宋体" w:hAnsi="宋体" w:eastAsia="宋体" w:cs="宋体"/>
          <w:sz w:val="24"/>
          <w:szCs w:val="24"/>
          <w:lang w:eastAsia="zh-CN"/>
        </w:rPr>
        <w:t>投标方</w:t>
      </w:r>
      <w:r>
        <w:rPr>
          <w:rFonts w:hint="eastAsia" w:ascii="宋体" w:hAnsi="宋体" w:eastAsia="宋体" w:cs="宋体"/>
          <w:sz w:val="24"/>
          <w:szCs w:val="24"/>
        </w:rPr>
        <w:t>所提供的货物必须满足本技术标书实质性要求</w:t>
      </w:r>
      <w:r>
        <w:rPr>
          <w:rFonts w:hint="eastAsia" w:ascii="宋体" w:hAnsi="宋体" w:eastAsia="宋体" w:cs="Times New Roman"/>
          <w:szCs w:val="20"/>
        </w:rPr>
        <w:t>。</w:t>
      </w:r>
      <w:r>
        <w:rPr>
          <w:rFonts w:hint="eastAsia" w:ascii="宋体" w:hAnsi="宋体" w:eastAsia="宋体" w:cs="Times New Roman"/>
          <w:szCs w:val="20"/>
          <w:highlight w:val="yellow"/>
          <w:lang w:eastAsia="zh-CN"/>
        </w:rPr>
        <w:t>（</w:t>
      </w:r>
      <w:r>
        <w:rPr>
          <w:rFonts w:hint="eastAsia" w:ascii="宋体" w:hAnsi="宋体" w:eastAsia="宋体" w:cs="宋体"/>
          <w:sz w:val="24"/>
          <w:szCs w:val="24"/>
          <w:highlight w:val="yellow"/>
          <w:lang w:val="en-US" w:eastAsia="zh-CN"/>
        </w:rPr>
        <w:t>本项目不指定品牌，仅作参考，与参考不一致，需在偏离表中注明，并在技术方案讲解时主动提出，经专家组同意后方可，否则默认使用参考品牌。）</w:t>
      </w:r>
    </w:p>
    <w:p>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1"/>
        <w:rPr>
          <w:rFonts w:hint="eastAsia" w:ascii="宋体" w:hAnsi="宋体" w:eastAsia="宋体" w:cs="Times New Roman"/>
          <w:b/>
          <w:bCs/>
          <w:kern w:val="44"/>
          <w:sz w:val="28"/>
          <w:szCs w:val="28"/>
        </w:rPr>
      </w:pPr>
      <w:bookmarkStart w:id="20" w:name="_Toc169605880"/>
    </w:p>
    <w:bookmarkEnd w:id="20"/>
    <w:p>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7.程序图纸要求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7.1 投标方必须提供所有设备程序的源代码，包括但不限于 PLC程序、HMI 程序、组态程序、机器人程序、视觉程序、伺服等。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7.2 投标方所提供的程序不得设置任何密码、保护等限制手段，PLC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7.3 HMI界面等需要密码保护的程序，投标方必须提供所有级别的用户名、密码。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7.4 投标方需在设备入场前提供设备程序源码，HMI 界面各级用户名和密码，并保证与现场程序一致。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7.5 投标方需在终验收前提供最新的设备程序源码和电气图纸，图纸要求为可编辑原格式（EPLAN、CAD 格式）且与实际接线一致。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7.6投标方提供所有备件详细明细（excel），包括备件名称、规格型号、品牌、数量等，非标件需提供详细订货号。</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7.7仪器、仪表、控制器、特殊用途传感器等，如变频器、液位传感器、压力传感器等，需提供设备使用说明书。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7.8提供所有信号对接表（excel）。</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8.接口协议要求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 投标方免费开放所有通讯接口，包括但不限于以太网、RS232、RS485、PROFIBUS、PROFINET、MODBUS 等常见接口，以及设备特有的专用接口。</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 投标方免费提供数据交互功能，交互数据包括但不限于实时数据、历史数据、报警信息等。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 投标方在设备入场前提供接口的技术文档和参数说明，包括但不限于接口协议、通讯速率、数据格式等。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 设备使用周期内，投标方免费派遣技术人员与招标方调试团队共同进行设备通讯接口的调试工作。</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9.电机能效</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所有涉及用到的电机、水泵、照明器具等电机功率≥7.5kW,必须选用一级能效，电机功率＜7.5kW，优先选用一级能效；其中能源供应设备及年运行时间≥2000h工艺设备电机必须选用一级能效。</w:t>
      </w:r>
    </w:p>
    <w:p>
      <w:pPr>
        <w:pStyle w:val="236"/>
        <w:pageBreakBefore w:val="0"/>
        <w:kinsoku/>
        <w:wordWrap/>
        <w:overflowPunct/>
        <w:topLinePunct w:val="0"/>
        <w:autoSpaceDE/>
        <w:autoSpaceDN/>
        <w:bidi w:val="0"/>
        <w:adjustRightInd/>
        <w:snapToGrid/>
        <w:spacing w:before="0" w:after="0" w:line="360" w:lineRule="auto"/>
        <w:ind w:left="0" w:leftChars="0" w:right="0" w:firstLine="0" w:firstLineChars="0"/>
        <w:outlineLvl w:val="2"/>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三、技术要求</w: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1.污水设计处理能力：10m³/d</w:t>
      </w:r>
    </w:p>
    <w:p>
      <w:pPr>
        <w:pageBreakBefore w:val="0"/>
        <w:kinsoku/>
        <w:wordWrap/>
        <w:overflowPunct/>
        <w:topLinePunct w:val="0"/>
        <w:autoSpaceDE/>
        <w:autoSpaceDN/>
        <w:bidi w:val="0"/>
        <w:adjustRightInd/>
        <w:snapToGrid/>
        <w:spacing w:line="360" w:lineRule="auto"/>
        <w:ind w:left="0" w:leftChars="0" w:right="0" w:firstLine="0" w:firstLineChars="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现场位置示意图</w:t>
      </w:r>
    </w:p>
    <w:p>
      <w:pPr>
        <w:pageBreakBefore w:val="0"/>
        <w:kinsoku/>
        <w:wordWrap/>
        <w:overflowPunct/>
        <w:topLinePunct w:val="0"/>
        <w:autoSpaceDE/>
        <w:autoSpaceDN/>
        <w:bidi w:val="0"/>
        <w:adjustRightInd/>
        <w:snapToGrid/>
        <w:spacing w:line="360" w:lineRule="auto"/>
        <w:ind w:left="0" w:leftChars="0" w:right="0" w:firstLine="0" w:firstLineChars="0"/>
        <w:jc w:val="both"/>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drawing>
          <wp:inline distT="0" distB="0" distL="114300" distR="114300">
            <wp:extent cx="6222365" cy="3651885"/>
            <wp:effectExtent l="0" t="0" r="635" b="5715"/>
            <wp:docPr id="22" name="图片 1" descr="0ff700af300d33b3293489f93de69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0ff700af300d33b3293489f93de6974b"/>
                    <pic:cNvPicPr>
                      <a:picLocks noChangeAspect="1"/>
                    </pic:cNvPicPr>
                  </pic:nvPicPr>
                  <pic:blipFill>
                    <a:blip r:embed="rId25"/>
                    <a:stretch>
                      <a:fillRect/>
                    </a:stretch>
                  </pic:blipFill>
                  <pic:spPr>
                    <a:xfrm>
                      <a:off x="0" y="0"/>
                      <a:ext cx="6222365" cy="365188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2.出水水质：</w:t>
      </w:r>
    </w:p>
    <w:p>
      <w:pPr>
        <w:pageBreakBefore w:val="0"/>
        <w:kinsoku/>
        <w:wordWrap/>
        <w:overflowPunct/>
        <w:topLinePunct w:val="0"/>
        <w:autoSpaceDE/>
        <w:autoSpaceDN/>
        <w:bidi w:val="0"/>
        <w:adjustRightInd/>
        <w:snapToGrid/>
        <w:spacing w:line="360" w:lineRule="auto"/>
        <w:ind w:left="0" w:leftChars="0" w:right="0" w:firstLine="720" w:firstLineChars="3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CODcr（化学需氧量）≤500mg/L、SS（悬浮物）≤400mg/L、氨氮≤45mg/L、pH：6.5-9.5、TP（总磷）≤8mg/L、TN（总氮）≤70mg/L</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由投标方出具最终排放水质检测报告（带CMA认证）。</w: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3.污水处理工艺</w: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71552" behindDoc="0" locked="0" layoutInCell="1" allowOverlap="1">
                <wp:simplePos x="0" y="0"/>
                <wp:positionH relativeFrom="column">
                  <wp:posOffset>2007235</wp:posOffset>
                </wp:positionH>
                <wp:positionV relativeFrom="paragraph">
                  <wp:posOffset>43180</wp:posOffset>
                </wp:positionV>
                <wp:extent cx="1938020" cy="353695"/>
                <wp:effectExtent l="0" t="0" r="0" b="0"/>
                <wp:wrapNone/>
                <wp:docPr id="23" name="流程图: 过程 23" descr="colored_paper1"/>
                <wp:cNvGraphicFramePr/>
                <a:graphic xmlns:a="http://schemas.openxmlformats.org/drawingml/2006/main">
                  <a:graphicData uri="http://schemas.microsoft.com/office/word/2010/wordprocessingShape">
                    <wps:wsp>
                      <wps:cNvSpPr/>
                      <wps:spPr>
                        <a:xfrm>
                          <a:off x="0" y="0"/>
                          <a:ext cx="1938020" cy="353695"/>
                        </a:xfrm>
                        <a:prstGeom prst="flowChartProcess">
                          <a:avLst/>
                        </a:prstGeom>
                        <a:noFill/>
                        <a:ln w="15875">
                          <a:noFill/>
                        </a:ln>
                      </wps:spPr>
                      <wps:txbx>
                        <w:txbxContent>
                          <w:p>
                            <w:pPr>
                              <w:pStyle w:val="47"/>
                              <w:keepNext w:val="0"/>
                              <w:keepLines w:val="0"/>
                              <w:pageBreakBefore w:val="0"/>
                              <w:widowControl w:val="0"/>
                              <w:kinsoku/>
                              <w:wordWrap/>
                              <w:overflowPunct/>
                              <w:topLinePunct w:val="0"/>
                              <w:bidi w:val="0"/>
                              <w:adjustRightInd/>
                              <w:snapToGrid/>
                              <w:spacing w:line="360" w:lineRule="auto"/>
                              <w:ind w:left="0" w:firstLine="0" w:firstLineChars="0"/>
                              <w:jc w:val="center"/>
                              <w:textAlignment w:val="auto"/>
                              <w:rPr>
                                <w:rFonts w:hint="eastAsia" w:ascii="仿宋_GB2312" w:hAnsi="仿宋_GB2312" w:eastAsia="仿宋_GB2312" w:cs="仿宋_GB2312"/>
                                <w:b w:val="0"/>
                                <w:bCs w:val="0"/>
                                <w:sz w:val="21"/>
                                <w:szCs w:val="21"/>
                                <w:highlight w:val="none"/>
                                <w:lang w:val="en-US" w:eastAsia="zh-CN"/>
                              </w:rPr>
                            </w:pPr>
                            <w:r>
                              <w:rPr>
                                <w:rFonts w:hint="eastAsia" w:ascii="仿宋_GB2312" w:hAnsi="仿宋_GB2312" w:eastAsia="仿宋_GB2312" w:cs="仿宋_GB2312"/>
                                <w:b w:val="0"/>
                                <w:bCs w:val="0"/>
                                <w:i w:val="0"/>
                                <w:iCs w:val="0"/>
                                <w:caps w:val="0"/>
                                <w:color w:val="333333"/>
                                <w:spacing w:val="0"/>
                                <w:sz w:val="21"/>
                                <w:szCs w:val="21"/>
                                <w:shd w:val="clear" w:color="auto" w:fill="FFFFFF"/>
                              </w:rPr>
                              <w:t>NaOH</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rPr>
                              <w:t>破乳剂</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lang w:val="en-US" w:eastAsia="zh-CN"/>
                              </w:rPr>
                              <w:t>PAC、PAM</w:t>
                            </w:r>
                          </w:p>
                          <w:p>
                            <w:pPr>
                              <w:rPr>
                                <w:rFonts w:hint="default"/>
                                <w:lang w:val="en-US" w:eastAsia="zh-CN"/>
                              </w:rPr>
                            </w:pPr>
                          </w:p>
                        </w:txbxContent>
                      </wps:txbx>
                      <wps:bodyPr upright="1"/>
                    </wps:wsp>
                  </a:graphicData>
                </a:graphic>
              </wp:anchor>
            </w:drawing>
          </mc:Choice>
          <mc:Fallback>
            <w:pict>
              <v:shape id="_x0000_s1026" o:spid="_x0000_s1026" o:spt="109" alt="colored_paper1" type="#_x0000_t109" style="position:absolute;left:0pt;margin-left:158.05pt;margin-top:3.4pt;height:27.85pt;width:152.6pt;z-index:251671552;mso-width-relative:page;mso-height-relative:page;" filled="f" stroked="f" coordsize="21600,21600" o:gfxdata="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QsI+vVAAAACAEAAA8AAAAAAAAAAQAgAAAAIgAA&#10;AGRycy9kb3ducmV2LnhtbFBLAQIUABQAAAAIAIdO4kBFcMuE0gEAAHsDAAAOAAAAAAAAAAEAIAAA&#10;ACQBAABkcnMvZTJvRG9jLnhtbFBLBQYAAAAABgAGAFkBAABoBQAAAAA=&#10;">
                <v:fill on="f" focussize="0,0"/>
                <v:stroke on="f" weight="1.25pt"/>
                <v:imagedata o:title=""/>
                <o:lock v:ext="edit" aspectratio="f"/>
                <v:textbox>
                  <w:txbxContent>
                    <w:p>
                      <w:pPr>
                        <w:pStyle w:val="47"/>
                        <w:keepNext w:val="0"/>
                        <w:keepLines w:val="0"/>
                        <w:pageBreakBefore w:val="0"/>
                        <w:widowControl w:val="0"/>
                        <w:kinsoku/>
                        <w:wordWrap/>
                        <w:overflowPunct/>
                        <w:topLinePunct w:val="0"/>
                        <w:bidi w:val="0"/>
                        <w:adjustRightInd/>
                        <w:snapToGrid/>
                        <w:spacing w:line="360" w:lineRule="auto"/>
                        <w:ind w:left="0" w:firstLine="0" w:firstLineChars="0"/>
                        <w:jc w:val="center"/>
                        <w:textAlignment w:val="auto"/>
                        <w:rPr>
                          <w:rFonts w:hint="eastAsia" w:ascii="仿宋_GB2312" w:hAnsi="仿宋_GB2312" w:eastAsia="仿宋_GB2312" w:cs="仿宋_GB2312"/>
                          <w:b w:val="0"/>
                          <w:bCs w:val="0"/>
                          <w:sz w:val="21"/>
                          <w:szCs w:val="21"/>
                          <w:highlight w:val="none"/>
                          <w:lang w:val="en-US" w:eastAsia="zh-CN"/>
                        </w:rPr>
                      </w:pPr>
                      <w:r>
                        <w:rPr>
                          <w:rFonts w:hint="eastAsia" w:ascii="仿宋_GB2312" w:hAnsi="仿宋_GB2312" w:eastAsia="仿宋_GB2312" w:cs="仿宋_GB2312"/>
                          <w:b w:val="0"/>
                          <w:bCs w:val="0"/>
                          <w:i w:val="0"/>
                          <w:iCs w:val="0"/>
                          <w:caps w:val="0"/>
                          <w:color w:val="333333"/>
                          <w:spacing w:val="0"/>
                          <w:sz w:val="21"/>
                          <w:szCs w:val="21"/>
                          <w:shd w:val="clear" w:color="auto" w:fill="FFFFFF"/>
                        </w:rPr>
                        <w:t>NaOH</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rPr>
                        <w:t>破乳剂</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lang w:val="en-US" w:eastAsia="zh-CN"/>
                        </w:rPr>
                        <w:t>PAC、PAM</w:t>
                      </w:r>
                    </w:p>
                    <w:p>
                      <w:pPr>
                        <w:rPr>
                          <w:rFonts w:hint="default"/>
                          <w:lang w:val="en-US" w:eastAsia="zh-CN"/>
                        </w:rPr>
                      </w:pPr>
                    </w:p>
                  </w:txbxContent>
                </v:textbox>
              </v:shape>
            </w:pict>
          </mc:Fallback>
        </mc:AlternateConten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68480" behindDoc="0" locked="0" layoutInCell="1" allowOverlap="1">
                <wp:simplePos x="0" y="0"/>
                <wp:positionH relativeFrom="column">
                  <wp:posOffset>3003550</wp:posOffset>
                </wp:positionH>
                <wp:positionV relativeFrom="paragraph">
                  <wp:posOffset>42545</wp:posOffset>
                </wp:positionV>
                <wp:extent cx="5715" cy="241300"/>
                <wp:effectExtent l="48895" t="0" r="59690" b="0"/>
                <wp:wrapNone/>
                <wp:docPr id="10" name="直接连接符 10"/>
                <wp:cNvGraphicFramePr/>
                <a:graphic xmlns:a="http://schemas.openxmlformats.org/drawingml/2006/main">
                  <a:graphicData uri="http://schemas.microsoft.com/office/word/2010/wordprocessingShape">
                    <wps:wsp>
                      <wps:cNvCnPr/>
                      <wps:spPr>
                        <a:xfrm>
                          <a:off x="0" y="0"/>
                          <a:ext cx="5715" cy="241300"/>
                        </a:xfrm>
                        <a:prstGeom prst="line">
                          <a:avLst/>
                        </a:prstGeom>
                        <a:ln w="15875" cap="flat" cmpd="sng">
                          <a:solidFill>
                            <a:srgbClr val="FF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5pt;margin-top:3.35pt;height:19pt;width:0.45pt;z-index:251668480;mso-width-relative:page;mso-height-relative:page;" filled="f" stroked="t" coordsize="21600,21600" o:gfxdata="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hM/ydgAAAAIAQAADwAAAAAAAAABACAAAAAiAAAAZHJzL2Rv&#10;d25yZXYueG1sUEsBAhQAFAAAAAgAh07iQLyXEzABAgAA6gMAAA4AAAAAAAAAAQAgAAAAJwEAAGRy&#10;cy9lMm9Eb2MueG1sUEsFBgAAAAAGAAYAWQEAAJoFAAAAAA==&#10;">
                <v:fill on="f" focussize="0,0"/>
                <v:stroke weight="1.25pt" color="#FF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7456" behindDoc="0" locked="0" layoutInCell="1" allowOverlap="1">
                <wp:simplePos x="0" y="0"/>
                <wp:positionH relativeFrom="column">
                  <wp:posOffset>4907280</wp:posOffset>
                </wp:positionH>
                <wp:positionV relativeFrom="paragraph">
                  <wp:posOffset>249555</wp:posOffset>
                </wp:positionV>
                <wp:extent cx="845820" cy="288925"/>
                <wp:effectExtent l="0" t="0" r="0" b="0"/>
                <wp:wrapNone/>
                <wp:docPr id="20" name="流程图: 过程 20" descr="colored_paper1"/>
                <wp:cNvGraphicFramePr/>
                <a:graphic xmlns:a="http://schemas.openxmlformats.org/drawingml/2006/main">
                  <a:graphicData uri="http://schemas.microsoft.com/office/word/2010/wordprocessingShape">
                    <wps:wsp>
                      <wps:cNvSpPr/>
                      <wps:spPr>
                        <a:xfrm>
                          <a:off x="0" y="0"/>
                          <a:ext cx="845820" cy="288925"/>
                        </a:xfrm>
                        <a:prstGeom prst="flowChartProcess">
                          <a:avLst/>
                        </a:prstGeom>
                        <a:noFill/>
                        <a:ln w="15875">
                          <a:noFill/>
                        </a:ln>
                      </wps:spPr>
                      <wps:txbx>
                        <w:txbxContent>
                          <w:p>
                            <w:pPr>
                              <w:jc w:val="center"/>
                              <w:rPr>
                                <w:rFonts w:hint="default" w:eastAsia="宋体"/>
                                <w:lang w:val="en-US" w:eastAsia="zh-CN"/>
                              </w:rPr>
                            </w:pPr>
                            <w:r>
                              <w:rPr>
                                <w:rFonts w:hint="eastAsia" w:ascii="仿宋" w:hAnsi="仿宋" w:eastAsia="仿宋" w:cs="仿宋"/>
                                <w:lang w:val="en-US" w:eastAsia="zh-CN"/>
                              </w:rPr>
                              <w:t>达标排放</w:t>
                            </w:r>
                          </w:p>
                        </w:txbxContent>
                      </wps:txbx>
                      <wps:bodyPr upright="1"/>
                    </wps:wsp>
                  </a:graphicData>
                </a:graphic>
              </wp:anchor>
            </w:drawing>
          </mc:Choice>
          <mc:Fallback>
            <w:pict>
              <v:shape id="_x0000_s1026" o:spid="_x0000_s1026" o:spt="109" alt="colored_paper1" type="#_x0000_t109" style="position:absolute;left:0pt;margin-left:386.4pt;margin-top:19.65pt;height:22.75pt;width:66.6pt;z-index:251667456;mso-width-relative:page;mso-height-relative:page;" filled="f" stroked="f" coordsize="21600,21600" o:gfxdata="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JC7AvYAAAACQEAAA8AAAAAAAAAAQAgAAAAIgAA&#10;AGRycy9kb3ducmV2LnhtbFBLAQIUABQAAAAIAIdO4kC1rj6vzwEAAHoDAAAOAAAAAAAAAAEAIAAA&#10;ACcBAABkcnMvZTJvRG9jLnhtbFBLBQYAAAAABgAGAFkBAABoBQAAAAA=&#10;">
                <v:fill on="f" focussize="0,0"/>
                <v:stroke on="f" weight="1.25pt"/>
                <v:imagedata o:title=""/>
                <o:lock v:ext="edit" aspectratio="f"/>
                <v:textbox>
                  <w:txbxContent>
                    <w:p>
                      <w:pPr>
                        <w:jc w:val="center"/>
                        <w:rPr>
                          <w:rFonts w:hint="default" w:eastAsia="宋体"/>
                          <w:lang w:val="en-US" w:eastAsia="zh-CN"/>
                        </w:rPr>
                      </w:pPr>
                      <w:r>
                        <w:rPr>
                          <w:rFonts w:hint="eastAsia" w:ascii="仿宋" w:hAnsi="仿宋" w:eastAsia="仿宋" w:cs="仿宋"/>
                          <w:lang w:val="en-US" w:eastAsia="zh-CN"/>
                        </w:rPr>
                        <w:t>达标排放</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4384" behindDoc="0" locked="0" layoutInCell="1" allowOverlap="1">
                <wp:simplePos x="0" y="0"/>
                <wp:positionH relativeFrom="column">
                  <wp:posOffset>3820160</wp:posOffset>
                </wp:positionH>
                <wp:positionV relativeFrom="paragraph">
                  <wp:posOffset>260350</wp:posOffset>
                </wp:positionV>
                <wp:extent cx="867410" cy="288925"/>
                <wp:effectExtent l="7620" t="7620" r="13970" b="8255"/>
                <wp:wrapNone/>
                <wp:docPr id="19" name="流程图: 过程 19" descr="colored_paper1"/>
                <wp:cNvGraphicFramePr/>
                <a:graphic xmlns:a="http://schemas.openxmlformats.org/drawingml/2006/main">
                  <a:graphicData uri="http://schemas.microsoft.com/office/word/2010/wordprocessingShape">
                    <wps:wsp>
                      <wps:cNvSpPr/>
                      <wps:spPr>
                        <a:xfrm>
                          <a:off x="0" y="0"/>
                          <a:ext cx="867410" cy="288925"/>
                        </a:xfrm>
                        <a:prstGeom prst="flowChartProcess">
                          <a:avLst/>
                        </a:prstGeom>
                        <a:solidFill>
                          <a:srgbClr val="C6D9F1"/>
                        </a:solidFill>
                        <a:ln w="15875" cap="flat" cmpd="sng">
                          <a:solidFill>
                            <a:srgbClr val="739CC3"/>
                          </a:solidFill>
                          <a:prstDash val="solid"/>
                          <a:miter/>
                          <a:headEnd type="none" w="med" len="med"/>
                          <a:tailEnd type="none" w="med" len="med"/>
                        </a:ln>
                      </wps:spPr>
                      <wps:txbx>
                        <w:txbxContent>
                          <w:p>
                            <w:pPr>
                              <w:jc w:val="center"/>
                              <w:rPr>
                                <w:rFonts w:hint="default" w:eastAsia="宋体"/>
                                <w:lang w:val="en-US" w:eastAsia="zh-CN"/>
                              </w:rPr>
                            </w:pPr>
                            <w:r>
                              <w:rPr>
                                <w:rFonts w:hint="eastAsia" w:ascii="仿宋" w:hAnsi="仿宋" w:eastAsia="仿宋" w:cs="仿宋"/>
                                <w:lang w:val="en-US" w:eastAsia="zh-CN"/>
                              </w:rPr>
                              <w:t>斜板沉淀池</w:t>
                            </w:r>
                          </w:p>
                        </w:txbxContent>
                      </wps:txbx>
                      <wps:bodyPr upright="1"/>
                    </wps:wsp>
                  </a:graphicData>
                </a:graphic>
              </wp:anchor>
            </w:drawing>
          </mc:Choice>
          <mc:Fallback>
            <w:pict>
              <v:shape id="_x0000_s1026" o:spid="_x0000_s1026" o:spt="109" alt="colored_paper1" type="#_x0000_t109" style="position:absolute;left:0pt;margin-left:300.8pt;margin-top:20.5pt;height:22.75pt;width:68.3pt;z-index:251664384;mso-width-relative:page;mso-height-relative:page;" fillcolor="#C6D9F1" filled="t" stroked="t" coordsize="21600,21600" o:gfxdata="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VmiD2AAAAAkBAAAPAAAAAAAAAAEAIAAAACIAAABkcnMvZG93bnJldi54bWxQ&#10;SwECFAAUAAAACACHTuJA8L07PzACAABZBAAADgAAAAAAAAABACAAAAAnAQAAZHJzL2Uyb0RvYy54&#10;bWxQSwUGAAAAAAYABgBZAQAAyQUAAAAA&#10;">
                <v:fill on="t" focussize="0,0"/>
                <v:stroke weight="1.25pt" color="#739CC3" joinstyle="miter"/>
                <v:imagedata o:title=""/>
                <o:lock v:ext="edit" aspectratio="f"/>
                <v:textbox>
                  <w:txbxContent>
                    <w:p>
                      <w:pPr>
                        <w:jc w:val="center"/>
                        <w:rPr>
                          <w:rFonts w:hint="default" w:eastAsia="宋体"/>
                          <w:lang w:val="en-US" w:eastAsia="zh-CN"/>
                        </w:rPr>
                      </w:pPr>
                      <w:r>
                        <w:rPr>
                          <w:rFonts w:hint="eastAsia" w:ascii="仿宋" w:hAnsi="仿宋" w:eastAsia="仿宋" w:cs="仿宋"/>
                          <w:lang w:val="en-US" w:eastAsia="zh-CN"/>
                        </w:rPr>
                        <w:t>斜板沉淀池</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1378585</wp:posOffset>
                </wp:positionH>
                <wp:positionV relativeFrom="paragraph">
                  <wp:posOffset>287655</wp:posOffset>
                </wp:positionV>
                <wp:extent cx="845820" cy="288925"/>
                <wp:effectExtent l="7620" t="7620" r="10160" b="8255"/>
                <wp:wrapNone/>
                <wp:docPr id="15" name="流程图: 过程 15" descr="colored_paper1"/>
                <wp:cNvGraphicFramePr/>
                <a:graphic xmlns:a="http://schemas.openxmlformats.org/drawingml/2006/main">
                  <a:graphicData uri="http://schemas.microsoft.com/office/word/2010/wordprocessingShape">
                    <wps:wsp>
                      <wps:cNvSpPr/>
                      <wps:spPr>
                        <a:xfrm>
                          <a:off x="0" y="0"/>
                          <a:ext cx="845820" cy="288925"/>
                        </a:xfrm>
                        <a:prstGeom prst="flowChartProcess">
                          <a:avLst/>
                        </a:prstGeom>
                        <a:solidFill>
                          <a:srgbClr val="C6D9F1"/>
                        </a:solidFill>
                        <a:ln w="15875" cap="flat" cmpd="sng">
                          <a:solidFill>
                            <a:srgbClr val="739CC3"/>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调节池</w:t>
                            </w:r>
                          </w:p>
                        </w:txbxContent>
                      </wps:txbx>
                      <wps:bodyPr upright="1"/>
                    </wps:wsp>
                  </a:graphicData>
                </a:graphic>
              </wp:anchor>
            </w:drawing>
          </mc:Choice>
          <mc:Fallback>
            <w:pict>
              <v:shape id="_x0000_s1026" o:spid="_x0000_s1026" o:spt="109" alt="colored_paper1" type="#_x0000_t109" style="position:absolute;left:0pt;margin-left:108.55pt;margin-top:22.65pt;height:22.75pt;width:66.6pt;z-index:251660288;mso-width-relative:page;mso-height-relative:page;" fillcolor="#C6D9F1" filled="t" stroked="t" coordsize="21600,21600" o:gfxdata="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vtoO2QAAAAkBAAAPAAAAAAAAAAEAIAAAACIAAABkcnMvZG93bnJldi54bWxQ&#10;SwECFAAUAAAACACHTuJAeehyLS8CAABZBAAADgAAAAAAAAABACAAAAAoAQAAZHJzL2Uyb0RvYy54&#10;bWxQSwUGAAAAAAYABgBZAQAAyQUAAAAA&#10;">
                <v:fill on="t" focussize="0,0"/>
                <v:stroke weight="1.25pt" color="#739CC3" joinstyle="miter"/>
                <v:imagedata o:title=""/>
                <o:lock v:ext="edit" aspectratio="f"/>
                <v:textbox>
                  <w:txbxContent>
                    <w:p>
                      <w:pPr>
                        <w:jc w:val="center"/>
                        <w:rPr>
                          <w:rFonts w:hint="default" w:eastAsia="宋体"/>
                          <w:lang w:val="en-US" w:eastAsia="zh-CN"/>
                        </w:rPr>
                      </w:pPr>
                      <w:r>
                        <w:rPr>
                          <w:rFonts w:hint="eastAsia"/>
                          <w:lang w:val="en-US" w:eastAsia="zh-CN"/>
                        </w:rPr>
                        <w:t>调节池</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2336" behindDoc="0" locked="0" layoutInCell="1" allowOverlap="1">
                <wp:simplePos x="0" y="0"/>
                <wp:positionH relativeFrom="column">
                  <wp:posOffset>2592070</wp:posOffset>
                </wp:positionH>
                <wp:positionV relativeFrom="paragraph">
                  <wp:posOffset>284480</wp:posOffset>
                </wp:positionV>
                <wp:extent cx="867410" cy="288925"/>
                <wp:effectExtent l="7620" t="7620" r="13970" b="8255"/>
                <wp:wrapNone/>
                <wp:docPr id="16" name="流程图: 过程 16" descr="colored_paper1"/>
                <wp:cNvGraphicFramePr/>
                <a:graphic xmlns:a="http://schemas.openxmlformats.org/drawingml/2006/main">
                  <a:graphicData uri="http://schemas.microsoft.com/office/word/2010/wordprocessingShape">
                    <wps:wsp>
                      <wps:cNvSpPr/>
                      <wps:spPr>
                        <a:xfrm>
                          <a:off x="0" y="0"/>
                          <a:ext cx="867410" cy="288925"/>
                        </a:xfrm>
                        <a:prstGeom prst="flowChartProcess">
                          <a:avLst/>
                        </a:prstGeom>
                        <a:solidFill>
                          <a:srgbClr val="C6D9F1"/>
                        </a:solidFill>
                        <a:ln w="15875" cap="flat" cmpd="sng">
                          <a:solidFill>
                            <a:srgbClr val="739CC3"/>
                          </a:solidFill>
                          <a:prstDash val="solid"/>
                          <a:miter/>
                          <a:headEnd type="none" w="med" len="med"/>
                          <a:tailEnd type="none" w="med" len="med"/>
                        </a:ln>
                      </wps:spPr>
                      <wps:txbx>
                        <w:txbxContent>
                          <w:p>
                            <w:pPr>
                              <w:jc w:val="center"/>
                              <w:rPr>
                                <w:rFonts w:hint="eastAsia" w:ascii="仿宋" w:hAnsi="仿宋" w:eastAsia="仿宋" w:cs="仿宋"/>
                                <w:lang w:val="en-US" w:eastAsia="zh-CN"/>
                              </w:rPr>
                            </w:pPr>
                            <w:r>
                              <w:rPr>
                                <w:rFonts w:hint="eastAsia" w:ascii="仿宋" w:hAnsi="仿宋" w:eastAsia="仿宋" w:cs="仿宋"/>
                                <w:lang w:val="en-US" w:eastAsia="zh-CN"/>
                              </w:rPr>
                              <w:t>反应池</w:t>
                            </w:r>
                          </w:p>
                        </w:txbxContent>
                      </wps:txbx>
                      <wps:bodyPr upright="1"/>
                    </wps:wsp>
                  </a:graphicData>
                </a:graphic>
              </wp:anchor>
            </w:drawing>
          </mc:Choice>
          <mc:Fallback>
            <w:pict>
              <v:shape id="_x0000_s1026" o:spid="_x0000_s1026" o:spt="109" alt="colored_paper1" type="#_x0000_t109" style="position:absolute;left:0pt;margin-left:204.1pt;margin-top:22.4pt;height:22.75pt;width:68.3pt;z-index:251662336;mso-width-relative:page;mso-height-relative:page;" fillcolor="#C6D9F1" filled="t" stroked="t" coordsize="21600,21600" o:gfxdata="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kOKcDXAAAACQEAAA8AAAAAAAAAAQAgAAAAIgAAAGRycy9kb3ducmV2LnhtbFBL&#10;AQIUABQAAAAIAIdO4kBCOV6LMAIAAFkEAAAOAAAAAAAAAAEAIAAAACYBAABkcnMvZTJvRG9jLnht&#10;bFBLBQYAAAAABgAGAFkBAADIBQAAAAA=&#10;">
                <v:fill on="t" focussize="0,0"/>
                <v:stroke weight="1.25pt" color="#739CC3" joinstyle="miter"/>
                <v:imagedata o:title=""/>
                <o:lock v:ext="edit" aspectratio="f"/>
                <v:textbox>
                  <w:txbxContent>
                    <w:p>
                      <w:pPr>
                        <w:jc w:val="center"/>
                        <w:rPr>
                          <w:rFonts w:hint="eastAsia" w:ascii="仿宋" w:hAnsi="仿宋" w:eastAsia="仿宋" w:cs="仿宋"/>
                          <w:lang w:val="en-US" w:eastAsia="zh-CN"/>
                        </w:rPr>
                      </w:pPr>
                      <w:r>
                        <w:rPr>
                          <w:rFonts w:hint="eastAsia" w:ascii="仿宋" w:hAnsi="仿宋" w:eastAsia="仿宋" w:cs="仿宋"/>
                          <w:lang w:val="en-US" w:eastAsia="zh-CN"/>
                        </w:rPr>
                        <w:t>反应池</w:t>
                      </w:r>
                    </w:p>
                  </w:txbxContent>
                </v:textbox>
              </v:shape>
            </w:pict>
          </mc:Fallback>
        </mc:AlternateConten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69504" behindDoc="0" locked="0" layoutInCell="1" allowOverlap="1">
                <wp:simplePos x="0" y="0"/>
                <wp:positionH relativeFrom="column">
                  <wp:posOffset>4266565</wp:posOffset>
                </wp:positionH>
                <wp:positionV relativeFrom="paragraph">
                  <wp:posOffset>263525</wp:posOffset>
                </wp:positionV>
                <wp:extent cx="635" cy="215900"/>
                <wp:effectExtent l="52070" t="0" r="61595" b="0"/>
                <wp:wrapNone/>
                <wp:docPr id="21" name="直接连接符 21"/>
                <wp:cNvGraphicFramePr/>
                <a:graphic xmlns:a="http://schemas.openxmlformats.org/drawingml/2006/main">
                  <a:graphicData uri="http://schemas.microsoft.com/office/word/2010/wordprocessingShape">
                    <wps:wsp>
                      <wps:cNvCnPr/>
                      <wps:spPr>
                        <a:xfrm flipH="1">
                          <a:off x="0" y="0"/>
                          <a:ext cx="635" cy="2159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35.95pt;margin-top:20.75pt;height:17pt;width:0.05pt;z-index:251669504;mso-width-relative:page;mso-height-relative:page;" filled="f" stroked="t" coordsize="21600,21600" o:gfxdata="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6mLttYAAAAJAQAADwAAAAAAAAABACAAAAAiAAAAZHJz&#10;L2Rvd25yZXYueG1sUEsBAhQAFAAAAAgAh07iQGm+cNIGAgAA8wMAAA4AAAAAAAAAAQAgAAAAJQEA&#10;AGRycy9lMm9Eb2MueG1sUEsFBgAAAAAGAAYAWQEAAJ0FA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6432" behindDoc="0" locked="0" layoutInCell="1" allowOverlap="1">
                <wp:simplePos x="0" y="0"/>
                <wp:positionH relativeFrom="column">
                  <wp:posOffset>326390</wp:posOffset>
                </wp:positionH>
                <wp:positionV relativeFrom="paragraph">
                  <wp:posOffset>5715</wp:posOffset>
                </wp:positionV>
                <wp:extent cx="723900" cy="288925"/>
                <wp:effectExtent l="0" t="0" r="0" b="0"/>
                <wp:wrapNone/>
                <wp:docPr id="17" name="流程图: 过程 17" descr="colored_paper1"/>
                <wp:cNvGraphicFramePr/>
                <a:graphic xmlns:a="http://schemas.openxmlformats.org/drawingml/2006/main">
                  <a:graphicData uri="http://schemas.microsoft.com/office/word/2010/wordprocessingShape">
                    <wps:wsp>
                      <wps:cNvSpPr/>
                      <wps:spPr>
                        <a:xfrm>
                          <a:off x="0" y="0"/>
                          <a:ext cx="723900" cy="288925"/>
                        </a:xfrm>
                        <a:prstGeom prst="flowChartProcess">
                          <a:avLst/>
                        </a:prstGeom>
                        <a:noFill/>
                        <a:ln w="15875">
                          <a:noFill/>
                        </a:ln>
                      </wps:spPr>
                      <wps:txbx>
                        <w:txbxContent>
                          <w:p>
                            <w:pPr>
                              <w:jc w:val="both"/>
                              <w:rPr>
                                <w:rFonts w:hint="default" w:eastAsia="宋体"/>
                                <w:lang w:val="en-US" w:eastAsia="zh-CN"/>
                              </w:rPr>
                            </w:pPr>
                            <w:r>
                              <w:rPr>
                                <w:rFonts w:hint="eastAsia" w:ascii="仿宋" w:hAnsi="仿宋" w:eastAsia="仿宋" w:cs="仿宋"/>
                                <w:lang w:val="en-US" w:eastAsia="zh-CN"/>
                              </w:rPr>
                              <w:t>石墨废水</w:t>
                            </w:r>
                          </w:p>
                        </w:txbxContent>
                      </wps:txbx>
                      <wps:bodyPr upright="1"/>
                    </wps:wsp>
                  </a:graphicData>
                </a:graphic>
              </wp:anchor>
            </w:drawing>
          </mc:Choice>
          <mc:Fallback>
            <w:pict>
              <v:shape id="_x0000_s1026" o:spid="_x0000_s1026" o:spt="109" alt="colored_paper1" type="#_x0000_t109" style="position:absolute;left:0pt;margin-left:25.7pt;margin-top:0.45pt;height:22.75pt;width:57pt;z-index:251666432;mso-width-relative:page;mso-height-relative:page;" filled="f" stroked="f" coordsize="21600,21600" o:gfxdata="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s0YuNMAAAAGAQAADwAAAAAAAAABACAAAAAiAAAAZHJz&#10;L2Rvd25yZXYueG1sUEsBAhQAFAAAAAgAh07iQB8qQD7QAQAAegMAAA4AAAAAAAAAAQAgAAAAIgEA&#10;AGRycy9lMm9Eb2MueG1sUEsFBgAAAAAGAAYAWQEAAGQFAAAAAA==&#10;">
                <v:fill on="f" focussize="0,0"/>
                <v:stroke on="f" weight="1.25pt"/>
                <v:imagedata o:title=""/>
                <o:lock v:ext="edit" aspectratio="f"/>
                <v:textbox>
                  <w:txbxContent>
                    <w:p>
                      <w:pPr>
                        <w:jc w:val="both"/>
                        <w:rPr>
                          <w:rFonts w:hint="default" w:eastAsia="宋体"/>
                          <w:lang w:val="en-US" w:eastAsia="zh-CN"/>
                        </w:rPr>
                      </w:pPr>
                      <w:r>
                        <w:rPr>
                          <w:rFonts w:hint="eastAsia" w:ascii="仿宋" w:hAnsi="仿宋" w:eastAsia="仿宋" w:cs="仿宋"/>
                          <w:lang w:val="en-US" w:eastAsia="zh-CN"/>
                        </w:rPr>
                        <w:t>石墨废水</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1019175</wp:posOffset>
                </wp:positionH>
                <wp:positionV relativeFrom="paragraph">
                  <wp:posOffset>150495</wp:posOffset>
                </wp:positionV>
                <wp:extent cx="323850" cy="635"/>
                <wp:effectExtent l="0" t="52070" r="6350" b="61595"/>
                <wp:wrapNone/>
                <wp:docPr id="18" name="直接连接符 18"/>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80.25pt;margin-top:11.85pt;height:0.05pt;width:25.5pt;z-index:251659264;mso-width-relative:page;mso-height-relative:page;" filled="f" stroked="t" coordsize="21600,21600" o:gfxdata="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C5RbtQAAAAJAQAADwAAAAAAAAABACAAAAAiAAAAZHJzL2Rvd25y&#10;ZXYueG1sUEsBAhQAFAAAAAgAh07iQL6cyvMCAgAA8wMAAA4AAAAAAAAAAQAgAAAAIwEAAGRycy9l&#10;Mm9Eb2MueG1sUEsFBgAAAAAGAAYAWQEAAJcFA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5408" behindDoc="0" locked="0" layoutInCell="1" allowOverlap="1">
                <wp:simplePos x="0" y="0"/>
                <wp:positionH relativeFrom="column">
                  <wp:posOffset>4713605</wp:posOffset>
                </wp:positionH>
                <wp:positionV relativeFrom="paragraph">
                  <wp:posOffset>95250</wp:posOffset>
                </wp:positionV>
                <wp:extent cx="323850" cy="635"/>
                <wp:effectExtent l="0" t="52070" r="6350" b="61595"/>
                <wp:wrapNone/>
                <wp:docPr id="25" name="直接连接符 25"/>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371.15pt;margin-top:7.5pt;height:0.05pt;width:25.5pt;z-index:251665408;mso-width-relative:page;mso-height-relative:page;" filled="f" stroked="t" coordsize="21600,21600" o:gfxdata="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jHhBdQAAAAJAQAADwAAAAAAAAABACAAAAAiAAAAZHJzL2Rv&#10;d25yZXYueG1sUEsBAhQAFAAAAAgAh07iQLPmAM8FAgAA8wMAAA4AAAAAAAAAAQAgAAAAIwEAAGRy&#10;cy9lMm9Eb2MueG1sUEsFBgAAAAAGAAYAWQEAAJoFA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3360" behindDoc="0" locked="0" layoutInCell="1" allowOverlap="1">
                <wp:simplePos x="0" y="0"/>
                <wp:positionH relativeFrom="column">
                  <wp:posOffset>3484880</wp:posOffset>
                </wp:positionH>
                <wp:positionV relativeFrom="paragraph">
                  <wp:posOffset>111760</wp:posOffset>
                </wp:positionV>
                <wp:extent cx="323850" cy="635"/>
                <wp:effectExtent l="0" t="52070" r="6350" b="61595"/>
                <wp:wrapNone/>
                <wp:docPr id="29" name="直接连接符 29"/>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74.4pt;margin-top:8.8pt;height:0.05pt;width:25.5pt;z-index:251663360;mso-width-relative:page;mso-height-relative:page;" filled="f" stroked="t" coordsize="21600,21600" o:gfxdata="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ILDg1AAAAAkBAAAPAAAAAAAAAAEAIAAAACIAAABkcnMvZG93&#10;bnJldi54bWxQSwECFAAUAAAACACHTuJAFBqLHwQCAADzAwAADgAAAAAAAAABACAAAAAjAQAAZHJz&#10;L2Uyb0RvYy54bWxQSwUGAAAAAAYABgBZAQAAmQU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1312" behindDoc="0" locked="0" layoutInCell="1" allowOverlap="1">
                <wp:simplePos x="0" y="0"/>
                <wp:positionH relativeFrom="column">
                  <wp:posOffset>2251710</wp:posOffset>
                </wp:positionH>
                <wp:positionV relativeFrom="paragraph">
                  <wp:posOffset>123190</wp:posOffset>
                </wp:positionV>
                <wp:extent cx="323850" cy="635"/>
                <wp:effectExtent l="0" t="52070" r="6350" b="61595"/>
                <wp:wrapNone/>
                <wp:docPr id="24" name="直接连接符 24"/>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77.3pt;margin-top:9.7pt;height:0.05pt;width:25.5pt;z-index:251661312;mso-width-relative:page;mso-height-relative:page;" filled="f" stroked="t" coordsize="21600,21600" o:gfxdata="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cVPK1AAAAAkBAAAPAAAAAAAAAAEAIAAAACIAAABkcnMvZG93&#10;bnJldi54bWxQSwECFAAUAAAACACHTuJAxA09qgQCAADzAwAADgAAAAAAAAABACAAAAAjAQAAZHJz&#10;L2Uyb0RvYy54bWxQSwUGAAAAAAYABgBZAQAAmQU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w:tab/>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72576" behindDoc="0" locked="0" layoutInCell="1" allowOverlap="1">
                <wp:simplePos x="0" y="0"/>
                <wp:positionH relativeFrom="column">
                  <wp:posOffset>50165</wp:posOffset>
                </wp:positionH>
                <wp:positionV relativeFrom="paragraph">
                  <wp:posOffset>223520</wp:posOffset>
                </wp:positionV>
                <wp:extent cx="1459865" cy="288925"/>
                <wp:effectExtent l="0" t="0" r="0" b="0"/>
                <wp:wrapNone/>
                <wp:docPr id="28" name="流程图: 过程 28" descr="colored_paper1"/>
                <wp:cNvGraphicFramePr/>
                <a:graphic xmlns:a="http://schemas.openxmlformats.org/drawingml/2006/main">
                  <a:graphicData uri="http://schemas.microsoft.com/office/word/2010/wordprocessingShape">
                    <wps:wsp>
                      <wps:cNvSpPr/>
                      <wps:spPr>
                        <a:xfrm>
                          <a:off x="0" y="0"/>
                          <a:ext cx="1459865" cy="288925"/>
                        </a:xfrm>
                        <a:prstGeom prst="flowChartProcess">
                          <a:avLst/>
                        </a:prstGeom>
                        <a:noFill/>
                        <a:ln w="15875">
                          <a:noFill/>
                        </a:ln>
                      </wps:spPr>
                      <wps:txbx>
                        <w:txbxContent>
                          <w:p>
                            <w:pPr>
                              <w:jc w:val="both"/>
                              <w:rPr>
                                <w:rFonts w:hint="default" w:eastAsia="宋体"/>
                                <w:lang w:val="en-US" w:eastAsia="zh-CN"/>
                              </w:rPr>
                            </w:pPr>
                            <w:r>
                              <w:rPr>
                                <w:rFonts w:hint="eastAsia" w:ascii="仿宋" w:hAnsi="仿宋" w:eastAsia="仿宋" w:cs="仿宋"/>
                                <w:lang w:val="en-US" w:eastAsia="zh-CN"/>
                              </w:rPr>
                              <w:t>多管冲击除尘器废水</w:t>
                            </w:r>
                          </w:p>
                        </w:txbxContent>
                      </wps:txbx>
                      <wps:bodyPr upright="1"/>
                    </wps:wsp>
                  </a:graphicData>
                </a:graphic>
              </wp:anchor>
            </w:drawing>
          </mc:Choice>
          <mc:Fallback>
            <w:pict>
              <v:shape id="_x0000_s1026" o:spid="_x0000_s1026" o:spt="109" alt="colored_paper1" type="#_x0000_t109" style="position:absolute;left:0pt;margin-left:3.95pt;margin-top:17.6pt;height:22.75pt;width:114.95pt;z-index:251672576;mso-width-relative:page;mso-height-relative:page;" filled="f" stroked="f" coordsize="21600,21600" o:gfxdata="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p0ONrWAAAABwEAAA8AAAAAAAAAAQAgAAAAIgAA&#10;AGRycy9kb3ducmV2LnhtbFBLAQIUABQAAAAIAIdO4kCzfDY/0QEAAHsDAAAOAAAAAAAAAAEAIAAA&#10;ACUBAABkcnMvZTJvRG9jLnhtbFBLBQYAAAAABgAGAFkBAABoBQAAAAA=&#10;">
                <v:fill on="f" focussize="0,0"/>
                <v:stroke on="f" weight="1.25pt"/>
                <v:imagedata o:title=""/>
                <o:lock v:ext="edit" aspectratio="f"/>
                <v:textbox>
                  <w:txbxContent>
                    <w:p>
                      <w:pPr>
                        <w:jc w:val="both"/>
                        <w:rPr>
                          <w:rFonts w:hint="default" w:eastAsia="宋体"/>
                          <w:lang w:val="en-US" w:eastAsia="zh-CN"/>
                        </w:rPr>
                      </w:pPr>
                      <w:r>
                        <w:rPr>
                          <w:rFonts w:hint="eastAsia" w:ascii="仿宋" w:hAnsi="仿宋" w:eastAsia="仿宋" w:cs="仿宋"/>
                          <w:lang w:val="en-US" w:eastAsia="zh-CN"/>
                        </w:rPr>
                        <w:t>多管冲击除尘器废水</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73600" behindDoc="0" locked="0" layoutInCell="1" allowOverlap="1">
                <wp:simplePos x="0" y="0"/>
                <wp:positionH relativeFrom="column">
                  <wp:posOffset>1390015</wp:posOffset>
                </wp:positionH>
                <wp:positionV relativeFrom="paragraph">
                  <wp:posOffset>354965</wp:posOffset>
                </wp:positionV>
                <wp:extent cx="360045" cy="635"/>
                <wp:effectExtent l="0" t="7620" r="8255" b="10795"/>
                <wp:wrapNone/>
                <wp:docPr id="26" name="直接连接符 26"/>
                <wp:cNvGraphicFramePr/>
                <a:graphic xmlns:a="http://schemas.openxmlformats.org/drawingml/2006/main">
                  <a:graphicData uri="http://schemas.microsoft.com/office/word/2010/wordprocessingShape">
                    <wps:wsp>
                      <wps:cNvCnPr/>
                      <wps:spPr>
                        <a:xfrm>
                          <a:off x="0" y="0"/>
                          <a:ext cx="360045"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9.45pt;margin-top:27.95pt;height:0.05pt;width:28.35pt;z-index:251673600;mso-width-relative:page;mso-height-relative:page;" filled="f" stroked="t" coordsize="21600,21600" o:gfxdata="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YZBT92AAAAAkBAAAPAAAAAAAAAAEAIAAAACIAAABkcnMvZG93bnJldi54bWxQ&#10;SwECFAAUAAAACACHTuJAY8UI6PcBAADoAwAADgAAAAAAAAABACAAAAAnAQAAZHJzL2Uyb0RvYy54&#10;bWxQSwUGAAAAAAYABgBZAQAAkAUAAAAA&#10;">
                <v:fill on="f" focussize="0,0"/>
                <v:stroke weight="1.25pt" color="#000000" joinstyle="round"/>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74624" behindDoc="0" locked="0" layoutInCell="1" allowOverlap="1">
                <wp:simplePos x="0" y="0"/>
                <wp:positionH relativeFrom="column">
                  <wp:posOffset>1762125</wp:posOffset>
                </wp:positionH>
                <wp:positionV relativeFrom="paragraph">
                  <wp:posOffset>6985</wp:posOffset>
                </wp:positionV>
                <wp:extent cx="635" cy="360045"/>
                <wp:effectExtent l="52070" t="0" r="61595" b="8255"/>
                <wp:wrapNone/>
                <wp:docPr id="27" name="直接连接符 27"/>
                <wp:cNvGraphicFramePr/>
                <a:graphic xmlns:a="http://schemas.openxmlformats.org/drawingml/2006/main">
                  <a:graphicData uri="http://schemas.microsoft.com/office/word/2010/wordprocessingShape">
                    <wps:wsp>
                      <wps:cNvCnPr/>
                      <wps:spPr>
                        <a:xfrm flipH="1" flipV="1">
                          <a:off x="0" y="0"/>
                          <a:ext cx="635" cy="36004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38.75pt;margin-top:0.55pt;height:28.35pt;width:0.05pt;z-index:251674624;mso-width-relative:page;mso-height-relative:page;" filled="f" stroked="t" coordsize="21600,21600" o:gfxdata="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&#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RaYZ1QAAAAgBAAAPAAAAAAAAAAEAIAAAACIAAABk&#10;cnMvZG93bnJldi54bWxQSwECFAAUAAAACACHTuJAFBbISAkCAAD9AwAADgAAAAAAAAABACAAAAAk&#10;AQAAZHJzL2Uyb0RvYy54bWxQSwUGAAAAAAYABgBZAQAAnwU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70528" behindDoc="0" locked="0" layoutInCell="1" allowOverlap="1">
                <wp:simplePos x="0" y="0"/>
                <wp:positionH relativeFrom="column">
                  <wp:posOffset>3853180</wp:posOffset>
                </wp:positionH>
                <wp:positionV relativeFrom="paragraph">
                  <wp:posOffset>188595</wp:posOffset>
                </wp:positionV>
                <wp:extent cx="845820" cy="288925"/>
                <wp:effectExtent l="0" t="0" r="0" b="0"/>
                <wp:wrapNone/>
                <wp:docPr id="30" name="流程图: 过程 30" descr="colored_paper1"/>
                <wp:cNvGraphicFramePr/>
                <a:graphic xmlns:a="http://schemas.openxmlformats.org/drawingml/2006/main">
                  <a:graphicData uri="http://schemas.microsoft.com/office/word/2010/wordprocessingShape">
                    <wps:wsp>
                      <wps:cNvSpPr/>
                      <wps:spPr>
                        <a:xfrm>
                          <a:off x="0" y="0"/>
                          <a:ext cx="845820" cy="288925"/>
                        </a:xfrm>
                        <a:prstGeom prst="flowChartProcess">
                          <a:avLst/>
                        </a:prstGeom>
                        <a:noFill/>
                        <a:ln w="15875">
                          <a:noFill/>
                        </a:ln>
                      </wps:spPr>
                      <wps:txbx>
                        <w:txbxContent>
                          <w:p>
                            <w:pPr>
                              <w:jc w:val="center"/>
                              <w:rPr>
                                <w:rFonts w:hint="default" w:eastAsia="宋体"/>
                                <w:sz w:val="21"/>
                                <w:szCs w:val="21"/>
                                <w:lang w:val="en-US" w:eastAsia="zh-CN"/>
                              </w:rPr>
                            </w:pPr>
                            <w:r>
                              <w:rPr>
                                <w:rFonts w:hint="eastAsia" w:ascii="仿宋" w:hAnsi="仿宋" w:eastAsia="仿宋" w:cs="仿宋"/>
                                <w:sz w:val="21"/>
                                <w:szCs w:val="21"/>
                                <w:lang w:val="en-US" w:eastAsia="zh-CN"/>
                              </w:rPr>
                              <w:t>污泥压滤</w:t>
                            </w:r>
                          </w:p>
                        </w:txbxContent>
                      </wps:txbx>
                      <wps:bodyPr upright="1"/>
                    </wps:wsp>
                  </a:graphicData>
                </a:graphic>
              </wp:anchor>
            </w:drawing>
          </mc:Choice>
          <mc:Fallback>
            <w:pict>
              <v:shape id="_x0000_s1026" o:spid="_x0000_s1026" o:spt="109" alt="colored_paper1" type="#_x0000_t109" style="position:absolute;left:0pt;margin-left:303.4pt;margin-top:14.85pt;height:22.75pt;width:66.6pt;z-index:251670528;mso-width-relative:page;mso-height-relative:page;" filled="f" stroked="f" coordsize="21600,21600" o:gfxdata="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sUCifXAAAACQEAAA8AAAAAAAAAAQAgAAAAIgAA&#10;AGRycy9kb3ducmV2LnhtbFBLAQIUABQAAAAIAIdO4kAKMFLE0AEAAHoDAAAOAAAAAAAAAAEAIAAA&#10;ACYBAABkcnMvZTJvRG9jLnhtbFBLBQYAAAAABgAGAFkBAABoBQAAAAA=&#10;">
                <v:fill on="f" focussize="0,0"/>
                <v:stroke on="f" weight="1.25pt"/>
                <v:imagedata o:title=""/>
                <o:lock v:ext="edit" aspectratio="f"/>
                <v:textbox>
                  <w:txbxContent>
                    <w:p>
                      <w:pPr>
                        <w:jc w:val="center"/>
                        <w:rPr>
                          <w:rFonts w:hint="default" w:eastAsia="宋体"/>
                          <w:sz w:val="21"/>
                          <w:szCs w:val="21"/>
                          <w:lang w:val="en-US" w:eastAsia="zh-CN"/>
                        </w:rPr>
                      </w:pPr>
                      <w:r>
                        <w:rPr>
                          <w:rFonts w:hint="eastAsia" w:ascii="仿宋" w:hAnsi="仿宋" w:eastAsia="仿宋" w:cs="仿宋"/>
                          <w:sz w:val="21"/>
                          <w:szCs w:val="21"/>
                          <w:lang w:val="en-US" w:eastAsia="zh-CN"/>
                        </w:rPr>
                        <w:t>污泥压滤</w:t>
                      </w:r>
                    </w:p>
                  </w:txbxContent>
                </v:textbox>
              </v:shape>
            </w:pict>
          </mc:Fallback>
        </mc:AlternateConten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p>
    <w:p>
      <w:pPr>
        <w:pageBreakBefore w:val="0"/>
        <w:kinsoku/>
        <w:wordWrap/>
        <w:overflowPunct/>
        <w:topLinePunct w:val="0"/>
        <w:autoSpaceDE/>
        <w:autoSpaceDN/>
        <w:bidi w:val="0"/>
        <w:adjustRightInd/>
        <w:snapToGrid/>
        <w:spacing w:line="360" w:lineRule="auto"/>
        <w:ind w:left="0" w:leftChars="0" w:right="0" w:firstLine="0" w:firstLineChars="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4.参数要求</w:t>
      </w:r>
    </w:p>
    <w:p>
      <w:pPr>
        <w:pageBreakBefore w:val="0"/>
        <w:kinsoku/>
        <w:wordWrap/>
        <w:overflowPunct/>
        <w:topLinePunct w:val="0"/>
        <w:autoSpaceDE/>
        <w:autoSpaceDN/>
        <w:bidi w:val="0"/>
        <w:adjustRightInd/>
        <w:snapToGrid/>
        <w:spacing w:line="360" w:lineRule="auto"/>
        <w:ind w:left="0" w:leftChars="0" w:right="0" w:firstLine="0" w:firstLineChars="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4.1概况</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本次工程采用一体化装置，石墨废水从锻压机地坑经过水泵提升至调节池进行均质均量后进入化学反应阶段，主要工艺为：调节池+破乳池+絮凝/助凝池+斜板沉淀池+板框压滤机+出水排放。</w: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4.2一般性要求</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一体化设备的相关配套设备及材料应符合国家和行业有关标准和规范的规定。</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一体化设备中的关键设备和材料必须采用合格产品，严禁采用假冒产品。</w:t>
      </w:r>
    </w:p>
    <w:p>
      <w:pPr>
        <w:pageBreakBefore w:val="0"/>
        <w:kinsoku/>
        <w:wordWrap/>
        <w:overflowPunct/>
        <w:topLinePunct w:val="0"/>
        <w:autoSpaceDE/>
        <w:autoSpaceDN/>
        <w:bidi w:val="0"/>
        <w:adjustRightInd/>
        <w:snapToGrid/>
        <w:spacing w:line="360" w:lineRule="auto"/>
        <w:ind w:left="0" w:leftChars="0" w:right="0"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一体化设备内的关键设备应便于拆卸和替换。</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一体化设备应在制造工厂内完成制作与装配，且应满足运输要求，成套发送至项目现场，不应现场制作加工；</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一体化设备的各构件外表面应平整、光洁，不应有明显的凹凸、锤痕、碰伤等质量缺陷现象，外观需美观、整洁、大方。</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一体化设备设计寿命不得低于10年。</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一体化设备结构做详细设计，相关结构或构件应满足受力要求，其刚度、强度、稳定性以及连接的强度应满足国家和行业相关标准规范要求；结构设计计算应考虑荷载和荷载效应计算、疲劳计算、连接计算等。</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一体化设备内部管道需采用碳钢管道，并做好防腐处理；内部管道需充分固定，不可松动、垮塌，管道直径选用必须考虑本项目水质、粘度、流量等实际变量，避免堵塞。</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一体化设备配套DN50以上手动开关阀需采用法兰式蝶阀，其他阀门配置需保障运行操作使用便捷性。</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一体化设备进出水口、排空口等所有外部接口均需为法兰接口，最终排水位置及排水管道直径由投标方确定，中标后提供给招标方，招标方负责指定最近的排水接驳用污水井。</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4.3防腐工艺要求</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4.3.1池体池壁防腐要求</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2布3油玻璃钢防腐是一种结合涂料防腐与玻璃纤维增强的重防腐工艺，通过“涂料-纤维布-涂料”交替施工形成致密复合层，兼具优异的耐腐蚀性和机械强度。</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环氧树脂涂料：机械强度高、收缩率小（约2%）、不透水，可抑制微生物繁殖。</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玻璃纤维布：编织而成，增强防腐层拉伸强度与韧性，防止涂料固化后开裂渗水。</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4.3.2金属管道防腐要求</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金属表面除锈至Sa2.5级（喷砂，呈金属光泽）或St2.5级（手工除锈，无残留锈迹），清除油污。对表面刷两遍涂料，分别为：底、面漆层采用环氧煤沥青涂料，甲乙双组份（铁红色底漆+黑色面漆），附着力强、耐酸碱盐腐蚀、抗微生物侵蚀。</w:t>
      </w:r>
      <w:bookmarkStart w:id="21" w:name="bookmark46"/>
      <w:bookmarkEnd w:id="21"/>
      <w:bookmarkStart w:id="22" w:name="bookmark43"/>
      <w:bookmarkEnd w:id="22"/>
      <w:bookmarkStart w:id="23" w:name="bookmark45"/>
      <w:bookmarkEnd w:id="23"/>
    </w:p>
    <w:p>
      <w:pPr>
        <w:pageBreakBefore w:val="0"/>
        <w:kinsoku/>
        <w:wordWrap/>
        <w:overflowPunct/>
        <w:topLinePunct w:val="0"/>
        <w:autoSpaceDE/>
        <w:autoSpaceDN/>
        <w:bidi w:val="0"/>
        <w:adjustRightInd/>
        <w:snapToGrid/>
        <w:spacing w:line="360" w:lineRule="auto"/>
        <w:ind w:left="0" w:leftChars="0" w:right="0" w:firstLine="482" w:firstLineChars="200"/>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四、执行标准</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1.招标人此处所列标准仅为涉及的主要标准，而且不保证其为最新版执行标准；投标方应当在投标文件中认真予以填写、补充和修改完善。</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2.投标方需要执行的标准，应当采用所供货物通过招标方组织的最终验收之日己经开始执行的最新标准。</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3.采购货物的产品质量、技术标准如在招投标文件中无相应说明，则按中华人民共和国有关部门颁发的最新的国标或专业（部）标准执行及相应的国际标准。</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4.采购货物没有国家或专业（部）标准的，按企业标准执行时，投标方应在合同签署之前，将所涉及的企业标准提供给招标方确认。</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5.采购货物如果采用国际标准，其执行标准由投标方提供、招标人确认。</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6.采购货物所涉及的标准不统一时，原则上按照最严格标准执行。</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7.涉及的主要标准表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760"/>
        <w:gridCol w:w="2199"/>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标准名称</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标准编号</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《机械设备安装工程施工及验收通用规范》</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GB50231-2009</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《城市污水处理厂工程质量验收规范》</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GB50334-2017</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《建筑防腐蚀工程施工规范》</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GB50212-2014</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《现场设备、工业管道焊接工程施工及验收规范》</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GB50236</w:t>
            </w:r>
            <w:r>
              <w:rPr>
                <w:rFonts w:hint="eastAsia" w:ascii="宋体" w:hAnsi="宋体" w:eastAsia="宋体" w:cs="宋体"/>
                <w:color w:val="auto"/>
                <w:sz w:val="21"/>
                <w:szCs w:val="21"/>
                <w:highlight w:val="none"/>
                <w:lang w:val="en-US" w:eastAsia="zh-CN"/>
              </w:rPr>
              <w:t>-2011</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水处理设备制造技术条件</w:t>
            </w:r>
            <w:r>
              <w:rPr>
                <w:rFonts w:hint="eastAsia" w:ascii="宋体" w:hAnsi="宋体" w:eastAsia="宋体" w:cs="宋体"/>
                <w:color w:val="auto"/>
                <w:sz w:val="21"/>
                <w:szCs w:val="21"/>
                <w:highlight w:val="none"/>
                <w:lang w:eastAsia="zh-CN"/>
              </w:rPr>
              <w:t>》</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JB</w:t>
            </w:r>
            <w:r>
              <w:rPr>
                <w:rFonts w:hint="eastAsia" w:ascii="宋体" w:hAnsi="宋体" w:eastAsia="宋体" w:cs="宋体"/>
                <w:color w:val="auto"/>
                <w:sz w:val="21"/>
                <w:szCs w:val="21"/>
                <w:highlight w:val="none"/>
                <w:lang w:val="en-US" w:eastAsia="zh-CN"/>
              </w:rPr>
              <w:t>/T</w:t>
            </w:r>
            <w:r>
              <w:rPr>
                <w:rFonts w:hint="eastAsia" w:ascii="宋体" w:hAnsi="宋体" w:eastAsia="宋体" w:cs="宋体"/>
                <w:color w:val="auto"/>
                <w:sz w:val="21"/>
                <w:szCs w:val="21"/>
                <w:highlight w:val="none"/>
              </w:rPr>
              <w:t>2932-</w:t>
            </w:r>
            <w:r>
              <w:rPr>
                <w:rFonts w:hint="eastAsia" w:ascii="宋体" w:hAnsi="宋体" w:eastAsia="宋体" w:cs="宋体"/>
                <w:color w:val="auto"/>
                <w:sz w:val="21"/>
                <w:szCs w:val="21"/>
                <w:highlight w:val="none"/>
                <w:lang w:val="en-US" w:eastAsia="zh-CN"/>
              </w:rPr>
              <w:t>1999</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《通用用电设备配电设计规范》</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GB50055-2011</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《计量泵技术条件》</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GB9236</w:t>
            </w:r>
            <w:r>
              <w:rPr>
                <w:rFonts w:hint="eastAsia" w:ascii="宋体" w:hAnsi="宋体" w:eastAsia="宋体" w:cs="宋体"/>
                <w:color w:val="auto"/>
                <w:sz w:val="21"/>
                <w:szCs w:val="21"/>
                <w:highlight w:val="none"/>
                <w:lang w:val="en-US" w:eastAsia="zh-CN"/>
              </w:rPr>
              <w:t>-88</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《水泵流量的测定方法》</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GB/T3214-</w:t>
            </w:r>
            <w:r>
              <w:rPr>
                <w:rFonts w:hint="eastAsia" w:ascii="宋体" w:hAnsi="宋体" w:eastAsia="宋体" w:cs="宋体"/>
                <w:color w:val="auto"/>
                <w:sz w:val="21"/>
                <w:szCs w:val="21"/>
                <w:highlight w:val="none"/>
                <w:lang w:val="en-US" w:eastAsia="zh-CN"/>
              </w:rPr>
              <w:t>2007</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《污水排入城市下水道水质标准》</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GB/T</w:t>
            </w:r>
            <w:r>
              <w:rPr>
                <w:rFonts w:hint="default" w:ascii="宋体" w:hAnsi="宋体" w:eastAsia="宋体" w:cs="宋体"/>
                <w:color w:val="auto"/>
                <w:sz w:val="21"/>
                <w:szCs w:val="21"/>
                <w:highlight w:val="none"/>
              </w:rPr>
              <w:t>31962-2015</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p>
        </w:tc>
      </w:tr>
    </w:tbl>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
      <w:pPr>
        <w:keepNext/>
        <w:keepLines/>
        <w:spacing w:line="360" w:lineRule="auto"/>
        <w:jc w:val="center"/>
        <w:outlineLvl w:val="2"/>
        <w:rPr>
          <w:rFonts w:ascii="宋体" w:hAnsi="宋体" w:eastAsia="宋体" w:cs="宋体"/>
          <w:b/>
          <w:bCs/>
          <w:color w:val="auto"/>
          <w:sz w:val="24"/>
          <w:szCs w:val="32"/>
        </w:rPr>
      </w:pPr>
      <w:bookmarkStart w:id="24" w:name="_Toc169605882"/>
      <w:r>
        <w:rPr>
          <w:rFonts w:hint="eastAsia" w:ascii="宋体" w:hAnsi="宋体" w:eastAsia="宋体" w:cs="宋体"/>
          <w:b/>
          <w:bCs/>
          <w:color w:val="auto"/>
          <w:sz w:val="24"/>
          <w:szCs w:val="32"/>
        </w:rPr>
        <w:t>第一节  供货范围</w:t>
      </w:r>
      <w:bookmarkEnd w:id="24"/>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48"/>
        <w:tblW w:w="513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3"/>
        <w:gridCol w:w="1056"/>
        <w:gridCol w:w="3727"/>
        <w:gridCol w:w="1214"/>
        <w:gridCol w:w="760"/>
        <w:gridCol w:w="590"/>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序号</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设备名称</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rPr>
            </w:pPr>
            <w:r>
              <w:rPr>
                <w:rFonts w:hint="eastAsia" w:ascii="宋体" w:hAnsi="宋体" w:eastAsia="宋体" w:cs="宋体"/>
                <w:b/>
                <w:i w:val="0"/>
                <w:strike w:val="0"/>
                <w:color w:val="000000"/>
                <w:spacing w:val="0"/>
                <w:sz w:val="20"/>
                <w:u w:val="none"/>
                <w:vertAlign w:val="baseline"/>
              </w:rPr>
              <w:t>具体参数</w:t>
            </w:r>
          </w:p>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（规格型号的描述）</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品牌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计量单位</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数量</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综合调节池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尺寸：长3m×宽2m×高2m，有效水深1.8m，池板厚度：5mm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尺寸：长2m×宽2m×高2m，有效水深1.8m，池板厚度：5mm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隔膜式电动计量泵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Q=170L/h</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加药箱搅拌器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rPr>
              <w:t>配套摆线减速机，I=0.75Kw，配套叶轮和连接杆为304不锈钢，连接杆0.9m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加药箱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尺寸：长1m×宽1m×高1m，有效水深0.9m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w:t>
            </w:r>
            <w:r>
              <w:rPr>
                <w:rFonts w:hint="eastAsia" w:ascii="宋体" w:hAnsi="宋体" w:eastAsia="宋体" w:cs="宋体"/>
                <w:i w:val="0"/>
                <w:strike w:val="0"/>
                <w:color w:val="auto"/>
                <w:spacing w:val="0"/>
                <w:sz w:val="20"/>
                <w:u w:val="none"/>
                <w:vertAlign w:val="baseline"/>
                <w:lang w:val="en-US" w:eastAsia="zh-CN"/>
              </w:rPr>
              <w:t>1.2</w:t>
            </w:r>
            <w:r>
              <w:rPr>
                <w:rFonts w:hint="eastAsia" w:ascii="宋体" w:hAnsi="宋体" w:eastAsia="宋体" w:cs="宋体"/>
                <w:i w:val="0"/>
                <w:strike w:val="0"/>
                <w:color w:val="auto"/>
                <w:spacing w:val="0"/>
                <w:sz w:val="20"/>
                <w:u w:val="none"/>
                <w:vertAlign w:val="baseline"/>
              </w:rPr>
              <w:t>m，有效水深1.1m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配套摆线减速机，I=1.5Kw，配套叶轮和连接杆为304不锈钢，连接杆1.1m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潍坊森胜、 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潜污泵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Q=20m³/h，H=15m，I=2.2Kw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中国进越、新界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3</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污泥螺杆泵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泵体304不锈钢，Q=2m³/h，I=2.2Kw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上海韦森、浙江亿迪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污水回流泵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泵体304不锈钢，Q=25m³/h，H=10m，I=1.5Kw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板框压滤机</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外形尺寸1850×845×950mm，压滤面积10平滤板厚度50mm，进料压力＜0.6Mpa，滤板尺寸500*500mm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斜板沉淀池填料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聚丙烯填料直径</w:t>
            </w:r>
            <w:r>
              <w:rPr>
                <w:rFonts w:hint="eastAsia" w:ascii="宋体" w:hAnsi="宋体" w:eastAsia="宋体" w:cs="宋体"/>
                <w:i w:val="0"/>
                <w:strike w:val="0"/>
                <w:color w:val="auto"/>
                <w:spacing w:val="0"/>
                <w:sz w:val="20"/>
                <w:u w:val="none"/>
                <w:vertAlign w:val="baseline"/>
                <w:lang w:val="en-US" w:eastAsia="zh-CN"/>
              </w:rPr>
              <w:t>50</w:t>
            </w:r>
            <w:r>
              <w:rPr>
                <w:rFonts w:hint="eastAsia" w:ascii="宋体" w:hAnsi="宋体" w:eastAsia="宋体" w:cs="宋体"/>
                <w:i w:val="0"/>
                <w:strike w:val="0"/>
                <w:color w:val="auto"/>
                <w:spacing w:val="0"/>
                <w:sz w:val="20"/>
                <w:u w:val="none"/>
                <w:vertAlign w:val="baseline"/>
              </w:rPr>
              <w:t>mm，比表面积300m/m,堆积个数22500n/m，堆积密度49KG/㎡</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平台楼梯</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材质Q235，</w:t>
            </w:r>
            <w:r>
              <w:rPr>
                <w:rFonts w:hint="eastAsia" w:ascii="宋体" w:hAnsi="宋体" w:eastAsia="宋体" w:cs="宋体"/>
                <w:i w:val="0"/>
                <w:strike w:val="0"/>
                <w:color w:val="auto"/>
                <w:spacing w:val="0"/>
                <w:sz w:val="20"/>
                <w:u w:val="none"/>
                <w:vertAlign w:val="baseline"/>
              </w:rPr>
              <w:t>铁板，厚5mm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电磁流量计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DN65，法兰连接；公称压力:PN16；连接材质及本体材质:碳钢CS；准确度:0.5级；输出及供电电源:4-20mA+脉冲+RS485，220VAC</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lang w:val="en-US" w:eastAsia="zh-CN"/>
              </w:rPr>
              <w:t>格乐普、美控</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立柱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池体支架材质Q235,50mm方管</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根</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12</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管道</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加药管道采用，PVC:DN25-DN100；</w:t>
            </w:r>
          </w:p>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污泥输送管道采用，PVC：DN65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辅料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五金辅材</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电线</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低压电力电缆</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华凌、阳谷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穿线管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镀锌管，Ф20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友发、正元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20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曝气管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PVC：DN50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电控柜</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IP65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电器元件</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断路器、接触器等</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正泰、德力西</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bl>
    <w:p>
      <w:pPr>
        <w:spacing w:line="360" w:lineRule="auto"/>
        <w:rPr>
          <w:rFonts w:ascii="宋体" w:hAnsi="宋体" w:eastAsia="宋体" w:cs="宋体"/>
          <w:b/>
          <w:sz w:val="24"/>
          <w:szCs w:val="24"/>
          <w:highlight w:val="yellow"/>
        </w:rPr>
      </w:pPr>
    </w:p>
    <w:p>
      <w:pPr>
        <w:spacing w:line="360" w:lineRule="auto"/>
        <w:rPr>
          <w:rFonts w:ascii="宋体" w:hAnsi="宋体" w:eastAsia="宋体" w:cs="宋体"/>
          <w:b/>
          <w:sz w:val="24"/>
          <w:szCs w:val="24"/>
        </w:rPr>
      </w:pP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15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6.在终验收前，提供关于采购货物的操作维护手册、保养维修手册、安全注意事项等的使用说明书、仪器仪表检定和使用维修说明书、合格证、产品样本等技术资料（含图片和影像等资料）；</w:t>
      </w:r>
      <w:r>
        <w:rPr>
          <w:rFonts w:hint="eastAsia" w:ascii="宋体" w:hAnsi="宋体" w:eastAsia="宋体" w:cs="宋体"/>
          <w:sz w:val="24"/>
          <w:szCs w:val="24"/>
          <w:lang w:val="en-US" w:eastAsia="zh-CN"/>
        </w:rPr>
        <w:t>提供</w:t>
      </w:r>
      <w:r>
        <w:rPr>
          <w:rFonts w:hint="eastAsia" w:ascii="宋体" w:hAnsi="宋体" w:eastAsia="宋体" w:cs="Times New Roman"/>
          <w:sz w:val="24"/>
          <w:szCs w:val="24"/>
          <w:lang w:val="en-US" w:eastAsia="zh-CN"/>
        </w:rPr>
        <w:t>最终排放水质检测报告（带CMA认证）</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pPr>
        <w:pStyle w:val="24"/>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市中区党家庄济南成型厂党家庄厂区</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lang w:val="en-US" w:eastAsia="zh-CN"/>
        </w:rPr>
        <w:t>60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highlight w:val="none"/>
        </w:rPr>
        <w:t>2.接续</w:t>
      </w:r>
      <w:r>
        <w:rPr>
          <w:rFonts w:hint="eastAsia" w:ascii="宋体" w:hAnsi="宋体" w:eastAsia="宋体" w:cs="宋体"/>
          <w:sz w:val="24"/>
          <w:highlight w:val="none"/>
          <w:lang w:val="en-US" w:eastAsia="zh-CN"/>
        </w:rPr>
        <w:t>30</w:t>
      </w:r>
      <w:r>
        <w:rPr>
          <w:rFonts w:hint="eastAsia" w:ascii="宋体" w:hAnsi="宋体" w:eastAsia="宋体" w:cs="宋体"/>
          <w:sz w:val="24"/>
          <w:highlight w:val="none"/>
        </w:rPr>
        <w:t>个日历日之内完成安装调试或根据招标方要求分段实施。</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25"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5"/>
    </w:p>
    <w:p>
      <w:pPr>
        <w:pStyle w:val="23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23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23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23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23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24"/>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26" w:name="_Toc465187646"/>
      <w:r>
        <w:rPr>
          <w:rFonts w:hint="eastAsia" w:ascii="Calibri" w:hAnsi="Calibri" w:eastAsia="宋体" w:cs="Times New Roman"/>
          <w:b/>
          <w:bCs/>
          <w:kern w:val="44"/>
          <w:sz w:val="28"/>
          <w:szCs w:val="28"/>
        </w:rPr>
        <w:t>第五章  预验收和终验收</w:t>
      </w:r>
      <w:bookmarkEnd w:id="26"/>
    </w:p>
    <w:p>
      <w:pPr>
        <w:pStyle w:val="23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23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23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pPr>
        <w:pStyle w:val="24"/>
        <w:spacing w:line="360" w:lineRule="auto"/>
      </w:pPr>
    </w:p>
    <w:p>
      <w:pPr>
        <w:pStyle w:val="238"/>
        <w:spacing w:line="360" w:lineRule="auto"/>
        <w:jc w:val="center"/>
        <w:outlineLvl w:val="1"/>
        <w:rPr>
          <w:rFonts w:eastAsia="宋体"/>
          <w:b/>
          <w:bCs w:val="0"/>
          <w:iCs/>
          <w:color w:val="auto"/>
          <w:sz w:val="28"/>
        </w:rPr>
      </w:pPr>
      <w:bookmarkStart w:id="27" w:name="_Toc465187647"/>
      <w:r>
        <w:rPr>
          <w:rFonts w:eastAsia="宋体"/>
          <w:b/>
          <w:bCs w:val="0"/>
          <w:iCs/>
          <w:color w:val="auto"/>
          <w:sz w:val="28"/>
        </w:rPr>
        <w:t>第六章  投标技术文件一般要求</w:t>
      </w:r>
      <w:bookmarkEnd w:id="27"/>
    </w:p>
    <w:p>
      <w:pPr>
        <w:pStyle w:val="237"/>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p>
        </w:tc>
        <w:tc>
          <w:tcPr>
            <w:tcW w:w="1924" w:type="dxa"/>
            <w:noWrap w:val="0"/>
            <w:vAlign w:val="top"/>
          </w:tcPr>
          <w:p>
            <w:pPr>
              <w:adjustRightInd w:val="0"/>
              <w:snapToGrid w:val="0"/>
              <w:spacing w:line="360" w:lineRule="exact"/>
              <w:rPr>
                <w:rFonts w:ascii="宋体" w:hAnsi="宋体" w:eastAsia="宋体" w:cs="宋体"/>
              </w:rPr>
            </w:pPr>
          </w:p>
        </w:tc>
        <w:tc>
          <w:tcPr>
            <w:tcW w:w="1236" w:type="dxa"/>
            <w:noWrap w:val="0"/>
            <w:vAlign w:val="top"/>
          </w:tcPr>
          <w:p>
            <w:pPr>
              <w:adjustRightInd w:val="0"/>
              <w:snapToGrid w:val="0"/>
              <w:spacing w:line="360" w:lineRule="exact"/>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2235" w:type="dxa"/>
            <w:noWrap w:val="0"/>
            <w:vAlign w:val="top"/>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p>
        </w:tc>
        <w:tc>
          <w:tcPr>
            <w:tcW w:w="1924" w:type="dxa"/>
            <w:noWrap w:val="0"/>
            <w:vAlign w:val="top"/>
          </w:tcPr>
          <w:p>
            <w:pPr>
              <w:adjustRightInd w:val="0"/>
              <w:snapToGrid w:val="0"/>
              <w:spacing w:line="360" w:lineRule="exact"/>
              <w:rPr>
                <w:rFonts w:ascii="宋体" w:hAnsi="宋体" w:eastAsia="宋体" w:cs="宋体"/>
              </w:rPr>
            </w:pPr>
          </w:p>
        </w:tc>
        <w:tc>
          <w:tcPr>
            <w:tcW w:w="1236" w:type="dxa"/>
            <w:noWrap w:val="0"/>
            <w:vAlign w:val="top"/>
          </w:tcPr>
          <w:p>
            <w:pPr>
              <w:adjustRightInd w:val="0"/>
              <w:snapToGrid w:val="0"/>
              <w:spacing w:line="360" w:lineRule="exact"/>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2235" w:type="dxa"/>
            <w:noWrap w:val="0"/>
            <w:vAlign w:val="top"/>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p>
        </w:tc>
        <w:tc>
          <w:tcPr>
            <w:tcW w:w="1924" w:type="dxa"/>
            <w:noWrap w:val="0"/>
            <w:vAlign w:val="top"/>
          </w:tcPr>
          <w:p>
            <w:pPr>
              <w:adjustRightInd w:val="0"/>
              <w:snapToGrid w:val="0"/>
              <w:spacing w:line="360" w:lineRule="exact"/>
              <w:rPr>
                <w:rFonts w:ascii="宋体" w:hAnsi="宋体" w:eastAsia="宋体" w:cs="宋体"/>
              </w:rPr>
            </w:pPr>
          </w:p>
        </w:tc>
        <w:tc>
          <w:tcPr>
            <w:tcW w:w="1236" w:type="dxa"/>
            <w:noWrap w:val="0"/>
            <w:vAlign w:val="top"/>
          </w:tcPr>
          <w:p>
            <w:pPr>
              <w:adjustRightInd w:val="0"/>
              <w:snapToGrid w:val="0"/>
              <w:spacing w:line="360" w:lineRule="exact"/>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2235" w:type="dxa"/>
            <w:noWrap w:val="0"/>
            <w:vAlign w:val="top"/>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p>
        </w:tc>
        <w:tc>
          <w:tcPr>
            <w:tcW w:w="1924" w:type="dxa"/>
            <w:noWrap w:val="0"/>
            <w:vAlign w:val="top"/>
          </w:tcPr>
          <w:p>
            <w:pPr>
              <w:adjustRightInd w:val="0"/>
              <w:snapToGrid w:val="0"/>
              <w:spacing w:line="360" w:lineRule="exact"/>
              <w:rPr>
                <w:rFonts w:ascii="宋体" w:hAnsi="宋体" w:eastAsia="宋体" w:cs="宋体"/>
              </w:rPr>
            </w:pPr>
          </w:p>
        </w:tc>
        <w:tc>
          <w:tcPr>
            <w:tcW w:w="1236" w:type="dxa"/>
            <w:noWrap w:val="0"/>
            <w:vAlign w:val="top"/>
          </w:tcPr>
          <w:p>
            <w:pPr>
              <w:adjustRightInd w:val="0"/>
              <w:snapToGrid w:val="0"/>
              <w:spacing w:line="360" w:lineRule="exact"/>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2235" w:type="dxa"/>
            <w:noWrap w:val="0"/>
            <w:vAlign w:val="top"/>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p>
        </w:tc>
        <w:tc>
          <w:tcPr>
            <w:tcW w:w="1924" w:type="dxa"/>
            <w:noWrap w:val="0"/>
            <w:vAlign w:val="top"/>
          </w:tcPr>
          <w:p>
            <w:pPr>
              <w:adjustRightInd w:val="0"/>
              <w:snapToGrid w:val="0"/>
              <w:spacing w:line="360" w:lineRule="exact"/>
              <w:rPr>
                <w:rFonts w:ascii="宋体" w:hAnsi="宋体" w:eastAsia="宋体" w:cs="宋体"/>
              </w:rPr>
            </w:pPr>
          </w:p>
        </w:tc>
        <w:tc>
          <w:tcPr>
            <w:tcW w:w="1236" w:type="dxa"/>
            <w:noWrap w:val="0"/>
            <w:vAlign w:val="top"/>
          </w:tcPr>
          <w:p>
            <w:pPr>
              <w:adjustRightInd w:val="0"/>
              <w:snapToGrid w:val="0"/>
              <w:spacing w:line="360" w:lineRule="exact"/>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2235" w:type="dxa"/>
            <w:noWrap w:val="0"/>
            <w:vAlign w:val="top"/>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p>
        </w:tc>
        <w:tc>
          <w:tcPr>
            <w:tcW w:w="1924" w:type="dxa"/>
            <w:noWrap w:val="0"/>
            <w:vAlign w:val="top"/>
          </w:tcPr>
          <w:p>
            <w:pPr>
              <w:adjustRightInd w:val="0"/>
              <w:snapToGrid w:val="0"/>
              <w:spacing w:line="360" w:lineRule="exact"/>
              <w:rPr>
                <w:rFonts w:ascii="宋体" w:hAnsi="宋体" w:eastAsia="宋体" w:cs="宋体"/>
              </w:rPr>
            </w:pPr>
          </w:p>
        </w:tc>
        <w:tc>
          <w:tcPr>
            <w:tcW w:w="1236" w:type="dxa"/>
            <w:noWrap w:val="0"/>
            <w:vAlign w:val="top"/>
          </w:tcPr>
          <w:p>
            <w:pPr>
              <w:adjustRightInd w:val="0"/>
              <w:snapToGrid w:val="0"/>
              <w:spacing w:line="360" w:lineRule="exact"/>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2235" w:type="dxa"/>
            <w:noWrap w:val="0"/>
            <w:vAlign w:val="top"/>
          </w:tcPr>
          <w:p>
            <w:pPr>
              <w:adjustRightInd w:val="0"/>
              <w:snapToGrid w:val="0"/>
              <w:spacing w:line="360" w:lineRule="exact"/>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237"/>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237"/>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p>
    <w:p>
      <w:pPr>
        <w:pStyle w:val="238"/>
        <w:jc w:val="center"/>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pPr>
        <w:pStyle w:val="237"/>
        <w:spacing w:line="360" w:lineRule="auto"/>
        <w:rPr>
          <w:rFonts w:ascii="宋体" w:hAnsi="宋体" w:cs="宋体"/>
          <w:color w:val="auto"/>
        </w:rPr>
      </w:pPr>
      <w:r>
        <w:rPr>
          <w:rFonts w:hint="eastAsia" w:ascii="宋体" w:hAnsi="宋体" w:cs="宋体"/>
          <w:color w:val="auto"/>
        </w:rPr>
        <w:t>一、要求</w:t>
      </w:r>
    </w:p>
    <w:p>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0"/>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237"/>
        <w:spacing w:line="360" w:lineRule="auto"/>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pStyle w:val="24"/>
      </w:pPr>
    </w:p>
    <w:p>
      <w:pPr>
        <w:rPr>
          <w:rFonts w:hint="eastAsia" w:ascii="仿宋" w:hAnsi="仿宋" w:eastAsia="仿宋"/>
          <w:b/>
          <w:bCs/>
          <w:sz w:val="28"/>
        </w:rPr>
      </w:pPr>
      <w:r>
        <w:rPr>
          <w:rFonts w:hint="eastAsia" w:ascii="仿宋" w:hAnsi="仿宋" w:eastAsia="仿宋"/>
          <w:b/>
          <w:bCs/>
          <w:sz w:val="28"/>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8" w:name="_Toc25811"/>
      <w:bookmarkStart w:id="29" w:name="_Toc353881012"/>
      <w:bookmarkStart w:id="30" w:name="_Toc212369550"/>
      <w:bookmarkStart w:id="31" w:name="_Toc639004"/>
      <w:r>
        <w:rPr>
          <w:rFonts w:hint="default" w:ascii="Times New Roman" w:hAnsi="Times New Roman" w:eastAsia="宋体" w:cs="Times New Roman"/>
          <w:b/>
          <w:bCs/>
          <w:color w:val="000000"/>
          <w:sz w:val="24"/>
          <w:szCs w:val="24"/>
        </w:rPr>
        <w:t xml:space="preserve"> 投标函</w:t>
      </w:r>
      <w:bookmarkEnd w:id="28"/>
      <w:bookmarkEnd w:id="29"/>
      <w:bookmarkEnd w:id="30"/>
      <w:bookmarkEnd w:id="31"/>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pPr>
        <w:adjustRightInd w:val="0"/>
        <w:snapToGrid w:val="0"/>
        <w:spacing w:before="93" w:beforeLines="30" w:line="240" w:lineRule="exact"/>
        <w:jc w:val="center"/>
        <w:rPr>
          <w:rFonts w:hint="default" w:ascii="Times New Roman" w:hAnsi="Times New Roman" w:eastAsia="宋体" w:cs="Times New Roman"/>
          <w:sz w:val="24"/>
          <w:szCs w:val="20"/>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6300T、3150T热模锻生产线复产项目-新增石墨废水预处理站</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黑体" w:cs="Times New Roman"/>
          <w:b/>
          <w:bCs/>
          <w:color w:val="000000"/>
          <w:sz w:val="28"/>
          <w:szCs w:val="20"/>
        </w:rPr>
      </w:pPr>
    </w:p>
    <w:p>
      <w:pPr>
        <w:pStyle w:val="24"/>
        <w:rPr>
          <w:rFonts w:hint="default" w:ascii="Times New Roman" w:hAnsi="Times New Roman" w:eastAsia="黑体" w:cs="Times New Roman"/>
          <w:b/>
          <w:bCs/>
          <w:color w:val="000000"/>
          <w:sz w:val="28"/>
          <w:szCs w:val="20"/>
        </w:rPr>
      </w:pPr>
    </w:p>
    <w:p>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pPr>
              <w:widowControl/>
              <w:rPr>
                <w:rFonts w:hint="default" w:ascii="Times New Roman" w:hAnsi="Times New Roman" w:eastAsia="仿宋_GB2312" w:cs="Times New Roman"/>
                <w:kern w:val="0"/>
                <w:szCs w:val="21"/>
                <w:lang w:bidi="ar"/>
              </w:rPr>
            </w:pPr>
          </w:p>
        </w:tc>
        <w:tc>
          <w:tcPr>
            <w:tcW w:w="1097" w:type="dxa"/>
          </w:tcPr>
          <w:p>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pPr>
              <w:pStyle w:val="231"/>
              <w:spacing w:before="158"/>
              <w:jc w:val="center"/>
              <w:rPr>
                <w:rFonts w:hint="default"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pPr>
              <w:widowControl/>
              <w:textAlignment w:val="center"/>
              <w:rPr>
                <w:rFonts w:hint="default" w:ascii="Times New Roman" w:hAnsi="Times New Roman" w:eastAsia="宋体" w:cs="Times New Roman"/>
                <w:szCs w:val="21"/>
              </w:rPr>
            </w:pPr>
          </w:p>
        </w:tc>
        <w:tc>
          <w:tcPr>
            <w:tcW w:w="153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pPr>
              <w:widowControl/>
              <w:jc w:val="center"/>
              <w:textAlignment w:val="center"/>
              <w:rPr>
                <w:rFonts w:hint="default" w:ascii="Times New Roman" w:hAnsi="Times New Roman" w:eastAsia="宋体" w:cs="Times New Roman"/>
                <w:szCs w:val="21"/>
              </w:rPr>
            </w:pPr>
          </w:p>
        </w:tc>
        <w:tc>
          <w:tcPr>
            <w:tcW w:w="1097" w:type="dxa"/>
            <w:vAlign w:val="center"/>
          </w:tcPr>
          <w:p>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pPr>
              <w:widowControl/>
              <w:jc w:val="center"/>
              <w:textAlignment w:val="center"/>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pPr>
              <w:widowControl/>
              <w:jc w:val="left"/>
              <w:rPr>
                <w:rFonts w:hint="default" w:ascii="Times New Roman" w:hAnsi="Times New Roman" w:eastAsia="宋体" w:cs="Times New Roman"/>
                <w:kern w:val="0"/>
                <w:szCs w:val="21"/>
                <w:lang w:bidi="ar"/>
              </w:rPr>
            </w:pPr>
          </w:p>
        </w:tc>
      </w:tr>
    </w:tbl>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bl>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6300T、3150T热模锻生产线复产项目-新增石墨废水预处理站</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6300T、3150T热模锻生产线复产项目-新增石墨废水预处理站</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bl>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6300T、3150T热模锻生产线复产项目-新增石墨废水预处理站</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bl>
    <w:p>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pPr>
        <w:tabs>
          <w:tab w:val="left" w:pos="1578"/>
          <w:tab w:val="left" w:pos="10083"/>
        </w:tabs>
        <w:spacing w:line="500" w:lineRule="exact"/>
        <w:rPr>
          <w:rFonts w:hint="default" w:ascii="Times New Roman" w:hAnsi="Times New Roman" w:eastAsia="宋体" w:cs="Times New Roman"/>
          <w:sz w:val="24"/>
          <w:szCs w:val="20"/>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6300T、3150T热模锻生产线复产项目-新增石墨废水预处理站</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6300T、3150T热模锻生产线复产项目-新增石墨废水预处理站</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6300T、3150T热模锻生产线复产项目-新增石墨废水预处理站</w:t>
            </w:r>
          </w:p>
        </w:tc>
        <w:tc>
          <w:tcPr>
            <w:tcW w:w="848" w:type="dxa"/>
            <w:vAlign w:val="center"/>
          </w:tcPr>
          <w:p>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numPr>
          <w:ilvl w:val="0"/>
          <w:numId w:val="9"/>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pPr>
        <w:numPr>
          <w:ilvl w:val="0"/>
          <w:numId w:val="9"/>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24"/>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pPr>
              <w:pStyle w:val="19"/>
              <w:bidi w:val="0"/>
              <w:jc w:val="center"/>
              <w:rPr>
                <w:rFonts w:hint="eastAsia"/>
                <w:highlight w:val="none"/>
              </w:rPr>
            </w:pPr>
            <w:r>
              <w:rPr>
                <w:rFonts w:hint="eastAsia"/>
                <w:highlight w:val="none"/>
              </w:rPr>
              <w:t>序号</w:t>
            </w:r>
          </w:p>
        </w:tc>
        <w:tc>
          <w:tcPr>
            <w:tcW w:w="1217" w:type="pct"/>
            <w:vAlign w:val="center"/>
          </w:tcPr>
          <w:p>
            <w:pPr>
              <w:pStyle w:val="19"/>
              <w:bidi w:val="0"/>
              <w:jc w:val="center"/>
              <w:rPr>
                <w:rFonts w:hint="eastAsia"/>
                <w:highlight w:val="none"/>
              </w:rPr>
            </w:pPr>
            <w:r>
              <w:rPr>
                <w:rFonts w:hint="eastAsia"/>
                <w:highlight w:val="none"/>
              </w:rPr>
              <w:t>名称</w:t>
            </w:r>
          </w:p>
        </w:tc>
        <w:tc>
          <w:tcPr>
            <w:tcW w:w="731" w:type="pct"/>
            <w:vAlign w:val="center"/>
          </w:tcPr>
          <w:p>
            <w:pPr>
              <w:pStyle w:val="19"/>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pPr>
              <w:pStyle w:val="19"/>
              <w:bidi w:val="0"/>
              <w:jc w:val="center"/>
              <w:rPr>
                <w:rFonts w:hint="eastAsia"/>
                <w:highlight w:val="none"/>
              </w:rPr>
            </w:pPr>
            <w:r>
              <w:rPr>
                <w:rFonts w:hint="eastAsia"/>
                <w:highlight w:val="none"/>
              </w:rPr>
              <w:t>单位</w:t>
            </w:r>
          </w:p>
        </w:tc>
        <w:tc>
          <w:tcPr>
            <w:tcW w:w="411" w:type="pct"/>
            <w:vAlign w:val="center"/>
          </w:tcPr>
          <w:p>
            <w:pPr>
              <w:pStyle w:val="19"/>
              <w:bidi w:val="0"/>
              <w:jc w:val="center"/>
              <w:rPr>
                <w:rFonts w:hint="eastAsia"/>
                <w:highlight w:val="none"/>
              </w:rPr>
            </w:pPr>
            <w:r>
              <w:rPr>
                <w:rFonts w:hint="eastAsia"/>
                <w:highlight w:val="none"/>
              </w:rPr>
              <w:t>数量</w:t>
            </w:r>
          </w:p>
        </w:tc>
        <w:tc>
          <w:tcPr>
            <w:tcW w:w="754" w:type="pct"/>
            <w:vAlign w:val="center"/>
          </w:tcPr>
          <w:p>
            <w:pPr>
              <w:pStyle w:val="19"/>
              <w:bidi w:val="0"/>
              <w:jc w:val="center"/>
              <w:rPr>
                <w:rFonts w:hint="eastAsia"/>
                <w:highlight w:val="none"/>
              </w:rPr>
            </w:pPr>
            <w:r>
              <w:rPr>
                <w:rFonts w:hint="eastAsia"/>
                <w:highlight w:val="none"/>
                <w:lang w:val="en-US" w:eastAsia="zh-CN"/>
              </w:rPr>
              <w:t>未税总价（元）</w:t>
            </w:r>
          </w:p>
        </w:tc>
        <w:tc>
          <w:tcPr>
            <w:tcW w:w="981" w:type="pct"/>
            <w:vAlign w:val="center"/>
          </w:tcPr>
          <w:p>
            <w:pPr>
              <w:pStyle w:val="19"/>
              <w:bidi w:val="0"/>
              <w:jc w:val="center"/>
              <w:rPr>
                <w:rFonts w:hint="eastAsia"/>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bl>
    <w:p>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pPr>
        <w:pStyle w:val="24"/>
        <w:rPr>
          <w:rFonts w:hint="eastAsia" w:ascii="宋体" w:hAnsi="宋体" w:eastAsia="宋体" w:cs="宋体"/>
          <w:spacing w:val="-6"/>
          <w:szCs w:val="21"/>
        </w:rPr>
      </w:pPr>
    </w:p>
    <w:p>
      <w:pPr>
        <w:pStyle w:val="24"/>
        <w:rPr>
          <w:rFonts w:hint="eastAsia" w:ascii="宋体" w:hAnsi="宋体" w:eastAsia="宋体" w:cs="宋体"/>
          <w:spacing w:val="-6"/>
          <w:szCs w:val="21"/>
        </w:rPr>
      </w:pPr>
    </w:p>
    <w:p>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pPr>
        <w:rPr>
          <w:rFonts w:hint="default" w:ascii="Times New Roman" w:hAnsi="Times New Roman" w:eastAsia="宋体" w:cs="Times New Roman"/>
          <w:szCs w:val="20"/>
        </w:rPr>
      </w:pP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pPr>
        <w:spacing w:line="272" w:lineRule="auto"/>
        <w:rPr>
          <w:rFonts w:hint="default" w:ascii="Times New Roman" w:hAnsi="Times New Roman" w:cs="Times New Roman"/>
        </w:rPr>
      </w:pPr>
    </w:p>
    <w:p>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6300T、3150T热模锻生产线复产项目-新增石墨废水预处理站</w:t>
      </w:r>
      <w:r>
        <w:rPr>
          <w:rFonts w:hint="default" w:ascii="Times New Roman" w:hAnsi="Times New Roman" w:eastAsia="宋体" w:cs="Times New Roman"/>
          <w:b w:val="0"/>
          <w:bCs w:val="0"/>
          <w:spacing w:val="-5"/>
          <w:sz w:val="24"/>
          <w:szCs w:val="24"/>
          <w:u w:val="single"/>
        </w:rPr>
        <w:t xml:space="preserve">  </w:t>
      </w:r>
    </w:p>
    <w:p>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pPr>
        <w:rPr>
          <w:rFonts w:hint="default" w:ascii="Times New Roman" w:hAnsi="Times New Roman" w:cs="Times New Roman"/>
        </w:rPr>
      </w:pPr>
    </w:p>
    <w:p>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pPr>
        <w:keepNext/>
        <w:keepLines/>
        <w:rPr>
          <w:rFonts w:hint="default" w:ascii="Times New Roman" w:hAnsi="Times New Roman" w:eastAsia="宋体" w:cs="Times New Roman"/>
          <w:b/>
          <w:bCs/>
          <w:color w:val="000000"/>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pPr>
        <w:rPr>
          <w:rFonts w:hint="default" w:ascii="Times New Roman" w:hAnsi="Times New Roman" w:cs="Times New Roman"/>
        </w:rPr>
        <w:sectPr>
          <w:footerReference r:id="rId1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6300T、3150T热模锻生产线复产项目-新增石墨废水预处理站</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pStyle w:val="24"/>
        <w:rPr>
          <w:rFonts w:hint="default" w:ascii="Times New Roman" w:hAnsi="Times New Roman" w:eastAsia="宋体" w:cs="Times New Roman"/>
          <w:b/>
          <w:bCs/>
          <w:color w:val="000000"/>
          <w:sz w:val="28"/>
          <w:szCs w:val="20"/>
        </w:rPr>
      </w:pPr>
    </w:p>
    <w:p>
      <w:pPr>
        <w:rPr>
          <w:rFonts w:hint="default" w:ascii="Times New Roman" w:hAnsi="Times New Roman" w:eastAsia="宋体" w:cs="Times New Roman"/>
          <w:b/>
          <w:bCs/>
          <w:color w:val="000000"/>
          <w:sz w:val="28"/>
          <w:szCs w:val="20"/>
        </w:rPr>
      </w:pPr>
    </w:p>
    <w:p>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pPr>
              <w:rPr>
                <w:rFonts w:hint="default" w:ascii="Times New Roman" w:hAnsi="Times New Roman" w:eastAsia="等线" w:cs="Times New Roman"/>
                <w:b/>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val="en-US" w:eastAsia="zh-CN"/>
              </w:rPr>
              <w:t>6300T、3150T热模锻生产线复产项目-新增石墨废水预处理站</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continue"/>
            <w:vAlign w:val="center"/>
          </w:tcPr>
          <w:p>
            <w:pPr>
              <w:jc w:val="center"/>
              <w:rPr>
                <w:rFonts w:ascii="宋体" w:hAnsi="宋体" w:cs="Times New Roman"/>
                <w:sz w:val="18"/>
                <w:szCs w:val="18"/>
                <w:highlight w:val="none"/>
              </w:rPr>
            </w:pPr>
          </w:p>
        </w:tc>
        <w:tc>
          <w:tcPr>
            <w:tcW w:w="603"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continue"/>
            <w:vAlign w:val="center"/>
          </w:tcPr>
          <w:p>
            <w:pPr>
              <w:jc w:val="center"/>
              <w:rPr>
                <w:rFonts w:ascii="宋体" w:hAnsi="宋体" w:cs="Times New Roman"/>
                <w:sz w:val="18"/>
                <w:szCs w:val="18"/>
                <w:highlight w:val="none"/>
              </w:rPr>
            </w:pP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continue"/>
            <w:vAlign w:val="center"/>
          </w:tcPr>
          <w:p>
            <w:pPr>
              <w:jc w:val="center"/>
              <w:rPr>
                <w:rFonts w:ascii="宋体" w:hAnsi="宋体" w:cs="Times New Roman"/>
                <w:sz w:val="18"/>
                <w:szCs w:val="18"/>
                <w:highlight w:val="none"/>
              </w:rPr>
            </w:pP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w:t>
            </w:r>
            <w:r>
              <w:rPr>
                <w:rFonts w:hint="eastAsia" w:ascii="宋体" w:cs="Times New Roman"/>
                <w:b/>
                <w:sz w:val="22"/>
                <w:szCs w:val="22"/>
                <w:highlight w:val="none"/>
                <w:lang w:val="en-US" w:eastAsia="zh-CN"/>
              </w:rPr>
              <w:t>3</w:t>
            </w:r>
            <w:r>
              <w:rPr>
                <w:rFonts w:hint="eastAsia" w:ascii="宋体" w:hAnsi="Times New Roman" w:eastAsia="宋体" w:cs="Times New Roman"/>
                <w:b/>
                <w:sz w:val="22"/>
                <w:szCs w:val="22"/>
                <w:highlight w:val="none"/>
              </w:rPr>
              <w:t>0%＋商务标得分×</w:t>
            </w:r>
            <w:r>
              <w:rPr>
                <w:rFonts w:hint="eastAsia" w:ascii="宋体" w:cs="Times New Roman"/>
                <w:b/>
                <w:sz w:val="22"/>
                <w:szCs w:val="22"/>
                <w:highlight w:val="none"/>
                <w:lang w:val="en-US" w:eastAsia="zh-CN"/>
              </w:rPr>
              <w:t>7</w:t>
            </w:r>
            <w:r>
              <w:rPr>
                <w:rFonts w:hint="eastAsia" w:ascii="宋体" w:hAnsi="Times New Roman" w:eastAsia="宋体" w:cs="Times New Roman"/>
                <w:b/>
                <w:sz w:val="22"/>
                <w:szCs w:val="22"/>
                <w:highlight w:val="none"/>
              </w:rPr>
              <w:t>0%</w:t>
            </w:r>
          </w:p>
        </w:tc>
      </w:tr>
    </w:tbl>
    <w:p>
      <w:pPr>
        <w:rPr>
          <w:rFonts w:ascii="宋体" w:hAnsi="宋体" w:eastAsia="宋体" w:cs="Times New Roman"/>
          <w:b/>
          <w:bCs/>
          <w:sz w:val="24"/>
          <w:highlight w:val="none"/>
        </w:rPr>
      </w:pPr>
    </w:p>
    <w:p>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7"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8"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9"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30" cstate="print"/>
                    <a:srcRect/>
                    <a:stretch>
                      <a:fillRect/>
                    </a:stretch>
                  </pic:blipFill>
                  <pic:spPr>
                    <a:xfrm>
                      <a:off x="0" y="0"/>
                      <a:ext cx="5760085" cy="2853055"/>
                    </a:xfrm>
                    <a:prstGeom prst="rect">
                      <a:avLst/>
                    </a:prstGeom>
                  </pic:spPr>
                </pic:pic>
              </a:graphicData>
            </a:graphic>
          </wp:inline>
        </w:drawing>
      </w:r>
    </w:p>
    <w:p>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5758180" cy="30587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2"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3"/>
                    <a:stretch>
                      <a:fillRect/>
                    </a:stretch>
                  </pic:blipFill>
                  <pic:spPr>
                    <a:xfrm>
                      <a:off x="0" y="0"/>
                      <a:ext cx="5486400" cy="2661285"/>
                    </a:xfrm>
                    <a:prstGeom prst="rect">
                      <a:avLst/>
                    </a:prstGeom>
                    <a:noFill/>
                    <a:ln>
                      <a:noFill/>
                    </a:ln>
                  </pic:spPr>
                </pic:pic>
              </a:graphicData>
            </a:graphic>
          </wp:inline>
        </w:drawing>
      </w:r>
    </w:p>
    <w:p>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4" cstate="print"/>
                    <a:srcRect/>
                    <a:stretch>
                      <a:fillRect/>
                    </a:stretch>
                  </pic:blipFill>
                  <pic:spPr>
                    <a:xfrm>
                      <a:off x="0" y="0"/>
                      <a:ext cx="5760085" cy="2269490"/>
                    </a:xfrm>
                    <a:prstGeom prst="rect">
                      <a:avLst/>
                    </a:prstGeom>
                  </pic:spPr>
                </pic:pic>
              </a:graphicData>
            </a:graphic>
          </wp:inline>
        </w:drawing>
      </w:r>
    </w:p>
    <w:p>
      <w:pPr>
        <w:pStyle w:val="24"/>
      </w:pPr>
    </w:p>
    <w:p>
      <w:pPr>
        <w:pStyle w:val="24"/>
      </w:pPr>
      <w:r>
        <w:rPr>
          <w:rFonts w:hint="eastAsia" w:cs="Times New Roman"/>
          <w:b/>
          <w:bCs/>
          <w:highlight w:val="none"/>
          <w:lang w:val="en-US" w:eastAsia="zh-CN"/>
        </w:rPr>
        <w:t>2、应标页面否为代理商请如实选择，若为代理商应标，请在应标后联系商务联系人</w:t>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5"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6"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7"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8"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9" cstate="print"/>
                    <a:srcRect/>
                    <a:stretch>
                      <a:fillRect/>
                    </a:stretch>
                  </pic:blipFill>
                  <pic:spPr>
                    <a:xfrm>
                      <a:off x="0" y="0"/>
                      <a:ext cx="5760085" cy="1956435"/>
                    </a:xfrm>
                    <a:prstGeom prst="rect">
                      <a:avLst/>
                    </a:prstGeom>
                  </pic:spPr>
                </pic:pic>
              </a:graphicData>
            </a:graphic>
          </wp:inline>
        </w:drawing>
      </w:r>
    </w:p>
    <w:p>
      <w:pPr>
        <w:pStyle w:val="24"/>
        <w:rPr>
          <w:rFonts w:hAnsi="宋体" w:eastAsia="宋体" w:cs="Times New Roman"/>
          <w:b/>
          <w:color w:val="000000"/>
          <w:sz w:val="24"/>
          <w:szCs w:val="24"/>
        </w:rPr>
      </w:pPr>
    </w:p>
    <w:p>
      <w:pPr>
        <w:pStyle w:val="24"/>
        <w:rPr>
          <w:rFonts w:hAnsi="宋体" w:eastAsia="宋体" w:cs="Times New Roman"/>
          <w:b/>
          <w:color w:val="000000"/>
          <w:sz w:val="24"/>
          <w:szCs w:val="24"/>
        </w:rPr>
      </w:pPr>
    </w:p>
    <w:p>
      <w:pPr>
        <w:rPr>
          <w:rFonts w:hint="default" w:ascii="宋体" w:hAnsi="宋体" w:eastAsia="宋体" w:cs="宋体"/>
          <w:sz w:val="24"/>
          <w:szCs w:val="24"/>
          <w:lang w:val="en-US"/>
        </w:rPr>
      </w:pPr>
    </w:p>
    <w:p>
      <w:pPr>
        <w:pStyle w:val="223"/>
        <w:ind w:left="0" w:leftChars="0" w:right="960" w:firstLine="0" w:firstLineChars="0"/>
        <w:jc w:val="both"/>
        <w:rPr>
          <w:rFonts w:hint="eastAsia"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1eK8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TV4rzICAABl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p>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2"/>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3822"/>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A53B93"/>
    <w:rsid w:val="0271589A"/>
    <w:rsid w:val="02E74D14"/>
    <w:rsid w:val="02FC5AB3"/>
    <w:rsid w:val="035E6B0B"/>
    <w:rsid w:val="04B15209"/>
    <w:rsid w:val="04D70225"/>
    <w:rsid w:val="05160EF2"/>
    <w:rsid w:val="0AD876A7"/>
    <w:rsid w:val="0BEB0202"/>
    <w:rsid w:val="0D326CC2"/>
    <w:rsid w:val="0E3B77DA"/>
    <w:rsid w:val="0EA03360"/>
    <w:rsid w:val="0F5B6CC7"/>
    <w:rsid w:val="1378147A"/>
    <w:rsid w:val="14CD4184"/>
    <w:rsid w:val="1868332D"/>
    <w:rsid w:val="19355040"/>
    <w:rsid w:val="1DA82577"/>
    <w:rsid w:val="1E1170AC"/>
    <w:rsid w:val="22A44CDF"/>
    <w:rsid w:val="23C056A6"/>
    <w:rsid w:val="29C928E7"/>
    <w:rsid w:val="2A7C02EC"/>
    <w:rsid w:val="2A8F7CD5"/>
    <w:rsid w:val="2B3F4DD2"/>
    <w:rsid w:val="2B477C1E"/>
    <w:rsid w:val="2B9654FA"/>
    <w:rsid w:val="2DB54478"/>
    <w:rsid w:val="2E7345D1"/>
    <w:rsid w:val="322900DB"/>
    <w:rsid w:val="353F5A8C"/>
    <w:rsid w:val="36DE1355"/>
    <w:rsid w:val="36E22E88"/>
    <w:rsid w:val="393D26BB"/>
    <w:rsid w:val="3A5B7C10"/>
    <w:rsid w:val="3C1F7DCC"/>
    <w:rsid w:val="3D9C2881"/>
    <w:rsid w:val="3E516500"/>
    <w:rsid w:val="3F801B0E"/>
    <w:rsid w:val="413C1020"/>
    <w:rsid w:val="41A55A6F"/>
    <w:rsid w:val="42154BEE"/>
    <w:rsid w:val="429D2840"/>
    <w:rsid w:val="43256EEE"/>
    <w:rsid w:val="44757269"/>
    <w:rsid w:val="45902AEF"/>
    <w:rsid w:val="48A82A9E"/>
    <w:rsid w:val="4A082E0A"/>
    <w:rsid w:val="4AC268B8"/>
    <w:rsid w:val="4CC51E60"/>
    <w:rsid w:val="4CD949FD"/>
    <w:rsid w:val="4F4A4FC8"/>
    <w:rsid w:val="508341B3"/>
    <w:rsid w:val="50D63321"/>
    <w:rsid w:val="51654692"/>
    <w:rsid w:val="54D7260C"/>
    <w:rsid w:val="55176E8F"/>
    <w:rsid w:val="56582839"/>
    <w:rsid w:val="57E02431"/>
    <w:rsid w:val="58055C15"/>
    <w:rsid w:val="58AE4B70"/>
    <w:rsid w:val="5A842C2A"/>
    <w:rsid w:val="5A8E45C7"/>
    <w:rsid w:val="5F377063"/>
    <w:rsid w:val="5FF411EE"/>
    <w:rsid w:val="62E50A5D"/>
    <w:rsid w:val="633A3E82"/>
    <w:rsid w:val="643D185D"/>
    <w:rsid w:val="65E3187B"/>
    <w:rsid w:val="673F2C72"/>
    <w:rsid w:val="68C06BDA"/>
    <w:rsid w:val="69F8009E"/>
    <w:rsid w:val="6AB76068"/>
    <w:rsid w:val="6C9132F0"/>
    <w:rsid w:val="6D5B701C"/>
    <w:rsid w:val="6D5E04BB"/>
    <w:rsid w:val="6E423C99"/>
    <w:rsid w:val="72276117"/>
    <w:rsid w:val="73263829"/>
    <w:rsid w:val="734D2DC8"/>
    <w:rsid w:val="736A2597"/>
    <w:rsid w:val="73E6120B"/>
    <w:rsid w:val="74023C00"/>
    <w:rsid w:val="74995770"/>
    <w:rsid w:val="75CD3E17"/>
    <w:rsid w:val="7771624F"/>
    <w:rsid w:val="790C526F"/>
    <w:rsid w:val="792C1EE5"/>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52</Pages>
  <Words>18200</Words>
  <Characters>19524</Characters>
  <Lines>52</Lines>
  <Paragraphs>14</Paragraphs>
  <TotalTime>19</TotalTime>
  <ScaleCrop>false</ScaleCrop>
  <LinksUpToDate>false</LinksUpToDate>
  <CharactersWithSpaces>19707</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李帅</cp:lastModifiedBy>
  <cp:lastPrinted>2020-01-08T06:44:00Z</cp:lastPrinted>
  <dcterms:modified xsi:type="dcterms:W3CDTF">2026-03-16T08:06:57Z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