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9107F">
      <w:pPr>
        <w:jc w:val="center"/>
        <w:rPr>
          <w:rFonts w:hint="eastAsia" w:ascii="宋体" w:hAnsi="宋体"/>
          <w:b/>
          <w:sz w:val="48"/>
          <w:szCs w:val="48"/>
          <w:lang w:val="en-US" w:eastAsia="zh-CN"/>
        </w:rPr>
      </w:pPr>
      <w:bookmarkStart w:id="8" w:name="_GoBack"/>
      <w:r>
        <w:rPr>
          <w:rFonts w:hint="eastAsia" w:ascii="宋体" w:hAnsi="宋体"/>
          <w:b/>
          <w:sz w:val="48"/>
          <w:szCs w:val="48"/>
          <w:lang w:val="en-US" w:eastAsia="zh-CN"/>
        </w:rPr>
        <w:t>莱芜厂区倒班宿舍服务中心招商项目-招标公告</w:t>
      </w:r>
      <w:bookmarkEnd w:id="8"/>
    </w:p>
    <w:p w14:paraId="0D7EDEB7">
      <w:pPr>
        <w:jc w:val="center"/>
        <w:rPr>
          <w:rFonts w:hint="eastAsia" w:ascii="宋体" w:hAnsi="宋体"/>
          <w:b/>
          <w:sz w:val="48"/>
          <w:szCs w:val="48"/>
          <w:lang w:val="en-US" w:eastAsia="zh-CN"/>
        </w:rPr>
      </w:pPr>
    </w:p>
    <w:p w14:paraId="1D0924D9">
      <w:pPr>
        <w:pStyle w:val="2"/>
        <w:spacing w:line="360" w:lineRule="auto"/>
        <w:jc w:val="center"/>
        <w:rPr>
          <w:rFonts w:hint="eastAsia" w:ascii="黑体" w:eastAsia="黑体"/>
          <w:b/>
          <w:bCs/>
          <w:sz w:val="36"/>
          <w:szCs w:val="36"/>
        </w:rPr>
      </w:pPr>
      <w:r>
        <w:rPr>
          <w:rFonts w:hint="eastAsia" w:ascii="黑体" w:eastAsia="黑体"/>
          <w:b/>
          <w:bCs/>
          <w:sz w:val="36"/>
          <w:szCs w:val="36"/>
        </w:rPr>
        <w:t>第一章  招标公告</w:t>
      </w:r>
    </w:p>
    <w:p w14:paraId="559EC33A">
      <w:pPr>
        <w:pStyle w:val="2"/>
        <w:spacing w:line="360" w:lineRule="auto"/>
        <w:rPr>
          <w:rFonts w:hint="eastAsia" w:ascii="黑体" w:eastAsia="黑体"/>
          <w:b/>
          <w:bCs/>
          <w:sz w:val="28"/>
        </w:rPr>
      </w:pPr>
      <w:r>
        <w:rPr>
          <w:rFonts w:hint="eastAsia" w:ascii="黑体" w:eastAsia="黑体"/>
          <w:b/>
          <w:bCs/>
          <w:sz w:val="28"/>
        </w:rPr>
        <w:t>一、项目名称</w:t>
      </w:r>
    </w:p>
    <w:p w14:paraId="66CB8D16">
      <w:pPr>
        <w:pStyle w:val="2"/>
        <w:spacing w:line="360" w:lineRule="auto"/>
        <w:ind w:left="420"/>
        <w:rPr>
          <w:rFonts w:hint="eastAsia"/>
        </w:rPr>
      </w:pPr>
      <w:r>
        <w:rPr>
          <w:rFonts w:hint="eastAsia"/>
        </w:rPr>
        <w:t>项目名称：</w:t>
      </w:r>
      <w:bookmarkStart w:id="0" w:name="OLE_LINK1"/>
      <w:r>
        <w:rPr>
          <w:rFonts w:hint="eastAsia"/>
          <w:lang w:val="en-US" w:eastAsia="zh-CN"/>
        </w:rPr>
        <w:t>莱芜厂区倒班宿舍服务中心招商项目</w:t>
      </w:r>
    </w:p>
    <w:bookmarkEnd w:id="0"/>
    <w:p w14:paraId="7FB88FE6">
      <w:pPr>
        <w:pStyle w:val="2"/>
        <w:spacing w:line="360" w:lineRule="auto"/>
        <w:rPr>
          <w:rFonts w:hint="eastAsia" w:ascii="黑体" w:eastAsia="黑体"/>
          <w:b/>
          <w:bCs/>
          <w:sz w:val="28"/>
        </w:rPr>
      </w:pPr>
      <w:r>
        <w:rPr>
          <w:rFonts w:hint="eastAsia" w:ascii="黑体" w:eastAsia="黑体"/>
          <w:b/>
          <w:bCs/>
          <w:sz w:val="28"/>
        </w:rPr>
        <w:t>二、项目内容</w:t>
      </w:r>
    </w:p>
    <w:p w14:paraId="303BCFC3">
      <w:pPr>
        <w:spacing w:line="440" w:lineRule="exact"/>
        <w:ind w:firstLine="426"/>
        <w:rPr>
          <w:rFonts w:hint="eastAsia" w:ascii="宋体" w:hAnsi="Courier New"/>
        </w:rPr>
      </w:pPr>
      <w:r>
        <w:rPr>
          <w:rFonts w:hint="eastAsia" w:ascii="宋体" w:hAnsi="Courier New"/>
          <w:lang w:val="en-US" w:eastAsia="zh-CN"/>
        </w:rPr>
        <w:t>为了更好的为莱芜厂区倒班宿舍区域住宿的职工提供更好便捷的便民服务，特将倒班宿舍区域空置地块进行改造后，由于引进优秀便利的服务，丰富职工日常生活，解决职工生活困难。</w:t>
      </w:r>
      <w:r>
        <w:rPr>
          <w:rFonts w:hint="eastAsia" w:ascii="宋体" w:hAnsi="Courier New"/>
        </w:rPr>
        <w:t>招标内容：</w:t>
      </w:r>
      <w:r>
        <w:rPr>
          <w:rFonts w:hint="eastAsia"/>
          <w:lang w:val="en-US" w:eastAsia="zh-CN"/>
        </w:rPr>
        <w:t>莱芜厂区倒班宿舍一揽子服务。</w:t>
      </w:r>
    </w:p>
    <w:p w14:paraId="07C2EA70">
      <w:pPr>
        <w:pStyle w:val="2"/>
        <w:spacing w:line="360" w:lineRule="auto"/>
        <w:rPr>
          <w:rFonts w:hint="eastAsia" w:ascii="黑体" w:eastAsia="黑体"/>
          <w:b/>
          <w:bCs/>
          <w:sz w:val="28"/>
        </w:rPr>
      </w:pPr>
      <w:r>
        <w:rPr>
          <w:rFonts w:hint="eastAsia" w:ascii="黑体" w:eastAsia="黑体"/>
          <w:b/>
          <w:bCs/>
          <w:sz w:val="28"/>
        </w:rPr>
        <w:t>三、招标形式</w:t>
      </w:r>
    </w:p>
    <w:p w14:paraId="0F7609CC">
      <w:pPr>
        <w:spacing w:line="440" w:lineRule="exact"/>
        <w:ind w:firstLine="426"/>
        <w:rPr>
          <w:rFonts w:hint="eastAsia" w:ascii="宋体" w:hAnsi="Courier New" w:eastAsia="宋体"/>
          <w:lang w:eastAsia="zh-CN"/>
        </w:rPr>
      </w:pPr>
      <w:r>
        <w:rPr>
          <w:rFonts w:hint="eastAsia" w:ascii="宋体" w:hAnsi="Courier New"/>
        </w:rPr>
        <w:t>招标形式：</w:t>
      </w:r>
      <w:r>
        <w:rPr>
          <w:rFonts w:hint="eastAsia" w:ascii="宋体" w:hAnsi="Courier New"/>
          <w:lang w:val="en-US" w:eastAsia="zh-CN"/>
        </w:rPr>
        <w:t>公开招标</w:t>
      </w:r>
    </w:p>
    <w:p w14:paraId="206BFD06">
      <w:pPr>
        <w:pStyle w:val="2"/>
        <w:spacing w:line="360" w:lineRule="auto"/>
        <w:rPr>
          <w:rFonts w:hint="eastAsia" w:ascii="黑体" w:eastAsia="黑体"/>
          <w:b/>
          <w:bCs/>
          <w:sz w:val="28"/>
        </w:rPr>
      </w:pPr>
      <w:r>
        <w:rPr>
          <w:rFonts w:hint="eastAsia" w:ascii="黑体" w:eastAsia="黑体"/>
          <w:b/>
          <w:bCs/>
          <w:sz w:val="28"/>
        </w:rPr>
        <w:t>四、议程安排</w:t>
      </w:r>
    </w:p>
    <w:p w14:paraId="02CE1274">
      <w:pPr>
        <w:keepNext w:val="0"/>
        <w:keepLines w:val="0"/>
        <w:pageBreakBefore w:val="0"/>
        <w:kinsoku/>
        <w:wordWrap/>
        <w:overflowPunct/>
        <w:topLinePunct w:val="0"/>
        <w:autoSpaceDE/>
        <w:autoSpaceDN/>
        <w:bidi w:val="0"/>
        <w:adjustRightInd/>
        <w:snapToGrid/>
        <w:spacing w:line="360" w:lineRule="auto"/>
        <w:rPr>
          <w:rFonts w:hint="eastAsia"/>
          <w:highlight w:val="yellow"/>
        </w:rPr>
      </w:pPr>
      <w:r>
        <w:rPr>
          <w:rFonts w:hint="eastAsia"/>
          <w:highlight w:val="yellow"/>
        </w:rPr>
        <w:t>1.发标时间：202</w:t>
      </w:r>
      <w:r>
        <w:rPr>
          <w:rFonts w:hint="eastAsia"/>
          <w:highlight w:val="yellow"/>
          <w:lang w:val="en-US" w:eastAsia="zh-CN"/>
        </w:rPr>
        <w:t>6</w:t>
      </w:r>
      <w:r>
        <w:rPr>
          <w:rFonts w:hint="eastAsia"/>
          <w:highlight w:val="yellow"/>
        </w:rPr>
        <w:t>年</w:t>
      </w:r>
      <w:r>
        <w:rPr>
          <w:rFonts w:hint="eastAsia"/>
          <w:highlight w:val="yellow"/>
          <w:lang w:val="en-US" w:eastAsia="zh-CN"/>
        </w:rPr>
        <w:t>3</w:t>
      </w:r>
      <w:r>
        <w:rPr>
          <w:rFonts w:hint="eastAsia"/>
          <w:highlight w:val="yellow"/>
        </w:rPr>
        <w:t>月</w:t>
      </w:r>
      <w:r>
        <w:rPr>
          <w:rFonts w:hint="eastAsia"/>
          <w:highlight w:val="yellow"/>
          <w:lang w:val="en-US" w:eastAsia="zh-CN"/>
        </w:rPr>
        <w:t>19</w:t>
      </w:r>
      <w:r>
        <w:rPr>
          <w:rFonts w:hint="eastAsia"/>
          <w:highlight w:val="yellow"/>
        </w:rPr>
        <w:t>日。</w:t>
      </w:r>
    </w:p>
    <w:p w14:paraId="3CCA2FDB">
      <w:pPr>
        <w:keepNext w:val="0"/>
        <w:keepLines w:val="0"/>
        <w:pageBreakBefore w:val="0"/>
        <w:kinsoku/>
        <w:wordWrap/>
        <w:overflowPunct/>
        <w:topLinePunct w:val="0"/>
        <w:autoSpaceDE/>
        <w:autoSpaceDN/>
        <w:bidi w:val="0"/>
        <w:adjustRightInd/>
        <w:snapToGrid/>
        <w:spacing w:line="360" w:lineRule="auto"/>
        <w:rPr>
          <w:rFonts w:hint="eastAsia"/>
          <w:highlight w:val="yellow"/>
          <w:lang w:eastAsia="zh-CN"/>
        </w:rPr>
      </w:pPr>
      <w:r>
        <w:rPr>
          <w:rFonts w:hint="eastAsia"/>
          <w:highlight w:val="yellow"/>
          <w:lang w:val="en-US" w:eastAsia="zh-CN"/>
        </w:rPr>
        <w:t>2</w:t>
      </w:r>
      <w:r>
        <w:rPr>
          <w:rFonts w:hint="eastAsia"/>
          <w:highlight w:val="yellow"/>
        </w:rPr>
        <w:t>.应标截止时间：202</w:t>
      </w:r>
      <w:r>
        <w:rPr>
          <w:rFonts w:hint="eastAsia"/>
          <w:highlight w:val="yellow"/>
          <w:lang w:val="en-US" w:eastAsia="zh-CN"/>
        </w:rPr>
        <w:t>6</w:t>
      </w:r>
      <w:r>
        <w:rPr>
          <w:rFonts w:hint="eastAsia"/>
          <w:highlight w:val="yellow"/>
        </w:rPr>
        <w:t>年</w:t>
      </w:r>
      <w:r>
        <w:rPr>
          <w:rFonts w:hint="eastAsia"/>
          <w:highlight w:val="yellow"/>
          <w:lang w:val="en-US" w:eastAsia="zh-CN"/>
        </w:rPr>
        <w:t>3</w:t>
      </w:r>
      <w:r>
        <w:rPr>
          <w:rFonts w:hint="eastAsia"/>
          <w:highlight w:val="yellow"/>
        </w:rPr>
        <w:t>月</w:t>
      </w:r>
      <w:r>
        <w:rPr>
          <w:rFonts w:hint="eastAsia"/>
          <w:highlight w:val="yellow"/>
          <w:lang w:val="en-US" w:eastAsia="zh-CN"/>
        </w:rPr>
        <w:t>25</w:t>
      </w:r>
      <w:r>
        <w:rPr>
          <w:rFonts w:hint="eastAsia"/>
          <w:highlight w:val="yellow"/>
        </w:rPr>
        <w:t>日</w:t>
      </w:r>
      <w:r>
        <w:rPr>
          <w:rFonts w:hint="eastAsia"/>
          <w:highlight w:val="yellow"/>
          <w:lang w:val="en-US" w:eastAsia="zh-CN"/>
        </w:rPr>
        <w:t>9</w:t>
      </w:r>
      <w:r>
        <w:rPr>
          <w:rFonts w:hint="eastAsia"/>
          <w:highlight w:val="yellow"/>
        </w:rPr>
        <w:t>时00分00秒</w:t>
      </w:r>
      <w:r>
        <w:rPr>
          <w:rFonts w:hint="eastAsia"/>
          <w:highlight w:val="yellow"/>
          <w:lang w:eastAsia="zh-CN"/>
        </w:rPr>
        <w:t>；</w:t>
      </w:r>
    </w:p>
    <w:p w14:paraId="5A84D4A9">
      <w:pPr>
        <w:keepNext w:val="0"/>
        <w:keepLines w:val="0"/>
        <w:pageBreakBefore w:val="0"/>
        <w:kinsoku/>
        <w:wordWrap/>
        <w:overflowPunct/>
        <w:topLinePunct w:val="0"/>
        <w:autoSpaceDE/>
        <w:autoSpaceDN/>
        <w:bidi w:val="0"/>
        <w:adjustRightInd/>
        <w:snapToGrid/>
        <w:spacing w:line="360" w:lineRule="auto"/>
        <w:rPr>
          <w:rFonts w:hint="eastAsia"/>
          <w:highlight w:val="yellow"/>
          <w:lang w:eastAsia="zh-CN"/>
        </w:rPr>
      </w:pPr>
      <w:r>
        <w:rPr>
          <w:rFonts w:hint="eastAsia"/>
          <w:highlight w:val="yellow"/>
          <w:lang w:val="en-US" w:eastAsia="zh-CN"/>
        </w:rPr>
        <w:t>3.</w:t>
      </w:r>
      <w:r>
        <w:rPr>
          <w:rFonts w:hint="eastAsia"/>
          <w:highlight w:val="yellow"/>
        </w:rPr>
        <w:t>投标保证金截止时间为：202</w:t>
      </w:r>
      <w:r>
        <w:rPr>
          <w:rFonts w:hint="eastAsia"/>
          <w:highlight w:val="yellow"/>
          <w:lang w:val="en-US" w:eastAsia="zh-CN"/>
        </w:rPr>
        <w:t>6</w:t>
      </w:r>
      <w:r>
        <w:rPr>
          <w:rFonts w:hint="eastAsia"/>
          <w:highlight w:val="yellow"/>
        </w:rPr>
        <w:t>年</w:t>
      </w:r>
      <w:r>
        <w:rPr>
          <w:rFonts w:hint="eastAsia"/>
          <w:highlight w:val="yellow"/>
          <w:lang w:val="en-US" w:eastAsia="zh-CN"/>
        </w:rPr>
        <w:t>3</w:t>
      </w:r>
      <w:r>
        <w:rPr>
          <w:rFonts w:hint="eastAsia"/>
          <w:highlight w:val="yellow"/>
        </w:rPr>
        <w:t>月</w:t>
      </w:r>
      <w:r>
        <w:rPr>
          <w:rFonts w:hint="eastAsia"/>
          <w:highlight w:val="yellow"/>
          <w:lang w:val="en-US" w:eastAsia="zh-CN"/>
        </w:rPr>
        <w:t>28</w:t>
      </w:r>
      <w:r>
        <w:rPr>
          <w:rFonts w:hint="eastAsia"/>
          <w:highlight w:val="yellow"/>
        </w:rPr>
        <w:t>日</w:t>
      </w:r>
      <w:r>
        <w:rPr>
          <w:rFonts w:hint="eastAsia"/>
          <w:highlight w:val="yellow"/>
          <w:lang w:val="en-US" w:eastAsia="zh-CN"/>
        </w:rPr>
        <w:t>12</w:t>
      </w:r>
      <w:r>
        <w:rPr>
          <w:rFonts w:hint="eastAsia"/>
          <w:highlight w:val="yellow"/>
        </w:rPr>
        <w:t>时</w:t>
      </w:r>
      <w:r>
        <w:rPr>
          <w:rFonts w:hint="eastAsia"/>
          <w:highlight w:val="yellow"/>
          <w:lang w:val="en-US" w:eastAsia="zh-CN"/>
        </w:rPr>
        <w:t>0</w:t>
      </w:r>
      <w:r>
        <w:rPr>
          <w:rFonts w:hint="eastAsia"/>
          <w:highlight w:val="yellow"/>
        </w:rPr>
        <w:t>0分00秒</w:t>
      </w:r>
    </w:p>
    <w:p w14:paraId="27CF0F48">
      <w:pPr>
        <w:keepNext w:val="0"/>
        <w:keepLines w:val="0"/>
        <w:pageBreakBefore w:val="0"/>
        <w:kinsoku/>
        <w:wordWrap/>
        <w:overflowPunct/>
        <w:topLinePunct w:val="0"/>
        <w:autoSpaceDE/>
        <w:autoSpaceDN/>
        <w:bidi w:val="0"/>
        <w:adjustRightInd/>
        <w:snapToGrid/>
        <w:spacing w:line="360" w:lineRule="auto"/>
        <w:rPr>
          <w:rFonts w:hint="eastAsia"/>
          <w:highlight w:val="none"/>
          <w:lang w:val="en-US" w:eastAsia="zh-CN"/>
        </w:rPr>
      </w:pPr>
      <w:r>
        <w:rPr>
          <w:rFonts w:hint="eastAsia"/>
          <w:highlight w:val="yellow"/>
          <w:lang w:val="en-US" w:eastAsia="zh-CN"/>
        </w:rPr>
        <w:t>4.投标截止时间：</w:t>
      </w:r>
      <w:r>
        <w:rPr>
          <w:rFonts w:hint="eastAsia"/>
          <w:highlight w:val="yellow"/>
        </w:rPr>
        <w:t>2025年</w:t>
      </w:r>
      <w:r>
        <w:rPr>
          <w:rFonts w:hint="eastAsia"/>
          <w:highlight w:val="yellow"/>
          <w:lang w:val="en-US" w:eastAsia="zh-CN"/>
        </w:rPr>
        <w:t>3</w:t>
      </w:r>
      <w:r>
        <w:rPr>
          <w:rFonts w:hint="eastAsia"/>
          <w:highlight w:val="yellow"/>
        </w:rPr>
        <w:t>月</w:t>
      </w:r>
      <w:r>
        <w:rPr>
          <w:rFonts w:hint="eastAsia"/>
          <w:highlight w:val="yellow"/>
          <w:lang w:val="en-US" w:eastAsia="zh-CN"/>
        </w:rPr>
        <w:t>28</w:t>
      </w:r>
      <w:r>
        <w:rPr>
          <w:rFonts w:hint="eastAsia"/>
          <w:highlight w:val="yellow"/>
        </w:rPr>
        <w:t>日</w:t>
      </w:r>
      <w:r>
        <w:rPr>
          <w:rFonts w:hint="eastAsia"/>
          <w:highlight w:val="yellow"/>
          <w:lang w:val="en-US" w:eastAsia="zh-CN"/>
        </w:rPr>
        <w:t>9</w:t>
      </w:r>
      <w:r>
        <w:rPr>
          <w:rFonts w:hint="eastAsia"/>
          <w:highlight w:val="yellow"/>
        </w:rPr>
        <w:t>时</w:t>
      </w:r>
      <w:r>
        <w:rPr>
          <w:rFonts w:hint="eastAsia"/>
          <w:highlight w:val="yellow"/>
          <w:lang w:val="en-US" w:eastAsia="zh-CN"/>
        </w:rPr>
        <w:t>0</w:t>
      </w:r>
      <w:r>
        <w:rPr>
          <w:rFonts w:hint="eastAsia"/>
          <w:highlight w:val="yellow"/>
        </w:rPr>
        <w:t>0分00秒</w:t>
      </w:r>
      <w:r>
        <w:rPr>
          <w:rFonts w:hint="eastAsia"/>
          <w:highlight w:val="yellow"/>
          <w:lang w:eastAsia="zh-CN"/>
        </w:rPr>
        <w:t>。</w:t>
      </w:r>
    </w:p>
    <w:p w14:paraId="4D792FD4">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highlight w:val="none"/>
        </w:rPr>
      </w:pPr>
      <w:r>
        <w:rPr>
          <w:rFonts w:hint="eastAsia"/>
          <w:highlight w:val="none"/>
        </w:rPr>
        <w:t>注：请务必在应标截止时间前完成注册及应标操作，注册审核需2-4日，应标截止时间精确到秒，逾期将无法应标。请务必参加我们组织的现场勘查同时进行答疑（开标前），具体时间另行通知。请自行掌握时间，避免无法应标。</w:t>
      </w:r>
    </w:p>
    <w:p w14:paraId="20E5AF34">
      <w:pPr>
        <w:keepNext w:val="0"/>
        <w:keepLines w:val="0"/>
        <w:pageBreakBefore w:val="0"/>
        <w:kinsoku/>
        <w:wordWrap/>
        <w:overflowPunct/>
        <w:topLinePunct w:val="0"/>
        <w:autoSpaceDE/>
        <w:autoSpaceDN/>
        <w:bidi w:val="0"/>
        <w:adjustRightInd/>
        <w:snapToGrid/>
        <w:spacing w:line="360" w:lineRule="auto"/>
        <w:rPr>
          <w:rFonts w:hint="eastAsia"/>
          <w:highlight w:val="yellow"/>
        </w:rPr>
      </w:pPr>
      <w:r>
        <w:rPr>
          <w:rFonts w:hint="eastAsia"/>
          <w:highlight w:val="yellow"/>
          <w:lang w:val="en-US" w:eastAsia="zh-CN"/>
        </w:rPr>
        <w:t>5.</w:t>
      </w:r>
      <w:r>
        <w:rPr>
          <w:rFonts w:hint="eastAsia"/>
          <w:highlight w:val="yellow"/>
        </w:rPr>
        <w:t>开标时间：202</w:t>
      </w:r>
      <w:r>
        <w:rPr>
          <w:rFonts w:hint="eastAsia"/>
          <w:highlight w:val="yellow"/>
          <w:lang w:val="en-US" w:eastAsia="zh-CN"/>
        </w:rPr>
        <w:t>6</w:t>
      </w:r>
      <w:r>
        <w:rPr>
          <w:rFonts w:hint="eastAsia"/>
          <w:highlight w:val="yellow"/>
        </w:rPr>
        <w:t>年</w:t>
      </w:r>
      <w:r>
        <w:rPr>
          <w:rFonts w:hint="eastAsia"/>
          <w:highlight w:val="yellow"/>
          <w:lang w:val="en-US" w:eastAsia="zh-CN"/>
        </w:rPr>
        <w:t>3</w:t>
      </w:r>
      <w:r>
        <w:rPr>
          <w:rFonts w:hint="eastAsia"/>
          <w:highlight w:val="yellow"/>
        </w:rPr>
        <w:t>月</w:t>
      </w:r>
      <w:r>
        <w:rPr>
          <w:rFonts w:hint="eastAsia"/>
          <w:highlight w:val="yellow"/>
          <w:lang w:val="en-US" w:eastAsia="zh-CN"/>
        </w:rPr>
        <w:t>31</w:t>
      </w:r>
      <w:r>
        <w:rPr>
          <w:rFonts w:hint="eastAsia"/>
          <w:highlight w:val="yellow"/>
        </w:rPr>
        <w:t>日</w:t>
      </w:r>
      <w:r>
        <w:rPr>
          <w:rFonts w:hint="eastAsia"/>
          <w:highlight w:val="yellow"/>
          <w:lang w:val="en-US" w:eastAsia="zh-CN"/>
        </w:rPr>
        <w:t>8:30</w:t>
      </w:r>
      <w:r>
        <w:rPr>
          <w:rFonts w:hint="eastAsia"/>
          <w:highlight w:val="yellow"/>
        </w:rPr>
        <w:t>（若有变动另行通知）。</w:t>
      </w:r>
    </w:p>
    <w:p w14:paraId="74712E34">
      <w:pPr>
        <w:keepNext w:val="0"/>
        <w:keepLines w:val="0"/>
        <w:pageBreakBefore w:val="0"/>
        <w:kinsoku/>
        <w:wordWrap/>
        <w:overflowPunct/>
        <w:topLinePunct w:val="0"/>
        <w:autoSpaceDE/>
        <w:autoSpaceDN/>
        <w:bidi w:val="0"/>
        <w:adjustRightInd/>
        <w:snapToGrid/>
        <w:spacing w:line="360" w:lineRule="auto"/>
        <w:rPr>
          <w:rFonts w:hint="eastAsia"/>
          <w:highlight w:val="none"/>
        </w:rPr>
      </w:pPr>
      <w:r>
        <w:rPr>
          <w:rFonts w:hint="eastAsia"/>
          <w:highlight w:val="none"/>
          <w:lang w:val="en-US" w:eastAsia="zh-CN"/>
        </w:rPr>
        <w:t>6.</w:t>
      </w:r>
      <w:r>
        <w:rPr>
          <w:rFonts w:hint="eastAsia"/>
          <w:highlight w:val="none"/>
        </w:rPr>
        <w:t>开标地点：</w:t>
      </w:r>
      <w:bookmarkStart w:id="1" w:name="OLE_LINK2"/>
      <w:bookmarkStart w:id="2" w:name="OLE_LINK3"/>
      <w:r>
        <w:rPr>
          <w:rFonts w:hint="eastAsia"/>
          <w:highlight w:val="none"/>
        </w:rPr>
        <w:t>山东省济南市</w:t>
      </w:r>
      <w:r>
        <w:rPr>
          <w:rFonts w:hint="eastAsia"/>
          <w:highlight w:val="none"/>
          <w:lang w:val="en-US" w:eastAsia="zh-CN"/>
        </w:rPr>
        <w:t>莱芜区莱城大道</w:t>
      </w:r>
      <w:r>
        <w:rPr>
          <w:highlight w:val="none"/>
        </w:rPr>
        <w:t>777</w:t>
      </w:r>
      <w:r>
        <w:rPr>
          <w:rFonts w:hint="eastAsia"/>
          <w:highlight w:val="none"/>
        </w:rPr>
        <w:t>号</w:t>
      </w:r>
      <w:bookmarkEnd w:id="1"/>
      <w:bookmarkEnd w:id="2"/>
      <w:r>
        <w:rPr>
          <w:rFonts w:hint="eastAsia"/>
          <w:highlight w:val="none"/>
        </w:rPr>
        <w:t>（若有变动另行通知）。</w:t>
      </w:r>
    </w:p>
    <w:p w14:paraId="0AAFE0E4">
      <w:pPr>
        <w:pStyle w:val="2"/>
        <w:spacing w:line="360" w:lineRule="auto"/>
        <w:rPr>
          <w:rFonts w:ascii="黑体" w:eastAsia="黑体"/>
          <w:b/>
          <w:bCs/>
          <w:sz w:val="28"/>
        </w:rPr>
      </w:pPr>
      <w:r>
        <w:rPr>
          <w:rFonts w:hint="eastAsia" w:ascii="黑体" w:eastAsia="黑体"/>
          <w:b/>
          <w:bCs/>
          <w:sz w:val="28"/>
        </w:rPr>
        <w:t>五、招标文件的发布及投标报名</w:t>
      </w:r>
    </w:p>
    <w:p w14:paraId="37D5D33F">
      <w:pPr>
        <w:keepNext w:val="0"/>
        <w:keepLines w:val="0"/>
        <w:pageBreakBefore w:val="0"/>
        <w:kinsoku/>
        <w:wordWrap/>
        <w:overflowPunct/>
        <w:topLinePunct w:val="0"/>
        <w:autoSpaceDE/>
        <w:autoSpaceDN/>
        <w:bidi w:val="0"/>
        <w:adjustRightInd/>
        <w:snapToGrid/>
        <w:spacing w:line="360" w:lineRule="auto"/>
        <w:rPr>
          <w:rFonts w:hint="default"/>
          <w:lang w:val="en-US" w:eastAsia="zh-CN"/>
        </w:rPr>
      </w:pPr>
      <w:r>
        <w:rPr>
          <w:rFonts w:hint="eastAsia"/>
          <w:lang w:val="en-US" w:eastAsia="zh-CN"/>
        </w:rPr>
        <w:t>1</w:t>
      </w:r>
      <w:r>
        <w:rPr>
          <w:rFonts w:hint="eastAsia"/>
        </w:rPr>
        <w:t>.发标方式：</w:t>
      </w:r>
      <w:r>
        <w:rPr>
          <w:rFonts w:hint="eastAsia"/>
          <w:lang w:val="en-US" w:eastAsia="zh-CN"/>
        </w:rPr>
        <w:t>公开招标</w:t>
      </w:r>
    </w:p>
    <w:p w14:paraId="6B71B77F">
      <w:pPr>
        <w:keepNext w:val="0"/>
        <w:keepLines w:val="0"/>
        <w:pageBreakBefore w:val="0"/>
        <w:kinsoku/>
        <w:wordWrap/>
        <w:overflowPunct/>
        <w:topLinePunct w:val="0"/>
        <w:autoSpaceDE/>
        <w:autoSpaceDN/>
        <w:bidi w:val="0"/>
        <w:adjustRightInd/>
        <w:snapToGrid/>
        <w:spacing w:line="360" w:lineRule="auto"/>
        <w:rPr>
          <w:rFonts w:hint="eastAsia"/>
        </w:rPr>
      </w:pPr>
      <w:r>
        <w:rPr>
          <w:rFonts w:hint="eastAsia"/>
          <w:lang w:val="en-US" w:eastAsia="zh-CN"/>
        </w:rPr>
        <w:t>2</w:t>
      </w:r>
      <w:r>
        <w:rPr>
          <w:rFonts w:hint="eastAsia"/>
        </w:rPr>
        <w:t>.投标方式：本项目的供应商网上报名工作均须在“中国重汽e采通”上完成录入工作，中国重汽e采通中链接为(</w:t>
      </w:r>
      <w:r>
        <w:rPr>
          <w:rFonts w:hint="eastAsia"/>
        </w:rPr>
        <w:fldChar w:fldCharType="begin"/>
      </w:r>
      <w:r>
        <w:rPr>
          <w:rFonts w:hint="eastAsia"/>
        </w:rPr>
        <w:instrText xml:space="preserve"> HYPERLINK "http://ecaitong.sinotruk.com:8012)" \t "_blank" </w:instrText>
      </w:r>
      <w:r>
        <w:rPr>
          <w:rFonts w:hint="eastAsia"/>
        </w:rPr>
        <w:fldChar w:fldCharType="separate"/>
      </w:r>
      <w:r>
        <w:rPr>
          <w:rFonts w:hint="eastAsia"/>
        </w:rPr>
        <w:t>https://ecaitong.sinotruk.com:8012)</w:t>
      </w:r>
      <w:r>
        <w:rPr>
          <w:rFonts w:hint="eastAsia"/>
        </w:rPr>
        <w:fldChar w:fldCharType="end"/>
      </w:r>
      <w:r>
        <w:rPr>
          <w:rFonts w:hint="eastAsia"/>
        </w:rPr>
        <w:t>。所有供方的资质审核、招标、应标、评标、审批等环节均须在重汽e采通中完成，相关操作手册可直接向联系人索取。未在“中国重汽e采通”进行注册的供方投标，均不被接受相关投标报名。</w:t>
      </w:r>
    </w:p>
    <w:p w14:paraId="722B3625">
      <w:pPr>
        <w:keepNext w:val="0"/>
        <w:keepLines w:val="0"/>
        <w:pageBreakBefore w:val="0"/>
        <w:kinsoku/>
        <w:wordWrap/>
        <w:overflowPunct/>
        <w:topLinePunct w:val="0"/>
        <w:autoSpaceDE/>
        <w:autoSpaceDN/>
        <w:bidi w:val="0"/>
        <w:adjustRightInd/>
        <w:snapToGrid/>
        <w:spacing w:line="360" w:lineRule="auto"/>
        <w:rPr>
          <w:rFonts w:hint="eastAsia" w:ascii="Times New Roman" w:hAnsi="Times New Roman" w:eastAsia="宋体" w:cs="Times New Roman"/>
          <w:szCs w:val="22"/>
          <w:lang w:val="en-US" w:eastAsia="zh-CN"/>
        </w:rPr>
      </w:pPr>
      <w:r>
        <w:rPr>
          <w:rFonts w:hint="eastAsia"/>
          <w:szCs w:val="22"/>
          <w:lang w:val="en-US" w:eastAsia="zh-CN"/>
        </w:rPr>
        <w:t>3</w:t>
      </w:r>
      <w:r>
        <w:rPr>
          <w:rFonts w:hint="eastAsia"/>
          <w:szCs w:val="22"/>
        </w:rPr>
        <w:t>.</w:t>
      </w:r>
      <w:r>
        <w:rPr>
          <w:rFonts w:hint="eastAsia" w:ascii="Times New Roman" w:hAnsi="Times New Roman" w:eastAsia="宋体" w:cs="Times New Roman"/>
          <w:szCs w:val="22"/>
          <w:lang w:val="en-US" w:eastAsia="zh-CN"/>
        </w:rPr>
        <w:t>项目商务/技术联系人：杨济志 13021700244，yangjizhi@sinotruk.com；</w:t>
      </w:r>
    </w:p>
    <w:p w14:paraId="7A953794">
      <w:pPr>
        <w:pStyle w:val="2"/>
        <w:spacing w:line="360" w:lineRule="auto"/>
        <w:rPr>
          <w:rFonts w:hint="eastAsia" w:ascii="黑体" w:eastAsia="黑体"/>
          <w:b/>
          <w:bCs/>
          <w:sz w:val="28"/>
        </w:rPr>
      </w:pPr>
      <w:r>
        <w:rPr>
          <w:rFonts w:hint="eastAsia" w:ascii="黑体" w:eastAsia="黑体"/>
          <w:b/>
          <w:bCs/>
          <w:sz w:val="28"/>
        </w:rPr>
        <w:t>六、投标须知</w:t>
      </w:r>
    </w:p>
    <w:p w14:paraId="5AF00E5F">
      <w:pPr>
        <w:pStyle w:val="2"/>
        <w:spacing w:line="360" w:lineRule="auto"/>
        <w:ind w:firstLine="422" w:firstLineChars="200"/>
        <w:rPr>
          <w:rFonts w:hint="eastAsia"/>
          <w:b/>
        </w:rPr>
      </w:pPr>
      <w:r>
        <w:rPr>
          <w:rFonts w:hint="eastAsia"/>
          <w:b/>
        </w:rPr>
        <w:t>1.合格投标人：</w:t>
      </w:r>
    </w:p>
    <w:p w14:paraId="22DB5A5A">
      <w:pPr>
        <w:pStyle w:val="2"/>
        <w:spacing w:line="360" w:lineRule="auto"/>
        <w:ind w:firstLine="420" w:firstLineChars="200"/>
        <w:rPr>
          <w:rFonts w:hint="eastAsia"/>
          <w:b/>
        </w:rPr>
      </w:pPr>
      <w:r>
        <w:rPr>
          <w:rFonts w:hint="eastAsia" w:hAnsi="宋体"/>
        </w:rPr>
        <w:t>（1）</w:t>
      </w:r>
      <w:r>
        <w:rPr>
          <w:rFonts w:hint="eastAsia"/>
        </w:rPr>
        <w:t>投标人须遵守《中华人民共和国招标投标法》、《中华人民共和国民法典》及其它有关的法律和法规；为中华人民共和国境内注册的独立法人机构，具有独立承担民事责任能力；</w:t>
      </w:r>
    </w:p>
    <w:p w14:paraId="28ADDF84">
      <w:pPr>
        <w:pStyle w:val="2"/>
        <w:spacing w:line="360" w:lineRule="auto"/>
        <w:ind w:firstLine="420" w:firstLineChars="200"/>
        <w:rPr>
          <w:rFonts w:hint="eastAsia"/>
          <w:szCs w:val="22"/>
          <w:highlight w:val="yellow"/>
        </w:rPr>
      </w:pPr>
      <w:r>
        <w:rPr>
          <w:rFonts w:hint="eastAsia" w:hAnsi="宋体"/>
          <w:highlight w:val="yellow"/>
        </w:rPr>
        <w:t>（2）</w:t>
      </w:r>
      <w:r>
        <w:rPr>
          <w:rFonts w:hint="eastAsia"/>
          <w:highlight w:val="yellow"/>
        </w:rPr>
        <w:t>公司成立</w:t>
      </w:r>
      <w:r>
        <w:rPr>
          <w:rFonts w:hint="eastAsia"/>
          <w:highlight w:val="yellow"/>
          <w:lang w:val="en-US" w:eastAsia="zh-CN"/>
        </w:rPr>
        <w:t>一</w:t>
      </w:r>
      <w:r>
        <w:rPr>
          <w:rFonts w:hint="eastAsia"/>
          <w:highlight w:val="yellow"/>
        </w:rPr>
        <w:t>年以上（以营业执照成立日期到开标当日满</w:t>
      </w:r>
      <w:r>
        <w:rPr>
          <w:rFonts w:hint="eastAsia"/>
          <w:highlight w:val="yellow"/>
          <w:lang w:val="en-US" w:eastAsia="zh-CN"/>
        </w:rPr>
        <w:t>一</w:t>
      </w:r>
      <w:r>
        <w:rPr>
          <w:rFonts w:hint="eastAsia"/>
          <w:highlight w:val="yellow"/>
        </w:rPr>
        <w:t>年为准）</w:t>
      </w:r>
      <w:r>
        <w:rPr>
          <w:rFonts w:hint="eastAsia"/>
          <w:szCs w:val="22"/>
          <w:highlight w:val="yellow"/>
        </w:rPr>
        <w:t>；注册资金不少于</w:t>
      </w:r>
      <w:r>
        <w:rPr>
          <w:rFonts w:hint="eastAsia"/>
          <w:szCs w:val="22"/>
          <w:highlight w:val="yellow"/>
          <w:lang w:val="en-US" w:eastAsia="zh-CN"/>
        </w:rPr>
        <w:t>5</w:t>
      </w:r>
      <w:r>
        <w:rPr>
          <w:szCs w:val="22"/>
          <w:highlight w:val="yellow"/>
        </w:rPr>
        <w:t>00</w:t>
      </w:r>
      <w:r>
        <w:rPr>
          <w:rFonts w:hint="eastAsia"/>
          <w:szCs w:val="22"/>
          <w:highlight w:val="yellow"/>
        </w:rPr>
        <w:t>万元人民币；</w:t>
      </w:r>
    </w:p>
    <w:p w14:paraId="7292CF2E">
      <w:pPr>
        <w:pStyle w:val="2"/>
        <w:spacing w:line="360" w:lineRule="auto"/>
        <w:ind w:firstLine="420" w:firstLineChars="200"/>
        <w:rPr>
          <w:rFonts w:hint="eastAsia"/>
        </w:rPr>
      </w:pPr>
      <w:r>
        <w:rPr>
          <w:rFonts w:hint="eastAsia"/>
        </w:rPr>
        <w:t>（3）投标人须提供具有统一社会信用代码的新版营业执照副本</w:t>
      </w:r>
      <w:r>
        <w:rPr>
          <w:rFonts w:hint="eastAsia"/>
          <w:b/>
        </w:rPr>
        <w:t>原件</w:t>
      </w:r>
      <w:r>
        <w:rPr>
          <w:rFonts w:hint="eastAsia"/>
        </w:rPr>
        <w:t>及复印件（加盖公章）；</w:t>
      </w:r>
    </w:p>
    <w:p w14:paraId="11278A73">
      <w:pPr>
        <w:pStyle w:val="2"/>
        <w:spacing w:line="360" w:lineRule="auto"/>
        <w:ind w:firstLine="420" w:firstLineChars="200"/>
        <w:rPr>
          <w:rFonts w:hAnsi="宋体"/>
        </w:rPr>
      </w:pPr>
      <w:r>
        <w:rPr>
          <w:rFonts w:hint="eastAsia" w:hAnsi="宋体"/>
        </w:rPr>
        <w:t>（4）</w:t>
      </w:r>
      <w:r>
        <w:rPr>
          <w:rFonts w:hAnsi="宋体"/>
        </w:rPr>
        <w:t>企业最近半年完税证明、信用证明材料（征信报告）；</w:t>
      </w:r>
    </w:p>
    <w:p w14:paraId="62EC9676">
      <w:pPr>
        <w:pStyle w:val="2"/>
        <w:spacing w:line="360" w:lineRule="auto"/>
        <w:ind w:firstLine="420" w:firstLineChars="200"/>
        <w:rPr>
          <w:rFonts w:hint="eastAsia" w:hAnsi="宋体"/>
        </w:rPr>
      </w:pPr>
      <w:r>
        <w:rPr>
          <w:rFonts w:hint="eastAsia" w:hAnsi="宋体"/>
        </w:rPr>
        <w:t>（5）</w:t>
      </w:r>
      <w:r>
        <w:rPr>
          <w:rFonts w:hAnsi="宋体"/>
        </w:rPr>
        <w:t>年度纳税信用评价信息（可从电子税务局查询截图，需加盖公章）；</w:t>
      </w:r>
    </w:p>
    <w:p w14:paraId="304B5CD4">
      <w:pPr>
        <w:pStyle w:val="2"/>
        <w:spacing w:line="360" w:lineRule="auto"/>
        <w:ind w:firstLine="420" w:firstLineChars="200"/>
        <w:rPr>
          <w:rFonts w:hint="eastAsia" w:hAnsi="宋体"/>
        </w:rPr>
      </w:pPr>
      <w:r>
        <w:rPr>
          <w:rFonts w:hint="eastAsia" w:hAnsi="宋体"/>
        </w:rPr>
        <w:t>（6）</w:t>
      </w:r>
      <w:r>
        <w:rPr>
          <w:rFonts w:hAnsi="宋体"/>
        </w:rPr>
        <w:t>企业对外担保说明（写明贵单位对外有无对外担保和质押业务，需加盖公章）</w:t>
      </w:r>
      <w:r>
        <w:rPr>
          <w:rFonts w:hint="eastAsia" w:hAnsi="宋体"/>
        </w:rPr>
        <w:t>；</w:t>
      </w:r>
    </w:p>
    <w:p w14:paraId="5D14CE32">
      <w:pPr>
        <w:pStyle w:val="2"/>
        <w:spacing w:line="360" w:lineRule="auto"/>
        <w:ind w:firstLine="420" w:firstLineChars="200"/>
        <w:rPr>
          <w:rFonts w:hint="eastAsia"/>
          <w:b/>
        </w:rPr>
      </w:pPr>
      <w:r>
        <w:rPr>
          <w:rFonts w:hint="eastAsia" w:hAnsi="宋体"/>
          <w:szCs w:val="21"/>
        </w:rPr>
        <w:t>（7）</w:t>
      </w:r>
      <w:r>
        <w:rPr>
          <w:rFonts w:hint="eastAsia"/>
        </w:rPr>
        <w:t>具有良好的商业信誉，在国家企业信用信息公示系统中无行政处罚、列入经营异常名录和列入严重违法失信企业名单（黑名单）信息或上述信息已被移除</w:t>
      </w:r>
      <w:r>
        <w:rPr>
          <w:rFonts w:hint="eastAsia"/>
          <w:lang w:eastAsia="zh-CN"/>
        </w:rPr>
        <w:t>（</w:t>
      </w:r>
      <w:r>
        <w:rPr>
          <w:rFonts w:hAnsi="宋体"/>
        </w:rPr>
        <w:t>写明贵单位</w:t>
      </w:r>
      <w:r>
        <w:rPr>
          <w:rFonts w:hint="eastAsia" w:hAnsi="宋体"/>
          <w:lang w:val="en-US" w:eastAsia="zh-CN"/>
        </w:rPr>
        <w:t>是否</w:t>
      </w:r>
      <w:r>
        <w:rPr>
          <w:rFonts w:hAnsi="宋体"/>
        </w:rPr>
        <w:t>有无</w:t>
      </w:r>
      <w:r>
        <w:rPr>
          <w:rFonts w:hint="eastAsia" w:hAnsi="宋体"/>
          <w:lang w:val="en-US" w:eastAsia="zh-CN"/>
        </w:rPr>
        <w:t>上述情况</w:t>
      </w:r>
      <w:r>
        <w:rPr>
          <w:rFonts w:hAnsi="宋体"/>
        </w:rPr>
        <w:t>，需加盖公章</w:t>
      </w:r>
      <w:r>
        <w:rPr>
          <w:rFonts w:hint="eastAsia"/>
          <w:lang w:eastAsia="zh-CN"/>
        </w:rPr>
        <w:t>）</w:t>
      </w:r>
      <w:r>
        <w:rPr>
          <w:rFonts w:hint="eastAsia"/>
        </w:rPr>
        <w:t>；</w:t>
      </w:r>
    </w:p>
    <w:p w14:paraId="2150D20D">
      <w:pPr>
        <w:pStyle w:val="2"/>
        <w:spacing w:line="360" w:lineRule="auto"/>
        <w:ind w:firstLine="420" w:firstLineChars="200"/>
        <w:rPr>
          <w:rFonts w:hint="eastAsia"/>
        </w:rPr>
      </w:pPr>
      <w:r>
        <w:rPr>
          <w:rFonts w:hint="eastAsia" w:hAnsi="宋体"/>
        </w:rPr>
        <w:t>（8）</w:t>
      </w:r>
      <w:r>
        <w:rPr>
          <w:rFonts w:hint="eastAsia"/>
        </w:rPr>
        <w:t>投标人营业执照中经营范围包括</w:t>
      </w:r>
      <w:r>
        <w:rPr>
          <w:rFonts w:hint="eastAsia"/>
          <w:lang w:val="en-US" w:eastAsia="zh-CN"/>
        </w:rPr>
        <w:t>住房</w:t>
      </w:r>
      <w:r>
        <w:rPr>
          <w:rFonts w:hint="eastAsia"/>
        </w:rPr>
        <w:t>租赁</w:t>
      </w:r>
      <w:r>
        <w:rPr>
          <w:rFonts w:hint="eastAsia"/>
          <w:lang w:val="en-US" w:eastAsia="zh-CN"/>
        </w:rPr>
        <w:t>或房地产租赁</w:t>
      </w:r>
      <w:r>
        <w:rPr>
          <w:rFonts w:hint="eastAsia"/>
        </w:rPr>
        <w:t>等方面</w:t>
      </w:r>
      <w:r>
        <w:rPr>
          <w:rFonts w:hint="eastAsia"/>
          <w:lang w:val="en-US" w:eastAsia="zh-CN"/>
        </w:rPr>
        <w:t>内容</w:t>
      </w:r>
      <w:r>
        <w:rPr>
          <w:rFonts w:hint="eastAsia"/>
          <w:lang w:eastAsia="zh-CN"/>
        </w:rPr>
        <w:t>，</w:t>
      </w:r>
      <w:r>
        <w:rPr>
          <w:rFonts w:hint="eastAsia"/>
        </w:rPr>
        <w:t>具有承担本项目的能力，近</w:t>
      </w:r>
      <w:r>
        <w:rPr>
          <w:rFonts w:hint="eastAsia"/>
          <w:lang w:val="en-US" w:eastAsia="zh-CN"/>
        </w:rPr>
        <w:t>一</w:t>
      </w:r>
      <w:r>
        <w:rPr>
          <w:rFonts w:hint="eastAsia"/>
        </w:rPr>
        <w:t>年内在经营活动中无重大违法记录；</w:t>
      </w:r>
    </w:p>
    <w:p w14:paraId="27B0098C">
      <w:pPr>
        <w:pStyle w:val="2"/>
        <w:spacing w:line="360" w:lineRule="auto"/>
        <w:ind w:firstLine="420" w:firstLineChars="200"/>
        <w:rPr>
          <w:rFonts w:hint="eastAsia"/>
          <w:szCs w:val="21"/>
        </w:rPr>
      </w:pPr>
      <w:r>
        <w:rPr>
          <w:rFonts w:hint="eastAsia" w:hAnsi="宋体"/>
        </w:rPr>
        <w:t>（9）</w:t>
      </w:r>
      <w:r>
        <w:rPr>
          <w:rFonts w:hint="eastAsia"/>
        </w:rPr>
        <w:t>具有健全的财务会计制度，财务状况和市场行为良好。没有处于被有权机关吊销营业执照、吊销资质、停业整顿、取消投标资格以及财产被接管、冻结或进入破产程序等,</w:t>
      </w:r>
      <w:r>
        <w:rPr>
          <w:rFonts w:ascii="Perpetua" w:hAnsi="Perpetua"/>
          <w:szCs w:val="21"/>
          <w:shd w:val="clear" w:color="auto" w:fill="FFFFFF"/>
        </w:rPr>
        <w:t>提供相关信用等级和完税证明</w:t>
      </w:r>
      <w:r>
        <w:rPr>
          <w:rFonts w:hint="eastAsia"/>
          <w:szCs w:val="21"/>
        </w:rPr>
        <w:t>；</w:t>
      </w:r>
    </w:p>
    <w:p w14:paraId="67747CD7">
      <w:pPr>
        <w:pStyle w:val="2"/>
        <w:spacing w:line="360" w:lineRule="auto"/>
        <w:ind w:firstLine="420" w:firstLineChars="200"/>
        <w:rPr>
          <w:rFonts w:hint="eastAsia"/>
          <w:szCs w:val="21"/>
        </w:rPr>
      </w:pPr>
      <w:r>
        <w:rPr>
          <w:rFonts w:hint="eastAsia"/>
          <w:szCs w:val="21"/>
        </w:rPr>
        <w:t>（10）投标人没有被列入招标人处《黑名单》（《黑名单》指投标人</w:t>
      </w:r>
      <w:r>
        <w:rPr>
          <w:szCs w:val="21"/>
        </w:rPr>
        <w:t>与招标人在以往</w:t>
      </w:r>
      <w:r>
        <w:rPr>
          <w:rFonts w:hint="eastAsia"/>
          <w:szCs w:val="21"/>
        </w:rPr>
        <w:t>或</w:t>
      </w:r>
      <w:r>
        <w:rPr>
          <w:szCs w:val="21"/>
        </w:rPr>
        <w:t>正在</w:t>
      </w:r>
      <w:r>
        <w:rPr>
          <w:rFonts w:hint="eastAsia"/>
          <w:szCs w:val="21"/>
        </w:rPr>
        <w:t>进行</w:t>
      </w:r>
      <w:r>
        <w:rPr>
          <w:szCs w:val="21"/>
        </w:rPr>
        <w:t>的合作中</w:t>
      </w:r>
      <w:r>
        <w:rPr>
          <w:rFonts w:hint="eastAsia"/>
          <w:szCs w:val="21"/>
        </w:rPr>
        <w:t>，</w:t>
      </w:r>
      <w:r>
        <w:rPr>
          <w:szCs w:val="21"/>
        </w:rPr>
        <w:t>存在</w:t>
      </w:r>
      <w:r>
        <w:rPr>
          <w:rFonts w:hint="eastAsia"/>
          <w:szCs w:val="21"/>
        </w:rPr>
        <w:t>招标人</w:t>
      </w:r>
      <w:r>
        <w:rPr>
          <w:szCs w:val="21"/>
        </w:rPr>
        <w:t>认为的</w:t>
      </w:r>
      <w:r>
        <w:rPr>
          <w:rFonts w:hint="eastAsia"/>
          <w:szCs w:val="21"/>
        </w:rPr>
        <w:t>违反合同</w:t>
      </w:r>
      <w:r>
        <w:rPr>
          <w:szCs w:val="21"/>
        </w:rPr>
        <w:t>约定或</w:t>
      </w:r>
      <w:r>
        <w:rPr>
          <w:rFonts w:hint="eastAsia"/>
          <w:szCs w:val="21"/>
        </w:rPr>
        <w:t>违反法律法规</w:t>
      </w:r>
      <w:r>
        <w:rPr>
          <w:szCs w:val="21"/>
        </w:rPr>
        <w:t>等的</w:t>
      </w:r>
      <w:r>
        <w:rPr>
          <w:rFonts w:hint="eastAsia"/>
          <w:szCs w:val="21"/>
        </w:rPr>
        <w:t>失信行为）的,</w:t>
      </w:r>
      <w:r>
        <w:rPr>
          <w:rFonts w:ascii="Perpetua" w:hAnsi="Perpetua"/>
          <w:szCs w:val="21"/>
        </w:rPr>
        <w:t xml:space="preserve"> 供方的直接或间接股东、法定代表人、董事、监事、高管非重汽员工及其亲属</w:t>
      </w:r>
      <w:r>
        <w:rPr>
          <w:rFonts w:hint="eastAsia"/>
          <w:szCs w:val="21"/>
        </w:rPr>
        <w:t>；</w:t>
      </w:r>
    </w:p>
    <w:p w14:paraId="5B6EB169">
      <w:pPr>
        <w:pStyle w:val="2"/>
        <w:spacing w:line="360" w:lineRule="auto"/>
        <w:ind w:firstLine="420" w:firstLineChars="200"/>
        <w:rPr>
          <w:rFonts w:hint="eastAsia"/>
          <w:szCs w:val="21"/>
        </w:rPr>
      </w:pPr>
      <w:r>
        <w:rPr>
          <w:rFonts w:hint="eastAsia" w:hAnsi="宋体"/>
        </w:rPr>
        <w:t>（11）</w:t>
      </w:r>
      <w:r>
        <w:rPr>
          <w:rFonts w:ascii="Perpetua" w:hAnsi="Perpetua"/>
          <w:szCs w:val="21"/>
          <w:shd w:val="clear" w:color="auto" w:fill="FFFFFF"/>
        </w:rPr>
        <w:t>投标人提供经会计师事务所审计且出具无保留意见的近</w:t>
      </w:r>
      <w:r>
        <w:rPr>
          <w:rFonts w:hint="eastAsia" w:ascii="Perpetua" w:hAnsi="Perpetua"/>
          <w:szCs w:val="21"/>
          <w:shd w:val="clear" w:color="auto" w:fill="FFFFFF"/>
          <w:lang w:val="en-US" w:eastAsia="zh-CN"/>
        </w:rPr>
        <w:t>一</w:t>
      </w:r>
      <w:r>
        <w:rPr>
          <w:rFonts w:ascii="Perpetua" w:hAnsi="Perpetua"/>
          <w:szCs w:val="21"/>
          <w:shd w:val="clear" w:color="auto" w:fill="FFFFFF"/>
        </w:rPr>
        <w:t>年的财务审计报告原件，并加盖公章，包括但不限于报告页、经审计的资产负债表、利润表、现金流量表及报表附注。如投标人公司没有经审计的财务报告，可提供加盖公章的近</w:t>
      </w:r>
      <w:r>
        <w:rPr>
          <w:rFonts w:hint="eastAsia" w:ascii="Perpetua" w:hAnsi="Perpetua"/>
          <w:szCs w:val="21"/>
          <w:shd w:val="clear" w:color="auto" w:fill="FFFFFF"/>
          <w:lang w:val="en-US" w:eastAsia="zh-CN"/>
        </w:rPr>
        <w:t>一</w:t>
      </w:r>
      <w:r>
        <w:rPr>
          <w:rFonts w:ascii="Perpetua" w:hAnsi="Perpetua"/>
          <w:szCs w:val="21"/>
          <w:shd w:val="clear" w:color="auto" w:fill="FFFFFF"/>
        </w:rPr>
        <w:t>年财务报表，包括但不限于资产负债表、利润表、现金流量表。应提供中文版本的审计报告或财务报表</w:t>
      </w:r>
      <w:r>
        <w:rPr>
          <w:rFonts w:hint="eastAsia" w:ascii="Perpetua" w:hAnsi="Perpetua"/>
          <w:szCs w:val="21"/>
          <w:shd w:val="clear" w:color="auto" w:fill="FFFFFF"/>
        </w:rPr>
        <w:t>；</w:t>
      </w:r>
    </w:p>
    <w:p w14:paraId="6CEDCB47">
      <w:pPr>
        <w:pStyle w:val="2"/>
        <w:spacing w:line="360" w:lineRule="auto"/>
        <w:ind w:firstLine="420" w:firstLineChars="200"/>
        <w:rPr>
          <w:rFonts w:hint="eastAsia"/>
        </w:rPr>
      </w:pPr>
      <w:r>
        <w:rPr>
          <w:rFonts w:hint="eastAsia" w:hAnsi="宋体"/>
        </w:rPr>
        <w:t>（12）</w:t>
      </w:r>
      <w:r>
        <w:rPr>
          <w:rFonts w:hint="eastAsia"/>
        </w:rPr>
        <w:t>投标人须提供法人授权委托书</w:t>
      </w:r>
      <w:r>
        <w:rPr>
          <w:rFonts w:hint="eastAsia"/>
          <w:b/>
        </w:rPr>
        <w:t>原件，</w:t>
      </w:r>
      <w:r>
        <w:rPr>
          <w:rFonts w:hint="eastAsia"/>
        </w:rPr>
        <w:t>及投标单位的法定代表人或授权代表的身份证</w:t>
      </w:r>
      <w:r>
        <w:rPr>
          <w:rFonts w:hint="eastAsia"/>
          <w:b/>
        </w:rPr>
        <w:t>原件</w:t>
      </w:r>
      <w:r>
        <w:rPr>
          <w:rFonts w:hint="eastAsia"/>
        </w:rPr>
        <w:t>及复印件（加盖公章）；</w:t>
      </w:r>
    </w:p>
    <w:p w14:paraId="280D527D">
      <w:pPr>
        <w:pStyle w:val="2"/>
        <w:spacing w:line="360" w:lineRule="auto"/>
        <w:ind w:firstLine="420" w:firstLineChars="200"/>
        <w:rPr>
          <w:rFonts w:hint="eastAsia"/>
        </w:rPr>
      </w:pPr>
      <w:r>
        <w:rPr>
          <w:rFonts w:hint="eastAsia" w:hAnsi="宋体"/>
        </w:rPr>
        <w:t>（13）</w:t>
      </w:r>
      <w:r>
        <w:rPr>
          <w:rFonts w:hint="eastAsia"/>
        </w:rPr>
        <w:t>投标人须具有履行合同所必须的设备、财务、技术、服务等方面的资质和能力；</w:t>
      </w:r>
    </w:p>
    <w:p w14:paraId="5C0982AD">
      <w:pPr>
        <w:pStyle w:val="2"/>
        <w:spacing w:line="360" w:lineRule="auto"/>
        <w:ind w:firstLine="420" w:firstLineChars="200"/>
        <w:rPr>
          <w:rFonts w:hint="eastAsia"/>
        </w:rPr>
      </w:pPr>
      <w:r>
        <w:rPr>
          <w:rFonts w:hint="eastAsia" w:hAnsi="宋体"/>
        </w:rPr>
        <w:t>（14）</w:t>
      </w:r>
      <w:r>
        <w:rPr>
          <w:rFonts w:hint="eastAsia"/>
        </w:rPr>
        <w:t>投标人须具有完全履行招标文件的所有要求的能力；</w:t>
      </w:r>
    </w:p>
    <w:p w14:paraId="797CC698">
      <w:pPr>
        <w:pStyle w:val="2"/>
        <w:spacing w:line="360" w:lineRule="auto"/>
        <w:ind w:firstLine="420" w:firstLineChars="200"/>
        <w:rPr>
          <w:rFonts w:hint="eastAsia"/>
        </w:rPr>
      </w:pPr>
      <w:r>
        <w:rPr>
          <w:rFonts w:hint="eastAsia" w:hAnsi="宋体"/>
        </w:rPr>
        <w:t>（15）</w:t>
      </w:r>
      <w:r>
        <w:rPr>
          <w:rFonts w:hint="eastAsia"/>
        </w:rPr>
        <w:t>投标人须认可招标人的工作指令，包括节、假日能正常开展工作的要求；</w:t>
      </w:r>
    </w:p>
    <w:p w14:paraId="3E3C260D">
      <w:pPr>
        <w:pStyle w:val="2"/>
        <w:spacing w:line="360" w:lineRule="auto"/>
        <w:ind w:firstLine="420" w:firstLineChars="200"/>
        <w:rPr>
          <w:rFonts w:hint="eastAsia"/>
        </w:rPr>
      </w:pPr>
      <w:r>
        <w:rPr>
          <w:rFonts w:hint="eastAsia" w:hAnsi="宋体" w:cs="宋体"/>
        </w:rPr>
        <w:t>（16）</w:t>
      </w:r>
      <w:r>
        <w:rPr>
          <w:rFonts w:hint="eastAsia"/>
        </w:rPr>
        <w:t>投标人必须是最终投标、签订合同的单位，不得以任何理由将已中标项目以任何形式转包给其他单位；</w:t>
      </w:r>
    </w:p>
    <w:p w14:paraId="32708421">
      <w:pPr>
        <w:pStyle w:val="2"/>
        <w:spacing w:line="360" w:lineRule="auto"/>
        <w:ind w:firstLine="420" w:firstLineChars="200"/>
      </w:pPr>
      <w:r>
        <w:rPr>
          <w:rFonts w:hint="eastAsia" w:hAnsi="宋体" w:cs="宋体"/>
        </w:rPr>
        <w:t>（17）</w:t>
      </w:r>
      <w:r>
        <w:rPr>
          <w:rFonts w:hint="eastAsia"/>
        </w:rPr>
        <w:t>本次招标项目不接受联合体投标。</w:t>
      </w:r>
    </w:p>
    <w:p w14:paraId="7D5E207C">
      <w:pPr>
        <w:pStyle w:val="2"/>
        <w:spacing w:line="360" w:lineRule="auto"/>
        <w:ind w:firstLine="420" w:firstLineChars="200"/>
        <w:rPr>
          <w:rFonts w:hint="eastAsia"/>
        </w:rPr>
      </w:pPr>
      <w:r>
        <w:rPr>
          <w:rFonts w:hint="eastAsia" w:hAnsi="宋体" w:cs="宋体"/>
        </w:rPr>
        <w:t>（1</w:t>
      </w:r>
      <w:r>
        <w:rPr>
          <w:rFonts w:hAnsi="宋体" w:cs="宋体"/>
        </w:rPr>
        <w:t>8</w:t>
      </w:r>
      <w:r>
        <w:rPr>
          <w:rFonts w:hint="eastAsia" w:hAnsi="宋体" w:cs="宋体"/>
        </w:rPr>
        <w:t>）</w:t>
      </w:r>
      <w:r>
        <w:rPr>
          <w:rFonts w:hint="eastAsia"/>
        </w:rPr>
        <w:t>投标人在向招标人出示《投标保证金缴纳凭证》后方可进行投标。</w:t>
      </w:r>
    </w:p>
    <w:p w14:paraId="4863F9DB">
      <w:pPr>
        <w:pStyle w:val="2"/>
        <w:spacing w:line="360" w:lineRule="auto"/>
        <w:ind w:firstLine="420" w:firstLineChars="200"/>
        <w:rPr>
          <w:rFonts w:hint="eastAsia"/>
        </w:rPr>
      </w:pPr>
      <w:r>
        <w:rPr>
          <w:rFonts w:hint="eastAsia"/>
        </w:rPr>
        <w:t>（1</w:t>
      </w:r>
      <w:r>
        <w:t>9</w:t>
      </w:r>
      <w:r>
        <w:rPr>
          <w:rFonts w:hint="eastAsia"/>
        </w:rPr>
        <w:t>）纸质版投标文件</w:t>
      </w:r>
      <w:r>
        <w:rPr>
          <w:rFonts w:hint="eastAsia"/>
          <w:lang w:val="en-US" w:eastAsia="zh-CN"/>
        </w:rPr>
        <w:t>3</w:t>
      </w:r>
      <w:r>
        <w:rPr>
          <w:rFonts w:hint="eastAsia"/>
        </w:rPr>
        <w:t>份（1份正本，</w:t>
      </w:r>
      <w:r>
        <w:rPr>
          <w:rFonts w:hint="eastAsia"/>
          <w:lang w:val="en-US" w:eastAsia="zh-CN"/>
        </w:rPr>
        <w:t>2</w:t>
      </w:r>
      <w:r>
        <w:rPr>
          <w:rFonts w:hint="eastAsia"/>
        </w:rPr>
        <w:t>份副本，详见本招标文件“第二章 投标文件编制”）。</w:t>
      </w:r>
    </w:p>
    <w:p w14:paraId="464A8B80">
      <w:pPr>
        <w:pStyle w:val="2"/>
        <w:spacing w:line="360" w:lineRule="auto"/>
        <w:ind w:firstLine="420" w:firstLineChars="200"/>
      </w:pPr>
      <w:r>
        <w:rPr>
          <w:rFonts w:hint="eastAsia"/>
        </w:rPr>
        <w:t>逾期的投标文件，招标人不予受理。</w:t>
      </w:r>
    </w:p>
    <w:p w14:paraId="55B6CB00">
      <w:pPr>
        <w:pStyle w:val="2"/>
        <w:spacing w:line="360" w:lineRule="auto"/>
        <w:ind w:firstLine="422" w:firstLineChars="200"/>
        <w:rPr>
          <w:rFonts w:hint="eastAsia"/>
          <w:b/>
        </w:rPr>
      </w:pPr>
      <w:r>
        <w:rPr>
          <w:rFonts w:hint="eastAsia"/>
          <w:b/>
        </w:rPr>
        <w:t>2.投标文件格式</w:t>
      </w:r>
    </w:p>
    <w:p w14:paraId="58273339">
      <w:pPr>
        <w:pStyle w:val="2"/>
        <w:spacing w:line="360" w:lineRule="auto"/>
        <w:ind w:firstLine="420" w:firstLineChars="200"/>
        <w:rPr>
          <w:szCs w:val="22"/>
        </w:rPr>
      </w:pPr>
      <w:r>
        <w:rPr>
          <w:rFonts w:hint="eastAsia"/>
          <w:szCs w:val="22"/>
        </w:rPr>
        <w:t>本项目投标文件分为</w:t>
      </w:r>
      <w:r>
        <w:rPr>
          <w:rFonts w:hint="eastAsia"/>
          <w:b/>
          <w:bCs/>
          <w:szCs w:val="22"/>
        </w:rPr>
        <w:t>纸质版</w:t>
      </w:r>
      <w:r>
        <w:rPr>
          <w:rFonts w:hint="eastAsia"/>
          <w:szCs w:val="22"/>
        </w:rPr>
        <w:t>投标文件和</w:t>
      </w:r>
      <w:r>
        <w:rPr>
          <w:rFonts w:hint="eastAsia"/>
          <w:b/>
          <w:bCs/>
          <w:szCs w:val="22"/>
        </w:rPr>
        <w:t>电子版</w:t>
      </w:r>
      <w:r>
        <w:rPr>
          <w:rFonts w:hint="eastAsia"/>
          <w:szCs w:val="22"/>
        </w:rPr>
        <w:t>投标文件（</w:t>
      </w:r>
      <w:r>
        <w:rPr>
          <w:rFonts w:hint="eastAsia"/>
          <w:b/>
          <w:bCs/>
          <w:szCs w:val="22"/>
        </w:rPr>
        <w:t>电子版为纸质盖章版的扫描件）或加盖电子章</w:t>
      </w:r>
      <w:r>
        <w:rPr>
          <w:rFonts w:hint="eastAsia"/>
          <w:szCs w:val="22"/>
        </w:rPr>
        <w:t>，均由《</w:t>
      </w:r>
      <w:r>
        <w:rPr>
          <w:rFonts w:hint="eastAsia"/>
          <w:b/>
          <w:bCs/>
          <w:szCs w:val="22"/>
        </w:rPr>
        <w:t>投标文件（资质标）</w:t>
      </w:r>
      <w:r>
        <w:rPr>
          <w:rFonts w:hint="eastAsia"/>
          <w:szCs w:val="22"/>
        </w:rPr>
        <w:t>》、《</w:t>
      </w:r>
      <w:r>
        <w:rPr>
          <w:rFonts w:hint="eastAsia"/>
          <w:b/>
          <w:bCs/>
          <w:szCs w:val="22"/>
        </w:rPr>
        <w:t>投标文件（商务标）</w:t>
      </w:r>
      <w:r>
        <w:rPr>
          <w:rFonts w:hint="eastAsia"/>
          <w:szCs w:val="22"/>
        </w:rPr>
        <w:t>》</w:t>
      </w:r>
      <w:r>
        <w:rPr>
          <w:rFonts w:hint="eastAsia"/>
          <w:b/>
          <w:bCs/>
          <w:szCs w:val="22"/>
        </w:rPr>
        <w:t>（开标一览表）</w:t>
      </w:r>
      <w:r>
        <w:rPr>
          <w:rFonts w:hint="eastAsia"/>
          <w:szCs w:val="22"/>
        </w:rPr>
        <w:t>文件组成，共计3个文件。</w:t>
      </w:r>
    </w:p>
    <w:p w14:paraId="353E178D">
      <w:pPr>
        <w:pStyle w:val="2"/>
        <w:spacing w:line="360" w:lineRule="auto"/>
        <w:ind w:firstLine="420" w:firstLineChars="200"/>
        <w:rPr>
          <w:rFonts w:hint="eastAsia"/>
          <w:szCs w:val="22"/>
        </w:rPr>
      </w:pPr>
      <w:r>
        <w:rPr>
          <w:rFonts w:hint="eastAsia"/>
          <w:szCs w:val="22"/>
        </w:rPr>
        <w:t>《投标文件（资质标）》一个文件（里面是全部资质投标书），《投标文件（商务标）》（开标一览表）一个文件（里面是全部商务投标书）。</w:t>
      </w:r>
    </w:p>
    <w:p w14:paraId="726A3F0F">
      <w:pPr>
        <w:pStyle w:val="2"/>
        <w:spacing w:line="360" w:lineRule="auto"/>
        <w:ind w:left="630" w:leftChars="200" w:hanging="210" w:hangingChars="100"/>
        <w:rPr>
          <w:rFonts w:hint="eastAsia"/>
          <w:szCs w:val="22"/>
        </w:rPr>
      </w:pPr>
      <w:r>
        <w:rPr>
          <w:rFonts w:hint="eastAsia"/>
          <w:szCs w:val="22"/>
        </w:rPr>
        <w:t>详见本招标文件“第二章 投标文件编制”，请投标人按格式要求进行填写。</w:t>
      </w:r>
    </w:p>
    <w:p w14:paraId="08758EAA">
      <w:pPr>
        <w:pStyle w:val="2"/>
        <w:spacing w:line="360" w:lineRule="auto"/>
        <w:ind w:firstLine="422" w:firstLineChars="200"/>
        <w:rPr>
          <w:rFonts w:hint="eastAsia"/>
          <w:szCs w:val="22"/>
        </w:rPr>
      </w:pPr>
      <w:r>
        <w:rPr>
          <w:rFonts w:hint="eastAsia"/>
          <w:b/>
          <w:bCs/>
          <w:szCs w:val="22"/>
        </w:rPr>
        <w:t>纸质版投标文件和电子版投标文件必须保证内容一致；如确实存在不一致的，以电子标书为准，同时要求投标方对纸版标书做出修正。</w:t>
      </w:r>
    </w:p>
    <w:p w14:paraId="1310DE41">
      <w:pPr>
        <w:pStyle w:val="2"/>
        <w:spacing w:line="360" w:lineRule="auto"/>
        <w:ind w:firstLine="422" w:firstLineChars="200"/>
        <w:rPr>
          <w:rFonts w:hint="eastAsia"/>
          <w:b/>
        </w:rPr>
      </w:pPr>
      <w:r>
        <w:rPr>
          <w:rFonts w:hint="eastAsia"/>
          <w:b/>
        </w:rPr>
        <w:t>3.报价及结算：</w:t>
      </w:r>
    </w:p>
    <w:p w14:paraId="71C68099">
      <w:pPr>
        <w:pStyle w:val="2"/>
        <w:spacing w:line="360" w:lineRule="auto"/>
        <w:ind w:left="630" w:leftChars="200" w:hanging="210" w:hangingChars="100"/>
        <w:rPr>
          <w:rFonts w:hint="eastAsia"/>
        </w:rPr>
      </w:pPr>
      <w:r>
        <w:rPr>
          <w:rFonts w:hint="eastAsia"/>
        </w:rPr>
        <w:t>（1）报价应为：经与招标人或其指派的答疑人员充分沟通确认基础上，由投标人在满足招标人</w:t>
      </w:r>
    </w:p>
    <w:p w14:paraId="7978D449">
      <w:pPr>
        <w:pStyle w:val="2"/>
        <w:spacing w:line="360" w:lineRule="auto"/>
        <w:ind w:firstLine="420" w:firstLineChars="200"/>
      </w:pPr>
      <w:r>
        <w:rPr>
          <w:rFonts w:hint="eastAsia"/>
        </w:rPr>
        <w:t>所提出的、与本项目所有相关环节有关的所有费用；</w:t>
      </w:r>
    </w:p>
    <w:p w14:paraId="15AA4BAF">
      <w:pPr>
        <w:pStyle w:val="2"/>
        <w:spacing w:line="360" w:lineRule="auto"/>
        <w:ind w:firstLine="420" w:firstLineChars="200"/>
        <w:rPr>
          <w:rFonts w:hint="eastAsia"/>
        </w:rPr>
      </w:pPr>
      <w:r>
        <w:rPr>
          <w:rFonts w:hint="eastAsia"/>
        </w:rPr>
        <w:t>详见本招标书之“第二章 投标文件编制”之“三、投标文件格式要求”之“格式3”。</w:t>
      </w:r>
    </w:p>
    <w:p w14:paraId="1B2754B9">
      <w:pPr>
        <w:pStyle w:val="2"/>
        <w:spacing w:line="360" w:lineRule="auto"/>
        <w:ind w:firstLine="420" w:firstLineChars="200"/>
        <w:rPr>
          <w:rFonts w:hint="eastAsia"/>
        </w:rPr>
      </w:pPr>
      <w:r>
        <w:rPr>
          <w:rFonts w:hint="eastAsia" w:hAnsi="宋体"/>
        </w:rPr>
        <w:t>（2）开标一览表中</w:t>
      </w:r>
      <w:r>
        <w:rPr>
          <w:rFonts w:hint="eastAsia"/>
        </w:rPr>
        <w:t>报价货币单位为：元（</w:t>
      </w:r>
      <w:r>
        <w:rPr>
          <w:rFonts w:hint="eastAsia"/>
          <w:b/>
          <w:bCs/>
        </w:rPr>
        <w:t>人民币不含税价、含税价，注明税率</w:t>
      </w:r>
      <w:r>
        <w:rPr>
          <w:rFonts w:hint="eastAsia"/>
        </w:rPr>
        <w:t>）；</w:t>
      </w:r>
    </w:p>
    <w:p w14:paraId="2315FCFD">
      <w:pPr>
        <w:pStyle w:val="2"/>
        <w:spacing w:line="360" w:lineRule="auto"/>
        <w:ind w:firstLine="420" w:firstLineChars="200"/>
        <w:rPr>
          <w:rFonts w:hint="default" w:eastAsia="宋体"/>
          <w:lang w:val="en-US" w:eastAsia="zh-CN"/>
        </w:rPr>
      </w:pPr>
      <w:r>
        <w:rPr>
          <w:rFonts w:hint="eastAsia" w:hAnsi="宋体"/>
          <w:color w:val="000000"/>
        </w:rPr>
        <w:t>（3）付款</w:t>
      </w:r>
      <w:r>
        <w:rPr>
          <w:rFonts w:hint="eastAsia"/>
          <w:color w:val="000000"/>
        </w:rPr>
        <w:t>结算方式</w:t>
      </w:r>
      <w:r>
        <w:rPr>
          <w:rFonts w:hint="eastAsia"/>
          <w:color w:val="000000"/>
          <w:szCs w:val="22"/>
        </w:rPr>
        <w:t>：</w:t>
      </w:r>
      <w:r>
        <w:rPr>
          <w:rFonts w:hint="eastAsia"/>
          <w:b/>
          <w:bCs/>
          <w:color w:val="FF0000"/>
          <w:szCs w:val="22"/>
        </w:rPr>
        <w:t>银行转账，合同签订后按月度据实支付费用，若有调整增减的</w:t>
      </w:r>
      <w:r>
        <w:rPr>
          <w:rFonts w:hint="eastAsia"/>
          <w:b/>
          <w:bCs/>
          <w:color w:val="FF0000"/>
          <w:szCs w:val="22"/>
          <w:lang w:val="en-US" w:eastAsia="zh-CN"/>
        </w:rPr>
        <w:t>服务</w:t>
      </w:r>
      <w:r>
        <w:rPr>
          <w:rFonts w:hint="eastAsia"/>
          <w:b/>
          <w:bCs/>
          <w:color w:val="FF0000"/>
          <w:szCs w:val="22"/>
        </w:rPr>
        <w:t>，在上次结算月的次月进行支付。所有应付费用均由投标方负责向招标方开具增值税专用发票。</w:t>
      </w:r>
      <w:r>
        <w:rPr>
          <w:rFonts w:hint="eastAsia"/>
          <w:b/>
          <w:bCs/>
          <w:color w:val="FF0000"/>
          <w:szCs w:val="22"/>
          <w:lang w:val="en-US" w:eastAsia="zh-CN"/>
        </w:rPr>
        <w:t>所有服务内容，均可以自行使用卡车公司规定的支付方式以外的形式收取合理费用。</w:t>
      </w:r>
    </w:p>
    <w:p w14:paraId="4D90B432">
      <w:pPr>
        <w:pStyle w:val="2"/>
        <w:spacing w:line="360" w:lineRule="auto"/>
        <w:ind w:firstLine="422" w:firstLineChars="200"/>
        <w:rPr>
          <w:rFonts w:hint="eastAsia"/>
          <w:b/>
        </w:rPr>
      </w:pPr>
      <w:r>
        <w:rPr>
          <w:rFonts w:hint="eastAsia"/>
          <w:b/>
        </w:rPr>
        <w:t>4.技术规范及服务</w:t>
      </w:r>
    </w:p>
    <w:p w14:paraId="5F13115B">
      <w:pPr>
        <w:pStyle w:val="2"/>
        <w:spacing w:line="360" w:lineRule="auto"/>
        <w:ind w:firstLine="420" w:firstLineChars="200"/>
        <w:rPr>
          <w:rFonts w:hint="eastAsia"/>
        </w:rPr>
      </w:pPr>
      <w:r>
        <w:rPr>
          <w:rFonts w:hint="eastAsia"/>
        </w:rPr>
        <w:t>（1）投标人应与招标人指派的答疑人员充分沟通，理解认可并接受相关技术规范及服务要求。</w:t>
      </w:r>
    </w:p>
    <w:p w14:paraId="5608FB49">
      <w:pPr>
        <w:pStyle w:val="2"/>
        <w:spacing w:line="360" w:lineRule="auto"/>
        <w:ind w:firstLine="420" w:firstLineChars="200"/>
        <w:rPr>
          <w:rFonts w:hint="eastAsia"/>
        </w:rPr>
      </w:pPr>
      <w:r>
        <w:rPr>
          <w:rFonts w:hint="eastAsia"/>
        </w:rPr>
        <w:t>（2）投标人可免费提供的、包含但不限于招标人所要求的其他相关服务内容，按本招标书“第二章 投标文件编制”要求，在其“开标一览表”中一并说明。</w:t>
      </w:r>
    </w:p>
    <w:p w14:paraId="2F6E7322">
      <w:pPr>
        <w:pStyle w:val="2"/>
        <w:spacing w:line="360" w:lineRule="auto"/>
        <w:ind w:firstLine="422" w:firstLineChars="200"/>
        <w:rPr>
          <w:rFonts w:hint="eastAsia"/>
          <w:b/>
        </w:rPr>
      </w:pPr>
      <w:r>
        <w:rPr>
          <w:rFonts w:hint="eastAsia"/>
          <w:b/>
        </w:rPr>
        <w:t>5.投标保证金：</w:t>
      </w:r>
    </w:p>
    <w:p w14:paraId="791A332E">
      <w:pPr>
        <w:pStyle w:val="2"/>
        <w:spacing w:line="360" w:lineRule="auto"/>
        <w:ind w:firstLine="422" w:firstLineChars="200"/>
        <w:rPr>
          <w:rFonts w:hint="eastAsia"/>
        </w:rPr>
      </w:pPr>
      <w:r>
        <w:rPr>
          <w:rFonts w:hint="eastAsia" w:hAnsi="宋体"/>
          <w:b/>
          <w:bCs/>
        </w:rPr>
        <w:t>⑴</w:t>
      </w:r>
      <w:r>
        <w:rPr>
          <w:rFonts w:hint="eastAsia"/>
          <w:b/>
          <w:bCs/>
        </w:rPr>
        <w:t>投标人向招标人财务部门缴</w:t>
      </w:r>
      <w:r>
        <w:rPr>
          <w:rFonts w:hint="eastAsia"/>
          <w:b/>
          <w:bCs/>
          <w:szCs w:val="22"/>
        </w:rPr>
        <w:t>纳</w:t>
      </w:r>
      <w:r>
        <w:rPr>
          <w:rFonts w:hint="eastAsia"/>
          <w:b/>
          <w:bCs/>
          <w:szCs w:val="22"/>
          <w:u w:val="single"/>
          <w:lang w:val="en-US" w:eastAsia="zh-CN"/>
        </w:rPr>
        <w:t>5000</w:t>
      </w:r>
      <w:r>
        <w:rPr>
          <w:rFonts w:hint="eastAsia"/>
          <w:b/>
          <w:bCs/>
          <w:szCs w:val="22"/>
        </w:rPr>
        <w:t>元（人</w:t>
      </w:r>
      <w:r>
        <w:rPr>
          <w:rFonts w:hint="eastAsia"/>
          <w:b/>
          <w:bCs/>
        </w:rPr>
        <w:t>民币），作为投标人本次投标的保证金。</w:t>
      </w:r>
      <w:r>
        <w:rPr>
          <w:rFonts w:hint="eastAsia"/>
          <w:b/>
          <w:bCs/>
          <w:highlight w:val="none"/>
        </w:rPr>
        <w:t>投标保证金</w:t>
      </w:r>
      <w:r>
        <w:rPr>
          <w:rFonts w:hint="eastAsia"/>
          <w:b/>
          <w:bCs/>
          <w:highlight w:val="none"/>
          <w:lang w:val="en-US" w:eastAsia="zh-CN"/>
        </w:rPr>
        <w:t>应在投标截止时间前</w:t>
      </w:r>
      <w:r>
        <w:rPr>
          <w:rFonts w:hint="eastAsia"/>
          <w:b/>
          <w:bCs/>
        </w:rPr>
        <w:t>，汇入以下账户，过期视为放弃。（以汇款凭证转账的具体时间为准）</w:t>
      </w:r>
      <w:r>
        <w:rPr>
          <w:rFonts w:hint="eastAsia"/>
        </w:rPr>
        <w:t xml:space="preserve"> </w:t>
      </w:r>
      <w:r>
        <w:t xml:space="preserve"> </w:t>
      </w:r>
    </w:p>
    <w:p w14:paraId="6DEDA290">
      <w:pPr>
        <w:pStyle w:val="2"/>
        <w:spacing w:line="360" w:lineRule="auto"/>
        <w:ind w:firstLine="420" w:firstLineChars="200"/>
        <w:rPr>
          <w:rFonts w:hint="eastAsia"/>
        </w:rPr>
      </w:pPr>
      <w:r>
        <w:rPr>
          <w:rFonts w:hint="eastAsia" w:hAnsi="宋体"/>
        </w:rPr>
        <w:t>⑵</w:t>
      </w:r>
      <w:r>
        <w:rPr>
          <w:rFonts w:hint="eastAsia"/>
        </w:rPr>
        <w:t>缴纳方式：银行转账（投标保证金需从投标人单位账户转出，不接受私人汇款）</w:t>
      </w:r>
    </w:p>
    <w:p w14:paraId="6DA93B14">
      <w:pPr>
        <w:pStyle w:val="2"/>
        <w:spacing w:line="360" w:lineRule="auto"/>
        <w:ind w:firstLine="420" w:firstLineChars="200"/>
      </w:pPr>
      <w:r>
        <w:rPr>
          <w:rFonts w:hint="eastAsia"/>
        </w:rPr>
        <w:t>转账备注请写明项目名称：</w:t>
      </w:r>
      <w:r>
        <w:rPr>
          <w:rFonts w:hint="eastAsia"/>
          <w:b/>
          <w:bCs/>
          <w:color w:val="FF0000"/>
          <w:lang w:val="en-US" w:eastAsia="zh-CN"/>
        </w:rPr>
        <w:t>莱芜厂区倒班宿舍服务中心招商项目-</w:t>
      </w:r>
      <w:r>
        <w:rPr>
          <w:rFonts w:hint="eastAsia"/>
          <w:b/>
          <w:bCs/>
          <w:color w:val="FF0000"/>
          <w:szCs w:val="22"/>
        </w:rPr>
        <w:t>投标保证金</w:t>
      </w:r>
    </w:p>
    <w:p w14:paraId="069ABA71">
      <w:pPr>
        <w:pStyle w:val="2"/>
        <w:spacing w:line="360" w:lineRule="auto"/>
        <w:ind w:firstLine="420" w:firstLineChars="200"/>
        <w:rPr>
          <w:rFonts w:hint="eastAsia"/>
        </w:rPr>
      </w:pPr>
      <w:r>
        <w:rPr>
          <w:rFonts w:hint="eastAsia" w:hAnsi="宋体"/>
        </w:rPr>
        <w:t>⑶</w:t>
      </w:r>
      <w:r>
        <w:rPr>
          <w:rFonts w:hint="eastAsia"/>
        </w:rPr>
        <w:t>接收单位：</w:t>
      </w:r>
      <w:r>
        <w:rPr>
          <w:rFonts w:hint="eastAsia" w:hAnsi="宋体" w:cs="宋体"/>
          <w:szCs w:val="21"/>
        </w:rPr>
        <w:t>中国重汽集团</w:t>
      </w:r>
      <w:r>
        <w:rPr>
          <w:rFonts w:hint="eastAsia" w:hAnsi="宋体" w:cs="宋体"/>
          <w:szCs w:val="21"/>
          <w:lang w:val="en-US" w:eastAsia="zh-CN"/>
        </w:rPr>
        <w:t>济南卡车股份</w:t>
      </w:r>
      <w:r>
        <w:rPr>
          <w:rFonts w:hint="eastAsia" w:hAnsi="宋体" w:cs="宋体"/>
          <w:szCs w:val="21"/>
        </w:rPr>
        <w:t>有限公司</w:t>
      </w:r>
    </w:p>
    <w:p w14:paraId="5CD95BE9">
      <w:pPr>
        <w:pStyle w:val="2"/>
        <w:spacing w:line="360" w:lineRule="auto"/>
        <w:ind w:firstLine="420" w:firstLineChars="200"/>
      </w:pPr>
      <w:r>
        <w:rPr>
          <w:rFonts w:hint="eastAsia" w:hAnsi="宋体"/>
        </w:rPr>
        <w:t>⑷</w:t>
      </w:r>
      <w:r>
        <w:rPr>
          <w:rFonts w:hint="eastAsia"/>
        </w:rPr>
        <w:t>转账信息：</w:t>
      </w:r>
    </w:p>
    <w:tbl>
      <w:tblPr>
        <w:tblStyle w:val="3"/>
        <w:tblW w:w="834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9E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346" w:type="dxa"/>
            <w:noWrap w:val="0"/>
            <w:vAlign w:val="center"/>
          </w:tcPr>
          <w:p w14:paraId="041CF8B4">
            <w:pPr>
              <w:rPr>
                <w:rFonts w:hint="eastAsia" w:ascii="宋体" w:hAnsi="宋体" w:cs="宋体"/>
                <w:szCs w:val="21"/>
              </w:rPr>
            </w:pPr>
            <w:r>
              <w:rPr>
                <w:rFonts w:hint="eastAsia" w:ascii="宋体" w:hAnsi="宋体" w:cs="宋体"/>
                <w:szCs w:val="21"/>
              </w:rPr>
              <w:t>开户银行：</w:t>
            </w:r>
            <w:r>
              <w:rPr>
                <w:rFonts w:ascii="宋体" w:hAnsi="宋体" w:cs="宋体"/>
                <w:color w:val="FF0000"/>
                <w:sz w:val="21"/>
                <w:szCs w:val="21"/>
              </w:rPr>
              <w:t>招商银行股份有限公司济南分行营业部</w:t>
            </w:r>
          </w:p>
        </w:tc>
      </w:tr>
      <w:tr w14:paraId="175E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346" w:type="dxa"/>
            <w:noWrap w:val="0"/>
            <w:vAlign w:val="center"/>
          </w:tcPr>
          <w:p w14:paraId="7F79648A">
            <w:pPr>
              <w:rPr>
                <w:rFonts w:hint="eastAsia" w:ascii="宋体" w:hAnsi="宋体" w:cs="宋体"/>
                <w:szCs w:val="21"/>
              </w:rPr>
            </w:pPr>
            <w:r>
              <w:rPr>
                <w:rFonts w:hint="eastAsia" w:ascii="宋体" w:hAnsi="宋体" w:cs="宋体"/>
                <w:szCs w:val="21"/>
              </w:rPr>
              <w:t>户名：</w:t>
            </w:r>
            <w:r>
              <w:rPr>
                <w:rFonts w:ascii="宋体" w:hAnsi="宋体" w:cs="宋体"/>
                <w:color w:val="FF0000"/>
                <w:sz w:val="21"/>
                <w:szCs w:val="21"/>
              </w:rPr>
              <w:t>中国重汽集团济南卡车股份有限公司</w:t>
            </w:r>
          </w:p>
        </w:tc>
      </w:tr>
      <w:tr w14:paraId="6D84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346" w:type="dxa"/>
            <w:noWrap w:val="0"/>
            <w:vAlign w:val="center"/>
          </w:tcPr>
          <w:p w14:paraId="75D09E92">
            <w:pPr>
              <w:rPr>
                <w:rFonts w:hint="eastAsia" w:ascii="宋体" w:hAnsi="宋体" w:cs="宋体"/>
                <w:szCs w:val="21"/>
              </w:rPr>
            </w:pPr>
            <w:r>
              <w:rPr>
                <w:rFonts w:hint="eastAsia" w:ascii="宋体" w:hAnsi="宋体" w:cs="宋体"/>
                <w:szCs w:val="21"/>
              </w:rPr>
              <w:t>账号：</w:t>
            </w:r>
            <w:r>
              <w:rPr>
                <w:rFonts w:ascii="宋体" w:hAnsi="宋体" w:cs="宋体"/>
                <w:color w:val="FF0000"/>
                <w:sz w:val="21"/>
                <w:szCs w:val="21"/>
              </w:rPr>
              <w:t>531900051810601</w:t>
            </w:r>
          </w:p>
        </w:tc>
      </w:tr>
      <w:tr w14:paraId="38CB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346" w:type="dxa"/>
            <w:noWrap w:val="0"/>
            <w:vAlign w:val="center"/>
          </w:tcPr>
          <w:p w14:paraId="674CD952">
            <w:pPr>
              <w:rPr>
                <w:rFonts w:hint="eastAsia" w:ascii="宋体" w:hAnsi="宋体" w:cs="宋体"/>
                <w:szCs w:val="21"/>
              </w:rPr>
            </w:pPr>
            <w:r>
              <w:rPr>
                <w:rFonts w:ascii="宋体" w:hAnsi="宋体" w:cs="宋体"/>
                <w:color w:val="auto"/>
                <w:sz w:val="21"/>
                <w:szCs w:val="21"/>
              </w:rPr>
              <w:t>联行号：</w:t>
            </w:r>
            <w:r>
              <w:rPr>
                <w:rFonts w:ascii="宋体" w:hAnsi="宋体" w:cs="宋体"/>
                <w:color w:val="FF0000"/>
                <w:sz w:val="21"/>
                <w:szCs w:val="21"/>
              </w:rPr>
              <w:t>308451028020 投标保证金等需要支付到此账号</w:t>
            </w:r>
          </w:p>
        </w:tc>
      </w:tr>
    </w:tbl>
    <w:p w14:paraId="6668CBE3">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⑸发生以下情况时，</w:t>
      </w:r>
      <w:r>
        <w:t>投标保证金不予返还</w:t>
      </w:r>
      <w:r>
        <w:rPr>
          <w:rFonts w:hint="eastAsia"/>
        </w:rPr>
        <w:t>，该投标人2</w:t>
      </w:r>
      <w:r>
        <w:t>年</w:t>
      </w:r>
      <w:r>
        <w:rPr>
          <w:rFonts w:hint="eastAsia"/>
        </w:rPr>
        <w:t>不得参与招标人组织的招投标项目：</w:t>
      </w:r>
    </w:p>
    <w:p w14:paraId="4B18F2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供应商在提交响应文件截止时间后撤回响应文件的；</w:t>
      </w:r>
    </w:p>
    <w:p w14:paraId="0E97531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供应商在响应文件中提供虚假材料的；</w:t>
      </w:r>
    </w:p>
    <w:p w14:paraId="732B820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除因不可抗力或谈判文件、询价通知书认可的情形以外，成交供应商不与采购人签订合同的；</w:t>
      </w:r>
    </w:p>
    <w:p w14:paraId="468AFE0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供应商与采购人、其他供应商或者采购代理机构恶意串通、围标、陪标的；</w:t>
      </w:r>
    </w:p>
    <w:p w14:paraId="1B233A4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供应商有违约违规行为或被投诉、举报的，在调查处理期间，保证金暂不退还，待调查处理结束后按有关规定处理。</w:t>
      </w:r>
    </w:p>
    <w:p w14:paraId="33DF114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截至开标前3天，投标人无正当理由、未以书面形式向招标人递交说明而在投标截止日不来投标的。</w:t>
      </w:r>
    </w:p>
    <w:p w14:paraId="63760AA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自中标通知书发出之日起30日内，中标人无正当理由投标人无正当签订合同的；</w:t>
      </w:r>
    </w:p>
    <w:p w14:paraId="71E04FFF">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Courier New"/>
        </w:rPr>
      </w:pPr>
      <w:r>
        <w:rPr>
          <w:rFonts w:hint="eastAsia" w:ascii="宋体" w:hAnsi="Courier New"/>
        </w:rPr>
        <w:t>采购文件规定的其他情形；</w:t>
      </w:r>
    </w:p>
    <w:p w14:paraId="4F29338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不存在以上违规情况的投标人，招标人在确定中标人后30个工作日内退还投标保证金。</w:t>
      </w:r>
    </w:p>
    <w:p w14:paraId="2B59068B">
      <w:pPr>
        <w:pStyle w:val="2"/>
        <w:spacing w:line="360" w:lineRule="auto"/>
        <w:ind w:firstLine="422" w:firstLineChars="200"/>
        <w:rPr>
          <w:rFonts w:hint="default" w:eastAsia="宋体"/>
          <w:lang w:val="en-US" w:eastAsia="zh-CN"/>
        </w:rPr>
      </w:pPr>
      <w:r>
        <w:rPr>
          <w:rFonts w:hint="eastAsia"/>
          <w:b/>
          <w:bCs/>
        </w:rPr>
        <w:t>投标人在缴纳投标保证金后，将《投标保证金缴纳凭证》扫描件或缴纳截图</w:t>
      </w:r>
      <w:r>
        <w:rPr>
          <w:rFonts w:hint="eastAsia"/>
          <w:b/>
          <w:bCs/>
          <w:lang w:val="en-US" w:eastAsia="zh-CN"/>
        </w:rPr>
        <w:t>放入资质文件中，作为资质文件的一部分。</w:t>
      </w:r>
    </w:p>
    <w:p w14:paraId="2C7393C9">
      <w:pPr>
        <w:pStyle w:val="2"/>
        <w:spacing w:line="360" w:lineRule="auto"/>
        <w:ind w:firstLine="422" w:firstLineChars="200"/>
        <w:rPr>
          <w:rFonts w:hint="eastAsia"/>
          <w:b/>
        </w:rPr>
      </w:pPr>
      <w:r>
        <w:rPr>
          <w:rFonts w:hint="eastAsia"/>
          <w:b/>
        </w:rPr>
        <w:t>6.其他</w:t>
      </w:r>
    </w:p>
    <w:p w14:paraId="3F9001A4">
      <w:pPr>
        <w:pStyle w:val="2"/>
        <w:spacing w:line="360" w:lineRule="auto"/>
        <w:ind w:firstLine="420" w:firstLineChars="200"/>
        <w:rPr>
          <w:rFonts w:hint="eastAsia"/>
        </w:rPr>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r>
        <w:rPr>
          <w:rFonts w:ascii="Perpetua" w:hAnsi="Perpetua"/>
          <w:szCs w:val="21"/>
          <w:shd w:val="clear" w:color="auto" w:fill="FFFFFF"/>
        </w:rPr>
        <w:t>无论投标过程中的方法和结果如何，投标方自行承担所有与参加招标有关的费用。</w:t>
      </w:r>
    </w:p>
    <w:p w14:paraId="4F94F9EE">
      <w:pPr>
        <w:pStyle w:val="2"/>
        <w:spacing w:line="360" w:lineRule="auto"/>
        <w:ind w:firstLine="420" w:firstLineChars="200"/>
        <w:rPr>
          <w:rFonts w:hint="eastAsia"/>
        </w:rPr>
      </w:pPr>
      <w:r>
        <w:rPr>
          <w:rFonts w:hint="eastAsia"/>
        </w:rPr>
        <w:t>其余未尽事宜，均以双方最终签署的合同为准。</w:t>
      </w:r>
    </w:p>
    <w:p w14:paraId="41BFE180">
      <w:pPr>
        <w:pStyle w:val="2"/>
        <w:spacing w:line="360" w:lineRule="auto"/>
        <w:ind w:firstLine="422" w:firstLineChars="200"/>
        <w:rPr>
          <w:rFonts w:hint="eastAsia"/>
          <w:b/>
        </w:rPr>
      </w:pPr>
      <w:r>
        <w:rPr>
          <w:rFonts w:hint="eastAsia"/>
          <w:b/>
        </w:rPr>
        <w:t>7.要求招标人或相关合同签订单位提供的配合，在标书文件中说明。</w:t>
      </w:r>
    </w:p>
    <w:p w14:paraId="25F06581">
      <w:pPr>
        <w:pStyle w:val="2"/>
        <w:spacing w:line="360" w:lineRule="auto"/>
        <w:ind w:firstLine="420" w:firstLineChars="200"/>
      </w:pPr>
      <w:r>
        <w:rPr>
          <w:rFonts w:hint="eastAsia"/>
        </w:rPr>
        <w:t>8.本招标文件的最终解释权归招标人，当对一个问题有多种解释时以招标人的书面解释为准。招标文件未做须知明示，而又有相关法律、法规规定的，招标人对此所做解释以相关的法律、法规规定为依据。</w:t>
      </w:r>
    </w:p>
    <w:p w14:paraId="0558C3BF">
      <w:pPr>
        <w:pStyle w:val="2"/>
        <w:spacing w:line="360" w:lineRule="auto"/>
        <w:rPr>
          <w:rFonts w:hint="eastAsia" w:ascii="黑体" w:eastAsia="黑体"/>
          <w:b/>
          <w:bCs/>
          <w:sz w:val="28"/>
          <w:highlight w:val="none"/>
          <w:lang w:eastAsia="zh-CN"/>
        </w:rPr>
      </w:pPr>
      <w:r>
        <w:rPr>
          <w:rFonts w:hint="eastAsia" w:ascii="黑体" w:eastAsia="黑体"/>
          <w:b/>
          <w:bCs/>
          <w:sz w:val="28"/>
          <w:highlight w:val="none"/>
        </w:rPr>
        <w:t>七、开标、评标</w:t>
      </w:r>
    </w:p>
    <w:p w14:paraId="6DFB741D">
      <w:pPr>
        <w:pStyle w:val="2"/>
        <w:spacing w:line="360" w:lineRule="auto"/>
        <w:ind w:firstLine="420" w:firstLineChars="200"/>
        <w:rPr>
          <w:rFonts w:hint="eastAsia"/>
        </w:rPr>
      </w:pPr>
      <w:r>
        <w:rPr>
          <w:rFonts w:hint="eastAsia"/>
        </w:rPr>
        <w:t>1.开标</w:t>
      </w:r>
    </w:p>
    <w:p w14:paraId="14321871">
      <w:pPr>
        <w:pStyle w:val="2"/>
        <w:spacing w:line="360" w:lineRule="auto"/>
        <w:ind w:firstLine="480" w:firstLineChars="200"/>
        <w:rPr>
          <w:rFonts w:hint="eastAsia"/>
        </w:rPr>
      </w:pPr>
      <w:r>
        <w:rPr>
          <w:rFonts w:hint="eastAsia"/>
          <w:bCs/>
          <w:color w:val="000000"/>
          <w:sz w:val="24"/>
          <w:szCs w:val="24"/>
        </w:rPr>
        <w:t>除了</w:t>
      </w:r>
      <w:r>
        <w:rPr>
          <w:rFonts w:hint="eastAsia"/>
          <w:b/>
          <w:bCs/>
          <w:color w:val="000000"/>
          <w:sz w:val="24"/>
          <w:szCs w:val="24"/>
        </w:rPr>
        <w:t>开标一览表</w:t>
      </w:r>
      <w:r>
        <w:rPr>
          <w:rFonts w:hint="eastAsia"/>
          <w:color w:val="000000"/>
          <w:sz w:val="24"/>
          <w:szCs w:val="24"/>
        </w:rPr>
        <w:t>中报价单位为元，</w:t>
      </w:r>
      <w:r>
        <w:rPr>
          <w:rFonts w:hint="eastAsia"/>
        </w:rPr>
        <w:t>其余报价货币单位为：万元（</w:t>
      </w:r>
      <w:r>
        <w:rPr>
          <w:rFonts w:hint="eastAsia"/>
          <w:b/>
          <w:bCs/>
        </w:rPr>
        <w:t>人民币不含税价、含税价，注明税率</w:t>
      </w:r>
      <w:r>
        <w:rPr>
          <w:rFonts w:hint="eastAsia"/>
        </w:rPr>
        <w:t>）；填写“中国重汽E采通”系统中报价均为：万元（含税价）。</w:t>
      </w:r>
    </w:p>
    <w:p w14:paraId="37E44612">
      <w:pPr>
        <w:pStyle w:val="2"/>
        <w:spacing w:line="360" w:lineRule="auto"/>
        <w:ind w:firstLine="420" w:firstLineChars="200"/>
      </w:pPr>
      <w:r>
        <w:rPr>
          <w:rFonts w:hint="eastAsia"/>
        </w:rPr>
        <w:t>开标方式：现场参与开标。</w:t>
      </w:r>
    </w:p>
    <w:p w14:paraId="2FF40105">
      <w:pPr>
        <w:pStyle w:val="2"/>
        <w:spacing w:line="360" w:lineRule="auto"/>
        <w:ind w:firstLine="420" w:firstLineChars="200"/>
        <w:rPr>
          <w:rFonts w:hint="eastAsia"/>
        </w:rPr>
      </w:pPr>
      <w:r>
        <w:rPr>
          <w:rFonts w:hint="eastAsia"/>
        </w:rPr>
        <w:t>2.评标</w:t>
      </w:r>
    </w:p>
    <w:p w14:paraId="02A2BEB7">
      <w:pPr>
        <w:pStyle w:val="2"/>
        <w:spacing w:line="360" w:lineRule="auto"/>
        <w:ind w:firstLine="420" w:firstLineChars="200"/>
        <w:rPr>
          <w:rFonts w:hint="eastAsia" w:hAnsi="宋体"/>
          <w:szCs w:val="21"/>
          <w:lang w:val="en-US" w:eastAsia="zh-CN"/>
        </w:rPr>
      </w:pPr>
      <w:r>
        <w:rPr>
          <w:rFonts w:hint="eastAsia" w:hAnsi="宋体"/>
        </w:rPr>
        <w:t>⑴</w:t>
      </w:r>
      <w:r>
        <w:rPr>
          <w:rFonts w:hint="eastAsia" w:hAnsi="宋体"/>
          <w:szCs w:val="21"/>
        </w:rPr>
        <w:t>评标</w:t>
      </w:r>
      <w:r>
        <w:rPr>
          <w:rFonts w:hint="eastAsia" w:hAnsi="宋体"/>
          <w:szCs w:val="21"/>
          <w:lang w:val="en-US" w:eastAsia="zh-CN"/>
        </w:rPr>
        <w:t>方法：合理最低价评标法。</w:t>
      </w:r>
    </w:p>
    <w:p w14:paraId="5B490808">
      <w:pPr>
        <w:pStyle w:val="2"/>
        <w:spacing w:line="360" w:lineRule="auto"/>
        <w:ind w:firstLine="422" w:firstLineChars="200"/>
        <w:rPr>
          <w:rFonts w:hint="eastAsia"/>
          <w:b/>
          <w:bCs/>
          <w:color w:val="0000FF"/>
        </w:rPr>
      </w:pPr>
      <w:r>
        <w:rPr>
          <w:rFonts w:hint="eastAsia" w:hAnsi="宋体"/>
          <w:b/>
          <w:bCs/>
          <w:color w:val="FF0000"/>
          <w:szCs w:val="21"/>
          <w:lang w:val="en-US" w:eastAsia="zh-CN"/>
        </w:rPr>
        <w:t>评标</w:t>
      </w:r>
      <w:r>
        <w:rPr>
          <w:rFonts w:hint="eastAsia" w:hAnsi="宋体"/>
          <w:b/>
          <w:bCs/>
          <w:color w:val="FF0000"/>
          <w:szCs w:val="21"/>
        </w:rPr>
        <w:t>工作由招标人为该项目依法组织的单数成员组成的评标工作小组负责，</w:t>
      </w:r>
      <w:r>
        <w:rPr>
          <w:rFonts w:hint="eastAsia"/>
          <w:b/>
          <w:bCs/>
          <w:color w:val="FF0000"/>
        </w:rPr>
        <w:t>由评标工作小组按照国家招投标有关规定，本着公平、公正、公开、有序的原则，在满足招标文件</w:t>
      </w:r>
      <w:r>
        <w:rPr>
          <w:rFonts w:hint="eastAsia"/>
          <w:b/>
          <w:bCs/>
          <w:color w:val="FF0000"/>
          <w:lang w:val="en-US" w:eastAsia="zh-CN"/>
        </w:rPr>
        <w:t>技术标</w:t>
      </w:r>
      <w:r>
        <w:rPr>
          <w:rFonts w:hint="eastAsia"/>
          <w:b/>
          <w:bCs/>
          <w:color w:val="FF0000"/>
        </w:rPr>
        <w:t>实质性要求的</w:t>
      </w:r>
      <w:r>
        <w:rPr>
          <w:rFonts w:hint="eastAsia"/>
          <w:b/>
          <w:bCs/>
          <w:color w:val="FF0000"/>
          <w:szCs w:val="21"/>
        </w:rPr>
        <w:t>前提下，</w:t>
      </w:r>
      <w:r>
        <w:rPr>
          <w:rFonts w:hint="eastAsia"/>
          <w:b/>
          <w:bCs/>
          <w:color w:val="FF0000"/>
          <w:szCs w:val="21"/>
          <w:lang w:val="en-US" w:eastAsia="zh-CN"/>
        </w:rPr>
        <w:t>进行技术标评分，通过技术淘汰与澄清的单位进入商务标评议。经过技术标评议后，</w:t>
      </w:r>
      <w:r>
        <w:rPr>
          <w:rFonts w:hint="eastAsia"/>
          <w:b/>
          <w:bCs/>
          <w:color w:val="FF0000"/>
          <w:szCs w:val="21"/>
        </w:rPr>
        <w:t>按照招标文件中规定的</w:t>
      </w:r>
      <w:r>
        <w:rPr>
          <w:rFonts w:hint="eastAsia"/>
          <w:b/>
          <w:bCs/>
          <w:color w:val="FF0000"/>
          <w:szCs w:val="21"/>
          <w:lang w:val="en-US" w:eastAsia="zh-CN"/>
        </w:rPr>
        <w:t>评分法</w:t>
      </w:r>
      <w:r>
        <w:rPr>
          <w:rFonts w:hint="eastAsia"/>
          <w:b/>
          <w:bCs/>
          <w:color w:val="FF0000"/>
        </w:rPr>
        <w:t>进行</w:t>
      </w:r>
      <w:r>
        <w:rPr>
          <w:rFonts w:hint="eastAsia"/>
          <w:b/>
          <w:bCs/>
          <w:color w:val="FF0000"/>
          <w:lang w:val="en-US" w:eastAsia="zh-CN"/>
        </w:rPr>
        <w:t>商务谈判</w:t>
      </w:r>
      <w:r>
        <w:rPr>
          <w:rFonts w:hint="eastAsia"/>
          <w:b/>
          <w:bCs/>
          <w:color w:val="FF0000"/>
        </w:rPr>
        <w:t>，</w:t>
      </w:r>
      <w:r>
        <w:rPr>
          <w:rFonts w:hint="eastAsia"/>
          <w:b/>
          <w:bCs/>
          <w:color w:val="FF0000"/>
          <w:lang w:val="en-US" w:eastAsia="zh-CN"/>
        </w:rPr>
        <w:t>商务谈判过程中随时进行综合排名与淘汰，最后经专家组商务谈判满意后，综合排名第一的投标单位</w:t>
      </w:r>
      <w:r>
        <w:rPr>
          <w:rFonts w:hint="eastAsia"/>
          <w:b/>
          <w:bCs/>
          <w:color w:val="FF0000"/>
        </w:rPr>
        <w:t>确定推荐中标人。</w:t>
      </w:r>
    </w:p>
    <w:p w14:paraId="5A9DDDBC">
      <w:pPr>
        <w:pStyle w:val="2"/>
        <w:spacing w:line="360" w:lineRule="auto"/>
        <w:ind w:firstLine="420" w:firstLineChars="200"/>
        <w:rPr>
          <w:rFonts w:hAnsi="宋体" w:cs="宋体"/>
          <w:szCs w:val="21"/>
        </w:rPr>
      </w:pPr>
      <w:r>
        <w:rPr>
          <w:rFonts w:hint="eastAsia" w:hAnsi="宋体"/>
          <w:szCs w:val="21"/>
        </w:rPr>
        <w:t>⑵评</w:t>
      </w:r>
      <w:r>
        <w:rPr>
          <w:rFonts w:hint="eastAsia" w:hAnsi="宋体" w:cs="宋体"/>
          <w:szCs w:val="21"/>
        </w:rPr>
        <w:t>标流程：</w:t>
      </w:r>
    </w:p>
    <w:p w14:paraId="33A8D0DF">
      <w:pPr>
        <w:pStyle w:val="2"/>
        <w:spacing w:line="360" w:lineRule="auto"/>
        <w:ind w:firstLine="422" w:firstLineChars="200"/>
        <w:rPr>
          <w:rFonts w:hint="default" w:eastAsia="宋体"/>
          <w:szCs w:val="21"/>
          <w:lang w:val="en-US" w:eastAsia="zh-CN"/>
        </w:rPr>
      </w:pPr>
      <w:r>
        <w:rPr>
          <w:rFonts w:hint="eastAsia" w:hAnsi="宋体"/>
          <w:b/>
          <w:color w:val="000000"/>
          <w:szCs w:val="21"/>
        </w:rPr>
        <w:t>投标文件包含《投标文件（资质标）》</w:t>
      </w:r>
      <w:r>
        <w:rPr>
          <w:rFonts w:hint="eastAsia" w:hAnsi="宋体"/>
          <w:b/>
          <w:color w:val="000000"/>
          <w:szCs w:val="21"/>
          <w:lang w:eastAsia="zh-CN"/>
        </w:rPr>
        <w:t>、</w:t>
      </w:r>
      <w:r>
        <w:rPr>
          <w:rFonts w:hint="eastAsia" w:hAnsi="宋体"/>
          <w:b/>
          <w:color w:val="000000"/>
          <w:szCs w:val="21"/>
        </w:rPr>
        <w:t>《投标文件（</w:t>
      </w:r>
      <w:r>
        <w:rPr>
          <w:rFonts w:hint="eastAsia" w:hAnsi="宋体"/>
          <w:b/>
          <w:color w:val="000000"/>
          <w:szCs w:val="21"/>
          <w:lang w:val="en-US" w:eastAsia="zh-CN"/>
        </w:rPr>
        <w:t>技术</w:t>
      </w:r>
      <w:r>
        <w:rPr>
          <w:rFonts w:hint="eastAsia" w:hAnsi="宋体"/>
          <w:b/>
          <w:color w:val="000000"/>
          <w:szCs w:val="21"/>
        </w:rPr>
        <w:t>标）》、《投标文件（商务标）》（开标一览表），共计</w:t>
      </w:r>
      <w:r>
        <w:rPr>
          <w:rFonts w:hint="eastAsia" w:hAnsi="宋体"/>
          <w:b/>
          <w:color w:val="000000"/>
          <w:szCs w:val="21"/>
          <w:lang w:val="en-US" w:eastAsia="zh-CN"/>
        </w:rPr>
        <w:t>二</w:t>
      </w:r>
      <w:r>
        <w:rPr>
          <w:rFonts w:hint="eastAsia" w:hAnsi="宋体"/>
          <w:b/>
          <w:color w:val="000000"/>
          <w:szCs w:val="21"/>
        </w:rPr>
        <w:t>份文件。</w:t>
      </w:r>
      <w:r>
        <w:rPr>
          <w:rFonts w:hint="eastAsia" w:hAnsi="宋体"/>
          <w:b/>
          <w:color w:val="000000"/>
          <w:szCs w:val="21"/>
          <w:lang w:val="en-US" w:eastAsia="zh-CN"/>
        </w:rPr>
        <w:t>实行两轮谈判制，第一轮由招标部门主管组成评标小组，根据各投标单位投标书进行评审；第二轮由招标部门分管领导组成评标小组对进入第二轮的单位价格进行再次评议。</w:t>
      </w:r>
    </w:p>
    <w:p w14:paraId="6BDB9510">
      <w:pPr>
        <w:pStyle w:val="2"/>
        <w:spacing w:line="360" w:lineRule="auto"/>
        <w:ind w:left="420"/>
        <w:rPr>
          <w:rFonts w:hint="eastAsia" w:hAnsi="宋体"/>
          <w:szCs w:val="22"/>
          <w:lang w:eastAsia="zh-CN"/>
        </w:rPr>
      </w:pPr>
      <w:r>
        <w:rPr>
          <w:rFonts w:hint="eastAsia" w:hAnsi="宋体"/>
          <w:szCs w:val="22"/>
          <w:lang w:val="en-US" w:eastAsia="zh-CN"/>
        </w:rPr>
        <w:t>①</w:t>
      </w:r>
      <w:r>
        <w:rPr>
          <w:rFonts w:hint="eastAsia" w:hAnsi="宋体"/>
          <w:szCs w:val="22"/>
        </w:rPr>
        <w:t>资质标评审</w:t>
      </w:r>
      <w:r>
        <w:rPr>
          <w:rFonts w:hint="eastAsia" w:hAnsi="宋体"/>
          <w:szCs w:val="22"/>
          <w:lang w:eastAsia="zh-CN"/>
        </w:rPr>
        <w:t>：</w:t>
      </w:r>
      <w:r>
        <w:rPr>
          <w:rFonts w:hint="eastAsia" w:hAnsi="宋体"/>
          <w:szCs w:val="22"/>
          <w:lang w:val="en-US" w:eastAsia="zh-CN"/>
        </w:rPr>
        <w:t>现场对投标厂家</w:t>
      </w:r>
      <w:r>
        <w:rPr>
          <w:rFonts w:hint="eastAsia" w:hAnsi="宋体"/>
          <w:szCs w:val="22"/>
        </w:rPr>
        <w:t>资质标</w:t>
      </w:r>
      <w:r>
        <w:rPr>
          <w:rFonts w:hint="eastAsia" w:hAnsi="宋体"/>
          <w:szCs w:val="22"/>
          <w:lang w:val="en-US" w:eastAsia="zh-CN"/>
        </w:rPr>
        <w:t>进行</w:t>
      </w:r>
      <w:r>
        <w:rPr>
          <w:rFonts w:hint="eastAsia" w:hAnsi="宋体"/>
          <w:szCs w:val="22"/>
        </w:rPr>
        <w:t>审核</w:t>
      </w:r>
      <w:r>
        <w:rPr>
          <w:rFonts w:hint="eastAsia" w:hAnsi="宋体"/>
          <w:szCs w:val="22"/>
          <w:lang w:eastAsia="zh-CN"/>
        </w:rPr>
        <w:t>，</w:t>
      </w:r>
      <w:r>
        <w:rPr>
          <w:rFonts w:hint="eastAsia" w:hAnsi="宋体"/>
          <w:szCs w:val="22"/>
        </w:rPr>
        <w:t>通过</w:t>
      </w:r>
      <w:r>
        <w:rPr>
          <w:rFonts w:hint="eastAsia" w:hAnsi="宋体"/>
          <w:szCs w:val="22"/>
          <w:lang w:val="en-US" w:eastAsia="zh-CN"/>
        </w:rPr>
        <w:t>资质审查</w:t>
      </w:r>
      <w:r>
        <w:rPr>
          <w:rFonts w:hint="eastAsia" w:hAnsi="宋体"/>
          <w:szCs w:val="22"/>
        </w:rPr>
        <w:t>的单位</w:t>
      </w:r>
      <w:r>
        <w:rPr>
          <w:rFonts w:hint="eastAsia" w:hAnsi="宋体"/>
          <w:szCs w:val="22"/>
          <w:lang w:val="en-US" w:eastAsia="zh-CN"/>
        </w:rPr>
        <w:t>对</w:t>
      </w:r>
      <w:r>
        <w:rPr>
          <w:rFonts w:hint="eastAsia" w:hAnsi="宋体"/>
          <w:b/>
          <w:bCs/>
          <w:szCs w:val="22"/>
          <w:lang w:val="en-US" w:eastAsia="zh-CN"/>
        </w:rPr>
        <w:t>服务内容及运营方案</w:t>
      </w:r>
      <w:r>
        <w:rPr>
          <w:rFonts w:hint="eastAsia" w:hAnsi="宋体"/>
          <w:szCs w:val="22"/>
          <w:lang w:val="en-US" w:eastAsia="zh-CN"/>
        </w:rPr>
        <w:t>进行澄清；</w:t>
      </w:r>
    </w:p>
    <w:p w14:paraId="5012FEB5">
      <w:pPr>
        <w:pStyle w:val="2"/>
        <w:spacing w:line="360" w:lineRule="auto"/>
        <w:ind w:left="420"/>
        <w:rPr>
          <w:rFonts w:hint="default" w:hAnsi="宋体"/>
          <w:szCs w:val="22"/>
          <w:lang w:val="en-US" w:eastAsia="zh-CN"/>
        </w:rPr>
      </w:pPr>
      <w:r>
        <w:rPr>
          <w:rFonts w:hint="eastAsia" w:hAnsi="宋体"/>
          <w:szCs w:val="22"/>
          <w:lang w:val="en-US" w:eastAsia="zh-CN"/>
        </w:rPr>
        <w:t>②技术标评审：根据各单位提出的运营方案，运营内容进行分值评价；</w:t>
      </w:r>
    </w:p>
    <w:p w14:paraId="7BEA6C7C">
      <w:pPr>
        <w:pStyle w:val="2"/>
        <w:spacing w:line="360" w:lineRule="auto"/>
        <w:ind w:left="420"/>
        <w:rPr>
          <w:rFonts w:hint="eastAsia" w:hAnsi="宋体"/>
          <w:szCs w:val="22"/>
        </w:rPr>
      </w:pPr>
      <w:r>
        <w:rPr>
          <w:rFonts w:hint="eastAsia" w:hAnsi="宋体"/>
          <w:szCs w:val="22"/>
          <w:lang w:val="en-US" w:eastAsia="zh-CN"/>
        </w:rPr>
        <w:t>③商务谈判评审</w:t>
      </w:r>
      <w:r>
        <w:rPr>
          <w:rFonts w:hint="eastAsia" w:hAnsi="宋体"/>
          <w:szCs w:val="22"/>
        </w:rPr>
        <w:t>工作</w:t>
      </w:r>
      <w:r>
        <w:rPr>
          <w:rFonts w:hint="eastAsia" w:hAnsi="宋体"/>
          <w:szCs w:val="22"/>
          <w:lang w:eastAsia="zh-CN"/>
        </w:rPr>
        <w:t>：</w:t>
      </w:r>
      <w:r>
        <w:rPr>
          <w:rFonts w:hint="eastAsia" w:hAnsi="宋体"/>
          <w:szCs w:val="22"/>
          <w:lang w:val="en-US" w:eastAsia="zh-CN"/>
        </w:rPr>
        <w:t>符合宿舍服务中心要求的投标单位，</w:t>
      </w:r>
      <w:r>
        <w:rPr>
          <w:rFonts w:hint="eastAsia" w:hAnsi="宋体"/>
          <w:szCs w:val="22"/>
        </w:rPr>
        <w:t>进入</w:t>
      </w:r>
      <w:r>
        <w:rPr>
          <w:rFonts w:hint="eastAsia" w:hAnsi="宋体"/>
          <w:szCs w:val="22"/>
          <w:lang w:val="en-US" w:eastAsia="zh-CN"/>
        </w:rPr>
        <w:t>商务谈判</w:t>
      </w:r>
      <w:r>
        <w:rPr>
          <w:rFonts w:hint="eastAsia" w:hAnsi="宋体"/>
          <w:szCs w:val="22"/>
        </w:rPr>
        <w:t>评审</w:t>
      </w:r>
      <w:r>
        <w:rPr>
          <w:rFonts w:hint="eastAsia" w:hAnsi="宋体"/>
          <w:szCs w:val="22"/>
          <w:lang w:eastAsia="zh-CN"/>
        </w:rPr>
        <w:t>，</w:t>
      </w:r>
      <w:r>
        <w:rPr>
          <w:rFonts w:hint="eastAsia" w:hAnsi="宋体"/>
          <w:szCs w:val="22"/>
        </w:rPr>
        <w:t>统一报价要求</w:t>
      </w:r>
      <w:r>
        <w:rPr>
          <w:rFonts w:hint="eastAsia" w:hAnsi="宋体"/>
          <w:szCs w:val="22"/>
          <w:lang w:val="en-US" w:eastAsia="zh-CN"/>
        </w:rPr>
        <w:t>后，通过“e采通”平台进行报价</w:t>
      </w:r>
      <w:r>
        <w:rPr>
          <w:rFonts w:hint="eastAsia" w:hAnsi="宋体"/>
          <w:szCs w:val="22"/>
        </w:rPr>
        <w:t>；</w:t>
      </w:r>
    </w:p>
    <w:p w14:paraId="6E97DBBC">
      <w:pPr>
        <w:ind w:firstLine="420" w:firstLineChars="200"/>
        <w:rPr>
          <w:rFonts w:hint="default" w:eastAsia="宋体"/>
          <w:lang w:val="en-US" w:eastAsia="zh-CN"/>
        </w:rPr>
      </w:pPr>
      <w:r>
        <w:rPr>
          <w:rFonts w:hint="eastAsia" w:hAnsi="宋体"/>
          <w:szCs w:val="22"/>
          <w:lang w:val="en-US" w:eastAsia="zh-CN"/>
        </w:rPr>
        <w:t>④进行第二轮价格谈判。</w:t>
      </w:r>
    </w:p>
    <w:p w14:paraId="4E33A67E">
      <w:pPr>
        <w:pStyle w:val="2"/>
        <w:spacing w:line="360" w:lineRule="auto"/>
        <w:ind w:firstLine="422" w:firstLineChars="200"/>
        <w:rPr>
          <w:rFonts w:hint="eastAsia" w:hAnsi="宋体"/>
          <w:szCs w:val="22"/>
        </w:rPr>
      </w:pPr>
      <w:r>
        <w:rPr>
          <w:rFonts w:hint="eastAsia" w:hAnsi="宋体"/>
          <w:b/>
          <w:bCs/>
          <w:color w:val="auto"/>
          <w:szCs w:val="22"/>
          <w:lang w:val="en-US" w:eastAsia="zh-CN"/>
        </w:rPr>
        <w:t>宿舍服务中心要求（</w:t>
      </w:r>
      <w:r>
        <w:rPr>
          <w:rFonts w:hint="eastAsia" w:hAnsi="宋体"/>
          <w:b/>
          <w:bCs/>
          <w:color w:val="auto"/>
          <w:szCs w:val="22"/>
        </w:rPr>
        <w:t>技术标</w:t>
      </w:r>
      <w:r>
        <w:rPr>
          <w:rFonts w:hint="eastAsia" w:hAnsi="宋体"/>
          <w:b/>
          <w:bCs/>
          <w:color w:val="auto"/>
          <w:szCs w:val="22"/>
          <w:lang w:val="en-US" w:eastAsia="zh-CN"/>
        </w:rPr>
        <w:t>评分标准）</w:t>
      </w:r>
      <w:r>
        <w:rPr>
          <w:rFonts w:hint="eastAsia" w:hAnsi="宋体"/>
          <w:szCs w:val="22"/>
        </w:rPr>
        <w:t>：</w:t>
      </w:r>
    </w:p>
    <w:tbl>
      <w:tblPr>
        <w:tblStyle w:val="3"/>
        <w:tblpPr w:leftFromText="180" w:rightFromText="180" w:vertAnchor="text" w:horzAnchor="page" w:tblpX="1397" w:tblpY="118"/>
        <w:tblOverlap w:val="never"/>
        <w:tblW w:w="9146" w:type="dxa"/>
        <w:tblInd w:w="0" w:type="dxa"/>
        <w:tblLayout w:type="autofit"/>
        <w:tblCellMar>
          <w:top w:w="0" w:type="dxa"/>
          <w:left w:w="108" w:type="dxa"/>
          <w:bottom w:w="0" w:type="dxa"/>
          <w:right w:w="108" w:type="dxa"/>
        </w:tblCellMar>
      </w:tblPr>
      <w:tblGrid>
        <w:gridCol w:w="734"/>
        <w:gridCol w:w="2187"/>
        <w:gridCol w:w="6225"/>
      </w:tblGrid>
      <w:tr w14:paraId="2999BF50">
        <w:tblPrEx>
          <w:tblCellMar>
            <w:top w:w="0" w:type="dxa"/>
            <w:left w:w="108" w:type="dxa"/>
            <w:bottom w:w="0" w:type="dxa"/>
            <w:right w:w="108" w:type="dxa"/>
          </w:tblCellMar>
        </w:tblPrEx>
        <w:trPr>
          <w:trHeight w:val="60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7A5006C1">
            <w:pPr>
              <w:widowControl/>
              <w:jc w:val="center"/>
              <w:textAlignment w:val="center"/>
              <w:rPr>
                <w:rFonts w:ascii="宋体" w:hAnsi="宋体" w:cs="宋体"/>
                <w:b/>
                <w:bCs/>
                <w:kern w:val="0"/>
                <w:sz w:val="22"/>
                <w:lang w:bidi="ar"/>
              </w:rPr>
            </w:pPr>
            <w:r>
              <w:rPr>
                <w:rFonts w:hint="eastAsia" w:ascii="宋体" w:hAnsi="宋体" w:cs="宋体"/>
                <w:b/>
                <w:bCs/>
                <w:kern w:val="0"/>
                <w:sz w:val="22"/>
                <w:lang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438888E7">
            <w:pPr>
              <w:widowControl/>
              <w:jc w:val="center"/>
              <w:textAlignment w:val="center"/>
              <w:rPr>
                <w:rFonts w:hint="default" w:ascii="宋体" w:hAnsi="宋体" w:cs="宋体"/>
                <w:b/>
                <w:bCs/>
                <w:sz w:val="22"/>
                <w:lang w:val="en-US"/>
              </w:rPr>
            </w:pPr>
            <w:r>
              <w:rPr>
                <w:rFonts w:hint="eastAsia" w:ascii="宋体" w:hAnsi="宋体" w:cs="宋体"/>
                <w:b/>
                <w:bCs/>
                <w:kern w:val="0"/>
                <w:sz w:val="22"/>
                <w:lang w:val="en-US" w:eastAsia="zh-CN" w:bidi="ar"/>
              </w:rPr>
              <w:t>要求概述</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4ADAE84">
            <w:pPr>
              <w:widowControl/>
              <w:jc w:val="center"/>
              <w:textAlignment w:val="center"/>
              <w:rPr>
                <w:rFonts w:hint="eastAsia" w:ascii="宋体" w:hAnsi="宋体" w:cs="宋体"/>
                <w:b/>
                <w:bCs/>
                <w:sz w:val="22"/>
              </w:rPr>
            </w:pPr>
            <w:r>
              <w:rPr>
                <w:rFonts w:hint="eastAsia" w:ascii="宋体" w:hAnsi="宋体" w:cs="宋体"/>
                <w:b/>
                <w:bCs/>
                <w:kern w:val="0"/>
                <w:sz w:val="22"/>
                <w:lang w:val="en-US" w:eastAsia="zh-CN" w:bidi="ar"/>
              </w:rPr>
              <w:t>详细</w:t>
            </w:r>
            <w:r>
              <w:rPr>
                <w:rFonts w:hint="eastAsia" w:ascii="宋体" w:hAnsi="宋体" w:cs="宋体"/>
                <w:b/>
                <w:bCs/>
                <w:kern w:val="0"/>
                <w:sz w:val="22"/>
                <w:lang w:bidi="ar"/>
              </w:rPr>
              <w:t>标准</w:t>
            </w:r>
          </w:p>
        </w:tc>
      </w:tr>
      <w:tr w14:paraId="4B893A96">
        <w:tblPrEx>
          <w:tblCellMar>
            <w:top w:w="0" w:type="dxa"/>
            <w:left w:w="108" w:type="dxa"/>
            <w:bottom w:w="0" w:type="dxa"/>
            <w:right w:w="108" w:type="dxa"/>
          </w:tblCellMar>
        </w:tblPrEx>
        <w:trPr>
          <w:trHeight w:val="115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0549DDD">
            <w:pPr>
              <w:widowControl/>
              <w:jc w:val="center"/>
              <w:textAlignment w:val="center"/>
              <w:rPr>
                <w:rFonts w:hint="eastAsia" w:ascii="宋体" w:hAnsi="宋体" w:cs="宋体"/>
                <w:kern w:val="0"/>
                <w:szCs w:val="21"/>
                <w:lang w:bidi="ar"/>
              </w:rPr>
            </w:pPr>
            <w:r>
              <w:rPr>
                <w:rFonts w:ascii="宋体" w:hAnsi="宋体" w:cs="宋体"/>
                <w:kern w:val="0"/>
                <w:szCs w:val="21"/>
                <w:lang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057363D1">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服务中心运营方案</w:t>
            </w:r>
          </w:p>
          <w:p w14:paraId="38081BEC">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（40分）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76B72DA6">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运营方案符合现有用地、房屋符合现阶段宿舍可供地面积及房屋情况，服务流程设计合理可行，分区清晰，得基本分10分；</w:t>
            </w:r>
          </w:p>
          <w:p w14:paraId="3F98A748">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服务中心所有设备、设施均由服务商自行采购使用，所用设备设施电负荷不超地块供电最大负荷量（</w:t>
            </w:r>
            <w:r>
              <w:rPr>
                <w:rFonts w:hint="eastAsia" w:ascii="宋体" w:hAnsi="宋体" w:cs="宋体"/>
                <w:b/>
                <w:bCs/>
                <w:color w:val="0000FF"/>
                <w:kern w:val="0"/>
                <w:szCs w:val="21"/>
                <w:shd w:val="clear" w:color="auto" w:fill="FFFF00"/>
                <w:lang w:val="en-US" w:eastAsia="zh-CN" w:bidi="ar"/>
              </w:rPr>
              <w:t>最大负荷为75千瓦，正偏离项，不可出现负偏离）</w:t>
            </w:r>
            <w:r>
              <w:rPr>
                <w:rFonts w:hint="eastAsia" w:ascii="宋体" w:hAnsi="宋体" w:cs="宋体"/>
                <w:kern w:val="0"/>
                <w:szCs w:val="21"/>
                <w:lang w:val="en-US" w:eastAsia="zh-CN" w:bidi="ar"/>
              </w:rPr>
              <w:t>）得基本分10分，每减少5千瓦用电，加3分；</w:t>
            </w:r>
          </w:p>
          <w:p w14:paraId="4C2B79CB">
            <w:pPr>
              <w:widowControl/>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3.人员配置合理，人员数量满足各类服务要求的基本分10分；</w:t>
            </w:r>
          </w:p>
          <w:p w14:paraId="7B0E3C7D">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4.自主赋分，最高分不超过40分。</w:t>
            </w:r>
          </w:p>
        </w:tc>
      </w:tr>
      <w:tr w14:paraId="5490E08A">
        <w:tblPrEx>
          <w:tblCellMar>
            <w:top w:w="0" w:type="dxa"/>
            <w:left w:w="108" w:type="dxa"/>
            <w:bottom w:w="0" w:type="dxa"/>
            <w:right w:w="108" w:type="dxa"/>
          </w:tblCellMar>
        </w:tblPrEx>
        <w:trPr>
          <w:trHeight w:val="90"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616F6713">
            <w:pPr>
              <w:widowControl/>
              <w:jc w:val="center"/>
              <w:textAlignment w:val="center"/>
              <w:rPr>
                <w:rFonts w:hint="eastAsia" w:ascii="宋体" w:hAnsi="宋体" w:cs="宋体"/>
                <w:kern w:val="0"/>
                <w:szCs w:val="21"/>
                <w:lang w:bidi="ar"/>
              </w:rPr>
            </w:pPr>
            <w:r>
              <w:rPr>
                <w:rFonts w:ascii="宋体" w:hAnsi="宋体" w:cs="宋体"/>
                <w:kern w:val="0"/>
                <w:szCs w:val="21"/>
                <w:lang w:bidi="ar"/>
              </w:rPr>
              <w:t>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1DBA248F">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服务中心运营内容</w:t>
            </w:r>
          </w:p>
          <w:p w14:paraId="0F057B36">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（25分）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6625E190">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1.</w:t>
            </w:r>
            <w:r>
              <w:rPr>
                <w:rFonts w:hint="eastAsia" w:ascii="宋体" w:hAnsi="宋体" w:cs="宋体"/>
                <w:kern w:val="0"/>
                <w:szCs w:val="21"/>
                <w:lang w:val="en-US" w:eastAsia="zh-CN" w:bidi="ar"/>
              </w:rPr>
              <w:t>餐饮服务内容必须包含</w:t>
            </w:r>
            <w:r>
              <w:rPr>
                <w:rFonts w:hint="eastAsia" w:ascii="宋体" w:hAnsi="宋体" w:cs="宋体"/>
                <w:kern w:val="0"/>
                <w:szCs w:val="21"/>
                <w:highlight w:val="none"/>
                <w:lang w:val="en-US" w:eastAsia="zh-CN" w:bidi="ar"/>
              </w:rPr>
              <w:t>早餐、特色炒菜供应及后勤便民类服务内容（理发、洗衣洗鞋、代取快递），高峰时段服务能力充足，与倒班宿舍作息匹配，支持24小时或弹性服务。</w:t>
            </w:r>
            <w:r>
              <w:rPr>
                <w:rFonts w:hint="eastAsia" w:ascii="宋体" w:hAnsi="宋体" w:cs="宋体"/>
                <w:kern w:val="0"/>
                <w:szCs w:val="21"/>
                <w:highlight w:val="none"/>
                <w:shd w:val="clear" w:color="auto" w:fill="FFFF00"/>
                <w:lang w:val="en-US" w:eastAsia="zh-CN" w:bidi="ar"/>
              </w:rPr>
              <w:t>服务中心不得使用液化天然气瓶等压力容器类热源</w:t>
            </w:r>
            <w:r>
              <w:rPr>
                <w:rFonts w:hint="eastAsia" w:ascii="宋体" w:hAnsi="宋体" w:cs="宋体"/>
                <w:kern w:val="0"/>
                <w:szCs w:val="21"/>
                <w:shd w:val="clear" w:color="auto" w:fill="FFFF00"/>
                <w:lang w:val="en-US" w:eastAsia="zh-CN" w:bidi="ar"/>
              </w:rPr>
              <w:t>进行服务</w:t>
            </w:r>
            <w:r>
              <w:rPr>
                <w:rFonts w:hint="eastAsia" w:ascii="宋体" w:hAnsi="宋体" w:cs="宋体"/>
                <w:b/>
                <w:bCs/>
                <w:color w:val="0000FF"/>
                <w:kern w:val="0"/>
                <w:szCs w:val="21"/>
                <w:shd w:val="clear" w:color="auto" w:fill="FFFF00"/>
                <w:lang w:val="en-US" w:eastAsia="zh-CN" w:bidi="ar"/>
              </w:rPr>
              <w:t>（正偏离项，不可出现负偏离）</w:t>
            </w:r>
            <w:r>
              <w:rPr>
                <w:rFonts w:hint="eastAsia" w:ascii="宋体" w:hAnsi="宋体" w:cs="宋体"/>
                <w:kern w:val="0"/>
                <w:szCs w:val="21"/>
                <w:lang w:val="en-US" w:eastAsia="zh-CN" w:bidi="ar"/>
              </w:rPr>
              <w:t>。得基本分15分；</w:t>
            </w:r>
          </w:p>
          <w:p w14:paraId="27397591">
            <w:pPr>
              <w:widowControl/>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bidi="ar"/>
              </w:rPr>
              <w:t>2.</w:t>
            </w:r>
            <w:r>
              <w:rPr>
                <w:rFonts w:hint="eastAsia" w:ascii="宋体" w:hAnsi="宋体" w:cs="宋体"/>
                <w:kern w:val="0"/>
                <w:szCs w:val="21"/>
                <w:lang w:val="en-US" w:eastAsia="zh-CN" w:bidi="ar"/>
              </w:rPr>
              <w:t>每增加一项特色服务加3分；</w:t>
            </w:r>
          </w:p>
          <w:p w14:paraId="7C5A5CD9">
            <w:pPr>
              <w:widowControl/>
              <w:jc w:val="left"/>
              <w:textAlignment w:val="center"/>
              <w:rPr>
                <w:rFonts w:hint="eastAsia" w:ascii="宋体" w:hAnsi="宋体" w:cs="宋体"/>
                <w:kern w:val="0"/>
                <w:szCs w:val="21"/>
                <w:lang w:bidi="ar"/>
              </w:rPr>
            </w:pPr>
            <w:r>
              <w:rPr>
                <w:rFonts w:hint="eastAsia" w:ascii="宋体" w:hAnsi="宋体" w:cs="宋体"/>
                <w:kern w:val="0"/>
                <w:szCs w:val="21"/>
                <w:lang w:val="en-US" w:eastAsia="zh-CN" w:bidi="ar"/>
              </w:rPr>
              <w:t>3.自主赋分，最高分不超过25分</w:t>
            </w:r>
            <w:r>
              <w:rPr>
                <w:rFonts w:hint="eastAsia" w:ascii="宋体" w:hAnsi="宋体" w:cs="宋体"/>
                <w:kern w:val="0"/>
                <w:szCs w:val="21"/>
                <w:lang w:bidi="ar"/>
              </w:rPr>
              <w:t>。</w:t>
            </w:r>
          </w:p>
        </w:tc>
      </w:tr>
      <w:tr w14:paraId="2BC31FC1">
        <w:tblPrEx>
          <w:tblCellMar>
            <w:top w:w="0" w:type="dxa"/>
            <w:left w:w="108" w:type="dxa"/>
            <w:bottom w:w="0" w:type="dxa"/>
            <w:right w:w="108" w:type="dxa"/>
          </w:tblCellMar>
        </w:tblPrEx>
        <w:trPr>
          <w:trHeight w:val="1474"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3D155B88">
            <w:pPr>
              <w:widowControl/>
              <w:jc w:val="center"/>
              <w:textAlignment w:val="center"/>
              <w:rPr>
                <w:rFonts w:hint="eastAsia" w:ascii="宋体" w:hAnsi="宋体" w:cs="宋体"/>
                <w:kern w:val="0"/>
                <w:szCs w:val="21"/>
                <w:lang w:bidi="ar"/>
              </w:rPr>
            </w:pPr>
            <w:r>
              <w:rPr>
                <w:rFonts w:ascii="宋体" w:hAnsi="宋体" w:cs="宋体"/>
                <w:kern w:val="0"/>
                <w:szCs w:val="21"/>
                <w:lang w:bidi="ar"/>
              </w:rPr>
              <w:t>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72D03834">
            <w:pPr>
              <w:widowControl/>
              <w:jc w:val="center"/>
              <w:textAlignment w:val="center"/>
              <w:rPr>
                <w:rFonts w:hint="eastAsia" w:ascii="宋体" w:hAnsi="宋体" w:cs="宋体"/>
                <w:kern w:val="0"/>
                <w:szCs w:val="21"/>
                <w:lang w:bidi="ar"/>
              </w:rPr>
            </w:pPr>
            <w:r>
              <w:rPr>
                <w:rFonts w:hint="eastAsia" w:ascii="宋体" w:hAnsi="宋体" w:cs="宋体"/>
                <w:kern w:val="0"/>
                <w:szCs w:val="21"/>
                <w:lang w:val="en-US" w:eastAsia="zh-CN" w:bidi="ar"/>
              </w:rPr>
              <w:t>服务中心提供的</w:t>
            </w:r>
            <w:r>
              <w:rPr>
                <w:rFonts w:hint="eastAsia" w:ascii="宋体" w:hAnsi="宋体" w:cs="宋体"/>
                <w:kern w:val="0"/>
                <w:szCs w:val="21"/>
                <w:lang w:bidi="ar"/>
              </w:rPr>
              <w:t>增值服务</w:t>
            </w:r>
          </w:p>
          <w:p w14:paraId="4441AB7D">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25分</w:t>
            </w:r>
            <w:r>
              <w:rPr>
                <w:rFonts w:hint="eastAsia" w:ascii="宋体" w:hAnsi="宋体" w:cs="宋体"/>
                <w:kern w:val="0"/>
                <w:szCs w:val="21"/>
                <w:lang w:eastAsia="zh-CN" w:bidi="ar"/>
              </w:rPr>
              <w:t>）</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1DFD504A">
            <w:pPr>
              <w:widowControl/>
              <w:numPr>
                <w:ilvl w:val="0"/>
                <w:numId w:val="0"/>
              </w:numPr>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1.</w:t>
            </w:r>
            <w:r>
              <w:rPr>
                <w:rFonts w:hint="eastAsia" w:ascii="宋体" w:hAnsi="宋体" w:cs="宋体"/>
                <w:kern w:val="0"/>
                <w:szCs w:val="21"/>
                <w:lang w:bidi="ar"/>
              </w:rPr>
              <w:t>重大节假日制作和悬挂横幅、灯笼及</w:t>
            </w:r>
            <w:r>
              <w:rPr>
                <w:rFonts w:hint="eastAsia" w:ascii="宋体" w:hAnsi="宋体" w:cs="宋体"/>
                <w:kern w:val="0"/>
                <w:szCs w:val="21"/>
                <w:lang w:val="en-US" w:eastAsia="zh-CN" w:bidi="ar"/>
              </w:rPr>
              <w:t>外部装饰</w:t>
            </w:r>
            <w:r>
              <w:rPr>
                <w:rFonts w:hint="eastAsia" w:ascii="宋体" w:hAnsi="宋体" w:cs="宋体"/>
                <w:kern w:val="0"/>
                <w:szCs w:val="21"/>
                <w:lang w:bidi="ar"/>
              </w:rPr>
              <w:t>等，组织相关活动及配合招标方完成</w:t>
            </w:r>
            <w:r>
              <w:rPr>
                <w:rFonts w:hint="eastAsia" w:ascii="宋体" w:hAnsi="宋体" w:cs="宋体"/>
                <w:kern w:val="0"/>
                <w:szCs w:val="21"/>
                <w:lang w:val="en-US" w:eastAsia="zh-CN" w:bidi="ar"/>
              </w:rPr>
              <w:t>服务</w:t>
            </w:r>
            <w:r>
              <w:rPr>
                <w:rFonts w:hint="eastAsia" w:ascii="宋体" w:hAnsi="宋体" w:cs="宋体"/>
                <w:kern w:val="0"/>
                <w:szCs w:val="21"/>
                <w:lang w:bidi="ar"/>
              </w:rPr>
              <w:t>切换</w:t>
            </w:r>
            <w:r>
              <w:rPr>
                <w:rFonts w:hint="eastAsia" w:ascii="宋体" w:hAnsi="宋体" w:cs="宋体"/>
                <w:kern w:val="0"/>
                <w:szCs w:val="21"/>
                <w:lang w:eastAsia="zh-CN" w:bidi="ar"/>
              </w:rPr>
              <w:t>、</w:t>
            </w:r>
            <w:r>
              <w:rPr>
                <w:rFonts w:hint="eastAsia" w:ascii="宋体" w:hAnsi="宋体" w:cs="宋体"/>
                <w:kern w:val="0"/>
                <w:szCs w:val="21"/>
                <w:lang w:val="en-US" w:eastAsia="zh-CN" w:bidi="ar"/>
              </w:rPr>
              <w:t>开展与宿舍区住宿员工互动的系列</w:t>
            </w:r>
            <w:r>
              <w:rPr>
                <w:rFonts w:hint="eastAsia" w:ascii="宋体" w:hAnsi="宋体" w:cs="宋体"/>
                <w:kern w:val="0"/>
                <w:szCs w:val="21"/>
                <w:lang w:bidi="ar"/>
              </w:rPr>
              <w:t>增值服务</w:t>
            </w:r>
            <w:r>
              <w:rPr>
                <w:rFonts w:hint="eastAsia" w:ascii="宋体" w:hAnsi="宋体" w:cs="宋体"/>
                <w:kern w:val="0"/>
                <w:szCs w:val="21"/>
                <w:lang w:val="en-US" w:eastAsia="zh-CN" w:bidi="ar"/>
              </w:rPr>
              <w:t>等。满足5项优惠活动的基本分15分；</w:t>
            </w:r>
          </w:p>
          <w:p w14:paraId="04A7129D">
            <w:pPr>
              <w:widowControl/>
              <w:numPr>
                <w:ilvl w:val="0"/>
                <w:numId w:val="0"/>
              </w:numPr>
              <w:jc w:val="left"/>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2.每增加一项活动或优惠得2分，最高不超过10分。</w:t>
            </w:r>
          </w:p>
        </w:tc>
      </w:tr>
      <w:tr w14:paraId="13E2C85A">
        <w:tblPrEx>
          <w:tblCellMar>
            <w:top w:w="0" w:type="dxa"/>
            <w:left w:w="108" w:type="dxa"/>
            <w:bottom w:w="0" w:type="dxa"/>
            <w:right w:w="108" w:type="dxa"/>
          </w:tblCellMar>
        </w:tblPrEx>
        <w:trPr>
          <w:trHeight w:val="1245" w:hRule="atLeast"/>
        </w:trPr>
        <w:tc>
          <w:tcPr>
            <w:tcW w:w="734" w:type="dxa"/>
            <w:tcBorders>
              <w:top w:val="single" w:color="000000" w:sz="4" w:space="0"/>
              <w:left w:val="single" w:color="000000" w:sz="4" w:space="0"/>
              <w:bottom w:val="single" w:color="000000" w:sz="4" w:space="0"/>
              <w:right w:val="single" w:color="000000" w:sz="4" w:space="0"/>
            </w:tcBorders>
            <w:noWrap w:val="0"/>
            <w:vAlign w:val="center"/>
          </w:tcPr>
          <w:p w14:paraId="0A8F0477">
            <w:pPr>
              <w:widowControl/>
              <w:jc w:val="center"/>
              <w:textAlignment w:val="center"/>
              <w:rPr>
                <w:rFonts w:hint="eastAsia" w:ascii="宋体" w:hAnsi="宋体" w:cs="宋体"/>
                <w:kern w:val="0"/>
                <w:szCs w:val="21"/>
                <w:lang w:bidi="ar"/>
              </w:rPr>
            </w:pPr>
            <w:r>
              <w:rPr>
                <w:rFonts w:ascii="宋体" w:hAnsi="宋体" w:cs="宋体"/>
                <w:kern w:val="0"/>
                <w:szCs w:val="21"/>
                <w:lang w:bidi="ar"/>
              </w:rPr>
              <w:t>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14:paraId="52A54E3B">
            <w:pPr>
              <w:widowControl/>
              <w:jc w:val="center"/>
              <w:textAlignment w:val="center"/>
              <w:rPr>
                <w:rFonts w:hint="eastAsia" w:ascii="宋体" w:hAnsi="宋体" w:cs="宋体"/>
                <w:szCs w:val="21"/>
              </w:rPr>
            </w:pPr>
            <w:r>
              <w:rPr>
                <w:rFonts w:hint="eastAsia" w:ascii="宋体" w:hAnsi="宋体" w:cs="宋体"/>
                <w:szCs w:val="21"/>
                <w:lang w:val="en-US" w:eastAsia="zh-CN"/>
              </w:rPr>
              <w:t>服务中心的消防应急与安全疏散</w:t>
            </w:r>
            <w:r>
              <w:rPr>
                <w:rFonts w:hint="eastAsia" w:ascii="宋体" w:hAnsi="宋体" w:cs="宋体"/>
                <w:szCs w:val="21"/>
              </w:rPr>
              <w:t>方案</w:t>
            </w:r>
          </w:p>
          <w:p w14:paraId="07ACC1BC">
            <w:pPr>
              <w:widowControl/>
              <w:jc w:val="center"/>
              <w:textAlignment w:val="center"/>
              <w:rPr>
                <w:rFonts w:hint="eastAsia" w:ascii="宋体" w:hAnsi="宋体" w:cs="宋体"/>
                <w:szCs w:val="21"/>
              </w:rPr>
            </w:pPr>
            <w:r>
              <w:rPr>
                <w:rFonts w:hint="eastAsia" w:ascii="宋体" w:hAnsi="宋体" w:cs="宋体"/>
                <w:kern w:val="0"/>
                <w:szCs w:val="21"/>
                <w:lang w:val="en-US" w:eastAsia="zh-CN" w:bidi="ar"/>
              </w:rPr>
              <w:t>（10分）</w:t>
            </w:r>
          </w:p>
        </w:tc>
        <w:tc>
          <w:tcPr>
            <w:tcW w:w="6225" w:type="dxa"/>
            <w:tcBorders>
              <w:top w:val="single" w:color="000000" w:sz="4" w:space="0"/>
              <w:left w:val="single" w:color="000000" w:sz="4" w:space="0"/>
              <w:bottom w:val="single" w:color="000000" w:sz="4" w:space="0"/>
              <w:right w:val="single" w:color="000000" w:sz="4" w:space="0"/>
            </w:tcBorders>
            <w:noWrap w:val="0"/>
            <w:vAlign w:val="center"/>
          </w:tcPr>
          <w:p w14:paraId="3DB997B8">
            <w:pPr>
              <w:widowControl/>
              <w:numPr>
                <w:ilvl w:val="0"/>
                <w:numId w:val="2"/>
              </w:numPr>
              <w:jc w:val="left"/>
              <w:textAlignment w:val="center"/>
              <w:rPr>
                <w:rFonts w:hint="eastAsia" w:ascii="宋体" w:hAnsi="宋体" w:cs="宋体"/>
                <w:kern w:val="0"/>
                <w:szCs w:val="21"/>
                <w:lang w:val="en-US" w:eastAsia="zh-CN" w:bidi="ar"/>
              </w:rPr>
            </w:pPr>
            <w:r>
              <w:rPr>
                <w:rFonts w:hint="eastAsia" w:ascii="宋体" w:hAnsi="宋体" w:cs="宋体"/>
                <w:kern w:val="0"/>
                <w:szCs w:val="21"/>
                <w:lang w:bidi="ar"/>
              </w:rPr>
              <w:t>在除执行招标方相关流程制度的基础上，制定有切实可行的用电安全、消防管理方案</w:t>
            </w:r>
            <w:r>
              <w:rPr>
                <w:rFonts w:hint="eastAsia" w:ascii="宋体" w:hAnsi="宋体" w:cs="宋体"/>
                <w:kern w:val="0"/>
                <w:szCs w:val="21"/>
                <w:lang w:eastAsia="zh-CN" w:bidi="ar"/>
              </w:rPr>
              <w:t>、</w:t>
            </w:r>
            <w:r>
              <w:rPr>
                <w:rFonts w:hint="eastAsia" w:ascii="宋体" w:hAnsi="宋体" w:cs="宋体"/>
                <w:kern w:val="0"/>
                <w:szCs w:val="21"/>
                <w:lang w:bidi="ar"/>
              </w:rPr>
              <w:t>人员管理方案</w:t>
            </w:r>
            <w:r>
              <w:rPr>
                <w:rFonts w:hint="eastAsia" w:ascii="宋体" w:hAnsi="宋体" w:cs="宋体"/>
                <w:kern w:val="0"/>
                <w:szCs w:val="21"/>
                <w:lang w:eastAsia="zh-CN" w:bidi="ar"/>
              </w:rPr>
              <w:t>、</w:t>
            </w:r>
            <w:r>
              <w:rPr>
                <w:rFonts w:hint="eastAsia" w:ascii="宋体" w:hAnsi="宋体" w:cs="宋体"/>
                <w:kern w:val="0"/>
                <w:szCs w:val="21"/>
                <w:lang w:val="en-US" w:eastAsia="zh-CN" w:bidi="ar"/>
              </w:rPr>
              <w:t>应急疏散及演练方案。</w:t>
            </w:r>
          </w:p>
          <w:p w14:paraId="64036715">
            <w:pPr>
              <w:widowControl/>
              <w:numPr>
                <w:ilvl w:val="0"/>
                <w:numId w:val="2"/>
              </w:numPr>
              <w:jc w:val="left"/>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五类方案根据投标方澄清与表述进行自主评分。</w:t>
            </w:r>
          </w:p>
        </w:tc>
      </w:tr>
    </w:tbl>
    <w:p w14:paraId="1D812889">
      <w:pPr>
        <w:pStyle w:val="2"/>
        <w:spacing w:line="360" w:lineRule="auto"/>
        <w:ind w:firstLine="420" w:firstLineChars="200"/>
        <w:rPr>
          <w:rFonts w:hint="eastAsia"/>
        </w:rPr>
      </w:pPr>
      <w:r>
        <w:rPr>
          <w:rFonts w:hint="eastAsia"/>
          <w:lang w:val="en-US" w:eastAsia="zh-CN"/>
        </w:rPr>
        <w:t>投标</w:t>
      </w:r>
      <w:r>
        <w:rPr>
          <w:rFonts w:hint="eastAsia"/>
        </w:rPr>
        <w:t>方</w:t>
      </w:r>
      <w:r>
        <w:rPr>
          <w:rFonts w:hint="eastAsia"/>
          <w:lang w:val="en-US" w:eastAsia="zh-CN"/>
        </w:rPr>
        <w:t>应明确</w:t>
      </w:r>
      <w:r>
        <w:rPr>
          <w:rFonts w:hint="eastAsia"/>
        </w:rPr>
        <w:t>技术标准、明确重要技术配置、</w:t>
      </w:r>
      <w:r>
        <w:rPr>
          <w:rFonts w:hint="eastAsia"/>
          <w:lang w:val="en-US" w:eastAsia="zh-CN"/>
        </w:rPr>
        <w:t>明确服务要求</w:t>
      </w:r>
      <w:r>
        <w:rPr>
          <w:rFonts w:hint="eastAsia"/>
        </w:rPr>
        <w:t>。</w:t>
      </w:r>
    </w:p>
    <w:p w14:paraId="5C120770">
      <w:pPr>
        <w:pStyle w:val="2"/>
        <w:spacing w:line="360" w:lineRule="auto"/>
        <w:ind w:firstLine="422" w:firstLineChars="200"/>
        <w:rPr>
          <w:rFonts w:hint="eastAsia"/>
          <w:b/>
          <w:bCs/>
          <w:color w:val="FF0000"/>
          <w:lang w:val="en-US" w:eastAsia="zh-CN"/>
        </w:rPr>
      </w:pPr>
      <w:r>
        <w:rPr>
          <w:rFonts w:hint="eastAsia"/>
          <w:b/>
          <w:bCs/>
          <w:color w:val="FF0000"/>
          <w:lang w:val="en-US" w:eastAsia="zh-CN"/>
        </w:rPr>
        <w:t>技术标总分低于80分则直接淘汰。</w:t>
      </w:r>
    </w:p>
    <w:p w14:paraId="6A7195F3">
      <w:pPr>
        <w:pStyle w:val="2"/>
        <w:spacing w:line="360" w:lineRule="auto"/>
        <w:ind w:firstLine="420" w:firstLineChars="200"/>
        <w:rPr>
          <w:rFonts w:hint="eastAsia"/>
        </w:rPr>
      </w:pPr>
      <w:r>
        <w:rPr>
          <w:rFonts w:hint="eastAsia"/>
        </w:rPr>
        <w:t>如因变更、完善技术配置，需更改商务报价，</w:t>
      </w:r>
      <w:r>
        <w:rPr>
          <w:rFonts w:hint="eastAsia"/>
          <w:lang w:val="en-US" w:eastAsia="zh-CN"/>
        </w:rPr>
        <w:t>经</w:t>
      </w:r>
      <w:r>
        <w:rPr>
          <w:rFonts w:hint="eastAsia"/>
        </w:rPr>
        <w:t>专家组同入围供方统一确定商务标</w:t>
      </w:r>
      <w:r>
        <w:rPr>
          <w:rFonts w:hint="eastAsia"/>
          <w:lang w:val="en-US" w:eastAsia="zh-CN"/>
        </w:rPr>
        <w:t>报价</w:t>
      </w:r>
      <w:r>
        <w:rPr>
          <w:rFonts w:hint="eastAsia"/>
        </w:rPr>
        <w:t>。</w:t>
      </w:r>
    </w:p>
    <w:p w14:paraId="3DBE0940">
      <w:pPr>
        <w:pStyle w:val="2"/>
        <w:spacing w:line="360" w:lineRule="auto"/>
        <w:ind w:firstLine="422" w:firstLineChars="200"/>
        <w:rPr>
          <w:rFonts w:hint="eastAsia" w:hAnsi="宋体"/>
          <w:b/>
          <w:bCs/>
          <w:szCs w:val="22"/>
        </w:rPr>
      </w:pPr>
      <w:r>
        <w:rPr>
          <w:rFonts w:hint="eastAsia" w:hAnsi="宋体"/>
          <w:b/>
          <w:bCs/>
          <w:szCs w:val="22"/>
        </w:rPr>
        <w:t>商务标评审标准：</w:t>
      </w:r>
    </w:p>
    <w:tbl>
      <w:tblPr>
        <w:tblStyle w:val="3"/>
        <w:tblW w:w="9081" w:type="dxa"/>
        <w:tblInd w:w="113" w:type="dxa"/>
        <w:tblLayout w:type="autofit"/>
        <w:tblCellMar>
          <w:top w:w="0" w:type="dxa"/>
          <w:left w:w="108" w:type="dxa"/>
          <w:bottom w:w="0" w:type="dxa"/>
          <w:right w:w="108" w:type="dxa"/>
        </w:tblCellMar>
      </w:tblPr>
      <w:tblGrid>
        <w:gridCol w:w="1814"/>
        <w:gridCol w:w="1814"/>
        <w:gridCol w:w="5453"/>
      </w:tblGrid>
      <w:tr w14:paraId="30DB468F">
        <w:tblPrEx>
          <w:tblCellMar>
            <w:top w:w="0" w:type="dxa"/>
            <w:left w:w="108" w:type="dxa"/>
            <w:bottom w:w="0" w:type="dxa"/>
            <w:right w:w="108" w:type="dxa"/>
          </w:tblCellMar>
        </w:tblPrEx>
        <w:trPr>
          <w:trHeight w:val="286" w:hRule="atLeast"/>
        </w:trPr>
        <w:tc>
          <w:tcPr>
            <w:tcW w:w="1814" w:type="dxa"/>
            <w:tcBorders>
              <w:top w:val="single" w:color="auto" w:sz="4" w:space="0"/>
              <w:left w:val="single" w:color="auto" w:sz="4" w:space="0"/>
              <w:bottom w:val="single" w:color="auto" w:sz="4" w:space="0"/>
              <w:right w:val="single" w:color="auto" w:sz="4" w:space="0"/>
            </w:tcBorders>
            <w:noWrap w:val="0"/>
            <w:vAlign w:val="center"/>
          </w:tcPr>
          <w:p w14:paraId="33A449D1">
            <w:pPr>
              <w:widowControl/>
              <w:spacing w:line="360" w:lineRule="auto"/>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评标划分</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7549BCF">
            <w:pPr>
              <w:widowControl/>
              <w:spacing w:line="360" w:lineRule="auto"/>
              <w:ind w:firstLine="420" w:firstLineChars="20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评定项目</w:t>
            </w:r>
          </w:p>
        </w:tc>
        <w:tc>
          <w:tcPr>
            <w:tcW w:w="5453" w:type="dxa"/>
            <w:tcBorders>
              <w:top w:val="single" w:color="auto" w:sz="4" w:space="0"/>
              <w:left w:val="nil"/>
              <w:bottom w:val="single" w:color="auto" w:sz="4" w:space="0"/>
              <w:right w:val="single" w:color="auto" w:sz="4" w:space="0"/>
            </w:tcBorders>
            <w:noWrap w:val="0"/>
            <w:vAlign w:val="center"/>
          </w:tcPr>
          <w:p w14:paraId="0E5B9A3D">
            <w:pPr>
              <w:widowControl/>
              <w:spacing w:line="360" w:lineRule="auto"/>
              <w:ind w:firstLine="420" w:firstLineChars="20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评分内容</w:t>
            </w:r>
          </w:p>
        </w:tc>
      </w:tr>
      <w:tr w14:paraId="6C8A1732">
        <w:tblPrEx>
          <w:tblCellMar>
            <w:top w:w="0" w:type="dxa"/>
            <w:left w:w="108" w:type="dxa"/>
            <w:bottom w:w="0" w:type="dxa"/>
            <w:right w:w="108" w:type="dxa"/>
          </w:tblCellMar>
        </w:tblPrEx>
        <w:trPr>
          <w:trHeight w:val="2198" w:hRule="atLeast"/>
        </w:trPr>
        <w:tc>
          <w:tcPr>
            <w:tcW w:w="1814" w:type="dxa"/>
            <w:tcBorders>
              <w:top w:val="nil"/>
              <w:left w:val="single" w:color="auto" w:sz="4" w:space="0"/>
              <w:bottom w:val="single" w:color="auto" w:sz="4" w:space="0"/>
              <w:right w:val="single" w:color="auto" w:sz="4" w:space="0"/>
            </w:tcBorders>
            <w:noWrap w:val="0"/>
            <w:vAlign w:val="center"/>
          </w:tcPr>
          <w:p w14:paraId="04FC051A">
            <w:pPr>
              <w:widowControl/>
              <w:spacing w:line="360" w:lineRule="auto"/>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商务标</w:t>
            </w:r>
          </w:p>
        </w:tc>
        <w:tc>
          <w:tcPr>
            <w:tcW w:w="1814" w:type="dxa"/>
            <w:tcBorders>
              <w:top w:val="nil"/>
              <w:left w:val="single" w:color="auto" w:sz="4" w:space="0"/>
              <w:bottom w:val="single" w:color="auto" w:sz="4" w:space="0"/>
              <w:right w:val="single" w:color="auto" w:sz="4" w:space="0"/>
            </w:tcBorders>
            <w:noWrap w:val="0"/>
            <w:vAlign w:val="center"/>
          </w:tcPr>
          <w:p w14:paraId="791C0343">
            <w:pPr>
              <w:widowControl/>
              <w:spacing w:line="360" w:lineRule="auto"/>
              <w:rPr>
                <w:rFonts w:ascii="宋体" w:hAnsi="宋体" w:eastAsia="宋体" w:cs="宋体"/>
                <w:color w:val="000000"/>
                <w:kern w:val="0"/>
                <w:sz w:val="21"/>
                <w:szCs w:val="21"/>
              </w:rPr>
            </w:pPr>
            <w:r>
              <w:rPr>
                <w:rFonts w:hint="eastAsia" w:ascii="宋体" w:hAnsi="宋体" w:eastAsia="宋体" w:cs="宋体"/>
                <w:color w:val="000000"/>
                <w:kern w:val="0"/>
                <w:sz w:val="21"/>
                <w:szCs w:val="21"/>
              </w:rPr>
              <w:t>报价</w:t>
            </w:r>
          </w:p>
        </w:tc>
        <w:tc>
          <w:tcPr>
            <w:tcW w:w="5453" w:type="dxa"/>
            <w:tcBorders>
              <w:top w:val="nil"/>
              <w:left w:val="nil"/>
              <w:bottom w:val="single" w:color="auto" w:sz="4" w:space="0"/>
              <w:right w:val="single" w:color="auto" w:sz="4" w:space="0"/>
            </w:tcBorders>
            <w:noWrap w:val="0"/>
            <w:vAlign w:val="center"/>
          </w:tcPr>
          <w:p w14:paraId="69A7E533">
            <w:pPr>
              <w:widowControl/>
              <w:numPr>
                <w:ilvl w:val="0"/>
                <w:numId w:val="3"/>
              </w:numPr>
              <w:spacing w:line="360" w:lineRule="auto"/>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根据公司要求进行二轮多次报价谈判；</w:t>
            </w:r>
          </w:p>
          <w:p w14:paraId="05E3C80A">
            <w:pPr>
              <w:widowControl/>
              <w:numPr>
                <w:ilvl w:val="0"/>
                <w:numId w:val="3"/>
              </w:numPr>
              <w:spacing w:line="360" w:lineRule="auto"/>
              <w:rPr>
                <w:rFonts w:hint="default"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报价直至招标方认可并进行汇报后即可。</w:t>
            </w:r>
          </w:p>
        </w:tc>
      </w:tr>
    </w:tbl>
    <w:p w14:paraId="1A56A926">
      <w:pPr>
        <w:pStyle w:val="2"/>
        <w:spacing w:line="360" w:lineRule="auto"/>
        <w:ind w:firstLine="420" w:firstLineChars="200"/>
        <w:rPr>
          <w:rFonts w:hint="default"/>
          <w:lang w:val="en-US" w:eastAsia="zh-CN"/>
        </w:rPr>
      </w:pPr>
      <w:r>
        <w:rPr>
          <w:rFonts w:hint="eastAsia"/>
        </w:rPr>
        <w:t>商务标评审，公示开标价格及商务条款响应情况；商务条款相</w:t>
      </w:r>
      <w:r>
        <w:rPr>
          <w:rFonts w:hint="eastAsia" w:hAnsi="宋体"/>
          <w:szCs w:val="22"/>
        </w:rPr>
        <w:t>应确认→开展多轮商务谈判→价格澄清→商务标评审；评审期间产生的商务价格澄清均由投标人在重汽e采通平台内限时完成提交；</w:t>
      </w:r>
      <w:r>
        <w:rPr>
          <w:rFonts w:hint="eastAsia" w:ascii="宋体" w:hAnsi="宋体" w:eastAsia="宋体" w:cs="Times New Roman"/>
          <w:b/>
          <w:bCs/>
          <w:color w:val="0000FF"/>
          <w:kern w:val="2"/>
          <w:sz w:val="21"/>
          <w:szCs w:val="21"/>
          <w:highlight w:val="none"/>
          <w:lang w:val="en-US" w:eastAsia="zh-CN" w:bidi="ar-SA"/>
        </w:rPr>
        <w:t>对标济南莱芜区口镇主流快餐店饭菜价格、厂区周边便民服务商服务价格，在供餐份量相同、服务内容相同的情况下综合价格不得高于对标店的价格</w:t>
      </w:r>
      <w:r>
        <w:rPr>
          <w:rFonts w:hint="eastAsia" w:hAnsi="宋体"/>
          <w:color w:val="0000FF"/>
          <w:szCs w:val="22"/>
          <w:lang w:val="en-US" w:eastAsia="zh-CN"/>
        </w:rPr>
        <w:t>。</w:t>
      </w:r>
    </w:p>
    <w:p w14:paraId="372942B4">
      <w:pPr>
        <w:pStyle w:val="2"/>
        <w:spacing w:line="360" w:lineRule="auto"/>
        <w:ind w:firstLine="420" w:firstLineChars="200"/>
        <w:rPr>
          <w:rFonts w:hint="eastAsia" w:hAnsi="宋体"/>
          <w:szCs w:val="22"/>
        </w:rPr>
      </w:pPr>
      <w:r>
        <w:rPr>
          <w:rFonts w:hAnsi="宋体"/>
          <w:szCs w:val="22"/>
        </w:rPr>
        <w:t>注意：投标人均需自带笔记本电脑在重汽e采通平台自主进行投标和提交澄清函；投标和提交澄清函均有时间限制，超时未提交的按无效处理。</w:t>
      </w:r>
    </w:p>
    <w:p w14:paraId="7ACEE13D">
      <w:pPr>
        <w:pStyle w:val="2"/>
        <w:spacing w:line="360" w:lineRule="auto"/>
        <w:ind w:firstLine="422" w:firstLineChars="200"/>
        <w:rPr>
          <w:rFonts w:hint="eastAsia" w:hAnsi="宋体"/>
          <w:b/>
          <w:bCs/>
          <w:color w:val="FF0000"/>
          <w:szCs w:val="22"/>
        </w:rPr>
      </w:pPr>
      <w:r>
        <w:rPr>
          <w:rFonts w:hAnsi="宋体"/>
          <w:b/>
          <w:bCs/>
          <w:color w:val="FF0000"/>
          <w:szCs w:val="22"/>
        </w:rPr>
        <w:t>中标人确定</w:t>
      </w:r>
      <w:r>
        <w:rPr>
          <w:rFonts w:hint="eastAsia" w:hAnsi="宋体"/>
          <w:b/>
          <w:bCs/>
          <w:color w:val="FF0000"/>
          <w:szCs w:val="22"/>
        </w:rPr>
        <w:t>：</w:t>
      </w:r>
      <w:r>
        <w:rPr>
          <w:rFonts w:hint="eastAsia" w:hAnsi="宋体"/>
          <w:b/>
          <w:bCs/>
          <w:color w:val="FF0000"/>
          <w:szCs w:val="22"/>
          <w:lang w:val="en-US" w:eastAsia="zh-CN"/>
        </w:rPr>
        <w:t>经投标专家组确认通过，价格审核单位评议通过后，</w:t>
      </w:r>
      <w:r>
        <w:rPr>
          <w:rFonts w:hint="eastAsia" w:hAnsi="宋体"/>
          <w:b/>
          <w:bCs/>
          <w:color w:val="FF0000"/>
          <w:szCs w:val="22"/>
        </w:rPr>
        <w:t>推荐为本项目中标人。</w:t>
      </w:r>
    </w:p>
    <w:p w14:paraId="6CA972D3">
      <w:pPr>
        <w:pStyle w:val="2"/>
        <w:spacing w:line="360" w:lineRule="auto"/>
        <w:rPr>
          <w:rFonts w:hint="eastAsia" w:ascii="黑体" w:eastAsia="黑体"/>
          <w:b/>
          <w:bCs/>
          <w:sz w:val="28"/>
        </w:rPr>
      </w:pPr>
      <w:r>
        <w:rPr>
          <w:rFonts w:hint="eastAsia" w:ascii="黑体" w:eastAsia="黑体"/>
          <w:b/>
          <w:bCs/>
          <w:sz w:val="28"/>
        </w:rPr>
        <w:t>八、合同签订</w:t>
      </w:r>
    </w:p>
    <w:p w14:paraId="49413DFB">
      <w:pPr>
        <w:pStyle w:val="2"/>
        <w:spacing w:line="360" w:lineRule="auto"/>
        <w:ind w:firstLine="420" w:firstLineChars="200"/>
        <w:rPr>
          <w:rFonts w:hint="eastAsia"/>
        </w:rPr>
      </w:pPr>
      <w:r>
        <w:rPr>
          <w:rFonts w:hint="eastAsia"/>
        </w:rPr>
        <w:t>1.根据评标工作小组的评标结果并按相关法律法规的规定及公司相关制度要求，确定推荐中标人。中标人承诺无条件服从招标人针对该项目的后续所有安排。招标人不承诺将合同授予报价最低的投标人，也不对未中标人做任何解释。</w:t>
      </w:r>
    </w:p>
    <w:p w14:paraId="3BDF14A3">
      <w:pPr>
        <w:pStyle w:val="2"/>
        <w:spacing w:line="360" w:lineRule="auto"/>
        <w:ind w:firstLine="420" w:firstLineChars="200"/>
        <w:rPr>
          <w:rFonts w:hint="eastAsia" w:hAnsi="宋体"/>
          <w:szCs w:val="21"/>
        </w:rPr>
      </w:pPr>
      <w:r>
        <w:rPr>
          <w:rFonts w:hint="eastAsia" w:hAnsi="宋体"/>
          <w:szCs w:val="21"/>
        </w:rPr>
        <w:t>2.招标人在</w:t>
      </w:r>
      <w:r>
        <w:rPr>
          <w:rFonts w:hint="eastAsia"/>
        </w:rPr>
        <w:t>“中国重汽e采通”</w:t>
      </w:r>
      <w:r>
        <w:rPr>
          <w:rFonts w:hint="eastAsia" w:hAnsi="宋体"/>
          <w:szCs w:val="21"/>
        </w:rPr>
        <w:t>发送《中标通知书》给中标人，中标人应及时与招标人联系，在规定的时间内确认并与相关单位签订合同（一般为接到《中标通知书》后10个工作日内，具体以招标人要求为准），如果中标人接到《中标通知书》后，无正当理由拒绝按其规定的期限签订合同或在签订合同时向招标人或相关单位提出附加条件或者更改合同实质性内容的，招标人有权取消其中标资格，列入企业失信黑名单，招标人将重新组织招标。</w:t>
      </w:r>
    </w:p>
    <w:p w14:paraId="237C4EB4">
      <w:pPr>
        <w:pStyle w:val="2"/>
        <w:spacing w:line="360" w:lineRule="auto"/>
        <w:ind w:firstLine="420" w:firstLineChars="200"/>
        <w:rPr>
          <w:rFonts w:hint="eastAsia" w:hAnsi="宋体"/>
          <w:szCs w:val="21"/>
        </w:rPr>
      </w:pPr>
      <w:r>
        <w:rPr>
          <w:rFonts w:hint="eastAsia"/>
        </w:rPr>
        <w:t>3.</w:t>
      </w:r>
      <w:r>
        <w:rPr>
          <w:rFonts w:hint="eastAsia" w:hAnsi="宋体"/>
          <w:szCs w:val="21"/>
        </w:rPr>
        <w:t>中标人应在保证质量的前提下完成中标项目，不得将中标项目转包或分包给他人，否则视为违约，招标人或相关单位有权解除合同。</w:t>
      </w:r>
    </w:p>
    <w:p w14:paraId="71DFDEFF">
      <w:pPr>
        <w:pStyle w:val="2"/>
        <w:spacing w:line="360" w:lineRule="auto"/>
        <w:ind w:firstLine="420" w:firstLineChars="200"/>
        <w:rPr>
          <w:rFonts w:hint="eastAsia" w:hAnsi="宋体"/>
          <w:b/>
          <w:bCs/>
          <w:color w:val="FF0000"/>
          <w:szCs w:val="21"/>
        </w:rPr>
      </w:pPr>
      <w:r>
        <w:rPr>
          <w:rFonts w:hint="eastAsia"/>
        </w:rPr>
        <w:t>4.</w:t>
      </w:r>
      <w:r>
        <w:rPr>
          <w:rFonts w:hint="eastAsia" w:hAnsi="宋体"/>
          <w:szCs w:val="21"/>
        </w:rPr>
        <w:t>中标人</w:t>
      </w:r>
      <w:r>
        <w:rPr>
          <w:rFonts w:hint="eastAsia"/>
          <w:szCs w:val="21"/>
        </w:rPr>
        <w:t>由于履行义务的能力或信用有严重缺陷，</w:t>
      </w:r>
      <w:r>
        <w:rPr>
          <w:rFonts w:hint="eastAsia" w:hAnsi="宋体"/>
          <w:szCs w:val="21"/>
        </w:rPr>
        <w:t>招标人有权取消其中标资格。</w:t>
      </w:r>
    </w:p>
    <w:p w14:paraId="0206C916">
      <w:pPr>
        <w:pStyle w:val="2"/>
        <w:spacing w:line="360" w:lineRule="auto"/>
        <w:ind w:firstLine="422" w:firstLineChars="200"/>
        <w:rPr>
          <w:rFonts w:hint="default" w:eastAsia="宋体"/>
          <w:b/>
          <w:bCs/>
          <w:color w:val="FF0000"/>
          <w:lang w:val="en-US" w:eastAsia="zh-CN"/>
        </w:rPr>
      </w:pPr>
      <w:r>
        <w:rPr>
          <w:rFonts w:hint="eastAsia"/>
          <w:b/>
          <w:bCs/>
          <w:color w:val="FF0000"/>
        </w:rPr>
        <w:t>5.中标单位</w:t>
      </w:r>
      <w:r>
        <w:rPr>
          <w:rFonts w:hint="eastAsia"/>
          <w:b/>
          <w:bCs/>
          <w:color w:val="FF0000"/>
          <w:lang w:val="en-US" w:eastAsia="zh-CN"/>
        </w:rPr>
        <w:t>需在合同签订后一周内</w:t>
      </w:r>
      <w:r>
        <w:rPr>
          <w:rFonts w:hint="eastAsia"/>
          <w:b/>
          <w:bCs/>
          <w:color w:val="FF0000"/>
        </w:rPr>
        <w:t>缴纳</w:t>
      </w:r>
      <w:r>
        <w:rPr>
          <w:rFonts w:hint="eastAsia"/>
          <w:b/>
          <w:bCs/>
          <w:color w:val="FF0000"/>
          <w:lang w:val="en-US" w:eastAsia="zh-CN"/>
        </w:rPr>
        <w:t>10000</w:t>
      </w:r>
      <w:r>
        <w:rPr>
          <w:rFonts w:hint="eastAsia"/>
          <w:b/>
          <w:bCs/>
          <w:color w:val="FF0000"/>
        </w:rPr>
        <w:t>元履约保证金</w:t>
      </w:r>
      <w:r>
        <w:rPr>
          <w:rFonts w:hint="eastAsia"/>
          <w:b/>
          <w:bCs/>
          <w:color w:val="FF0000"/>
          <w:lang w:val="en-US" w:eastAsia="zh-CN"/>
        </w:rPr>
        <w:t>到招标方指定账户中，</w:t>
      </w:r>
      <w:r>
        <w:rPr>
          <w:rFonts w:hint="eastAsia"/>
          <w:b/>
          <w:bCs/>
          <w:color w:val="FF0000"/>
        </w:rPr>
        <w:t>未按时足额缴纳履约保证金的，</w:t>
      </w:r>
      <w:r>
        <w:rPr>
          <w:rFonts w:hint="eastAsia" w:hAnsi="宋体"/>
          <w:b/>
          <w:bCs/>
          <w:color w:val="FF0000"/>
          <w:szCs w:val="21"/>
        </w:rPr>
        <w:t>招标人有权取消其中标资格。</w:t>
      </w:r>
      <w:r>
        <w:rPr>
          <w:rFonts w:hint="eastAsia" w:hAnsi="宋体"/>
          <w:b/>
          <w:bCs/>
          <w:color w:val="FF0000"/>
          <w:szCs w:val="21"/>
          <w:lang w:val="en-US" w:eastAsia="zh-CN"/>
        </w:rPr>
        <w:t>合同履约过程中因投标单位过错导致接受服务的员工受到损失的，将会自月度结算中扣除相应费用。合同履约结束后由中标单位提出退还申请，招标人根据公司财务要求及流程进行无息退还。</w:t>
      </w:r>
    </w:p>
    <w:p w14:paraId="61BBBB66">
      <w:pPr>
        <w:pStyle w:val="2"/>
        <w:spacing w:line="360" w:lineRule="auto"/>
        <w:ind w:firstLine="420" w:firstLineChars="200"/>
        <w:rPr>
          <w:rFonts w:hint="eastAsia"/>
        </w:rPr>
      </w:pPr>
      <w:r>
        <w:rPr>
          <w:rFonts w:hint="eastAsia"/>
        </w:rPr>
        <w:t>6.具体权利义务以双方最终签署的合同为准</w:t>
      </w:r>
      <w:r>
        <w:rPr>
          <w:rFonts w:hint="eastAsia"/>
          <w:lang w:eastAsia="zh-CN"/>
        </w:rPr>
        <w:t>，</w:t>
      </w:r>
      <w:r>
        <w:rPr>
          <w:rFonts w:hint="eastAsia"/>
          <w:lang w:val="en-US" w:eastAsia="zh-CN"/>
        </w:rPr>
        <w:t>合同服务期限</w:t>
      </w:r>
      <w:r>
        <w:rPr>
          <w:rFonts w:hint="eastAsia"/>
          <w:b/>
          <w:bCs/>
          <w:color w:val="0000FF"/>
          <w:lang w:val="en-US" w:eastAsia="zh-CN"/>
        </w:rPr>
        <w:t>三年起</w:t>
      </w:r>
      <w:r>
        <w:rPr>
          <w:rFonts w:hint="eastAsia"/>
        </w:rPr>
        <w:t>。</w:t>
      </w:r>
    </w:p>
    <w:p w14:paraId="05C58F53">
      <w:pPr>
        <w:pStyle w:val="2"/>
        <w:spacing w:line="360" w:lineRule="auto"/>
        <w:ind w:firstLine="420" w:firstLineChars="200"/>
      </w:pPr>
      <w:r>
        <w:rPr>
          <w:rFonts w:hint="eastAsia"/>
        </w:rPr>
        <w:t>7.中标人须认可由于招标人公司政策变化引起的合同签订前终止项目的要求。</w:t>
      </w:r>
    </w:p>
    <w:p w14:paraId="6F6AA339">
      <w:pPr>
        <w:pStyle w:val="2"/>
        <w:spacing w:line="360" w:lineRule="auto"/>
        <w:rPr>
          <w:rFonts w:hint="eastAsia" w:hAnsi="宋体"/>
          <w:szCs w:val="21"/>
        </w:rPr>
      </w:pPr>
      <w:r>
        <w:rPr>
          <w:rFonts w:hint="eastAsia" w:ascii="黑体" w:eastAsia="黑体"/>
          <w:b/>
          <w:bCs/>
          <w:sz w:val="28"/>
        </w:rPr>
        <w:t>九、废标及终止招标</w:t>
      </w:r>
    </w:p>
    <w:p w14:paraId="76BB2590">
      <w:pPr>
        <w:pStyle w:val="2"/>
        <w:spacing w:line="360" w:lineRule="auto"/>
        <w:ind w:firstLine="420" w:firstLineChars="200"/>
        <w:rPr>
          <w:rFonts w:hint="eastAsia" w:hAnsi="宋体"/>
          <w:szCs w:val="21"/>
        </w:rPr>
      </w:pPr>
      <w:r>
        <w:rPr>
          <w:rFonts w:hint="eastAsia" w:hAnsi="宋体"/>
          <w:szCs w:val="21"/>
        </w:rPr>
        <w:t>出现下列情形之一，招标人有权否决所有投标人的投标，废标并终止招标。</w:t>
      </w:r>
    </w:p>
    <w:p w14:paraId="48397820">
      <w:pPr>
        <w:pStyle w:val="2"/>
        <w:spacing w:line="360" w:lineRule="auto"/>
        <w:ind w:firstLine="420" w:firstLineChars="200"/>
        <w:rPr>
          <w:rFonts w:hint="eastAsia" w:hAnsi="宋体"/>
          <w:szCs w:val="21"/>
        </w:rPr>
      </w:pPr>
      <w:r>
        <w:rPr>
          <w:rFonts w:hint="eastAsia" w:hAnsi="宋体"/>
          <w:szCs w:val="21"/>
        </w:rPr>
        <w:t>（1）符合条件的投标人或者对招标文件</w:t>
      </w:r>
      <w:r>
        <w:rPr>
          <w:rFonts w:hint="eastAsia" w:hAnsi="宋体"/>
          <w:szCs w:val="21"/>
          <w:lang w:val="en-US" w:eastAsia="zh-CN"/>
        </w:rPr>
        <w:t>未</w:t>
      </w:r>
      <w:r>
        <w:rPr>
          <w:rFonts w:hint="eastAsia" w:hAnsi="宋体"/>
          <w:szCs w:val="21"/>
        </w:rPr>
        <w:t>做实质响应的；</w:t>
      </w:r>
    </w:p>
    <w:p w14:paraId="4B07CBD8">
      <w:pPr>
        <w:pStyle w:val="2"/>
        <w:spacing w:line="360" w:lineRule="auto"/>
        <w:ind w:firstLine="420" w:firstLineChars="200"/>
        <w:rPr>
          <w:rFonts w:hint="eastAsia" w:hAnsi="宋体"/>
          <w:szCs w:val="21"/>
        </w:rPr>
      </w:pPr>
      <w:r>
        <w:rPr>
          <w:rFonts w:hint="eastAsia" w:hAnsi="宋体"/>
          <w:szCs w:val="21"/>
        </w:rPr>
        <w:t>（2）出现影响采购公正的违法、违规行为的；</w:t>
      </w:r>
    </w:p>
    <w:p w14:paraId="1ECF7CAF">
      <w:pPr>
        <w:pStyle w:val="2"/>
        <w:spacing w:line="360" w:lineRule="auto"/>
        <w:ind w:firstLine="420" w:firstLineChars="200"/>
        <w:rPr>
          <w:rFonts w:hint="eastAsia" w:hAnsi="宋体"/>
          <w:szCs w:val="21"/>
        </w:rPr>
      </w:pPr>
      <w:r>
        <w:rPr>
          <w:rFonts w:hint="eastAsia" w:hAnsi="宋体"/>
          <w:szCs w:val="21"/>
        </w:rPr>
        <w:t>（3）评标委员会经评审，认为所有投标都不符合招标文件要求的；</w:t>
      </w:r>
    </w:p>
    <w:p w14:paraId="0D7766C0">
      <w:pPr>
        <w:pStyle w:val="2"/>
        <w:spacing w:line="360" w:lineRule="auto"/>
        <w:ind w:firstLine="420" w:firstLineChars="200"/>
        <w:rPr>
          <w:rFonts w:hint="eastAsia" w:hAnsi="宋体"/>
          <w:szCs w:val="21"/>
        </w:rPr>
      </w:pPr>
      <w:r>
        <w:rPr>
          <w:rFonts w:hint="eastAsia" w:hAnsi="宋体"/>
          <w:szCs w:val="21"/>
        </w:rPr>
        <w:t>（4）因重大变故，采购任务取消的</w:t>
      </w:r>
      <w:bookmarkStart w:id="3" w:name="OLE_LINK29"/>
      <w:bookmarkStart w:id="4" w:name="OLE_LINK27"/>
      <w:bookmarkStart w:id="5" w:name="OLE_LINK28"/>
      <w:bookmarkStart w:id="6" w:name="OLE_LINK26"/>
      <w:bookmarkStart w:id="7" w:name="OLE_LINK25"/>
      <w:r>
        <w:rPr>
          <w:rFonts w:hint="eastAsia" w:hAnsi="宋体"/>
          <w:szCs w:val="21"/>
        </w:rPr>
        <w:t>；</w:t>
      </w:r>
      <w:bookmarkEnd w:id="3"/>
      <w:bookmarkEnd w:id="4"/>
      <w:bookmarkEnd w:id="5"/>
      <w:bookmarkEnd w:id="6"/>
      <w:bookmarkEnd w:id="7"/>
    </w:p>
    <w:p w14:paraId="2C00E0A2">
      <w:pPr>
        <w:pStyle w:val="2"/>
        <w:spacing w:line="360" w:lineRule="auto"/>
        <w:ind w:firstLine="420" w:firstLineChars="200"/>
        <w:rPr>
          <w:rFonts w:hint="eastAsia" w:eastAsia="宋体"/>
          <w:bCs/>
          <w:sz w:val="24"/>
          <w:szCs w:val="24"/>
          <w:lang w:eastAsia="zh-CN"/>
        </w:rPr>
      </w:pPr>
      <w:r>
        <w:rPr>
          <w:rFonts w:hint="eastAsia" w:hAnsi="宋体"/>
          <w:szCs w:val="21"/>
        </w:rPr>
        <w:t>（5）招标人认为其他应终止招标的情形</w:t>
      </w:r>
      <w:r>
        <w:rPr>
          <w:rFonts w:hint="eastAsia" w:hAnsi="宋体"/>
          <w:szCs w:val="21"/>
          <w:lang w:eastAsia="zh-CN"/>
        </w:rPr>
        <w:t>；</w:t>
      </w:r>
    </w:p>
    <w:p w14:paraId="72BFAD27">
      <w:pPr>
        <w:pStyle w:val="2"/>
        <w:spacing w:line="360" w:lineRule="auto"/>
        <w:ind w:firstLine="420" w:firstLineChars="200"/>
        <w:rPr>
          <w:rFonts w:hint="eastAsia" w:hAnsi="宋体" w:eastAsia="宋体"/>
          <w:szCs w:val="21"/>
          <w:lang w:eastAsia="zh-CN"/>
        </w:rPr>
      </w:pPr>
      <w:r>
        <w:rPr>
          <w:rFonts w:hint="eastAsia" w:hAnsi="宋体"/>
          <w:szCs w:val="21"/>
        </w:rPr>
        <w:t>（6）不同投标人的投标文件异常一致或者投标报价呈规律性差异的</w:t>
      </w:r>
      <w:r>
        <w:rPr>
          <w:rFonts w:hint="eastAsia" w:hAnsi="宋体"/>
          <w:szCs w:val="21"/>
          <w:lang w:eastAsia="zh-CN"/>
        </w:rPr>
        <w:t>；</w:t>
      </w:r>
    </w:p>
    <w:p w14:paraId="56E6EB73">
      <w:pPr>
        <w:pStyle w:val="2"/>
        <w:spacing w:line="360" w:lineRule="auto"/>
        <w:ind w:firstLine="420" w:firstLineChars="200"/>
        <w:rPr>
          <w:rFonts w:hint="eastAsia" w:hAnsi="宋体"/>
          <w:szCs w:val="21"/>
        </w:rPr>
      </w:pPr>
      <w:r>
        <w:rPr>
          <w:rFonts w:hint="eastAsia" w:hAnsi="宋体"/>
          <w:szCs w:val="21"/>
        </w:rPr>
        <w:t>（7）投标人报价均超过投标限价的；</w:t>
      </w:r>
    </w:p>
    <w:p w14:paraId="7CDCF66C">
      <w:pPr>
        <w:spacing w:line="360" w:lineRule="auto"/>
        <w:ind w:firstLine="420" w:firstLineChars="200"/>
        <w:rPr>
          <w:rFonts w:ascii="宋体" w:hAnsi="宋体"/>
          <w:szCs w:val="21"/>
        </w:rPr>
      </w:pPr>
      <w:r>
        <w:rPr>
          <w:rFonts w:hint="eastAsia" w:ascii="宋体" w:hAnsi="宋体"/>
          <w:szCs w:val="21"/>
        </w:rPr>
        <w:t>（8）投标人被举报、检举，并经招标方查实无误的。</w:t>
      </w:r>
    </w:p>
    <w:p w14:paraId="5D19FAED">
      <w:pPr>
        <w:pStyle w:val="2"/>
        <w:spacing w:line="360" w:lineRule="auto"/>
        <w:ind w:firstLine="420" w:firstLineChars="200"/>
        <w:rPr>
          <w:rFonts w:hint="eastAsia"/>
        </w:rPr>
      </w:pPr>
      <w:r>
        <w:rPr>
          <w:rFonts w:hint="eastAsia" w:hAnsi="宋体"/>
          <w:szCs w:val="21"/>
        </w:rPr>
        <w:t>注：投标人承诺同意由于招标人公司政策变化引起的随时终止项目的要求并承担由此带来的一切损失。</w:t>
      </w:r>
    </w:p>
    <w:p w14:paraId="2BB29527">
      <w:pPr>
        <w:pStyle w:val="2"/>
        <w:spacing w:line="360" w:lineRule="auto"/>
        <w:rPr>
          <w:rFonts w:ascii="黑体" w:eastAsia="黑体"/>
          <w:b/>
          <w:bCs/>
          <w:sz w:val="28"/>
        </w:rPr>
      </w:pPr>
      <w:r>
        <w:rPr>
          <w:rFonts w:hint="eastAsia" w:ascii="黑体" w:eastAsia="黑体"/>
          <w:b/>
          <w:bCs/>
          <w:sz w:val="28"/>
        </w:rPr>
        <w:t>十、中标人瑕疵滞后发现的处理原则</w:t>
      </w:r>
    </w:p>
    <w:p w14:paraId="7605C51C">
      <w:pPr>
        <w:spacing w:line="520" w:lineRule="exact"/>
        <w:ind w:right="2" w:firstLine="420" w:firstLineChars="200"/>
        <w:rPr>
          <w:rFonts w:hint="eastAsia" w:ascii="宋体" w:hAnsi="Courier New"/>
        </w:rPr>
      </w:pPr>
      <w:r>
        <w:rPr>
          <w:rFonts w:hint="eastAsia" w:ascii="宋体" w:hAnsi="Courier New"/>
        </w:rPr>
        <w:t>无论基于何种原因，</w:t>
      </w:r>
      <w:r>
        <w:rPr>
          <w:rFonts w:ascii="宋体" w:hAnsi="宋体"/>
          <w:szCs w:val="21"/>
          <w:shd w:val="clear" w:color="auto" w:fill="FFFFFF"/>
        </w:rPr>
        <w:t>各项本应作为拒绝处理的情形即便未被及时发现或中标人隐瞒真实情况</w:t>
      </w:r>
      <w:r>
        <w:rPr>
          <w:rFonts w:hint="eastAsia" w:ascii="宋体" w:hAnsi="Courier New"/>
        </w:rPr>
        <w:t>，</w:t>
      </w:r>
      <w:r>
        <w:rPr>
          <w:rFonts w:ascii="宋体" w:hAnsi="宋体"/>
          <w:szCs w:val="21"/>
          <w:shd w:val="clear" w:color="auto" w:fill="FFFFFF"/>
        </w:rPr>
        <w:t>包括已发布中标通知或已签订合同的情形</w:t>
      </w:r>
      <w:r>
        <w:rPr>
          <w:rFonts w:hint="eastAsia" w:ascii="宋体" w:hAnsi="Courier New"/>
        </w:rPr>
        <w:t>，</w:t>
      </w:r>
      <w:r>
        <w:rPr>
          <w:rFonts w:ascii="Arial" w:hAnsi="Arial" w:cs="Arial"/>
          <w:szCs w:val="21"/>
          <w:shd w:val="clear" w:color="auto" w:fill="FFFFFF"/>
        </w:rPr>
        <w:t>招标人均有权拒绝或取消中标人资格</w:t>
      </w:r>
      <w:r>
        <w:rPr>
          <w:rFonts w:hint="eastAsia" w:ascii="Arial" w:hAnsi="Arial" w:cs="Arial"/>
          <w:szCs w:val="21"/>
          <w:shd w:val="clear" w:color="auto" w:fill="FFFFFF"/>
        </w:rPr>
        <w:t>，</w:t>
      </w:r>
      <w:r>
        <w:rPr>
          <w:rFonts w:hint="eastAsia" w:ascii="宋体" w:hAnsi="Courier New"/>
        </w:rPr>
        <w:t>一旦中标人被拒绝或该中标人此前的评议结果被取消，相关的一切损失均由该中标人承担</w:t>
      </w:r>
      <w:r>
        <w:rPr>
          <w:rFonts w:hint="eastAsia" w:ascii="宋体" w:hAnsi="宋体"/>
          <w:szCs w:val="21"/>
        </w:rPr>
        <w:t>。</w:t>
      </w:r>
    </w:p>
    <w:p w14:paraId="32D1CBA5">
      <w:pPr>
        <w:pStyle w:val="2"/>
        <w:spacing w:line="360" w:lineRule="auto"/>
        <w:rPr>
          <w:rFonts w:hint="eastAsia" w:ascii="黑体" w:eastAsia="黑体"/>
          <w:b/>
          <w:bCs/>
          <w:sz w:val="28"/>
        </w:rPr>
      </w:pPr>
      <w:r>
        <w:rPr>
          <w:rFonts w:hint="eastAsia" w:ascii="黑体" w:eastAsia="黑体"/>
          <w:b/>
          <w:bCs/>
          <w:sz w:val="28"/>
        </w:rPr>
        <w:t>十一、技术要求</w:t>
      </w:r>
    </w:p>
    <w:p w14:paraId="6B778DFF">
      <w:pPr>
        <w:pStyle w:val="2"/>
        <w:spacing w:line="360" w:lineRule="auto"/>
        <w:ind w:left="420" w:hanging="420" w:hangingChars="200"/>
        <w:rPr>
          <w:rFonts w:hint="eastAsia" w:hAnsi="宋体"/>
          <w:b/>
          <w:bCs/>
          <w:sz w:val="28"/>
          <w:szCs w:val="28"/>
        </w:rPr>
      </w:pPr>
      <w:r>
        <w:rPr>
          <w:rFonts w:hint="eastAsia"/>
        </w:rPr>
        <w:t xml:space="preserve">    见本招标文件“第三章 技术协议书”，附后。</w:t>
      </w:r>
    </w:p>
    <w:p w14:paraId="6340BFE9">
      <w:pPr>
        <w:jc w:val="both"/>
        <w:rPr>
          <w:rFonts w:hint="default" w:ascii="宋体" w:hAnsi="宋体"/>
          <w:b/>
          <w:sz w:val="48"/>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panose1 w:val="02020502060401020303"/>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3FFE3"/>
    <w:multiLevelType w:val="singleLevel"/>
    <w:tmpl w:val="A7E3FFE3"/>
    <w:lvl w:ilvl="0" w:tentative="0">
      <w:start w:val="1"/>
      <w:numFmt w:val="decimalEnclosedCircleChinese"/>
      <w:suff w:val="nothing"/>
      <w:lvlText w:val="%1　"/>
      <w:lvlJc w:val="left"/>
      <w:pPr>
        <w:ind w:left="0" w:firstLine="400"/>
      </w:pPr>
      <w:rPr>
        <w:rFonts w:hint="eastAsia"/>
      </w:rPr>
    </w:lvl>
  </w:abstractNum>
  <w:abstractNum w:abstractNumId="1">
    <w:nsid w:val="588B60F8"/>
    <w:multiLevelType w:val="singleLevel"/>
    <w:tmpl w:val="588B60F8"/>
    <w:lvl w:ilvl="0" w:tentative="0">
      <w:start w:val="1"/>
      <w:numFmt w:val="decimal"/>
      <w:lvlText w:val="%1."/>
      <w:lvlJc w:val="left"/>
      <w:pPr>
        <w:tabs>
          <w:tab w:val="left" w:pos="312"/>
        </w:tabs>
      </w:pPr>
    </w:lvl>
  </w:abstractNum>
  <w:abstractNum w:abstractNumId="2">
    <w:nsid w:val="7C86E89B"/>
    <w:multiLevelType w:val="singleLevel"/>
    <w:tmpl w:val="7C86E89B"/>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621EC"/>
    <w:rsid w:val="49162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2026-03-19T06:29:00Z</dcterms:created>
  <dc:creator>小洋洋</dc:creator>
  <cp:lastModifiedBy>小洋洋</cp:lastModifiedBy>
  <dcterms:modified xsi:type="dcterms:W3CDTF">2026-03-19T06:31:25Z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59CB46381B8C4EF39297A0FB1F8B5A65_11</vt:lpwstr>
  </property>
  <property fmtid="{D5CDD505-2E9C-101B-9397-08002B2CF9AE}" pid="4" name="KSOTemplateDocerSaveRecord">
    <vt:lpwstr>eyJoZGlkIjoiMzJkZTVhN2EzZTgzODgxOTNlNjY2ZWI3ZTBiNTk2MzUiLCJ1c2VySWQiOiI1MDQyNTQ3NDAifQ==</vt:lpwstr>
  </property>
</Properties>
</file>