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hint="eastAsia" w:ascii="楷体_GB2312" w:hAnsi="宋体" w:eastAsia="楷体_GB2312"/>
          <w:sz w:val="52"/>
          <w:szCs w:val="52"/>
          <w:highlight w:val="none"/>
        </w:rPr>
      </w:pPr>
      <w:r>
        <w:rPr>
          <w:rFonts w:hint="eastAsia" w:ascii="楷体_GB2312" w:hAnsi="宋体" w:eastAsia="楷体_GB2312"/>
          <w:sz w:val="52"/>
          <w:szCs w:val="52"/>
          <w:highlight w:val="none"/>
        </w:rPr>
        <w:t>济南车桥公司驱动桥总成产能提升</w:t>
      </w:r>
    </w:p>
    <w:p>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rPr>
        <w:t>-新增螺柱焊机项目</w:t>
      </w:r>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ZBGL2026020077</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hint="eastAsia" w:ascii="宋体" w:hAnsi="宋体" w:eastAsia="宋体"/>
          <w:sz w:val="28"/>
          <w:szCs w:val="28"/>
          <w:highlight w:val="cyan"/>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重汽（济南）车桥有限公司</w:t>
      </w:r>
    </w:p>
    <w:p>
      <w:pPr>
        <w:jc w:val="center"/>
        <w:rPr>
          <w:rFonts w:ascii="宋体" w:hAnsi="宋体"/>
          <w:sz w:val="28"/>
          <w:szCs w:val="28"/>
          <w:highlight w:val="none"/>
        </w:rPr>
      </w:pPr>
    </w:p>
    <w:p>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2月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pPr>
            <w:pStyle w:val="21"/>
          </w:pPr>
          <w:r>
            <w:rPr>
              <w:rFonts w:hint="eastAsia" w:ascii="Calibri" w:hAnsi="Calibri" w:eastAsia="宋体" w:cs="Times New Roman"/>
              <w:bCs/>
              <w:kern w:val="44"/>
              <w:szCs w:val="44"/>
            </w:rPr>
            <w:fldChar w:fldCharType="end"/>
          </w:r>
        </w:p>
      </w:sdtContent>
    </w:sdt>
    <w:p>
      <w:pPr>
        <w:pStyle w:val="15"/>
        <w:tabs>
          <w:tab w:val="left" w:pos="2940"/>
        </w:tabs>
        <w:spacing w:line="360" w:lineRule="auto"/>
      </w:pPr>
      <w:r>
        <w:tab/>
      </w:r>
    </w:p>
    <w:p>
      <w:pPr>
        <w:pStyle w:val="15"/>
        <w:spacing w:line="360" w:lineRule="auto"/>
        <w:jc w:val="center"/>
      </w:pPr>
    </w:p>
    <w:p>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2"/>
      </w:pPr>
      <w:bookmarkStart w:id="0" w:name="_Toc47976595"/>
      <w:bookmarkStart w:id="1" w:name="_Toc23927"/>
      <w:r>
        <w:rPr>
          <w:rFonts w:hint="eastAsia"/>
        </w:rPr>
        <w:t>第一部分  投标人须知</w:t>
      </w:r>
      <w:bookmarkEnd w:id="0"/>
      <w:bookmarkEnd w:id="1"/>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济南车桥公司驱动桥总成产能提升-新增螺柱焊机项目</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ZBGL2026020077</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lang w:val="en-US" w:eastAsia="zh-CN"/>
        </w:rPr>
        <w:t>项目概况：新增一台螺柱焊机</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u w:val="none"/>
          <w:lang w:val="en-US" w:eastAsia="zh-CN"/>
        </w:rPr>
      </w:pPr>
      <w:r>
        <w:rPr>
          <w:rFonts w:hint="eastAsia"/>
          <w:lang w:val="en-US" w:eastAsia="zh-CN"/>
        </w:rPr>
        <w:t>报价：</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w:t>
      </w:r>
      <w:r>
        <w:rPr>
          <w:rFonts w:hint="eastAsia" w:hAnsi="宋体" w:cs="宋体"/>
          <w:i w:val="0"/>
          <w:iCs w:val="0"/>
          <w:caps w:val="0"/>
          <w:color w:val="0F1115"/>
          <w:spacing w:val="0"/>
          <w:sz w:val="21"/>
          <w:szCs w:val="21"/>
          <w:shd w:val="clear" w:fill="FFFFFF"/>
          <w:lang w:eastAsia="zh-CN"/>
        </w:rPr>
        <w:t>：</w:t>
      </w:r>
      <w:r>
        <w:rPr>
          <w:rFonts w:hint="eastAsia" w:hAnsi="宋体" w:cs="宋体"/>
          <w:i w:val="0"/>
          <w:iCs w:val="0"/>
          <w:caps w:val="0"/>
          <w:color w:val="0F1115"/>
          <w:spacing w:val="0"/>
          <w:sz w:val="21"/>
          <w:szCs w:val="21"/>
          <w:shd w:val="clear" w:fill="FFFFFF"/>
          <w:lang w:val="en-US" w:eastAsia="zh-CN"/>
        </w:rPr>
        <w:t>无限价</w:t>
      </w:r>
      <w:r>
        <w:rPr>
          <w:rFonts w:hint="eastAsia" w:ascii="宋体" w:hAnsi="宋体" w:eastAsia="宋体" w:cs="宋体"/>
          <w:i w:val="0"/>
          <w:iCs w:val="0"/>
          <w:caps w:val="0"/>
          <w:color w:val="0F1115"/>
          <w:spacing w:val="0"/>
          <w:sz w:val="21"/>
          <w:szCs w:val="21"/>
          <w:highlight w:val="none"/>
          <w:shd w:val="clear" w:fill="FFFFFF"/>
        </w:rPr>
        <w:t>。</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招标人名称：重汽（济南）车桥有限公司 </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招标人地址：济南市高新区世纪大道757号车桥公司 </w:t>
      </w:r>
    </w:p>
    <w:p>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kern w:val="2"/>
          <w:sz w:val="21"/>
          <w:lang w:val="en-US" w:eastAsia="zh-CN" w:bidi="ar-SA"/>
        </w:rPr>
        <w:t>李月兵</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2093</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Style w:val="38"/>
          <w:rFonts w:hint="eastAsia" w:ascii="宋体" w:hAnsi="Courier New" w:cs="Times New Roman"/>
          <w:color w:val="auto"/>
          <w:kern w:val="2"/>
          <w:sz w:val="21"/>
          <w:highlight w:val="none"/>
          <w:lang w:val="en-US" w:eastAsia="zh-CN" w:bidi="ar-SA"/>
        </w:rPr>
        <w:t>liyuebing</w:t>
      </w:r>
      <w:r>
        <w:rPr>
          <w:rStyle w:val="38"/>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b/>
          <w:bCs/>
          <w:kern w:val="2"/>
          <w:sz w:val="21"/>
          <w:highlight w:val="none"/>
          <w:lang w:val="en-US" w:eastAsia="zh-CN" w:bidi="ar-SA"/>
        </w:rPr>
        <w:t>技术联系人：</w:t>
      </w:r>
      <w:r>
        <w:rPr>
          <w:rFonts w:hint="eastAsia" w:ascii="宋体" w:hAnsi="Courier New" w:cs="Times New Roman"/>
          <w:kern w:val="2"/>
          <w:sz w:val="21"/>
          <w:lang w:val="en-US" w:eastAsia="zh-CN" w:bidi="ar-SA"/>
        </w:rPr>
        <w:t>刘延民</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eastAsia="宋体" w:cs="Times New Roman"/>
          <w:kern w:val="2"/>
          <w:sz w:val="21"/>
          <w:lang w:val="en-US" w:eastAsia="zh-CN" w:bidi="ar-SA"/>
        </w:rPr>
        <w:t>15275120878</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bookmarkEnd w:id="3"/>
      <w:r>
        <w:rPr>
          <w:rFonts w:hint="eastAsia" w:ascii="宋体" w:hAnsi="Courier New" w:eastAsia="宋体" w:cs="Times New Roman"/>
          <w:kern w:val="2"/>
          <w:sz w:val="21"/>
          <w:lang w:val="en-US" w:eastAsia="zh-CN" w:bidi="ar-SA"/>
        </w:rPr>
        <w:t>liuyanmin@sinotruk.com</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拟投标人必须是在中华人民共和国境内注册的独立法人机构，具有独立承担民事责任能力；注册资金不少于</w:t>
      </w:r>
      <w:r>
        <w:rPr>
          <w:rFonts w:hint="eastAsia" w:ascii="Times New Roman" w:hAnsi="Times New Roman" w:cs="Times New Roman"/>
          <w:b w:val="0"/>
          <w:bCs/>
          <w:strike w:val="0"/>
          <w:dstrike w:val="0"/>
          <w:highlight w:val="none"/>
          <w:lang w:val="en-US" w:eastAsia="zh-CN"/>
        </w:rPr>
        <w:t>100</w:t>
      </w:r>
      <w:r>
        <w:rPr>
          <w:rFonts w:hint="eastAsia" w:ascii="Times New Roman" w:hAnsi="Times New Roman"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拟投标人应提供营业执照副本原件和扫描件（需盖章）；</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拟投标人应提供法定代表人资格证明文件；</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在“国家企业信用信息公示系统”“中国执行信息公开网”“信用中国”“天眼查”“裁判文书网”等信息平台中，无行</w:t>
      </w:r>
      <w:r>
        <w:rPr>
          <w:rFonts w:hint="eastAsia" w:cs="Times New Roman"/>
          <w:b w:val="0"/>
          <w:bCs/>
          <w:strike w:val="0"/>
          <w:dstrike w:val="0"/>
          <w:highlight w:val="none"/>
          <w:lang w:val="en-US" w:eastAsia="zh-CN"/>
        </w:rPr>
        <w:t>相关</w:t>
      </w:r>
      <w:r>
        <w:rPr>
          <w:rFonts w:hint="eastAsia" w:ascii="Times New Roman" w:hAnsi="Times New Roman" w:cs="Times New Roman"/>
          <w:b w:val="0"/>
          <w:bCs/>
          <w:strike w:val="0"/>
          <w:dstrike w:val="0"/>
          <w:highlight w:val="none"/>
        </w:rPr>
        <w:t>政处罚及失信记录等信息；</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拟投标人不存在严重违规或被列入招标人“黑名单”的声明；</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拟投标人有与本次招标内容相同或类似项目业绩，且近3年内无因服务不当而造成重大事故；</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拟投标人近三年内在经营活动中无与本项目有关的违法及重大违规情况；</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拟投标人须认可招标人的工作指令，包括节、假日能正常开展工作的要求；</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拟投标人财务状况良好，最近半年纳税正常；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拟投标人信用证明材料（征信中心出具的信用报告）未显示异常；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拟投标人的直接或间接股东、法定代表人、董事、监事、高管非重汽员工及其亲属；</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lang w:val="en-US" w:eastAsia="zh-CN"/>
        </w:rPr>
        <w:t>投标单位需为设备制造单位</w:t>
      </w:r>
      <w:r>
        <w:rPr>
          <w:rFonts w:hint="eastAsia" w:ascii="Times New Roman" w:hAnsi="Times New Roman" w:cs="Times New Roman"/>
          <w:b w:val="0"/>
          <w:bCs/>
          <w:strike w:val="0"/>
          <w:dstrike w:val="0"/>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无招标违规、谎报年度报告信息、提供虚假资质资料等行为或其他行政处罚记录。</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b w:val="0"/>
          <w:bCs/>
          <w:strike w:val="0"/>
          <w:dstrike w:val="0"/>
          <w:highlight w:val="none"/>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2</w:t>
      </w:r>
      <w:r>
        <w:rPr>
          <w:rFonts w:hint="eastAsia" w:ascii="宋体" w:hAnsi="Courier New" w:eastAsia="宋体" w:cs="Times New Roman"/>
          <w:highlight w:val="yellow"/>
          <w:u w:val="single"/>
          <w:lang w:val="en-US" w:eastAsia="zh-CN"/>
        </w:rPr>
        <w:t>月</w:t>
      </w:r>
      <w:r>
        <w:rPr>
          <w:rFonts w:hint="eastAsia" w:cs="Times New Roman"/>
          <w:highlight w:val="yellow"/>
          <w:u w:val="single"/>
          <w:lang w:val="en-US" w:eastAsia="zh-CN"/>
        </w:rPr>
        <w:t>6</w:t>
      </w:r>
      <w:r>
        <w:rPr>
          <w:rFonts w:hint="eastAsia" w:ascii="宋体" w:hAnsi="Courier New" w:eastAsia="宋体" w:cs="Times New Roman"/>
          <w:highlight w:val="yellow"/>
          <w:u w:val="single"/>
          <w:lang w:val="en-US" w:eastAsia="zh-CN"/>
        </w:rPr>
        <w:t>日</w:t>
      </w:r>
      <w:r>
        <w:rPr>
          <w:rFonts w:hint="eastAsia" w:cs="Times New Roman"/>
          <w:highlight w:val="yellow"/>
          <w:u w:val="single"/>
          <w:lang w:val="en-US" w:eastAsia="zh-CN"/>
        </w:rPr>
        <w:t>；</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2</w:t>
      </w:r>
      <w:r>
        <w:rPr>
          <w:rFonts w:hint="eastAsia" w:eastAsia="宋体" w:cs="宋体"/>
          <w:highlight w:val="yellow"/>
          <w:u w:val="single"/>
        </w:rPr>
        <w:t>月</w:t>
      </w:r>
      <w:r>
        <w:rPr>
          <w:rFonts w:hint="eastAsia" w:cs="宋体"/>
          <w:highlight w:val="yellow"/>
          <w:u w:val="single"/>
          <w:lang w:val="en-US" w:eastAsia="zh-CN"/>
        </w:rPr>
        <w:t>11</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2月11日</w:t>
      </w:r>
      <w:r>
        <w:rPr>
          <w:rFonts w:hint="default" w:ascii="宋体" w:hAnsi="Courier New" w:eastAsia="宋体" w:cs="Times New Roman"/>
          <w:highlight w:val="yellow"/>
          <w:u w:val="single"/>
          <w:lang w:val="en-US" w:eastAsia="zh-CN"/>
        </w:rPr>
        <w:t>17:00</w:t>
      </w:r>
      <w:r>
        <w:rPr>
          <w:rFonts w:hint="eastAsia" w:ascii="宋体" w:hAnsi="Courier New" w:eastAsia="宋体" w:cs="Times New Roman"/>
          <w:highlight w:val="yellow"/>
          <w:u w:val="single"/>
          <w:lang w:val="en-US" w:eastAsia="zh-CN"/>
        </w:rPr>
        <w:t>前</w:t>
      </w:r>
      <w:r>
        <w:rPr>
          <w:rFonts w:hint="eastAsia" w:cs="Times New Roman"/>
          <w:highlight w:val="yellow"/>
          <w:u w:val="single"/>
          <w:lang w:val="en-US" w:eastAsia="zh-CN"/>
        </w:rPr>
        <w:t>；</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w:t>
      </w:r>
      <w:r>
        <w:rPr>
          <w:rFonts w:hint="eastAsia"/>
          <w:highlight w:val="none"/>
          <w:lang w:val="en-US" w:eastAsia="zh-CN"/>
        </w:rPr>
        <w:t>《投标文件（技术标）》和《投标文件（商务标）》文件组成，共计3个文件。所</w:t>
      </w:r>
      <w:r>
        <w:rPr>
          <w:rFonts w:hint="eastAsia"/>
          <w:lang w:val="en-US" w:eastAsia="zh-CN"/>
        </w:rPr>
        <w:t>有文件应按“公司简称+文件名称”格式命名，并编制目录。</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w:t>
      </w:r>
      <w:r>
        <w:rPr>
          <w:rFonts w:hint="default" w:ascii="Times New Roman" w:hAnsi="Times New Roman" w:cs="Times New Roman"/>
          <w:color w:val="auto"/>
          <w:highlight w:val="none"/>
        </w:rPr>
        <w:t>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cs="Times New Roman"/>
          <w:b w:val="0"/>
          <w:bCs/>
          <w:strike w:val="0"/>
          <w:dstrike w:val="0"/>
          <w:highlight w:val="none"/>
        </w:rPr>
        <w:t>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宋体" w:hAnsi="宋体" w:eastAsia="宋体" w:cs="Times New Roman"/>
          <w:b w:val="0"/>
          <w:bCs/>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cs="Times New Roman"/>
          <w:b w:val="0"/>
          <w:bCs/>
          <w:strike w:val="0"/>
          <w:dstrike w:val="0"/>
          <w:highlight w:val="none"/>
        </w:rPr>
        <w:t>与本次招标内容相同或类似项目业绩，近3年内无因服务不当而造成重大事故</w:t>
      </w:r>
      <w:r>
        <w:rPr>
          <w:rFonts w:hint="eastAsia" w:cs="Times New Roman"/>
          <w:b w:val="0"/>
          <w:bCs/>
          <w:strike w:val="0"/>
          <w:dstrike w:val="0"/>
          <w:highlight w:val="none"/>
          <w:lang w:val="en-US" w:eastAsia="zh-CN"/>
        </w:rPr>
        <w:t>的声明；</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技术配置对比表。</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投标设备配置明细表，列明项目设备分项配置规格型号、品牌等信息（要求与附件8 分项报价表完全对应），但注意：</w:t>
      </w:r>
      <w:r>
        <w:rPr>
          <w:rFonts w:hint="eastAsia" w:cs="Times New Roman"/>
          <w:b/>
          <w:bCs/>
          <w:highlight w:val="none"/>
          <w:lang w:val="en-US" w:eastAsia="zh-CN"/>
        </w:rPr>
        <w:t>此表在技术标书中，禁止出现任何分项价格及项目总价</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技术规格偏离表（附件3）；</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技术性能、参数的描述；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备品备件工具材料明细表；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rPr>
        <w:t>技术标书</w:t>
      </w:r>
      <w:r>
        <w:rPr>
          <w:rFonts w:hint="eastAsia" w:cs="Times New Roman"/>
          <w:highlight w:val="none"/>
          <w:lang w:val="en-US" w:eastAsia="zh-CN"/>
        </w:rPr>
        <w:t>要求的其他内容。</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服务承诺函（附件6），</w:t>
      </w:r>
      <w:r>
        <w:rPr>
          <w:rFonts w:hint="eastAsia" w:cs="Times New Roman"/>
          <w:b w:val="0"/>
          <w:bCs/>
          <w:strike w:val="0"/>
          <w:dstrike w:val="0"/>
          <w:highlight w:val="none"/>
        </w:rPr>
        <w:t>认可招标人的工作指令，包括节、假日能正常开展工作的要求</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备配件目录价格及折扣报价表</w:t>
      </w:r>
      <w:r>
        <w:rPr>
          <w:rFonts w:hint="eastAsia" w:cs="Times New Roman"/>
          <w:highlight w:val="none"/>
          <w:lang w:eastAsia="zh-CN"/>
        </w:rPr>
        <w:t>；</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商务报价注意内容：报价单位为万元（含税）</w:t>
      </w:r>
      <w:r>
        <w:rPr>
          <w:rFonts w:hint="eastAsia" w:cs="Times New Roman"/>
          <w:b w:val="0"/>
          <w:bCs w:val="0"/>
          <w:highlight w:val="none"/>
        </w:rPr>
        <w:t>。</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30" w:firstLineChars="30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本项目投标文件分为纸质版投标文件和电子版投标文件，均由《投标文件（资质标）》、《投标文件（技术标）》、《投标文件（商务标）》（需要包含开标一览表）文件组成，共计3个文件。</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《投标文件（资质标）》一个文件（里面是全部资质投标书），投标文件（技术标）》一个文件（里面是全部技术投标书），《投标文件（商务标）》（开标一览表）一个文件（里面是全部商务投标书），</w:t>
      </w:r>
      <w:r>
        <w:rPr>
          <w:rFonts w:hint="default" w:ascii="Times New Roman" w:hAnsi="Times New Roman" w:cs="Times New Roman"/>
          <w:color w:val="auto"/>
          <w:highlight w:val="yellow"/>
          <w:lang w:val="en-US" w:eastAsia="zh-CN"/>
        </w:rPr>
        <w:t>具体组成等详细要求见招标文件第三部分投标文件编制第三条。</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投递盖章扫描版电子标书（包含资质标书、</w:t>
      </w:r>
      <w:r>
        <w:rPr>
          <w:rFonts w:hint="eastAsia" w:ascii="Times New Roman" w:hAnsi="Times New Roman" w:cs="Times New Roman"/>
          <w:color w:val="auto"/>
          <w:highlight w:val="none"/>
          <w:lang w:val="en-US" w:eastAsia="zh-CN"/>
        </w:rPr>
        <w:t>技术标书、</w:t>
      </w:r>
      <w:r>
        <w:rPr>
          <w:rFonts w:hint="eastAsia" w:ascii="Times New Roman" w:hAnsi="Times New Roman" w:cs="Times New Roman"/>
          <w:color w:val="auto"/>
          <w:lang w:val="en-US" w:eastAsia="zh-CN"/>
        </w:rPr>
        <w:t>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pPr>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纸质标书的份数要求为一式五份，正本一份，副本四份，同类文件封装在一个包封里，包封表面按照附件9标注文件信息；共计三个包封。</w:t>
      </w:r>
    </w:p>
    <w:p>
      <w:pPr>
        <w:pStyle w:val="15"/>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投标需自行携带纸质投标文件至开标地点。</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textAlignment w:val="auto"/>
        <w:rPr>
          <w:rFonts w:hint="eastAsia" w:ascii="Times New Roman" w:hAnsi="Times New Roman" w:cs="Times New Roman"/>
          <w:b/>
          <w:bCs/>
          <w:color w:val="auto"/>
          <w:lang w:val="en-US" w:eastAsia="zh-CN"/>
        </w:rPr>
      </w:pPr>
    </w:p>
    <w:p>
      <w:pPr>
        <w:pStyle w:val="77"/>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highlight w:val="yellow"/>
          <w:u w:val="single"/>
          <w:lang w:val="en-US" w:eastAsia="zh-CN"/>
        </w:rPr>
        <w:t>2026年2月26日9:00:00</w:t>
      </w:r>
      <w:r>
        <w:rPr>
          <w:rFonts w:hint="default"/>
          <w:highlight w:val="yellow"/>
          <w:u w:val="single"/>
          <w:lang w:val="en-US" w:eastAsia="zh-CN"/>
        </w:rPr>
        <w:t>（</w:t>
      </w:r>
      <w:r>
        <w:rPr>
          <w:rFonts w:hint="default" w:ascii="宋体" w:hAnsi="Courier New" w:eastAsia="宋体" w:cs="Times New Roman"/>
          <w:highlight w:val="yellow"/>
          <w:u w:val="single"/>
          <w:lang w:val="en-US" w:eastAsia="zh-CN"/>
        </w:rPr>
        <w:t>北京时间）</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11</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17</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yellow"/>
          <w:lang w:val="en-US" w:eastAsia="zh-CN"/>
        </w:rPr>
        <w:t>2026年2月26</w:t>
      </w:r>
      <w:bookmarkStart w:id="326" w:name="_GoBack"/>
      <w:bookmarkEnd w:id="326"/>
      <w:r>
        <w:rPr>
          <w:rFonts w:hint="eastAsia" w:ascii="宋体" w:hAnsi="宋体" w:eastAsia="宋体" w:cs="宋体"/>
          <w:b w:val="0"/>
          <w:bCs w:val="0"/>
          <w:sz w:val="21"/>
          <w:szCs w:val="21"/>
          <w:highlight w:val="yellow"/>
          <w:lang w:val="en-US" w:eastAsia="zh-CN"/>
        </w:rPr>
        <w:t>日</w:t>
      </w:r>
      <w:r>
        <w:rPr>
          <w:rFonts w:hint="default" w:ascii="宋体" w:hAnsi="宋体" w:eastAsia="宋体" w:cs="宋体"/>
          <w:b w:val="0"/>
          <w:bCs w:val="0"/>
          <w:sz w:val="21"/>
          <w:szCs w:val="21"/>
          <w:highlight w:val="yellow"/>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w:t>
      </w:r>
      <w:r>
        <w:rPr>
          <w:rFonts w:hint="eastAsia" w:cs="Times New Roman"/>
          <w:kern w:val="2"/>
          <w:sz w:val="21"/>
          <w:lang w:val="en-US" w:eastAsia="zh-CN" w:bidi="ar-SA"/>
        </w:rPr>
        <w:t>世纪大道757号车桥公司第二会议室</w:t>
      </w:r>
      <w:r>
        <w:rPr>
          <w:rFonts w:hint="eastAsia" w:ascii="宋体" w:hAnsi="宋体" w:eastAsia="宋体" w:cs="宋体"/>
          <w:b w:val="0"/>
          <w:bCs w:val="0"/>
          <w:sz w:val="21"/>
          <w:szCs w:val="21"/>
          <w:highlight w:val="none"/>
          <w:lang w:val="en-US" w:eastAsia="zh-CN"/>
        </w:rPr>
        <w:t xml:space="preserve"> </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cs="Times New Roman"/>
          <w:b/>
          <w:bCs w:val="0"/>
          <w:color w:val="auto"/>
          <w:kern w:val="2"/>
          <w:sz w:val="21"/>
          <w:highlight w:val="none"/>
          <w:u w:val="none"/>
          <w:lang w:val="en-US" w:eastAsia="zh-CN" w:bidi="ar-SA"/>
        </w:rPr>
        <w:t>现场</w:t>
      </w:r>
      <w:r>
        <w:rPr>
          <w:rFonts w:hint="eastAsia" w:cs="Times New Roman"/>
          <w:b/>
          <w:bCs w:val="0"/>
          <w:color w:val="auto"/>
          <w:highlight w:val="none"/>
          <w:u w:val="none"/>
          <w:lang w:val="en-US" w:eastAsia="zh-CN"/>
        </w:rPr>
        <w:t>招标。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招标公告</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附件9</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tbl>
      <w:tblPr>
        <w:tblStyle w:val="31"/>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880"/>
        <w:gridCol w:w="1765"/>
        <w:gridCol w:w="1350"/>
        <w:gridCol w:w="42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88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176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13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4298"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lang w:eastAsia="zh-CN"/>
              </w:rPr>
            </w:pPr>
            <w:r>
              <w:rPr>
                <w:rFonts w:hint="eastAsia" w:ascii="宋体"/>
              </w:rPr>
              <w:t>技术标</w:t>
            </w:r>
          </w:p>
        </w:tc>
        <w:tc>
          <w:tcPr>
            <w:tcW w:w="88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1765" w:type="dxa"/>
            <w:tcBorders>
              <w:top w:val="single" w:color="auto" w:sz="4" w:space="0"/>
              <w:left w:val="single" w:color="auto" w:sz="4" w:space="0"/>
              <w:right w:val="single" w:color="auto" w:sz="4" w:space="0"/>
            </w:tcBorders>
            <w:vAlign w:val="center"/>
          </w:tcPr>
          <w:p>
            <w:pPr>
              <w:spacing w:line="420" w:lineRule="exact"/>
              <w:rPr>
                <w:rFonts w:ascii="宋体"/>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p>
        </w:tc>
        <w:tc>
          <w:tcPr>
            <w:tcW w:w="1350"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eastAsia="宋体"/>
                <w:szCs w:val="21"/>
                <w:lang w:val="en-US" w:eastAsia="zh-CN"/>
              </w:rPr>
            </w:pPr>
            <w:r>
              <w:rPr>
                <w:rFonts w:hint="eastAsia" w:ascii="宋体" w:hAnsi="宋体" w:eastAsia="宋体"/>
                <w:lang w:val="en-US" w:eastAsia="zh-CN"/>
              </w:rPr>
              <w:t>10</w:t>
            </w:r>
          </w:p>
        </w:tc>
        <w:tc>
          <w:tcPr>
            <w:tcW w:w="4298" w:type="dxa"/>
            <w:tcBorders>
              <w:top w:val="single" w:color="auto" w:sz="4" w:space="0"/>
              <w:left w:val="single" w:color="auto" w:sz="4" w:space="0"/>
              <w:bottom w:val="single" w:color="auto" w:sz="4" w:space="0"/>
              <w:right w:val="single" w:color="auto" w:sz="4" w:space="0"/>
            </w:tcBorders>
            <w:vAlign w:val="center"/>
          </w:tcPr>
          <w:p>
            <w:pPr>
              <w:spacing w:line="420" w:lineRule="exact"/>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r>
              <w:rPr>
                <w:rFonts w:hint="eastAsia" w:ascii="宋体" w:hAnsi="宋体"/>
                <w:bCs/>
              </w:rPr>
              <w:t>视情况得0-</w:t>
            </w:r>
            <w:r>
              <w:rPr>
                <w:rFonts w:hint="eastAsia" w:ascii="宋体" w:hAnsi="宋体"/>
                <w:bCs/>
                <w:lang w:val="en-US" w:eastAsia="zh-CN"/>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rPr>
            </w:pPr>
            <w:r>
              <w:rPr>
                <w:rFonts w:hint="eastAsia" w:ascii="宋体" w:hAnsi="宋体"/>
                <w:bCs/>
              </w:rPr>
              <w:t>产品方案技术先进、各系统完善、性能可靠，设备主要核心部件，具备自身技术优势</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rPr>
            </w:pPr>
            <w:r>
              <w:rPr>
                <w:rFonts w:hint="eastAsia" w:ascii="宋体" w:hAnsi="宋体" w:eastAsia="宋体"/>
                <w:lang w:val="en-US" w:eastAsia="zh-CN"/>
              </w:rPr>
              <w:t>50</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产品方案技术先进、各系统完善、性能可靠，设备主要核心部件，具备自身技术优势，节能环保</w:t>
            </w:r>
            <w:r>
              <w:rPr>
                <w:rFonts w:hint="eastAsia" w:ascii="宋体" w:hAnsi="宋体"/>
                <w:bCs/>
                <w:lang w:eastAsia="zh-CN"/>
              </w:rPr>
              <w:t>；</w:t>
            </w:r>
            <w:r>
              <w:rPr>
                <w:rFonts w:hint="eastAsia" w:ascii="宋体" w:hAnsi="宋体"/>
                <w:bCs/>
                <w:lang w:val="en-US" w:eastAsia="zh-CN"/>
              </w:rPr>
              <w:t>螺柱焊机功率满足要求，电流调节范围符合要求，视情况得0-20分；焊枪枪头材料耐高温，焊接处采用防飞溅护具等方案，视情况得0-20分；主要部件选用品牌、规格档次不低于标书要求，视情况得0-10分，低于标书要求扣0-10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rPr>
            </w:pPr>
            <w:r>
              <w:rPr>
                <w:rFonts w:hint="eastAsia" w:ascii="宋体" w:hAnsi="宋体"/>
                <w:bCs/>
              </w:rPr>
              <w:t>产品维保</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rPr>
            </w:pPr>
            <w:r>
              <w:rPr>
                <w:rFonts w:hint="eastAsia" w:ascii="宋体" w:hAnsi="宋体" w:eastAsia="宋体"/>
                <w:lang w:val="en-US" w:eastAsia="zh-CN"/>
              </w:rPr>
              <w:t>10</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pPr>
            <w:r>
              <w:rPr>
                <w:rFonts w:hint="eastAsia" w:ascii="宋体" w:hAnsi="宋体"/>
              </w:rPr>
              <w:t>计划控制</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pPr>
            <w:r>
              <w:rPr>
                <w:rFonts w:hint="eastAsia" w:ascii="宋体" w:hAnsi="宋体"/>
                <w:bCs/>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eastAsia="宋体"/>
                <w:lang w:val="en-US" w:eastAsia="zh-CN"/>
              </w:rPr>
            </w:pPr>
            <w:r>
              <w:rPr>
                <w:rFonts w:hint="eastAsia" w:ascii="宋体" w:hAnsi="宋体"/>
              </w:rPr>
              <w:t>业绩</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最近连续三年有国内外知名</w:t>
            </w:r>
            <w:r>
              <w:rPr>
                <w:rFonts w:hint="eastAsia" w:ascii="宋体" w:hAnsi="宋体"/>
                <w:bCs/>
                <w:lang w:val="en-US" w:eastAsia="zh-CN"/>
              </w:rPr>
              <w:t>厂家同类设备的</w:t>
            </w:r>
            <w:r>
              <w:rPr>
                <w:rFonts w:hint="eastAsia" w:ascii="宋体" w:hAnsi="宋体"/>
                <w:bCs/>
              </w:rPr>
              <w:t>供货经历或其他大型供货经历</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ascii="宋体" w:hAnsi="宋体"/>
              </w:rPr>
              <w:t>质量保证</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szCs w:val="21"/>
                <w:highlight w:val="none"/>
                <w:lang w:val="en-US" w:eastAsia="zh-CN"/>
              </w:rPr>
              <w:t>技术偏离</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lang w:val="en-US" w:eastAsia="zh-CN"/>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rPr>
                <w:rFonts w:hint="eastAsia"/>
                <w:szCs w:val="21"/>
                <w:lang w:val="en-US" w:eastAsia="zh-CN"/>
              </w:rPr>
            </w:pPr>
            <w:r>
              <w:rPr>
                <w:rFonts w:hint="eastAsia"/>
                <w:szCs w:val="21"/>
                <w:lang w:val="en-US" w:eastAsia="zh-CN"/>
              </w:rPr>
              <w:t>技术方案优于招标要求的视情况加1-5分；</w:t>
            </w:r>
          </w:p>
          <w:p>
            <w:pPr>
              <w:spacing w:line="420" w:lineRule="exact"/>
            </w:pPr>
            <w:r>
              <w:rPr>
                <w:rFonts w:hint="eastAsia"/>
                <w:szCs w:val="21"/>
                <w:lang w:val="en-US" w:eastAsia="zh-CN"/>
              </w:rPr>
              <w:t>不满足招标要求的视情况减1-5分。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ascii="宋体" w:hAnsi="宋体" w:eastAsia="宋体"/>
                <w:lang w:val="en-US" w:eastAsia="zh-CN"/>
              </w:rPr>
              <w:t>项目交期</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eastAsia="宋体"/>
                <w:lang w:val="en-US" w:eastAsia="zh-CN"/>
              </w:rPr>
              <w:t>10</w:t>
            </w:r>
          </w:p>
        </w:tc>
        <w:tc>
          <w:tcPr>
            <w:tcW w:w="4298" w:type="dxa"/>
            <w:tcBorders>
              <w:top w:val="single" w:color="auto" w:sz="4" w:space="0"/>
              <w:left w:val="single" w:color="auto" w:sz="4" w:space="0"/>
              <w:bottom w:val="nil"/>
              <w:right w:val="single" w:color="auto" w:sz="4" w:space="0"/>
            </w:tcBorders>
            <w:vAlign w:val="center"/>
          </w:tcPr>
          <w:p>
            <w:pPr>
              <w:tabs>
                <w:tab w:val="left" w:pos="7854"/>
              </w:tabs>
            </w:pPr>
            <w:r>
              <w:rPr>
                <w:rFonts w:hint="eastAsia"/>
                <w:szCs w:val="21"/>
              </w:rPr>
              <w:t>可以提前完成项目交货，视情况得</w:t>
            </w:r>
            <w:r>
              <w:rPr>
                <w:szCs w:val="21"/>
              </w:rPr>
              <w:t>0-</w:t>
            </w:r>
            <w:r>
              <w:rPr>
                <w:rFonts w:hint="eastAsia"/>
                <w:szCs w:val="21"/>
                <w:lang w:val="en-US" w:eastAsia="zh-CN"/>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lang w:val="en-US" w:eastAsia="zh-CN"/>
              </w:rPr>
              <w:t>100</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hAnsi="宋体"/>
                <w:highlight w:val="none"/>
              </w:rPr>
              <w:t>投标报价</w:t>
            </w:r>
          </w:p>
        </w:tc>
        <w:tc>
          <w:tcPr>
            <w:tcW w:w="13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4298" w:type="dxa"/>
            <w:tcBorders>
              <w:top w:val="single" w:color="auto" w:sz="4" w:space="0"/>
              <w:left w:val="single" w:color="auto" w:sz="4" w:space="0"/>
              <w:bottom w:val="nil"/>
              <w:right w:val="single" w:color="auto" w:sz="4" w:space="0"/>
            </w:tcBorders>
            <w:vAlign w:val="center"/>
          </w:tcPr>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评标基准价： </w:t>
            </w:r>
          </w:p>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1、评标基准价为所有合理有效的最终投标报价的最低价。</w:t>
            </w:r>
          </w:p>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2、有效的评标基准价得100分；其他投标人的价格得分按下列公式计算：投标价格得分=100×（评标基准价/投标报价）。</w:t>
            </w:r>
          </w:p>
          <w:p>
            <w:pPr>
              <w:spacing w:line="420" w:lineRule="exact"/>
              <w:rPr>
                <w:highlight w:val="yellow"/>
              </w:rPr>
            </w:pPr>
            <w:r>
              <w:rPr>
                <w:rFonts w:hint="eastAsia" w:ascii="Times New Roman" w:hAnsi="Times New Roman" w:cs="Times New Roman"/>
                <w:szCs w:val="21"/>
                <w:lang w:val="en-US" w:eastAsia="zh-CN"/>
              </w:rPr>
              <w:t>注：得分值取小数点后两位，不足一个百分点的，按照四舍五入法计算。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pPr>
              <w:rPr>
                <w:rFonts w:hint="eastAsia" w:ascii="宋体" w:hAnsi="宋体"/>
              </w:rPr>
            </w:pPr>
            <w:r>
              <w:rPr>
                <w:rFonts w:hint="eastAsia" w:ascii="宋体" w:hAnsi="宋体"/>
              </w:rPr>
              <w:t>3、评委打分超过得分界限或未按本方法赋分时，该评委的打分按废票处理。</w:t>
            </w:r>
          </w:p>
          <w:p>
            <w:pPr>
              <w:rPr>
                <w:rFonts w:hint="eastAsia" w:ascii="宋体" w:hAnsi="宋体"/>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r>
              <w:rPr>
                <w:rFonts w:hint="eastAsia" w:ascii="宋体" w:hAnsi="宋体" w:cs="Times New Roman"/>
                <w:lang w:val="en-US" w:eastAsia="zh-CN"/>
              </w:rPr>
              <w:t>5、综合得分=技术分×40%＋商务标得分×60%</w:t>
            </w:r>
          </w:p>
        </w:tc>
      </w:tr>
    </w:tbl>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5"/>
      <w:bookmarkStart w:id="7" w:name="OLE_LINK26"/>
      <w:bookmarkStart w:id="8" w:name="OLE_LINK28"/>
      <w:bookmarkStart w:id="9" w:name="OLE_LINK29"/>
      <w:bookmarkStart w:id="10" w:name="OLE_LINK27"/>
      <w:r>
        <w:rPr>
          <w:rFonts w:hint="eastAsia" w:ascii="宋体" w:hAnsi="宋体" w:eastAsia="宋体" w:cs="宋体"/>
          <w:sz w:val="21"/>
          <w:szCs w:val="21"/>
          <w:highlight w:val="none"/>
        </w:rPr>
        <w:t>；</w:t>
      </w:r>
      <w:bookmarkEnd w:id="6"/>
      <w:bookmarkEnd w:id="7"/>
      <w:bookmarkEnd w:id="8"/>
      <w:bookmarkEnd w:id="9"/>
      <w:bookmarkEnd w:id="10"/>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sz w:val="24"/>
          <w:szCs w:val="22"/>
          <w:lang w:val="en-US" w:eastAsia="zh-CN"/>
        </w:rPr>
      </w:pPr>
      <w:r>
        <w:rPr>
          <w:rFonts w:hint="eastAsia" w:cs="Times New Roman"/>
          <w:sz w:val="24"/>
          <w:szCs w:val="22"/>
          <w:lang w:val="en-US" w:eastAsia="zh-CN"/>
        </w:rPr>
        <w:t>交货时间：</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sz w:val="24"/>
          <w:szCs w:val="22"/>
          <w:lang w:val="en-US" w:eastAsia="zh-CN"/>
        </w:rPr>
      </w:pPr>
      <w:r>
        <w:rPr>
          <w:rFonts w:hint="eastAsia" w:cs="Times New Roman"/>
          <w:sz w:val="24"/>
          <w:szCs w:val="22"/>
          <w:lang w:val="en-US" w:eastAsia="zh-CN"/>
        </w:rPr>
        <w:t>投标方应自合同签定之日起，20个日历日之内交货至供货地点；</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sz w:val="24"/>
          <w:szCs w:val="22"/>
          <w:lang w:val="en-US" w:eastAsia="zh-CN"/>
        </w:rPr>
      </w:pPr>
      <w:r>
        <w:rPr>
          <w:rFonts w:hint="eastAsia" w:cs="Times New Roman"/>
          <w:sz w:val="24"/>
          <w:szCs w:val="22"/>
          <w:lang w:val="en-US" w:eastAsia="zh-CN"/>
        </w:rPr>
        <w:t>接续 5 个日历日之内安装调试完毕；</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sz w:val="24"/>
          <w:szCs w:val="22"/>
          <w:lang w:val="en-US" w:eastAsia="zh-CN"/>
        </w:rPr>
      </w:pPr>
      <w:r>
        <w:rPr>
          <w:rFonts w:hint="eastAsia" w:cs="Times New Roman"/>
          <w:sz w:val="24"/>
          <w:szCs w:val="22"/>
          <w:highlight w:val="none"/>
          <w:lang w:val="en-US" w:eastAsia="zh-CN"/>
        </w:rPr>
        <w:t>质保期：</w:t>
      </w:r>
      <w:r>
        <w:rPr>
          <w:rFonts w:hint="eastAsia" w:cs="Times New Roman"/>
          <w:sz w:val="24"/>
          <w:szCs w:val="22"/>
          <w:lang w:val="en-US" w:eastAsia="zh-CN"/>
        </w:rPr>
        <w:t>自终验收签字生效之日起  12 个月。</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sz w:val="24"/>
          <w:szCs w:val="22"/>
          <w:lang w:val="en-US" w:eastAsia="zh-CN"/>
        </w:rPr>
      </w:pPr>
      <w:r>
        <w:rPr>
          <w:rFonts w:hint="eastAsia" w:cs="Times New Roman"/>
          <w:sz w:val="24"/>
          <w:szCs w:val="22"/>
          <w:lang w:val="en-US" w:eastAsia="zh-CN"/>
        </w:rPr>
        <w:t>付款方式：半年期商业汇票（包括银行承兑汇票和商业承兑汇票）</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sz w:val="24"/>
          <w:szCs w:val="22"/>
          <w:lang w:val="en-US" w:eastAsia="zh-CN"/>
        </w:rPr>
      </w:pPr>
      <w:r>
        <w:rPr>
          <w:rFonts w:hint="eastAsia" w:cs="Times New Roman"/>
          <w:sz w:val="24"/>
          <w:szCs w:val="22"/>
          <w:lang w:val="en-US" w:eastAsia="zh-CN"/>
        </w:rPr>
        <w:t>付款节点：</w:t>
      </w:r>
    </w:p>
    <w:p>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default" w:cs="Times New Roman"/>
          <w:sz w:val="24"/>
          <w:szCs w:val="22"/>
          <w:lang w:val="en-US" w:eastAsia="zh-CN"/>
        </w:rPr>
      </w:pPr>
      <w:r>
        <w:rPr>
          <w:rFonts w:hint="eastAsia" w:cs="Times New Roman"/>
          <w:sz w:val="24"/>
          <w:szCs w:val="22"/>
          <w:lang w:val="en-US" w:eastAsia="zh-CN"/>
        </w:rPr>
        <w:t>付款方式和付款比例不允许偏离</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highlight w:val="none"/>
          <w:lang w:val="en-US" w:eastAsia="zh-CN"/>
        </w:rPr>
        <w:t>重汽（济南）车桥有限公司</w:t>
      </w:r>
      <w:r>
        <w:rPr>
          <w:rFonts w:hint="eastAsia"/>
          <w:lang w:val="en-US" w:eastAsia="zh-CN"/>
        </w:rPr>
        <w:t>。</w:t>
      </w:r>
    </w:p>
    <w:p>
      <w:pPr>
        <w:pStyle w:val="77"/>
        <w:bidi w:val="0"/>
      </w:pPr>
    </w:p>
    <w:p>
      <w:pPr>
        <w:pStyle w:val="77"/>
        <w:bidi w:val="0"/>
        <w:rPr>
          <w:rFonts w:hint="eastAsia"/>
        </w:rPr>
      </w:pPr>
      <w:bookmarkStart w:id="11" w:name="_Toc47976607"/>
    </w:p>
    <w:p>
      <w:pPr>
        <w:pStyle w:val="77"/>
        <w:bidi w:val="0"/>
        <w:rPr>
          <w:rFonts w:hint="eastAsia"/>
        </w:rPr>
      </w:pPr>
    </w:p>
    <w:p>
      <w:pPr>
        <w:pStyle w:val="77"/>
        <w:bidi w:val="0"/>
        <w:rPr>
          <w:rFonts w:hint="eastAsia"/>
        </w:rPr>
      </w:pPr>
    </w:p>
    <w:p>
      <w:pPr>
        <w:pStyle w:val="77"/>
        <w:bidi w:val="0"/>
        <w:rPr>
          <w:rFonts w:hint="eastAsia"/>
        </w:rPr>
      </w:pPr>
    </w:p>
    <w:p>
      <w:pPr>
        <w:rPr>
          <w:rFonts w:hint="eastAsia"/>
        </w:rPr>
      </w:pPr>
      <w:r>
        <w:rPr>
          <w:rFonts w:hint="eastAsia"/>
        </w:rPr>
        <w:br w:type="page"/>
      </w:r>
    </w:p>
    <w:p>
      <w:pPr>
        <w:pStyle w:val="72"/>
        <w:jc w:val="center"/>
        <w:rPr>
          <w:b w:val="0"/>
          <w:bCs w:val="0"/>
        </w:rPr>
      </w:pPr>
      <w:bookmarkStart w:id="12" w:name="_Toc16839"/>
      <w:r>
        <w:rPr>
          <w:rFonts w:hint="eastAsia"/>
        </w:rPr>
        <w:t>第二部分　</w:t>
      </w:r>
      <w:bookmarkEnd w:id="11"/>
      <w:r>
        <w:rPr>
          <w:rFonts w:hint="eastAsia"/>
          <w:lang w:val="en-US" w:eastAsia="zh-CN"/>
        </w:rPr>
        <w:t>技术标书</w:t>
      </w:r>
      <w:bookmarkEnd w:id="12"/>
    </w:p>
    <w:p>
      <w:pPr>
        <w:adjustRightInd w:val="0"/>
        <w:snapToGrid w:val="0"/>
        <w:spacing w:before="163" w:beforeLines="50" w:after="163" w:afterLines="50" w:line="360" w:lineRule="auto"/>
        <w:jc w:val="center"/>
        <w:outlineLvl w:val="0"/>
        <w:rPr>
          <w:rFonts w:ascii="仿宋" w:hAnsi="仿宋" w:eastAsia="仿宋" w:cs="仿宋"/>
          <w:b/>
          <w:bCs/>
        </w:rPr>
      </w:pPr>
      <w:bookmarkStart w:id="13" w:name="_Toc19716"/>
      <w:bookmarkStart w:id="14" w:name="_Toc19570"/>
      <w:bookmarkStart w:id="15" w:name="_Toc2042"/>
      <w:bookmarkStart w:id="16" w:name="_Toc7975"/>
      <w:bookmarkStart w:id="17" w:name="_Toc2174"/>
      <w:bookmarkStart w:id="18" w:name="_Toc73112396"/>
      <w:r>
        <w:rPr>
          <w:rFonts w:hint="eastAsia" w:ascii="仿宋" w:hAnsi="仿宋" w:eastAsia="仿宋" w:cs="仿宋"/>
          <w:b/>
          <w:bCs/>
        </w:rPr>
        <w:t>第一章采购货物概况</w:t>
      </w:r>
      <w:bookmarkEnd w:id="13"/>
      <w:bookmarkEnd w:id="14"/>
      <w:bookmarkEnd w:id="15"/>
      <w:bookmarkEnd w:id="16"/>
      <w:bookmarkEnd w:id="17"/>
      <w:bookmarkEnd w:id="18"/>
      <w:bookmarkStart w:id="19" w:name="_Toc133783967"/>
    </w:p>
    <w:p>
      <w:pPr>
        <w:adjustRightInd w:val="0"/>
        <w:snapToGrid w:val="0"/>
        <w:spacing w:line="360" w:lineRule="auto"/>
        <w:jc w:val="center"/>
        <w:outlineLvl w:val="1"/>
        <w:rPr>
          <w:rFonts w:ascii="仿宋" w:hAnsi="仿宋" w:eastAsia="仿宋" w:cs="仿宋"/>
          <w:b/>
          <w:bCs/>
        </w:rPr>
      </w:pPr>
      <w:bookmarkStart w:id="20" w:name="_Toc30245"/>
      <w:bookmarkStart w:id="21" w:name="_Toc5983"/>
      <w:bookmarkStart w:id="22" w:name="_Toc5400"/>
      <w:bookmarkStart w:id="23" w:name="_Toc4004"/>
      <w:bookmarkStart w:id="24" w:name="_Toc11411"/>
      <w:bookmarkStart w:id="25" w:name="_Toc6606"/>
      <w:bookmarkStart w:id="26" w:name="_Toc29605"/>
      <w:bookmarkStart w:id="27" w:name="_Toc11763"/>
      <w:bookmarkStart w:id="28" w:name="_Toc22942"/>
      <w:bookmarkStart w:id="29" w:name="_Toc73112397"/>
      <w:bookmarkStart w:id="30" w:name="_Toc892"/>
      <w:bookmarkStart w:id="31" w:name="_Toc6436"/>
      <w:bookmarkStart w:id="32" w:name="_Toc5172"/>
      <w:bookmarkStart w:id="33" w:name="_Toc5826"/>
      <w:bookmarkStart w:id="34" w:name="_Toc30246"/>
      <w:bookmarkStart w:id="35" w:name="_Toc9983"/>
      <w:bookmarkStart w:id="36" w:name="_Toc22424"/>
      <w:bookmarkStart w:id="37" w:name="_Toc21892"/>
      <w:bookmarkStart w:id="38" w:name="_Toc29927"/>
      <w:bookmarkStart w:id="39" w:name="_Toc24689"/>
      <w:bookmarkStart w:id="40" w:name="_Toc29157"/>
      <w:bookmarkStart w:id="41" w:name="_Toc5609"/>
      <w:bookmarkStart w:id="42" w:name="_Toc25011"/>
      <w:bookmarkStart w:id="43" w:name="_Toc2152"/>
      <w:bookmarkStart w:id="44" w:name="_Toc21756"/>
      <w:bookmarkStart w:id="45" w:name="_Toc16714"/>
      <w:bookmarkStart w:id="46" w:name="_Toc2996"/>
      <w:bookmarkStart w:id="47" w:name="_Toc17474"/>
      <w:bookmarkStart w:id="48" w:name="_Toc30808"/>
      <w:bookmarkStart w:id="49" w:name="_Toc864"/>
      <w:bookmarkStart w:id="50" w:name="_Toc10612"/>
      <w:bookmarkStart w:id="51" w:name="_Toc31000"/>
      <w:bookmarkStart w:id="52" w:name="_Toc7515"/>
      <w:bookmarkStart w:id="53" w:name="_Toc2940"/>
      <w:bookmarkStart w:id="54" w:name="_Toc7159"/>
      <w:bookmarkStart w:id="55" w:name="_Toc8362"/>
      <w:bookmarkStart w:id="56" w:name="_Toc6498"/>
      <w:bookmarkStart w:id="57" w:name="_Toc19070"/>
      <w:bookmarkStart w:id="58" w:name="_Toc27214"/>
      <w:bookmarkStart w:id="59" w:name="_Toc28361"/>
      <w:bookmarkStart w:id="60" w:name="_Toc5420"/>
      <w:bookmarkStart w:id="61" w:name="_Toc7333"/>
      <w:r>
        <w:rPr>
          <w:rFonts w:hint="eastAsia" w:ascii="仿宋" w:hAnsi="仿宋" w:eastAsia="仿宋" w:cs="仿宋"/>
          <w:b/>
          <w:bCs/>
        </w:rPr>
        <w:t>第一节使用环境</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numPr>
          <w:ilvl w:val="0"/>
          <w:numId w:val="29"/>
        </w:numPr>
        <w:spacing w:line="360" w:lineRule="auto"/>
        <w:ind w:left="900" w:leftChars="0" w:firstLine="0" w:firstLineChars="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济南车桥公司驱动桥总成产能提升-新增螺柱焊机项目</w:t>
      </w:r>
    </w:p>
    <w:p>
      <w:pPr>
        <w:numPr>
          <w:ilvl w:val="0"/>
          <w:numId w:val="29"/>
        </w:numPr>
        <w:spacing w:line="360" w:lineRule="auto"/>
        <w:ind w:left="900" w:leftChars="0" w:firstLine="0" w:firstLineChars="0"/>
        <w:rPr>
          <w:rFonts w:hint="default" w:ascii="仿宋" w:hAnsi="仿宋" w:eastAsia="仿宋" w:cs="仿宋"/>
          <w:sz w:val="24"/>
          <w:szCs w:val="24"/>
          <w:lang w:val="en-US" w:eastAsia="zh-CN"/>
        </w:rPr>
      </w:pPr>
      <w:r>
        <w:rPr>
          <w:rFonts w:hint="eastAsia" w:ascii="仿宋" w:hAnsi="仿宋" w:eastAsia="仿宋" w:cs="仿宋"/>
          <w:sz w:val="24"/>
          <w:szCs w:val="24"/>
        </w:rPr>
        <w:t>建设地点：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山东省济南市历城区世纪大道757号（工地）</w:t>
      </w:r>
    </w:p>
    <w:p>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三、使用地点：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山东省济南市历城区世纪大道757号（室内）</w:t>
      </w:r>
      <w:r>
        <w:rPr>
          <w:rFonts w:hint="eastAsia" w:ascii="仿宋" w:hAnsi="仿宋" w:eastAsia="仿宋" w:cs="仿宋"/>
          <w:sz w:val="24"/>
          <w:szCs w:val="24"/>
          <w:u w:val="single"/>
          <w:lang w:val="en-US" w:eastAsia="zh-CN"/>
        </w:rPr>
        <w:t xml:space="preserve">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四、工作制度：全年工作</w:t>
      </w:r>
      <w:r>
        <w:rPr>
          <w:rFonts w:hint="eastAsia" w:ascii="仿宋" w:hAnsi="仿宋" w:eastAsia="仿宋" w:cs="仿宋"/>
          <w:sz w:val="24"/>
          <w:szCs w:val="24"/>
          <w:shd w:val="clear" w:color="FFFFFF" w:fill="D9D9D9"/>
        </w:rPr>
        <w:t>300</w:t>
      </w:r>
      <w:r>
        <w:rPr>
          <w:rFonts w:hint="eastAsia" w:ascii="仿宋" w:hAnsi="仿宋" w:eastAsia="仿宋" w:cs="仿宋"/>
          <w:sz w:val="24"/>
          <w:szCs w:val="24"/>
        </w:rPr>
        <w:t>天、</w:t>
      </w:r>
      <w:r>
        <w:rPr>
          <w:rFonts w:hint="eastAsia" w:ascii="仿宋" w:hAnsi="仿宋" w:eastAsia="仿宋" w:cs="仿宋"/>
          <w:sz w:val="24"/>
          <w:szCs w:val="24"/>
          <w:shd w:val="clear" w:color="FFFFFF" w:fill="D9D9D9"/>
          <w:lang w:val="en-US" w:eastAsia="zh-CN"/>
        </w:rPr>
        <w:t>2</w:t>
      </w:r>
      <w:r>
        <w:rPr>
          <w:rFonts w:hint="eastAsia" w:ascii="仿宋" w:hAnsi="仿宋" w:eastAsia="仿宋" w:cs="仿宋"/>
          <w:sz w:val="24"/>
          <w:szCs w:val="24"/>
        </w:rPr>
        <w:t>班制、设备年时基数</w:t>
      </w:r>
      <w:r>
        <w:rPr>
          <w:rFonts w:hint="eastAsia" w:ascii="仿宋" w:hAnsi="仿宋" w:eastAsia="仿宋" w:cs="仿宋"/>
          <w:sz w:val="24"/>
          <w:szCs w:val="24"/>
          <w:shd w:val="clear" w:color="FFFFFF" w:fill="D9D9D9"/>
        </w:rPr>
        <w:t>7200</w:t>
      </w:r>
      <w:r>
        <w:rPr>
          <w:rFonts w:hint="eastAsia" w:ascii="仿宋" w:hAnsi="仿宋" w:eastAsia="仿宋" w:cs="仿宋"/>
          <w:sz w:val="24"/>
          <w:szCs w:val="24"/>
        </w:rPr>
        <w:t>小时。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五、使用地点区域自然环境：</w:t>
      </w:r>
    </w:p>
    <w:p>
      <w:pPr>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1、</w:t>
      </w:r>
      <w:r>
        <w:rPr>
          <w:rFonts w:hint="eastAsia" w:ascii="仿宋" w:hAnsi="仿宋" w:eastAsia="仿宋" w:cs="仿宋"/>
          <w:bCs/>
          <w:sz w:val="24"/>
          <w:szCs w:val="24"/>
        </w:rPr>
        <w:t>海拨高度：1000m以下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2、</w:t>
      </w:r>
      <w:r>
        <w:rPr>
          <w:rFonts w:hint="eastAsia" w:ascii="仿宋" w:hAnsi="仿宋" w:eastAsia="仿宋" w:cs="仿宋"/>
          <w:sz w:val="24"/>
          <w:szCs w:val="24"/>
        </w:rPr>
        <w:t>环境温度：室外极端最低温度-19.7℃、极端最高温度42.5℃，昼夜最大温</w:t>
      </w:r>
      <w:r>
        <w:rPr>
          <w:rFonts w:hint="eastAsia" w:ascii="仿宋" w:hAnsi="仿宋" w:eastAsia="仿宋" w:cs="仿宋"/>
          <w:bCs/>
          <w:sz w:val="24"/>
          <w:szCs w:val="24"/>
        </w:rPr>
        <w:t>差25℃；室内温度5～42℃。</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3、相对湿度：年平均59%，</w:t>
      </w:r>
      <w:r>
        <w:rPr>
          <w:rFonts w:hint="eastAsia" w:ascii="仿宋" w:hAnsi="仿宋" w:eastAsia="仿宋" w:cs="仿宋"/>
          <w:bCs/>
          <w:sz w:val="24"/>
          <w:szCs w:val="24"/>
        </w:rPr>
        <w:t>最大95%、最小15%。</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六、能源环境：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1、电力：中国制式，供电电压380V±15% / 220V±15%，供电频率50Hz±2%。</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2、给水：市政自来水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3、压缩空气：0.4～0.6MPa</w:t>
      </w:r>
    </w:p>
    <w:p>
      <w:pPr>
        <w:pStyle w:val="6"/>
        <w:spacing w:line="360" w:lineRule="auto"/>
        <w:jc w:val="center"/>
        <w:rPr>
          <w:rFonts w:hint="eastAsia" w:ascii="仿宋" w:hAnsi="仿宋" w:eastAsia="仿宋" w:cs="仿宋"/>
          <w:b w:val="0"/>
          <w:sz w:val="24"/>
          <w:szCs w:val="24"/>
        </w:rPr>
      </w:pPr>
      <w:bookmarkStart w:id="62" w:name="_Toc14455"/>
      <w:bookmarkStart w:id="63" w:name="_Toc16223"/>
      <w:bookmarkStart w:id="64" w:name="_Toc15781"/>
      <w:bookmarkStart w:id="65" w:name="_Toc293006054"/>
      <w:bookmarkStart w:id="66" w:name="_Toc314"/>
      <w:r>
        <w:rPr>
          <w:rFonts w:hint="eastAsia" w:ascii="仿宋" w:hAnsi="仿宋" w:eastAsia="仿宋" w:cs="仿宋"/>
          <w:bCs w:val="0"/>
          <w:sz w:val="24"/>
          <w:szCs w:val="24"/>
        </w:rPr>
        <w:t>第二节  采购货物概况</w:t>
      </w:r>
      <w:bookmarkEnd w:id="62"/>
      <w:bookmarkEnd w:id="63"/>
      <w:bookmarkEnd w:id="64"/>
      <w:bookmarkEnd w:id="65"/>
      <w:bookmarkEnd w:id="66"/>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一、货物（或生产线）名称：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螺柱焊机</w:t>
      </w:r>
      <w:r>
        <w:rPr>
          <w:rFonts w:hint="eastAsia" w:ascii="仿宋" w:hAnsi="仿宋" w:eastAsia="仿宋" w:cs="仿宋"/>
          <w:sz w:val="24"/>
          <w:szCs w:val="24"/>
          <w:u w:val="single"/>
        </w:rPr>
        <w:t xml:space="preserve">        </w:t>
      </w:r>
    </w:p>
    <w:p>
      <w:pPr>
        <w:spacing w:line="360" w:lineRule="auto"/>
        <w:ind w:firstLine="482" w:firstLineChars="200"/>
        <w:rPr>
          <w:rFonts w:hint="eastAsia" w:ascii="仿宋" w:hAnsi="仿宋" w:eastAsia="仿宋" w:cs="仿宋"/>
          <w:sz w:val="24"/>
          <w:szCs w:val="24"/>
          <w:lang w:val="en-US" w:eastAsia="zh-CN"/>
        </w:rPr>
      </w:pPr>
      <w:r>
        <w:rPr>
          <w:rFonts w:hint="eastAsia" w:ascii="仿宋" w:hAnsi="仿宋" w:eastAsia="仿宋" w:cs="仿宋"/>
          <w:b/>
          <w:bCs/>
          <w:sz w:val="24"/>
          <w:szCs w:val="24"/>
        </w:rPr>
        <w:t>二、货物（或生产线）数量：</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1台</w:t>
      </w:r>
      <w:r>
        <w:rPr>
          <w:rFonts w:hint="eastAsia" w:ascii="仿宋" w:hAnsi="仿宋" w:eastAsia="仿宋" w:cs="仿宋"/>
          <w:sz w:val="24"/>
          <w:szCs w:val="24"/>
          <w:u w:val="single"/>
        </w:rPr>
        <w:t xml:space="preserve">（详见下表）   </w:t>
      </w:r>
      <w:r>
        <w:rPr>
          <w:rFonts w:hint="eastAsia" w:ascii="仿宋" w:hAnsi="仿宋" w:eastAsia="仿宋" w:cs="仿宋"/>
          <w:sz w:val="24"/>
          <w:szCs w:val="24"/>
          <w:u w:val="single"/>
          <w:lang w:val="en-US" w:eastAsia="zh-CN"/>
        </w:rPr>
        <w:t xml:space="preserve"> </w:t>
      </w:r>
    </w:p>
    <w:p>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三、</w:t>
      </w:r>
      <w:bookmarkStart w:id="67" w:name="_Toc28930"/>
      <w:r>
        <w:rPr>
          <w:rFonts w:hint="eastAsia" w:ascii="仿宋" w:hAnsi="仿宋" w:eastAsia="仿宋" w:cs="仿宋"/>
          <w:b/>
          <w:bCs/>
          <w:sz w:val="24"/>
          <w:szCs w:val="24"/>
        </w:rPr>
        <w:t>采购货物（或生产线）主要构成一览表</w:t>
      </w:r>
      <w:bookmarkEnd w:id="67"/>
    </w:p>
    <w:tbl>
      <w:tblPr>
        <w:tblStyle w:val="31"/>
        <w:tblpPr w:leftFromText="180" w:rightFromText="180" w:vertAnchor="text" w:tblpXSpec="center" w:tblpY="1"/>
        <w:tblOverlap w:val="never"/>
        <w:tblW w:w="7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745"/>
        <w:gridCol w:w="776"/>
        <w:gridCol w:w="832"/>
        <w:gridCol w:w="749"/>
        <w:gridCol w:w="1548"/>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5" w:type="dxa"/>
            <w:noWrap w:val="0"/>
            <w:vAlign w:val="center"/>
          </w:tcPr>
          <w:p>
            <w:pPr>
              <w:pStyle w:val="64"/>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745" w:type="dxa"/>
            <w:noWrap w:val="0"/>
            <w:vAlign w:val="center"/>
          </w:tcPr>
          <w:p>
            <w:pPr>
              <w:pStyle w:val="64"/>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名称</w:t>
            </w:r>
          </w:p>
        </w:tc>
        <w:tc>
          <w:tcPr>
            <w:tcW w:w="776" w:type="dxa"/>
            <w:noWrap w:val="0"/>
            <w:vAlign w:val="center"/>
          </w:tcPr>
          <w:p>
            <w:pPr>
              <w:pStyle w:val="64"/>
              <w:adjustRightInd w:val="0"/>
              <w:snapToGrid w:val="0"/>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规格</w:t>
            </w:r>
          </w:p>
        </w:tc>
        <w:tc>
          <w:tcPr>
            <w:tcW w:w="832" w:type="dxa"/>
            <w:noWrap w:val="0"/>
            <w:vAlign w:val="center"/>
          </w:tcPr>
          <w:p>
            <w:pPr>
              <w:pStyle w:val="64"/>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数量</w:t>
            </w:r>
          </w:p>
        </w:tc>
        <w:tc>
          <w:tcPr>
            <w:tcW w:w="749" w:type="dxa"/>
            <w:noWrap w:val="0"/>
            <w:vAlign w:val="center"/>
          </w:tcPr>
          <w:p>
            <w:pPr>
              <w:pStyle w:val="64"/>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单位</w:t>
            </w:r>
          </w:p>
        </w:tc>
        <w:tc>
          <w:tcPr>
            <w:tcW w:w="1548" w:type="dxa"/>
            <w:noWrap w:val="0"/>
            <w:vAlign w:val="bottom"/>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安装地点/服务对象</w:t>
            </w:r>
          </w:p>
        </w:tc>
        <w:tc>
          <w:tcPr>
            <w:tcW w:w="1026" w:type="dxa"/>
            <w:noWrap w:val="0"/>
            <w:vAlign w:val="center"/>
          </w:tcPr>
          <w:p>
            <w:pPr>
              <w:pStyle w:val="64"/>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供货</w:t>
            </w:r>
          </w:p>
          <w:p>
            <w:pPr>
              <w:pStyle w:val="64"/>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75"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1745" w:type="dxa"/>
            <w:noWrap w:val="0"/>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螺柱焊机</w:t>
            </w:r>
          </w:p>
        </w:tc>
        <w:tc>
          <w:tcPr>
            <w:tcW w:w="776" w:type="dxa"/>
            <w:noWrap w:val="0"/>
            <w:vAlign w:val="center"/>
          </w:tcPr>
          <w:p>
            <w:pPr>
              <w:pStyle w:val="64"/>
              <w:adjustRightInd w:val="0"/>
              <w:snapToGrid w:val="0"/>
              <w:ind w:firstLine="0" w:firstLineChars="0"/>
              <w:jc w:val="center"/>
              <w:rPr>
                <w:rFonts w:hint="eastAsia" w:ascii="仿宋" w:hAnsi="仿宋" w:eastAsia="仿宋" w:cs="仿宋"/>
                <w:sz w:val="24"/>
                <w:szCs w:val="24"/>
              </w:rPr>
            </w:pPr>
          </w:p>
        </w:tc>
        <w:tc>
          <w:tcPr>
            <w:tcW w:w="832" w:type="dxa"/>
            <w:noWrap w:val="0"/>
            <w:vAlign w:val="center"/>
          </w:tcPr>
          <w:p>
            <w:pPr>
              <w:pStyle w:val="64"/>
              <w:adjustRightInd w:val="0"/>
              <w:snapToGrid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49" w:type="dxa"/>
            <w:noWrap w:val="0"/>
            <w:vAlign w:val="center"/>
          </w:tcPr>
          <w:p>
            <w:pPr>
              <w:pStyle w:val="64"/>
              <w:adjustRightInd w:val="0"/>
              <w:snapToGrid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套</w:t>
            </w:r>
          </w:p>
        </w:tc>
        <w:tc>
          <w:tcPr>
            <w:tcW w:w="1548" w:type="dxa"/>
            <w:noWrap w:val="0"/>
            <w:vAlign w:val="bottom"/>
          </w:tcPr>
          <w:p>
            <w:pPr>
              <w:pStyle w:val="17"/>
              <w:keepNext w:val="0"/>
              <w:keepLines w:val="0"/>
              <w:pageBreakBefore w:val="0"/>
              <w:widowControl w:val="0"/>
              <w:kinsoku/>
              <w:wordWrap/>
              <w:overflowPunct/>
              <w:topLinePunct w:val="0"/>
              <w:autoSpaceDE/>
              <w:autoSpaceDN/>
              <w:bidi w:val="0"/>
              <w:adjustRightInd/>
              <w:snapToGrid w:val="0"/>
              <w:spacing w:after="0" w:line="240" w:lineRule="exact"/>
              <w:ind w:left="0" w:leftChars="0"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车桥公司驱动桥部</w:t>
            </w:r>
          </w:p>
        </w:tc>
        <w:tc>
          <w:tcPr>
            <w:tcW w:w="1026" w:type="dxa"/>
            <w:noWrap w:val="0"/>
            <w:vAlign w:val="center"/>
          </w:tcPr>
          <w:p>
            <w:pPr>
              <w:pStyle w:val="64"/>
              <w:adjustRightInd w:val="0"/>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交钥匙</w:t>
            </w:r>
          </w:p>
        </w:tc>
      </w:tr>
    </w:tbl>
    <w:p>
      <w:pPr>
        <w:spacing w:line="360" w:lineRule="auto"/>
        <w:ind w:firstLine="420" w:firstLineChars="175"/>
        <w:rPr>
          <w:rFonts w:hint="eastAsia" w:ascii="仿宋" w:hAnsi="仿宋" w:eastAsia="仿宋" w:cs="仿宋"/>
          <w:sz w:val="24"/>
          <w:szCs w:val="24"/>
        </w:rPr>
      </w:pPr>
      <w:r>
        <w:rPr>
          <w:rFonts w:hint="eastAsia" w:ascii="仿宋" w:hAnsi="仿宋" w:eastAsia="仿宋" w:cs="仿宋"/>
          <w:sz w:val="24"/>
          <w:szCs w:val="24"/>
        </w:rPr>
        <w:t>备注：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pPr>
        <w:spacing w:line="360" w:lineRule="auto"/>
        <w:ind w:firstLine="420" w:firstLineChars="175"/>
        <w:rPr>
          <w:rFonts w:hint="eastAsia" w:ascii="仿宋" w:hAnsi="仿宋" w:eastAsia="仿宋" w:cs="仿宋"/>
          <w:bCs/>
          <w:color w:val="000000"/>
          <w:kern w:val="44"/>
          <w:sz w:val="24"/>
          <w:szCs w:val="24"/>
        </w:rPr>
      </w:pPr>
      <w:r>
        <w:rPr>
          <w:rFonts w:hint="eastAsia" w:ascii="仿宋" w:hAnsi="仿宋" w:eastAsia="仿宋" w:cs="仿宋"/>
          <w:sz w:val="24"/>
          <w:szCs w:val="24"/>
        </w:rPr>
        <w:t>②  本表“供货方式”指：交钥匙方式——包括设计、制造、运输、定点卸货、安装、调试和协助验收以及约定培训等。</w:t>
      </w:r>
    </w:p>
    <w:p>
      <w:pPr>
        <w:pStyle w:val="116"/>
        <w:spacing w:line="360" w:lineRule="auto"/>
        <w:ind w:firstLine="422" w:firstLineChars="175"/>
        <w:rPr>
          <w:rFonts w:hint="eastAsia" w:ascii="仿宋" w:hAnsi="仿宋" w:eastAsia="仿宋" w:cs="仿宋"/>
          <w:sz w:val="24"/>
        </w:rPr>
      </w:pPr>
      <w:bookmarkStart w:id="68" w:name="_Toc552"/>
      <w:bookmarkStart w:id="69" w:name="_Toc13610"/>
      <w:bookmarkStart w:id="70" w:name="_Toc9209"/>
      <w:bookmarkStart w:id="71" w:name="_Toc8072"/>
      <w:r>
        <w:rPr>
          <w:rFonts w:hint="eastAsia" w:ascii="仿宋" w:hAnsi="仿宋" w:eastAsia="仿宋" w:cs="仿宋"/>
          <w:b/>
          <w:bCs w:val="0"/>
          <w:kern w:val="2"/>
          <w:sz w:val="24"/>
        </w:rPr>
        <w:t>第二章  技术要求</w:t>
      </w:r>
      <w:bookmarkEnd w:id="68"/>
      <w:bookmarkEnd w:id="69"/>
      <w:bookmarkEnd w:id="70"/>
      <w:bookmarkEnd w:id="71"/>
    </w:p>
    <w:p>
      <w:pPr>
        <w:keepNext w:val="0"/>
        <w:keepLines w:val="0"/>
        <w:pageBreakBefore w:val="0"/>
        <w:widowControl w:val="0"/>
        <w:kinsoku/>
        <w:wordWrap/>
        <w:overflowPunct/>
        <w:topLinePunct w:val="0"/>
        <w:autoSpaceDE/>
        <w:autoSpaceDN/>
        <w:bidi w:val="0"/>
        <w:adjustRightInd/>
        <w:spacing w:line="360" w:lineRule="auto"/>
        <w:ind w:firstLine="420" w:firstLineChars="175"/>
        <w:textAlignment w:val="auto"/>
        <w:outlineLvl w:val="1"/>
        <w:rPr>
          <w:rFonts w:hint="eastAsia" w:ascii="仿宋" w:hAnsi="仿宋" w:eastAsia="仿宋" w:cs="仿宋"/>
          <w:sz w:val="24"/>
          <w:szCs w:val="24"/>
        </w:rPr>
      </w:pPr>
      <w:bookmarkStart w:id="72" w:name="_Toc13510"/>
      <w:bookmarkStart w:id="73" w:name="_Toc31513"/>
      <w:bookmarkStart w:id="74" w:name="_Toc18530"/>
      <w:bookmarkStart w:id="75" w:name="_Toc23505"/>
      <w:r>
        <w:rPr>
          <w:rFonts w:hint="eastAsia" w:ascii="仿宋" w:hAnsi="仿宋" w:eastAsia="仿宋" w:cs="仿宋"/>
          <w:sz w:val="24"/>
          <w:szCs w:val="24"/>
        </w:rPr>
        <w:t>一、基本要求</w:t>
      </w:r>
      <w:bookmarkEnd w:id="72"/>
      <w:bookmarkEnd w:id="73"/>
      <w:bookmarkEnd w:id="74"/>
      <w:bookmarkEnd w:id="75"/>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 投标方所供的货物（或生产线），必须符合中国最新版的法律、法规和相关标准、规范的要求，符合项目所在地政府有关特殊要求。</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1.2 投标方所供货物（或生产线）涉及的、招标方有权使用的专利权技术以及知识产权保护的其它技术等，应保证招标方不因此受到任何侵权指控以及实际损失。</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1.3 投标方应保证所供货物（或生产线）的先进性、可靠性、经济性和实用性，并为全新货物（或设备）,并具有该货物(或设备)所有功能的永久使用权。</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1.4 投标方应满足招标方提出的各项技术要求，必要时应当免费提供技术承诺或担保。</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★1.5 投标方应保证所供货物（或设备）必须符合当前国家或地方最新安全、环保、职业健康最新法律、法规及《机械制造企业安全生产标准化</w:t>
      </w:r>
      <w:r>
        <w:rPr>
          <w:rFonts w:hint="eastAsia" w:ascii="仿宋" w:hAnsi="仿宋" w:eastAsia="仿宋" w:cs="仿宋"/>
          <w:sz w:val="24"/>
          <w:szCs w:val="24"/>
          <w:highlight w:val="none"/>
          <w:lang w:eastAsia="zh-CN"/>
        </w:rPr>
        <w:t>规范</w:t>
      </w:r>
      <w:r>
        <w:rPr>
          <w:rFonts w:hint="eastAsia" w:ascii="仿宋" w:hAnsi="仿宋" w:eastAsia="仿宋" w:cs="仿宋"/>
          <w:sz w:val="24"/>
          <w:szCs w:val="24"/>
          <w:highlight w:val="none"/>
        </w:rPr>
        <w:t>》各项要求 。确保货物在使用管理过程中满足《职业健康安全管理体系》、《环境管理体系》等方面的国家标准、规范及地方规章要求</w:t>
      </w:r>
      <w:r>
        <w:rPr>
          <w:rFonts w:hint="eastAsia" w:ascii="仿宋" w:hAnsi="仿宋" w:eastAsia="仿宋" w:cs="仿宋"/>
          <w:color w:val="0000FF"/>
          <w:sz w:val="24"/>
          <w:szCs w:val="24"/>
          <w:highlight w:val="none"/>
        </w:rPr>
        <w:t>。</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★1.6 投标方应保证所供货物（或设备）为中国公布的非淘汰货物（或设备），并为中国指定或规定的主管部门认可的环保型和节能型货物（或设备）。招标的中标货物不接受试验品（提供证据），还应是原产地的货物。</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 设备用能设计基本要求</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1.7.1 任何用能设备均应遵循《能源管理体系要求》（ISO 50001:2018）、《能源管理体系 机械制造企业认证要求》（RB/T 119-2015）的相关规定，并在《能源管理体系要求》下开展设备的采购、维护、保养、淘汰更换等工作。</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1.7.2 为方便用能设备的计量统计，新增采购设备应在《用能单位能源计量器具配备和管理通则》（GB17167-2006）指导下配备符合相应要求的能源计量器具。</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1.7.5 供方应确保设备的附属各类机电设备、设施（如：电机、风机、电器控制系统、润滑、保温隔热、照明等等）符合国家现行的相关专项标准要求。</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1.8 投标方应保证所供货物（或生产线）的完整性和成套性，能保证货物（或生产线）的正常运行、使用。</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1.9 投标方应对招标方采购的货物（或生产线）所涉及的技术、产能等信息负有保密义务，特殊项目应当无条件签署保密协议。</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 设备使用仪表和自控设备要求：</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bookmarkStart w:id="76" w:name="_Toc5025"/>
      <w:bookmarkStart w:id="77" w:name="_Toc7044"/>
      <w:bookmarkStart w:id="78" w:name="_Toc30944"/>
      <w:bookmarkStart w:id="79" w:name="_Toc5010"/>
      <w:bookmarkStart w:id="80" w:name="_Toc31111"/>
      <w:bookmarkStart w:id="81" w:name="_Toc2908"/>
      <w:r>
        <w:rPr>
          <w:rFonts w:hint="eastAsia" w:ascii="仿宋" w:hAnsi="仿宋" w:eastAsia="仿宋" w:cs="仿宋"/>
          <w:sz w:val="24"/>
          <w:szCs w:val="24"/>
          <w:highlight w:val="none"/>
        </w:rPr>
        <w:t>1.10.1 设备使用仪表通用技术要求:</w:t>
      </w:r>
      <w:bookmarkEnd w:id="76"/>
      <w:bookmarkEnd w:id="77"/>
      <w:bookmarkEnd w:id="78"/>
      <w:bookmarkEnd w:id="79"/>
      <w:bookmarkEnd w:id="80"/>
      <w:bookmarkEnd w:id="81"/>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1.10.1.1 投标人及供货商应保证所提供的仪表和自控设备，完全符合或高于本文通用技术要求及相应产品技术规范的要求，并应保证其供应产品在本工程指明的环境条件下能够长期安全、正常地运行。 </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bookmarkStart w:id="82" w:name="_Toc16669"/>
      <w:bookmarkStart w:id="83" w:name="_Toc32105"/>
      <w:bookmarkStart w:id="84" w:name="_Toc5075"/>
      <w:bookmarkStart w:id="85" w:name="_Toc26032"/>
      <w:bookmarkStart w:id="86" w:name="_Toc9364"/>
      <w:bookmarkStart w:id="87" w:name="_Toc581"/>
      <w:r>
        <w:rPr>
          <w:rFonts w:hint="eastAsia" w:ascii="仿宋" w:hAnsi="仿宋" w:eastAsia="仿宋" w:cs="仿宋"/>
          <w:sz w:val="24"/>
          <w:szCs w:val="24"/>
          <w:highlight w:val="none"/>
        </w:rPr>
        <w:t>1.10.2 准确度要求: </w:t>
      </w:r>
      <w:bookmarkEnd w:id="82"/>
      <w:bookmarkEnd w:id="83"/>
      <w:bookmarkEnd w:id="84"/>
      <w:bookmarkEnd w:id="85"/>
      <w:bookmarkEnd w:id="86"/>
      <w:bookmarkEnd w:id="87"/>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1.10.2.3 项目验收时，投标方提供测量功能设备及计量器具资质合格证书，招标方根据实际情况进行相关复检，复检合格视为合格。</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ascii="仿宋" w:hAnsi="仿宋" w:eastAsia="仿宋" w:cs="仿宋"/>
          <w:sz w:val="24"/>
          <w:szCs w:val="24"/>
          <w:highlight w:val="none"/>
        </w:rPr>
      </w:pPr>
      <w:bookmarkStart w:id="88" w:name="_Toc31048"/>
      <w:bookmarkStart w:id="89" w:name="_Toc25422"/>
      <w:bookmarkStart w:id="90" w:name="_Toc28774"/>
      <w:bookmarkStart w:id="91" w:name="_Toc5510"/>
      <w:bookmarkStart w:id="92" w:name="_Toc1291"/>
      <w:bookmarkStart w:id="93" w:name="_Toc8799"/>
      <w:r>
        <w:rPr>
          <w:rFonts w:hint="eastAsia" w:ascii="仿宋" w:hAnsi="仿宋" w:eastAsia="仿宋" w:cs="仿宋"/>
          <w:sz w:val="24"/>
          <w:szCs w:val="24"/>
          <w:highlight w:val="none"/>
        </w:rPr>
        <w:t>1.10.3 材质要求: </w:t>
      </w:r>
      <w:bookmarkEnd w:id="88"/>
      <w:bookmarkEnd w:id="89"/>
      <w:bookmarkEnd w:id="90"/>
      <w:bookmarkEnd w:id="91"/>
      <w:bookmarkEnd w:id="92"/>
      <w:bookmarkEnd w:id="93"/>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1.10.2.4涉及安全、工艺参数的传感器应可拆卸并具备送检条件，还应至少备份一个传感器送检期间使用，不影响设备正常使用。</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★1.11投标方所供设备应按“交钥匙工程”要求。</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bookmarkStart w:id="94" w:name="_Hlk69924518"/>
      <w:r>
        <w:rPr>
          <w:rFonts w:hint="eastAsia" w:ascii="仿宋" w:hAnsi="仿宋" w:eastAsia="仿宋" w:cs="仿宋"/>
          <w:sz w:val="24"/>
          <w:szCs w:val="24"/>
          <w:highlight w:val="none"/>
        </w:rPr>
        <w:t>2 执行标准</w:t>
      </w:r>
    </w:p>
    <w:bookmarkEnd w:id="94"/>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2.1  招标方此处所列标准仅为涉及的主要标准，而且不保证其为最新版执行标准；投标方应当在投标文件中予以补充和完善。</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2.2  投标方需要执行的标准，应当以所供设备通过招标方将来组织的最终验收之日后需要执行的标准。</w:t>
      </w:r>
    </w:p>
    <w:p>
      <w:pPr>
        <w:pStyle w:val="17"/>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2.3  涉及的主要标准表（包含但不限于）</w:t>
      </w:r>
    </w:p>
    <w:tbl>
      <w:tblPr>
        <w:tblStyle w:val="31"/>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仿宋" w:hAnsi="仿宋" w:eastAsia="仿宋" w:cs="仿宋"/>
                <w:sz w:val="24"/>
                <w:szCs w:val="24"/>
                <w:highlight w:val="none"/>
              </w:rPr>
            </w:pPr>
            <w:r>
              <w:rPr>
                <w:rFonts w:hint="eastAsia" w:ascii="仿宋" w:hAnsi="仿宋" w:eastAsia="仿宋" w:cs="仿宋"/>
                <w:sz w:val="24"/>
                <w:szCs w:val="24"/>
                <w:highlight w:val="none"/>
                <w:lang w:bidi="ar"/>
              </w:rPr>
              <w:t>1</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ascii="仿宋" w:hAnsi="仿宋" w:eastAsia="仿宋" w:cs="仿宋"/>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2</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3</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4</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5</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6</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7</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fldChar w:fldCharType="begin"/>
            </w:r>
            <w:r>
              <w:rPr>
                <w:rFonts w:hint="eastAsia" w:ascii="仿宋" w:hAnsi="仿宋" w:eastAsia="仿宋" w:cs="仿宋"/>
                <w:sz w:val="24"/>
                <w:szCs w:val="24"/>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4"/>
                <w:szCs w:val="24"/>
                <w:highlight w:val="none"/>
                <w:lang w:bidi="ar"/>
              </w:rPr>
              <w:fldChar w:fldCharType="separate"/>
            </w:r>
            <w:r>
              <w:rPr>
                <w:rFonts w:hint="eastAsia" w:ascii="仿宋" w:hAnsi="仿宋" w:eastAsia="仿宋" w:cs="仿宋"/>
                <w:sz w:val="24"/>
                <w:szCs w:val="24"/>
                <w:highlight w:val="none"/>
                <w:lang w:bidi="ar"/>
              </w:rPr>
              <w:t>机械设备防护罩安全标准</w:t>
            </w:r>
            <w:r>
              <w:rPr>
                <w:rFonts w:hint="eastAsia" w:ascii="仿宋" w:hAnsi="仿宋" w:eastAsia="仿宋" w:cs="仿宋"/>
                <w:sz w:val="24"/>
                <w:szCs w:val="24"/>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8</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w:t>
            </w:r>
            <w:r>
              <w:rPr>
                <w:rFonts w:hint="eastAsia" w:ascii="仿宋" w:hAnsi="仿宋" w:eastAsia="仿宋" w:cs="仿宋"/>
                <w:sz w:val="24"/>
                <w:szCs w:val="24"/>
                <w:highlight w:val="none"/>
                <w:lang w:bidi="ar"/>
              </w:rPr>
              <w:t>23821-20</w:t>
            </w:r>
            <w:r>
              <w:rPr>
                <w:rFonts w:hint="eastAsia" w:ascii="仿宋" w:hAnsi="仿宋" w:eastAsia="仿宋" w:cs="仿宋"/>
                <w:sz w:val="24"/>
                <w:szCs w:val="24"/>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/T19671</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/T30574</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《工业企业设计</w:t>
            </w:r>
            <w:r>
              <w:rPr>
                <w:rFonts w:hint="eastAsia" w:ascii="仿宋" w:hAnsi="仿宋" w:eastAsia="仿宋" w:cs="仿宋"/>
                <w:sz w:val="24"/>
                <w:szCs w:val="24"/>
                <w:highlight w:val="none"/>
                <w:lang w:eastAsia="zh-CN" w:bidi="ar"/>
              </w:rPr>
              <w:t>卫生标准</w:t>
            </w:r>
            <w:r>
              <w:rPr>
                <w:rFonts w:hint="eastAsia" w:ascii="仿宋" w:hAnsi="仿宋" w:eastAsia="仿宋" w:cs="仿宋"/>
                <w:sz w:val="24"/>
                <w:szCs w:val="24"/>
                <w:highlight w:val="none"/>
                <w:lang w:bidi="ar"/>
              </w:rPr>
              <w:t>》</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Z 1</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/T500</w:t>
            </w:r>
            <w:r>
              <w:rPr>
                <w:rFonts w:hint="eastAsia" w:ascii="仿宋" w:hAnsi="仿宋" w:eastAsia="仿宋" w:cs="仿宋"/>
                <w:sz w:val="24"/>
                <w:szCs w:val="24"/>
                <w:highlight w:val="none"/>
                <w:lang w:bidi="ar"/>
              </w:rPr>
              <w:t>87-</w:t>
            </w:r>
            <w:r>
              <w:rPr>
                <w:rFonts w:hint="eastAsia" w:ascii="仿宋" w:hAnsi="仿宋" w:eastAsia="仿宋" w:cs="仿宋"/>
                <w:sz w:val="24"/>
                <w:szCs w:val="24"/>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高耗能落后机电设备（产品）淘汰目录（第</w:t>
            </w:r>
            <w:r>
              <w:rPr>
                <w:rFonts w:hint="eastAsia" w:ascii="仿宋" w:hAnsi="仿宋" w:eastAsia="仿宋" w:cs="仿宋"/>
                <w:sz w:val="24"/>
                <w:szCs w:val="24"/>
                <w:highlight w:val="none"/>
                <w:lang w:val="en-US" w:eastAsia="zh-CN" w:bidi="ar"/>
              </w:rPr>
              <w:t>四</w:t>
            </w:r>
            <w:r>
              <w:rPr>
                <w:rFonts w:hint="eastAsia" w:ascii="仿宋" w:hAnsi="仿宋" w:eastAsia="仿宋" w:cs="仿宋"/>
                <w:sz w:val="24"/>
                <w:szCs w:val="24"/>
                <w:highlight w:val="none"/>
                <w:lang w:bidi="ar"/>
              </w:rPr>
              <w:t>批）</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bidi="ar"/>
              </w:rPr>
              <w:t>GB</w:t>
            </w:r>
            <w:r>
              <w:rPr>
                <w:rFonts w:hint="eastAsia" w:ascii="仿宋" w:hAnsi="仿宋" w:eastAsia="仿宋" w:cs="仿宋"/>
                <w:sz w:val="24"/>
                <w:szCs w:val="24"/>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JB/T 10825-2008</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24</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w:t>
            </w:r>
            <w:r>
              <w:rPr>
                <w:rFonts w:hint="eastAsia" w:ascii="仿宋" w:hAnsi="仿宋" w:eastAsia="仿宋" w:cs="仿宋"/>
                <w:sz w:val="24"/>
                <w:szCs w:val="24"/>
                <w:highlight w:val="none"/>
                <w:lang w:val="en-US" w:eastAsia="zh-CN" w:bidi="ar"/>
              </w:rPr>
              <w:t xml:space="preserve"> 39463</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25</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w:t>
            </w:r>
            <w:r>
              <w:rPr>
                <w:rFonts w:hint="eastAsia" w:ascii="仿宋" w:hAnsi="仿宋" w:eastAsia="仿宋" w:cs="仿宋"/>
                <w:sz w:val="24"/>
                <w:szCs w:val="24"/>
                <w:highlight w:val="none"/>
                <w:lang w:val="en-US" w:eastAsia="zh-CN" w:bidi="ar"/>
              </w:rPr>
              <w:t xml:space="preserve"> 39404</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26</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19400-2003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27</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w:t>
            </w:r>
            <w:r>
              <w:rPr>
                <w:rFonts w:hint="eastAsia" w:ascii="仿宋" w:hAnsi="仿宋" w:eastAsia="仿宋" w:cs="仿宋"/>
                <w:sz w:val="24"/>
                <w:szCs w:val="24"/>
                <w:highlight w:val="none"/>
                <w:lang w:val="en-US" w:eastAsia="zh-CN" w:bidi="ar"/>
              </w:rPr>
              <w:t xml:space="preserve"> 39402</w:t>
            </w:r>
            <w:r>
              <w:rPr>
                <w:rFonts w:hint="eastAsia" w:ascii="仿宋" w:hAnsi="仿宋" w:eastAsia="仿宋" w:cs="仿宋"/>
                <w:sz w:val="24"/>
                <w:szCs w:val="24"/>
                <w:highlight w:val="none"/>
                <w:lang w:bidi="ar"/>
              </w:rPr>
              <w:t>-20</w:t>
            </w:r>
            <w:r>
              <w:rPr>
                <w:rFonts w:hint="eastAsia" w:ascii="仿宋" w:hAnsi="仿宋" w:eastAsia="仿宋" w:cs="仿宋"/>
                <w:sz w:val="24"/>
                <w:szCs w:val="24"/>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28</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12642-2001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29</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词汇</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12643-1997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30</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12644-2001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31</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16977-2005</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32</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安全实施规范</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20867-2007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kern w:val="2"/>
                <w:sz w:val="24"/>
                <w:szCs w:val="24"/>
                <w:highlight w:val="none"/>
                <w:lang w:val="en-US" w:eastAsia="zh-CN" w:bidi="ar"/>
              </w:rPr>
            </w:pPr>
            <w:r>
              <w:rPr>
                <w:rFonts w:hint="eastAsia" w:ascii="仿宋" w:hAnsi="仿宋" w:eastAsia="仿宋" w:cs="仿宋"/>
                <w:sz w:val="24"/>
                <w:szCs w:val="24"/>
                <w:highlight w:val="none"/>
                <w:lang w:val="en-US" w:eastAsia="zh-CN" w:bidi="ar"/>
              </w:rPr>
              <w:t>33</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19397-2003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34</w:t>
            </w:r>
          </w:p>
        </w:tc>
        <w:tc>
          <w:tcPr>
            <w:tcW w:w="534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GB/T 17888-2020</w:t>
            </w:r>
          </w:p>
        </w:tc>
        <w:tc>
          <w:tcPr>
            <w:tcW w:w="660" w:type="dxa"/>
            <w:tcBorders>
              <w:top w:val="single" w:color="auto" w:sz="4" w:space="0"/>
              <w:left w:val="single" w:color="auto" w:sz="4" w:space="0"/>
              <w:bottom w:val="single" w:color="auto" w:sz="4" w:space="0"/>
              <w:right w:val="single" w:color="auto" w:sz="4" w:space="0"/>
            </w:tcBorders>
            <w:noWrap w:val="0"/>
            <w:vAlign w:val="top"/>
          </w:tcPr>
          <w:p>
            <w:pPr>
              <w:rPr>
                <w:rFonts w:ascii="仿宋" w:hAnsi="仿宋" w:eastAsia="仿宋" w:cs="仿宋"/>
                <w:sz w:val="24"/>
                <w:szCs w:val="24"/>
                <w:highlight w:val="none"/>
              </w:rPr>
            </w:pPr>
          </w:p>
        </w:tc>
      </w:tr>
    </w:tbl>
    <w:p>
      <w:pPr>
        <w:spacing w:line="360" w:lineRule="exact"/>
        <w:rPr>
          <w:rFonts w:ascii="仿宋" w:hAnsi="仿宋" w:eastAsia="仿宋" w:cs="仿宋"/>
          <w:sz w:val="24"/>
          <w:szCs w:val="24"/>
          <w:highlight w:val="none"/>
        </w:rPr>
      </w:pPr>
      <w:r>
        <w:rPr>
          <w:rFonts w:hint="eastAsia" w:ascii="仿宋" w:hAnsi="仿宋" w:eastAsia="仿宋" w:cs="仿宋"/>
          <w:sz w:val="24"/>
          <w:szCs w:val="24"/>
          <w:highlight w:val="none"/>
          <w:lang w:bidi="ar"/>
        </w:rPr>
        <w:t>备注：1、如果有采用国际标准的货物，其执行标准由投标方提供、招标方确认。</w:t>
      </w:r>
    </w:p>
    <w:p>
      <w:pPr>
        <w:pStyle w:val="3"/>
        <w:spacing w:line="360" w:lineRule="auto"/>
        <w:ind w:leftChars="0"/>
        <w:jc w:val="left"/>
        <w:outlineLvl w:val="2"/>
        <w:rPr>
          <w:rFonts w:hint="eastAsia" w:ascii="仿宋" w:hAnsi="仿宋" w:eastAsia="仿宋" w:cs="仿宋"/>
          <w:b/>
          <w:bCs/>
          <w:sz w:val="24"/>
          <w:szCs w:val="24"/>
        </w:rPr>
      </w:pPr>
      <w:r>
        <w:rPr>
          <w:rFonts w:hint="eastAsia" w:ascii="仿宋" w:hAnsi="仿宋" w:eastAsia="仿宋" w:cs="仿宋"/>
          <w:b/>
          <w:bCs/>
          <w:sz w:val="24"/>
          <w:szCs w:val="24"/>
        </w:rPr>
        <w:t>二</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技术</w:t>
      </w:r>
      <w:r>
        <w:rPr>
          <w:rFonts w:hint="eastAsia" w:ascii="仿宋" w:hAnsi="仿宋" w:eastAsia="仿宋" w:cs="仿宋"/>
          <w:b/>
          <w:bCs/>
          <w:sz w:val="24"/>
          <w:szCs w:val="24"/>
        </w:rPr>
        <w:t>要求</w:t>
      </w:r>
    </w:p>
    <w:p>
      <w:pPr>
        <w:pStyle w:val="8"/>
        <w:keepNext w:val="0"/>
        <w:keepLines w:val="0"/>
        <w:numPr>
          <w:ilvl w:val="0"/>
          <w:numId w:val="30"/>
        </w:numPr>
        <w:spacing w:line="360" w:lineRule="auto"/>
        <w:jc w:val="left"/>
        <w:rPr>
          <w:rFonts w:hint="eastAsia" w:ascii="仿宋" w:hAnsi="仿宋" w:eastAsia="仿宋" w:cs="仿宋"/>
          <w:bCs w:val="0"/>
          <w:sz w:val="24"/>
          <w:szCs w:val="24"/>
        </w:rPr>
      </w:pPr>
      <w:bookmarkStart w:id="95" w:name="_Toc23141"/>
      <w:bookmarkStart w:id="96" w:name="_Toc28917"/>
      <w:r>
        <w:rPr>
          <w:rFonts w:hint="eastAsia" w:ascii="仿宋" w:hAnsi="仿宋" w:eastAsia="仿宋" w:cs="仿宋"/>
          <w:bCs w:val="0"/>
          <w:sz w:val="24"/>
          <w:szCs w:val="24"/>
        </w:rPr>
        <w:t>工艺要求</w:t>
      </w:r>
    </w:p>
    <w:p>
      <w:pPr>
        <w:pStyle w:val="15"/>
        <w:spacing w:line="360" w:lineRule="auto"/>
        <w:jc w:val="left"/>
        <w:outlineLvl w:val="0"/>
        <w:rPr>
          <w:rFonts w:hint="eastAsia" w:ascii="仿宋" w:hAnsi="仿宋" w:eastAsia="仿宋" w:cs="仿宋"/>
          <w:sz w:val="24"/>
          <w:szCs w:val="24"/>
        </w:rPr>
      </w:pPr>
      <w:r>
        <w:rPr>
          <w:rFonts w:hint="eastAsia" w:ascii="仿宋" w:hAnsi="仿宋" w:eastAsia="仿宋" w:cs="仿宋"/>
          <w:sz w:val="24"/>
          <w:szCs w:val="24"/>
        </w:rPr>
        <w:t>1.1技术规范</w:t>
      </w:r>
    </w:p>
    <w:p>
      <w:pPr>
        <w:pStyle w:val="15"/>
        <w:spacing w:line="360" w:lineRule="auto"/>
        <w:ind w:firstLine="480" w:firstLineChars="200"/>
        <w:jc w:val="left"/>
        <w:outlineLvl w:val="0"/>
        <w:rPr>
          <w:rFonts w:hint="eastAsia" w:ascii="仿宋" w:hAnsi="仿宋" w:eastAsia="仿宋" w:cs="仿宋"/>
          <w:sz w:val="24"/>
          <w:szCs w:val="24"/>
        </w:rPr>
      </w:pPr>
      <w:r>
        <w:rPr>
          <w:rFonts w:hint="eastAsia" w:ascii="仿宋" w:hAnsi="仿宋" w:eastAsia="仿宋" w:cs="仿宋"/>
          <w:sz w:val="24"/>
          <w:szCs w:val="24"/>
        </w:rPr>
        <w:t>（1）产品状态：</w:t>
      </w:r>
      <w:r>
        <w:rPr>
          <w:rFonts w:hint="eastAsia" w:ascii="仿宋" w:hAnsi="仿宋" w:eastAsia="仿宋" w:cs="仿宋"/>
          <w:sz w:val="24"/>
          <w:szCs w:val="24"/>
          <w:lang w:val="en-US" w:eastAsia="zh-CN"/>
        </w:rPr>
        <w:t>驱动</w:t>
      </w:r>
      <w:r>
        <w:rPr>
          <w:rFonts w:hint="eastAsia" w:ascii="仿宋" w:hAnsi="仿宋" w:eastAsia="仿宋" w:cs="仿宋"/>
          <w:sz w:val="24"/>
          <w:szCs w:val="24"/>
        </w:rPr>
        <w:t>桥总成板簧面朝下放置在装配台架上，如下所示：</w:t>
      </w:r>
    </w:p>
    <w:p>
      <w:pPr>
        <w:pStyle w:val="15"/>
        <w:spacing w:line="360" w:lineRule="auto"/>
        <w:jc w:val="center"/>
        <w:outlineLvl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574665" cy="1399540"/>
            <wp:effectExtent l="0" t="0" r="698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574665" cy="1399540"/>
                    </a:xfrm>
                    <a:prstGeom prst="rect">
                      <a:avLst/>
                    </a:prstGeom>
                    <a:noFill/>
                    <a:ln>
                      <a:noFill/>
                    </a:ln>
                  </pic:spPr>
                </pic:pic>
              </a:graphicData>
            </a:graphic>
          </wp:inline>
        </w:drawing>
      </w:r>
    </w:p>
    <w:p>
      <w:pPr>
        <w:pStyle w:val="15"/>
        <w:numPr>
          <w:ilvl w:val="0"/>
          <w:numId w:val="31"/>
        </w:numPr>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节拍要求：</w:t>
      </w:r>
      <w:r>
        <w:rPr>
          <w:rFonts w:hint="eastAsia" w:ascii="仿宋" w:hAnsi="仿宋" w:eastAsia="仿宋" w:cs="仿宋"/>
          <w:sz w:val="24"/>
          <w:szCs w:val="24"/>
          <w:lang w:val="en-US" w:eastAsia="zh-CN"/>
        </w:rPr>
        <w:t>6颗螺钉装夹及焊接螺钉</w:t>
      </w:r>
      <w:r>
        <w:rPr>
          <w:rFonts w:hint="eastAsia" w:ascii="仿宋" w:hAnsi="仿宋" w:eastAsia="仿宋" w:cs="仿宋"/>
          <w:sz w:val="24"/>
          <w:szCs w:val="24"/>
        </w:rPr>
        <w:t>节拍≤60s。</w:t>
      </w:r>
    </w:p>
    <w:p>
      <w:pPr>
        <w:pStyle w:val="15"/>
        <w:spacing w:line="360" w:lineRule="auto"/>
        <w:outlineLvl w:val="0"/>
        <w:rPr>
          <w:rFonts w:hint="eastAsia" w:ascii="仿宋" w:hAnsi="仿宋" w:eastAsia="仿宋" w:cs="仿宋"/>
          <w:sz w:val="24"/>
          <w:szCs w:val="24"/>
        </w:rPr>
      </w:pPr>
      <w:r>
        <w:rPr>
          <w:rFonts w:hint="eastAsia" w:ascii="仿宋" w:hAnsi="仿宋" w:eastAsia="仿宋" w:cs="仿宋"/>
          <w:sz w:val="24"/>
          <w:szCs w:val="24"/>
        </w:rPr>
        <w:t>1.2工艺流程说明</w:t>
      </w:r>
    </w:p>
    <w:p>
      <w:pPr>
        <w:pStyle w:val="15"/>
        <w:spacing w:line="360" w:lineRule="auto"/>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（1）人工</w:t>
      </w:r>
      <w:r>
        <w:rPr>
          <w:rFonts w:hint="eastAsia" w:ascii="仿宋" w:hAnsi="仿宋" w:eastAsia="仿宋" w:cs="仿宋"/>
          <w:sz w:val="24"/>
          <w:szCs w:val="24"/>
          <w:lang w:val="en-US" w:eastAsia="zh-CN"/>
        </w:rPr>
        <w:t>桥总成吊至装配架上</w:t>
      </w:r>
      <w:r>
        <w:rPr>
          <w:rFonts w:hint="eastAsia" w:ascii="仿宋" w:hAnsi="仿宋" w:eastAsia="仿宋" w:cs="仿宋"/>
          <w:sz w:val="24"/>
          <w:szCs w:val="24"/>
        </w:rPr>
        <w:t>，并</w:t>
      </w:r>
      <w:r>
        <w:rPr>
          <w:rFonts w:hint="eastAsia" w:ascii="仿宋" w:hAnsi="仿宋" w:eastAsia="仿宋" w:cs="仿宋"/>
          <w:sz w:val="24"/>
          <w:szCs w:val="24"/>
          <w:lang w:val="en-US" w:eastAsia="zh-CN"/>
        </w:rPr>
        <w:t>调整桥总成将焊接面向上</w:t>
      </w:r>
      <w:r>
        <w:rPr>
          <w:rFonts w:hint="eastAsia" w:ascii="仿宋" w:hAnsi="仿宋" w:eastAsia="仿宋" w:cs="仿宋"/>
          <w:sz w:val="24"/>
          <w:szCs w:val="24"/>
        </w:rPr>
        <w:t>；</w:t>
      </w:r>
    </w:p>
    <w:p>
      <w:pPr>
        <w:pStyle w:val="15"/>
        <w:spacing w:line="360" w:lineRule="auto"/>
        <w:ind w:firstLine="480" w:firstLineChars="200"/>
        <w:outlineLvl w:val="0"/>
        <w:rPr>
          <w:rFonts w:hint="eastAsia" w:ascii="仿宋" w:hAnsi="仿宋" w:eastAsia="仿宋" w:cs="仿宋"/>
          <w:sz w:val="24"/>
          <w:szCs w:val="24"/>
          <w:lang w:val="en-US" w:eastAsia="zh-CN"/>
        </w:rPr>
      </w:pPr>
      <w:r>
        <w:rPr>
          <w:rFonts w:hint="eastAsia" w:ascii="仿宋" w:hAnsi="仿宋" w:eastAsia="仿宋" w:cs="仿宋"/>
          <w:sz w:val="24"/>
          <w:szCs w:val="24"/>
        </w:rPr>
        <w:t>（2）启动</w:t>
      </w:r>
      <w:r>
        <w:rPr>
          <w:rFonts w:hint="eastAsia" w:ascii="仿宋" w:hAnsi="仿宋" w:eastAsia="仿宋" w:cs="仿宋"/>
          <w:sz w:val="24"/>
          <w:szCs w:val="24"/>
          <w:lang w:val="en-US" w:eastAsia="zh-CN"/>
        </w:rPr>
        <w:t>螺柱焊机</w:t>
      </w:r>
      <w:r>
        <w:rPr>
          <w:rFonts w:hint="eastAsia" w:ascii="仿宋" w:hAnsi="仿宋" w:eastAsia="仿宋" w:cs="仿宋"/>
          <w:sz w:val="24"/>
          <w:szCs w:val="24"/>
        </w:rPr>
        <w:t>，</w:t>
      </w:r>
      <w:r>
        <w:rPr>
          <w:rFonts w:hint="eastAsia" w:ascii="仿宋" w:hAnsi="仿宋" w:eastAsia="仿宋" w:cs="仿宋"/>
          <w:sz w:val="24"/>
          <w:szCs w:val="24"/>
          <w:lang w:val="en-US" w:eastAsia="zh-CN"/>
        </w:rPr>
        <w:t>人工装填螺钉后对准指定位置进行焊接，按上述要求重复六次。</w:t>
      </w:r>
    </w:p>
    <w:p>
      <w:pPr>
        <w:pStyle w:val="15"/>
        <w:spacing w:line="360" w:lineRule="auto"/>
        <w:ind w:firstLine="480" w:firstLineChars="200"/>
        <w:outlineLvl w:val="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（3）班前使用扭矩扳手对焊接螺柱进行检验。</w:t>
      </w:r>
    </w:p>
    <w:p>
      <w:pPr>
        <w:pStyle w:val="15"/>
        <w:spacing w:line="360" w:lineRule="auto"/>
        <w:outlineLvl w:val="0"/>
        <w:rPr>
          <w:rFonts w:hint="eastAsia" w:ascii="仿宋" w:hAnsi="仿宋" w:eastAsia="仿宋" w:cs="仿宋"/>
          <w:color w:val="auto"/>
          <w:sz w:val="24"/>
          <w:szCs w:val="24"/>
        </w:rPr>
      </w:pPr>
      <w:r>
        <w:rPr>
          <w:rFonts w:hint="eastAsia" w:ascii="仿宋" w:hAnsi="仿宋" w:eastAsia="仿宋" w:cs="仿宋"/>
          <w:color w:val="auto"/>
          <w:sz w:val="24"/>
          <w:szCs w:val="24"/>
        </w:rPr>
        <w:t>2、设备基本要求</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 螺柱焊机技术要求：</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最大输出功率≥120kVA；</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焊接电流可调（0-1800A）；</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焊接导电时间可在0-1000ms间调整，调整精度0.1ms，</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电源要求：380V±10%，50Hz；</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可焊接螺柱直径：3-8mm；</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满足桥壳带底漆焊接要求，漆膜厚度约30-50μm；</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螺柱焊接熔深≥3mm，焊接螺柱测试力矩≥9Nm（螺栓规格M6）；</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焊接频率15-60个/分钟。</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 焊枪技术要求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焊枪满足焊接技术要求，可装夹M3-M8各规格螺钉进行焊接且装夹长度可调整，夹嘴采用易导电耐高温材质，夹嘴损耗时可快速更换。焊枪焊接位置增加防飞溅保护，避免焊接时电流过大导致飞溅对操作者造成伤害。</w:t>
      </w:r>
    </w:p>
    <w:p>
      <w:pPr>
        <w:pStyle w:val="15"/>
        <w:spacing w:line="360" w:lineRule="auto"/>
        <w:outlineLvl w:val="0"/>
        <w:rPr>
          <w:rFonts w:hint="eastAsia" w:ascii="仿宋" w:hAnsi="仿宋" w:eastAsia="仿宋" w:cs="仿宋"/>
          <w:sz w:val="24"/>
          <w:szCs w:val="24"/>
        </w:rPr>
      </w:pPr>
      <w:r>
        <w:rPr>
          <w:rFonts w:hint="eastAsia" w:ascii="仿宋" w:hAnsi="仿宋" w:eastAsia="仿宋" w:cs="仿宋"/>
          <w:sz w:val="24"/>
          <w:szCs w:val="24"/>
        </w:rPr>
        <w:t>2.3设备配置要求</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设备</w:t>
      </w:r>
      <w:r>
        <w:rPr>
          <w:rFonts w:hint="eastAsia" w:ascii="仿宋" w:hAnsi="仿宋" w:eastAsia="仿宋" w:cs="仿宋"/>
          <w:sz w:val="24"/>
          <w:szCs w:val="24"/>
        </w:rPr>
        <w:t>设计制造及使用应符合ISO</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5393标准；</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所有零部件和各种仪表的计量单位全部采用国际单位标准（SI）标准；</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中标方</w:t>
      </w:r>
      <w:r>
        <w:rPr>
          <w:rFonts w:hint="eastAsia" w:ascii="仿宋" w:hAnsi="仿宋" w:eastAsia="仿宋" w:cs="仿宋"/>
          <w:color w:val="auto"/>
          <w:sz w:val="24"/>
          <w:szCs w:val="24"/>
        </w:rPr>
        <w:t>所提供的产品必须是全新的、同类产品中最先进的可靠的产品；</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设备必须考虑作业姿势、使用空间、紧固速度等因素，必须满足</w:t>
      </w:r>
      <w:r>
        <w:rPr>
          <w:rFonts w:hint="eastAsia" w:ascii="仿宋" w:hAnsi="仿宋" w:eastAsia="仿宋" w:cs="仿宋"/>
          <w:sz w:val="24"/>
          <w:szCs w:val="24"/>
          <w:lang w:val="en-US" w:eastAsia="zh-CN"/>
        </w:rPr>
        <w:t>工艺</w:t>
      </w:r>
      <w:r>
        <w:rPr>
          <w:rFonts w:hint="eastAsia" w:ascii="仿宋" w:hAnsi="仿宋" w:eastAsia="仿宋" w:cs="仿宋"/>
          <w:sz w:val="24"/>
          <w:szCs w:val="24"/>
        </w:rPr>
        <w:t>生产节拍</w:t>
      </w:r>
      <w:r>
        <w:rPr>
          <w:rFonts w:hint="eastAsia" w:ascii="仿宋" w:hAnsi="仿宋" w:eastAsia="仿宋" w:cs="仿宋"/>
          <w:sz w:val="24"/>
          <w:szCs w:val="24"/>
          <w:lang w:eastAsia="zh-CN"/>
        </w:rPr>
        <w:t>；</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设备使用过程中存在防飞溅保护，避免造成人员伤害；</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所选设备操作界面及附属软件、说明书等为中文；</w:t>
      </w:r>
    </w:p>
    <w:p>
      <w:pPr>
        <w:pStyle w:val="15"/>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投标人应提供设备的第三方检定校准报告，检定费用应由投标人自行承担。</w:t>
      </w:r>
    </w:p>
    <w:p>
      <w:pPr>
        <w:pStyle w:val="15"/>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2.4 </w:t>
      </w:r>
      <w:r>
        <w:rPr>
          <w:rFonts w:hint="eastAsia" w:ascii="仿宋" w:hAnsi="仿宋" w:eastAsia="仿宋" w:cs="仿宋"/>
          <w:color w:val="auto"/>
          <w:sz w:val="24"/>
          <w:szCs w:val="24"/>
        </w:rPr>
        <w:t>维护保养要求</w:t>
      </w:r>
    </w:p>
    <w:p>
      <w:pPr>
        <w:pStyle w:val="15"/>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工具首次标定由投标方找国家认可的第三方检测机构标定，</w:t>
      </w:r>
      <w:r>
        <w:rPr>
          <w:rFonts w:hint="eastAsia" w:ascii="仿宋" w:hAnsi="仿宋" w:eastAsia="仿宋" w:cs="仿宋"/>
          <w:b w:val="0"/>
          <w:bCs w:val="0"/>
          <w:color w:val="auto"/>
          <w:sz w:val="24"/>
          <w:szCs w:val="24"/>
          <w:lang w:val="en-US" w:eastAsia="zh-CN"/>
        </w:rPr>
        <w:t>并</w:t>
      </w:r>
      <w:r>
        <w:rPr>
          <w:rFonts w:hint="eastAsia" w:ascii="仿宋" w:hAnsi="仿宋" w:eastAsia="仿宋" w:cs="仿宋"/>
          <w:b w:val="0"/>
          <w:bCs w:val="0"/>
          <w:color w:val="auto"/>
          <w:sz w:val="24"/>
          <w:szCs w:val="24"/>
        </w:rPr>
        <w:t>提供检定校准报告；</w:t>
      </w:r>
    </w:p>
    <w:p>
      <w:pPr>
        <w:pStyle w:val="15"/>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工具维保：验收前对设备免费保养和备件更换；验收后质保期内一年内提供免费维保；</w:t>
      </w:r>
      <w:r>
        <w:rPr>
          <w:rFonts w:hint="eastAsia" w:ascii="仿宋" w:hAnsi="仿宋" w:eastAsia="仿宋" w:cs="仿宋"/>
          <w:b w:val="0"/>
          <w:bCs w:val="0"/>
          <w:color w:val="auto"/>
          <w:sz w:val="24"/>
          <w:szCs w:val="24"/>
          <w:lang w:val="en-US" w:eastAsia="zh-CN"/>
        </w:rPr>
        <w:t>工具维修保养次数根据工具的使用频次确定，一年质保期到期前，应免费进行批量维护保养；</w:t>
      </w:r>
    </w:p>
    <w:p>
      <w:pPr>
        <w:pStyle w:val="15"/>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工具保养：明确质保期到期后5年内工具的维保价格；</w:t>
      </w:r>
    </w:p>
    <w:p>
      <w:pPr>
        <w:pStyle w:val="15"/>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备件价格：承诺维修备件零整比不大于2（单件备件价格不超过整机50%），并提供易损备件明细及价格用于后续5年内备件定价；</w:t>
      </w:r>
    </w:p>
    <w:p>
      <w:pPr>
        <w:pStyle w:val="15"/>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sz w:val="24"/>
          <w:szCs w:val="24"/>
          <w:highlight w:val="yellow"/>
        </w:rPr>
      </w:pPr>
      <w:r>
        <w:rPr>
          <w:rFonts w:hint="eastAsia" w:ascii="仿宋" w:hAnsi="仿宋" w:eastAsia="仿宋" w:cs="仿宋"/>
          <w:b w:val="0"/>
          <w:bCs w:val="0"/>
          <w:color w:val="auto"/>
          <w:sz w:val="24"/>
          <w:szCs w:val="24"/>
        </w:rPr>
        <w:t>投标方需对招标方人员工装、设备、工具的基本结构、工作原理、操作内容（常见故障及排除方法）进行专项培训；</w:t>
      </w:r>
    </w:p>
    <w:p>
      <w:pPr>
        <w:pStyle w:val="15"/>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sz w:val="24"/>
          <w:szCs w:val="24"/>
          <w:highlight w:val="yellow"/>
        </w:rPr>
      </w:pPr>
      <w:r>
        <w:rPr>
          <w:rFonts w:hint="eastAsia" w:ascii="仿宋" w:hAnsi="仿宋" w:eastAsia="仿宋" w:cs="仿宋"/>
          <w:b w:val="0"/>
          <w:bCs w:val="0"/>
          <w:color w:val="auto"/>
          <w:sz w:val="24"/>
          <w:szCs w:val="24"/>
        </w:rPr>
        <w:t>投标方需对招标方人员涉及的工具维修、保养、性能标定项目和要求进行专项培训</w:t>
      </w:r>
      <w:r>
        <w:rPr>
          <w:rFonts w:hint="eastAsia" w:ascii="仿宋" w:hAnsi="仿宋" w:eastAsia="仿宋" w:cs="仿宋"/>
          <w:b w:val="0"/>
          <w:bCs w:val="0"/>
          <w:color w:val="auto"/>
          <w:sz w:val="24"/>
          <w:szCs w:val="24"/>
          <w:lang w:eastAsia="zh-CN"/>
        </w:rPr>
        <w:t>；</w:t>
      </w:r>
    </w:p>
    <w:p>
      <w:pPr>
        <w:pStyle w:val="15"/>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仿宋" w:hAnsi="仿宋" w:eastAsia="仿宋" w:cs="仿宋"/>
          <w:sz w:val="24"/>
          <w:szCs w:val="24"/>
          <w:highlight w:val="yellow"/>
        </w:rPr>
      </w:pPr>
      <w:r>
        <w:rPr>
          <w:rFonts w:hint="eastAsia" w:ascii="仿宋" w:hAnsi="仿宋" w:eastAsia="仿宋" w:cs="仿宋"/>
          <w:b w:val="0"/>
          <w:bCs w:val="0"/>
          <w:color w:val="auto"/>
          <w:sz w:val="24"/>
          <w:szCs w:val="24"/>
        </w:rPr>
        <w:t>维修维保响应：</w:t>
      </w:r>
      <w:r>
        <w:rPr>
          <w:rFonts w:hint="eastAsia" w:ascii="仿宋" w:hAnsi="仿宋" w:eastAsia="仿宋" w:cs="仿宋"/>
          <w:b w:val="0"/>
          <w:bCs w:val="0"/>
          <w:color w:val="auto"/>
          <w:sz w:val="24"/>
          <w:szCs w:val="24"/>
          <w:lang w:val="en-US" w:eastAsia="zh-CN"/>
        </w:rPr>
        <w:t>建议维修维保响应时间为一周，特殊情况需说明</w:t>
      </w:r>
      <w:r>
        <w:rPr>
          <w:rFonts w:hint="eastAsia" w:ascii="仿宋" w:hAnsi="仿宋" w:eastAsia="仿宋" w:cs="仿宋"/>
          <w:b w:val="0"/>
          <w:bCs w:val="0"/>
          <w:color w:val="auto"/>
          <w:sz w:val="24"/>
          <w:szCs w:val="24"/>
          <w:lang w:eastAsia="zh-CN"/>
        </w:rPr>
        <w:t>。</w:t>
      </w:r>
    </w:p>
    <w:p>
      <w:pPr>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3、安全及环保要求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1投标方所供的货物（或生产线），必须符合中国最新版的安全</w:t>
      </w:r>
      <w:r>
        <w:rPr>
          <w:rFonts w:hint="eastAsia" w:ascii="仿宋" w:hAnsi="仿宋" w:eastAsia="仿宋" w:cs="仿宋"/>
          <w:b w:val="0"/>
          <w:bCs w:val="0"/>
          <w:color w:val="auto"/>
          <w:sz w:val="24"/>
          <w:szCs w:val="24"/>
          <w:highlight w:val="none"/>
          <w:lang w:eastAsia="zh-CN"/>
        </w:rPr>
        <w:t>、环保、消防及职业健康的</w:t>
      </w:r>
      <w:r>
        <w:rPr>
          <w:rFonts w:hint="eastAsia" w:ascii="仿宋" w:hAnsi="仿宋" w:eastAsia="仿宋" w:cs="仿宋"/>
          <w:b w:val="0"/>
          <w:bCs w:val="0"/>
          <w:color w:val="auto"/>
          <w:sz w:val="24"/>
          <w:szCs w:val="24"/>
          <w:highlight w:val="none"/>
        </w:rPr>
        <w:t>法律、法规要求，符合行业安全标准及项目所在地政府有关特殊要求。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.2 货物（或生产线）应完整且所有的零部件应该安装安全、牢固，外观无损伤，所有的焊缝饱满、无残渣等缺陷且符合国家及行业相关标准。</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.3 对生产线存在安全</w:t>
      </w:r>
      <w:r>
        <w:rPr>
          <w:rFonts w:hint="eastAsia" w:ascii="仿宋" w:hAnsi="仿宋" w:eastAsia="仿宋" w:cs="仿宋"/>
          <w:b w:val="0"/>
          <w:bCs w:val="0"/>
          <w:color w:val="auto"/>
          <w:sz w:val="24"/>
          <w:szCs w:val="24"/>
          <w:highlight w:val="none"/>
          <w:lang w:val="en-US" w:eastAsia="zh-CN"/>
        </w:rPr>
        <w:t>风险</w:t>
      </w:r>
      <w:r>
        <w:rPr>
          <w:rFonts w:hint="eastAsia" w:ascii="仿宋" w:hAnsi="仿宋" w:eastAsia="仿宋" w:cs="仿宋"/>
          <w:b w:val="0"/>
          <w:bCs w:val="0"/>
          <w:color w:val="auto"/>
          <w:sz w:val="24"/>
          <w:szCs w:val="24"/>
          <w:highlight w:val="none"/>
        </w:rPr>
        <w:t>的工位必须采取安全措施，如：线体防护板、高温防护、光栅等。</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.4 从安全生产的角度考虑各单元及工位应设有急停按钮，并有明显标识。设置位置在物料入口以及出口位置:需要对机器进行干预的位置，例如有保持一运行控制装置的工位;所有设计为人机交互的位置(如装料/卸料区),急停开关必须为红色，且有清晰的标签；按钮操作应灵活、可靠、无卡阻。</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.5 单元操作面板上有上电按钮和急停按钮，上电后可对系统进行操作。</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.6 所有电气安装和施工均应符合我国现行行业标准（规范）</w:t>
      </w:r>
      <w:r>
        <w:rPr>
          <w:rFonts w:hint="eastAsia" w:ascii="仿宋" w:hAnsi="仿宋" w:eastAsia="仿宋" w:cs="仿宋"/>
          <w:b w:val="0"/>
          <w:bCs w:val="0"/>
          <w:color w:val="auto"/>
          <w:sz w:val="24"/>
          <w:szCs w:val="24"/>
          <w:highlight w:val="none"/>
          <w:lang w:eastAsia="zh-CN"/>
        </w:rPr>
        <w:t>，电器柜需张贴当心触电警示标识</w:t>
      </w:r>
      <w:r>
        <w:rPr>
          <w:rFonts w:hint="eastAsia" w:ascii="仿宋" w:hAnsi="仿宋" w:eastAsia="仿宋" w:cs="仿宋"/>
          <w:b w:val="0"/>
          <w:bCs w:val="0"/>
          <w:color w:val="auto"/>
          <w:sz w:val="24"/>
          <w:szCs w:val="24"/>
          <w:highlight w:val="none"/>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.7 投标方必须提供所供设备相应的安全操作规程和安全事项的说明书，危险化学品“一书一签”；负责对招标方相关人员开展“四新”安全培训。</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.8货物（或生产线）应运行稳定、可靠、安全，无非正常变形，非正常振动，无异常声音；无漏水、漏液、漏气（汽）、漏电等现象。</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.9 所有的管路和线缆等，接头应完全正确、可靠地联接；应排列有序（正确、牢固、整齐），有必要的防护，无皱褶、收缩和裂缝等不良现象。</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.10地线联接和地极符合国际（ISO/IEC）标准规范</w:t>
      </w:r>
      <w:r>
        <w:rPr>
          <w:rFonts w:hint="eastAsia" w:ascii="仿宋" w:hAnsi="仿宋" w:eastAsia="仿宋" w:cs="仿宋"/>
          <w:b w:val="0"/>
          <w:bCs w:val="0"/>
          <w:color w:val="auto"/>
          <w:sz w:val="24"/>
          <w:szCs w:val="24"/>
          <w:highlight w:val="none"/>
          <w:lang w:eastAsia="zh-CN"/>
        </w:rPr>
        <w:t>，电器柜需张贴当心触电警示标识</w:t>
      </w:r>
      <w:r>
        <w:rPr>
          <w:rFonts w:hint="eastAsia" w:ascii="仿宋" w:hAnsi="仿宋" w:eastAsia="仿宋" w:cs="仿宋"/>
          <w:b w:val="0"/>
          <w:bCs w:val="0"/>
          <w:color w:val="auto"/>
          <w:sz w:val="24"/>
          <w:szCs w:val="24"/>
          <w:highlight w:val="none"/>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.11货物（或生产线）正常运行时，噪声等环境影响因素满足国家（《工作场所物理因素测量噪声》GBZ/T 189.8-2007. 噪音≤80dB(A)（距设备一米处测量））和当地环保主管部门规定</w:t>
      </w:r>
      <w:r>
        <w:rPr>
          <w:rFonts w:hint="eastAsia" w:ascii="仿宋" w:hAnsi="仿宋" w:eastAsia="仿宋" w:cs="仿宋"/>
          <w:b w:val="0"/>
          <w:bCs w:val="0"/>
          <w:color w:val="auto"/>
          <w:sz w:val="24"/>
          <w:szCs w:val="24"/>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验收时，投标方须提供由第三方监测机构出具的噪音合格监测报告。</w:t>
      </w:r>
      <w:r>
        <w:rPr>
          <w:rFonts w:hint="eastAsia" w:ascii="仿宋" w:hAnsi="仿宋" w:eastAsia="仿宋" w:cs="仿宋"/>
          <w:b w:val="0"/>
          <w:bCs w:val="0"/>
          <w:color w:val="auto"/>
          <w:sz w:val="24"/>
          <w:szCs w:val="24"/>
          <w:highlight w:val="none"/>
          <w:lang w:val="en-US" w:eastAsia="zh-CN"/>
        </w:rPr>
        <w:t>监测机构具备监测资质，且招标方认可。</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.12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.13 涉及需要进行环保、职业卫生强制检测的项目（设备、设施），应由中标方提供权威第三方检测机构出具的完工检测报告。</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.14 特种设备应提供济南市特种设备检验研究院出具的首次检验报告，招标方协助中标方办理相关注册登记手续。</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.15机器人作业区域安全防护。</w:t>
      </w:r>
      <w:r>
        <w:rPr>
          <w:rFonts w:hint="eastAsia" w:ascii="仿宋" w:hAnsi="仿宋" w:eastAsia="仿宋" w:cs="仿宋"/>
          <w:b w:val="0"/>
          <w:bCs w:val="0"/>
          <w:color w:val="auto"/>
          <w:sz w:val="24"/>
          <w:szCs w:val="24"/>
          <w:highlight w:val="none"/>
          <w:lang w:val="en-US" w:eastAsia="zh-CN"/>
        </w:rPr>
        <w:t>机器人作业区域需安装</w:t>
      </w:r>
      <w:r>
        <w:rPr>
          <w:rFonts w:hint="eastAsia" w:ascii="仿宋" w:hAnsi="仿宋" w:eastAsia="仿宋" w:cs="仿宋"/>
          <w:b w:val="0"/>
          <w:bCs w:val="0"/>
          <w:color w:val="auto"/>
          <w:sz w:val="24"/>
          <w:szCs w:val="24"/>
          <w:highlight w:val="none"/>
        </w:rPr>
        <w:t>安全防护</w:t>
      </w:r>
      <w:r>
        <w:rPr>
          <w:rFonts w:hint="eastAsia" w:ascii="仿宋" w:hAnsi="仿宋" w:eastAsia="仿宋" w:cs="仿宋"/>
          <w:b w:val="0"/>
          <w:bCs w:val="0"/>
          <w:color w:val="auto"/>
          <w:sz w:val="24"/>
          <w:szCs w:val="24"/>
          <w:highlight w:val="none"/>
          <w:lang w:val="en-US" w:eastAsia="zh-CN"/>
        </w:rPr>
        <w:t>隔离，安全防护隔离</w:t>
      </w:r>
      <w:r>
        <w:rPr>
          <w:rFonts w:hint="eastAsia" w:ascii="仿宋" w:hAnsi="仿宋" w:eastAsia="仿宋" w:cs="仿宋"/>
          <w:b w:val="0"/>
          <w:bCs w:val="0"/>
          <w:color w:val="auto"/>
          <w:sz w:val="24"/>
          <w:szCs w:val="24"/>
          <w:highlight w:val="none"/>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pPr>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16</w:t>
      </w:r>
      <w:r>
        <w:rPr>
          <w:rFonts w:hint="eastAsia" w:ascii="仿宋" w:hAnsi="仿宋" w:eastAsia="仿宋" w:cs="仿宋"/>
          <w:b w:val="0"/>
          <w:bCs w:val="0"/>
          <w:color w:val="auto"/>
          <w:sz w:val="24"/>
          <w:szCs w:val="24"/>
          <w:highlight w:val="none"/>
        </w:rPr>
        <w:t>投标方所投货物外观颜色标准按招标方提供的标准《Q/ZZ 30070—2020》或双方书面约定的标准执行。</w:t>
      </w:r>
    </w:p>
    <w:p>
      <w:pPr>
        <w:pStyle w:val="2"/>
        <w:rPr>
          <w:rFonts w:hint="default" w:ascii="仿宋" w:hAnsi="仿宋" w:eastAsia="仿宋" w:cs="仿宋"/>
          <w:sz w:val="24"/>
          <w:szCs w:val="24"/>
          <w:lang w:val="en-US" w:eastAsia="zh-CN"/>
        </w:rPr>
      </w:pPr>
    </w:p>
    <w:p>
      <w:pPr>
        <w:spacing w:line="360" w:lineRule="auto"/>
        <w:jc w:val="left"/>
        <w:outlineLvl w:val="1"/>
        <w:rPr>
          <w:rFonts w:hint="eastAsia" w:ascii="仿宋" w:hAnsi="仿宋" w:eastAsia="仿宋" w:cs="仿宋"/>
          <w:b/>
          <w:bCs/>
          <w:sz w:val="24"/>
          <w:szCs w:val="24"/>
        </w:rPr>
      </w:pPr>
      <w:r>
        <w:rPr>
          <w:rFonts w:hint="eastAsia" w:ascii="仿宋" w:hAnsi="仿宋" w:eastAsia="仿宋" w:cs="仿宋"/>
          <w:b/>
          <w:bCs/>
          <w:sz w:val="24"/>
          <w:szCs w:val="24"/>
        </w:rPr>
        <w:t>三、特别提示</w:t>
      </w:r>
      <w:bookmarkEnd w:id="95"/>
      <w:bookmarkEnd w:id="96"/>
    </w:p>
    <w:p>
      <w:pPr>
        <w:pStyle w:val="3"/>
        <w:spacing w:line="360" w:lineRule="auto"/>
        <w:ind w:left="0" w:leftChars="0" w:firstLine="480" w:firstLineChars="200"/>
        <w:jc w:val="left"/>
        <w:rPr>
          <w:rFonts w:hint="eastAsia" w:ascii="仿宋" w:hAnsi="仿宋" w:eastAsia="仿宋" w:cs="仿宋"/>
          <w:sz w:val="24"/>
          <w:szCs w:val="24"/>
        </w:rPr>
      </w:pPr>
      <w:r>
        <w:rPr>
          <w:rFonts w:hint="eastAsia" w:ascii="仿宋" w:hAnsi="仿宋" w:eastAsia="仿宋" w:cs="仿宋"/>
          <w:sz w:val="24"/>
          <w:szCs w:val="24"/>
        </w:rPr>
        <w:t>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pPr>
        <w:pStyle w:val="3"/>
        <w:spacing w:line="360" w:lineRule="auto"/>
        <w:ind w:left="0" w:leftChars="0" w:firstLine="480" w:firstLineChars="200"/>
        <w:jc w:val="left"/>
        <w:rPr>
          <w:rFonts w:hint="eastAsia" w:ascii="仿宋" w:hAnsi="仿宋" w:eastAsia="仿宋" w:cs="仿宋"/>
          <w:sz w:val="24"/>
          <w:szCs w:val="24"/>
        </w:rPr>
      </w:pPr>
      <w:r>
        <w:rPr>
          <w:rFonts w:hint="eastAsia" w:ascii="仿宋" w:hAnsi="仿宋" w:eastAsia="仿宋" w:cs="仿宋"/>
          <w:sz w:val="24"/>
          <w:szCs w:val="24"/>
        </w:rPr>
        <w:t>2、本技术要求所使用的标准、规范等，如与投标方所执行的标准、规范不一致时，应按高于本技术要求所列的标准、规范执行，并在投标文件“技术偏离”中予以说明。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3、投标方认为所供货物（或生产线）必需由招标方配备、解决或提供的其它要求，如设备基础隔振和减振设施、软化水、洁净气源等，均应在投标文件“技术偏离”中予以充分说明。</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4、投标文件中，针对“特别提示”条款所做的回应，将作为投标方能否中标的重要依据。</w:t>
      </w:r>
    </w:p>
    <w:p>
      <w:pPr>
        <w:spacing w:line="360" w:lineRule="auto"/>
        <w:ind w:firstLine="2650" w:firstLineChars="1100"/>
        <w:outlineLvl w:val="0"/>
        <w:rPr>
          <w:rFonts w:hint="eastAsia" w:ascii="仿宋" w:hAnsi="仿宋" w:eastAsia="仿宋" w:cs="仿宋"/>
          <w:b/>
          <w:sz w:val="24"/>
          <w:szCs w:val="24"/>
        </w:rPr>
      </w:pPr>
      <w:bookmarkStart w:id="97" w:name="_Toc29724"/>
      <w:bookmarkStart w:id="98" w:name="_Toc28983"/>
      <w:bookmarkStart w:id="99" w:name="_Toc31489"/>
      <w:bookmarkStart w:id="100" w:name="_Toc25412"/>
      <w:r>
        <w:rPr>
          <w:rFonts w:hint="eastAsia" w:ascii="仿宋" w:hAnsi="仿宋" w:eastAsia="仿宋" w:cs="仿宋"/>
          <w:b/>
          <w:sz w:val="24"/>
          <w:szCs w:val="24"/>
        </w:rPr>
        <w:t>第三章  供货范围及供货方式</w:t>
      </w:r>
      <w:bookmarkEnd w:id="97"/>
      <w:bookmarkEnd w:id="98"/>
      <w:bookmarkEnd w:id="99"/>
      <w:bookmarkEnd w:id="100"/>
    </w:p>
    <w:p>
      <w:pPr>
        <w:pStyle w:val="5"/>
        <w:spacing w:before="120" w:after="120" w:line="360" w:lineRule="auto"/>
        <w:jc w:val="center"/>
        <w:rPr>
          <w:rFonts w:hint="eastAsia" w:ascii="仿宋" w:hAnsi="仿宋" w:eastAsia="仿宋" w:cs="仿宋"/>
          <w:b w:val="0"/>
          <w:sz w:val="24"/>
          <w:szCs w:val="24"/>
        </w:rPr>
      </w:pPr>
      <w:bookmarkStart w:id="101" w:name="_Toc20545"/>
      <w:bookmarkStart w:id="102" w:name="_Toc133783971"/>
      <w:bookmarkStart w:id="103" w:name="_Toc2181"/>
      <w:bookmarkStart w:id="104" w:name="_Toc403466187"/>
      <w:bookmarkStart w:id="105" w:name="_Toc31880"/>
      <w:bookmarkStart w:id="106" w:name="_Toc15242"/>
      <w:r>
        <w:rPr>
          <w:rFonts w:hint="eastAsia" w:ascii="仿宋" w:hAnsi="仿宋" w:eastAsia="仿宋" w:cs="仿宋"/>
          <w:b w:val="0"/>
          <w:sz w:val="24"/>
          <w:szCs w:val="24"/>
        </w:rPr>
        <w:t>第一节  供货范围</w:t>
      </w:r>
      <w:bookmarkEnd w:id="101"/>
      <w:bookmarkEnd w:id="102"/>
      <w:bookmarkEnd w:id="103"/>
      <w:bookmarkEnd w:id="104"/>
      <w:bookmarkEnd w:id="105"/>
      <w:bookmarkEnd w:id="106"/>
    </w:p>
    <w:p>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1  主要供货范围</w:t>
      </w:r>
    </w:p>
    <w:p>
      <w:pPr>
        <w:pStyle w:val="27"/>
        <w:snapToGrid w:val="0"/>
        <w:spacing w:line="360" w:lineRule="auto"/>
        <w:ind w:left="6" w:firstLine="474"/>
        <w:rPr>
          <w:rFonts w:hint="eastAsia" w:ascii="仿宋" w:hAnsi="仿宋" w:eastAsia="仿宋" w:cs="仿宋"/>
        </w:rPr>
      </w:pPr>
      <w:r>
        <w:rPr>
          <w:rFonts w:hint="eastAsia" w:ascii="仿宋" w:hAnsi="仿宋" w:eastAsia="仿宋" w:cs="仿宋"/>
          <w:szCs w:val="24"/>
        </w:rPr>
        <w:t xml:space="preserve">  </w:t>
      </w:r>
      <w:r>
        <w:rPr>
          <w:rFonts w:hint="eastAsia" w:ascii="仿宋" w:hAnsi="仿宋" w:eastAsia="仿宋" w:cs="仿宋"/>
          <w:kern w:val="0"/>
          <w:szCs w:val="24"/>
          <w:lang w:bidi="ar"/>
        </w:rPr>
        <w:t>1.1招标方只提供所需厂房、货物（或生产线）的</w:t>
      </w:r>
      <w:r>
        <w:rPr>
          <w:rFonts w:hint="eastAsia" w:ascii="仿宋" w:hAnsi="仿宋" w:eastAsia="仿宋" w:cs="仿宋"/>
          <w:kern w:val="0"/>
          <w:szCs w:val="24"/>
          <w:lang w:val="en-US" w:eastAsia="zh-CN" w:bidi="ar"/>
        </w:rPr>
        <w:t>测试</w:t>
      </w:r>
      <w:r>
        <w:rPr>
          <w:rFonts w:hint="eastAsia" w:ascii="仿宋" w:hAnsi="仿宋" w:eastAsia="仿宋" w:cs="仿宋"/>
          <w:kern w:val="0"/>
          <w:szCs w:val="24"/>
          <w:lang w:bidi="ar"/>
        </w:rPr>
        <w:t>基础。</w:t>
      </w:r>
    </w:p>
    <w:p>
      <w:pPr>
        <w:pStyle w:val="27"/>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1.2招标方只负责提供符合本技术标书中“采购货物概况”和“使用环境”章节所列明品质的电力、自来水、压缩空气、蒸汽、天然气（或煤气）管线至系统接口。如，供电至系统电力接口的接线端，水、气、汽等供至系统联接法兰外端（不含联接所需螺栓等紧固件和其它必需配件）。</w:t>
      </w:r>
    </w:p>
    <w:p>
      <w:pPr>
        <w:pStyle w:val="27"/>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1.3投标方应提供包括货物（或生产线）正常运行所必需的全套连线设备、材料等；如：联接法兰外端面（含联接螺栓）之内的、电气系统接口压线板（插座等）之内的设备、材料等；</w:t>
      </w:r>
    </w:p>
    <w:p>
      <w:pPr>
        <w:pStyle w:val="27"/>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pPr>
        <w:pStyle w:val="27"/>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1.5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pPr>
        <w:pStyle w:val="27"/>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1.6投标方应提供包括为保证货物（或生产线）自身正常运行所必需的、适应使用地点条件的通风、冷却、降温系统等。</w:t>
      </w:r>
    </w:p>
    <w:p>
      <w:pPr>
        <w:pStyle w:val="27"/>
        <w:snapToGrid w:val="0"/>
        <w:spacing w:line="360" w:lineRule="auto"/>
        <w:ind w:left="6" w:firstLine="474"/>
        <w:rPr>
          <w:rFonts w:hint="eastAsia" w:ascii="仿宋" w:hAnsi="仿宋" w:eastAsia="仿宋" w:cs="仿宋"/>
        </w:rPr>
      </w:pPr>
      <w:r>
        <w:rPr>
          <w:rFonts w:hint="eastAsia" w:ascii="仿宋" w:hAnsi="仿宋" w:eastAsia="仿宋" w:cs="仿宋"/>
          <w:kern w:val="0"/>
          <w:szCs w:val="24"/>
          <w:lang w:bidi="ar"/>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pStyle w:val="27"/>
        <w:snapToGrid w:val="0"/>
        <w:spacing w:line="360" w:lineRule="auto"/>
        <w:ind w:left="6" w:firstLine="474"/>
      </w:pPr>
      <w:r>
        <w:rPr>
          <w:rFonts w:hint="eastAsia" w:ascii="仿宋" w:hAnsi="仿宋" w:eastAsia="仿宋" w:cs="仿宋"/>
          <w:szCs w:val="24"/>
          <w:lang w:bidi="ar"/>
        </w:rPr>
        <w:t>1.8投标方应提供货物（或生产线）维修所必需的专用工具，并在投标报价部分说明数量。</w:t>
      </w:r>
    </w:p>
    <w:p>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2  备品备件、易损件和专用耗材供货范围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招标方招标文件所指备品备件、易损件和专用耗材，是招标方为保证设备质保期之后正常运行一年所自备自用的备品备件、易损件和专用耗材。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投标方按照招标文件要求提供、或投标方认为招标方应当储备的备品备件、易损件和专用耗材，投标方应当在投标报价部分分别说明所列备品备件、易损件和专用耗材的使用时间。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投标方应提供易损件和专用耗材的制造图纸及其技术要求等资料。</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投标文件中，应当有备品备件、易损件和专用耗材的详细清单（内容包括名称、型号、规格、单位、数量、生产厂家、单价、总价等）。机床和机器人的主要参数、配置表、关键件和进口外购明细表、随机附明细表、技术文件明细表等。</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  备品备件、易损件和专用耗材的费用应分类单列，并计入投标总报价之内。</w:t>
      </w:r>
    </w:p>
    <w:p>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3  技术资料供货范围</w:t>
      </w:r>
    </w:p>
    <w:p>
      <w:pPr>
        <w:spacing w:line="360" w:lineRule="auto"/>
        <w:ind w:firstLine="480" w:firstLineChars="200"/>
        <w:rPr>
          <w:rFonts w:hint="eastAsia" w:ascii="仿宋" w:hAnsi="仿宋" w:eastAsia="仿宋" w:cs="仿宋"/>
          <w:bCs/>
          <w:sz w:val="24"/>
          <w:szCs w:val="24"/>
        </w:rPr>
      </w:pPr>
      <w:r>
        <w:rPr>
          <w:rFonts w:hint="eastAsia" w:ascii="仿宋" w:hAnsi="仿宋" w:eastAsia="仿宋" w:cs="仿宋"/>
          <w:sz w:val="24"/>
          <w:szCs w:val="24"/>
        </w:rPr>
        <w:t>3.1  投标方须负责在</w:t>
      </w:r>
      <w:r>
        <w:rPr>
          <w:rFonts w:hint="eastAsia" w:ascii="仿宋" w:hAnsi="仿宋" w:eastAsia="仿宋" w:cs="仿宋"/>
          <w:bCs/>
          <w:sz w:val="24"/>
          <w:szCs w:val="24"/>
        </w:rPr>
        <w:t>合同签订后</w:t>
      </w:r>
      <w:r>
        <w:rPr>
          <w:rFonts w:hint="eastAsia" w:ascii="仿宋" w:hAnsi="仿宋" w:eastAsia="仿宋" w:cs="仿宋"/>
          <w:bCs/>
          <w:sz w:val="24"/>
          <w:szCs w:val="24"/>
          <w:u w:val="single"/>
          <w:shd w:val="pct10" w:color="auto" w:fill="FFFFFF"/>
        </w:rPr>
        <w:t xml:space="preserve">  15  </w:t>
      </w:r>
      <w:r>
        <w:rPr>
          <w:rFonts w:hint="eastAsia" w:ascii="仿宋" w:hAnsi="仿宋" w:eastAsia="仿宋" w:cs="仿宋"/>
          <w:bCs/>
          <w:sz w:val="24"/>
          <w:szCs w:val="24"/>
        </w:rPr>
        <w:t>个日历日内，提供设备基础及相关的设计、制作所需的纸质及电子版资料；电子版文件应当能够使用常用版本软件可以阅读甚至使用，进口货物、设备应有中外文对照。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3.2  投标方应同时提出</w:t>
      </w:r>
      <w:r>
        <w:rPr>
          <w:rFonts w:hint="eastAsia" w:ascii="仿宋" w:hAnsi="仿宋" w:eastAsia="仿宋" w:cs="仿宋"/>
          <w:sz w:val="24"/>
          <w:szCs w:val="24"/>
        </w:rPr>
        <w:t>对厂房、基础、公用设施、消防、环保等超出招标文件、投标文件、答疑文件、技术交流文件、技术协议书和合同等规定的、有特殊需要的解释、说明和要求。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  投标方须负责在预验收前，</w:t>
      </w:r>
      <w:r>
        <w:rPr>
          <w:rFonts w:hint="eastAsia" w:ascii="仿宋" w:hAnsi="仿宋" w:eastAsia="仿宋" w:cs="仿宋"/>
          <w:bCs/>
          <w:sz w:val="24"/>
          <w:szCs w:val="24"/>
        </w:rPr>
        <w:t>提供设备各部分的功能描述文件、图片、影像等资料（进口设备应有中外文对照）。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  投标方须负责在终验收前，提供招标方为保证设备正常运行所需后续自制的工装、吊（挂）具明细及其图纸、具体技术要求等资料（如果供货范围包含该部分实物）。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3.5  投标方须负责在终验收前，提供确定的而且质保期之后招标方维修所需要的、可以自行采购的外购件、外协件、电气元件及主要原材料的供货厂家明细表。</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3.6  投标方须负责在在终验收前，提供包括设备的备品备件、易损件和专用耗材规定的图纸及技术参数、技术要求等资料。</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3.7  投标方须负责在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3.8  投标方须负责在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3.9  本条款所列的技术资料、图片、影像等，投标方应各提供5套，其中2套为电子版U盘；每份技术文件应装有目录清单。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3.10  本条款所列要求，如招标方认为投标方提供的资料不能满足要求时，有权要求投标方免费补充或增加。</w:t>
      </w:r>
    </w:p>
    <w:p>
      <w:pPr>
        <w:pStyle w:val="5"/>
        <w:spacing w:before="120" w:after="120" w:line="360" w:lineRule="auto"/>
        <w:jc w:val="center"/>
        <w:rPr>
          <w:rFonts w:hint="eastAsia" w:ascii="仿宋" w:hAnsi="仿宋" w:eastAsia="仿宋" w:cs="仿宋"/>
          <w:b w:val="0"/>
          <w:sz w:val="24"/>
          <w:szCs w:val="24"/>
        </w:rPr>
      </w:pPr>
      <w:bookmarkStart w:id="107" w:name="_Toc403466188"/>
      <w:bookmarkStart w:id="108" w:name="_Toc133783972"/>
      <w:bookmarkStart w:id="109" w:name="_Toc22494"/>
      <w:bookmarkStart w:id="110" w:name="_Toc5369"/>
      <w:bookmarkStart w:id="111" w:name="_Toc27444"/>
      <w:bookmarkStart w:id="112" w:name="_Toc31181"/>
      <w:r>
        <w:rPr>
          <w:rFonts w:hint="eastAsia" w:ascii="仿宋" w:hAnsi="仿宋" w:eastAsia="仿宋" w:cs="仿宋"/>
          <w:b w:val="0"/>
          <w:sz w:val="24"/>
          <w:szCs w:val="24"/>
        </w:rPr>
        <w:t>第二节  供货方式</w:t>
      </w:r>
      <w:bookmarkEnd w:id="107"/>
      <w:bookmarkEnd w:id="108"/>
      <w:bookmarkEnd w:id="109"/>
      <w:bookmarkEnd w:id="110"/>
      <w:bookmarkEnd w:id="111"/>
      <w:bookmarkEnd w:id="112"/>
    </w:p>
    <w:p>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1  供货地点及款项支付</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1.1本项目建设工地:山东省济南市历城区世纪大道757号重汽（济南）车桥有限公司。</w:t>
      </w:r>
    </w:p>
    <w:p>
      <w:pPr>
        <w:spacing w:line="360" w:lineRule="auto"/>
        <w:ind w:firstLine="480" w:firstLineChars="200"/>
        <w:jc w:val="left"/>
        <w:outlineLvl w:val="2"/>
        <w:rPr>
          <w:rFonts w:hint="eastAsia" w:ascii="仿宋" w:hAnsi="仿宋" w:eastAsia="仿宋" w:cs="仿宋"/>
          <w:sz w:val="24"/>
          <w:szCs w:val="24"/>
        </w:rPr>
      </w:pPr>
      <w:r>
        <w:rPr>
          <w:rFonts w:hint="eastAsia" w:ascii="仿宋" w:hAnsi="仿宋" w:eastAsia="仿宋" w:cs="仿宋"/>
          <w:sz w:val="24"/>
          <w:szCs w:val="24"/>
        </w:rPr>
        <w:t>2  供货时间</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2.1  投标方应自</w:t>
      </w:r>
      <w:r>
        <w:rPr>
          <w:rFonts w:hint="eastAsia" w:ascii="仿宋" w:hAnsi="仿宋" w:eastAsia="仿宋" w:cs="仿宋"/>
          <w:sz w:val="24"/>
          <w:szCs w:val="24"/>
          <w:lang w:val="en-US" w:eastAsia="zh-CN"/>
        </w:rPr>
        <w:t>合同签定</w:t>
      </w:r>
      <w:r>
        <w:rPr>
          <w:rFonts w:hint="eastAsia" w:ascii="仿宋" w:hAnsi="仿宋" w:eastAsia="仿宋" w:cs="仿宋"/>
          <w:sz w:val="24"/>
          <w:szCs w:val="24"/>
        </w:rPr>
        <w:t>之日起，</w:t>
      </w:r>
      <w:r>
        <w:rPr>
          <w:rFonts w:hint="eastAsia" w:ascii="仿宋" w:hAnsi="仿宋" w:eastAsia="仿宋" w:cs="仿宋"/>
          <w:sz w:val="24"/>
          <w:szCs w:val="24"/>
          <w:lang w:val="en-US" w:eastAsia="zh-CN"/>
        </w:rPr>
        <w:t>螺柱焊机</w:t>
      </w:r>
      <w:r>
        <w:rPr>
          <w:rFonts w:hint="eastAsia" w:ascii="仿宋" w:hAnsi="仿宋" w:eastAsia="仿宋" w:cs="仿宋"/>
          <w:sz w:val="24"/>
          <w:szCs w:val="24"/>
        </w:rPr>
        <w:t>需在</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highlight w:val="yellow"/>
          <w:u w:val="single"/>
          <w:shd w:val="pct10" w:color="auto" w:fill="FFFFFF"/>
          <w:lang w:val="en-US" w:eastAsia="zh-CN"/>
        </w:rPr>
        <w:t>20</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rPr>
        <w:t>个日历日之内交货至供货地点</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2.2  接续</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highlight w:val="yellow"/>
          <w:u w:val="single"/>
          <w:shd w:val="pct10" w:color="auto" w:fill="FFFFFF"/>
          <w:lang w:val="en-US" w:eastAsia="zh-CN"/>
        </w:rPr>
        <w:t>5</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rPr>
        <w:t>个日历日之内安装调试完毕；</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2.3  接续</w:t>
      </w:r>
      <w:r>
        <w:rPr>
          <w:rFonts w:hint="eastAsia" w:ascii="仿宋" w:hAnsi="仿宋" w:eastAsia="仿宋" w:cs="仿宋"/>
          <w:sz w:val="24"/>
          <w:szCs w:val="24"/>
          <w:highlight w:val="yellow"/>
          <w:u w:val="single"/>
          <w:shd w:val="pct10" w:color="auto" w:fill="FFFFFF"/>
        </w:rPr>
        <w:t xml:space="preserve">  </w:t>
      </w:r>
      <w:r>
        <w:rPr>
          <w:rFonts w:hint="eastAsia" w:ascii="仿宋" w:hAnsi="仿宋" w:eastAsia="仿宋" w:cs="仿宋"/>
          <w:sz w:val="24"/>
          <w:szCs w:val="24"/>
          <w:highlight w:val="yellow"/>
          <w:u w:val="single"/>
          <w:shd w:val="pct10" w:color="auto" w:fill="FFFFFF"/>
          <w:lang w:val="en-US" w:eastAsia="zh-CN"/>
        </w:rPr>
        <w:t xml:space="preserve">30  </w:t>
      </w:r>
      <w:r>
        <w:rPr>
          <w:rFonts w:hint="eastAsia" w:ascii="仿宋" w:hAnsi="仿宋" w:eastAsia="仿宋" w:cs="仿宋"/>
          <w:sz w:val="24"/>
          <w:szCs w:val="24"/>
        </w:rPr>
        <w:t>个日历日之内完成（或协助完成）终验收。</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2.4  投标方应当提供详细的工期计划。</w:t>
      </w:r>
    </w:p>
    <w:p>
      <w:pPr>
        <w:spacing w:line="360" w:lineRule="auto"/>
        <w:ind w:firstLine="480" w:firstLineChars="200"/>
        <w:jc w:val="left"/>
        <w:rPr>
          <w:rFonts w:hint="eastAsia" w:ascii="仿宋" w:hAnsi="仿宋" w:eastAsia="仿宋" w:cs="仿宋"/>
          <w:sz w:val="24"/>
          <w:szCs w:val="24"/>
        </w:rPr>
      </w:pPr>
      <w:bookmarkStart w:id="113" w:name="_Hlk58764844"/>
      <w:r>
        <w:rPr>
          <w:rFonts w:hint="eastAsia" w:ascii="仿宋" w:hAnsi="仿宋" w:eastAsia="仿宋" w:cs="仿宋"/>
          <w:sz w:val="24"/>
          <w:szCs w:val="24"/>
        </w:rPr>
        <w:t>2.5  设备终验收结束后，招标方投入生产使用时，投标方应当提供</w:t>
      </w:r>
      <w:r>
        <w:rPr>
          <w:rFonts w:hint="eastAsia" w:ascii="仿宋" w:hAnsi="仿宋" w:eastAsia="仿宋" w:cs="仿宋"/>
          <w:sz w:val="24"/>
          <w:szCs w:val="24"/>
          <w:highlight w:val="yellow"/>
        </w:rPr>
        <w:t xml:space="preserve"> </w:t>
      </w:r>
      <w:r>
        <w:rPr>
          <w:rFonts w:hint="eastAsia" w:ascii="仿宋" w:hAnsi="仿宋" w:eastAsia="仿宋" w:cs="仿宋"/>
          <w:sz w:val="24"/>
          <w:szCs w:val="24"/>
          <w:highlight w:val="yellow"/>
          <w:lang w:val="en-US" w:eastAsia="zh-CN"/>
        </w:rPr>
        <w:t>9</w:t>
      </w:r>
      <w:r>
        <w:rPr>
          <w:rFonts w:hint="eastAsia" w:ascii="仿宋" w:hAnsi="仿宋" w:eastAsia="仿宋" w:cs="仿宋"/>
          <w:sz w:val="24"/>
          <w:szCs w:val="24"/>
          <w:highlight w:val="yellow"/>
          <w:u w:val="single"/>
          <w:lang w:val="en-US" w:eastAsia="zh-CN"/>
        </w:rPr>
        <w:t>0</w:t>
      </w:r>
      <w:r>
        <w:rPr>
          <w:rFonts w:hint="eastAsia" w:ascii="仿宋" w:hAnsi="仿宋" w:eastAsia="仿宋" w:cs="仿宋"/>
          <w:sz w:val="24"/>
          <w:szCs w:val="24"/>
        </w:rPr>
        <w:t>个工作日的陪同生产人员（投标方的设备终验收调试人员）。</w:t>
      </w:r>
      <w:bookmarkEnd w:id="113"/>
    </w:p>
    <w:p>
      <w:pPr>
        <w:spacing w:line="360" w:lineRule="auto"/>
        <w:ind w:firstLine="480" w:firstLineChars="200"/>
        <w:jc w:val="left"/>
        <w:outlineLvl w:val="2"/>
        <w:rPr>
          <w:rFonts w:hint="eastAsia" w:ascii="仿宋" w:hAnsi="仿宋" w:eastAsia="仿宋" w:cs="仿宋"/>
          <w:sz w:val="24"/>
          <w:szCs w:val="24"/>
        </w:rPr>
      </w:pPr>
      <w:r>
        <w:rPr>
          <w:rFonts w:hint="eastAsia" w:ascii="仿宋" w:hAnsi="仿宋" w:eastAsia="仿宋" w:cs="仿宋"/>
          <w:sz w:val="24"/>
          <w:szCs w:val="24"/>
        </w:rPr>
        <w:t>3  质保期</w:t>
      </w:r>
    </w:p>
    <w:p>
      <w:pPr>
        <w:spacing w:line="360" w:lineRule="auto"/>
        <w:ind w:firstLine="440"/>
        <w:rPr>
          <w:rFonts w:hint="eastAsia" w:ascii="仿宋" w:hAnsi="仿宋" w:eastAsia="仿宋" w:cs="仿宋"/>
          <w:sz w:val="24"/>
          <w:szCs w:val="24"/>
        </w:rPr>
      </w:pPr>
      <w:r>
        <w:rPr>
          <w:rFonts w:hint="eastAsia" w:ascii="仿宋" w:hAnsi="仿宋" w:eastAsia="仿宋" w:cs="仿宋"/>
          <w:sz w:val="24"/>
          <w:szCs w:val="24"/>
        </w:rPr>
        <w:t>3.1  投标方所提供设备涉及的全部供货范围内的设备、材料、零配件和工器具等，除合同特别约定外，其质保期均自终验收签字生效之日起</w:t>
      </w:r>
      <w:r>
        <w:rPr>
          <w:rFonts w:hint="eastAsia" w:ascii="仿宋" w:hAnsi="仿宋" w:eastAsia="仿宋" w:cs="仿宋"/>
          <w:sz w:val="24"/>
          <w:szCs w:val="24"/>
          <w:u w:val="single"/>
        </w:rPr>
        <w:t xml:space="preserve"> </w:t>
      </w:r>
      <w:r>
        <w:rPr>
          <w:rFonts w:hint="eastAsia" w:ascii="仿宋" w:hAnsi="仿宋" w:eastAsia="仿宋" w:cs="仿宋"/>
          <w:sz w:val="24"/>
          <w:szCs w:val="24"/>
          <w:u w:val="single"/>
          <w:shd w:val="pct10" w:color="auto" w:fill="FFFFFF"/>
        </w:rPr>
        <w:t xml:space="preserve"> 12 </w:t>
      </w:r>
      <w:r>
        <w:rPr>
          <w:rFonts w:hint="eastAsia" w:ascii="仿宋" w:hAnsi="仿宋" w:eastAsia="仿宋" w:cs="仿宋"/>
          <w:sz w:val="24"/>
          <w:szCs w:val="24"/>
        </w:rPr>
        <w:t>个月。</w:t>
      </w:r>
      <w:r>
        <w:rPr>
          <w:rFonts w:hint="eastAsia" w:ascii="仿宋" w:hAnsi="仿宋" w:eastAsia="仿宋" w:cs="仿宋"/>
          <w:spacing w:val="20"/>
          <w:kern w:val="10"/>
          <w:sz w:val="24"/>
          <w:szCs w:val="24"/>
        </w:rPr>
        <w:t>其中控制电器部分</w:t>
      </w:r>
      <w:r>
        <w:rPr>
          <w:rFonts w:hint="eastAsia" w:ascii="仿宋" w:hAnsi="仿宋" w:eastAsia="仿宋" w:cs="仿宋"/>
          <w:sz w:val="24"/>
          <w:szCs w:val="24"/>
        </w:rPr>
        <w:t>质保期在</w:t>
      </w:r>
      <w:r>
        <w:rPr>
          <w:rFonts w:hint="eastAsia" w:ascii="仿宋" w:hAnsi="仿宋" w:eastAsia="仿宋" w:cs="仿宋"/>
          <w:sz w:val="24"/>
          <w:szCs w:val="24"/>
          <w:u w:val="single"/>
          <w:shd w:val="pct10" w:color="auto" w:fill="FFFFFF"/>
        </w:rPr>
        <w:t>12</w:t>
      </w:r>
      <w:r>
        <w:rPr>
          <w:rFonts w:hint="eastAsia" w:ascii="仿宋" w:hAnsi="仿宋" w:eastAsia="仿宋" w:cs="仿宋"/>
          <w:spacing w:val="20"/>
          <w:kern w:val="10"/>
          <w:sz w:val="24"/>
          <w:szCs w:val="24"/>
        </w:rPr>
        <w:t>个月以上。</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3.2  质保期之内，如果设备出现关键设备、总成、零部件或者多处一般设备、总成、零部件的更换或维修行为，则质保期自更换或维修行为结束、设备能够正常运行使用之日起重新计算。</w:t>
      </w:r>
    </w:p>
    <w:p>
      <w:pPr>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4  包装</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  投标方所提供货物（或设备）的包装，应遵照国家标准和有关包装、包皮的技术条件，或按照最好的商业惯例进行包装。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  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  投标方所提供货物（或设备）的包装，应能防止其一般性被窃或受外力破坏；一般不得采用有大缝隙的板条包装。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4.4  投标方应对包装件做必要的加固和固定，以防止运输可能造成的损坏。</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4.5  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4.6  每个包装箱应有明显标志，并具有中文书写的合同号、装运标志、发货和到货地点名称、发货人和收货人名称、设备名称和项目号、箱号和外型尺寸等内容。</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4.7  投标方还应按照不同的装运要求在包装箱上标明“小心轻放”、“箭头向上”、“防潮”、“防磁”、“不准平放”等标志，以及其它适用的国标通用标志。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4.9  包装箱应连续编号，不应出现重复编号。</w:t>
      </w:r>
    </w:p>
    <w:p>
      <w:pPr>
        <w:adjustRightInd w:val="0"/>
        <w:snapToGrid w:val="0"/>
        <w:spacing w:line="360" w:lineRule="auto"/>
        <w:ind w:firstLine="480" w:firstLineChars="200"/>
        <w:outlineLvl w:val="2"/>
        <w:rPr>
          <w:rFonts w:hint="eastAsia" w:ascii="仿宋" w:hAnsi="仿宋" w:eastAsia="仿宋" w:cs="仿宋"/>
          <w:sz w:val="24"/>
          <w:szCs w:val="24"/>
        </w:rPr>
      </w:pPr>
      <w:r>
        <w:rPr>
          <w:rFonts w:hint="eastAsia" w:ascii="仿宋" w:hAnsi="仿宋" w:eastAsia="仿宋" w:cs="仿宋"/>
          <w:sz w:val="24"/>
          <w:szCs w:val="24"/>
        </w:rPr>
        <w:t>5  运输</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投标方应负责将货物（或设备）运到目的地，并必须做到货物（或设备）在任何运输过程中不受损坏和遗失。</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  同批货物（或设备）应统一包装、编号运输。</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5.3  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5.4  在每批货物（或设备）发出后，投标方应立即通知</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招标方；通知中应指明：合同号、货运单号、件数、重量和货物（或设备）发出日期等相关内容。</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5.5  货物（或设备）运抵招标方现场后，投标方应负责货物（或设备）的卸货、搬运、保管等事宜；或按照合同约定。</w:t>
      </w:r>
      <w:bookmarkStart w:id="114" w:name="_Toc133783973"/>
      <w:bookmarkStart w:id="115" w:name="_Toc403466189"/>
    </w:p>
    <w:p>
      <w:pPr>
        <w:adjustRightInd w:val="0"/>
        <w:snapToGrid w:val="0"/>
        <w:spacing w:line="360" w:lineRule="auto"/>
        <w:ind w:firstLine="3132" w:firstLineChars="1300"/>
        <w:outlineLvl w:val="0"/>
        <w:rPr>
          <w:rFonts w:hint="eastAsia" w:ascii="仿宋" w:hAnsi="仿宋" w:eastAsia="仿宋" w:cs="仿宋"/>
          <w:b/>
          <w:sz w:val="24"/>
          <w:szCs w:val="24"/>
        </w:rPr>
      </w:pPr>
      <w:bookmarkStart w:id="116" w:name="_Toc24179"/>
      <w:bookmarkStart w:id="117" w:name="_Toc22117"/>
      <w:bookmarkStart w:id="118" w:name="_Toc11176"/>
      <w:bookmarkStart w:id="119" w:name="_Toc28754"/>
      <w:r>
        <w:rPr>
          <w:rFonts w:hint="eastAsia" w:ascii="仿宋" w:hAnsi="仿宋" w:eastAsia="仿宋" w:cs="仿宋"/>
          <w:b/>
          <w:sz w:val="24"/>
          <w:szCs w:val="24"/>
        </w:rPr>
        <w:t>第四章  售中售后服务</w:t>
      </w:r>
      <w:bookmarkEnd w:id="114"/>
      <w:bookmarkEnd w:id="115"/>
      <w:bookmarkEnd w:id="116"/>
      <w:bookmarkEnd w:id="117"/>
      <w:bookmarkEnd w:id="118"/>
      <w:bookmarkEnd w:id="119"/>
    </w:p>
    <w:p>
      <w:pPr>
        <w:adjustRightInd w:val="0"/>
        <w:snapToGrid w:val="0"/>
        <w:spacing w:line="360" w:lineRule="auto"/>
        <w:ind w:firstLine="480" w:firstLineChars="200"/>
        <w:outlineLvl w:val="1"/>
        <w:rPr>
          <w:rFonts w:hint="eastAsia" w:ascii="仿宋" w:hAnsi="仿宋" w:eastAsia="仿宋" w:cs="仿宋"/>
          <w:sz w:val="24"/>
          <w:szCs w:val="24"/>
        </w:rPr>
      </w:pPr>
      <w:bookmarkStart w:id="120" w:name="_Toc6165"/>
      <w:bookmarkStart w:id="121" w:name="_Toc13346"/>
      <w:bookmarkStart w:id="122" w:name="_Toc2283"/>
      <w:bookmarkStart w:id="123" w:name="_Toc1046"/>
      <w:r>
        <w:rPr>
          <w:rFonts w:hint="eastAsia" w:ascii="仿宋" w:hAnsi="仿宋" w:eastAsia="仿宋" w:cs="仿宋"/>
          <w:sz w:val="24"/>
          <w:szCs w:val="24"/>
        </w:rPr>
        <w:t>1  技术及培训服务</w:t>
      </w:r>
      <w:bookmarkEnd w:id="120"/>
      <w:bookmarkEnd w:id="121"/>
      <w:bookmarkEnd w:id="122"/>
      <w:bookmarkEnd w:id="123"/>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1.1  </w:t>
      </w:r>
      <w:bookmarkStart w:id="124" w:name="_Hlk58764965"/>
      <w:r>
        <w:rPr>
          <w:rFonts w:hint="eastAsia" w:ascii="仿宋" w:hAnsi="仿宋" w:eastAsia="仿宋" w:cs="仿宋"/>
          <w:sz w:val="24"/>
          <w:szCs w:val="24"/>
        </w:rPr>
        <w:t>投标方应负责对招标方不少于</w:t>
      </w:r>
      <w:r>
        <w:rPr>
          <w:rFonts w:hint="eastAsia" w:ascii="仿宋" w:hAnsi="仿宋" w:eastAsia="仿宋" w:cs="仿宋"/>
          <w:sz w:val="24"/>
          <w:szCs w:val="24"/>
          <w:u w:val="single"/>
          <w:shd w:val="pct10" w:color="auto" w:fill="FFFFFF"/>
        </w:rPr>
        <w:t xml:space="preserve">  3  </w:t>
      </w:r>
      <w:r>
        <w:rPr>
          <w:rFonts w:hint="eastAsia" w:ascii="仿宋" w:hAnsi="仿宋" w:eastAsia="仿宋" w:cs="仿宋"/>
          <w:sz w:val="24"/>
          <w:szCs w:val="24"/>
        </w:rPr>
        <w:t>名工程技术人员（工艺、机械维修、电气维修）与</w:t>
      </w:r>
      <w:r>
        <w:rPr>
          <w:rFonts w:hint="eastAsia" w:ascii="仿宋" w:hAnsi="仿宋" w:eastAsia="仿宋" w:cs="仿宋"/>
          <w:sz w:val="24"/>
          <w:szCs w:val="24"/>
          <w:u w:val="single"/>
          <w:shd w:val="pct10" w:color="auto" w:fill="FFFFFF"/>
        </w:rPr>
        <w:t xml:space="preserve"> 3-5名  </w:t>
      </w:r>
      <w:r>
        <w:rPr>
          <w:rFonts w:hint="eastAsia" w:ascii="仿宋" w:hAnsi="仿宋" w:eastAsia="仿宋" w:cs="仿宋"/>
          <w:sz w:val="24"/>
          <w:szCs w:val="24"/>
        </w:rPr>
        <w:t>操作人员在投标方现场进行预验收的同时提供不少于</w:t>
      </w:r>
      <w:r>
        <w:rPr>
          <w:rFonts w:hint="eastAsia" w:ascii="仿宋" w:hAnsi="仿宋" w:eastAsia="仿宋" w:cs="仿宋"/>
          <w:sz w:val="24"/>
          <w:szCs w:val="24"/>
          <w:u w:val="single"/>
          <w:shd w:val="pct10" w:color="auto" w:fill="FFFFFF"/>
        </w:rPr>
        <w:t xml:space="preserve">  7  </w:t>
      </w:r>
      <w:r>
        <w:rPr>
          <w:rFonts w:hint="eastAsia" w:ascii="仿宋" w:hAnsi="仿宋" w:eastAsia="仿宋" w:cs="仿宋"/>
          <w:sz w:val="24"/>
          <w:szCs w:val="24"/>
        </w:rPr>
        <w:t>个工作日的免费专题培训，培训内容为理论、技术和操作、维修等方面的技术指导和问题解答。</w:t>
      </w:r>
      <w:bookmarkEnd w:id="124"/>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  投标方应负责在招标方设备使用现场，进行1～2次免费的技术指导和培训，并接受招标方有关人员的技术咨询。</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  投标方应免费提供一定数量的培训资料。</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  投标方应按要求，免费积极协助和提供招标方以及招标方所委托的工程设计单位有关人员所需要的、与设备有关的工程设计资料、技术咨询等。</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  若投标方提供的设备涉及到外购外协货物、而且该货物的技术质量等较为关键时，投标方应能得到配套厂家的技术支持，并免费为招标方提供技术服务。</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outlineLvl w:val="1"/>
        <w:rPr>
          <w:rFonts w:hint="eastAsia" w:ascii="仿宋" w:hAnsi="仿宋" w:eastAsia="仿宋" w:cs="仿宋"/>
          <w:sz w:val="24"/>
          <w:szCs w:val="24"/>
        </w:rPr>
      </w:pPr>
      <w:bookmarkStart w:id="125" w:name="_Toc25698"/>
      <w:bookmarkStart w:id="126" w:name="_Toc30963"/>
      <w:bookmarkStart w:id="127" w:name="_Toc11927"/>
      <w:bookmarkStart w:id="128" w:name="_Toc16995"/>
      <w:r>
        <w:rPr>
          <w:rFonts w:hint="eastAsia" w:ascii="仿宋" w:hAnsi="仿宋" w:eastAsia="仿宋" w:cs="仿宋"/>
          <w:sz w:val="24"/>
          <w:szCs w:val="24"/>
        </w:rPr>
        <w:t>2  安装调试服务</w:t>
      </w:r>
      <w:bookmarkEnd w:id="125"/>
      <w:bookmarkEnd w:id="126"/>
      <w:bookmarkEnd w:id="127"/>
      <w:bookmarkEnd w:id="128"/>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根据设备的要求，调试可分空载和负载两个阶段进行；招标方将予以积极配合，协助投标方达到设备的各项技术指标和性能要求。</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安装调试与验收期间，若投标方提供的设备涉及到外购外协货物、而且该货物的技术质量等较为关键时，投标方应能得到配套厂家的技术支持，并免费为招标方提供安装使用现场的指导与协调。</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投标方提供收费的或免费的、指导安装调试或负责安装调试，至少应在投标文件的报价章节中，予以明确说明</w:t>
      </w:r>
      <w:bookmarkStart w:id="129" w:name="_Hlk58765060"/>
      <w:r>
        <w:rPr>
          <w:rFonts w:hint="eastAsia" w:ascii="仿宋" w:hAnsi="仿宋" w:eastAsia="仿宋" w:cs="仿宋"/>
          <w:sz w:val="24"/>
          <w:szCs w:val="24"/>
        </w:rPr>
        <w:t>，如不明确说明均视为免费。</w:t>
      </w:r>
      <w:bookmarkEnd w:id="129"/>
      <w:bookmarkStart w:id="130" w:name="_Hlk58765074"/>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2.5  在与招标方机床设备进行自动化对接时实施时提供免费的技术服务支持，不得设置技术障碍，确保投标方的生产线自动化项目与招标方的设备的顺利实施对接。</w:t>
      </w:r>
      <w:bookmarkEnd w:id="130"/>
    </w:p>
    <w:p>
      <w:pPr>
        <w:adjustRightInd w:val="0"/>
        <w:snapToGrid w:val="0"/>
        <w:spacing w:line="360" w:lineRule="auto"/>
        <w:ind w:firstLine="480" w:firstLineChars="200"/>
        <w:outlineLvl w:val="1"/>
        <w:rPr>
          <w:rFonts w:hint="eastAsia" w:ascii="仿宋" w:hAnsi="仿宋" w:eastAsia="仿宋" w:cs="仿宋"/>
          <w:sz w:val="24"/>
          <w:szCs w:val="24"/>
        </w:rPr>
      </w:pPr>
      <w:bookmarkStart w:id="131" w:name="_Toc7248"/>
      <w:bookmarkStart w:id="132" w:name="_Toc23335"/>
      <w:bookmarkStart w:id="133" w:name="_Toc14343"/>
      <w:bookmarkStart w:id="134" w:name="_Toc14836"/>
      <w:r>
        <w:rPr>
          <w:rFonts w:hint="eastAsia" w:ascii="仿宋" w:hAnsi="仿宋" w:eastAsia="仿宋" w:cs="仿宋"/>
          <w:sz w:val="24"/>
          <w:szCs w:val="24"/>
        </w:rPr>
        <w:t>3  验收服务</w:t>
      </w:r>
      <w:bookmarkEnd w:id="131"/>
      <w:bookmarkEnd w:id="132"/>
      <w:bookmarkEnd w:id="133"/>
      <w:bookmarkEnd w:id="134"/>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  投标方在招标方现场进行的设备的预验收和终验收配合或指导，应当是免费的。</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  设备验收时，若投标方提供的设备涉及到外购外协货物、而且该货物的技术质量等较为关键时，投标方应能得到配套厂家的技术支持，并免费为招标方提供使用现场验收的配合或指导。</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outlineLvl w:val="1"/>
        <w:rPr>
          <w:rFonts w:hint="eastAsia" w:ascii="仿宋" w:hAnsi="仿宋" w:eastAsia="仿宋" w:cs="仿宋"/>
          <w:sz w:val="24"/>
          <w:szCs w:val="24"/>
        </w:rPr>
      </w:pPr>
      <w:bookmarkStart w:id="135" w:name="_Toc13578"/>
      <w:bookmarkStart w:id="136" w:name="_Toc21973"/>
      <w:bookmarkStart w:id="137" w:name="_Toc31808"/>
      <w:bookmarkStart w:id="138" w:name="_Toc12789"/>
      <w:r>
        <w:rPr>
          <w:rFonts w:hint="eastAsia" w:ascii="仿宋" w:hAnsi="仿宋" w:eastAsia="仿宋" w:cs="仿宋"/>
          <w:sz w:val="24"/>
          <w:szCs w:val="24"/>
        </w:rPr>
        <w:t>4  售后服务</w:t>
      </w:r>
      <w:bookmarkEnd w:id="135"/>
      <w:bookmarkEnd w:id="136"/>
      <w:bookmarkEnd w:id="137"/>
      <w:bookmarkEnd w:id="138"/>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  所有的售后服务均由投标方受理。如果发生问题并且收到报告，投标方应当在2小时内予以答复。</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  如发现所提供的设备存在问题，需要投标方解决或配合解决时：在质保期之内，应在接到通知后</w:t>
      </w:r>
      <w:r>
        <w:rPr>
          <w:rFonts w:hint="eastAsia" w:ascii="仿宋" w:hAnsi="仿宋" w:eastAsia="仿宋" w:cs="仿宋"/>
          <w:sz w:val="24"/>
          <w:szCs w:val="24"/>
          <w:u w:val="single"/>
          <w:shd w:val="pct10" w:color="auto" w:fill="FFFFFF"/>
        </w:rPr>
        <w:t xml:space="preserve"> 2 </w:t>
      </w:r>
      <w:r>
        <w:rPr>
          <w:rFonts w:hint="eastAsia" w:ascii="仿宋" w:hAnsi="仿宋" w:eastAsia="仿宋" w:cs="仿宋"/>
          <w:sz w:val="24"/>
          <w:szCs w:val="24"/>
        </w:rPr>
        <w:t>小时给予回复，如需到达现场，接到通知后</w:t>
      </w:r>
      <w:r>
        <w:rPr>
          <w:rFonts w:hint="eastAsia" w:ascii="仿宋" w:hAnsi="仿宋" w:eastAsia="仿宋" w:cs="仿宋"/>
          <w:sz w:val="24"/>
          <w:szCs w:val="24"/>
          <w:u w:val="single"/>
          <w:shd w:val="pct10" w:color="auto" w:fill="FFFFFF"/>
        </w:rPr>
        <w:t xml:space="preserve">  24   </w:t>
      </w:r>
      <w:r>
        <w:rPr>
          <w:rFonts w:hint="eastAsia" w:ascii="仿宋" w:hAnsi="仿宋" w:eastAsia="仿宋" w:cs="仿宋"/>
          <w:sz w:val="24"/>
          <w:szCs w:val="24"/>
        </w:rPr>
        <w:t>小时内派有关人员到达现场；在质保期之外，应在接到通知后</w:t>
      </w:r>
      <w:r>
        <w:rPr>
          <w:rFonts w:hint="eastAsia" w:ascii="仿宋" w:hAnsi="仿宋" w:eastAsia="仿宋" w:cs="仿宋"/>
          <w:sz w:val="24"/>
          <w:szCs w:val="24"/>
          <w:u w:val="single"/>
          <w:shd w:val="pct10" w:color="auto" w:fill="FFFFFF"/>
        </w:rPr>
        <w:t xml:space="preserve"> 4 </w:t>
      </w:r>
      <w:r>
        <w:rPr>
          <w:rFonts w:hint="eastAsia" w:ascii="仿宋" w:hAnsi="仿宋" w:eastAsia="仿宋" w:cs="仿宋"/>
          <w:sz w:val="24"/>
          <w:szCs w:val="24"/>
        </w:rPr>
        <w:t>小时给予回复，如需到达现场，接到通知后</w:t>
      </w:r>
      <w:r>
        <w:rPr>
          <w:rFonts w:hint="eastAsia" w:ascii="仿宋" w:hAnsi="仿宋" w:eastAsia="仿宋" w:cs="仿宋"/>
          <w:sz w:val="24"/>
          <w:szCs w:val="24"/>
          <w:u w:val="single"/>
          <w:shd w:val="pct10" w:color="auto" w:fill="FFFFFF"/>
        </w:rPr>
        <w:t xml:space="preserve">  48  </w:t>
      </w:r>
      <w:r>
        <w:rPr>
          <w:rFonts w:hint="eastAsia" w:ascii="仿宋" w:hAnsi="仿宋" w:eastAsia="仿宋" w:cs="仿宋"/>
          <w:sz w:val="24"/>
          <w:szCs w:val="24"/>
        </w:rPr>
        <w:t>小时内派有关人员到达现场。</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  投标方派往招标方使用现场的人员，应具有较高的业务素质；现场解决问题时，不得无故拖延或推迟，应为招标方提供最佳的服务。</w:t>
      </w:r>
    </w:p>
    <w:p>
      <w:pPr>
        <w:adjustRightInd w:val="0"/>
        <w:snapToGrid w:val="0"/>
        <w:spacing w:line="360" w:lineRule="auto"/>
        <w:ind w:firstLine="480" w:firstLineChars="200"/>
        <w:outlineLvl w:val="1"/>
        <w:rPr>
          <w:rFonts w:hint="eastAsia" w:ascii="仿宋" w:hAnsi="仿宋" w:eastAsia="仿宋" w:cs="仿宋"/>
          <w:sz w:val="24"/>
          <w:szCs w:val="24"/>
        </w:rPr>
      </w:pPr>
      <w:bookmarkStart w:id="139" w:name="_Toc21765"/>
      <w:bookmarkStart w:id="140" w:name="_Toc3902"/>
      <w:bookmarkStart w:id="141" w:name="_Toc18220"/>
      <w:bookmarkStart w:id="142" w:name="_Toc2781"/>
      <w:r>
        <w:rPr>
          <w:rFonts w:hint="eastAsia" w:ascii="仿宋" w:hAnsi="仿宋" w:eastAsia="仿宋" w:cs="仿宋"/>
          <w:sz w:val="24"/>
          <w:szCs w:val="24"/>
        </w:rPr>
        <w:t>5  其它服务</w:t>
      </w:r>
      <w:bookmarkEnd w:id="139"/>
      <w:bookmarkEnd w:id="140"/>
      <w:bookmarkEnd w:id="141"/>
      <w:bookmarkEnd w:id="142"/>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若投标方所提供设备有需要进口的，投标方一般应自行、自费办理；必要时，招标方和投标方共同办理。</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5.2  除招标文件、投标文件、答疑文件、技术协议、合同等约定之外，投标方应免费负责必要的或强制性的设备的检验、试验、化验等直接费用。</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5.3  本章节条款所列“免费”，并非指定不可收费，而是指招标文件、投标文件、答疑文件、技术交流文件、技术协议书和合同等范围之外，投标方不可另行收取的费用。</w:t>
      </w:r>
    </w:p>
    <w:p>
      <w:pPr>
        <w:spacing w:line="360" w:lineRule="auto"/>
        <w:ind w:firstLine="480" w:firstLineChars="200"/>
        <w:rPr>
          <w:rFonts w:hint="eastAsia" w:ascii="仿宋" w:hAnsi="仿宋" w:eastAsia="仿宋" w:cs="仿宋"/>
          <w:sz w:val="24"/>
          <w:szCs w:val="24"/>
        </w:rPr>
      </w:pPr>
      <w:bookmarkStart w:id="143" w:name="_Hlk58765133"/>
      <w:r>
        <w:rPr>
          <w:rFonts w:hint="eastAsia" w:ascii="仿宋" w:hAnsi="仿宋" w:eastAsia="仿宋" w:cs="仿宋"/>
          <w:sz w:val="24"/>
          <w:szCs w:val="24"/>
        </w:rPr>
        <w:t>5.4  投标方提供设备出保质期后，售后服务费用及计算方式。</w:t>
      </w:r>
    </w:p>
    <w:bookmarkEnd w:id="143"/>
    <w:p>
      <w:pPr>
        <w:pStyle w:val="4"/>
        <w:spacing w:before="120" w:after="120" w:line="360" w:lineRule="auto"/>
        <w:jc w:val="center"/>
        <w:rPr>
          <w:rFonts w:hint="eastAsia" w:ascii="仿宋" w:hAnsi="仿宋" w:eastAsia="仿宋" w:cs="仿宋"/>
          <w:bCs w:val="0"/>
          <w:sz w:val="24"/>
          <w:szCs w:val="24"/>
        </w:rPr>
      </w:pPr>
      <w:bookmarkStart w:id="144" w:name="_Toc29100"/>
      <w:bookmarkStart w:id="145" w:name="_Toc403466190"/>
      <w:bookmarkStart w:id="146" w:name="_Toc133783974"/>
      <w:bookmarkStart w:id="147" w:name="_Toc28687"/>
      <w:bookmarkStart w:id="148" w:name="_Toc982"/>
      <w:bookmarkStart w:id="149" w:name="_Toc9975"/>
      <w:r>
        <w:rPr>
          <w:rFonts w:hint="eastAsia" w:ascii="仿宋" w:hAnsi="仿宋" w:eastAsia="仿宋" w:cs="仿宋"/>
          <w:bCs w:val="0"/>
          <w:sz w:val="24"/>
          <w:szCs w:val="24"/>
        </w:rPr>
        <w:t>第五章  预验收和终验收</w:t>
      </w:r>
      <w:bookmarkEnd w:id="144"/>
      <w:bookmarkEnd w:id="145"/>
      <w:bookmarkEnd w:id="146"/>
      <w:bookmarkEnd w:id="147"/>
      <w:bookmarkEnd w:id="148"/>
      <w:bookmarkEnd w:id="149"/>
    </w:p>
    <w:p>
      <w:pPr>
        <w:spacing w:line="360" w:lineRule="auto"/>
        <w:ind w:firstLine="480" w:firstLineChars="200"/>
        <w:outlineLvl w:val="1"/>
        <w:rPr>
          <w:rFonts w:hint="eastAsia" w:ascii="仿宋" w:hAnsi="仿宋" w:eastAsia="仿宋" w:cs="仿宋"/>
          <w:sz w:val="24"/>
          <w:szCs w:val="24"/>
        </w:rPr>
      </w:pPr>
      <w:bookmarkStart w:id="150" w:name="_Toc30827"/>
      <w:bookmarkStart w:id="151" w:name="_Toc15708"/>
      <w:bookmarkStart w:id="152" w:name="_Toc24227"/>
      <w:bookmarkStart w:id="153" w:name="_Toc21764"/>
      <w:r>
        <w:rPr>
          <w:rFonts w:hint="eastAsia" w:ascii="仿宋" w:hAnsi="仿宋" w:eastAsia="仿宋" w:cs="仿宋"/>
          <w:sz w:val="24"/>
          <w:szCs w:val="24"/>
        </w:rPr>
        <w:t>1  验收的一般约定</w:t>
      </w:r>
      <w:bookmarkEnd w:id="150"/>
      <w:bookmarkEnd w:id="151"/>
      <w:bookmarkEnd w:id="152"/>
      <w:bookmarkEnd w:id="153"/>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  验收标准一般以技术协议书和合同规定验收。</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  如果验收过程中，发现招标文件、投标文件、答疑文件、技术交流文件等与技术协议书、合同存在差异，原则上以涉及条款中对买方最有利条款为验收依据。</w:t>
      </w:r>
    </w:p>
    <w:p>
      <w:pPr>
        <w:adjustRightInd w:val="0"/>
        <w:snapToGrid w:val="0"/>
        <w:spacing w:line="360" w:lineRule="auto"/>
        <w:ind w:firstLine="480" w:firstLineChars="200"/>
        <w:outlineLvl w:val="1"/>
        <w:rPr>
          <w:rFonts w:hint="eastAsia" w:ascii="仿宋" w:hAnsi="仿宋" w:eastAsia="仿宋" w:cs="仿宋"/>
          <w:sz w:val="24"/>
          <w:szCs w:val="24"/>
        </w:rPr>
      </w:pPr>
      <w:bookmarkStart w:id="154" w:name="_Toc21740"/>
      <w:bookmarkStart w:id="155" w:name="_Toc13235"/>
      <w:bookmarkStart w:id="156" w:name="_Toc6920"/>
      <w:bookmarkStart w:id="157" w:name="_Toc13440"/>
      <w:r>
        <w:rPr>
          <w:rFonts w:hint="eastAsia" w:ascii="仿宋" w:hAnsi="仿宋" w:eastAsia="仿宋" w:cs="仿宋"/>
          <w:sz w:val="24"/>
          <w:szCs w:val="24"/>
        </w:rPr>
        <w:t>2  检验</w:t>
      </w:r>
      <w:bookmarkEnd w:id="154"/>
      <w:bookmarkEnd w:id="155"/>
      <w:bookmarkEnd w:id="156"/>
      <w:bookmarkEnd w:id="157"/>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国产设备的检验由卖买双方按照合同要求或在制造现场进行。</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进口设备的检验按照下述要求进行：</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2.1.1  进口设备发货前，卖方应对设备的质量、型号、规格、性能和数量/重量作精密、全面的检验，并出具证明书，证明所供设备符合合同规定。</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2.1.2  卖方应依据合同规定的要求，提供买卖双方达成一致的设备的验收标准和装箱单，作为买方检验的依据。</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2.1.3  进口设备到达目的地后，买方有权申请中国商品检验检疫局进行检验，如发现设备的品质及规格与合同或发票不符，除买方的责任外，买方有权在设备到达卸货目的地后180个日历日内，根据中国商品检验检疫局出具的证明书向卖方提出索赔，因索赔所发生的一切费用(包括检验检疫费等)均由卖方承担。</w:t>
      </w:r>
    </w:p>
    <w:p>
      <w:pPr>
        <w:adjustRightInd w:val="0"/>
        <w:snapToGrid w:val="0"/>
        <w:spacing w:line="360" w:lineRule="auto"/>
        <w:ind w:firstLine="480" w:firstLineChars="200"/>
        <w:outlineLvl w:val="1"/>
        <w:rPr>
          <w:rFonts w:hint="eastAsia" w:ascii="仿宋" w:hAnsi="仿宋" w:eastAsia="仿宋" w:cs="仿宋"/>
          <w:sz w:val="24"/>
          <w:szCs w:val="24"/>
        </w:rPr>
      </w:pPr>
      <w:bookmarkStart w:id="158" w:name="_Toc23498"/>
      <w:bookmarkStart w:id="159" w:name="_Toc6450"/>
      <w:bookmarkStart w:id="160" w:name="_Toc20533"/>
      <w:bookmarkStart w:id="161" w:name="_Toc18888"/>
      <w:r>
        <w:rPr>
          <w:rFonts w:hint="eastAsia" w:ascii="仿宋" w:hAnsi="仿宋" w:eastAsia="仿宋" w:cs="仿宋"/>
          <w:sz w:val="24"/>
          <w:szCs w:val="24"/>
        </w:rPr>
        <w:t>3  验收条件</w:t>
      </w:r>
      <w:bookmarkEnd w:id="158"/>
      <w:bookmarkEnd w:id="159"/>
      <w:bookmarkEnd w:id="160"/>
      <w:bookmarkEnd w:id="161"/>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买卖双方按照合同约定执行了合同，同时设备完成了试运行并经检验合格，则具备验收条件。</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  预验收一般条件</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3.1.1  卖方已经按照“供货范围”要求提供了预验收资料，并且资料齐全、完整和有效。</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3.1.2  设备应运行稳定、可靠、安全，无非正常变形，非正常振动，无异常声音；无漏水、漏液、漏气（汽）、漏电等现象。运动的零部件（如链条、联轴器、离合器、主轴、工作台等）动作平稳、灵活运动准确。</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3.1.3  设备应完整且所有的零部件应该安装牢固，外观无损伤，所有的焊缝饱满、无残渣等缺陷。</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3.1.4  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3.1.5  设备的润滑系统工作正常、可靠，润滑点易于到达。</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3.1.6  使用的压力容器、电气等应具备合格证（如果有压力容器）。</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3.1.7  设备的油漆质量应饱满、有光泽，无掉漆、无色差、无“桔皮”等不良现象（特殊标志除外）。</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3.1.8  设备标牌完整、清晰、明确。</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3.1.9  地线联接和地极符合国际（ISO/IEC）标准规范。</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3.1.10  设备的安全要求符合中国最新的相关法律、法规、标准和规范以及合同要求，并递交相关检测报告。</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ascii="仿宋" w:hAnsi="仿宋" w:eastAsia="仿宋" w:cs="仿宋"/>
          <w:sz w:val="24"/>
          <w:szCs w:val="24"/>
        </w:rPr>
        <w:t>.1.11</w:t>
      </w:r>
      <w:r>
        <w:rPr>
          <w:rFonts w:hint="eastAsia" w:ascii="仿宋" w:hAnsi="仿宋" w:eastAsia="仿宋" w:cs="仿宋"/>
          <w:sz w:val="24"/>
          <w:szCs w:val="24"/>
        </w:rPr>
        <w:t>预验收试件的发放</w:t>
      </w:r>
      <w:r>
        <w:rPr>
          <w:rFonts w:hint="eastAsia" w:ascii="仿宋" w:hAnsi="仿宋" w:eastAsia="仿宋" w:cs="仿宋"/>
          <w:sz w:val="24"/>
          <w:szCs w:val="24"/>
          <w:lang w:val="en-US" w:eastAsia="zh-CN"/>
        </w:rPr>
        <w:t>品种和数量</w:t>
      </w:r>
      <w:r>
        <w:rPr>
          <w:rFonts w:hint="eastAsia" w:ascii="仿宋" w:hAnsi="仿宋" w:eastAsia="仿宋" w:cs="仿宋"/>
          <w:sz w:val="24"/>
          <w:szCs w:val="24"/>
        </w:rPr>
        <w:t>由技术协议约定</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试件运输及包装费用由中标方承担</w:t>
      </w:r>
      <w:r>
        <w:rPr>
          <w:rFonts w:hint="eastAsia" w:ascii="仿宋" w:hAnsi="仿宋" w:eastAsia="仿宋" w:cs="仿宋"/>
          <w:sz w:val="24"/>
          <w:szCs w:val="24"/>
        </w:rPr>
        <w:t>。</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  终验收一般条件</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3.2.1  经过预验收而且没有出现新的质量问题，或者满足预验收条款。</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3.2.2  设备安装调试完毕，并至少经过了验收要求的负荷试运行。</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3.2.3  设备正常运行时，噪声等环境影响因素满足国家和当地环保主管部门规定，安全措施落实、有效。</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3.2.4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3.2.5  试运行期间或之后无维修、调整等行为（特殊情况除外）。</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3.2.6  设备质量、技术性能等，达到签定的技术协议书和合同规定的终验收标准。 </w:t>
      </w:r>
    </w:p>
    <w:p>
      <w:pPr>
        <w:spacing w:line="360" w:lineRule="auto"/>
        <w:ind w:firstLine="480" w:firstLineChars="200"/>
        <w:outlineLvl w:val="1"/>
        <w:rPr>
          <w:rFonts w:hint="eastAsia" w:ascii="仿宋" w:hAnsi="仿宋" w:eastAsia="仿宋" w:cs="仿宋"/>
          <w:sz w:val="24"/>
          <w:szCs w:val="24"/>
        </w:rPr>
      </w:pPr>
      <w:bookmarkStart w:id="162" w:name="_Toc24766"/>
      <w:bookmarkStart w:id="163" w:name="_Toc27981"/>
      <w:bookmarkStart w:id="164" w:name="_Toc5922"/>
      <w:bookmarkStart w:id="165" w:name="_Toc17057"/>
      <w:r>
        <w:rPr>
          <w:rFonts w:hint="eastAsia" w:ascii="仿宋" w:hAnsi="仿宋" w:eastAsia="仿宋" w:cs="仿宋"/>
          <w:sz w:val="24"/>
          <w:szCs w:val="24"/>
        </w:rPr>
        <w:t>4  终验收基本要求</w:t>
      </w:r>
      <w:bookmarkEnd w:id="162"/>
      <w:bookmarkEnd w:id="163"/>
      <w:bookmarkEnd w:id="164"/>
      <w:bookmarkEnd w:id="165"/>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  设备允许情况下，一般先连续空运转</w:t>
      </w:r>
      <w:r>
        <w:rPr>
          <w:rFonts w:hint="eastAsia" w:ascii="仿宋" w:hAnsi="仿宋" w:eastAsia="仿宋" w:cs="仿宋"/>
          <w:sz w:val="24"/>
          <w:szCs w:val="24"/>
          <w:u w:val="single"/>
          <w:shd w:val="pct10" w:color="auto" w:fill="FFFFFF"/>
        </w:rPr>
        <w:t xml:space="preserve">   2   </w:t>
      </w:r>
      <w:r>
        <w:rPr>
          <w:rFonts w:hint="eastAsia" w:ascii="仿宋" w:hAnsi="仿宋" w:eastAsia="仿宋" w:cs="仿宋"/>
          <w:sz w:val="24"/>
          <w:szCs w:val="24"/>
        </w:rPr>
        <w:t>小时，然后再进行负荷运行。</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  负荷运行时，设备应连续运行</w:t>
      </w:r>
      <w:r>
        <w:rPr>
          <w:rFonts w:hint="eastAsia" w:ascii="仿宋" w:hAnsi="仿宋" w:eastAsia="仿宋" w:cs="仿宋"/>
          <w:sz w:val="24"/>
          <w:szCs w:val="24"/>
          <w:u w:val="single"/>
          <w:shd w:val="pct10" w:color="auto" w:fill="FFFFFF"/>
        </w:rPr>
        <w:t xml:space="preserve">  5  </w:t>
      </w:r>
      <w:r>
        <w:rPr>
          <w:rFonts w:hint="eastAsia" w:ascii="仿宋" w:hAnsi="仿宋" w:eastAsia="仿宋" w:cs="仿宋"/>
          <w:sz w:val="24"/>
          <w:szCs w:val="24"/>
        </w:rPr>
        <w:t>天，</w:t>
      </w:r>
      <w:r>
        <w:rPr>
          <w:rFonts w:hint="eastAsia" w:ascii="仿宋" w:hAnsi="仿宋" w:eastAsia="仿宋" w:cs="仿宋"/>
          <w:sz w:val="24"/>
          <w:szCs w:val="24"/>
          <w:lang w:val="en-US" w:eastAsia="zh-CN"/>
        </w:rPr>
        <w:t>测试数量不小于</w:t>
      </w:r>
      <w:r>
        <w:rPr>
          <w:rFonts w:hint="eastAsia" w:ascii="仿宋" w:hAnsi="仿宋" w:eastAsia="仿宋" w:cs="仿宋"/>
          <w:sz w:val="24"/>
          <w:szCs w:val="24"/>
          <w:u w:val="single"/>
          <w:lang w:val="en-US" w:eastAsia="zh-CN"/>
        </w:rPr>
        <w:t>50</w:t>
      </w:r>
      <w:r>
        <w:rPr>
          <w:rFonts w:hint="eastAsia" w:ascii="仿宋" w:hAnsi="仿宋" w:eastAsia="仿宋" w:cs="仿宋"/>
          <w:sz w:val="24"/>
          <w:szCs w:val="24"/>
          <w:lang w:val="en-US" w:eastAsia="zh-CN"/>
        </w:rPr>
        <w:t>件，其中1天</w:t>
      </w:r>
      <w:r>
        <w:rPr>
          <w:rFonts w:hint="eastAsia" w:ascii="仿宋" w:hAnsi="仿宋" w:eastAsia="仿宋" w:cs="仿宋"/>
          <w:sz w:val="24"/>
          <w:szCs w:val="24"/>
        </w:rPr>
        <w:t>连续</w:t>
      </w:r>
      <w:r>
        <w:rPr>
          <w:rFonts w:hint="eastAsia" w:ascii="仿宋" w:hAnsi="仿宋" w:eastAsia="仿宋" w:cs="仿宋"/>
          <w:sz w:val="24"/>
          <w:szCs w:val="24"/>
          <w:lang w:val="en-US" w:eastAsia="zh-CN"/>
        </w:rPr>
        <w:t>测试</w:t>
      </w:r>
      <w:r>
        <w:rPr>
          <w:rFonts w:hint="eastAsia" w:ascii="仿宋" w:hAnsi="仿宋" w:eastAsia="仿宋" w:cs="仿宋"/>
          <w:sz w:val="24"/>
          <w:szCs w:val="24"/>
          <w:u w:val="single"/>
        </w:rPr>
        <w:t xml:space="preserve"> </w:t>
      </w:r>
      <w:r>
        <w:rPr>
          <w:rFonts w:hint="eastAsia" w:ascii="仿宋" w:hAnsi="仿宋" w:eastAsia="仿宋" w:cs="仿宋"/>
          <w:sz w:val="24"/>
          <w:szCs w:val="24"/>
          <w:u w:val="single"/>
          <w:shd w:val="pct10" w:color="auto" w:fill="FFFFFF"/>
        </w:rPr>
        <w:t xml:space="preserve">  </w:t>
      </w:r>
      <w:r>
        <w:rPr>
          <w:rFonts w:hint="eastAsia" w:ascii="仿宋" w:hAnsi="仿宋" w:eastAsia="仿宋" w:cs="仿宋"/>
          <w:sz w:val="24"/>
          <w:szCs w:val="24"/>
          <w:u w:val="single"/>
          <w:shd w:val="pct10" w:color="auto" w:fill="FFFFFF"/>
          <w:lang w:val="en-US" w:eastAsia="zh-CN"/>
        </w:rPr>
        <w:t>10</w:t>
      </w:r>
      <w:r>
        <w:rPr>
          <w:rFonts w:hint="eastAsia" w:ascii="仿宋" w:hAnsi="仿宋" w:eastAsia="仿宋" w:cs="仿宋"/>
          <w:sz w:val="24"/>
          <w:szCs w:val="24"/>
          <w:u w:val="single"/>
          <w:shd w:val="pct10" w:color="auto" w:fill="FFFFFF"/>
        </w:rPr>
        <w:t xml:space="preserve">  </w:t>
      </w:r>
      <w:r>
        <w:rPr>
          <w:rFonts w:hint="eastAsia" w:ascii="仿宋" w:hAnsi="仿宋" w:eastAsia="仿宋" w:cs="仿宋"/>
          <w:sz w:val="24"/>
          <w:szCs w:val="24"/>
          <w:u w:val="single"/>
          <w:shd w:val="pct10" w:color="auto" w:fill="FFFFFF"/>
          <w:lang w:val="en-US" w:eastAsia="zh-CN"/>
        </w:rPr>
        <w:t>件</w:t>
      </w:r>
      <w:r>
        <w:rPr>
          <w:rFonts w:hint="eastAsia" w:ascii="仿宋" w:hAnsi="仿宋" w:eastAsia="仿宋" w:cs="仿宋"/>
          <w:sz w:val="24"/>
          <w:szCs w:val="24"/>
          <w:lang w:val="en-US" w:eastAsia="zh-CN"/>
        </w:rPr>
        <w:t>，达到节拍要求，</w:t>
      </w:r>
      <w:r>
        <w:rPr>
          <w:rFonts w:hint="eastAsia" w:ascii="仿宋" w:hAnsi="仿宋" w:eastAsia="仿宋" w:cs="仿宋"/>
          <w:sz w:val="24"/>
          <w:szCs w:val="24"/>
        </w:rPr>
        <w:t>除用户方面因素外，必须达到以下要求：</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4.2.1  在整个验收过程中没有维修、更换零部件或元件行为；</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  所有出现的调整，每次调整时间均不超过</w:t>
      </w:r>
      <w:r>
        <w:rPr>
          <w:rFonts w:hint="eastAsia" w:ascii="仿宋" w:hAnsi="仿宋" w:eastAsia="仿宋" w:cs="仿宋"/>
          <w:sz w:val="24"/>
          <w:szCs w:val="24"/>
          <w:u w:val="single"/>
          <w:shd w:val="pct10" w:color="auto" w:fill="FFFFFF"/>
        </w:rPr>
        <w:t xml:space="preserve">  30  </w:t>
      </w:r>
      <w:r>
        <w:rPr>
          <w:rFonts w:hint="eastAsia" w:ascii="仿宋" w:hAnsi="仿宋" w:eastAsia="仿宋" w:cs="仿宋"/>
          <w:sz w:val="24"/>
          <w:szCs w:val="24"/>
        </w:rPr>
        <w:t>分钟；</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4.2.3  所有调整时间的总和不超过总运行时间的</w:t>
      </w:r>
      <w:r>
        <w:rPr>
          <w:rFonts w:hint="eastAsia" w:ascii="仿宋" w:hAnsi="仿宋" w:eastAsia="仿宋" w:cs="仿宋"/>
          <w:sz w:val="24"/>
          <w:szCs w:val="24"/>
          <w:u w:val="single"/>
          <w:shd w:val="pct10" w:color="auto" w:fill="FFFFFF"/>
        </w:rPr>
        <w:t xml:space="preserve">   5  </w:t>
      </w:r>
      <w:r>
        <w:rPr>
          <w:rFonts w:hint="eastAsia" w:ascii="仿宋" w:hAnsi="仿宋" w:eastAsia="仿宋" w:cs="仿宋"/>
          <w:sz w:val="24"/>
          <w:szCs w:val="24"/>
        </w:rPr>
        <w:t>%，如果超过5%，则试运行时间重新计算；</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4.2.4  累计负载运行实际性能（生产能力或生产率）达到合同规定；（能力低于标书规定在20%以内，罚款额为货物总价的10%；超过20%以上，视为供货方违约，招标方有权解除合同，由此造成的损失由投标方承担）。</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4.2.5  终验收原则上要求一次完成。若一次验收不成功，最多允许两次；</w:t>
      </w:r>
    </w:p>
    <w:p>
      <w:pPr>
        <w:adjustRightInd w:val="0"/>
        <w:snapToGrid w:val="0"/>
        <w:spacing w:line="360" w:lineRule="auto"/>
        <w:ind w:firstLine="480" w:firstLineChars="200"/>
        <w:rPr>
          <w:rFonts w:hint="eastAsia" w:ascii="仿宋" w:hAnsi="仿宋" w:eastAsia="仿宋" w:cs="仿宋"/>
          <w:sz w:val="24"/>
          <w:szCs w:val="24"/>
        </w:rPr>
      </w:pPr>
      <w:bookmarkStart w:id="166" w:name="_Hlk58765216"/>
      <w:bookmarkStart w:id="167" w:name="_Toc133783975"/>
      <w:bookmarkStart w:id="168" w:name="_Toc403466191"/>
      <w:r>
        <w:rPr>
          <w:rFonts w:hint="eastAsia" w:ascii="仿宋" w:hAnsi="仿宋" w:eastAsia="仿宋" w:cs="仿宋"/>
          <w:sz w:val="24"/>
          <w:szCs w:val="24"/>
        </w:rPr>
        <w:t xml:space="preserve">4.2.6  </w:t>
      </w:r>
      <w:r>
        <w:rPr>
          <w:rFonts w:hint="eastAsia" w:ascii="仿宋" w:hAnsi="仿宋" w:eastAsia="仿宋" w:cs="仿宋"/>
          <w:spacing w:val="24"/>
          <w:kern w:val="10"/>
          <w:sz w:val="24"/>
          <w:szCs w:val="24"/>
        </w:rPr>
        <w:t>负荷运行时，设备连续生产</w:t>
      </w:r>
      <w:r>
        <w:rPr>
          <w:rFonts w:hint="eastAsia" w:ascii="仿宋" w:hAnsi="仿宋" w:eastAsia="仿宋" w:cs="仿宋"/>
          <w:spacing w:val="24"/>
          <w:kern w:val="10"/>
          <w:sz w:val="24"/>
          <w:szCs w:val="24"/>
          <w:u w:val="single"/>
        </w:rPr>
        <w:t xml:space="preserve">  30  </w:t>
      </w:r>
      <w:r>
        <w:rPr>
          <w:rFonts w:hint="eastAsia" w:ascii="仿宋" w:hAnsi="仿宋" w:eastAsia="仿宋" w:cs="仿宋"/>
          <w:spacing w:val="24"/>
          <w:kern w:val="10"/>
          <w:sz w:val="24"/>
          <w:szCs w:val="24"/>
        </w:rPr>
        <w:t>天，验证生产线满足第二章第三项的</w:t>
      </w:r>
      <w:r>
        <w:rPr>
          <w:rFonts w:hint="eastAsia" w:ascii="仿宋" w:hAnsi="仿宋" w:eastAsia="仿宋" w:cs="仿宋"/>
          <w:sz w:val="24"/>
          <w:szCs w:val="24"/>
        </w:rPr>
        <w:t>技术规范</w:t>
      </w:r>
      <w:r>
        <w:rPr>
          <w:rFonts w:hint="eastAsia" w:ascii="仿宋" w:hAnsi="仿宋" w:eastAsia="仿宋" w:cs="仿宋"/>
          <w:spacing w:val="24"/>
          <w:kern w:val="10"/>
          <w:sz w:val="24"/>
          <w:szCs w:val="24"/>
        </w:rPr>
        <w:t>要求。</w:t>
      </w:r>
    </w:p>
    <w:bookmarkEnd w:id="166"/>
    <w:p>
      <w:pPr>
        <w:pStyle w:val="4"/>
        <w:spacing w:before="120" w:after="120" w:line="360" w:lineRule="auto"/>
        <w:jc w:val="center"/>
        <w:rPr>
          <w:rFonts w:hint="eastAsia" w:ascii="仿宋" w:hAnsi="仿宋" w:eastAsia="仿宋" w:cs="仿宋"/>
          <w:b w:val="0"/>
          <w:sz w:val="24"/>
          <w:szCs w:val="24"/>
        </w:rPr>
      </w:pPr>
      <w:bookmarkStart w:id="169" w:name="_Toc23795"/>
      <w:bookmarkStart w:id="170" w:name="_Toc25886"/>
      <w:bookmarkStart w:id="171" w:name="_Toc682"/>
      <w:bookmarkStart w:id="172" w:name="_Toc3572"/>
      <w:r>
        <w:rPr>
          <w:rFonts w:hint="eastAsia" w:ascii="仿宋" w:hAnsi="仿宋" w:eastAsia="仿宋" w:cs="仿宋"/>
          <w:bCs w:val="0"/>
          <w:sz w:val="24"/>
          <w:szCs w:val="24"/>
        </w:rPr>
        <w:t>第六章  投标技术文件一般要求</w:t>
      </w:r>
      <w:bookmarkEnd w:id="167"/>
      <w:bookmarkEnd w:id="168"/>
      <w:bookmarkEnd w:id="169"/>
      <w:bookmarkEnd w:id="170"/>
      <w:bookmarkEnd w:id="171"/>
      <w:bookmarkEnd w:id="172"/>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投标方应认真阅读招标文件和本技术标书，并按要求编写投标技术文件。</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投标技术文件至少应对投标设备的“技术偏离”、“商务偏离”作出有无说明；若有，应予以详细填写和说明。</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投标技术文件至少应对投标设备的功能用途、技术性能、质量标准、技术参数等作出详细说明。</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  投标技术文件至少应根据投标设备的关键设备、总成、零部件或系统作出优越性说明。</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  投标技术文件至少应根据投标设备的配置，按照备品备件、易损件和专用耗材明细表要求以及投标设备主要配置一览表要求（见下表），认真全面填写。</w:t>
      </w:r>
    </w:p>
    <w:p>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 xml:space="preserve">                </w:t>
      </w:r>
      <w:bookmarkStart w:id="173" w:name="_Toc12942"/>
      <w:bookmarkStart w:id="174" w:name="_Toc21034"/>
      <w:bookmarkStart w:id="175" w:name="_Toc23440"/>
      <w:bookmarkStart w:id="176" w:name="_Toc2528"/>
      <w:r>
        <w:rPr>
          <w:rFonts w:hint="eastAsia" w:ascii="仿宋" w:hAnsi="仿宋" w:eastAsia="仿宋" w:cs="仿宋"/>
          <w:sz w:val="24"/>
          <w:szCs w:val="24"/>
        </w:rPr>
        <w:t>投标设备主要配置一览表                单位：元</w:t>
      </w:r>
      <w:bookmarkEnd w:id="173"/>
      <w:bookmarkEnd w:id="174"/>
      <w:bookmarkEnd w:id="175"/>
      <w:bookmarkEnd w:id="176"/>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620"/>
        <w:gridCol w:w="720"/>
        <w:gridCol w:w="720"/>
        <w:gridCol w:w="720"/>
        <w:gridCol w:w="72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89" w:type="dxa"/>
            <w:noWrap w:val="0"/>
            <w:vAlign w:val="top"/>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名称</w:t>
            </w:r>
          </w:p>
        </w:tc>
        <w:tc>
          <w:tcPr>
            <w:tcW w:w="1620" w:type="dxa"/>
            <w:noWrap w:val="0"/>
            <w:vAlign w:val="top"/>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型号规格</w:t>
            </w:r>
          </w:p>
        </w:tc>
        <w:tc>
          <w:tcPr>
            <w:tcW w:w="720" w:type="dxa"/>
            <w:noWrap w:val="0"/>
            <w:vAlign w:val="top"/>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单位</w:t>
            </w:r>
          </w:p>
        </w:tc>
        <w:tc>
          <w:tcPr>
            <w:tcW w:w="720" w:type="dxa"/>
            <w:noWrap w:val="0"/>
            <w:vAlign w:val="top"/>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数量</w:t>
            </w:r>
          </w:p>
        </w:tc>
        <w:tc>
          <w:tcPr>
            <w:tcW w:w="720" w:type="dxa"/>
            <w:noWrap w:val="0"/>
            <w:vAlign w:val="top"/>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单价</w:t>
            </w:r>
          </w:p>
        </w:tc>
        <w:tc>
          <w:tcPr>
            <w:tcW w:w="720" w:type="dxa"/>
            <w:noWrap w:val="0"/>
            <w:vAlign w:val="top"/>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总价</w:t>
            </w:r>
          </w:p>
        </w:tc>
        <w:tc>
          <w:tcPr>
            <w:tcW w:w="1710" w:type="dxa"/>
            <w:noWrap w:val="0"/>
            <w:vAlign w:val="top"/>
          </w:tcPr>
          <w:p>
            <w:pPr>
              <w:adjustRightInd w:val="0"/>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pPr>
              <w:adjustRightInd w:val="0"/>
              <w:snapToGrid w:val="0"/>
              <w:spacing w:line="360" w:lineRule="exact"/>
              <w:rPr>
                <w:rFonts w:hint="eastAsia" w:ascii="仿宋" w:hAnsi="仿宋" w:eastAsia="仿宋" w:cs="仿宋"/>
                <w:sz w:val="24"/>
                <w:szCs w:val="24"/>
              </w:rPr>
            </w:pPr>
          </w:p>
        </w:tc>
        <w:tc>
          <w:tcPr>
            <w:tcW w:w="16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1710" w:type="dxa"/>
            <w:noWrap w:val="0"/>
            <w:vAlign w:val="top"/>
          </w:tcPr>
          <w:p>
            <w:pPr>
              <w:adjustRightInd w:val="0"/>
              <w:snapToGrid w:val="0"/>
              <w:spacing w:line="36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pPr>
              <w:adjustRightInd w:val="0"/>
              <w:snapToGrid w:val="0"/>
              <w:spacing w:line="360" w:lineRule="exact"/>
              <w:rPr>
                <w:rFonts w:hint="eastAsia" w:ascii="仿宋" w:hAnsi="仿宋" w:eastAsia="仿宋" w:cs="仿宋"/>
                <w:sz w:val="24"/>
                <w:szCs w:val="24"/>
              </w:rPr>
            </w:pPr>
          </w:p>
        </w:tc>
        <w:tc>
          <w:tcPr>
            <w:tcW w:w="16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1710" w:type="dxa"/>
            <w:noWrap w:val="0"/>
            <w:vAlign w:val="top"/>
          </w:tcPr>
          <w:p>
            <w:pPr>
              <w:adjustRightInd w:val="0"/>
              <w:snapToGrid w:val="0"/>
              <w:spacing w:line="36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pPr>
              <w:adjustRightInd w:val="0"/>
              <w:snapToGrid w:val="0"/>
              <w:spacing w:line="360" w:lineRule="exact"/>
              <w:rPr>
                <w:rFonts w:hint="eastAsia" w:ascii="仿宋" w:hAnsi="仿宋" w:eastAsia="仿宋" w:cs="仿宋"/>
                <w:sz w:val="24"/>
                <w:szCs w:val="24"/>
              </w:rPr>
            </w:pPr>
          </w:p>
        </w:tc>
        <w:tc>
          <w:tcPr>
            <w:tcW w:w="16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1710" w:type="dxa"/>
            <w:noWrap w:val="0"/>
            <w:vAlign w:val="top"/>
          </w:tcPr>
          <w:p>
            <w:pPr>
              <w:adjustRightInd w:val="0"/>
              <w:snapToGrid w:val="0"/>
              <w:spacing w:line="36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pPr>
              <w:adjustRightInd w:val="0"/>
              <w:snapToGrid w:val="0"/>
              <w:spacing w:line="360" w:lineRule="exact"/>
              <w:rPr>
                <w:rFonts w:hint="eastAsia" w:ascii="仿宋" w:hAnsi="仿宋" w:eastAsia="仿宋" w:cs="仿宋"/>
                <w:sz w:val="24"/>
                <w:szCs w:val="24"/>
              </w:rPr>
            </w:pPr>
          </w:p>
        </w:tc>
        <w:tc>
          <w:tcPr>
            <w:tcW w:w="16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1710" w:type="dxa"/>
            <w:noWrap w:val="0"/>
            <w:vAlign w:val="top"/>
          </w:tcPr>
          <w:p>
            <w:pPr>
              <w:adjustRightInd w:val="0"/>
              <w:snapToGrid w:val="0"/>
              <w:spacing w:line="360" w:lineRule="exac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noWrap w:val="0"/>
            <w:vAlign w:val="top"/>
          </w:tcPr>
          <w:p>
            <w:pPr>
              <w:adjustRightInd w:val="0"/>
              <w:snapToGrid w:val="0"/>
              <w:spacing w:line="360" w:lineRule="exact"/>
              <w:rPr>
                <w:rFonts w:hint="eastAsia" w:ascii="仿宋" w:hAnsi="仿宋" w:eastAsia="仿宋" w:cs="仿宋"/>
                <w:sz w:val="24"/>
                <w:szCs w:val="24"/>
              </w:rPr>
            </w:pPr>
          </w:p>
        </w:tc>
        <w:tc>
          <w:tcPr>
            <w:tcW w:w="16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720" w:type="dxa"/>
            <w:noWrap w:val="0"/>
            <w:vAlign w:val="top"/>
          </w:tcPr>
          <w:p>
            <w:pPr>
              <w:adjustRightInd w:val="0"/>
              <w:snapToGrid w:val="0"/>
              <w:spacing w:line="360" w:lineRule="exact"/>
              <w:rPr>
                <w:rFonts w:hint="eastAsia" w:ascii="仿宋" w:hAnsi="仿宋" w:eastAsia="仿宋" w:cs="仿宋"/>
                <w:sz w:val="24"/>
                <w:szCs w:val="24"/>
              </w:rPr>
            </w:pPr>
          </w:p>
        </w:tc>
        <w:tc>
          <w:tcPr>
            <w:tcW w:w="1710" w:type="dxa"/>
            <w:noWrap w:val="0"/>
            <w:vAlign w:val="top"/>
          </w:tcPr>
          <w:p>
            <w:pPr>
              <w:adjustRightInd w:val="0"/>
              <w:snapToGrid w:val="0"/>
              <w:spacing w:line="360" w:lineRule="exact"/>
              <w:rPr>
                <w:rFonts w:hint="eastAsia" w:ascii="仿宋" w:hAnsi="仿宋" w:eastAsia="仿宋" w:cs="仿宋"/>
                <w:sz w:val="24"/>
                <w:szCs w:val="24"/>
              </w:rPr>
            </w:pPr>
          </w:p>
        </w:tc>
      </w:tr>
    </w:tbl>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备注：本表作为投标方编制投标技术文件的一般格式。表中应当尽可能将配置列全、列细，这将有助于投标方胜出。</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  投标技术文件至少应对招标文件和本技术标书所提出的要求，将投标方认为难以满足的条款和要求，予以明确和详细的说明或澄清。</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  供货范围内的物品或服务，应当尽可能详细且分类填入配置表，其费用应当计入投标总报价之内。如果出现不一致的报价，将有可能导致废标。</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9  除招标文件明确的验收标准或内容之外，投标方应当在投标文件中提供预验收（必要时）和终验收的标准以及规程，在合同签定之前，经投标方和招标方双方洽谈确认并签署，以作为验收标准执行。</w:t>
      </w:r>
    </w:p>
    <w:p>
      <w:pPr>
        <w:pStyle w:val="4"/>
        <w:spacing w:before="120" w:after="120" w:line="360" w:lineRule="auto"/>
        <w:jc w:val="center"/>
        <w:rPr>
          <w:rFonts w:hint="eastAsia" w:ascii="仿宋" w:hAnsi="仿宋" w:eastAsia="仿宋" w:cs="仿宋"/>
          <w:bCs w:val="0"/>
          <w:sz w:val="24"/>
          <w:szCs w:val="24"/>
        </w:rPr>
      </w:pPr>
      <w:bookmarkStart w:id="177" w:name="_Toc15612"/>
      <w:bookmarkStart w:id="178" w:name="_Toc403466192"/>
      <w:bookmarkStart w:id="179" w:name="_Toc133783976"/>
      <w:bookmarkStart w:id="180" w:name="_Toc19127"/>
      <w:bookmarkStart w:id="181" w:name="_Toc9252"/>
      <w:bookmarkStart w:id="182" w:name="_Toc18127"/>
      <w:bookmarkStart w:id="183" w:name="_Hlk58765246"/>
      <w:r>
        <w:rPr>
          <w:rFonts w:hint="eastAsia" w:ascii="仿宋" w:hAnsi="仿宋" w:eastAsia="仿宋" w:cs="仿宋"/>
          <w:bCs w:val="0"/>
          <w:sz w:val="24"/>
          <w:szCs w:val="24"/>
        </w:rPr>
        <w:t>第七章  其它要求</w:t>
      </w:r>
      <w:bookmarkEnd w:id="177"/>
      <w:bookmarkEnd w:id="178"/>
      <w:bookmarkEnd w:id="179"/>
      <w:bookmarkEnd w:id="180"/>
      <w:bookmarkEnd w:id="181"/>
      <w:bookmarkEnd w:id="182"/>
    </w:p>
    <w:p>
      <w:pPr>
        <w:spacing w:line="360" w:lineRule="auto"/>
        <w:ind w:firstLine="480" w:firstLineChars="200"/>
        <w:outlineLvl w:val="1"/>
        <w:rPr>
          <w:rFonts w:hint="eastAsia" w:ascii="仿宋" w:hAnsi="仿宋" w:eastAsia="仿宋" w:cs="仿宋"/>
          <w:sz w:val="24"/>
          <w:szCs w:val="24"/>
        </w:rPr>
      </w:pPr>
      <w:bookmarkStart w:id="184" w:name="_Toc25406"/>
      <w:bookmarkStart w:id="185" w:name="_Toc30371"/>
      <w:bookmarkStart w:id="186" w:name="_Toc23980"/>
      <w:bookmarkStart w:id="187" w:name="_Toc28450"/>
      <w:r>
        <w:rPr>
          <w:rFonts w:hint="eastAsia" w:ascii="仿宋" w:hAnsi="仿宋" w:eastAsia="仿宋" w:cs="仿宋"/>
          <w:sz w:val="24"/>
          <w:szCs w:val="24"/>
        </w:rPr>
        <w:t>1  特殊要求</w:t>
      </w:r>
      <w:bookmarkEnd w:id="184"/>
      <w:bookmarkEnd w:id="185"/>
      <w:bookmarkEnd w:id="186"/>
      <w:bookmarkEnd w:id="187"/>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为保证本技术标书所列采购设备的质量以及先进性、可靠性、经济性和实用性，要求投标方在投标文件中，至少应具备以下资格证明文件或资料：</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1.1  投标方应是通过有关资格认证的单位，因此应附有有效期内的资格认证证书，如：ISO9001、VDA6.1、QS9000等。</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1.2  国产设备应附有采购货物（或设备）涉及的由“中国质量认证中心”颁发的《中国国家强制性产品认证证书》（CCC证书）。</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1.4  应附有其它与投标单位、采购设备有关的荣誉证书或资料。</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1.5  应附有中国相关国家部委颁发的有效期之内所必需的《生产许可证》。</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1.6  应附有必要的采购货物（或设备）的相关检验、试验报告，如：《型式试验的检验报告》、《产品鉴定证书》、《新技术成果证书》等。</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1.7  投标方必须附有采购货物（或设备）涉及国家规定必须进行的检验、试验报告等。</w:t>
      </w:r>
    </w:p>
    <w:p>
      <w:pPr>
        <w:spacing w:line="360" w:lineRule="auto"/>
        <w:ind w:firstLine="477" w:firstLineChars="199"/>
        <w:rPr>
          <w:rFonts w:hint="eastAsia" w:ascii="仿宋" w:hAnsi="仿宋" w:eastAsia="仿宋" w:cs="仿宋"/>
          <w:sz w:val="24"/>
          <w:szCs w:val="24"/>
        </w:rPr>
      </w:pPr>
      <w:r>
        <w:rPr>
          <w:rFonts w:hint="eastAsia" w:ascii="仿宋" w:hAnsi="仿宋" w:eastAsia="仿宋" w:cs="仿宋"/>
          <w:sz w:val="24"/>
          <w:szCs w:val="24"/>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bookmarkEnd w:id="183"/>
    <w:p>
      <w:pPr>
        <w:snapToGrid w:val="0"/>
        <w:spacing w:line="360" w:lineRule="auto"/>
        <w:ind w:left="480"/>
        <w:outlineLvl w:val="1"/>
        <w:rPr>
          <w:rFonts w:hint="eastAsia" w:ascii="仿宋" w:hAnsi="仿宋" w:eastAsia="仿宋" w:cs="仿宋"/>
          <w:b/>
          <w:sz w:val="24"/>
          <w:szCs w:val="24"/>
        </w:rPr>
      </w:pPr>
      <w:bookmarkStart w:id="188" w:name="_Toc16587"/>
      <w:bookmarkStart w:id="189" w:name="_Toc13014"/>
      <w:bookmarkStart w:id="190" w:name="_Toc22605"/>
      <w:bookmarkStart w:id="191" w:name="_Toc10079"/>
      <w:r>
        <w:rPr>
          <w:rFonts w:hint="eastAsia" w:ascii="仿宋" w:hAnsi="仿宋" w:eastAsia="仿宋" w:cs="仿宋"/>
          <w:b/>
          <w:sz w:val="24"/>
          <w:szCs w:val="24"/>
          <w:lang w:bidi="ar"/>
        </w:rPr>
        <w:t>2 安全及环保要求</w:t>
      </w:r>
      <w:bookmarkEnd w:id="188"/>
      <w:bookmarkEnd w:id="189"/>
      <w:bookmarkEnd w:id="190"/>
      <w:bookmarkEnd w:id="191"/>
    </w:p>
    <w:p>
      <w:pPr>
        <w:pStyle w:val="27"/>
        <w:snapToGrid w:val="0"/>
        <w:spacing w:line="360" w:lineRule="auto"/>
        <w:ind w:firstLine="480" w:firstLineChars="200"/>
        <w:rPr>
          <w:rFonts w:hint="eastAsia" w:ascii="仿宋" w:hAnsi="仿宋" w:eastAsia="仿宋" w:cs="仿宋"/>
          <w:szCs w:val="24"/>
        </w:rPr>
      </w:pPr>
      <w:r>
        <w:rPr>
          <w:rFonts w:hint="eastAsia" w:ascii="仿宋" w:hAnsi="仿宋" w:eastAsia="仿宋" w:cs="仿宋"/>
          <w:kern w:val="0"/>
          <w:szCs w:val="24"/>
          <w:lang w:bidi="ar"/>
        </w:rPr>
        <w:t>2.1投标方所供的货物（或生产线），必须符合中国最新版的安全法律、法规要求，符合行业安全标准及项目所在地政府有关特殊要求。</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2.2 货物（或生产线）应完整且所有的零部件应该安装安全、牢固，外观无损伤，所有的焊缝饱满、无残渣等缺陷且符合国家及行业相关标准。</w:t>
      </w:r>
    </w:p>
    <w:p>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bidi="ar"/>
        </w:rPr>
        <w:t>2.3 对生产线存在安全隐患的工位必须采取安全措施，如：线体防护板、高温防护、光栅等。</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2.4 从安全生产的角度考虑各单元及工位应设有急停按钮，并有明显标识。</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2.6 单元操作面板上有上电按钮和急停按钮，上电后可对系统进行操作。</w:t>
      </w:r>
    </w:p>
    <w:p>
      <w:pPr>
        <w:pStyle w:val="27"/>
        <w:snapToGrid w:val="0"/>
        <w:spacing w:line="360" w:lineRule="auto"/>
        <w:ind w:firstLine="480" w:firstLineChars="200"/>
        <w:rPr>
          <w:rFonts w:hint="eastAsia" w:ascii="仿宋" w:hAnsi="仿宋" w:eastAsia="仿宋" w:cs="仿宋"/>
          <w:szCs w:val="24"/>
        </w:rPr>
      </w:pPr>
      <w:r>
        <w:rPr>
          <w:rFonts w:hint="eastAsia" w:ascii="仿宋" w:hAnsi="仿宋" w:eastAsia="仿宋" w:cs="仿宋"/>
          <w:kern w:val="0"/>
          <w:szCs w:val="24"/>
          <w:lang w:bidi="ar"/>
        </w:rPr>
        <w:t>2.7 所有电气安装和施工均应符合我国现行行业标准（规范）。</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2.8 投标方须负责编制每个工位的《安全操作规程》和安全事项的说明书，对操作者进行“四新”安全培训。</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2.9货物（或生产线）应运行稳定、可靠、安全，无非正常变形，非正常振动，无异常声音；无漏水、漏液、漏气（汽）、漏电等现象。</w:t>
      </w:r>
      <w:r>
        <w:rPr>
          <w:rFonts w:hint="eastAsia" w:ascii="仿宋" w:hAnsi="仿宋" w:eastAsia="仿宋" w:cs="仿宋"/>
          <w:sz w:val="24"/>
          <w:szCs w:val="24"/>
          <w:lang w:bidi="ar"/>
        </w:rPr>
        <w:br w:type="textWrapping"/>
      </w:r>
      <w:r>
        <w:rPr>
          <w:rFonts w:hint="eastAsia" w:ascii="仿宋" w:hAnsi="仿宋" w:eastAsia="仿宋" w:cs="仿宋"/>
          <w:sz w:val="24"/>
          <w:szCs w:val="24"/>
          <w:lang w:bidi="ar"/>
        </w:rPr>
        <w:t>2.10 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2.11地线联接和地极符合国际（ISO/IEC）标准规范。</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2.12货物（或生产线）正常运行时，噪声等环境影响因素满足国家和当地环保主管部门规定，安全措施落实、有效。</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2.13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2.14 涉及需要进行环保、职业卫生强制检测的项目（设备、设施），应由中标方提供权威第三方检测机构出具的完工检测报告。</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2.15 特种设备应提供济南市特种设备检验研究院出具的首次检验报告，招标方协助中标方办理相关注册登记手续。</w:t>
      </w:r>
    </w:p>
    <w:p>
      <w:pPr>
        <w:snapToGrid w:val="0"/>
        <w:spacing w:line="360" w:lineRule="auto"/>
        <w:ind w:left="480"/>
        <w:outlineLvl w:val="1"/>
        <w:rPr>
          <w:rFonts w:hint="eastAsia" w:ascii="仿宋" w:hAnsi="仿宋" w:eastAsia="仿宋" w:cs="仿宋"/>
          <w:b/>
          <w:sz w:val="24"/>
          <w:szCs w:val="24"/>
        </w:rPr>
      </w:pPr>
      <w:bookmarkStart w:id="192" w:name="_Toc26307"/>
      <w:bookmarkStart w:id="193" w:name="_Toc11707"/>
      <w:bookmarkStart w:id="194" w:name="_Toc20624"/>
      <w:bookmarkStart w:id="195" w:name="_Toc27164"/>
      <w:bookmarkStart w:id="196" w:name="_Toc25498"/>
      <w:bookmarkStart w:id="197" w:name="_Toc1018"/>
      <w:bookmarkStart w:id="198" w:name="_Toc3658"/>
      <w:bookmarkStart w:id="199" w:name="_Toc18674"/>
      <w:bookmarkStart w:id="200" w:name="_Toc24176"/>
      <w:bookmarkStart w:id="201" w:name="_Toc26626"/>
      <w:bookmarkStart w:id="202" w:name="_Toc18370"/>
      <w:bookmarkStart w:id="203" w:name="_Toc20370"/>
      <w:bookmarkStart w:id="204" w:name="_Toc18745"/>
      <w:bookmarkStart w:id="205" w:name="_Toc28700"/>
      <w:bookmarkStart w:id="206" w:name="_Toc27894"/>
      <w:bookmarkStart w:id="207" w:name="_Toc28380"/>
      <w:bookmarkStart w:id="208" w:name="_Toc19315"/>
      <w:bookmarkStart w:id="209" w:name="_Toc22763"/>
      <w:bookmarkStart w:id="210" w:name="_Toc5504"/>
      <w:bookmarkStart w:id="211" w:name="_Toc14956"/>
      <w:bookmarkStart w:id="212" w:name="_Toc13528"/>
      <w:bookmarkStart w:id="213" w:name="_Toc3821"/>
      <w:bookmarkStart w:id="214" w:name="_Toc335"/>
      <w:bookmarkStart w:id="215" w:name="_Toc23761"/>
      <w:bookmarkStart w:id="216" w:name="_Toc25028"/>
      <w:bookmarkStart w:id="217" w:name="_Toc13497"/>
      <w:bookmarkStart w:id="218" w:name="_Toc14052"/>
      <w:bookmarkStart w:id="219" w:name="_Toc3323"/>
      <w:bookmarkStart w:id="220" w:name="_Toc22893"/>
      <w:bookmarkStart w:id="221" w:name="_Toc4278"/>
      <w:bookmarkStart w:id="222" w:name="_Toc4243"/>
      <w:bookmarkStart w:id="223" w:name="_Toc28559"/>
      <w:bookmarkStart w:id="224" w:name="_Toc8864"/>
      <w:bookmarkStart w:id="225" w:name="_Toc24482"/>
      <w:bookmarkStart w:id="226" w:name="_Toc21942"/>
      <w:bookmarkStart w:id="227" w:name="_Toc1823"/>
      <w:bookmarkStart w:id="228" w:name="_Toc29954"/>
      <w:bookmarkStart w:id="229" w:name="_Toc73112429"/>
      <w:bookmarkStart w:id="230" w:name="_Toc20830"/>
      <w:bookmarkStart w:id="231" w:name="_Toc11255"/>
      <w:bookmarkStart w:id="232" w:name="_Toc11829"/>
      <w:bookmarkStart w:id="233" w:name="_Toc16457"/>
      <w:bookmarkStart w:id="234" w:name="_Toc28267"/>
      <w:bookmarkStart w:id="235" w:name="_Toc26724"/>
      <w:bookmarkStart w:id="236" w:name="_Toc29233"/>
      <w:bookmarkStart w:id="237" w:name="_Toc28718"/>
      <w:r>
        <w:rPr>
          <w:rFonts w:hint="eastAsia" w:ascii="仿宋" w:hAnsi="仿宋" w:eastAsia="仿宋" w:cs="仿宋"/>
          <w:b/>
          <w:sz w:val="24"/>
          <w:szCs w:val="24"/>
          <w:lang w:bidi="ar"/>
        </w:rPr>
        <w:t>3说明</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3.1投标方可以根据自身的技术、经验等优势以及对招标文件和本技术标书的理解，写明对招标方所采购货物（或生产线）的优化方案或建议意见。投标方的这些努力，招标方表示感谢，并将有助于投标方优先胜出。</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3.2即使有建议意见或建议方案，仍应依据招标文件和本技术标书要求，编写符合要求的投标文件。建议方案或建议意见，应以单独篇章或文件，予以说明。</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3.3请投标方仔细阅读“采购货物概况”章节内说明，针对允许分投分中的货物（或生产线），招标方有权利选择其中优秀设备或服务，作为投标方合同供货范围中的指定选用设备或服务（替代投标方分投而未中标部分）。</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bidi="ar"/>
        </w:rPr>
        <w:t>3.4招标文件、投标文件、答疑文件、技术交流文件、技术协议书等，在招标过程全部为有效文件，如有差异，以对招标方或买方最有利的条款为准。</w:t>
      </w:r>
    </w:p>
    <w:p>
      <w:pPr>
        <w:snapToGrid w:val="0"/>
        <w:spacing w:line="360" w:lineRule="auto"/>
        <w:ind w:firstLine="480" w:firstLineChars="200"/>
        <w:rPr>
          <w:sz w:val="24"/>
          <w:szCs w:val="24"/>
        </w:rPr>
      </w:pPr>
      <w:r>
        <w:rPr>
          <w:rFonts w:hint="eastAsia" w:ascii="仿宋" w:hAnsi="仿宋" w:eastAsia="仿宋" w:cs="仿宋"/>
          <w:sz w:val="24"/>
          <w:szCs w:val="24"/>
          <w:lang w:bidi="ar"/>
        </w:rPr>
        <w:t>3.5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snapToGrid w:val="0"/>
        <w:spacing w:line="360" w:lineRule="auto"/>
        <w:ind w:firstLine="480" w:firstLineChars="200"/>
        <w:rPr>
          <w:sz w:val="24"/>
          <w:szCs w:val="24"/>
        </w:rPr>
      </w:pPr>
    </w:p>
    <w:p>
      <w:pPr>
        <w:snapToGrid w:val="0"/>
        <w:spacing w:line="360" w:lineRule="auto"/>
        <w:ind w:firstLine="420" w:firstLineChars="200"/>
        <w:rPr>
          <w:rFonts w:ascii="仿宋" w:hAnsi="仿宋" w:eastAsia="仿宋" w:cs="仿宋"/>
          <w:highlight w:val="none"/>
        </w:rPr>
      </w:pPr>
    </w:p>
    <w:p>
      <w:pPr>
        <w:snapToGrid w:val="0"/>
        <w:spacing w:line="360" w:lineRule="auto"/>
        <w:ind w:firstLine="420" w:firstLineChars="200"/>
        <w:rPr>
          <w:rFonts w:ascii="仿宋" w:hAnsi="仿宋" w:eastAsia="仿宋" w:cs="仿宋"/>
          <w:highlight w:val="none"/>
        </w:rPr>
      </w:pPr>
    </w:p>
    <w:p>
      <w:pPr>
        <w:adjustRightInd w:val="0"/>
        <w:snapToGrid w:val="0"/>
        <w:spacing w:line="360" w:lineRule="auto"/>
        <w:ind w:firstLine="420" w:firstLineChars="200"/>
        <w:rPr>
          <w:rFonts w:ascii="仿宋" w:hAnsi="仿宋" w:eastAsia="仿宋" w:cs="仿宋"/>
          <w:highlight w:val="none"/>
        </w:rPr>
      </w:pPr>
    </w:p>
    <w:p>
      <w:pPr>
        <w:snapToGrid w:val="0"/>
        <w:spacing w:line="360" w:lineRule="auto"/>
        <w:rPr>
          <w:rFonts w:ascii="仿宋" w:hAnsi="仿宋" w:eastAsia="仿宋" w:cs="仿宋"/>
          <w:highlight w:val="none"/>
        </w:rPr>
      </w:pPr>
    </w:p>
    <w:p>
      <w:pPr>
        <w:pStyle w:val="77"/>
        <w:rPr>
          <w:b/>
          <w:bCs/>
        </w:rPr>
      </w:pPr>
    </w:p>
    <w:p>
      <w:pPr>
        <w:rPr>
          <w:rFonts w:hint="eastAsia"/>
        </w:rPr>
      </w:pPr>
      <w:bookmarkStart w:id="238" w:name="_Toc47976609"/>
      <w:r>
        <w:rPr>
          <w:rFonts w:hint="eastAsia"/>
        </w:rPr>
        <w:br w:type="page"/>
      </w:r>
    </w:p>
    <w:bookmarkEnd w:id="238"/>
    <w:p>
      <w:pPr>
        <w:pStyle w:val="72"/>
        <w:numPr>
          <w:ilvl w:val="0"/>
          <w:numId w:val="34"/>
        </w:numPr>
        <w:rPr>
          <w:rFonts w:hint="eastAsia"/>
        </w:rPr>
      </w:pPr>
      <w:r>
        <w:rPr>
          <w:rFonts w:hint="eastAsia" w:ascii="宋体" w:hAnsi="宋体" w:eastAsia="宋体" w:cs="Times New Roman"/>
          <w:b/>
          <w:sz w:val="36"/>
          <w:szCs w:val="36"/>
        </w:rPr>
        <w:t>设备采购合同</w:t>
      </w:r>
      <w:r>
        <w:rPr>
          <w:rFonts w:hint="eastAsia" w:ascii="宋体" w:hAnsi="宋体" w:eastAsia="宋体" w:cs="Times New Roman"/>
          <w:b/>
          <w:sz w:val="36"/>
          <w:szCs w:val="36"/>
          <w:lang w:eastAsia="zh-CN"/>
        </w:rPr>
        <w:t>（</w:t>
      </w:r>
      <w:r>
        <w:rPr>
          <w:rFonts w:hint="eastAsia" w:ascii="宋体" w:hAnsi="宋体" w:eastAsia="宋体" w:cs="Times New Roman"/>
          <w:b/>
          <w:sz w:val="36"/>
          <w:szCs w:val="36"/>
          <w:lang w:val="en-US" w:eastAsia="zh-CN"/>
        </w:rPr>
        <w:t>模板</w:t>
      </w:r>
      <w:r>
        <w:rPr>
          <w:rFonts w:hint="eastAsia" w:ascii="宋体" w:hAnsi="宋体" w:eastAsia="宋体" w:cs="Times New Roman"/>
          <w:b/>
          <w:sz w:val="36"/>
          <w:szCs w:val="36"/>
          <w:lang w:eastAsia="zh-CN"/>
        </w:rPr>
        <w:t>）</w:t>
      </w:r>
    </w:p>
    <w:p>
      <w:pPr>
        <w:wordWrap w:val="0"/>
        <w:adjustRightInd w:val="0"/>
        <w:snapToGrid w:val="0"/>
        <w:spacing w:line="360" w:lineRule="auto"/>
        <w:jc w:val="right"/>
        <w:rPr>
          <w:rFonts w:ascii="宋体" w:hAnsi="宋体"/>
          <w:b/>
          <w:sz w:val="28"/>
          <w:szCs w:val="28"/>
        </w:rPr>
      </w:pPr>
    </w:p>
    <w:p>
      <w:pPr>
        <w:adjustRightInd w:val="0"/>
        <w:snapToGrid w:val="0"/>
        <w:spacing w:line="360" w:lineRule="auto"/>
        <w:jc w:val="center"/>
        <w:rPr>
          <w:rFonts w:ascii="方正小标宋简体" w:hAnsi="宋体" w:eastAsia="方正小标宋简体"/>
          <w:bCs/>
          <w:sz w:val="52"/>
          <w:szCs w:val="36"/>
        </w:rPr>
      </w:pPr>
      <w:bookmarkStart w:id="239" w:name="_Toc47976615"/>
      <w:r>
        <w:rPr>
          <w:rFonts w:hint="eastAsia" w:ascii="方正小标宋简体" w:hAnsi="宋体" w:eastAsia="方正小标宋简体"/>
          <w:bCs/>
          <w:sz w:val="52"/>
          <w:szCs w:val="36"/>
        </w:rPr>
        <w:t>设备采购合同（模板）</w:t>
      </w:r>
    </w:p>
    <w:p>
      <w:pPr>
        <w:pStyle w:val="15"/>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40" w:name="_Toc11823"/>
      <w:bookmarkStart w:id="241" w:name="_Toc16330018"/>
      <w:bookmarkStart w:id="242" w:name="_Toc17619"/>
      <w:bookmarkStart w:id="243" w:name="_Toc11930"/>
      <w:r>
        <w:rPr>
          <w:rFonts w:hint="eastAsia" w:ascii="黑体" w:hAnsi="黑体" w:eastAsia="黑体" w:cstheme="minorEastAsia"/>
          <w:b w:val="0"/>
          <w:sz w:val="28"/>
          <w:szCs w:val="28"/>
        </w:rPr>
        <w:t>1 合同设备</w:t>
      </w:r>
      <w:bookmarkEnd w:id="240"/>
      <w:bookmarkEnd w:id="241"/>
      <w:bookmarkEnd w:id="242"/>
      <w:bookmarkEnd w:id="24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244" w:name="_Toc32510"/>
      <w:bookmarkStart w:id="245" w:name="_Toc22800"/>
      <w:bookmarkStart w:id="246"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47" w:name="_Toc16330019"/>
      <w:r>
        <w:rPr>
          <w:rFonts w:hint="eastAsia" w:ascii="黑体" w:hAnsi="黑体" w:eastAsia="黑体" w:cstheme="minorEastAsia"/>
          <w:b w:val="0"/>
          <w:sz w:val="28"/>
          <w:szCs w:val="28"/>
        </w:rPr>
        <w:t>2 包装</w:t>
      </w:r>
      <w:bookmarkEnd w:id="244"/>
      <w:bookmarkEnd w:id="245"/>
      <w:bookmarkEnd w:id="246"/>
      <w:bookmarkEnd w:id="2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48" w:name="_Toc16330020"/>
      <w:bookmarkStart w:id="249" w:name="_Toc27453"/>
      <w:bookmarkStart w:id="250" w:name="_Toc27144"/>
      <w:bookmarkStart w:id="251" w:name="_Toc2833"/>
      <w:r>
        <w:rPr>
          <w:rFonts w:hint="eastAsia" w:ascii="黑体" w:hAnsi="黑体" w:eastAsia="黑体" w:cstheme="minorEastAsia"/>
          <w:b w:val="0"/>
          <w:sz w:val="28"/>
          <w:szCs w:val="28"/>
        </w:rPr>
        <w:t>3 运输标记</w:t>
      </w:r>
      <w:bookmarkEnd w:id="248"/>
      <w:bookmarkEnd w:id="249"/>
      <w:bookmarkEnd w:id="250"/>
      <w:bookmarkEnd w:id="2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52" w:name="_Toc16330021"/>
      <w:bookmarkStart w:id="253" w:name="_Toc16133"/>
      <w:bookmarkStart w:id="254" w:name="_Toc10630"/>
      <w:bookmarkStart w:id="255" w:name="_Toc7431"/>
      <w:r>
        <w:rPr>
          <w:rFonts w:hint="eastAsia" w:ascii="黑体" w:hAnsi="黑体" w:eastAsia="黑体" w:cstheme="minorEastAsia"/>
          <w:b w:val="0"/>
          <w:sz w:val="28"/>
          <w:szCs w:val="28"/>
        </w:rPr>
        <w:t>4 检验</w:t>
      </w:r>
      <w:bookmarkEnd w:id="252"/>
      <w:bookmarkEnd w:id="253"/>
      <w:bookmarkEnd w:id="254"/>
      <w:bookmarkEnd w:id="2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56" w:name="_Toc24467"/>
      <w:bookmarkStart w:id="257" w:name="_Toc11217"/>
      <w:bookmarkStart w:id="258" w:name="_Toc19850"/>
      <w:bookmarkStart w:id="259" w:name="_Toc16330022"/>
      <w:r>
        <w:rPr>
          <w:rFonts w:hint="eastAsia" w:ascii="黑体" w:hAnsi="黑体" w:eastAsia="黑体" w:cstheme="minorEastAsia"/>
          <w:b w:val="0"/>
          <w:sz w:val="28"/>
          <w:szCs w:val="28"/>
        </w:rPr>
        <w:t>5 权利担保</w:t>
      </w:r>
      <w:bookmarkEnd w:id="256"/>
      <w:bookmarkEnd w:id="257"/>
      <w:bookmarkEnd w:id="258"/>
      <w:bookmarkEnd w:id="2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60" w:name="_Toc11759"/>
      <w:bookmarkStart w:id="261" w:name="_Toc14809"/>
      <w:bookmarkStart w:id="262" w:name="_Toc27500"/>
      <w:bookmarkStart w:id="263" w:name="_Toc16330023"/>
      <w:r>
        <w:rPr>
          <w:rFonts w:hint="eastAsia" w:ascii="黑体" w:hAnsi="黑体" w:eastAsia="黑体" w:cstheme="minorEastAsia"/>
          <w:b w:val="0"/>
          <w:sz w:val="28"/>
          <w:szCs w:val="28"/>
        </w:rPr>
        <w:t>6 交货</w:t>
      </w:r>
      <w:bookmarkEnd w:id="260"/>
      <w:bookmarkEnd w:id="261"/>
      <w:bookmarkEnd w:id="262"/>
      <w:bookmarkEnd w:id="2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64" w:name="_Toc2984"/>
      <w:bookmarkStart w:id="265" w:name="_Toc8024"/>
      <w:bookmarkStart w:id="266" w:name="_Toc25510"/>
      <w:bookmarkStart w:id="267" w:name="_Toc16330024"/>
      <w:r>
        <w:rPr>
          <w:rFonts w:hint="eastAsia" w:ascii="黑体" w:hAnsi="黑体" w:eastAsia="黑体" w:cstheme="minorEastAsia"/>
          <w:b w:val="0"/>
          <w:sz w:val="28"/>
          <w:szCs w:val="28"/>
        </w:rPr>
        <w:t>7 安装、调试</w:t>
      </w:r>
      <w:bookmarkEnd w:id="264"/>
      <w:bookmarkEnd w:id="265"/>
      <w:bookmarkEnd w:id="266"/>
      <w:bookmarkEnd w:id="267"/>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68" w:name="_Toc6350"/>
      <w:bookmarkStart w:id="269" w:name="_Toc16330025"/>
      <w:bookmarkStart w:id="270" w:name="_Toc14260"/>
      <w:bookmarkStart w:id="271" w:name="_Toc14098"/>
      <w:r>
        <w:rPr>
          <w:rFonts w:hint="eastAsia" w:ascii="黑体" w:hAnsi="黑体" w:eastAsia="黑体" w:cstheme="minorEastAsia"/>
          <w:b w:val="0"/>
          <w:sz w:val="28"/>
          <w:szCs w:val="28"/>
        </w:rPr>
        <w:t>8 价款与支付</w:t>
      </w:r>
      <w:bookmarkEnd w:id="268"/>
      <w:bookmarkEnd w:id="269"/>
      <w:bookmarkEnd w:id="270"/>
      <w:bookmarkEnd w:id="27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272" w:name="_Toc14676804"/>
      <w:bookmarkStart w:id="273"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272"/>
      <w:bookmarkEnd w:id="273"/>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74" w:name="_Toc25708"/>
      <w:bookmarkStart w:id="275" w:name="_Toc6726"/>
      <w:bookmarkStart w:id="276" w:name="_Toc16330026"/>
      <w:bookmarkStart w:id="277" w:name="_Toc24085"/>
      <w:r>
        <w:rPr>
          <w:rFonts w:hint="eastAsia" w:ascii="黑体" w:hAnsi="黑体" w:eastAsia="黑体" w:cstheme="minorEastAsia"/>
          <w:b w:val="0"/>
          <w:sz w:val="28"/>
          <w:szCs w:val="28"/>
        </w:rPr>
        <w:t>9 质量保证及售后服务</w:t>
      </w:r>
      <w:bookmarkEnd w:id="274"/>
      <w:bookmarkEnd w:id="275"/>
      <w:bookmarkEnd w:id="276"/>
      <w:bookmarkEnd w:id="27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78" w:name="_Toc12927"/>
      <w:bookmarkStart w:id="279" w:name="_Toc15570"/>
      <w:bookmarkStart w:id="280" w:name="_Toc10359"/>
      <w:bookmarkStart w:id="281" w:name="_Toc16330027"/>
      <w:r>
        <w:rPr>
          <w:rFonts w:hint="eastAsia" w:ascii="黑体" w:hAnsi="黑体" w:eastAsia="黑体" w:cstheme="minorEastAsia"/>
          <w:b w:val="0"/>
          <w:sz w:val="28"/>
          <w:szCs w:val="28"/>
        </w:rPr>
        <w:t>10法定责任</w:t>
      </w:r>
      <w:bookmarkEnd w:id="278"/>
      <w:bookmarkEnd w:id="279"/>
      <w:bookmarkEnd w:id="280"/>
      <w:bookmarkEnd w:id="28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82" w:name="_Toc27314"/>
      <w:bookmarkStart w:id="283" w:name="_Toc30381"/>
      <w:bookmarkStart w:id="284" w:name="_Toc9708"/>
      <w:bookmarkStart w:id="285" w:name="_Toc16330028"/>
      <w:r>
        <w:rPr>
          <w:rFonts w:hint="eastAsia" w:ascii="黑体" w:hAnsi="黑体" w:eastAsia="黑体" w:cstheme="minorEastAsia"/>
          <w:b w:val="0"/>
          <w:sz w:val="28"/>
          <w:szCs w:val="28"/>
        </w:rPr>
        <w:t>11 违约责任</w:t>
      </w:r>
      <w:bookmarkEnd w:id="282"/>
      <w:bookmarkEnd w:id="283"/>
      <w:bookmarkEnd w:id="284"/>
      <w:bookmarkEnd w:id="28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86" w:name="_Toc16330029"/>
      <w:bookmarkStart w:id="287" w:name="_Toc1827"/>
      <w:bookmarkStart w:id="288" w:name="_Toc9172"/>
      <w:bookmarkStart w:id="289" w:name="_Toc31554"/>
      <w:r>
        <w:rPr>
          <w:rFonts w:hint="eastAsia" w:ascii="黑体" w:hAnsi="黑体" w:eastAsia="黑体" w:cstheme="minorEastAsia"/>
          <w:b w:val="0"/>
          <w:sz w:val="28"/>
          <w:szCs w:val="28"/>
        </w:rPr>
        <w:t>12 合同的终止与解除</w:t>
      </w:r>
      <w:bookmarkEnd w:id="286"/>
      <w:bookmarkEnd w:id="287"/>
      <w:bookmarkEnd w:id="288"/>
      <w:bookmarkEnd w:id="28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90" w:name="_Toc16330030"/>
      <w:bookmarkStart w:id="291" w:name="_Toc8620"/>
      <w:bookmarkStart w:id="292" w:name="_Toc13671"/>
      <w:bookmarkStart w:id="293" w:name="_Toc31945"/>
      <w:r>
        <w:rPr>
          <w:rFonts w:hint="eastAsia" w:ascii="黑体" w:hAnsi="黑体" w:eastAsia="黑体" w:cstheme="minorEastAsia"/>
          <w:b w:val="0"/>
          <w:sz w:val="28"/>
          <w:szCs w:val="28"/>
        </w:rPr>
        <w:t>13 不可抗力</w:t>
      </w:r>
      <w:bookmarkEnd w:id="290"/>
      <w:bookmarkEnd w:id="291"/>
      <w:bookmarkEnd w:id="292"/>
      <w:bookmarkEnd w:id="2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294" w:name="_Toc16330031"/>
      <w:bookmarkStart w:id="295" w:name="_Toc637"/>
      <w:bookmarkStart w:id="296" w:name="_Toc30389"/>
      <w:bookmarkStart w:id="297" w:name="_Toc31243"/>
      <w:r>
        <w:rPr>
          <w:rFonts w:hint="eastAsia" w:ascii="黑体" w:hAnsi="黑体" w:eastAsia="黑体" w:cstheme="minorEastAsia"/>
          <w:b w:val="0"/>
          <w:sz w:val="28"/>
          <w:szCs w:val="28"/>
        </w:rPr>
        <w:t>14 通讯</w:t>
      </w:r>
      <w:bookmarkEnd w:id="294"/>
      <w:bookmarkEnd w:id="295"/>
      <w:bookmarkEnd w:id="296"/>
      <w:bookmarkEnd w:id="29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312" w:beforeLines="100"/>
        <w:rPr>
          <w:rFonts w:ascii="黑体" w:hAnsi="黑体" w:eastAsia="黑体" w:cstheme="minorEastAsia"/>
          <w:b w:val="0"/>
          <w:sz w:val="28"/>
          <w:szCs w:val="28"/>
        </w:rPr>
      </w:pPr>
      <w:bookmarkStart w:id="298" w:name="_Toc16330032"/>
      <w:bookmarkStart w:id="299" w:name="_Toc11290"/>
      <w:bookmarkStart w:id="300" w:name="_Toc9915"/>
      <w:bookmarkStart w:id="301" w:name="_Toc12984"/>
      <w:r>
        <w:rPr>
          <w:rFonts w:hint="eastAsia" w:ascii="黑体" w:hAnsi="黑体" w:eastAsia="黑体" w:cstheme="minorEastAsia"/>
          <w:b w:val="0"/>
          <w:sz w:val="28"/>
          <w:szCs w:val="28"/>
        </w:rPr>
        <w:t>15 适用法律及争议解决</w:t>
      </w:r>
      <w:bookmarkEnd w:id="298"/>
      <w:bookmarkEnd w:id="299"/>
      <w:bookmarkEnd w:id="300"/>
      <w:bookmarkEnd w:id="30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302" w:name="_Toc23906"/>
      <w:bookmarkStart w:id="303" w:name="_Toc23765"/>
      <w:bookmarkStart w:id="304" w:name="_Toc16330033"/>
      <w:bookmarkStart w:id="305" w:name="_Toc18207"/>
      <w:r>
        <w:rPr>
          <w:rFonts w:hint="eastAsia" w:ascii="黑体" w:hAnsi="黑体" w:eastAsia="黑体" w:cstheme="minorEastAsia"/>
          <w:b w:val="0"/>
          <w:sz w:val="28"/>
          <w:szCs w:val="28"/>
        </w:rPr>
        <w:t>16 附件</w:t>
      </w:r>
      <w:bookmarkEnd w:id="302"/>
      <w:bookmarkEnd w:id="303"/>
      <w:bookmarkEnd w:id="304"/>
      <w:bookmarkEnd w:id="30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306" w:name="_Toc27202"/>
      <w:bookmarkStart w:id="307" w:name="_Toc17656"/>
      <w:bookmarkStart w:id="308" w:name="_Toc31331"/>
      <w:bookmarkStart w:id="309" w:name="_Toc16330034"/>
      <w:r>
        <w:rPr>
          <w:rFonts w:hint="eastAsia" w:ascii="黑体" w:hAnsi="黑体" w:eastAsia="黑体" w:cstheme="minorEastAsia"/>
          <w:b w:val="0"/>
          <w:sz w:val="28"/>
          <w:szCs w:val="28"/>
        </w:rPr>
        <w:t>17 其他规定</w:t>
      </w:r>
      <w:bookmarkEnd w:id="306"/>
      <w:bookmarkEnd w:id="307"/>
      <w:bookmarkEnd w:id="308"/>
      <w:bookmarkEnd w:id="30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310" w:name="_Toc16330035"/>
      <w:bookmarkStart w:id="311" w:name="_Toc17952"/>
      <w:bookmarkStart w:id="312" w:name="_Toc19077"/>
      <w:bookmarkStart w:id="313"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310"/>
      <w:bookmarkEnd w:id="311"/>
      <w:bookmarkEnd w:id="312"/>
      <w:bookmarkEnd w:id="3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cstheme="minorEastAsia"/>
          <w:sz w:val="20"/>
          <w:szCs w:val="20"/>
        </w:rPr>
      </w:pPr>
      <w:bookmarkStart w:id="314" w:name="_Toc5379"/>
      <w:bookmarkStart w:id="315" w:name="_Toc25120"/>
      <w:bookmarkStart w:id="316" w:name="_Toc16330037"/>
      <w:bookmarkStart w:id="317" w:name="_Toc24623"/>
      <w:bookmarkStart w:id="318" w:name="_Toc3778"/>
      <w:r>
        <w:rPr>
          <w:rFonts w:hint="eastAsia" w:asciiTheme="minorEastAsia" w:hAnsiTheme="minorEastAsia" w:cstheme="minorEastAsia"/>
          <w:sz w:val="20"/>
          <w:szCs w:val="20"/>
        </w:rPr>
        <w:br w:type="page"/>
      </w:r>
    </w:p>
    <w:p>
      <w:pPr>
        <w:pStyle w:val="5"/>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314"/>
      <w:bookmarkEnd w:id="315"/>
      <w:bookmarkEnd w:id="316"/>
      <w:bookmarkEnd w:id="317"/>
      <w:bookmarkEnd w:id="318"/>
      <w:r>
        <w:rPr>
          <w:rFonts w:hint="eastAsia" w:ascii="黑体" w:hAnsi="黑体" w:eastAsia="黑体" w:cstheme="minorEastAsia"/>
          <w:b w:val="0"/>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319" w:name="_Toc14341849"/>
    </w:p>
    <w:p>
      <w:pPr>
        <w:ind w:right="480"/>
        <w:jc w:val="center"/>
        <w:rPr>
          <w:sz w:val="24"/>
          <w:szCs w:val="24"/>
        </w:rPr>
      </w:pPr>
      <w:r>
        <w:rPr>
          <w:rFonts w:hint="eastAsia" w:ascii="楷体_GB2312" w:hAnsi="宋体" w:eastAsia="楷体_GB2312"/>
          <w:sz w:val="24"/>
        </w:rPr>
        <w:t xml:space="preserve">                                    </w:t>
      </w:r>
    </w:p>
    <w:bookmarkEnd w:id="319"/>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spacing w:after="156"/>
        <w:rPr>
          <w:rFonts w:ascii="楷体" w:hAnsi="楷体" w:eastAsia="楷体" w:cs="楷体"/>
          <w:b/>
          <w:sz w:val="24"/>
          <w:szCs w:val="28"/>
        </w:rPr>
      </w:pPr>
    </w:p>
    <w:p>
      <w:pPr>
        <w:pStyle w:val="2"/>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spacing w:after="156"/>
        <w:rPr>
          <w:rFonts w:ascii="楷体" w:hAnsi="楷体" w:eastAsia="楷体" w:cs="楷体"/>
          <w:b/>
          <w:sz w:val="24"/>
          <w:szCs w:val="28"/>
        </w:rPr>
      </w:pPr>
    </w:p>
    <w:p>
      <w:pPr>
        <w:pStyle w:val="2"/>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1" w:type="first"/>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rPr>
          <w:rFonts w:hint="eastAsia"/>
        </w:rPr>
      </w:pPr>
    </w:p>
    <w:p>
      <w:pPr>
        <w:pStyle w:val="72"/>
        <w:rPr>
          <w:rFonts w:ascii="黑体" w:hAnsi="Calibri" w:eastAsia="黑体" w:cs="Times New Roman"/>
          <w:color w:val="000000"/>
          <w:sz w:val="24"/>
          <w:szCs w:val="24"/>
        </w:rPr>
      </w:pPr>
      <w:bookmarkStart w:id="320" w:name="_Toc16500"/>
      <w:r>
        <w:rPr>
          <w:rFonts w:hint="eastAsia"/>
        </w:rPr>
        <w:t>第四部分　</w:t>
      </w:r>
      <w:bookmarkEnd w:id="239"/>
      <w:r>
        <w:rPr>
          <w:rFonts w:hint="eastAsia"/>
          <w:lang w:val="en-US" w:eastAsia="zh-CN"/>
        </w:rPr>
        <w:t>投标文件附件</w:t>
      </w:r>
      <w:bookmarkEnd w:id="320"/>
    </w:p>
    <w:p>
      <w:pPr>
        <w:jc w:val="both"/>
        <w:rPr>
          <w:rFonts w:ascii="宋体"/>
          <w:b/>
          <w:color w:val="000000"/>
          <w:szCs w:val="24"/>
        </w:rPr>
      </w:pPr>
    </w:p>
    <w:p>
      <w:pPr>
        <w:pStyle w:val="15"/>
      </w:pPr>
    </w:p>
    <w:p>
      <w:pPr>
        <w:pStyle w:val="73"/>
        <w:numPr>
          <w:ilvl w:val="0"/>
          <w:numId w:val="0"/>
        </w:numPr>
        <w:ind w:leftChars="0"/>
        <w:outlineLvl w:val="1"/>
        <w:rPr>
          <w:rFonts w:hint="default" w:ascii="宋体" w:hAnsi="宋体" w:eastAsia="宋体" w:cs="宋体"/>
          <w:sz w:val="32"/>
          <w:szCs w:val="32"/>
          <w:highlight w:val="yellow"/>
          <w:lang w:val="en-US" w:eastAsia="zh-CN"/>
        </w:rPr>
      </w:pPr>
      <w:bookmarkStart w:id="321" w:name="_Toc47976618"/>
      <w:bookmarkStart w:id="322" w:name="_Toc29366869"/>
      <w:bookmarkStart w:id="323" w:name="_Toc29366865"/>
      <w:r>
        <w:rPr>
          <w:rFonts w:hint="eastAsia" w:ascii="宋体" w:hAnsi="宋体" w:eastAsia="宋体" w:cs="宋体"/>
          <w:sz w:val="32"/>
          <w:szCs w:val="32"/>
          <w:highlight w:val="none"/>
          <w:lang w:val="en-US" w:eastAsia="zh-CN"/>
        </w:rPr>
        <w:t>附件1 法定代表人授权委托书</w:t>
      </w:r>
    </w:p>
    <w:bookmarkEnd w:id="321"/>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w:t>
      </w:r>
      <w:r>
        <w:rPr>
          <w:rFonts w:hint="eastAsia" w:ascii="宋体" w:hAnsi="宋体" w:eastAsia="宋体" w:cs="Times New Roman"/>
          <w:color w:val="000000"/>
          <w:sz w:val="24"/>
          <w:szCs w:val="24"/>
          <w:highlight w:val="none"/>
        </w:rPr>
        <w:t>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济南车桥公司驱动桥总成产能提升-新增螺柱焊机项目  </w:t>
      </w:r>
      <w:r>
        <w:rPr>
          <w:rFonts w:hint="eastAsia" w:ascii="宋体" w:hAnsi="宋体" w:eastAsia="宋体" w:cs="Times New Roman"/>
          <w:color w:val="000000"/>
          <w:sz w:val="24"/>
          <w:szCs w:val="24"/>
          <w:highlight w:val="none"/>
        </w:rPr>
        <w:t>现授权委托＿＿＿＿＿＿＿＿＿＿＿＿＿＿＿＿＿＿＿＿＿＿＿＿＿＿＿＿（单位名称）的＿＿＿＿＿＿</w:t>
      </w:r>
      <w:r>
        <w:rPr>
          <w:rFonts w:hint="eastAsia" w:ascii="宋体" w:hAnsi="宋体" w:eastAsia="宋体" w:cs="Times New Roman"/>
          <w:color w:val="000000"/>
          <w:sz w:val="24"/>
          <w:szCs w:val="24"/>
        </w:rPr>
        <w:t>＿＿（姓名、职务）为我公司全权代表，全权代表在投标文件、评标过程中的书面承诺、合同等所签署的一切文件和处理与之有关的一切事务，我均予以承认。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60" w:lineRule="exact"/>
        <w:ind w:firstLine="5520" w:firstLineChars="2300"/>
        <w:rPr>
          <w:rFonts w:ascii="宋体" w:hAnsi="Calibri" w:eastAsia="宋体" w:cs="Times New Roman"/>
          <w:sz w:val="24"/>
          <w:szCs w:val="20"/>
          <w:u w:val="single"/>
        </w:rPr>
      </w:pPr>
    </w:p>
    <w:p>
      <w:pPr>
        <w:rPr>
          <w:rFonts w:ascii="Calibri" w:hAnsi="Calibri" w:eastAsia="黑体" w:cs="Times New Roman"/>
          <w:b/>
          <w:bCs/>
          <w:color w:val="000000"/>
          <w:sz w:val="28"/>
          <w:szCs w:val="20"/>
        </w:rPr>
      </w:pPr>
    </w:p>
    <w:p>
      <w:pPr>
        <w:pStyle w:val="15"/>
        <w:rPr>
          <w:rFonts w:ascii="Calibri" w:hAnsi="Calibri" w:eastAsia="黑体" w:cs="Times New Roman"/>
          <w:b/>
          <w:bCs/>
          <w:color w:val="000000"/>
          <w:sz w:val="28"/>
          <w:szCs w:val="20"/>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pStyle w:val="73"/>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pPr>
        <w:spacing w:line="240" w:lineRule="exact"/>
        <w:jc w:val="center"/>
        <w:rPr>
          <w:rFonts w:ascii="宋体" w:hAnsi="Calibri" w:eastAsia="宋体" w:cs="Times New Roman"/>
          <w:b/>
          <w:bCs/>
          <w:sz w:val="36"/>
          <w:szCs w:val="20"/>
          <w:highlight w:val="none"/>
        </w:rPr>
      </w:pPr>
    </w:p>
    <w:p>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highlight w:val="none"/>
        </w:rPr>
        <w:t>项目名称：</w:t>
      </w:r>
      <w:r>
        <w:rPr>
          <w:rFonts w:hint="eastAsia" w:ascii="宋体" w:hAnsi="宋体" w:cs="宋体"/>
          <w:b/>
          <w:bCs/>
          <w:sz w:val="24"/>
          <w:szCs w:val="24"/>
          <w:highlight w:val="none"/>
          <w:u w:val="single"/>
          <w:lang w:val="en-US" w:eastAsia="zh-CN"/>
        </w:rPr>
        <w:t>济南车桥公司驱动桥总成产能提升-新增螺柱焊机项目</w:t>
      </w:r>
    </w:p>
    <w:p>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322"/>
    <w:bookmarkEnd w:id="323"/>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highlight w:val="none"/>
        </w:rPr>
        <w:t>：</w:t>
      </w:r>
      <w:r>
        <w:rPr>
          <w:rFonts w:hint="eastAsia" w:cs="Times New Roman"/>
          <w:sz w:val="24"/>
          <w:szCs w:val="24"/>
          <w:highlight w:val="none"/>
          <w:u w:val="single"/>
          <w:lang w:val="en-US" w:eastAsia="zh-CN"/>
        </w:rPr>
        <w:t>济南车桥公司驱动桥总成产能提升-新增螺柱焊机项目</w:t>
      </w:r>
      <w:r>
        <w:rPr>
          <w:rFonts w:hint="default" w:ascii="Times New Roman" w:hAnsi="Times New Roman" w:eastAsia="宋体" w:cs="Times New Roman"/>
          <w:color w:val="000000"/>
          <w:sz w:val="24"/>
          <w:szCs w:val="24"/>
          <w:highlight w:val="none"/>
        </w:rPr>
        <w:t xml:space="preserve">  </w:t>
      </w:r>
      <w:r>
        <w:rPr>
          <w:rFonts w:hint="default" w:ascii="Times New Roman" w:hAnsi="Times New Roman"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bl>
    <w:p>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757"/>
        <w:gridCol w:w="531"/>
        <w:gridCol w:w="2201"/>
        <w:gridCol w:w="636"/>
        <w:gridCol w:w="1471"/>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0" w:type="auto"/>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pPr>
              <w:jc w:val="center"/>
              <w:rPr>
                <w:rFonts w:hint="eastAsia" w:ascii="Times New Roman" w:hAnsi="Times New Roman" w:eastAsia="宋体" w:cs="Times New Roman"/>
                <w:b/>
                <w:szCs w:val="20"/>
                <w:lang w:eastAsia="zh-CN"/>
              </w:rPr>
            </w:pPr>
            <w:r>
              <w:rPr>
                <w:rFonts w:hint="eastAsia" w:cs="Times New Roman"/>
                <w:b/>
                <w:szCs w:val="20"/>
                <w:lang w:eastAsia="zh-CN"/>
              </w:rPr>
              <w:t>济南车桥公司驱动桥总成产能提升-新增螺柱焊机项目</w:t>
            </w:r>
          </w:p>
        </w:tc>
        <w:tc>
          <w:tcPr>
            <w:tcW w:w="0" w:type="auto"/>
            <w:vAlign w:val="center"/>
          </w:tcPr>
          <w:p>
            <w:pPr>
              <w:jc w:val="center"/>
              <w:rPr>
                <w:rFonts w:hint="default" w:ascii="Times New Roman" w:hAnsi="Times New Roman" w:eastAsia="宋体" w:cs="Times New Roman"/>
                <w:b/>
                <w:szCs w:val="20"/>
                <w:lang w:val="en-US" w:eastAsia="zh-CN"/>
              </w:rPr>
            </w:pPr>
          </w:p>
        </w:tc>
        <w:tc>
          <w:tcPr>
            <w:tcW w:w="0" w:type="auto"/>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pPr>
        <w:pStyle w:val="15"/>
        <w:rPr>
          <w:rFonts w:hint="eastAsia" w:hAnsi="宋体" w:eastAsia="宋体" w:cs="Times New Roman"/>
          <w:b/>
          <w:bCs/>
          <w:szCs w:val="21"/>
          <w:highlight w:val="yellow"/>
        </w:rPr>
      </w:pPr>
    </w:p>
    <w:p>
      <w:pPr>
        <w:pStyle w:val="15"/>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7"/>
        <w:bidi w:val="0"/>
      </w:pPr>
      <w:r>
        <w:t xml:space="preserve"> </w:t>
      </w:r>
    </w:p>
    <w:p>
      <w:pPr>
        <w:pStyle w:val="77"/>
        <w:bidi w:val="0"/>
      </w:pPr>
    </w:p>
    <w:p>
      <w:pPr>
        <w:pStyle w:val="77"/>
        <w:bidi w:val="0"/>
      </w:pPr>
    </w:p>
    <w:p>
      <w:pPr>
        <w:rPr>
          <w:rFonts w:hint="eastAsia" w:ascii="宋体" w:hAnsi="宋体" w:eastAsia="宋体" w:cs="宋体"/>
          <w:sz w:val="32"/>
          <w:szCs w:val="32"/>
          <w:highlight w:val="none"/>
          <w:lang w:val="en-US" w:eastAsia="zh-CN"/>
        </w:rPr>
      </w:pPr>
      <w:bookmarkStart w:id="324" w:name="_Toc4225"/>
      <w:bookmarkStart w:id="325" w:name="_Toc47976616"/>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324"/>
      <w:bookmarkEnd w:id="325"/>
      <w:r>
        <w:rPr>
          <w:rFonts w:hint="eastAsia" w:ascii="宋体" w:hAnsi="宋体" w:eastAsia="宋体" w:cs="宋体"/>
          <w:sz w:val="32"/>
          <w:szCs w:val="32"/>
          <w:highlight w:val="none"/>
          <w:lang w:val="en-US" w:eastAsia="zh-CN"/>
        </w:rPr>
        <w:t>5 投标函</w:t>
      </w:r>
    </w:p>
    <w:p>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lang w:eastAsia="zh-CN"/>
        </w:rPr>
        <w:t>重汽（济南）车桥有限公司</w:t>
      </w:r>
      <w:r>
        <w:rPr>
          <w:rFonts w:hint="eastAsia" w:ascii="宋体" w:hAnsi="宋体" w:eastAsia="宋体" w:cs="Times New Roman"/>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济南车桥公司驱动桥总成产能提升-新增螺柱焊机项目</w:t>
      </w:r>
      <w:r>
        <w:rPr>
          <w:rFonts w:hint="eastAsia" w:ascii="宋体" w:hAnsi="宋体" w:eastAsia="宋体" w:cs="Times New Roman"/>
          <w:bCs/>
          <w:snapToGrid w:val="0"/>
          <w:color w:val="000000"/>
          <w:kern w:val="0"/>
          <w:sz w:val="24"/>
          <w:szCs w:val="24"/>
          <w:highlight w:val="none"/>
        </w:rPr>
        <w:t>招标</w:t>
      </w:r>
      <w:r>
        <w:rPr>
          <w:rFonts w:hint="eastAsia" w:ascii="宋体" w:hAnsi="宋体" w:eastAsia="宋体" w:cs="Times New Roman"/>
          <w:bCs/>
          <w:snapToGrid w:val="0"/>
          <w:color w:val="000000"/>
          <w:kern w:val="0"/>
          <w:sz w:val="24"/>
          <w:szCs w:val="24"/>
        </w:rPr>
        <w:t>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w:t>
      </w:r>
      <w:r>
        <w:rPr>
          <w:rFonts w:hint="default" w:ascii="Times New Roman" w:hAnsi="Times New Roman" w:eastAsia="宋体" w:cs="Times New Roman"/>
          <w:color w:val="000000"/>
          <w:sz w:val="24"/>
          <w:szCs w:val="24"/>
        </w:rPr>
        <w:t>一份</w:t>
      </w:r>
      <w:r>
        <w:rPr>
          <w:rFonts w:hint="eastAsia" w:ascii="宋体" w:hAnsi="宋体" w:eastAsia="宋体" w:cs="Times New Roman"/>
          <w:color w:val="000000"/>
          <w:sz w:val="24"/>
          <w:szCs w:val="24"/>
        </w:rPr>
        <w:t>：资质证明文件、商务文件和技术文件。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7"/>
        <w:bidi w:val="0"/>
      </w:pPr>
    </w:p>
    <w:p>
      <w:pPr>
        <w:pStyle w:val="77"/>
        <w:bidi w:val="0"/>
      </w:pPr>
    </w:p>
    <w:p>
      <w:pPr>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pPr>
        <w:spacing w:line="240" w:lineRule="exact"/>
        <w:jc w:val="both"/>
        <w:rPr>
          <w:rFonts w:hint="default" w:ascii="Times New Roman" w:hAnsi="Times New Roman" w:eastAsia="宋体" w:cs="Times New Roman"/>
          <w:b/>
          <w:bCs/>
          <w:sz w:val="36"/>
          <w:szCs w:val="20"/>
        </w:rPr>
      </w:pPr>
    </w:p>
    <w:p>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eastAsia" w:ascii="宋体" w:hAnsi="宋体" w:cs="宋体"/>
          <w:b/>
          <w:bCs/>
          <w:i w:val="0"/>
          <w:iCs w:val="0"/>
          <w:sz w:val="24"/>
          <w:szCs w:val="24"/>
          <w:highlight w:val="none"/>
          <w:u w:val="none"/>
          <w:lang w:val="en-US" w:eastAsia="zh-CN"/>
        </w:rPr>
        <w:t>济南车桥公司驱动桥总成产能提升-新增螺柱焊机项目</w:t>
      </w:r>
    </w:p>
    <w:p>
      <w:pPr>
        <w:spacing w:line="360" w:lineRule="auto"/>
        <w:jc w:val="both"/>
        <w:rPr>
          <w:rFonts w:hint="default" w:ascii="Times New Roman" w:hAnsi="Times New Roman" w:eastAsia="宋体" w:cs="Times New Roman"/>
          <w:b/>
          <w:bCs/>
          <w:sz w:val="24"/>
          <w:szCs w:val="20"/>
        </w:rPr>
      </w:pPr>
      <w:r>
        <w:rPr>
          <w:rFonts w:hint="eastAsia" w:cs="Times New Roman"/>
          <w:b/>
          <w:bCs/>
          <w:sz w:val="24"/>
          <w:szCs w:val="20"/>
          <w:lang w:eastAsia="zh-CN"/>
        </w:rPr>
        <w:t>重汽（济南）车桥有限公司</w:t>
      </w:r>
      <w:r>
        <w:rPr>
          <w:rFonts w:hint="default" w:ascii="Times New Roman" w:hAnsi="Times New Roman" w:eastAsia="宋体" w:cs="Times New Roman"/>
          <w:b/>
          <w:bCs/>
          <w:sz w:val="24"/>
          <w:szCs w:val="20"/>
        </w:rPr>
        <w:t>：</w:t>
      </w:r>
    </w:p>
    <w:p>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highlight w:val="none"/>
                <w:lang w:val="en-US"/>
              </w:rPr>
            </w:pPr>
            <w:r>
              <w:rPr>
                <w:rFonts w:hint="eastAsia" w:ascii="宋体" w:hAnsi="宋体" w:cs="宋体"/>
                <w:b/>
                <w:bCs/>
                <w:i w:val="0"/>
                <w:iCs w:val="0"/>
                <w:sz w:val="24"/>
                <w:szCs w:val="24"/>
                <w:highlight w:val="none"/>
                <w:u w:val="none"/>
                <w:lang w:val="en-US" w:eastAsia="zh-CN"/>
              </w:rPr>
              <w:t>济南车桥公司驱动桥总成产能提升-新增螺柱焊机项目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Style w:val="2"/>
        <w:rPr>
          <w:rFonts w:hint="default"/>
          <w:lang w:val="en-US" w:eastAsia="zh-CN"/>
        </w:rPr>
      </w:pPr>
    </w:p>
    <w:p>
      <w:pPr>
        <w:pStyle w:val="77"/>
        <w:rPr>
          <w:rFonts w:hint="default" w:hAnsi="宋体"/>
          <w:sz w:val="24"/>
          <w:lang w:val="en-US"/>
        </w:rPr>
      </w:pPr>
    </w:p>
    <w:p>
      <w:pPr>
        <w:pStyle w:val="77"/>
        <w:rPr>
          <w:rFonts w:hint="default" w:hAnsi="宋体"/>
          <w:sz w:val="24"/>
          <w:lang w:val="en-US"/>
        </w:rPr>
      </w:pPr>
    </w:p>
    <w:p>
      <w:pPr>
        <w:pStyle w:val="77"/>
        <w:rPr>
          <w:rFonts w:hint="default" w:hAnsi="宋体"/>
          <w:sz w:val="24"/>
          <w:lang w:val="en-US"/>
        </w:rPr>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0"/>
        <w:gridCol w:w="1852"/>
        <w:gridCol w:w="1852"/>
        <w:gridCol w:w="1852"/>
        <w:gridCol w:w="1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cs="宋体"/>
                <w:i w:val="0"/>
                <w:iCs w:val="0"/>
                <w:color w:val="000000"/>
                <w:kern w:val="0"/>
                <w:sz w:val="28"/>
                <w:szCs w:val="28"/>
                <w:u w:val="none"/>
                <w:lang w:val="en-US" w:eastAsia="zh-CN" w:bidi="ar"/>
              </w:rPr>
              <w:t>济南车桥公司驱动桥总成产能提升-新增螺柱焊机项目</w:t>
            </w:r>
            <w:r>
              <w:rPr>
                <w:rFonts w:hint="eastAsia" w:ascii="宋体" w:hAnsi="宋体" w:eastAsia="宋体" w:cs="宋体"/>
                <w:i w:val="0"/>
                <w:iCs w:val="0"/>
                <w:color w:val="000000"/>
                <w:kern w:val="0"/>
                <w:sz w:val="28"/>
                <w:szCs w:val="28"/>
                <w:u w:val="none"/>
                <w:lang w:val="en-US" w:eastAsia="zh-CN" w:bidi="ar"/>
              </w:rPr>
              <w:t>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黑体" w:hAnsi="宋体" w:eastAsia="黑体" w:cs="黑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未税金额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含税金额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bl>
    <w:p>
      <w:pPr>
        <w:rPr>
          <w:rFonts w:hint="default" w:hAnsi="宋体"/>
          <w:sz w:val="24"/>
          <w:lang w:val="en-US"/>
        </w:rPr>
      </w:pPr>
      <w:r>
        <w:rPr>
          <w:rFonts w:hint="default" w:hAnsi="宋体"/>
          <w:sz w:val="24"/>
          <w:lang w:val="en-US"/>
        </w:rPr>
        <w:br w:type="page"/>
      </w: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9</w:t>
      </w:r>
      <w:r>
        <w:rPr>
          <w:rFonts w:hint="eastAsia" w:ascii="Times New Roman" w:hAnsi="Times New Roman" w:eastAsia="宋体" w:cs="Times New Roman"/>
          <w:b/>
          <w:bCs/>
          <w:color w:val="000000"/>
          <w:sz w:val="24"/>
          <w:szCs w:val="24"/>
        </w:rPr>
        <w:t xml:space="preserve">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4</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5"/>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13335" b="165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pPr>
        <w:numPr>
          <w:ilvl w:val="0"/>
          <w:numId w:val="3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3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3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3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 工艺设备 / 工艺设备”，业务主管部门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工艺研究院</w:t>
      </w:r>
      <w:r>
        <w:rPr>
          <w:rFonts w:hint="eastAsia" w:ascii="宋体" w:hAnsi="宋体" w:eastAsia="宋体" w:cs="宋体"/>
          <w:b/>
          <w:bCs/>
          <w:color w:val="000000"/>
          <w:sz w:val="24"/>
          <w:szCs w:val="28"/>
          <w:highlight w:val="none"/>
        </w:rPr>
        <w:t>”。</w:t>
      </w:r>
    </w:p>
    <w:p>
      <w:pPr>
        <w:numPr>
          <w:ilvl w:val="0"/>
          <w:numId w:val="35"/>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pPr>
        <w:keepNext w:val="0"/>
        <w:keepLines w:val="0"/>
        <w:pageBreakBefore w:val="0"/>
        <w:widowControl w:val="0"/>
        <w:numPr>
          <w:ilvl w:val="0"/>
          <w:numId w:val="3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2"/>
                    <a:stretch>
                      <a:fillRect/>
                    </a:stretch>
                  </pic:blipFill>
                  <pic:spPr>
                    <a:xfrm>
                      <a:off x="0" y="0"/>
                      <a:ext cx="5486400" cy="2661285"/>
                    </a:xfrm>
                    <a:prstGeom prst="rect">
                      <a:avLst/>
                    </a:prstGeom>
                    <a:noFill/>
                    <a:ln>
                      <a:noFill/>
                    </a:ln>
                  </pic:spPr>
                </pic:pic>
              </a:graphicData>
            </a:graphic>
          </wp:inline>
        </w:drawing>
      </w: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附件11 SRM系统供应商用户手册</w:t>
      </w:r>
    </w:p>
    <w:p>
      <w:pPr>
        <w:snapToGrid/>
        <w:spacing w:before="0" w:after="0" w:line="360" w:lineRule="auto"/>
        <w:ind w:left="0" w:right="0" w:firstLine="0"/>
        <w:jc w:val="both"/>
        <w:rPr>
          <w:rStyle w:val="38"/>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pPr>
        <w:pStyle w:val="2"/>
        <w:rPr>
          <w:rFonts w:hint="eastAsia"/>
        </w:rPr>
      </w:pPr>
      <w:r>
        <w:rPr>
          <w:rFonts w:hint="eastAsia"/>
          <w:sz w:val="24"/>
          <w:highlight w:val="none"/>
        </w:rPr>
        <w:t>初始密码为scm@2022或@2023</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rPr>
          <w:rFonts w:hint="default" w:hAnsi="宋体"/>
          <w:sz w:val="24"/>
          <w:lang w:val="en-US"/>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8"/>
                    <a:stretch>
                      <a:fillRect/>
                    </a:stretch>
                  </pic:blipFill>
                  <pic:spPr>
                    <a:xfrm>
                      <a:off x="0" y="0"/>
                      <a:ext cx="5760085" cy="1956600"/>
                    </a:xfrm>
                    <a:prstGeom prst="rect">
                      <a:avLst/>
                    </a:prstGeom>
                  </pic:spPr>
                </pic:pic>
              </a:graphicData>
            </a:graphic>
          </wp:inline>
        </w:drawing>
      </w:r>
    </w:p>
    <w:sectPr>
      <w:headerReference r:id="rId19" w:type="first"/>
      <w:footerReference r:id="rId21" w:type="first"/>
      <w:footerReference r:id="rId2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9"/>
      <w:jc w:val="center"/>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7A305"/>
    <w:multiLevelType w:val="singleLevel"/>
    <w:tmpl w:val="84B7A305"/>
    <w:lvl w:ilvl="0" w:tentative="0">
      <w:start w:val="1"/>
      <w:numFmt w:val="chineseCounting"/>
      <w:suff w:val="nothing"/>
      <w:lvlText w:val="%1、"/>
      <w:lvlJc w:val="left"/>
      <w:pPr>
        <w:ind w:left="900" w:leftChars="0" w:firstLine="0" w:firstLineChars="0"/>
      </w:pPr>
      <w:rPr>
        <w:rFonts w:hint="eastAsia"/>
      </w:rPr>
    </w:lvl>
  </w:abstractNum>
  <w:abstractNum w:abstractNumId="1">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6">
    <w:nsid w:val="C6C94E46"/>
    <w:multiLevelType w:val="multilevel"/>
    <w:tmpl w:val="C6C94E46"/>
    <w:lvl w:ilvl="0" w:tentative="0">
      <w:start w:val="1"/>
      <w:numFmt w:val="decimal"/>
      <w:lvlText w:val="%1."/>
      <w:lvlJc w:val="left"/>
      <w:pPr>
        <w:ind w:left="425" w:hanging="425"/>
      </w:pPr>
      <w:rPr>
        <w:rFonts w:hint="default"/>
      </w:rPr>
    </w:lvl>
    <w:lvl w:ilvl="1" w:tentative="0">
      <w:start w:val="1"/>
      <w:numFmt w:val="decimal"/>
      <w:suff w:val="nothing"/>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F54BF83F"/>
    <w:multiLevelType w:val="singleLevel"/>
    <w:tmpl w:val="F54BF83F"/>
    <w:lvl w:ilvl="0" w:tentative="0">
      <w:start w:val="1"/>
      <w:numFmt w:val="decimal"/>
      <w:suff w:val="space"/>
      <w:lvlText w:val="%1."/>
      <w:lvlJc w:val="left"/>
      <w:pPr>
        <w:ind w:left="0" w:firstLine="0"/>
      </w:p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3BE6C3E"/>
    <w:multiLevelType w:val="singleLevel"/>
    <w:tmpl w:val="03BE6C3E"/>
    <w:lvl w:ilvl="0" w:tentative="0">
      <w:start w:val="1"/>
      <w:numFmt w:val="decimal"/>
      <w:suff w:val="nothing"/>
      <w:lvlText w:val="(%1)"/>
      <w:lvlJc w:val="left"/>
      <w:pPr>
        <w:ind w:left="425" w:hanging="425"/>
      </w:pPr>
      <w:rPr>
        <w:rFonts w:hint="default"/>
        <w:color w:val="auto"/>
        <w:highlight w:val="none"/>
      </w:rPr>
    </w:lvl>
  </w:abstractNum>
  <w:abstractNum w:abstractNumId="14">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6">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12D9A626"/>
    <w:multiLevelType w:val="singleLevel"/>
    <w:tmpl w:val="12D9A626"/>
    <w:lvl w:ilvl="0" w:tentative="0">
      <w:start w:val="3"/>
      <w:numFmt w:val="chineseCounting"/>
      <w:suff w:val="nothing"/>
      <w:lvlText w:val="第%1部分　"/>
      <w:lvlJc w:val="left"/>
      <w:rPr>
        <w:rFonts w:hint="eastAsia"/>
      </w:rPr>
    </w:lvl>
  </w:abstractNum>
  <w:abstractNum w:abstractNumId="18">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9">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20">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1A494D57"/>
    <w:multiLevelType w:val="singleLevel"/>
    <w:tmpl w:val="1A494D57"/>
    <w:lvl w:ilvl="0" w:tentative="0">
      <w:start w:val="1"/>
      <w:numFmt w:val="decimal"/>
      <w:suff w:val="nothing"/>
      <w:lvlText w:val="%1、"/>
      <w:lvlJc w:val="left"/>
    </w:lvl>
  </w:abstractNum>
  <w:abstractNum w:abstractNumId="22">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3">
    <w:nsid w:val="2D9641B8"/>
    <w:multiLevelType w:val="singleLevel"/>
    <w:tmpl w:val="2D9641B8"/>
    <w:lvl w:ilvl="0" w:tentative="0">
      <w:start w:val="1"/>
      <w:numFmt w:val="decimal"/>
      <w:suff w:val="nothing"/>
      <w:lvlText w:val="(%1)"/>
      <w:lvlJc w:val="left"/>
      <w:pPr>
        <w:ind w:left="425" w:hanging="425"/>
      </w:pPr>
      <w:rPr>
        <w:rFonts w:hint="default"/>
      </w:rPr>
    </w:lvl>
  </w:abstractNum>
  <w:abstractNum w:abstractNumId="24">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4AF0723E"/>
    <w:multiLevelType w:val="singleLevel"/>
    <w:tmpl w:val="4AF0723E"/>
    <w:lvl w:ilvl="0" w:tentative="0">
      <w:start w:val="2"/>
      <w:numFmt w:val="chineseCounting"/>
      <w:suff w:val="nothing"/>
      <w:lvlText w:val="%1、"/>
      <w:lvlJc w:val="left"/>
      <w:rPr>
        <w:rFonts w:hint="eastAsia"/>
      </w:rPr>
    </w:lvl>
  </w:abstractNum>
  <w:abstractNum w:abstractNumId="26">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9">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0">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31">
    <w:nsid w:val="5A6836EF"/>
    <w:multiLevelType w:val="singleLevel"/>
    <w:tmpl w:val="5A6836EF"/>
    <w:lvl w:ilvl="0" w:tentative="0">
      <w:start w:val="1"/>
      <w:numFmt w:val="decimal"/>
      <w:suff w:val="nothing"/>
      <w:lvlText w:val="%1."/>
      <w:lvlJc w:val="left"/>
      <w:pPr>
        <w:ind w:left="0" w:firstLine="0"/>
      </w:pPr>
    </w:lvl>
  </w:abstractNum>
  <w:abstractNum w:abstractNumId="32">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3">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4">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68B4AE9D"/>
    <w:multiLevelType w:val="singleLevel"/>
    <w:tmpl w:val="68B4AE9D"/>
    <w:lvl w:ilvl="0" w:tentative="0">
      <w:start w:val="2"/>
      <w:numFmt w:val="decimal"/>
      <w:suff w:val="nothing"/>
      <w:lvlText w:val="（%1）"/>
      <w:lvlJc w:val="left"/>
    </w:lvl>
  </w:abstractNum>
  <w:abstractNum w:abstractNumId="3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6"/>
  </w:num>
  <w:num w:numId="2">
    <w:abstractNumId w:val="34"/>
  </w:num>
  <w:num w:numId="3">
    <w:abstractNumId w:val="29"/>
  </w:num>
  <w:num w:numId="4">
    <w:abstractNumId w:val="27"/>
  </w:num>
  <w:num w:numId="5">
    <w:abstractNumId w:val="14"/>
  </w:num>
  <w:num w:numId="6">
    <w:abstractNumId w:val="19"/>
  </w:num>
  <w:num w:numId="7">
    <w:abstractNumId w:val="22"/>
  </w:num>
  <w:num w:numId="8">
    <w:abstractNumId w:val="28"/>
  </w:num>
  <w:num w:numId="9">
    <w:abstractNumId w:val="30"/>
  </w:num>
  <w:num w:numId="10">
    <w:abstractNumId w:val="18"/>
  </w:num>
  <w:num w:numId="11">
    <w:abstractNumId w:val="5"/>
  </w:num>
  <w:num w:numId="12">
    <w:abstractNumId w:val="16"/>
  </w:num>
  <w:num w:numId="13">
    <w:abstractNumId w:val="36"/>
  </w:num>
  <w:num w:numId="14">
    <w:abstractNumId w:val="1"/>
  </w:num>
  <w:num w:numId="15">
    <w:abstractNumId w:val="7"/>
  </w:num>
  <w:num w:numId="16">
    <w:abstractNumId w:val="8"/>
  </w:num>
  <w:num w:numId="17">
    <w:abstractNumId w:val="4"/>
  </w:num>
  <w:num w:numId="18">
    <w:abstractNumId w:val="15"/>
  </w:num>
  <w:num w:numId="19">
    <w:abstractNumId w:val="20"/>
  </w:num>
  <w:num w:numId="20">
    <w:abstractNumId w:val="3"/>
  </w:num>
  <w:num w:numId="21">
    <w:abstractNumId w:val="33"/>
  </w:num>
  <w:num w:numId="22">
    <w:abstractNumId w:val="9"/>
  </w:num>
  <w:num w:numId="23">
    <w:abstractNumId w:val="32"/>
  </w:num>
  <w:num w:numId="24">
    <w:abstractNumId w:val="10"/>
  </w:num>
  <w:num w:numId="25">
    <w:abstractNumId w:val="2"/>
  </w:num>
  <w:num w:numId="26">
    <w:abstractNumId w:val="24"/>
  </w:num>
  <w:num w:numId="27">
    <w:abstractNumId w:val="31"/>
  </w:num>
  <w:num w:numId="28">
    <w:abstractNumId w:val="6"/>
  </w:num>
  <w:num w:numId="29">
    <w:abstractNumId w:val="0"/>
  </w:num>
  <w:num w:numId="30">
    <w:abstractNumId w:val="21"/>
  </w:num>
  <w:num w:numId="31">
    <w:abstractNumId w:val="35"/>
  </w:num>
  <w:num w:numId="32">
    <w:abstractNumId w:val="23"/>
  </w:num>
  <w:num w:numId="33">
    <w:abstractNumId w:val="13"/>
  </w:num>
  <w:num w:numId="34">
    <w:abstractNumId w:val="17"/>
  </w:num>
  <w:num w:numId="35">
    <w:abstractNumId w:val="12"/>
  </w:num>
  <w:num w:numId="36">
    <w:abstractNumId w:val="1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96F15"/>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B40D3"/>
    <w:rsid w:val="01563B79"/>
    <w:rsid w:val="02173A21"/>
    <w:rsid w:val="02CC3DCA"/>
    <w:rsid w:val="02FE76EF"/>
    <w:rsid w:val="034E1239"/>
    <w:rsid w:val="03F033B0"/>
    <w:rsid w:val="05612989"/>
    <w:rsid w:val="057C1D39"/>
    <w:rsid w:val="05891259"/>
    <w:rsid w:val="05D554DB"/>
    <w:rsid w:val="0654565B"/>
    <w:rsid w:val="07253DF6"/>
    <w:rsid w:val="07613623"/>
    <w:rsid w:val="07C1191B"/>
    <w:rsid w:val="08633479"/>
    <w:rsid w:val="09630A6C"/>
    <w:rsid w:val="0A63147A"/>
    <w:rsid w:val="0ADB2EF0"/>
    <w:rsid w:val="0ADD4CBE"/>
    <w:rsid w:val="0B415BB4"/>
    <w:rsid w:val="0C83309C"/>
    <w:rsid w:val="0CB51572"/>
    <w:rsid w:val="0D01045C"/>
    <w:rsid w:val="0DA915A6"/>
    <w:rsid w:val="0DE73E36"/>
    <w:rsid w:val="0E4D31E3"/>
    <w:rsid w:val="0E530E38"/>
    <w:rsid w:val="10DC2AA3"/>
    <w:rsid w:val="10FA7C8C"/>
    <w:rsid w:val="12174CE2"/>
    <w:rsid w:val="121D1E44"/>
    <w:rsid w:val="12F64B6E"/>
    <w:rsid w:val="130B198F"/>
    <w:rsid w:val="13FA68E0"/>
    <w:rsid w:val="15BB1367"/>
    <w:rsid w:val="168618F8"/>
    <w:rsid w:val="16A918E4"/>
    <w:rsid w:val="176735F1"/>
    <w:rsid w:val="17D966D6"/>
    <w:rsid w:val="18146E94"/>
    <w:rsid w:val="18945E62"/>
    <w:rsid w:val="19517BDA"/>
    <w:rsid w:val="19581095"/>
    <w:rsid w:val="19AE68D1"/>
    <w:rsid w:val="19E33213"/>
    <w:rsid w:val="1A463A67"/>
    <w:rsid w:val="1B481CDF"/>
    <w:rsid w:val="1BA3160C"/>
    <w:rsid w:val="1BC71D3B"/>
    <w:rsid w:val="1C59115B"/>
    <w:rsid w:val="1CCA5049"/>
    <w:rsid w:val="1D495EC4"/>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4AB04CD"/>
    <w:rsid w:val="25113A8A"/>
    <w:rsid w:val="25EC6AF8"/>
    <w:rsid w:val="268B0052"/>
    <w:rsid w:val="26CF6817"/>
    <w:rsid w:val="272557E1"/>
    <w:rsid w:val="272A6A1B"/>
    <w:rsid w:val="27743C90"/>
    <w:rsid w:val="27B358EA"/>
    <w:rsid w:val="283931F7"/>
    <w:rsid w:val="284A307C"/>
    <w:rsid w:val="28693340"/>
    <w:rsid w:val="28B55739"/>
    <w:rsid w:val="28CE6296"/>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7E71B4"/>
    <w:rsid w:val="35D271A0"/>
    <w:rsid w:val="36254FE4"/>
    <w:rsid w:val="36AA39B8"/>
    <w:rsid w:val="372F61E0"/>
    <w:rsid w:val="39322FCA"/>
    <w:rsid w:val="3A503E1E"/>
    <w:rsid w:val="3AB90991"/>
    <w:rsid w:val="3B706131"/>
    <w:rsid w:val="3BF833EC"/>
    <w:rsid w:val="3C8E02FC"/>
    <w:rsid w:val="3D3346FD"/>
    <w:rsid w:val="3DE11DF4"/>
    <w:rsid w:val="3E6F041E"/>
    <w:rsid w:val="3E846635"/>
    <w:rsid w:val="3EC02A3D"/>
    <w:rsid w:val="3F9D2397"/>
    <w:rsid w:val="40AC20A0"/>
    <w:rsid w:val="41A5482C"/>
    <w:rsid w:val="426E2505"/>
    <w:rsid w:val="4275481E"/>
    <w:rsid w:val="428B617A"/>
    <w:rsid w:val="42CE288A"/>
    <w:rsid w:val="433D7BDC"/>
    <w:rsid w:val="437E1813"/>
    <w:rsid w:val="43A427AA"/>
    <w:rsid w:val="43E96A97"/>
    <w:rsid w:val="444E2202"/>
    <w:rsid w:val="45354CBC"/>
    <w:rsid w:val="45BD47FC"/>
    <w:rsid w:val="45CC5FB2"/>
    <w:rsid w:val="46B75BA8"/>
    <w:rsid w:val="46E91D19"/>
    <w:rsid w:val="476E5648"/>
    <w:rsid w:val="47DE0683"/>
    <w:rsid w:val="48C97955"/>
    <w:rsid w:val="48D805C0"/>
    <w:rsid w:val="492E2C7C"/>
    <w:rsid w:val="49880C8F"/>
    <w:rsid w:val="4A1A43A3"/>
    <w:rsid w:val="4A2007F8"/>
    <w:rsid w:val="4A8835F7"/>
    <w:rsid w:val="4AB619BA"/>
    <w:rsid w:val="4B592E71"/>
    <w:rsid w:val="4BFA7044"/>
    <w:rsid w:val="4D595294"/>
    <w:rsid w:val="4DF75369"/>
    <w:rsid w:val="4E66127B"/>
    <w:rsid w:val="4E9E572E"/>
    <w:rsid w:val="4EA23B01"/>
    <w:rsid w:val="4EB0217D"/>
    <w:rsid w:val="4F8B220C"/>
    <w:rsid w:val="504F4EAF"/>
    <w:rsid w:val="516C4BAA"/>
    <w:rsid w:val="517C2B55"/>
    <w:rsid w:val="51D51447"/>
    <w:rsid w:val="52B9239A"/>
    <w:rsid w:val="52D52A7F"/>
    <w:rsid w:val="54287EA1"/>
    <w:rsid w:val="54BD78FD"/>
    <w:rsid w:val="552A3C28"/>
    <w:rsid w:val="555A2DA3"/>
    <w:rsid w:val="555B06B0"/>
    <w:rsid w:val="56901A99"/>
    <w:rsid w:val="571B2939"/>
    <w:rsid w:val="581925FA"/>
    <w:rsid w:val="58A86DDE"/>
    <w:rsid w:val="59154AD7"/>
    <w:rsid w:val="5A542AB4"/>
    <w:rsid w:val="5ADF548D"/>
    <w:rsid w:val="5BF95104"/>
    <w:rsid w:val="5C4627AE"/>
    <w:rsid w:val="5C9249CA"/>
    <w:rsid w:val="5D5C60B4"/>
    <w:rsid w:val="5DA23E51"/>
    <w:rsid w:val="5E5B22B9"/>
    <w:rsid w:val="5EB41BD3"/>
    <w:rsid w:val="5F9B694B"/>
    <w:rsid w:val="60027C70"/>
    <w:rsid w:val="60367925"/>
    <w:rsid w:val="60651FB9"/>
    <w:rsid w:val="614E12EC"/>
    <w:rsid w:val="616D6769"/>
    <w:rsid w:val="62BD60DC"/>
    <w:rsid w:val="63F04A69"/>
    <w:rsid w:val="646A3D0C"/>
    <w:rsid w:val="64A82747"/>
    <w:rsid w:val="65336B29"/>
    <w:rsid w:val="66526AE4"/>
    <w:rsid w:val="66A50B1E"/>
    <w:rsid w:val="67095CF1"/>
    <w:rsid w:val="674E3DF4"/>
    <w:rsid w:val="67B2063C"/>
    <w:rsid w:val="67C97AC3"/>
    <w:rsid w:val="67D5595A"/>
    <w:rsid w:val="67DD0DA5"/>
    <w:rsid w:val="67E30EC1"/>
    <w:rsid w:val="690861D7"/>
    <w:rsid w:val="695D046C"/>
    <w:rsid w:val="6A4E3B2B"/>
    <w:rsid w:val="6AC838A9"/>
    <w:rsid w:val="6AED682D"/>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5C1616F"/>
    <w:rsid w:val="764F7753"/>
    <w:rsid w:val="76AC3757"/>
    <w:rsid w:val="7714326D"/>
    <w:rsid w:val="77D4005C"/>
    <w:rsid w:val="78292927"/>
    <w:rsid w:val="78D35C78"/>
    <w:rsid w:val="78D62583"/>
    <w:rsid w:val="78F33EC6"/>
    <w:rsid w:val="78F37D6B"/>
    <w:rsid w:val="7A6B48EE"/>
    <w:rsid w:val="7A8E4ACC"/>
    <w:rsid w:val="7B8A3D70"/>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12"/>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styleId="3">
    <w:name w:val="Body Text Indent"/>
    <w:basedOn w:val="1"/>
    <w:link w:val="50"/>
    <w:semiHidden/>
    <w:qFormat/>
    <w:uiPriority w:val="0"/>
    <w:pPr>
      <w:spacing w:after="120"/>
      <w:ind w:left="420" w:leftChars="200"/>
    </w:pPr>
    <w:rPr>
      <w:rFonts w:ascii="Calibri" w:hAnsi="Calibri"/>
      <w:szCs w:val="22"/>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Normal Indent"/>
    <w:basedOn w:val="1"/>
    <w:next w:val="1"/>
    <w:unhideWhenUsed/>
    <w:qFormat/>
    <w:uiPriority w:val="99"/>
    <w:pPr>
      <w:tabs>
        <w:tab w:val="left" w:pos="1620"/>
      </w:tabs>
      <w:autoSpaceDE w:val="0"/>
      <w:autoSpaceDN w:val="0"/>
      <w:adjustRightInd w:val="0"/>
      <w:snapToGrid w:val="0"/>
      <w:spacing w:line="360" w:lineRule="auto"/>
      <w:ind w:firstLine="920" w:firstLineChars="200"/>
    </w:pPr>
    <w:rPr>
      <w:rFonts w:ascii="宋体" w:hAnsi="宋体" w:cs="宋体"/>
      <w:lang w:val="zh-CN"/>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7"/>
    <w:qFormat/>
    <w:uiPriority w:val="99"/>
    <w:pPr>
      <w:jc w:val="left"/>
    </w:p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2"/>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9"/>
    <w:semiHidden/>
    <w:qFormat/>
    <w:uiPriority w:val="0"/>
    <w:rPr>
      <w:sz w:val="18"/>
      <w:szCs w:val="18"/>
    </w:rPr>
  </w:style>
  <w:style w:type="paragraph" w:styleId="19">
    <w:name w:val="footer"/>
    <w:basedOn w:val="1"/>
    <w:link w:val="44"/>
    <w:semiHidden/>
    <w:qFormat/>
    <w:uiPriority w:val="0"/>
    <w:pPr>
      <w:tabs>
        <w:tab w:val="center" w:pos="4153"/>
        <w:tab w:val="right" w:pos="8306"/>
      </w:tabs>
      <w:snapToGrid w:val="0"/>
      <w:jc w:val="left"/>
    </w:pPr>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5"/>
    <w:semiHidden/>
    <w:qFormat/>
    <w:uiPriority w:val="98"/>
    <w:rPr>
      <w:b/>
      <w:bCs/>
    </w:rPr>
  </w:style>
  <w:style w:type="paragraph" w:styleId="30">
    <w:name w:val="Body Text First Indent 2"/>
    <w:basedOn w:val="3"/>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19"/>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3"/>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18"/>
    <w:semiHidden/>
    <w:qFormat/>
    <w:uiPriority w:val="98"/>
    <w:rPr>
      <w:kern w:val="2"/>
      <w:sz w:val="18"/>
      <w:szCs w:val="18"/>
    </w:rPr>
  </w:style>
  <w:style w:type="character" w:customStyle="1" w:styleId="50">
    <w:name w:val="正文文本缩进 字符"/>
    <w:link w:val="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5"/>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7"/>
    <w:semiHidden/>
    <w:qFormat/>
    <w:uiPriority w:val="0"/>
    <w:rPr>
      <w:rFonts w:ascii="Arial" w:hAnsi="Arial"/>
      <w:b/>
      <w:bCs/>
      <w:kern w:val="2"/>
      <w:sz w:val="21"/>
      <w:szCs w:val="28"/>
    </w:rPr>
  </w:style>
  <w:style w:type="character" w:customStyle="1" w:styleId="79">
    <w:name w:val="标题 5 字符"/>
    <w:basedOn w:val="33"/>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5"/>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2"/>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标题 3 Char"/>
    <w:link w:val="6"/>
    <w:qFormat/>
    <w:uiPriority w:val="0"/>
    <w:rPr>
      <w:b/>
      <w:sz w:val="32"/>
    </w:rPr>
  </w:style>
  <w:style w:type="paragraph" w:customStyle="1" w:styleId="113">
    <w:name w:val="Table Paragraph"/>
    <w:basedOn w:val="1"/>
    <w:qFormat/>
    <w:uiPriority w:val="1"/>
    <w:rPr>
      <w:rFonts w:ascii="宋体" w:hAnsi="宋体" w:eastAsia="宋体" w:cs="宋体"/>
    </w:rPr>
  </w:style>
  <w:style w:type="table" w:customStyle="1" w:styleId="114">
    <w:name w:val="Table Normal"/>
    <w:qFormat/>
    <w:uiPriority w:val="0"/>
    <w:tblPr>
      <w:tblCellMar>
        <w:top w:w="0" w:type="dxa"/>
        <w:left w:w="0" w:type="dxa"/>
        <w:bottom w:w="0" w:type="dxa"/>
        <w:right w:w="0" w:type="dxa"/>
      </w:tblCellMar>
    </w:tblPr>
  </w:style>
  <w:style w:type="paragraph" w:customStyle="1" w:styleId="115">
    <w:name w:val="Fließtext"/>
    <w:basedOn w:val="1"/>
    <w:qFormat/>
    <w:uiPriority w:val="99"/>
    <w:pPr>
      <w:widowControl/>
      <w:ind w:left="1134"/>
      <w:jc w:val="left"/>
    </w:pPr>
    <w:rPr>
      <w:rFonts w:ascii="Arial" w:hAnsi="Arial"/>
      <w:kern w:val="0"/>
      <w:szCs w:val="20"/>
      <w:lang w:val="de-DE" w:eastAsia="de-DE"/>
    </w:rPr>
  </w:style>
  <w:style w:type="paragraph" w:customStyle="1" w:styleId="116">
    <w:name w:val="标书一级标题"/>
    <w:basedOn w:val="4"/>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68</Pages>
  <Words>5842</Words>
  <Characters>6100</Characters>
  <Lines>127</Lines>
  <Paragraphs>35</Paragraphs>
  <TotalTime>11</TotalTime>
  <ScaleCrop>false</ScaleCrop>
  <LinksUpToDate>false</LinksUpToDate>
  <CharactersWithSpaces>6143</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LYB</cp:lastModifiedBy>
  <cp:lastPrinted>2020-06-28T02:28:00Z</cp:lastPrinted>
  <dcterms:modified xsi:type="dcterms:W3CDTF">2026-02-06T00:49:17Z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5770AFE259C24926BC2DCE64DD7C2079</vt:lpwstr>
  </property>
  <property fmtid="{D5CDD505-2E9C-101B-9397-08002B2CF9AE}" pid="4" name="KSOTemplateDocerSaveRecord">
    <vt:lpwstr>eyJoZGlkIjoiOWNjM2RhOWFiYzZkZTE3YjU5Zjc5MWMwNTQ1NDBiMWQiLCJ1c2VySWQiOiI0MzkzNDMzOTAifQ==</vt:lpwstr>
  </property>
</Properties>
</file>