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41C26">
      <w:pPr>
        <w:jc w:val="center"/>
        <w:rPr>
          <w:rFonts w:eastAsia="黑体"/>
          <w:sz w:val="28"/>
          <w:szCs w:val="28"/>
        </w:rPr>
      </w:pPr>
      <w:r>
        <w:rPr>
          <w:rFonts w:hint="eastAsia" w:eastAsia="黑体"/>
          <w:b/>
          <w:bCs/>
          <w:sz w:val="36"/>
          <w:szCs w:val="36"/>
        </w:rPr>
        <w:t>招 标 公 告</w:t>
      </w:r>
    </w:p>
    <w:p w14:paraId="5830D764">
      <w:pPr>
        <w:spacing w:line="360" w:lineRule="auto"/>
        <w:rPr>
          <w:rFonts w:ascii="黑体" w:hAnsi="Courier New"/>
          <w:b/>
          <w:bCs/>
          <w:sz w:val="28"/>
          <w:szCs w:val="28"/>
        </w:rPr>
      </w:pPr>
      <w:r>
        <w:rPr>
          <w:rFonts w:hint="eastAsia"/>
          <w:b/>
          <w:bCs/>
          <w:sz w:val="28"/>
          <w:szCs w:val="28"/>
        </w:rPr>
        <w:t>一、项目名称及发标方</w:t>
      </w:r>
    </w:p>
    <w:p w14:paraId="15B914C9">
      <w:pPr>
        <w:spacing w:line="420" w:lineRule="exact"/>
        <w:ind w:firstLine="480" w:firstLineChars="200"/>
        <w:rPr>
          <w:rFonts w:hint="eastAsia"/>
          <w:color w:val="000000"/>
          <w:sz w:val="24"/>
          <w:szCs w:val="24"/>
        </w:rPr>
      </w:pPr>
      <w:r>
        <w:rPr>
          <w:rFonts w:hint="eastAsia"/>
          <w:color w:val="000000"/>
          <w:sz w:val="24"/>
          <w:szCs w:val="24"/>
        </w:rPr>
        <w:t>项目名称：</w:t>
      </w:r>
      <w:r>
        <w:rPr>
          <w:rFonts w:hint="eastAsia"/>
          <w:color w:val="000000"/>
          <w:sz w:val="24"/>
          <w:szCs w:val="24"/>
          <w:highlight w:val="green"/>
          <w:lang w:val="en-US" w:eastAsia="zh-CN"/>
        </w:rPr>
        <w:t>桥壳冲焊车间</w:t>
      </w:r>
      <w:r>
        <w:rPr>
          <w:rFonts w:hint="eastAsia"/>
          <w:color w:val="000000"/>
          <w:sz w:val="24"/>
          <w:szCs w:val="24"/>
          <w:highlight w:val="green"/>
        </w:rPr>
        <w:t>点固后盖装焊夹具招标</w:t>
      </w:r>
    </w:p>
    <w:p w14:paraId="4E564564">
      <w:pPr>
        <w:spacing w:line="420" w:lineRule="exact"/>
        <w:ind w:firstLine="480" w:firstLineChars="200"/>
        <w:rPr>
          <w:rFonts w:hint="eastAsia"/>
          <w:color w:val="000000"/>
          <w:sz w:val="24"/>
          <w:szCs w:val="24"/>
        </w:rPr>
      </w:pPr>
      <w:r>
        <w:rPr>
          <w:rFonts w:hint="eastAsia"/>
          <w:color w:val="000000"/>
          <w:sz w:val="24"/>
          <w:szCs w:val="24"/>
        </w:rPr>
        <w:t>发标方：重汽（济南）车桥有限公司</w:t>
      </w:r>
    </w:p>
    <w:p w14:paraId="3EC4DC0D">
      <w:pPr>
        <w:rPr>
          <w:rFonts w:hint="eastAsia"/>
          <w:b/>
          <w:bCs/>
          <w:color w:val="000000"/>
          <w:spacing w:val="-8"/>
          <w:sz w:val="28"/>
          <w:szCs w:val="28"/>
        </w:rPr>
      </w:pPr>
      <w:r>
        <w:rPr>
          <w:rFonts w:hint="eastAsia"/>
          <w:b/>
          <w:bCs/>
          <w:sz w:val="28"/>
          <w:szCs w:val="28"/>
        </w:rPr>
        <w:t>二、招标内容及形式</w:t>
      </w:r>
    </w:p>
    <w:p w14:paraId="3E7E14E3">
      <w:pPr>
        <w:pStyle w:val="5"/>
        <w:spacing w:line="360" w:lineRule="auto"/>
        <w:ind w:firstLine="480" w:firstLineChars="200"/>
        <w:rPr>
          <w:color w:val="000000"/>
          <w:sz w:val="24"/>
          <w:szCs w:val="24"/>
          <w:highlight w:val="green"/>
        </w:rPr>
      </w:pPr>
      <w:r>
        <w:rPr>
          <w:rFonts w:hint="eastAsia"/>
          <w:color w:val="000000"/>
          <w:sz w:val="24"/>
          <w:szCs w:val="24"/>
        </w:rPr>
        <w:t>1、招标内容：</w:t>
      </w:r>
      <w:r>
        <w:rPr>
          <w:rFonts w:hint="eastAsia"/>
          <w:color w:val="000000"/>
          <w:sz w:val="24"/>
          <w:szCs w:val="24"/>
          <w:highlight w:val="green"/>
          <w:lang w:val="en-US" w:eastAsia="zh-CN"/>
        </w:rPr>
        <w:t>桥壳冲焊车间</w:t>
      </w:r>
      <w:r>
        <w:rPr>
          <w:rFonts w:hint="eastAsia"/>
          <w:color w:val="000000"/>
          <w:sz w:val="24"/>
          <w:szCs w:val="24"/>
          <w:highlight w:val="green"/>
        </w:rPr>
        <w:t>点固后盖装焊夹具</w:t>
      </w:r>
    </w:p>
    <w:tbl>
      <w:tblPr>
        <w:tblStyle w:val="10"/>
        <w:tblpPr w:leftFromText="180" w:rightFromText="180" w:vertAnchor="text" w:horzAnchor="page" w:tblpX="1839" w:tblpY="39"/>
        <w:tblOverlap w:val="never"/>
        <w:tblW w:w="8480" w:type="dxa"/>
        <w:tblInd w:w="0" w:type="dxa"/>
        <w:tblLayout w:type="fixed"/>
        <w:tblCellMar>
          <w:top w:w="0" w:type="dxa"/>
          <w:left w:w="108" w:type="dxa"/>
          <w:bottom w:w="0" w:type="dxa"/>
          <w:right w:w="108" w:type="dxa"/>
        </w:tblCellMar>
      </w:tblPr>
      <w:tblGrid>
        <w:gridCol w:w="534"/>
        <w:gridCol w:w="1056"/>
        <w:gridCol w:w="1533"/>
        <w:gridCol w:w="1605"/>
        <w:gridCol w:w="848"/>
        <w:gridCol w:w="2904"/>
      </w:tblGrid>
      <w:tr w14:paraId="23C6C6E9">
        <w:tblPrEx>
          <w:tblCellMar>
            <w:top w:w="0" w:type="dxa"/>
            <w:left w:w="108" w:type="dxa"/>
            <w:bottom w:w="0" w:type="dxa"/>
            <w:right w:w="108" w:type="dxa"/>
          </w:tblCellMar>
        </w:tblPrEx>
        <w:trPr>
          <w:trHeight w:val="90"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43A717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894A1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SAP物料号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324D41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工装名称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A0FDF8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工装编号</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312EC7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数量（套）</w:t>
            </w:r>
          </w:p>
        </w:tc>
        <w:tc>
          <w:tcPr>
            <w:tcW w:w="2904" w:type="dxa"/>
            <w:tcBorders>
              <w:top w:val="single" w:color="000000" w:sz="4" w:space="0"/>
              <w:left w:val="single" w:color="000000" w:sz="4" w:space="0"/>
              <w:bottom w:val="single" w:color="000000" w:sz="4" w:space="0"/>
              <w:right w:val="single" w:color="000000" w:sz="4" w:space="0"/>
            </w:tcBorders>
            <w:noWrap w:val="0"/>
            <w:vAlign w:val="center"/>
          </w:tcPr>
          <w:p w14:paraId="052E36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 注</w:t>
            </w:r>
          </w:p>
        </w:tc>
      </w:tr>
      <w:tr w14:paraId="7D0B36BF">
        <w:tblPrEx>
          <w:tblCellMar>
            <w:top w:w="0" w:type="dxa"/>
            <w:left w:w="108" w:type="dxa"/>
            <w:bottom w:w="0" w:type="dxa"/>
            <w:right w:w="108" w:type="dxa"/>
          </w:tblCellMar>
        </w:tblPrEx>
        <w:trPr>
          <w:trHeight w:val="12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5D1C4">
            <w:pPr>
              <w:widowControl/>
              <w:jc w:val="center"/>
              <w:textAlignment w:val="center"/>
              <w:rPr>
                <w:rFonts w:hint="eastAsia"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8"/>
                <w:highlight w:val="green"/>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7396B">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8"/>
                <w:highlight w:val="green"/>
                <w:lang w:bidi="ar"/>
              </w:rPr>
              <w:t>1493688</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7D2F5">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1"/>
                <w:highlight w:val="green"/>
                <w:lang w:bidi="ar"/>
              </w:rPr>
              <w:t>装焊夹具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2C11A">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8"/>
                <w:highlight w:val="green"/>
                <w:lang w:bidi="ar"/>
              </w:rPr>
              <w:t>QX7703-00225</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30320">
            <w:pPr>
              <w:widowControl/>
              <w:jc w:val="center"/>
              <w:textAlignment w:val="center"/>
              <w:rPr>
                <w:rFonts w:hint="eastAsia"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1"/>
                <w:highlight w:val="green"/>
                <w:lang w:bidi="ar"/>
              </w:rPr>
              <w:t>1</w:t>
            </w:r>
          </w:p>
        </w:tc>
        <w:tc>
          <w:tcPr>
            <w:tcW w:w="290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2C952FB">
            <w:pPr>
              <w:widowControl/>
              <w:jc w:val="left"/>
              <w:textAlignment w:val="center"/>
              <w:rPr>
                <w:rFonts w:hint="eastAsia" w:ascii="宋体" w:hAnsi="宋体" w:eastAsia="宋体" w:cs="宋体"/>
                <w:color w:val="000000"/>
                <w:kern w:val="0"/>
                <w:sz w:val="24"/>
                <w:szCs w:val="24"/>
                <w:highlight w:val="green"/>
                <w:lang w:bidi="ar"/>
              </w:rPr>
            </w:pPr>
            <w:r>
              <w:rPr>
                <w:rFonts w:hint="eastAsia" w:ascii="宋体" w:hAnsi="宋体" w:eastAsia="宋体" w:cs="宋体"/>
                <w:color w:val="000000"/>
                <w:kern w:val="0"/>
                <w:sz w:val="21"/>
                <w:szCs w:val="21"/>
                <w:highlight w:val="green"/>
                <w:lang w:bidi="ar"/>
              </w:rPr>
              <w:t>根据技术协议和 《工艺装备设计任务书》 要求进行设计制作，如有不同，以高严格要求为准。</w:t>
            </w:r>
          </w:p>
        </w:tc>
      </w:tr>
    </w:tbl>
    <w:p w14:paraId="61AAB0D7">
      <w:pPr>
        <w:pStyle w:val="5"/>
        <w:numPr>
          <w:ilvl w:val="0"/>
          <w:numId w:val="1"/>
        </w:numPr>
        <w:spacing w:line="360" w:lineRule="auto"/>
        <w:ind w:firstLine="480" w:firstLineChars="200"/>
        <w:rPr>
          <w:rFonts w:hint="eastAsia"/>
          <w:b/>
          <w:bCs/>
          <w:sz w:val="28"/>
          <w:szCs w:val="28"/>
        </w:rPr>
      </w:pPr>
      <w:r>
        <w:rPr>
          <w:rFonts w:hint="eastAsia"/>
          <w:color w:val="000000"/>
          <w:sz w:val="24"/>
          <w:szCs w:val="24"/>
        </w:rPr>
        <w:t>招标形式：公开招标</w:t>
      </w:r>
    </w:p>
    <w:p w14:paraId="766FDA8F">
      <w:pPr>
        <w:pStyle w:val="5"/>
        <w:spacing w:line="360" w:lineRule="auto"/>
        <w:rPr>
          <w:rFonts w:hint="eastAsia"/>
          <w:b/>
          <w:bCs/>
          <w:color w:val="000000"/>
          <w:sz w:val="28"/>
          <w:szCs w:val="28"/>
        </w:rPr>
      </w:pPr>
      <w:r>
        <w:rPr>
          <w:rFonts w:hint="eastAsia"/>
          <w:b/>
          <w:bCs/>
          <w:sz w:val="28"/>
          <w:szCs w:val="28"/>
        </w:rPr>
        <w:t>三、交货及付款</w:t>
      </w:r>
    </w:p>
    <w:p w14:paraId="292E541A">
      <w:pPr>
        <w:pStyle w:val="5"/>
        <w:spacing w:line="360" w:lineRule="auto"/>
        <w:ind w:firstLine="480" w:firstLineChars="200"/>
        <w:rPr>
          <w:rFonts w:hint="eastAsia"/>
          <w:sz w:val="24"/>
          <w:szCs w:val="24"/>
        </w:rPr>
      </w:pPr>
      <w:r>
        <w:rPr>
          <w:rFonts w:hint="eastAsia" w:ascii="Times New Roman" w:hAnsi="Times New Roman"/>
          <w:sz w:val="24"/>
          <w:szCs w:val="24"/>
        </w:rPr>
        <w:t>1</w:t>
      </w:r>
      <w:r>
        <w:rPr>
          <w:rFonts w:hint="eastAsia"/>
          <w:sz w:val="24"/>
          <w:szCs w:val="24"/>
        </w:rPr>
        <w:t>、交货期：</w:t>
      </w:r>
      <w:r>
        <w:rPr>
          <w:rFonts w:hint="eastAsia"/>
          <w:sz w:val="24"/>
          <w:szCs w:val="24"/>
          <w:highlight w:val="green"/>
        </w:rPr>
        <w:t>自订单下发之日</w:t>
      </w:r>
      <w:r>
        <w:rPr>
          <w:rFonts w:hint="eastAsia" w:hAnsi="宋体" w:cs="宋体"/>
          <w:kern w:val="0"/>
          <w:sz w:val="24"/>
          <w:szCs w:val="24"/>
          <w:highlight w:val="green"/>
          <w:shd w:val="clear" w:color="auto" w:fill="FFFFFF"/>
          <w:lang w:bidi="ar"/>
        </w:rPr>
        <w:t>起</w:t>
      </w:r>
      <w:r>
        <w:rPr>
          <w:rFonts w:hint="eastAsia" w:hAnsi="宋体" w:cs="宋体"/>
          <w:kern w:val="0"/>
          <w:sz w:val="24"/>
          <w:szCs w:val="24"/>
          <w:highlight w:val="green"/>
          <w:shd w:val="clear" w:color="auto" w:fill="FFFFFF"/>
          <w:lang w:val="en-US" w:eastAsia="zh-CN" w:bidi="ar"/>
        </w:rPr>
        <w:t>60</w:t>
      </w:r>
      <w:r>
        <w:rPr>
          <w:rFonts w:hint="eastAsia"/>
          <w:sz w:val="24"/>
          <w:szCs w:val="24"/>
          <w:highlight w:val="green"/>
        </w:rPr>
        <w:t>天</w:t>
      </w:r>
      <w:r>
        <w:rPr>
          <w:rFonts w:hint="eastAsia"/>
          <w:sz w:val="24"/>
          <w:szCs w:val="24"/>
        </w:rPr>
        <w:t xml:space="preserve">。 </w:t>
      </w:r>
    </w:p>
    <w:p w14:paraId="4B4EE554">
      <w:pPr>
        <w:pStyle w:val="5"/>
        <w:spacing w:line="360" w:lineRule="auto"/>
        <w:ind w:firstLine="480" w:firstLineChars="200"/>
        <w:rPr>
          <w:rFonts w:hint="eastAsia"/>
          <w:color w:val="000000"/>
          <w:sz w:val="24"/>
          <w:szCs w:val="24"/>
        </w:rPr>
      </w:pPr>
      <w:r>
        <w:rPr>
          <w:rFonts w:hint="eastAsia" w:ascii="Times New Roman" w:hAnsi="Times New Roman"/>
          <w:color w:val="000000"/>
          <w:sz w:val="24"/>
          <w:szCs w:val="24"/>
        </w:rPr>
        <w:t>2</w:t>
      </w:r>
      <w:r>
        <w:rPr>
          <w:rFonts w:hint="eastAsia"/>
          <w:color w:val="000000"/>
          <w:sz w:val="24"/>
          <w:szCs w:val="24"/>
        </w:rPr>
        <w:t>、交货地点：济南市高新区世纪大道757号重汽（济南）车桥有限公司</w:t>
      </w:r>
    </w:p>
    <w:p w14:paraId="430EBB38">
      <w:pPr>
        <w:pStyle w:val="5"/>
        <w:spacing w:line="360" w:lineRule="auto"/>
        <w:ind w:firstLine="480" w:firstLineChars="200"/>
        <w:rPr>
          <w:rFonts w:hint="eastAsia"/>
          <w:color w:val="000000"/>
          <w:sz w:val="24"/>
          <w:szCs w:val="24"/>
        </w:rPr>
      </w:pPr>
      <w:r>
        <w:rPr>
          <w:rFonts w:hint="eastAsia" w:ascii="Times New Roman" w:hAnsi="Times New Roman"/>
          <w:color w:val="000000"/>
          <w:sz w:val="24"/>
          <w:szCs w:val="24"/>
        </w:rPr>
        <w:t>3</w:t>
      </w:r>
      <w:r>
        <w:rPr>
          <w:rFonts w:hint="eastAsia"/>
          <w:color w:val="000000"/>
          <w:sz w:val="24"/>
          <w:szCs w:val="24"/>
        </w:rPr>
        <w:t>、交货方式： 送货至重汽（济南）车桥有限公司并安全落地</w:t>
      </w:r>
    </w:p>
    <w:p w14:paraId="4F07B539">
      <w:pPr>
        <w:pStyle w:val="5"/>
        <w:spacing w:line="360" w:lineRule="auto"/>
        <w:ind w:firstLine="480" w:firstLineChars="200"/>
        <w:rPr>
          <w:rFonts w:hint="eastAsia"/>
          <w:color w:val="000000"/>
          <w:sz w:val="24"/>
          <w:szCs w:val="24"/>
        </w:rPr>
      </w:pPr>
      <w:r>
        <w:rPr>
          <w:rFonts w:hint="eastAsia"/>
          <w:color w:val="000000"/>
          <w:sz w:val="24"/>
          <w:szCs w:val="24"/>
        </w:rPr>
        <w:t>4、货款及支付方式：</w:t>
      </w:r>
    </w:p>
    <w:p w14:paraId="01F33B09">
      <w:pPr>
        <w:pStyle w:val="5"/>
        <w:spacing w:line="360" w:lineRule="auto"/>
        <w:ind w:firstLine="480" w:firstLineChars="200"/>
        <w:rPr>
          <w:color w:val="000000"/>
          <w:sz w:val="24"/>
          <w:szCs w:val="24"/>
        </w:rPr>
      </w:pPr>
      <w:r>
        <w:rPr>
          <w:rFonts w:hint="eastAsia"/>
          <w:color w:val="000000"/>
          <w:sz w:val="24"/>
          <w:szCs w:val="24"/>
        </w:rPr>
        <w:t>发票挂账90天，半年期商业汇票（商业汇票包括银行承兑汇票和商业承兑汇票），验收款90%，质保金10%。具体以双方最终签署的合同为准。</w:t>
      </w:r>
    </w:p>
    <w:p w14:paraId="51E6C81E">
      <w:pPr>
        <w:pStyle w:val="5"/>
        <w:spacing w:line="360" w:lineRule="auto"/>
        <w:ind w:firstLine="480" w:firstLineChars="200"/>
        <w:rPr>
          <w:rFonts w:hint="eastAsia"/>
          <w:color w:val="000000"/>
          <w:sz w:val="24"/>
          <w:szCs w:val="24"/>
        </w:rPr>
      </w:pPr>
      <w:r>
        <w:rPr>
          <w:rFonts w:hint="eastAsia"/>
          <w:color w:val="000000"/>
          <w:sz w:val="24"/>
          <w:szCs w:val="24"/>
        </w:rPr>
        <w:t>5、产品的质量保证期：产品检验合格后12个月。</w:t>
      </w:r>
    </w:p>
    <w:p w14:paraId="682468C0">
      <w:pPr>
        <w:pStyle w:val="13"/>
        <w:ind w:firstLine="0" w:firstLineChars="0"/>
        <w:rPr>
          <w:rFonts w:hint="eastAsia"/>
          <w:b/>
          <w:bCs/>
          <w:sz w:val="28"/>
          <w:szCs w:val="28"/>
        </w:rPr>
      </w:pPr>
      <w:r>
        <w:rPr>
          <w:rFonts w:hint="eastAsia"/>
          <w:b/>
          <w:bCs/>
          <w:sz w:val="28"/>
          <w:szCs w:val="28"/>
        </w:rPr>
        <w:t>四、投标报名及招标文件获取</w:t>
      </w:r>
    </w:p>
    <w:p w14:paraId="7BCCBEF0">
      <w:pPr>
        <w:pStyle w:val="13"/>
        <w:ind w:firstLine="480"/>
        <w:rPr>
          <w:rFonts w:hint="eastAsia"/>
        </w:rPr>
      </w:pPr>
      <w:r>
        <w:rPr>
          <w:rFonts w:hint="eastAsia"/>
        </w:rPr>
        <w:t>拟投标人根据招标人在重汽E采通（http://ecaitong.sinotruk.com:8012）进行应标或报名。</w:t>
      </w:r>
    </w:p>
    <w:p w14:paraId="380DB68C">
      <w:pPr>
        <w:pStyle w:val="13"/>
        <w:numPr>
          <w:ilvl w:val="0"/>
          <w:numId w:val="2"/>
        </w:numPr>
        <w:ind w:firstLine="480"/>
        <w:rPr>
          <w:rFonts w:hint="eastAsia"/>
        </w:rPr>
      </w:pPr>
      <w:r>
        <w:rPr>
          <w:rFonts w:hint="eastAsia"/>
        </w:rPr>
        <w:t>已在重汽E采通系统供应商中心注册的，在E采通系统中应标。</w:t>
      </w:r>
    </w:p>
    <w:p w14:paraId="67D34315">
      <w:pPr>
        <w:pStyle w:val="13"/>
        <w:ind w:firstLine="480"/>
        <w:rPr>
          <w:color w:val="auto"/>
        </w:rPr>
      </w:pPr>
      <w:r>
        <w:rPr>
          <w:rFonts w:hint="eastAsia"/>
        </w:rPr>
        <w:t>2、未在</w:t>
      </w:r>
      <w:r>
        <w:rPr>
          <w:rFonts w:hint="eastAsia"/>
          <w:color w:val="auto"/>
        </w:rPr>
        <w:t>重汽E采通系统供应商中心注册的，请先注册后</w:t>
      </w:r>
      <w:r>
        <w:rPr>
          <w:rFonts w:hint="eastAsia"/>
        </w:rPr>
        <w:t>在E采通系统中应标。</w:t>
      </w:r>
    </w:p>
    <w:p w14:paraId="37F4CF0E">
      <w:pPr>
        <w:pStyle w:val="13"/>
        <w:ind w:firstLine="480"/>
        <w:rPr>
          <w:color w:val="auto"/>
        </w:rPr>
      </w:pPr>
      <w:r>
        <w:rPr>
          <w:rFonts w:hint="eastAsia"/>
          <w:color w:val="auto"/>
        </w:rPr>
        <w:t>报名资料：营业执照副本扫描电子版</w:t>
      </w:r>
      <w:bookmarkStart w:id="0" w:name="_Hlk125700745"/>
      <w:r>
        <w:rPr>
          <w:rFonts w:hint="eastAsia"/>
          <w:color w:val="auto"/>
        </w:rPr>
        <w:t>（加盖公章）</w:t>
      </w:r>
      <w:bookmarkEnd w:id="0"/>
      <w:r>
        <w:rPr>
          <w:rFonts w:hint="eastAsia"/>
          <w:color w:val="auto"/>
        </w:rPr>
        <w:t>；法定代表人参加投标的，需提供身份证复印件（加盖公章）；授权代表参加投标的，需提供法定代表人授权委托书原件及法定代表人、授权代表身份证复印件（加盖公章）。</w:t>
      </w:r>
      <w:r>
        <w:rPr>
          <w:color w:val="auto"/>
        </w:rPr>
        <w:t xml:space="preserve"> </w:t>
      </w:r>
    </w:p>
    <w:p w14:paraId="7E97E33F">
      <w:pPr>
        <w:pStyle w:val="13"/>
        <w:ind w:firstLine="482"/>
        <w:rPr>
          <w:b/>
          <w:bCs/>
          <w:color w:val="auto"/>
        </w:rPr>
      </w:pPr>
      <w:r>
        <w:rPr>
          <w:rFonts w:hint="eastAsia"/>
          <w:b/>
          <w:bCs/>
          <w:color w:val="auto"/>
        </w:rPr>
        <w:t>公示期间请尽快报名。符合投标资格条件的，在重汽E采通系统进行注册，注册审批通过后进行应标。</w:t>
      </w:r>
    </w:p>
    <w:p w14:paraId="77C2EBE3">
      <w:pPr>
        <w:pStyle w:val="13"/>
        <w:ind w:firstLine="0" w:firstLineChars="0"/>
        <w:rPr>
          <w:b/>
          <w:bCs/>
          <w:color w:val="auto"/>
          <w:sz w:val="28"/>
          <w:szCs w:val="28"/>
        </w:rPr>
      </w:pPr>
      <w:r>
        <w:rPr>
          <w:rFonts w:hint="eastAsia"/>
          <w:b/>
          <w:bCs/>
          <w:color w:val="auto"/>
          <w:sz w:val="28"/>
          <w:szCs w:val="28"/>
        </w:rPr>
        <w:t>五、投标说明</w:t>
      </w:r>
    </w:p>
    <w:p w14:paraId="60267D9A">
      <w:pPr>
        <w:pStyle w:val="13"/>
        <w:ind w:firstLine="482"/>
        <w:rPr>
          <w:rFonts w:hint="eastAsia"/>
          <w:b/>
          <w:bCs/>
          <w:color w:val="auto"/>
          <w:sz w:val="28"/>
          <w:szCs w:val="28"/>
        </w:rPr>
      </w:pPr>
      <w:r>
        <w:rPr>
          <w:rFonts w:hint="eastAsia"/>
          <w:b/>
          <w:bCs/>
          <w:color w:val="auto"/>
        </w:rPr>
        <w:t>1、投标资格条件</w:t>
      </w:r>
    </w:p>
    <w:p w14:paraId="1CC222AD">
      <w:pPr>
        <w:pStyle w:val="5"/>
        <w:spacing w:line="360" w:lineRule="auto"/>
        <w:ind w:firstLine="240" w:firstLineChars="100"/>
        <w:rPr>
          <w:rFonts w:hint="eastAsia"/>
          <w:sz w:val="24"/>
          <w:szCs w:val="24"/>
        </w:rPr>
      </w:pPr>
      <w:r>
        <w:rPr>
          <w:rFonts w:hint="eastAsia"/>
          <w:sz w:val="24"/>
          <w:szCs w:val="24"/>
        </w:rPr>
        <w:t>（1）.拟投标人必须是在中华人民共和国境内注册的独立法人机构，具有独立承担民事责任能力；注册资金不少于100万人民币（或等值其他货币）；公司成立三年以上（以营业执照成立日期到开标当日满三年为准），且经营范围满足招标人需求；并在人员、设备、资金等方面具有承担本项目的能力；</w:t>
      </w:r>
    </w:p>
    <w:p w14:paraId="4DD6EF19">
      <w:pPr>
        <w:pStyle w:val="5"/>
        <w:spacing w:line="360" w:lineRule="auto"/>
        <w:ind w:firstLine="240" w:firstLineChars="100"/>
        <w:rPr>
          <w:rFonts w:hint="eastAsia"/>
          <w:sz w:val="24"/>
          <w:szCs w:val="24"/>
        </w:rPr>
      </w:pPr>
      <w:r>
        <w:rPr>
          <w:rFonts w:hint="eastAsia"/>
          <w:sz w:val="24"/>
          <w:szCs w:val="24"/>
        </w:rPr>
        <w:t>（2）.拟投标人应提供营业执照副本原件或扫描件（需盖章）；</w:t>
      </w:r>
    </w:p>
    <w:p w14:paraId="00EBD738">
      <w:pPr>
        <w:pStyle w:val="5"/>
        <w:spacing w:line="360" w:lineRule="auto"/>
        <w:ind w:firstLine="240" w:firstLineChars="100"/>
        <w:rPr>
          <w:rFonts w:hint="eastAsia"/>
          <w:sz w:val="24"/>
          <w:szCs w:val="24"/>
        </w:rPr>
      </w:pPr>
      <w:r>
        <w:rPr>
          <w:rFonts w:hint="eastAsia"/>
          <w:sz w:val="24"/>
          <w:szCs w:val="24"/>
        </w:rPr>
        <w:t>（3）.拟投标人应提供法定代表人资格证明文件；</w:t>
      </w:r>
    </w:p>
    <w:p w14:paraId="2C08E402">
      <w:pPr>
        <w:pStyle w:val="5"/>
        <w:spacing w:line="360" w:lineRule="auto"/>
        <w:ind w:firstLine="240" w:firstLineChars="100"/>
        <w:rPr>
          <w:rFonts w:hint="eastAsia"/>
          <w:sz w:val="24"/>
          <w:szCs w:val="24"/>
        </w:rPr>
      </w:pPr>
      <w:r>
        <w:rPr>
          <w:rFonts w:hint="eastAsia"/>
          <w:sz w:val="24"/>
          <w:szCs w:val="24"/>
        </w:rPr>
        <w:t>（4）.在“国家企业信用信息公示系统”“中国执行信息公开网”“信用中国”“天眼查”“裁判文书网”等信息平台中，无行政处罚及失信记录等信息；</w:t>
      </w:r>
    </w:p>
    <w:p w14:paraId="6E050867">
      <w:pPr>
        <w:pStyle w:val="5"/>
        <w:spacing w:line="360" w:lineRule="auto"/>
        <w:ind w:firstLine="240" w:firstLineChars="100"/>
        <w:rPr>
          <w:rFonts w:hint="eastAsia"/>
          <w:sz w:val="24"/>
          <w:szCs w:val="24"/>
        </w:rPr>
      </w:pPr>
      <w:r>
        <w:rPr>
          <w:rFonts w:hint="eastAsia"/>
          <w:sz w:val="24"/>
          <w:szCs w:val="24"/>
        </w:rPr>
        <w:t>（5）.拟投标人不存在严重违规或被列入招标人“黑名单”的声明；</w:t>
      </w:r>
    </w:p>
    <w:p w14:paraId="1359CB0A">
      <w:pPr>
        <w:pStyle w:val="5"/>
        <w:spacing w:line="360" w:lineRule="auto"/>
        <w:ind w:firstLine="240" w:firstLineChars="100"/>
        <w:rPr>
          <w:rFonts w:hint="eastAsia"/>
          <w:sz w:val="24"/>
          <w:szCs w:val="24"/>
        </w:rPr>
      </w:pPr>
      <w:r>
        <w:rPr>
          <w:rFonts w:hint="eastAsia"/>
          <w:sz w:val="24"/>
          <w:szCs w:val="24"/>
        </w:rPr>
        <w:t>（6）.拟投标人应提供近三年经会计师事务所审计且出具无保留意见的财务审计报告，并加盖公章，包括但不限于资产负债表、利润表、现金流量表，且未显示异常；</w:t>
      </w:r>
    </w:p>
    <w:p w14:paraId="1ACAFB71">
      <w:pPr>
        <w:pStyle w:val="5"/>
        <w:spacing w:line="360" w:lineRule="auto"/>
        <w:ind w:firstLine="240" w:firstLineChars="100"/>
        <w:rPr>
          <w:rFonts w:hint="eastAsia"/>
          <w:sz w:val="24"/>
          <w:szCs w:val="24"/>
        </w:rPr>
      </w:pPr>
      <w:r>
        <w:rPr>
          <w:rFonts w:hint="eastAsia"/>
          <w:sz w:val="24"/>
          <w:szCs w:val="24"/>
        </w:rPr>
        <w:t>（7）. 拟投标人近三年内在经营活动中无与本项目有关的违法及重大违规情况；</w:t>
      </w:r>
    </w:p>
    <w:p w14:paraId="66AF12EB">
      <w:pPr>
        <w:pStyle w:val="5"/>
        <w:spacing w:line="360" w:lineRule="auto"/>
        <w:ind w:firstLine="240" w:firstLineChars="100"/>
        <w:rPr>
          <w:rFonts w:hint="eastAsia"/>
          <w:sz w:val="24"/>
          <w:szCs w:val="24"/>
        </w:rPr>
      </w:pPr>
      <w:r>
        <w:rPr>
          <w:rFonts w:hint="eastAsia"/>
          <w:sz w:val="24"/>
          <w:szCs w:val="24"/>
        </w:rPr>
        <w:t>（8）.拟投标人须认可招标人的工作指令，包括节、假日能正常开展工作的要求；</w:t>
      </w:r>
    </w:p>
    <w:p w14:paraId="55B64429">
      <w:pPr>
        <w:pStyle w:val="5"/>
        <w:spacing w:line="360" w:lineRule="auto"/>
        <w:ind w:firstLine="240" w:firstLineChars="100"/>
        <w:rPr>
          <w:rFonts w:hint="eastAsia"/>
          <w:sz w:val="24"/>
          <w:szCs w:val="24"/>
        </w:rPr>
      </w:pPr>
      <w:r>
        <w:rPr>
          <w:rFonts w:hint="eastAsia"/>
          <w:sz w:val="24"/>
          <w:szCs w:val="24"/>
        </w:rPr>
        <w:t>（9）.拟投标人财务状况良好，最近半年纳税正常；</w:t>
      </w:r>
    </w:p>
    <w:p w14:paraId="573F77E7">
      <w:pPr>
        <w:pStyle w:val="5"/>
        <w:spacing w:line="360" w:lineRule="auto"/>
        <w:ind w:firstLine="240" w:firstLineChars="100"/>
        <w:rPr>
          <w:rFonts w:hint="eastAsia"/>
          <w:sz w:val="24"/>
          <w:szCs w:val="24"/>
        </w:rPr>
      </w:pPr>
      <w:r>
        <w:rPr>
          <w:rFonts w:hint="eastAsia"/>
          <w:sz w:val="24"/>
          <w:szCs w:val="24"/>
        </w:rPr>
        <w:t>（10）.拟投标人信用证明材料（信用报告）未显示异常；</w:t>
      </w:r>
    </w:p>
    <w:p w14:paraId="254171B2">
      <w:pPr>
        <w:pStyle w:val="5"/>
        <w:spacing w:line="360" w:lineRule="auto"/>
        <w:ind w:firstLine="240" w:firstLineChars="100"/>
        <w:rPr>
          <w:rFonts w:hint="eastAsia"/>
          <w:sz w:val="24"/>
          <w:szCs w:val="24"/>
        </w:rPr>
      </w:pPr>
      <w:r>
        <w:rPr>
          <w:rFonts w:hint="eastAsia"/>
          <w:sz w:val="24"/>
          <w:szCs w:val="24"/>
        </w:rPr>
        <w:t>（11）.拟投标人的直接或间接股东、法定代表人、董事、监事、高管非重汽员工及其亲属；</w:t>
      </w:r>
    </w:p>
    <w:p w14:paraId="51E2104A">
      <w:pPr>
        <w:pStyle w:val="5"/>
        <w:spacing w:line="360" w:lineRule="auto"/>
        <w:ind w:firstLine="240" w:firstLineChars="100"/>
        <w:rPr>
          <w:rFonts w:hint="eastAsia"/>
          <w:sz w:val="24"/>
          <w:szCs w:val="24"/>
        </w:rPr>
      </w:pPr>
      <w:r>
        <w:rPr>
          <w:rFonts w:hint="eastAsia"/>
          <w:sz w:val="24"/>
          <w:szCs w:val="24"/>
        </w:rPr>
        <w:t>（12）.本项目不允许代理商参与投标；</w:t>
      </w:r>
    </w:p>
    <w:p w14:paraId="170E238F">
      <w:pPr>
        <w:pStyle w:val="5"/>
        <w:spacing w:line="360" w:lineRule="auto"/>
        <w:ind w:firstLine="240" w:firstLineChars="100"/>
        <w:rPr>
          <w:rFonts w:hint="eastAsia"/>
          <w:sz w:val="24"/>
          <w:szCs w:val="24"/>
        </w:rPr>
      </w:pPr>
      <w:r>
        <w:rPr>
          <w:rFonts w:hint="eastAsia"/>
          <w:sz w:val="24"/>
          <w:szCs w:val="24"/>
        </w:rPr>
        <w:t>（13）.本项目不接受联合体投标，拟投标人必须是最终投标单位和签订合同单位，不得以任何理由将已中标项目以任何形式分包或转包给其他单位；</w:t>
      </w:r>
    </w:p>
    <w:p w14:paraId="18C63ED9">
      <w:pPr>
        <w:pStyle w:val="5"/>
        <w:spacing w:line="360" w:lineRule="auto"/>
        <w:ind w:firstLine="240" w:firstLineChars="100"/>
        <w:rPr>
          <w:rFonts w:hint="eastAsia"/>
          <w:sz w:val="24"/>
          <w:szCs w:val="24"/>
        </w:rPr>
      </w:pPr>
      <w:r>
        <w:rPr>
          <w:rFonts w:hint="eastAsia"/>
          <w:sz w:val="24"/>
          <w:szCs w:val="24"/>
        </w:rPr>
        <w:t>（14）.无招标违规、谎报年度报告信息、提供虚假资质资料等行为或其他行政处罚记录。</w:t>
      </w:r>
    </w:p>
    <w:p w14:paraId="083D9182">
      <w:pPr>
        <w:pStyle w:val="5"/>
        <w:spacing w:line="360" w:lineRule="auto"/>
        <w:ind w:firstLine="240" w:firstLineChars="100"/>
        <w:rPr>
          <w:rFonts w:hAnsi="宋体"/>
          <w:sz w:val="24"/>
          <w:szCs w:val="24"/>
        </w:rPr>
      </w:pPr>
      <w:r>
        <w:rPr>
          <w:rFonts w:hint="eastAsia"/>
          <w:sz w:val="24"/>
          <w:szCs w:val="24"/>
        </w:rPr>
        <w:t>（15）.投标方应保证所供货物（或设备）必须符合当前国家或地方最新安全、环保、消防、职业健康最新法律法规及《机械制造企业安全生产标准化规范》、《吊具、锁具安全规程》等国家相关安全标准的各项要求 。确保货物在使用管理过程中满足《职业健康安全管理体系》《环境管理体系》等方面的国家标准、规范及地方规章要求。</w:t>
      </w:r>
    </w:p>
    <w:p w14:paraId="57BC10A4">
      <w:pPr>
        <w:pStyle w:val="5"/>
        <w:spacing w:line="360" w:lineRule="auto"/>
        <w:ind w:firstLine="482" w:firstLineChars="200"/>
        <w:rPr>
          <w:rFonts w:hint="eastAsia"/>
          <w:b/>
          <w:bCs/>
          <w:sz w:val="24"/>
          <w:szCs w:val="24"/>
        </w:rPr>
      </w:pPr>
      <w:r>
        <w:rPr>
          <w:rFonts w:hint="eastAsia"/>
          <w:b/>
          <w:bCs/>
          <w:sz w:val="24"/>
          <w:szCs w:val="24"/>
        </w:rPr>
        <w:t>2、报价</w:t>
      </w:r>
    </w:p>
    <w:p w14:paraId="496FB387">
      <w:pPr>
        <w:pStyle w:val="13"/>
        <w:ind w:firstLine="436" w:firstLineChars="182"/>
        <w:rPr>
          <w:color w:val="auto"/>
        </w:rPr>
      </w:pPr>
      <w:r>
        <w:rPr>
          <w:rFonts w:hint="eastAsia"/>
          <w:color w:val="auto"/>
        </w:rPr>
        <w:t>（1）投标人根据招标方报价资料、技术协议等要求进行合理报价。</w:t>
      </w:r>
    </w:p>
    <w:p w14:paraId="4A09EAD3">
      <w:pPr>
        <w:pStyle w:val="13"/>
        <w:ind w:firstLine="480"/>
        <w:rPr>
          <w:rFonts w:hint="eastAsia"/>
          <w:color w:val="auto"/>
        </w:rPr>
      </w:pPr>
      <w:r>
        <w:rPr>
          <w:rFonts w:hint="eastAsia"/>
          <w:color w:val="auto"/>
        </w:rPr>
        <w:t>（</w:t>
      </w:r>
      <w:r>
        <w:rPr>
          <w:color w:val="auto"/>
        </w:rPr>
        <w:t>2</w:t>
      </w:r>
      <w:r>
        <w:rPr>
          <w:rFonts w:hint="eastAsia"/>
          <w:color w:val="auto"/>
        </w:rPr>
        <w:t>）所投标的标的物必须全部报价，否则投标视为无效；所有报价货币单位为：元（人民币含税）。</w:t>
      </w:r>
    </w:p>
    <w:p w14:paraId="6B88E964">
      <w:pPr>
        <w:pStyle w:val="5"/>
        <w:spacing w:line="360" w:lineRule="auto"/>
        <w:rPr>
          <w:rFonts w:hint="eastAsia" w:hAnsi="宋体"/>
          <w:b/>
          <w:bCs/>
          <w:sz w:val="28"/>
          <w:szCs w:val="28"/>
        </w:rPr>
      </w:pPr>
      <w:r>
        <w:rPr>
          <w:rFonts w:hint="eastAsia"/>
          <w:b/>
          <w:bCs/>
          <w:sz w:val="28"/>
          <w:szCs w:val="28"/>
        </w:rPr>
        <w:t>六、议程安排</w:t>
      </w:r>
    </w:p>
    <w:p w14:paraId="5F5861F8">
      <w:pPr>
        <w:pStyle w:val="13"/>
        <w:spacing w:line="460" w:lineRule="exact"/>
        <w:ind w:firstLine="480"/>
        <w:rPr>
          <w:rFonts w:hint="eastAsia"/>
          <w:bCs/>
          <w:color w:val="0000FF"/>
        </w:rPr>
      </w:pPr>
      <w:bookmarkStart w:id="1" w:name="OLE_LINK4"/>
      <w:bookmarkStart w:id="2" w:name="OLE_LINK18"/>
      <w:bookmarkStart w:id="3" w:name="OLE_LINK1"/>
      <w:bookmarkStart w:id="4" w:name="OLE_LINK17"/>
      <w:r>
        <w:rPr>
          <w:rFonts w:hint="eastAsia" w:ascii="Times New Roman" w:hAnsi="Times New Roman"/>
          <w:color w:val="0000FF"/>
        </w:rPr>
        <w:t>1</w:t>
      </w:r>
      <w:r>
        <w:rPr>
          <w:rFonts w:hint="eastAsia"/>
          <w:color w:val="0000FF"/>
        </w:rPr>
        <w:t>、公告时间：</w:t>
      </w:r>
      <w:r>
        <w:rPr>
          <w:rFonts w:hint="eastAsia" w:ascii="Times New Roman" w:hAnsi="Times New Roman"/>
          <w:bCs/>
          <w:color w:val="0000FF"/>
        </w:rPr>
        <w:t>2026</w:t>
      </w:r>
      <w:r>
        <w:rPr>
          <w:rFonts w:hint="eastAsia"/>
          <w:bCs/>
          <w:color w:val="0000FF"/>
        </w:rPr>
        <w:t>年</w:t>
      </w:r>
      <w:r>
        <w:rPr>
          <w:rFonts w:hint="eastAsia"/>
          <w:bCs/>
          <w:color w:val="0000FF"/>
          <w:lang w:val="en-US" w:eastAsia="zh-CN"/>
        </w:rPr>
        <w:t>2</w:t>
      </w:r>
      <w:r>
        <w:rPr>
          <w:rFonts w:hint="eastAsia" w:ascii="Times New Roman" w:hAnsi="Times New Roman"/>
          <w:bCs/>
          <w:color w:val="0000FF"/>
        </w:rPr>
        <w:t>月</w:t>
      </w:r>
      <w:r>
        <w:rPr>
          <w:rFonts w:hint="eastAsia" w:ascii="Times New Roman" w:hAnsi="Times New Roman"/>
          <w:bCs/>
          <w:color w:val="0000FF"/>
          <w:lang w:val="en-US" w:eastAsia="zh-CN"/>
        </w:rPr>
        <w:t>9</w:t>
      </w:r>
      <w:r>
        <w:rPr>
          <w:rFonts w:hint="eastAsia"/>
          <w:bCs/>
          <w:color w:val="0000FF"/>
        </w:rPr>
        <w:t>日</w:t>
      </w:r>
      <w:r>
        <w:rPr>
          <w:rFonts w:hint="eastAsia" w:hAnsi="Courier New"/>
          <w:bCs/>
          <w:color w:val="0000FF"/>
        </w:rPr>
        <w:t>（若有变动另行通知）</w:t>
      </w:r>
    </w:p>
    <w:p w14:paraId="6CAD274B">
      <w:pPr>
        <w:spacing w:line="460" w:lineRule="exact"/>
        <w:ind w:firstLine="480" w:firstLineChars="200"/>
        <w:rPr>
          <w:rFonts w:hint="eastAsia" w:ascii="宋体" w:hAnsi="Courier New"/>
          <w:bCs/>
          <w:color w:val="0000FF"/>
          <w:sz w:val="24"/>
          <w:szCs w:val="24"/>
        </w:rPr>
      </w:pPr>
      <w:r>
        <w:rPr>
          <w:rFonts w:hint="eastAsia" w:ascii="宋体" w:hAnsi="Courier New"/>
          <w:bCs/>
          <w:color w:val="0000FF"/>
          <w:sz w:val="24"/>
          <w:szCs w:val="24"/>
        </w:rPr>
        <w:t>2、报名截止时间：2026年</w:t>
      </w:r>
      <w:r>
        <w:rPr>
          <w:rFonts w:hint="eastAsia" w:ascii="宋体" w:hAnsi="Courier New"/>
          <w:bCs/>
          <w:color w:val="0000FF"/>
          <w:sz w:val="24"/>
          <w:szCs w:val="24"/>
          <w:lang w:val="en-US" w:eastAsia="zh-CN"/>
        </w:rPr>
        <w:t>2</w:t>
      </w:r>
      <w:r>
        <w:rPr>
          <w:rFonts w:hint="eastAsia" w:ascii="宋体" w:hAnsi="Courier New"/>
          <w:bCs/>
          <w:color w:val="0000FF"/>
          <w:sz w:val="24"/>
          <w:szCs w:val="24"/>
        </w:rPr>
        <w:t>月</w:t>
      </w:r>
      <w:r>
        <w:rPr>
          <w:rFonts w:hint="eastAsia" w:ascii="宋体" w:hAnsi="Courier New"/>
          <w:bCs/>
          <w:color w:val="0000FF"/>
          <w:sz w:val="24"/>
          <w:szCs w:val="24"/>
          <w:lang w:val="en-US" w:eastAsia="zh-CN"/>
        </w:rPr>
        <w:t>14</w:t>
      </w:r>
      <w:r>
        <w:rPr>
          <w:rFonts w:hint="eastAsia" w:ascii="宋体" w:hAnsi="Courier New"/>
          <w:bCs/>
          <w:color w:val="0000FF"/>
          <w:sz w:val="24"/>
          <w:szCs w:val="24"/>
        </w:rPr>
        <w:t>日</w:t>
      </w:r>
      <w:r>
        <w:rPr>
          <w:rFonts w:hint="eastAsia"/>
          <w:bCs/>
          <w:color w:val="0000FF"/>
          <w:sz w:val="24"/>
          <w:szCs w:val="24"/>
        </w:rPr>
        <w:t>18点</w:t>
      </w:r>
      <w:r>
        <w:rPr>
          <w:rFonts w:hint="eastAsia" w:ascii="宋体" w:hAnsi="Courier New"/>
          <w:bCs/>
          <w:color w:val="0000FF"/>
          <w:sz w:val="24"/>
          <w:szCs w:val="24"/>
        </w:rPr>
        <w:t>（若有变动另行通知）</w:t>
      </w:r>
    </w:p>
    <w:p w14:paraId="1C926D14">
      <w:pPr>
        <w:spacing w:line="460" w:lineRule="exact"/>
        <w:ind w:firstLine="480" w:firstLineChars="200"/>
        <w:rPr>
          <w:bCs/>
          <w:color w:val="0000FF"/>
          <w:sz w:val="24"/>
          <w:szCs w:val="24"/>
        </w:rPr>
      </w:pPr>
      <w:r>
        <w:rPr>
          <w:rFonts w:hint="eastAsia" w:ascii="宋体" w:hAnsi="Courier New"/>
          <w:bCs/>
          <w:color w:val="0000FF"/>
          <w:sz w:val="24"/>
          <w:szCs w:val="24"/>
        </w:rPr>
        <w:t>3、</w:t>
      </w:r>
      <w:r>
        <w:rPr>
          <w:rFonts w:hint="eastAsia"/>
          <w:color w:val="0000FF"/>
          <w:sz w:val="24"/>
          <w:szCs w:val="24"/>
        </w:rPr>
        <w:t>重汽E采通系统</w:t>
      </w:r>
      <w:r>
        <w:rPr>
          <w:rFonts w:hint="eastAsia" w:ascii="宋体" w:hAnsi="Courier New"/>
          <w:bCs/>
          <w:color w:val="0000FF"/>
          <w:sz w:val="24"/>
          <w:szCs w:val="24"/>
        </w:rPr>
        <w:t>应标截止时间：</w:t>
      </w:r>
      <w:r>
        <w:rPr>
          <w:rFonts w:hint="eastAsia" w:ascii="宋体" w:hAnsi="宋体" w:cs="宋体"/>
          <w:color w:val="0000FF"/>
          <w:sz w:val="24"/>
          <w:szCs w:val="24"/>
        </w:rPr>
        <w:t>2026年</w:t>
      </w:r>
      <w:r>
        <w:rPr>
          <w:rFonts w:hint="eastAsia" w:ascii="宋体" w:hAnsi="宋体" w:cs="宋体"/>
          <w:color w:val="0000FF"/>
          <w:sz w:val="24"/>
          <w:szCs w:val="24"/>
          <w:lang w:val="en-US" w:eastAsia="zh-CN"/>
        </w:rPr>
        <w:t>2</w:t>
      </w:r>
      <w:r>
        <w:rPr>
          <w:rFonts w:hint="eastAsia" w:ascii="宋体" w:hAnsi="宋体" w:cs="宋体"/>
          <w:color w:val="0000FF"/>
          <w:sz w:val="24"/>
          <w:szCs w:val="24"/>
        </w:rPr>
        <w:t>月</w:t>
      </w:r>
      <w:r>
        <w:rPr>
          <w:rFonts w:hint="eastAsia" w:ascii="宋体" w:hAnsi="宋体" w:cs="宋体"/>
          <w:color w:val="0000FF"/>
          <w:sz w:val="24"/>
          <w:szCs w:val="24"/>
          <w:lang w:val="en-US" w:eastAsia="zh-CN"/>
        </w:rPr>
        <w:t>14</w:t>
      </w:r>
      <w:r>
        <w:rPr>
          <w:rFonts w:hint="eastAsia" w:ascii="宋体" w:hAnsi="宋体" w:cs="宋体"/>
          <w:color w:val="0000FF"/>
          <w:sz w:val="24"/>
          <w:szCs w:val="24"/>
        </w:rPr>
        <w:t>日18点</w:t>
      </w:r>
    </w:p>
    <w:p w14:paraId="6168C2D7">
      <w:pPr>
        <w:pStyle w:val="13"/>
        <w:spacing w:line="460" w:lineRule="exact"/>
        <w:ind w:firstLine="480"/>
        <w:rPr>
          <w:color w:val="0000FF"/>
        </w:rPr>
      </w:pPr>
      <w:r>
        <w:rPr>
          <w:rFonts w:ascii="Times New Roman" w:hAnsi="Times New Roman"/>
          <w:color w:val="0000FF"/>
        </w:rPr>
        <w:t>4</w:t>
      </w:r>
      <w:r>
        <w:rPr>
          <w:rFonts w:hint="eastAsia"/>
          <w:color w:val="0000FF"/>
        </w:rPr>
        <w:t>、技术答疑</w:t>
      </w:r>
    </w:p>
    <w:p w14:paraId="6C76E6F8">
      <w:pPr>
        <w:pStyle w:val="13"/>
        <w:spacing w:line="460" w:lineRule="exact"/>
        <w:ind w:firstLine="480"/>
        <w:rPr>
          <w:rFonts w:hint="eastAsia"/>
          <w:color w:val="0000FF"/>
        </w:rPr>
      </w:pPr>
      <w:r>
        <w:rPr>
          <w:rFonts w:hint="eastAsia"/>
          <w:color w:val="0000FF"/>
        </w:rPr>
        <w:t xml:space="preserve">答疑时间：截止至2026年 </w:t>
      </w:r>
      <w:r>
        <w:rPr>
          <w:rFonts w:hint="eastAsia"/>
          <w:color w:val="0000FF"/>
          <w:lang w:val="en-US" w:eastAsia="zh-CN"/>
        </w:rPr>
        <w:t>2</w:t>
      </w:r>
      <w:r>
        <w:rPr>
          <w:rFonts w:hint="eastAsia"/>
          <w:color w:val="0000FF"/>
        </w:rPr>
        <w:t>月</w:t>
      </w:r>
      <w:r>
        <w:rPr>
          <w:rFonts w:hint="eastAsia"/>
          <w:color w:val="0000FF"/>
          <w:lang w:val="en-US" w:eastAsia="zh-CN"/>
        </w:rPr>
        <w:t>14</w:t>
      </w:r>
      <w:r>
        <w:rPr>
          <w:rFonts w:hint="eastAsia"/>
          <w:color w:val="0000FF"/>
        </w:rPr>
        <w:t>日18点前，逾期不受理</w:t>
      </w:r>
    </w:p>
    <w:bookmarkEnd w:id="1"/>
    <w:bookmarkEnd w:id="2"/>
    <w:bookmarkEnd w:id="3"/>
    <w:bookmarkEnd w:id="4"/>
    <w:p w14:paraId="57FD3770">
      <w:pPr>
        <w:pStyle w:val="13"/>
        <w:spacing w:line="460" w:lineRule="exact"/>
        <w:ind w:firstLine="480"/>
        <w:rPr>
          <w:rFonts w:hint="eastAsia"/>
          <w:color w:val="auto"/>
          <w:highlight w:val="green"/>
        </w:rPr>
      </w:pPr>
      <w:r>
        <w:rPr>
          <w:rFonts w:hint="eastAsia"/>
          <w:color w:val="auto"/>
          <w:highlight w:val="green"/>
        </w:rPr>
        <w:t>答疑方式：书面、传真、邮件</w:t>
      </w:r>
    </w:p>
    <w:p w14:paraId="7A207E6C">
      <w:pPr>
        <w:pStyle w:val="13"/>
        <w:spacing w:line="460" w:lineRule="exact"/>
        <w:ind w:firstLine="480"/>
        <w:rPr>
          <w:rFonts w:hint="eastAsia"/>
          <w:color w:val="auto"/>
          <w:highlight w:val="green"/>
        </w:rPr>
      </w:pPr>
      <w:r>
        <w:rPr>
          <w:rFonts w:hint="eastAsia"/>
          <w:color w:val="auto"/>
          <w:highlight w:val="green"/>
        </w:rPr>
        <w:t xml:space="preserve">联 系 人： 谢超 </w:t>
      </w:r>
    </w:p>
    <w:p w14:paraId="6BADD2E9">
      <w:pPr>
        <w:pStyle w:val="13"/>
        <w:spacing w:line="460" w:lineRule="exact"/>
        <w:ind w:firstLine="480"/>
        <w:rPr>
          <w:rFonts w:hint="eastAsia" w:ascii="Times New Roman" w:hAnsi="Times New Roman"/>
          <w:color w:val="auto"/>
          <w:highlight w:val="green"/>
        </w:rPr>
      </w:pPr>
      <w:r>
        <w:rPr>
          <w:rFonts w:hint="eastAsia"/>
          <w:color w:val="auto"/>
          <w:highlight w:val="green"/>
        </w:rPr>
        <w:t>电    话：</w:t>
      </w:r>
      <w:r>
        <w:rPr>
          <w:rFonts w:hint="eastAsia" w:ascii="Times New Roman" w:hAnsi="Times New Roman"/>
          <w:color w:val="auto"/>
          <w:highlight w:val="green"/>
        </w:rPr>
        <w:t>0531-58068419</w:t>
      </w:r>
      <w:r>
        <w:rPr>
          <w:rFonts w:hint="eastAsia"/>
          <w:color w:val="auto"/>
          <w:highlight w:val="green"/>
        </w:rPr>
        <w:t xml:space="preserve"> </w:t>
      </w:r>
      <w:r>
        <w:rPr>
          <w:rFonts w:hint="eastAsia" w:ascii="Times New Roman" w:hAnsi="Times New Roman"/>
          <w:color w:val="auto"/>
          <w:highlight w:val="green"/>
        </w:rPr>
        <w:t xml:space="preserve"> 17615861231</w:t>
      </w:r>
    </w:p>
    <w:p w14:paraId="1C26EA29">
      <w:pPr>
        <w:pStyle w:val="13"/>
        <w:spacing w:line="460" w:lineRule="exact"/>
        <w:ind w:firstLine="480"/>
        <w:rPr>
          <w:color w:val="auto"/>
        </w:rPr>
      </w:pPr>
      <w:r>
        <w:rPr>
          <w:color w:val="auto"/>
        </w:rPr>
        <w:t>5</w:t>
      </w:r>
      <w:r>
        <w:rPr>
          <w:rFonts w:hint="eastAsia"/>
          <w:color w:val="auto"/>
        </w:rPr>
        <w:t>、商务答疑</w:t>
      </w:r>
    </w:p>
    <w:p w14:paraId="3B2F5A7F">
      <w:pPr>
        <w:pStyle w:val="13"/>
        <w:ind w:firstLine="480"/>
        <w:rPr>
          <w:rFonts w:hint="eastAsia"/>
          <w:color w:val="auto"/>
        </w:rPr>
      </w:pPr>
      <w:r>
        <w:rPr>
          <w:rFonts w:hint="eastAsia"/>
          <w:color w:val="auto"/>
        </w:rPr>
        <w:t>答疑方式：书面、传真、邮件</w:t>
      </w:r>
    </w:p>
    <w:p w14:paraId="1BFE691C">
      <w:pPr>
        <w:pStyle w:val="13"/>
        <w:spacing w:line="460" w:lineRule="exact"/>
        <w:ind w:firstLine="480"/>
        <w:rPr>
          <w:rFonts w:hint="eastAsia" w:ascii="Times New Roman" w:hAnsi="Times New Roman"/>
          <w:color w:val="auto"/>
        </w:rPr>
      </w:pPr>
      <w:r>
        <w:rPr>
          <w:rFonts w:hint="eastAsia" w:ascii="Times New Roman" w:hAnsi="Times New Roman"/>
          <w:color w:val="auto"/>
        </w:rPr>
        <w:t>联系人：刘辉玲</w:t>
      </w:r>
    </w:p>
    <w:p w14:paraId="4BE89F83">
      <w:pPr>
        <w:pStyle w:val="13"/>
        <w:spacing w:line="460" w:lineRule="exact"/>
        <w:ind w:firstLine="480"/>
        <w:rPr>
          <w:rFonts w:hint="eastAsia" w:ascii="Times New Roman" w:hAnsi="Times New Roman"/>
          <w:color w:val="auto"/>
        </w:rPr>
      </w:pPr>
      <w:r>
        <w:rPr>
          <w:rFonts w:hint="eastAsia" w:ascii="Times New Roman" w:hAnsi="Times New Roman"/>
          <w:color w:val="auto"/>
        </w:rPr>
        <w:t>电话：0531-58068357  15153165075</w:t>
      </w:r>
    </w:p>
    <w:p w14:paraId="75C4E81C">
      <w:pPr>
        <w:pStyle w:val="13"/>
        <w:spacing w:line="460" w:lineRule="exact"/>
        <w:ind w:firstLine="480"/>
        <w:rPr>
          <w:rFonts w:hint="eastAsia" w:ascii="Times New Roman" w:hAnsi="Times New Roman"/>
          <w:color w:val="auto"/>
        </w:rPr>
      </w:pPr>
      <w:r>
        <w:rPr>
          <w:rFonts w:hint="eastAsia" w:ascii="Times New Roman" w:hAnsi="Times New Roman"/>
          <w:color w:val="auto"/>
        </w:rPr>
        <w:t>邮    箱：qxgcgls@163.com</w:t>
      </w:r>
    </w:p>
    <w:p w14:paraId="734FA6A6">
      <w:pPr>
        <w:pStyle w:val="5"/>
        <w:rPr>
          <w:rFonts w:hint="eastAsia" w:hAnsi="宋体" w:cs="宋体"/>
          <w:b/>
          <w:sz w:val="28"/>
          <w:szCs w:val="28"/>
        </w:rPr>
      </w:pPr>
      <w:r>
        <w:rPr>
          <w:rFonts w:hint="eastAsia" w:ascii="仿宋" w:hAnsi="仿宋" w:eastAsia="仿宋" w:cs="仿宋"/>
          <w:b/>
          <w:sz w:val="28"/>
          <w:szCs w:val="28"/>
        </w:rPr>
        <w:t>七、</w:t>
      </w:r>
      <w:r>
        <w:rPr>
          <w:rFonts w:hint="eastAsia" w:hAnsi="宋体" w:cs="宋体"/>
          <w:b/>
          <w:sz w:val="28"/>
          <w:szCs w:val="28"/>
        </w:rPr>
        <w:t>其他说明</w:t>
      </w:r>
    </w:p>
    <w:p w14:paraId="32ACB8C7">
      <w:pPr>
        <w:pStyle w:val="13"/>
        <w:spacing w:line="480" w:lineRule="exact"/>
        <w:ind w:firstLine="480"/>
        <w:rPr>
          <w:rFonts w:hint="eastAsia" w:cs="宋体"/>
          <w:color w:val="auto"/>
          <w:kern w:val="0"/>
          <w:lang w:bidi="ar"/>
        </w:rPr>
      </w:pPr>
      <w:r>
        <w:rPr>
          <w:rFonts w:hint="eastAsia" w:cs="宋体"/>
          <w:color w:val="auto"/>
          <w:kern w:val="0"/>
          <w:lang w:bidi="ar"/>
        </w:rPr>
        <w:t>1、所有参与招标的供方均需履行对中国重汽产品价格、供货及质量等方面的承诺，特别是中标的单位，如出现供货、质量或其他影响到我公司正常生产经营秩序和经济效益的问题时，必须接受包含但不限于扣除货款、没收质量保证金、罚款直至取消其供方资格的处罚措施。</w:t>
      </w:r>
    </w:p>
    <w:p w14:paraId="44BACA9B">
      <w:pPr>
        <w:pStyle w:val="13"/>
        <w:spacing w:line="480" w:lineRule="exact"/>
        <w:ind w:firstLine="480"/>
        <w:rPr>
          <w:rFonts w:hint="eastAsia" w:cs="宋体"/>
          <w:color w:val="auto"/>
        </w:rPr>
      </w:pPr>
      <w:r>
        <w:rPr>
          <w:rFonts w:hint="eastAsia" w:cs="宋体"/>
          <w:color w:val="auto"/>
          <w:kern w:val="0"/>
          <w:lang w:bidi="ar"/>
        </w:rPr>
        <w:t>2、本文件最终解释权归</w:t>
      </w:r>
      <w:r>
        <w:rPr>
          <w:rFonts w:hint="eastAsia" w:cs="宋体"/>
          <w:color w:val="auto"/>
        </w:rPr>
        <w:t>重汽（济南）车桥有限公司。</w:t>
      </w:r>
    </w:p>
    <w:p w14:paraId="322B3AED">
      <w:pPr>
        <w:pStyle w:val="13"/>
        <w:spacing w:line="480" w:lineRule="exact"/>
        <w:ind w:firstLine="480"/>
        <w:rPr>
          <w:rFonts w:hint="eastAsia" w:cs="宋体"/>
          <w:color w:val="auto"/>
        </w:rPr>
      </w:pPr>
    </w:p>
    <w:p w14:paraId="395E6C8E">
      <w:pPr>
        <w:pStyle w:val="13"/>
        <w:spacing w:line="480" w:lineRule="exact"/>
        <w:ind w:firstLine="480"/>
        <w:rPr>
          <w:rFonts w:hint="eastAsia" w:cs="宋体"/>
          <w:color w:val="auto"/>
        </w:rPr>
      </w:pPr>
    </w:p>
    <w:p w14:paraId="7D8DE175">
      <w:pPr>
        <w:pStyle w:val="13"/>
        <w:spacing w:line="480" w:lineRule="exact"/>
        <w:ind w:firstLine="480"/>
        <w:rPr>
          <w:rFonts w:hint="eastAsia" w:cs="宋体"/>
          <w:color w:val="auto"/>
        </w:rPr>
      </w:pPr>
    </w:p>
    <w:p w14:paraId="45388558">
      <w:pPr>
        <w:pStyle w:val="13"/>
        <w:spacing w:line="480" w:lineRule="exact"/>
        <w:ind w:firstLine="480"/>
        <w:rPr>
          <w:rFonts w:hint="eastAsia" w:cs="宋体"/>
          <w:color w:val="auto"/>
        </w:rPr>
      </w:pPr>
    </w:p>
    <w:p w14:paraId="0354B335">
      <w:pPr>
        <w:pStyle w:val="13"/>
        <w:spacing w:line="480" w:lineRule="exact"/>
        <w:ind w:firstLine="480"/>
        <w:rPr>
          <w:rFonts w:hint="eastAsia" w:cs="宋体"/>
          <w:color w:val="auto"/>
        </w:rPr>
      </w:pPr>
    </w:p>
    <w:p w14:paraId="616E6D06">
      <w:pPr>
        <w:pStyle w:val="13"/>
        <w:spacing w:line="480" w:lineRule="exact"/>
        <w:ind w:firstLine="480"/>
        <w:rPr>
          <w:rFonts w:hint="eastAsia" w:cs="宋体"/>
          <w:color w:val="auto"/>
        </w:rPr>
      </w:pPr>
    </w:p>
    <w:p w14:paraId="08BF0D35">
      <w:pPr>
        <w:pStyle w:val="13"/>
        <w:spacing w:line="480" w:lineRule="exact"/>
        <w:ind w:firstLine="0" w:firstLineChars="0"/>
        <w:rPr>
          <w:rFonts w:hint="eastAsia" w:cs="宋体"/>
          <w:color w:val="auto"/>
        </w:rPr>
      </w:pPr>
    </w:p>
    <w:p w14:paraId="20871466">
      <w:pPr>
        <w:spacing w:line="880" w:lineRule="exact"/>
        <w:jc w:val="center"/>
        <w:rPr>
          <w:rFonts w:hint="eastAsia" w:hAnsi="宋体"/>
          <w:b/>
          <w:bCs/>
          <w:spacing w:val="-8"/>
          <w:sz w:val="36"/>
          <w:szCs w:val="36"/>
        </w:rPr>
      </w:pPr>
      <w:r>
        <w:rPr>
          <w:rFonts w:hint="eastAsia" w:hAnsi="宋体"/>
          <w:b/>
          <w:bCs/>
          <w:spacing w:val="-8"/>
          <w:sz w:val="36"/>
          <w:szCs w:val="36"/>
        </w:rPr>
        <w:t>重汽（济南）车桥有限公司</w:t>
      </w:r>
    </w:p>
    <w:p w14:paraId="0B8BCEED">
      <w:pPr>
        <w:jc w:val="center"/>
        <w:rPr>
          <w:rFonts w:hint="eastAsia" w:hAnsi="宋体"/>
          <w:b/>
          <w:bCs/>
          <w:spacing w:val="-8"/>
          <w:sz w:val="36"/>
          <w:szCs w:val="36"/>
        </w:rPr>
      </w:pPr>
      <w:r>
        <w:rPr>
          <w:rFonts w:hint="eastAsia" w:hAnsi="宋体"/>
          <w:b/>
          <w:bCs/>
          <w:spacing w:val="-8"/>
          <w:sz w:val="36"/>
          <w:szCs w:val="36"/>
          <w:highlight w:val="green"/>
          <w:lang w:val="en-US" w:eastAsia="zh-CN"/>
        </w:rPr>
        <w:t>桥壳点固后盖装焊夹具</w:t>
      </w:r>
      <w:r>
        <w:rPr>
          <w:rFonts w:hint="eastAsia" w:hAnsi="宋体"/>
          <w:b/>
          <w:bCs/>
          <w:spacing w:val="-8"/>
          <w:sz w:val="36"/>
          <w:szCs w:val="36"/>
          <w:highlight w:val="green"/>
        </w:rPr>
        <w:t>（QX7703-00225）招标</w:t>
      </w:r>
      <w:r>
        <w:rPr>
          <w:rFonts w:hint="eastAsia" w:hAnsi="宋体"/>
          <w:b/>
          <w:bCs/>
          <w:spacing w:val="-8"/>
          <w:sz w:val="36"/>
          <w:szCs w:val="36"/>
        </w:rPr>
        <w:t xml:space="preserve">      </w:t>
      </w:r>
    </w:p>
    <w:p w14:paraId="1B15976C">
      <w:pPr>
        <w:jc w:val="center"/>
        <w:rPr>
          <w:rFonts w:hint="eastAsia" w:ascii="黑体" w:hAnsi="宋体" w:eastAsia="黑体"/>
          <w:sz w:val="28"/>
          <w:szCs w:val="28"/>
        </w:rPr>
      </w:pPr>
      <w:r>
        <w:rPr>
          <w:rFonts w:hint="eastAsia" w:ascii="黑体" w:hAnsi="宋体" w:eastAsia="黑体"/>
          <w:sz w:val="84"/>
          <w:szCs w:val="84"/>
        </w:rPr>
        <w:t>招</w:t>
      </w:r>
    </w:p>
    <w:p w14:paraId="648402F7">
      <w:pPr>
        <w:jc w:val="center"/>
        <w:rPr>
          <w:rFonts w:hint="eastAsia" w:ascii="黑体" w:hAnsi="宋体" w:eastAsia="黑体"/>
          <w:sz w:val="28"/>
          <w:szCs w:val="28"/>
        </w:rPr>
      </w:pPr>
    </w:p>
    <w:p w14:paraId="1E5AD7C1">
      <w:pPr>
        <w:jc w:val="center"/>
        <w:rPr>
          <w:rFonts w:ascii="黑体" w:hAnsi="宋体" w:eastAsia="黑体"/>
          <w:sz w:val="36"/>
          <w:szCs w:val="36"/>
        </w:rPr>
      </w:pPr>
    </w:p>
    <w:p w14:paraId="63AFAAF1">
      <w:pPr>
        <w:jc w:val="center"/>
        <w:rPr>
          <w:rFonts w:hint="eastAsia" w:ascii="黑体" w:hAnsi="宋体" w:eastAsia="黑体"/>
          <w:sz w:val="36"/>
          <w:szCs w:val="36"/>
        </w:rPr>
      </w:pPr>
    </w:p>
    <w:p w14:paraId="72BA8799">
      <w:pPr>
        <w:jc w:val="center"/>
        <w:rPr>
          <w:rFonts w:hint="eastAsia" w:ascii="黑体" w:hAnsi="宋体" w:eastAsia="黑体"/>
          <w:sz w:val="84"/>
          <w:szCs w:val="84"/>
        </w:rPr>
      </w:pPr>
      <w:r>
        <w:rPr>
          <w:rFonts w:hint="eastAsia" w:ascii="黑体" w:hAnsi="宋体" w:eastAsia="黑体"/>
          <w:sz w:val="84"/>
          <w:szCs w:val="84"/>
        </w:rPr>
        <w:t>标</w:t>
      </w:r>
    </w:p>
    <w:p w14:paraId="7AEDD9E9">
      <w:pPr>
        <w:jc w:val="center"/>
        <w:rPr>
          <w:rFonts w:ascii="黑体" w:hAnsi="宋体" w:eastAsia="黑体"/>
          <w:sz w:val="36"/>
          <w:szCs w:val="36"/>
        </w:rPr>
      </w:pPr>
    </w:p>
    <w:p w14:paraId="329A1591">
      <w:pPr>
        <w:jc w:val="center"/>
        <w:rPr>
          <w:rFonts w:ascii="黑体" w:hAnsi="宋体" w:eastAsia="黑体"/>
          <w:sz w:val="36"/>
          <w:szCs w:val="36"/>
        </w:rPr>
      </w:pPr>
    </w:p>
    <w:p w14:paraId="0C7C549D">
      <w:pPr>
        <w:jc w:val="center"/>
        <w:rPr>
          <w:rFonts w:hint="eastAsia" w:ascii="黑体" w:hAnsi="宋体" w:eastAsia="黑体"/>
          <w:sz w:val="36"/>
          <w:szCs w:val="36"/>
        </w:rPr>
      </w:pPr>
    </w:p>
    <w:p w14:paraId="7D51C52C">
      <w:pPr>
        <w:jc w:val="center"/>
        <w:rPr>
          <w:rFonts w:hint="eastAsia" w:ascii="宋体" w:hAnsi="宋体"/>
          <w:sz w:val="36"/>
          <w:szCs w:val="36"/>
        </w:rPr>
      </w:pPr>
      <w:r>
        <w:rPr>
          <w:rFonts w:hint="eastAsia" w:ascii="黑体" w:hAnsi="宋体" w:eastAsia="黑体"/>
          <w:sz w:val="84"/>
          <w:szCs w:val="84"/>
        </w:rPr>
        <w:t>书</w:t>
      </w:r>
    </w:p>
    <w:p w14:paraId="1628B411">
      <w:pPr>
        <w:rPr>
          <w:rFonts w:hint="eastAsia" w:ascii="宋体" w:hAnsi="宋体"/>
          <w:sz w:val="28"/>
          <w:szCs w:val="28"/>
        </w:rPr>
      </w:pPr>
    </w:p>
    <w:p w14:paraId="49A8A17D">
      <w:pPr>
        <w:rPr>
          <w:rFonts w:hint="eastAsia" w:ascii="宋体" w:hAnsi="宋体"/>
          <w:sz w:val="28"/>
          <w:szCs w:val="28"/>
        </w:rPr>
      </w:pPr>
    </w:p>
    <w:p w14:paraId="05758B63">
      <w:pPr>
        <w:rPr>
          <w:rFonts w:hint="eastAsia" w:ascii="宋体" w:hAnsi="宋体"/>
          <w:sz w:val="28"/>
          <w:szCs w:val="28"/>
        </w:rPr>
      </w:pPr>
    </w:p>
    <w:p w14:paraId="68E9816F">
      <w:pPr>
        <w:jc w:val="center"/>
        <w:rPr>
          <w:rFonts w:hint="eastAsia" w:ascii="宋体" w:hAnsi="宋体"/>
          <w:sz w:val="28"/>
          <w:szCs w:val="28"/>
        </w:rPr>
      </w:pPr>
      <w:r>
        <w:rPr>
          <w:rFonts w:hint="eastAsia" w:ascii="宋体" w:hAnsi="宋体"/>
          <w:sz w:val="28"/>
          <w:szCs w:val="28"/>
        </w:rPr>
        <w:t>招 标 人：重汽（济南）车桥有限公司</w:t>
      </w:r>
    </w:p>
    <w:p w14:paraId="42354C42">
      <w:pPr>
        <w:jc w:val="center"/>
        <w:rPr>
          <w:rFonts w:hint="eastAsia" w:eastAsia="黑体"/>
          <w:b/>
          <w:bCs/>
          <w:sz w:val="36"/>
          <w:szCs w:val="36"/>
          <w:highlight w:val="green"/>
        </w:rPr>
      </w:pPr>
      <w:r>
        <w:rPr>
          <w:sz w:val="28"/>
          <w:szCs w:val="28"/>
          <w:highlight w:val="green"/>
        </w:rPr>
        <w:t>202</w:t>
      </w:r>
      <w:r>
        <w:rPr>
          <w:rFonts w:hint="eastAsia"/>
          <w:sz w:val="28"/>
          <w:szCs w:val="28"/>
          <w:highlight w:val="green"/>
        </w:rPr>
        <w:t>6年</w:t>
      </w:r>
      <w:r>
        <w:rPr>
          <w:rFonts w:hint="eastAsia"/>
          <w:sz w:val="28"/>
          <w:szCs w:val="28"/>
          <w:highlight w:val="green"/>
          <w:lang w:val="en-US" w:eastAsia="zh-CN"/>
        </w:rPr>
        <w:t>2</w:t>
      </w:r>
      <w:r>
        <w:rPr>
          <w:sz w:val="28"/>
          <w:szCs w:val="28"/>
          <w:highlight w:val="green"/>
        </w:rPr>
        <w:t>月</w:t>
      </w:r>
    </w:p>
    <w:p w14:paraId="61D177F1">
      <w:pPr>
        <w:jc w:val="center"/>
        <w:rPr>
          <w:rFonts w:hint="eastAsia" w:eastAsia="黑体"/>
          <w:b/>
          <w:bCs/>
          <w:sz w:val="36"/>
          <w:szCs w:val="36"/>
        </w:rPr>
      </w:pPr>
    </w:p>
    <w:p w14:paraId="3C5DD79A">
      <w:pPr>
        <w:jc w:val="center"/>
        <w:rPr>
          <w:rFonts w:hint="eastAsia" w:eastAsia="黑体"/>
          <w:b/>
          <w:bCs/>
          <w:sz w:val="36"/>
          <w:szCs w:val="36"/>
        </w:rPr>
      </w:pPr>
    </w:p>
    <w:p w14:paraId="19F0B6B0">
      <w:pPr>
        <w:jc w:val="center"/>
        <w:rPr>
          <w:rFonts w:hint="eastAsia" w:eastAsia="黑体"/>
          <w:b/>
          <w:bCs/>
          <w:sz w:val="36"/>
          <w:szCs w:val="36"/>
        </w:rPr>
      </w:pPr>
    </w:p>
    <w:p w14:paraId="1AC116CD">
      <w:pPr>
        <w:jc w:val="center"/>
        <w:rPr>
          <w:rFonts w:hint="eastAsia" w:eastAsia="黑体"/>
          <w:b/>
          <w:bCs/>
          <w:sz w:val="36"/>
          <w:szCs w:val="36"/>
        </w:rPr>
      </w:pPr>
      <w:r>
        <w:rPr>
          <w:rFonts w:hint="eastAsia" w:eastAsia="黑体"/>
          <w:b/>
          <w:bCs/>
          <w:sz w:val="36"/>
          <w:szCs w:val="36"/>
        </w:rPr>
        <w:t>第一章  投标说明及文件编制</w:t>
      </w:r>
    </w:p>
    <w:p w14:paraId="04AECBFA">
      <w:pPr>
        <w:pStyle w:val="13"/>
        <w:ind w:firstLine="0" w:firstLineChars="0"/>
        <w:rPr>
          <w:b/>
          <w:bCs/>
          <w:color w:val="auto"/>
          <w:sz w:val="28"/>
          <w:szCs w:val="28"/>
        </w:rPr>
      </w:pPr>
      <w:r>
        <w:rPr>
          <w:rFonts w:hint="eastAsia"/>
          <w:b/>
          <w:bCs/>
          <w:color w:val="auto"/>
          <w:sz w:val="28"/>
          <w:szCs w:val="28"/>
        </w:rPr>
        <w:t>一、投标说明</w:t>
      </w:r>
    </w:p>
    <w:p w14:paraId="5255399D">
      <w:pPr>
        <w:pStyle w:val="5"/>
        <w:spacing w:line="360" w:lineRule="auto"/>
        <w:ind w:firstLine="482" w:firstLineChars="200"/>
        <w:rPr>
          <w:rFonts w:hint="eastAsia"/>
          <w:b/>
          <w:bCs/>
          <w:sz w:val="24"/>
          <w:szCs w:val="24"/>
        </w:rPr>
      </w:pPr>
      <w:r>
        <w:rPr>
          <w:rFonts w:hint="eastAsia"/>
          <w:b/>
          <w:bCs/>
          <w:sz w:val="24"/>
          <w:szCs w:val="24"/>
        </w:rPr>
        <w:t>1、报价</w:t>
      </w:r>
    </w:p>
    <w:p w14:paraId="33BD28FA">
      <w:pPr>
        <w:pStyle w:val="13"/>
        <w:ind w:firstLine="436" w:firstLineChars="182"/>
        <w:rPr>
          <w:color w:val="auto"/>
        </w:rPr>
      </w:pPr>
      <w:r>
        <w:rPr>
          <w:rFonts w:hint="eastAsia"/>
          <w:color w:val="auto"/>
        </w:rPr>
        <w:t>（1）投标人根据招标方报价资料、技术协议等要求进行合理报价。</w:t>
      </w:r>
    </w:p>
    <w:p w14:paraId="52979220">
      <w:pPr>
        <w:pStyle w:val="13"/>
        <w:ind w:firstLine="480"/>
        <w:rPr>
          <w:color w:val="auto"/>
        </w:rPr>
      </w:pPr>
      <w:r>
        <w:rPr>
          <w:rFonts w:hint="eastAsia"/>
          <w:color w:val="auto"/>
        </w:rPr>
        <w:t>（</w:t>
      </w:r>
      <w:r>
        <w:rPr>
          <w:color w:val="auto"/>
        </w:rPr>
        <w:t>2</w:t>
      </w:r>
      <w:r>
        <w:rPr>
          <w:rFonts w:hint="eastAsia"/>
          <w:color w:val="auto"/>
        </w:rPr>
        <w:t>）所投标的标的物必须全部报价，否则投标视为无效；所有报价货币单位为：元（人民币）。报价式详见附件2。</w:t>
      </w:r>
    </w:p>
    <w:p w14:paraId="5DD22980">
      <w:pPr>
        <w:pStyle w:val="13"/>
        <w:ind w:firstLine="482"/>
        <w:rPr>
          <w:b/>
          <w:bCs/>
          <w:color w:val="auto"/>
        </w:rPr>
      </w:pPr>
      <w:r>
        <w:rPr>
          <w:rFonts w:hint="eastAsia"/>
          <w:b/>
          <w:bCs/>
          <w:color w:val="auto"/>
        </w:rPr>
        <w:t>2、询标</w:t>
      </w:r>
    </w:p>
    <w:p w14:paraId="574D34A8">
      <w:pPr>
        <w:pStyle w:val="13"/>
        <w:ind w:firstLine="480"/>
        <w:rPr>
          <w:color w:val="auto"/>
        </w:rPr>
      </w:pPr>
      <w:r>
        <w:rPr>
          <w:rFonts w:hint="eastAsia"/>
          <w:color w:val="auto"/>
        </w:rPr>
        <w:t>凡对本次招标提出的询问，技术方面可咨询重汽（济南）车桥公司</w:t>
      </w:r>
      <w:r>
        <w:rPr>
          <w:rFonts w:hint="eastAsia"/>
          <w:highlight w:val="green"/>
          <w:lang w:val="en-US" w:eastAsia="zh-CN"/>
        </w:rPr>
        <w:t>桥壳加工一部冲焊车间</w:t>
      </w:r>
      <w:r>
        <w:rPr>
          <w:rFonts w:hint="eastAsia"/>
          <w:color w:val="auto"/>
        </w:rPr>
        <w:t>，咨询电话</w:t>
      </w:r>
      <w:r>
        <w:rPr>
          <w:rFonts w:hint="eastAsia"/>
          <w:highlight w:val="green"/>
        </w:rPr>
        <w:t>17615861231谢</w:t>
      </w:r>
      <w:r>
        <w:rPr>
          <w:rFonts w:hint="eastAsia"/>
          <w:highlight w:val="green"/>
          <w:lang w:val="en-US" w:eastAsia="zh-CN"/>
        </w:rPr>
        <w:t>超</w:t>
      </w:r>
      <w:r>
        <w:rPr>
          <w:rFonts w:hint="eastAsia"/>
          <w:color w:val="auto"/>
        </w:rPr>
        <w:t>，均以招标方的传真、邮件、书面答复为准。</w:t>
      </w:r>
    </w:p>
    <w:p w14:paraId="2AFCA3B0">
      <w:pPr>
        <w:pStyle w:val="13"/>
        <w:ind w:firstLine="439" w:firstLineChars="182"/>
        <w:rPr>
          <w:b/>
          <w:bCs/>
          <w:color w:val="auto"/>
        </w:rPr>
      </w:pPr>
      <w:r>
        <w:rPr>
          <w:rFonts w:hint="eastAsia"/>
          <w:b/>
          <w:bCs/>
          <w:color w:val="auto"/>
        </w:rPr>
        <w:t>3、投标文件的组成</w:t>
      </w:r>
    </w:p>
    <w:p w14:paraId="12355F13">
      <w:pPr>
        <w:spacing w:line="460" w:lineRule="exact"/>
        <w:ind w:firstLine="482" w:firstLineChars="200"/>
        <w:rPr>
          <w:rFonts w:hint="eastAsia" w:ascii="宋体" w:hAnsi="宋体"/>
          <w:b/>
          <w:bCs/>
          <w:sz w:val="24"/>
        </w:rPr>
      </w:pPr>
      <w:r>
        <w:rPr>
          <w:rFonts w:hint="eastAsia" w:ascii="宋体" w:hAnsi="宋体"/>
          <w:b/>
          <w:bCs/>
          <w:sz w:val="24"/>
        </w:rPr>
        <w:t>3.1技术标：</w:t>
      </w:r>
    </w:p>
    <w:p w14:paraId="1BD2216C">
      <w:pPr>
        <w:pStyle w:val="13"/>
        <w:ind w:firstLine="480"/>
        <w:jc w:val="left"/>
        <w:rPr>
          <w:rFonts w:hint="eastAsia"/>
          <w:color w:val="auto"/>
        </w:rPr>
      </w:pPr>
      <w:r>
        <w:rPr>
          <w:rFonts w:hint="eastAsia"/>
          <w:color w:val="auto"/>
        </w:rPr>
        <w:t>(</w:t>
      </w:r>
      <w:r>
        <w:rPr>
          <w:color w:val="auto"/>
        </w:rPr>
        <w:t>1</w:t>
      </w:r>
      <w:r>
        <w:rPr>
          <w:rFonts w:hint="eastAsia"/>
          <w:color w:val="auto"/>
        </w:rPr>
        <w:t>)工装设计方案总体描述</w:t>
      </w:r>
    </w:p>
    <w:p w14:paraId="2327FC91">
      <w:pPr>
        <w:pStyle w:val="13"/>
        <w:ind w:left="-100" w:firstLine="600" w:firstLineChars="250"/>
        <w:jc w:val="left"/>
        <w:rPr>
          <w:rFonts w:hint="eastAsia"/>
          <w:color w:val="auto"/>
        </w:rPr>
      </w:pPr>
      <w:r>
        <w:rPr>
          <w:rFonts w:hint="eastAsia"/>
          <w:color w:val="auto"/>
        </w:rPr>
        <w:t>(2)关键加工设备（提供设备品牌型号、技术参数等信息）</w:t>
      </w:r>
    </w:p>
    <w:p w14:paraId="100DD31F">
      <w:pPr>
        <w:pStyle w:val="13"/>
        <w:ind w:left="-100" w:firstLine="600" w:firstLineChars="250"/>
        <w:jc w:val="left"/>
        <w:rPr>
          <w:rFonts w:hint="eastAsia"/>
          <w:color w:val="auto"/>
        </w:rPr>
      </w:pPr>
      <w:r>
        <w:rPr>
          <w:rFonts w:hint="eastAsia"/>
          <w:color w:val="auto"/>
        </w:rPr>
        <w:t>(3)检测设备（提供设备品牌型号、技术参数等信息）</w:t>
      </w:r>
    </w:p>
    <w:p w14:paraId="2C5C4413">
      <w:pPr>
        <w:pStyle w:val="13"/>
        <w:ind w:left="-100" w:firstLine="600" w:firstLineChars="250"/>
        <w:jc w:val="left"/>
        <w:rPr>
          <w:rFonts w:hint="eastAsia"/>
          <w:color w:val="auto"/>
        </w:rPr>
      </w:pPr>
      <w:r>
        <w:rPr>
          <w:rFonts w:hint="eastAsia"/>
          <w:color w:val="auto"/>
        </w:rPr>
        <w:t>(4)工装模具设计能力</w:t>
      </w:r>
      <w:r>
        <w:rPr>
          <w:color w:val="auto"/>
        </w:rPr>
        <w:t>及制作工艺水平（</w:t>
      </w:r>
      <w:r>
        <w:rPr>
          <w:rFonts w:hint="eastAsia"/>
          <w:color w:val="auto"/>
        </w:rPr>
        <w:t>提供中高级职称人员证书复印件、</w:t>
      </w:r>
      <w:r>
        <w:rPr>
          <w:color w:val="auto"/>
        </w:rPr>
        <w:t>制作工艺描述等）</w:t>
      </w:r>
    </w:p>
    <w:p w14:paraId="567E6DDD">
      <w:pPr>
        <w:pStyle w:val="13"/>
        <w:ind w:left="-100" w:firstLine="600" w:firstLineChars="250"/>
        <w:jc w:val="left"/>
        <w:rPr>
          <w:rFonts w:hint="eastAsia"/>
          <w:color w:val="auto"/>
        </w:rPr>
      </w:pPr>
      <w:r>
        <w:rPr>
          <w:rFonts w:hint="eastAsia"/>
          <w:color w:val="auto"/>
        </w:rPr>
        <w:t>(5)计算机模拟能力</w:t>
      </w:r>
      <w:r>
        <w:rPr>
          <w:color w:val="auto"/>
        </w:rPr>
        <w:t>（</w:t>
      </w:r>
      <w:r>
        <w:rPr>
          <w:rFonts w:hint="eastAsia"/>
          <w:color w:val="auto"/>
        </w:rPr>
        <w:t>提供三维设计软件等资料信息）</w:t>
      </w:r>
    </w:p>
    <w:p w14:paraId="4E6AC896">
      <w:pPr>
        <w:pStyle w:val="13"/>
        <w:ind w:left="-100" w:firstLine="600" w:firstLineChars="250"/>
        <w:jc w:val="left"/>
        <w:rPr>
          <w:rFonts w:hint="eastAsia"/>
          <w:color w:val="auto"/>
        </w:rPr>
      </w:pPr>
      <w:r>
        <w:rPr>
          <w:rFonts w:hint="eastAsia"/>
          <w:color w:val="auto"/>
        </w:rPr>
        <w:t>(6)质保期及售后服务能力</w:t>
      </w:r>
    </w:p>
    <w:p w14:paraId="2E289D1B">
      <w:pPr>
        <w:pStyle w:val="13"/>
        <w:ind w:left="-100" w:firstLine="600" w:firstLineChars="250"/>
        <w:jc w:val="left"/>
        <w:rPr>
          <w:color w:val="auto"/>
        </w:rPr>
      </w:pPr>
      <w:r>
        <w:rPr>
          <w:rFonts w:hint="eastAsia"/>
          <w:color w:val="auto"/>
        </w:rPr>
        <w:t>(7)产品供货计划或生产加工计划</w:t>
      </w:r>
    </w:p>
    <w:p w14:paraId="7C4DE3EB">
      <w:pPr>
        <w:pStyle w:val="13"/>
        <w:ind w:firstLine="439" w:firstLineChars="183"/>
        <w:jc w:val="left"/>
        <w:rPr>
          <w:rFonts w:hint="eastAsia"/>
          <w:color w:val="auto"/>
        </w:rPr>
      </w:pPr>
      <w:r>
        <w:rPr>
          <w:rFonts w:hint="eastAsia"/>
          <w:color w:val="auto"/>
        </w:rPr>
        <w:t>（8）类似业绩并提供合同复印件（格式</w:t>
      </w:r>
      <w:r>
        <w:rPr>
          <w:color w:val="auto"/>
        </w:rPr>
        <w:t>6</w:t>
      </w:r>
      <w:r>
        <w:rPr>
          <w:rFonts w:hint="eastAsia"/>
          <w:color w:val="auto"/>
        </w:rPr>
        <w:t>）</w:t>
      </w:r>
    </w:p>
    <w:p w14:paraId="492F44F4">
      <w:pPr>
        <w:pStyle w:val="13"/>
        <w:ind w:left="-100" w:firstLine="600" w:firstLineChars="250"/>
        <w:jc w:val="left"/>
        <w:rPr>
          <w:rFonts w:hint="eastAsia"/>
          <w:color w:val="auto"/>
        </w:rPr>
      </w:pPr>
      <w:r>
        <w:rPr>
          <w:rFonts w:hint="eastAsia"/>
          <w:color w:val="auto"/>
        </w:rPr>
        <w:t>(</w:t>
      </w:r>
      <w:r>
        <w:rPr>
          <w:color w:val="auto"/>
        </w:rPr>
        <w:t>9</w:t>
      </w:r>
      <w:r>
        <w:rPr>
          <w:rFonts w:hint="eastAsia"/>
          <w:color w:val="auto"/>
        </w:rPr>
        <w:t>)</w:t>
      </w:r>
      <w:r>
        <w:rPr>
          <w:color w:val="auto"/>
        </w:rPr>
        <w:t xml:space="preserve"> </w:t>
      </w:r>
      <w:r>
        <w:rPr>
          <w:rFonts w:hint="eastAsia"/>
          <w:color w:val="auto"/>
        </w:rPr>
        <w:t>技术规格偏离表（格式5）</w:t>
      </w:r>
    </w:p>
    <w:p w14:paraId="3226611A">
      <w:pPr>
        <w:spacing w:line="460" w:lineRule="exact"/>
        <w:ind w:firstLine="482" w:firstLineChars="200"/>
        <w:rPr>
          <w:rFonts w:hint="eastAsia" w:ascii="宋体" w:hAnsi="宋体"/>
          <w:b/>
          <w:bCs/>
          <w:sz w:val="24"/>
        </w:rPr>
      </w:pPr>
      <w:r>
        <w:rPr>
          <w:rFonts w:hint="eastAsia" w:ascii="宋体" w:hAnsi="宋体"/>
          <w:b/>
          <w:bCs/>
          <w:sz w:val="24"/>
        </w:rPr>
        <w:t>3．2商务标（开标一览表）：</w:t>
      </w:r>
    </w:p>
    <w:p w14:paraId="056D7BB3">
      <w:pPr>
        <w:pStyle w:val="13"/>
        <w:ind w:firstLine="439" w:firstLineChars="183"/>
        <w:rPr>
          <w:rFonts w:hint="eastAsia"/>
          <w:color w:val="auto"/>
        </w:rPr>
      </w:pPr>
      <w:r>
        <w:rPr>
          <w:rFonts w:hint="eastAsia"/>
          <w:color w:val="auto"/>
        </w:rPr>
        <w:t>（1）报价单（格式2）</w:t>
      </w:r>
    </w:p>
    <w:p w14:paraId="7EA294E8">
      <w:pPr>
        <w:pStyle w:val="13"/>
        <w:ind w:firstLine="439" w:firstLineChars="183"/>
        <w:rPr>
          <w:rFonts w:hint="eastAsia"/>
          <w:color w:val="auto"/>
        </w:rPr>
      </w:pPr>
      <w:r>
        <w:rPr>
          <w:rFonts w:hint="eastAsia"/>
          <w:color w:val="auto"/>
        </w:rPr>
        <w:t>（2）报价明细表</w:t>
      </w:r>
      <w:r>
        <w:rPr>
          <w:color w:val="auto"/>
        </w:rPr>
        <w:t>—</w:t>
      </w:r>
      <w:r>
        <w:rPr>
          <w:rFonts w:hint="eastAsia"/>
          <w:color w:val="auto"/>
        </w:rPr>
        <w:t>采购分解报价表（格式3中报价汇总表）</w:t>
      </w:r>
    </w:p>
    <w:p w14:paraId="16833A32">
      <w:pPr>
        <w:pStyle w:val="13"/>
        <w:ind w:firstLine="439" w:firstLineChars="183"/>
        <w:rPr>
          <w:rFonts w:hint="eastAsia"/>
          <w:color w:val="auto"/>
        </w:rPr>
      </w:pPr>
      <w:r>
        <w:rPr>
          <w:rFonts w:hint="eastAsia"/>
          <w:color w:val="auto"/>
        </w:rPr>
        <w:t>（3）商务条款偏离表（格式4）</w:t>
      </w:r>
    </w:p>
    <w:p w14:paraId="38A0A93E">
      <w:pPr>
        <w:pStyle w:val="13"/>
        <w:ind w:firstLine="434" w:firstLineChars="180"/>
        <w:rPr>
          <w:b/>
          <w:bCs/>
          <w:color w:val="auto"/>
        </w:rPr>
      </w:pPr>
      <w:r>
        <w:rPr>
          <w:rFonts w:hint="eastAsia"/>
          <w:b/>
          <w:bCs/>
          <w:color w:val="auto"/>
        </w:rPr>
        <w:t>3.3资质证明文件：</w:t>
      </w:r>
    </w:p>
    <w:p w14:paraId="33A206B2">
      <w:pPr>
        <w:pStyle w:val="5"/>
        <w:spacing w:line="360" w:lineRule="auto"/>
        <w:ind w:firstLine="235" w:firstLineChars="98"/>
        <w:rPr>
          <w:rFonts w:hint="eastAsia"/>
          <w:b/>
          <w:sz w:val="24"/>
          <w:szCs w:val="24"/>
        </w:rPr>
      </w:pPr>
      <w:r>
        <w:rPr>
          <w:rFonts w:hint="eastAsia"/>
          <w:sz w:val="24"/>
          <w:szCs w:val="24"/>
        </w:rPr>
        <w:t>（1）投标人提供具有统一社会信用代码的营业执照副本复印件；必须是独立法人机构，具有独立承担民事责任能力，投标人注册资金不低于投标报价且不低于壹佰万元；公司成立三年以上（以营业执照成立日期到开标当日满三年为准）；且经营范围满足招标人需求；</w:t>
      </w:r>
    </w:p>
    <w:p w14:paraId="0870CAAA">
      <w:pPr>
        <w:pStyle w:val="5"/>
        <w:spacing w:line="360" w:lineRule="auto"/>
        <w:ind w:firstLine="240" w:firstLineChars="100"/>
        <w:rPr>
          <w:sz w:val="24"/>
          <w:szCs w:val="24"/>
        </w:rPr>
      </w:pPr>
      <w:r>
        <w:rPr>
          <w:rFonts w:hint="eastAsia"/>
          <w:sz w:val="24"/>
          <w:szCs w:val="24"/>
        </w:rPr>
        <w:t>（</w:t>
      </w:r>
      <w:r>
        <w:rPr>
          <w:sz w:val="24"/>
          <w:szCs w:val="24"/>
        </w:rPr>
        <w:t>2</w:t>
      </w:r>
      <w:r>
        <w:rPr>
          <w:rFonts w:hint="eastAsia"/>
          <w:sz w:val="24"/>
          <w:szCs w:val="24"/>
        </w:rPr>
        <w:t>）投标人</w:t>
      </w:r>
      <w:r>
        <w:rPr>
          <w:rFonts w:hAnsi="宋体"/>
          <w:sz w:val="24"/>
          <w:szCs w:val="24"/>
        </w:rPr>
        <w:t>在人员、设备、资金</w:t>
      </w:r>
      <w:r>
        <w:rPr>
          <w:rFonts w:hint="eastAsia" w:hAnsi="宋体"/>
          <w:sz w:val="24"/>
          <w:szCs w:val="24"/>
        </w:rPr>
        <w:t>，环保</w:t>
      </w:r>
      <w:r>
        <w:rPr>
          <w:rFonts w:hAnsi="宋体"/>
          <w:sz w:val="24"/>
          <w:szCs w:val="24"/>
        </w:rPr>
        <w:t>等方面具有承担本</w:t>
      </w:r>
      <w:r>
        <w:rPr>
          <w:rFonts w:hint="eastAsia" w:hAnsi="宋体"/>
          <w:sz w:val="24"/>
          <w:szCs w:val="24"/>
        </w:rPr>
        <w:t>项目</w:t>
      </w:r>
      <w:r>
        <w:rPr>
          <w:rFonts w:hAnsi="宋体"/>
          <w:sz w:val="24"/>
          <w:szCs w:val="24"/>
        </w:rPr>
        <w:t>的</w:t>
      </w:r>
      <w:r>
        <w:rPr>
          <w:rFonts w:hint="eastAsia"/>
          <w:sz w:val="24"/>
          <w:szCs w:val="24"/>
        </w:rPr>
        <w:t>履约能力信息资料；</w:t>
      </w:r>
    </w:p>
    <w:p w14:paraId="4CAC6530">
      <w:pPr>
        <w:spacing w:line="360" w:lineRule="auto"/>
        <w:ind w:firstLine="240" w:firstLineChars="100"/>
        <w:rPr>
          <w:sz w:val="24"/>
          <w:szCs w:val="24"/>
        </w:rPr>
      </w:pPr>
      <w:r>
        <w:rPr>
          <w:rFonts w:hint="eastAsia"/>
          <w:sz w:val="24"/>
          <w:szCs w:val="24"/>
        </w:rPr>
        <w:t>（</w:t>
      </w:r>
      <w:r>
        <w:rPr>
          <w:sz w:val="24"/>
          <w:szCs w:val="24"/>
        </w:rPr>
        <w:t>3）投标人</w:t>
      </w:r>
      <w:r>
        <w:rPr>
          <w:rFonts w:hint="eastAsia"/>
          <w:sz w:val="24"/>
          <w:szCs w:val="24"/>
        </w:rPr>
        <w:t>在“国家企业信用信息公示系统”、“中国执行信息公开网”、“信用中国”、“天眼查”“裁判文书网”等信息平台中，</w:t>
      </w:r>
      <w:r>
        <w:rPr>
          <w:sz w:val="24"/>
          <w:szCs w:val="24"/>
        </w:rPr>
        <w:t>无与招标项目相关的行政处罚</w:t>
      </w:r>
      <w:r>
        <w:rPr>
          <w:rFonts w:hint="eastAsia"/>
          <w:sz w:val="24"/>
          <w:szCs w:val="24"/>
        </w:rPr>
        <w:t>；</w:t>
      </w:r>
      <w:r>
        <w:rPr>
          <w:sz w:val="24"/>
          <w:szCs w:val="24"/>
        </w:rPr>
        <w:t xml:space="preserve"> </w:t>
      </w:r>
    </w:p>
    <w:p w14:paraId="2E07799A">
      <w:pPr>
        <w:spacing w:line="360" w:lineRule="auto"/>
        <w:ind w:firstLine="240" w:firstLineChars="100"/>
        <w:rPr>
          <w:rFonts w:hint="eastAsia"/>
          <w:sz w:val="24"/>
          <w:szCs w:val="24"/>
        </w:rPr>
      </w:pPr>
      <w:r>
        <w:rPr>
          <w:sz w:val="24"/>
          <w:szCs w:val="24"/>
        </w:rPr>
        <w:t>（4）投标人不存在严重违规或被列入招标人“黑名单”</w:t>
      </w:r>
      <w:r>
        <w:rPr>
          <w:rFonts w:hint="eastAsia"/>
          <w:sz w:val="24"/>
          <w:szCs w:val="24"/>
        </w:rPr>
        <w:t>证明；</w:t>
      </w:r>
    </w:p>
    <w:p w14:paraId="07DC2D52">
      <w:pPr>
        <w:pStyle w:val="5"/>
        <w:spacing w:line="360" w:lineRule="auto"/>
        <w:ind w:firstLine="240" w:firstLineChars="100"/>
        <w:rPr>
          <w:rFonts w:hint="eastAsia" w:hAnsi="宋体"/>
          <w:sz w:val="24"/>
          <w:szCs w:val="24"/>
        </w:rPr>
      </w:pPr>
      <w:r>
        <w:rPr>
          <w:sz w:val="24"/>
          <w:szCs w:val="24"/>
        </w:rPr>
        <w:t>（5）</w:t>
      </w:r>
      <w:r>
        <w:rPr>
          <w:rFonts w:hint="eastAsia" w:hAnsi="宋体"/>
          <w:sz w:val="24"/>
          <w:szCs w:val="24"/>
        </w:rPr>
        <w:t>投标人须提供经审计的近三年财务报表，并加盖公章，包括但不限于资产负债表、利润表、现金流量表；</w:t>
      </w:r>
    </w:p>
    <w:p w14:paraId="24698E2D">
      <w:pPr>
        <w:spacing w:line="360" w:lineRule="auto"/>
        <w:ind w:firstLine="240" w:firstLineChars="100"/>
        <w:rPr>
          <w:rFonts w:hint="eastAsia"/>
          <w:sz w:val="24"/>
          <w:szCs w:val="24"/>
        </w:rPr>
      </w:pPr>
      <w:r>
        <w:rPr>
          <w:sz w:val="24"/>
          <w:szCs w:val="24"/>
        </w:rPr>
        <w:t>（6）投标方的直接或间接股东、法定代表人、董事、监事、高管非重汽员工及其亲属</w:t>
      </w:r>
      <w:r>
        <w:rPr>
          <w:rFonts w:hint="eastAsia"/>
          <w:sz w:val="24"/>
          <w:szCs w:val="24"/>
        </w:rPr>
        <w:t>的证明；</w:t>
      </w:r>
    </w:p>
    <w:p w14:paraId="5BE5BBF2">
      <w:pPr>
        <w:spacing w:line="360" w:lineRule="auto"/>
        <w:ind w:firstLine="240" w:firstLineChars="100"/>
        <w:rPr>
          <w:rFonts w:hint="eastAsia"/>
          <w:sz w:val="24"/>
          <w:szCs w:val="24"/>
        </w:rPr>
      </w:pPr>
      <w:r>
        <w:rPr>
          <w:rFonts w:hint="eastAsia"/>
          <w:sz w:val="24"/>
          <w:szCs w:val="24"/>
        </w:rPr>
        <w:t>（</w:t>
      </w:r>
      <w:r>
        <w:rPr>
          <w:sz w:val="24"/>
          <w:szCs w:val="24"/>
        </w:rPr>
        <w:t>7</w:t>
      </w:r>
      <w:r>
        <w:rPr>
          <w:rFonts w:hint="eastAsia"/>
          <w:sz w:val="24"/>
          <w:szCs w:val="24"/>
        </w:rPr>
        <w:t>）法定代表人参加投标的，需提供身份证复印件；授权代表参加投标的，需提供法定代表人授权委托书原件及法定代表人、授权代表身份证复印件</w:t>
      </w:r>
      <w:r>
        <w:rPr>
          <w:rFonts w:hint="eastAsia" w:hAnsi="宋体"/>
          <w:sz w:val="24"/>
          <w:szCs w:val="24"/>
        </w:rPr>
        <w:t>（格式1）</w:t>
      </w:r>
      <w:r>
        <w:rPr>
          <w:rFonts w:hint="eastAsia"/>
          <w:sz w:val="24"/>
          <w:szCs w:val="24"/>
        </w:rPr>
        <w:t>；</w:t>
      </w:r>
    </w:p>
    <w:p w14:paraId="09D01D9B">
      <w:pPr>
        <w:pStyle w:val="5"/>
        <w:spacing w:line="360" w:lineRule="auto"/>
        <w:ind w:firstLine="240" w:firstLineChars="100"/>
        <w:rPr>
          <w:rFonts w:hint="eastAsia" w:hAnsi="宋体"/>
          <w:sz w:val="24"/>
          <w:szCs w:val="24"/>
        </w:rPr>
      </w:pPr>
      <w:r>
        <w:rPr>
          <w:rFonts w:hint="eastAsia"/>
          <w:sz w:val="24"/>
          <w:szCs w:val="24"/>
        </w:rPr>
        <w:t>（8）</w:t>
      </w:r>
      <w:r>
        <w:rPr>
          <w:rFonts w:hint="eastAsia" w:hAnsi="宋体"/>
          <w:sz w:val="24"/>
          <w:szCs w:val="24"/>
        </w:rPr>
        <w:t>投标人《投标保证金缴纳凭证》证明及投标保证金退付表（格式7）；</w:t>
      </w:r>
    </w:p>
    <w:p w14:paraId="7438525E">
      <w:pPr>
        <w:pStyle w:val="5"/>
        <w:spacing w:line="360" w:lineRule="auto"/>
        <w:ind w:firstLine="240" w:firstLineChars="100"/>
        <w:rPr>
          <w:rFonts w:hint="eastAsia" w:hAnsi="宋体"/>
          <w:sz w:val="24"/>
          <w:szCs w:val="24"/>
        </w:rPr>
      </w:pPr>
      <w:r>
        <w:rPr>
          <w:rFonts w:hint="eastAsia" w:hAnsi="宋体"/>
          <w:sz w:val="24"/>
          <w:szCs w:val="24"/>
        </w:rPr>
        <w:t xml:space="preserve">（9）企业最近半年完税证明、信用证明材料（征信报告）； </w:t>
      </w:r>
    </w:p>
    <w:p w14:paraId="67DF4E95">
      <w:pPr>
        <w:pStyle w:val="5"/>
        <w:spacing w:line="360" w:lineRule="auto"/>
        <w:ind w:firstLine="240" w:firstLineChars="100"/>
        <w:rPr>
          <w:rFonts w:hint="eastAsia" w:hAnsi="宋体"/>
          <w:sz w:val="24"/>
          <w:szCs w:val="24"/>
        </w:rPr>
      </w:pPr>
      <w:r>
        <w:rPr>
          <w:rFonts w:hint="eastAsia"/>
          <w:sz w:val="24"/>
          <w:szCs w:val="24"/>
        </w:rPr>
        <w:t>（10）</w:t>
      </w:r>
      <w:r>
        <w:rPr>
          <w:rFonts w:hint="eastAsia" w:hAnsi="宋体"/>
          <w:sz w:val="24"/>
          <w:szCs w:val="24"/>
        </w:rPr>
        <w:t xml:space="preserve">年度纳税信用评价信息（可从电子税务局查询截图，需加盖公章）； </w:t>
      </w:r>
    </w:p>
    <w:p w14:paraId="54A8FCD0">
      <w:pPr>
        <w:pStyle w:val="5"/>
        <w:spacing w:line="360" w:lineRule="auto"/>
        <w:ind w:firstLine="240" w:firstLineChars="100"/>
        <w:rPr>
          <w:rFonts w:hint="eastAsia" w:hAnsi="宋体"/>
          <w:sz w:val="24"/>
          <w:szCs w:val="24"/>
        </w:rPr>
      </w:pPr>
      <w:r>
        <w:rPr>
          <w:rFonts w:hint="eastAsia"/>
          <w:sz w:val="24"/>
          <w:szCs w:val="24"/>
        </w:rPr>
        <w:t>（11）</w:t>
      </w:r>
      <w:r>
        <w:rPr>
          <w:rFonts w:hint="eastAsia" w:hAnsi="宋体"/>
          <w:sz w:val="24"/>
          <w:szCs w:val="24"/>
        </w:rPr>
        <w:t>企业对外担保说明（写明贵单位对外有无对外担保和质押业务，需加盖公章）；</w:t>
      </w:r>
    </w:p>
    <w:p w14:paraId="42F0A447">
      <w:pPr>
        <w:pStyle w:val="5"/>
        <w:spacing w:line="360" w:lineRule="auto"/>
        <w:ind w:firstLine="240" w:firstLineChars="100"/>
        <w:rPr>
          <w:rFonts w:hint="eastAsia" w:hAnsi="宋体"/>
          <w:sz w:val="24"/>
          <w:szCs w:val="24"/>
        </w:rPr>
      </w:pPr>
      <w:r>
        <w:rPr>
          <w:rFonts w:hint="eastAsia" w:hAnsi="宋体"/>
          <w:sz w:val="24"/>
          <w:szCs w:val="24"/>
        </w:rPr>
        <w:t>（12）</w:t>
      </w:r>
      <w:r>
        <w:rPr>
          <w:rFonts w:hAnsi="宋体"/>
          <w:sz w:val="24"/>
          <w:szCs w:val="24"/>
        </w:rPr>
        <w:t>投标人不存在与本项目有关的违法及重大违规情况。</w:t>
      </w:r>
    </w:p>
    <w:p w14:paraId="25AE3B75">
      <w:pPr>
        <w:pStyle w:val="5"/>
        <w:spacing w:line="360" w:lineRule="auto"/>
        <w:ind w:firstLine="240" w:firstLineChars="100"/>
        <w:rPr>
          <w:rFonts w:hint="eastAsia" w:hAnsi="宋体"/>
          <w:sz w:val="24"/>
          <w:szCs w:val="24"/>
        </w:rPr>
      </w:pPr>
      <w:r>
        <w:rPr>
          <w:rFonts w:hint="eastAsia" w:hAnsi="宋体"/>
          <w:sz w:val="24"/>
          <w:szCs w:val="24"/>
        </w:rPr>
        <w:t>（13）投标方应保证所供货物（或设备）必须符合当前国家或地方最新安全、环保、职业健康最新法律、法规及《机械制造企业安全生产标准化规范》各项要求。确保货物在使用管理过程中满足《职业健康安全管理体系》、《环境管理体系》等方面的国家标准、规范及地方规章要求。</w:t>
      </w:r>
    </w:p>
    <w:p w14:paraId="24AD6594">
      <w:pPr>
        <w:spacing w:line="336" w:lineRule="auto"/>
        <w:ind w:firstLine="446" w:firstLineChars="185"/>
        <w:rPr>
          <w:rFonts w:ascii="宋体" w:hAnsi="宋体"/>
          <w:b/>
          <w:bCs/>
          <w:sz w:val="24"/>
          <w:szCs w:val="24"/>
        </w:rPr>
      </w:pPr>
      <w:r>
        <w:rPr>
          <w:rFonts w:hint="eastAsia" w:ascii="宋体" w:hAnsi="宋体"/>
          <w:b/>
          <w:bCs/>
          <w:sz w:val="24"/>
          <w:szCs w:val="24"/>
        </w:rPr>
        <w:t>3.4投标文件的装订</w:t>
      </w:r>
    </w:p>
    <w:p w14:paraId="4FBF077E">
      <w:pPr>
        <w:pStyle w:val="13"/>
        <w:ind w:firstLine="439" w:firstLineChars="183"/>
        <w:rPr>
          <w:rFonts w:hint="eastAsia"/>
          <w:color w:val="auto"/>
        </w:rPr>
      </w:pPr>
      <w:r>
        <w:rPr>
          <w:rFonts w:hint="eastAsia"/>
          <w:color w:val="auto"/>
        </w:rPr>
        <w:t>（1）投标文件按统一格式填写，装订成册。</w:t>
      </w:r>
    </w:p>
    <w:p w14:paraId="6F0BF934">
      <w:pPr>
        <w:pStyle w:val="13"/>
        <w:ind w:firstLine="439" w:firstLineChars="183"/>
        <w:rPr>
          <w:rFonts w:hint="eastAsia"/>
          <w:color w:val="auto"/>
        </w:rPr>
      </w:pPr>
      <w:r>
        <w:rPr>
          <w:rFonts w:hint="eastAsia"/>
          <w:color w:val="auto"/>
        </w:rPr>
        <w:t>（2）投标文件商务标、技术标各一式五份（一正四副），开标一览表一份，资质文件一份。</w:t>
      </w:r>
    </w:p>
    <w:p w14:paraId="6B9BFC60">
      <w:pPr>
        <w:pStyle w:val="14"/>
        <w:ind w:firstLine="240" w:firstLineChars="100"/>
        <w:rPr>
          <w:rFonts w:hint="eastAsia"/>
          <w:color w:val="auto"/>
        </w:rPr>
      </w:pPr>
      <w:r>
        <w:rPr>
          <w:rFonts w:hint="eastAsia"/>
          <w:color w:val="auto"/>
        </w:rPr>
        <w:t>特别要求，商务标、技术标、资质文件一定要分开密封。</w:t>
      </w:r>
    </w:p>
    <w:p w14:paraId="7A85DBD4">
      <w:pPr>
        <w:pStyle w:val="14"/>
        <w:ind w:firstLine="480"/>
        <w:rPr>
          <w:rFonts w:hint="eastAsia"/>
          <w:bCs/>
          <w:color w:val="auto"/>
        </w:rPr>
      </w:pPr>
      <w:r>
        <w:rPr>
          <w:rFonts w:hint="eastAsia"/>
          <w:bCs/>
          <w:color w:val="auto"/>
        </w:rPr>
        <w:t>4、投标方需将商务标书、技术标书、资质证明文件加盖公章后，分别作成PDF电子版，在重汽E采通系统应标使用。</w:t>
      </w:r>
    </w:p>
    <w:p w14:paraId="67FDE19B">
      <w:pPr>
        <w:pStyle w:val="14"/>
        <w:ind w:firstLine="480"/>
        <w:rPr>
          <w:color w:val="auto"/>
        </w:rPr>
      </w:pPr>
      <w:r>
        <w:rPr>
          <w:rFonts w:hint="eastAsia"/>
          <w:bCs/>
          <w:color w:val="auto"/>
        </w:rPr>
        <w:t>5、本次招标通过资质审验的投标方进入开标环节,采取技术标、商务标分开评标的模式。</w:t>
      </w:r>
    </w:p>
    <w:p w14:paraId="005EB8AA">
      <w:pPr>
        <w:pStyle w:val="5"/>
        <w:spacing w:line="360" w:lineRule="auto"/>
        <w:rPr>
          <w:rFonts w:hint="eastAsia" w:hAnsi="宋体"/>
          <w:b/>
          <w:bCs/>
          <w:sz w:val="28"/>
          <w:szCs w:val="28"/>
        </w:rPr>
      </w:pPr>
      <w:r>
        <w:rPr>
          <w:rFonts w:hint="eastAsia"/>
          <w:b/>
          <w:bCs/>
          <w:sz w:val="28"/>
          <w:szCs w:val="28"/>
        </w:rPr>
        <w:t>二、议程安排</w:t>
      </w:r>
    </w:p>
    <w:p w14:paraId="3F129035">
      <w:pPr>
        <w:pStyle w:val="13"/>
        <w:spacing w:line="460" w:lineRule="exact"/>
        <w:ind w:firstLine="480"/>
        <w:rPr>
          <w:rFonts w:hint="eastAsia" w:ascii="Times New Roman" w:hAnsi="Times New Roman"/>
          <w:color w:val="0000FF"/>
        </w:rPr>
      </w:pPr>
      <w:r>
        <w:rPr>
          <w:rFonts w:hint="eastAsia" w:ascii="Times New Roman" w:hAnsi="Times New Roman"/>
          <w:color w:val="0000FF"/>
        </w:rPr>
        <w:t>1、公告时间：2026年2月9日（若有变动另行通知）</w:t>
      </w:r>
    </w:p>
    <w:p w14:paraId="53BD4967">
      <w:pPr>
        <w:pStyle w:val="13"/>
        <w:spacing w:line="460" w:lineRule="exact"/>
        <w:ind w:firstLine="480"/>
        <w:rPr>
          <w:rFonts w:hint="eastAsia" w:ascii="Times New Roman" w:hAnsi="Times New Roman"/>
          <w:color w:val="0000FF"/>
        </w:rPr>
      </w:pPr>
      <w:r>
        <w:rPr>
          <w:rFonts w:hint="eastAsia" w:ascii="Times New Roman" w:hAnsi="Times New Roman"/>
          <w:color w:val="0000FF"/>
        </w:rPr>
        <w:t>2、报名截止时间：2026年2月14日18点（若有变动另行通知）</w:t>
      </w:r>
    </w:p>
    <w:p w14:paraId="15A87F6D">
      <w:pPr>
        <w:pStyle w:val="13"/>
        <w:spacing w:line="460" w:lineRule="exact"/>
        <w:ind w:firstLine="480"/>
        <w:rPr>
          <w:rFonts w:hint="eastAsia" w:ascii="Times New Roman" w:hAnsi="Times New Roman"/>
          <w:color w:val="0000FF"/>
        </w:rPr>
      </w:pPr>
      <w:r>
        <w:rPr>
          <w:rFonts w:hint="eastAsia" w:ascii="Times New Roman" w:hAnsi="Times New Roman"/>
          <w:color w:val="0000FF"/>
        </w:rPr>
        <w:t>3、重汽E采通系统应标截止时间：2026年2月14日18点</w:t>
      </w:r>
    </w:p>
    <w:p w14:paraId="6D8C3D89">
      <w:pPr>
        <w:pStyle w:val="13"/>
        <w:spacing w:line="460" w:lineRule="exact"/>
        <w:ind w:firstLine="480"/>
        <w:rPr>
          <w:rFonts w:hint="eastAsia" w:ascii="Times New Roman" w:hAnsi="Times New Roman"/>
          <w:color w:val="0000FF"/>
        </w:rPr>
      </w:pPr>
      <w:r>
        <w:rPr>
          <w:rFonts w:hint="eastAsia" w:ascii="Times New Roman" w:hAnsi="Times New Roman"/>
          <w:color w:val="0000FF"/>
        </w:rPr>
        <w:t>4、技术答疑</w:t>
      </w:r>
    </w:p>
    <w:p w14:paraId="117154F1">
      <w:pPr>
        <w:pStyle w:val="13"/>
        <w:spacing w:line="460" w:lineRule="exact"/>
        <w:ind w:firstLine="480"/>
        <w:rPr>
          <w:rFonts w:hint="eastAsia" w:ascii="Times New Roman" w:hAnsi="Times New Roman"/>
          <w:color w:val="0000FF"/>
        </w:rPr>
      </w:pPr>
      <w:r>
        <w:rPr>
          <w:rFonts w:hint="eastAsia" w:ascii="Times New Roman" w:hAnsi="Times New Roman"/>
          <w:color w:val="0000FF"/>
        </w:rPr>
        <w:t>答疑时间：截止至2026年 2月14日18点前，逾期不受理</w:t>
      </w:r>
    </w:p>
    <w:p w14:paraId="143928E7">
      <w:pPr>
        <w:pStyle w:val="13"/>
        <w:spacing w:line="460" w:lineRule="exact"/>
        <w:ind w:firstLine="480"/>
        <w:rPr>
          <w:rFonts w:hint="eastAsia" w:ascii="Times New Roman" w:hAnsi="Times New Roman"/>
          <w:color w:val="auto"/>
          <w:highlight w:val="green"/>
        </w:rPr>
      </w:pPr>
      <w:r>
        <w:rPr>
          <w:rFonts w:hint="eastAsia" w:ascii="Times New Roman" w:hAnsi="Times New Roman"/>
          <w:color w:val="auto"/>
          <w:highlight w:val="green"/>
        </w:rPr>
        <w:t>答疑方式：书面、传真、邮件</w:t>
      </w:r>
    </w:p>
    <w:p w14:paraId="12C96589">
      <w:pPr>
        <w:pStyle w:val="13"/>
        <w:spacing w:line="460" w:lineRule="exact"/>
        <w:ind w:firstLine="480"/>
        <w:rPr>
          <w:rFonts w:hint="eastAsia"/>
          <w:color w:val="auto"/>
          <w:highlight w:val="green"/>
        </w:rPr>
      </w:pPr>
      <w:r>
        <w:rPr>
          <w:rFonts w:hint="eastAsia"/>
          <w:color w:val="auto"/>
          <w:highlight w:val="green"/>
        </w:rPr>
        <w:t xml:space="preserve">联 系 人： 谢超 </w:t>
      </w:r>
    </w:p>
    <w:p w14:paraId="657AA91D">
      <w:pPr>
        <w:pStyle w:val="13"/>
        <w:spacing w:line="460" w:lineRule="exact"/>
        <w:ind w:firstLine="480"/>
        <w:rPr>
          <w:rFonts w:hint="eastAsia" w:ascii="Times New Roman" w:hAnsi="Times New Roman"/>
          <w:color w:val="auto"/>
          <w:highlight w:val="green"/>
        </w:rPr>
      </w:pPr>
      <w:r>
        <w:rPr>
          <w:rFonts w:hint="eastAsia"/>
          <w:color w:val="auto"/>
          <w:highlight w:val="green"/>
        </w:rPr>
        <w:t>电    话：</w:t>
      </w:r>
      <w:r>
        <w:rPr>
          <w:rFonts w:hint="eastAsia" w:ascii="Times New Roman" w:hAnsi="Times New Roman"/>
          <w:color w:val="auto"/>
          <w:highlight w:val="green"/>
        </w:rPr>
        <w:t>0531-58068419</w:t>
      </w:r>
      <w:r>
        <w:rPr>
          <w:rFonts w:hint="eastAsia"/>
          <w:color w:val="auto"/>
          <w:highlight w:val="green"/>
        </w:rPr>
        <w:t xml:space="preserve"> </w:t>
      </w:r>
      <w:r>
        <w:rPr>
          <w:rFonts w:hint="eastAsia" w:ascii="Times New Roman" w:hAnsi="Times New Roman"/>
          <w:color w:val="auto"/>
          <w:highlight w:val="green"/>
        </w:rPr>
        <w:t xml:space="preserve"> 17615861231 </w:t>
      </w:r>
    </w:p>
    <w:p w14:paraId="28CA21D1">
      <w:pPr>
        <w:pStyle w:val="13"/>
        <w:spacing w:line="460" w:lineRule="exact"/>
        <w:ind w:firstLine="480"/>
        <w:rPr>
          <w:color w:val="0000FF"/>
        </w:rPr>
      </w:pPr>
      <w:r>
        <w:rPr>
          <w:rFonts w:hint="eastAsia"/>
          <w:color w:val="0000FF"/>
        </w:rPr>
        <w:t>5、商务答疑</w:t>
      </w:r>
    </w:p>
    <w:p w14:paraId="097CD336">
      <w:pPr>
        <w:pStyle w:val="13"/>
        <w:ind w:firstLine="480"/>
        <w:rPr>
          <w:rFonts w:hint="eastAsia"/>
          <w:color w:val="0000FF"/>
        </w:rPr>
      </w:pPr>
      <w:r>
        <w:rPr>
          <w:rFonts w:hint="eastAsia"/>
          <w:color w:val="0000FF"/>
        </w:rPr>
        <w:t>答疑方式：书面、传真、邮件</w:t>
      </w:r>
    </w:p>
    <w:p w14:paraId="655976F6">
      <w:pPr>
        <w:pStyle w:val="13"/>
        <w:spacing w:line="480" w:lineRule="exact"/>
        <w:ind w:firstLine="480"/>
        <w:rPr>
          <w:rFonts w:hint="eastAsia" w:ascii="Times New Roman" w:hAnsi="Times New Roman"/>
          <w:color w:val="0000FF"/>
        </w:rPr>
      </w:pPr>
      <w:r>
        <w:rPr>
          <w:rFonts w:hint="eastAsia" w:ascii="Times New Roman" w:hAnsi="Times New Roman"/>
          <w:color w:val="0000FF"/>
        </w:rPr>
        <w:t>联系人：刘辉玲</w:t>
      </w:r>
    </w:p>
    <w:p w14:paraId="58C667A8">
      <w:pPr>
        <w:pStyle w:val="13"/>
        <w:spacing w:line="480" w:lineRule="exact"/>
        <w:ind w:firstLine="480"/>
        <w:rPr>
          <w:rFonts w:hint="eastAsia" w:ascii="Times New Roman" w:hAnsi="Times New Roman"/>
          <w:color w:val="0000FF"/>
        </w:rPr>
      </w:pPr>
      <w:r>
        <w:rPr>
          <w:rFonts w:hint="eastAsia" w:ascii="Times New Roman" w:hAnsi="Times New Roman"/>
          <w:color w:val="0000FF"/>
        </w:rPr>
        <w:t>电话：0531-58068357  15153165075</w:t>
      </w:r>
    </w:p>
    <w:p w14:paraId="067F5994">
      <w:pPr>
        <w:pStyle w:val="13"/>
        <w:spacing w:line="480" w:lineRule="exact"/>
        <w:ind w:firstLine="480"/>
        <w:rPr>
          <w:rFonts w:hint="eastAsia" w:ascii="Times New Roman" w:hAnsi="Times New Roman"/>
          <w:color w:val="0000FF"/>
        </w:rPr>
      </w:pPr>
      <w:r>
        <w:rPr>
          <w:rFonts w:hint="eastAsia" w:ascii="Times New Roman" w:hAnsi="Times New Roman"/>
          <w:color w:val="0000FF"/>
        </w:rPr>
        <w:t>邮    箱</w:t>
      </w:r>
      <w:r>
        <w:rPr>
          <w:rFonts w:hint="eastAsia" w:cs="宋体"/>
          <w:color w:val="0000FF"/>
        </w:rPr>
        <w:t>：</w:t>
      </w:r>
      <w:r>
        <w:rPr>
          <w:rFonts w:cs="宋体"/>
          <w:color w:val="0000FF"/>
        </w:rPr>
        <w:fldChar w:fldCharType="begin"/>
      </w:r>
      <w:r>
        <w:rPr>
          <w:rFonts w:cs="宋体"/>
          <w:color w:val="0000FF"/>
        </w:rPr>
        <w:instrText xml:space="preserve"> HYPERLINK "mailto:</w:instrText>
      </w:r>
      <w:r>
        <w:rPr>
          <w:rFonts w:hint="eastAsia" w:cs="宋体"/>
          <w:color w:val="0000FF"/>
        </w:rPr>
        <w:instrText xml:space="preserve">qxgcgls@163.com</w:instrText>
      </w:r>
      <w:r>
        <w:rPr>
          <w:rFonts w:cs="宋体"/>
          <w:color w:val="0000FF"/>
        </w:rPr>
        <w:instrText xml:space="preserve">" </w:instrText>
      </w:r>
      <w:r>
        <w:rPr>
          <w:rFonts w:cs="宋体"/>
          <w:color w:val="0000FF"/>
        </w:rPr>
        <w:fldChar w:fldCharType="separate"/>
      </w:r>
      <w:r>
        <w:rPr>
          <w:rFonts w:hint="eastAsia" w:cs="宋体"/>
          <w:color w:val="0000FF"/>
        </w:rPr>
        <w:t>qxgcgls@163.com</w:t>
      </w:r>
      <w:r>
        <w:rPr>
          <w:rFonts w:cs="宋体"/>
          <w:color w:val="0000FF"/>
        </w:rPr>
        <w:fldChar w:fldCharType="end"/>
      </w:r>
    </w:p>
    <w:p w14:paraId="7238FB12">
      <w:pPr>
        <w:pStyle w:val="13"/>
        <w:spacing w:line="480" w:lineRule="exact"/>
        <w:ind w:firstLine="480"/>
        <w:rPr>
          <w:color w:val="0000FF"/>
        </w:rPr>
      </w:pPr>
      <w:r>
        <w:rPr>
          <w:color w:val="0000FF"/>
        </w:rPr>
        <w:t>6</w:t>
      </w:r>
      <w:r>
        <w:rPr>
          <w:rFonts w:hint="eastAsia"/>
          <w:color w:val="0000FF"/>
        </w:rPr>
        <w:t>、项目投标</w:t>
      </w:r>
    </w:p>
    <w:p w14:paraId="51CFBCAB">
      <w:pPr>
        <w:spacing w:line="480" w:lineRule="exact"/>
        <w:ind w:firstLine="480" w:firstLineChars="200"/>
        <w:rPr>
          <w:rFonts w:hint="eastAsia" w:ascii="宋体" w:hAnsi="宋体" w:cs="宋体"/>
          <w:bCs/>
          <w:color w:val="0000FF"/>
          <w:sz w:val="24"/>
          <w:szCs w:val="24"/>
        </w:rPr>
      </w:pPr>
      <w:r>
        <w:rPr>
          <w:rFonts w:hint="eastAsia" w:ascii="宋体" w:hAnsi="宋体" w:cs="宋体"/>
          <w:color w:val="0000FF"/>
          <w:sz w:val="24"/>
          <w:szCs w:val="24"/>
        </w:rPr>
        <w:t>投标截止时间：2026年2月</w:t>
      </w:r>
      <w:r>
        <w:rPr>
          <w:rFonts w:hint="eastAsia" w:ascii="宋体" w:hAnsi="宋体" w:cs="宋体"/>
          <w:color w:val="0000FF"/>
          <w:sz w:val="24"/>
          <w:szCs w:val="24"/>
          <w:lang w:val="en-US" w:eastAsia="zh-CN"/>
        </w:rPr>
        <w:t>28</w:t>
      </w:r>
      <w:r>
        <w:rPr>
          <w:rFonts w:hint="eastAsia" w:ascii="宋体" w:hAnsi="宋体" w:cs="宋体"/>
          <w:color w:val="0000FF"/>
          <w:sz w:val="24"/>
          <w:szCs w:val="24"/>
        </w:rPr>
        <w:t>日18点前</w:t>
      </w:r>
    </w:p>
    <w:p w14:paraId="46A4EBA2">
      <w:pPr>
        <w:pStyle w:val="13"/>
        <w:ind w:firstLine="480"/>
        <w:rPr>
          <w:color w:val="auto"/>
        </w:rPr>
      </w:pPr>
      <w:r>
        <w:rPr>
          <w:color w:val="auto"/>
        </w:rPr>
        <w:t>7</w:t>
      </w:r>
      <w:r>
        <w:rPr>
          <w:rFonts w:hint="eastAsia"/>
          <w:color w:val="auto"/>
        </w:rPr>
        <w:t>、开标时间及方式：</w:t>
      </w:r>
    </w:p>
    <w:p w14:paraId="311A3DB3">
      <w:pPr>
        <w:pStyle w:val="13"/>
        <w:ind w:firstLine="480"/>
        <w:rPr>
          <w:color w:val="0000FF"/>
        </w:rPr>
      </w:pPr>
      <w:r>
        <w:rPr>
          <w:rFonts w:hint="eastAsia" w:ascii="Times New Roman" w:hAnsi="Times New Roman"/>
          <w:color w:val="0000FF"/>
        </w:rPr>
        <w:t>2026</w:t>
      </w:r>
      <w:r>
        <w:rPr>
          <w:rFonts w:hint="eastAsia"/>
          <w:color w:val="0000FF"/>
        </w:rPr>
        <w:t xml:space="preserve">年 </w:t>
      </w:r>
      <w:r>
        <w:rPr>
          <w:rFonts w:hint="eastAsia"/>
          <w:color w:val="0000FF"/>
          <w:lang w:val="en-US" w:eastAsia="zh-CN"/>
        </w:rPr>
        <w:t>3</w:t>
      </w:r>
      <w:r>
        <w:rPr>
          <w:rFonts w:hint="eastAsia"/>
          <w:color w:val="0000FF"/>
        </w:rPr>
        <w:t>月</w:t>
      </w:r>
      <w:r>
        <w:rPr>
          <w:rFonts w:hint="eastAsia"/>
          <w:color w:val="0000FF"/>
          <w:lang w:val="en-US" w:eastAsia="zh-CN"/>
        </w:rPr>
        <w:t>2</w:t>
      </w:r>
      <w:bookmarkStart w:id="45" w:name="_GoBack"/>
      <w:bookmarkEnd w:id="45"/>
      <w:r>
        <w:rPr>
          <w:rFonts w:hint="eastAsia" w:ascii="Times New Roman" w:hAnsi="Times New Roman"/>
          <w:color w:val="0000FF"/>
        </w:rPr>
        <w:t>日</w:t>
      </w:r>
      <w:r>
        <w:rPr>
          <w:rFonts w:hint="eastAsia"/>
          <w:color w:val="0000FF"/>
        </w:rPr>
        <w:t>9点，视频开标，重汽E采通（请携带笔记本电脑），若有变动另行通知。</w:t>
      </w:r>
    </w:p>
    <w:p w14:paraId="0B39F44D">
      <w:pPr>
        <w:spacing w:line="360" w:lineRule="auto"/>
        <w:rPr>
          <w:rFonts w:hint="eastAsia"/>
          <w:b/>
          <w:sz w:val="28"/>
          <w:szCs w:val="28"/>
        </w:rPr>
      </w:pPr>
      <w:r>
        <w:rPr>
          <w:rFonts w:hint="eastAsia"/>
          <w:b/>
          <w:sz w:val="28"/>
          <w:szCs w:val="28"/>
        </w:rPr>
        <w:t>三、投标保证金</w:t>
      </w:r>
    </w:p>
    <w:p w14:paraId="0A0042B7">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投标人在递交投标文件的同时，应提供不少于伍仟元的投标保证金。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14:paraId="15F2D29B">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2、投标保证金应采用下列任何一种形式：</w:t>
      </w:r>
    </w:p>
    <w:p w14:paraId="04EA1588">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（1)由一家在中华人民共和国境内的银行用招标文件提供的格式或招标人接受的其它格式出具的银行保函，其有效期应超过投标有效期10日；</w:t>
      </w:r>
    </w:p>
    <w:p w14:paraId="7C7E443B">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（2)银行转账。</w:t>
      </w:r>
    </w:p>
    <w:p w14:paraId="74D78837">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3、投标有效期：90天。</w:t>
      </w:r>
    </w:p>
    <w:p w14:paraId="23BBAF31">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4、未按要求提交投标保证金的投标将被视为非实质性响应，并予以拒绝。</w:t>
      </w:r>
    </w:p>
    <w:p w14:paraId="67729E1D">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5、中标人的投标保证金在与招标人签订了合同并提交了履约保证金（如需要提交）后无息退还。</w:t>
      </w:r>
    </w:p>
    <w:p w14:paraId="7132F504">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6、未中标的投标人的投标保证金将尽速并不晚于投标有效期期满后无息退还投标人。</w:t>
      </w:r>
    </w:p>
    <w:p w14:paraId="0220A5FE">
      <w:pPr>
        <w:spacing w:line="360" w:lineRule="auto"/>
        <w:ind w:firstLine="480" w:firstLineChars="200"/>
        <w:rPr>
          <w:rFonts w:hint="eastAsia"/>
        </w:rPr>
      </w:pPr>
      <w:r>
        <w:rPr>
          <w:rFonts w:hint="eastAsia" w:ascii="宋体" w:hAnsi="宋体" w:cs="Courier New"/>
          <w:bCs/>
          <w:kern w:val="0"/>
          <w:sz w:val="24"/>
          <w:szCs w:val="32"/>
        </w:rPr>
        <w:t>7、发生下列情况之一，保证金将被没收。</w:t>
      </w:r>
    </w:p>
    <w:p w14:paraId="692CBF08">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（1）截至开标前 3 天，投标方无正当理由、未以书面形式递交说明而在投标截止日不来</w:t>
      </w:r>
    </w:p>
    <w:p w14:paraId="2141420B">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投标的；</w:t>
      </w:r>
    </w:p>
    <w:p w14:paraId="05CA7220">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（2）投标方递送文件后，无正当理由放弃投标的；</w:t>
      </w:r>
    </w:p>
    <w:p w14:paraId="40CDB3BF">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（3）自中标（成交）通知书发出之日起 30 日内，中标（成交）方无正当理由不签订合同的；</w:t>
      </w:r>
    </w:p>
    <w:p w14:paraId="17695B1C">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（4）投标过程中被查实有串标、围标、陪标等违规违纪行为的；</w:t>
      </w:r>
    </w:p>
    <w:p w14:paraId="252732EF">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（5）供应商有违约违规行为或被投诉、举报的，在调查处理期间，保证金暂不退还，待调查处理结束后按有关规定处理。</w:t>
      </w:r>
    </w:p>
    <w:p w14:paraId="4019ED62">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8、投标保证金帐户如下（该账户为招标人授权用于收取该项目投标保证金的有效</w:t>
      </w:r>
    </w:p>
    <w:p w14:paraId="252281F3">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账户）：</w:t>
      </w:r>
    </w:p>
    <w:p w14:paraId="46B09E99">
      <w:pPr>
        <w:ind w:firstLine="560" w:firstLineChars="200"/>
        <w:rPr>
          <w:rFonts w:hint="eastAsia"/>
          <w:sz w:val="28"/>
          <w:szCs w:val="28"/>
        </w:rPr>
      </w:pPr>
      <w:r>
        <w:rPr>
          <w:rFonts w:hint="eastAsia"/>
          <w:sz w:val="28"/>
          <w:szCs w:val="28"/>
        </w:rPr>
        <w:t>开户银行：【浙商银行股份有限公司济南分行】</w:t>
      </w:r>
    </w:p>
    <w:p w14:paraId="5894CFE4">
      <w:pPr>
        <w:ind w:firstLine="560" w:firstLineChars="200"/>
        <w:rPr>
          <w:rFonts w:hint="eastAsia"/>
          <w:sz w:val="28"/>
          <w:szCs w:val="28"/>
        </w:rPr>
      </w:pPr>
      <w:r>
        <w:rPr>
          <w:rFonts w:hint="eastAsia"/>
          <w:sz w:val="28"/>
          <w:szCs w:val="28"/>
        </w:rPr>
        <w:t>户名：【重汽（济南）车桥有限公司】</w:t>
      </w:r>
    </w:p>
    <w:p w14:paraId="01B13DA7">
      <w:pPr>
        <w:ind w:firstLine="560" w:firstLineChars="200"/>
        <w:rPr>
          <w:rFonts w:hint="eastAsia"/>
          <w:sz w:val="28"/>
          <w:szCs w:val="28"/>
        </w:rPr>
      </w:pPr>
      <w:r>
        <w:rPr>
          <w:rFonts w:hint="eastAsia"/>
          <w:sz w:val="28"/>
          <w:szCs w:val="28"/>
        </w:rPr>
        <w:t>账号：【4510000010120100527995】</w:t>
      </w:r>
    </w:p>
    <w:p w14:paraId="753C6D66">
      <w:pPr>
        <w:ind w:firstLine="560" w:firstLineChars="200"/>
        <w:jc w:val="left"/>
        <w:rPr>
          <w:sz w:val="28"/>
          <w:szCs w:val="28"/>
          <w:highlight w:val="green"/>
        </w:rPr>
      </w:pPr>
      <w:r>
        <w:rPr>
          <w:rFonts w:hint="eastAsia"/>
          <w:sz w:val="28"/>
          <w:szCs w:val="28"/>
        </w:rPr>
        <w:t>转账附言请备注用途：</w:t>
      </w:r>
      <w:r>
        <w:rPr>
          <w:rFonts w:hint="eastAsia"/>
          <w:sz w:val="28"/>
          <w:szCs w:val="28"/>
          <w:highlight w:val="green"/>
        </w:rPr>
        <w:t>车桥点固后盖桥壳装焊夹具投标保证金</w:t>
      </w:r>
    </w:p>
    <w:p w14:paraId="7098700E">
      <w:pPr>
        <w:spacing w:line="360" w:lineRule="auto"/>
        <w:rPr>
          <w:rFonts w:hint="eastAsia" w:ascii="宋体" w:hAnsi="宋体" w:cs="Courier New"/>
          <w:b/>
          <w:kern w:val="0"/>
          <w:sz w:val="28"/>
          <w:szCs w:val="28"/>
        </w:rPr>
      </w:pPr>
      <w:r>
        <w:rPr>
          <w:rFonts w:hint="eastAsia"/>
          <w:b/>
          <w:sz w:val="28"/>
          <w:szCs w:val="28"/>
        </w:rPr>
        <w:t>四、评标</w:t>
      </w:r>
    </w:p>
    <w:p w14:paraId="519ED817">
      <w:pPr>
        <w:spacing w:line="440" w:lineRule="exact"/>
        <w:ind w:firstLine="480" w:firstLineChars="200"/>
        <w:rPr>
          <w:rFonts w:ascii="宋体" w:hAnsi="Courier New" w:eastAsia="宋体" w:cs="Times New Roman"/>
          <w:sz w:val="28"/>
          <w:szCs w:val="28"/>
        </w:rPr>
      </w:pPr>
      <w:bookmarkStart w:id="5" w:name="OLE_LINK13"/>
      <w:bookmarkStart w:id="6" w:name="OLE_LINK14"/>
      <w:r>
        <w:rPr>
          <w:rFonts w:hint="eastAsia" w:ascii="Times New Roman" w:hAnsi="Times New Roman" w:eastAsia="宋体" w:cs="Times New Roman"/>
          <w:sz w:val="24"/>
          <w:szCs w:val="24"/>
        </w:rPr>
        <w:t>1</w:t>
      </w:r>
      <w:r>
        <w:rPr>
          <w:rFonts w:hint="eastAsia" w:ascii="宋体" w:hAnsi="Courier New" w:eastAsia="宋体" w:cs="Times New Roman"/>
          <w:sz w:val="24"/>
          <w:szCs w:val="24"/>
        </w:rPr>
        <w:t>、评标</w:t>
      </w:r>
    </w:p>
    <w:p w14:paraId="1D3686D8">
      <w:pPr>
        <w:widowControl/>
        <w:spacing w:line="400" w:lineRule="exact"/>
        <w:ind w:firstLine="480" w:firstLineChars="200"/>
        <w:jc w:val="left"/>
        <w:rPr>
          <w:rFonts w:ascii="Times New Roman" w:hAnsi="Times New Roman" w:eastAsia="宋体" w:cs="Times New Roman"/>
          <w:sz w:val="28"/>
          <w:szCs w:val="28"/>
        </w:rPr>
      </w:pPr>
      <w:r>
        <w:rPr>
          <w:rFonts w:hint="eastAsia" w:ascii="Times New Roman" w:hAnsi="宋体" w:eastAsia="宋体" w:cs="Times New Roman"/>
          <w:bCs/>
          <w:kern w:val="0"/>
          <w:sz w:val="24"/>
          <w:szCs w:val="32"/>
        </w:rPr>
        <w:t>为保证项目招标质量，</w:t>
      </w:r>
      <w:r>
        <w:rPr>
          <w:rFonts w:hint="eastAsia" w:ascii="Times New Roman" w:hAnsi="宋体" w:eastAsia="宋体" w:cs="Times New Roman"/>
          <w:sz w:val="24"/>
          <w:szCs w:val="24"/>
        </w:rPr>
        <w:t>由招标人组织、按国家法律法规及公司《招标采购管理流程》要求，设立评标专家小组</w:t>
      </w:r>
      <w:r>
        <w:rPr>
          <w:rFonts w:hint="eastAsia" w:ascii="Times New Roman" w:hAnsi="Times New Roman" w:eastAsia="宋体" w:cs="Times New Roman"/>
          <w:sz w:val="24"/>
          <w:szCs w:val="24"/>
        </w:rPr>
        <w:t>，本着公平、公正、公开的原则，在最大限度地满足招标文件实质性要求的前提下，对招标文件中规定的各项因素进行评审，采用</w:t>
      </w:r>
      <w:r>
        <w:rPr>
          <w:rFonts w:hint="eastAsia" w:ascii="宋体" w:hAnsi="宋体" w:eastAsia="宋体" w:cs="宋体"/>
          <w:kern w:val="0"/>
          <w:sz w:val="24"/>
          <w:szCs w:val="24"/>
          <w:lang w:bidi="ar"/>
        </w:rPr>
        <w:t>技术入围合理最低价中标方式。</w:t>
      </w:r>
    </w:p>
    <w:p w14:paraId="16BFF6B2">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1.1通过现场资质审验的投标方进入技术标环节。</w:t>
      </w:r>
    </w:p>
    <w:p w14:paraId="55322B9D">
      <w:pPr>
        <w:widowControl/>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1.2技术标：</w:t>
      </w:r>
      <w:r>
        <w:rPr>
          <w:rFonts w:hint="eastAsia" w:ascii="宋体" w:hAnsi="宋体" w:eastAsia="宋体" w:cs="宋体"/>
          <w:kern w:val="0"/>
          <w:sz w:val="24"/>
          <w:szCs w:val="24"/>
          <w:lang w:bidi="ar"/>
        </w:rPr>
        <w:t xml:space="preserve">在满足技术要求的前提下（含技术澄清），推荐至少 </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 xml:space="preserve"> 家候选中标人进入商务标。</w:t>
      </w:r>
    </w:p>
    <w:p w14:paraId="598A78C0">
      <w:pPr>
        <w:widowControl/>
        <w:spacing w:after="90" w:afterLines="29"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1.3商务标：</w:t>
      </w:r>
      <w:r>
        <w:rPr>
          <w:rFonts w:hint="eastAsia" w:ascii="宋体" w:hAnsi="宋体" w:eastAsia="宋体" w:cs="宋体"/>
          <w:kern w:val="0"/>
          <w:sz w:val="24"/>
          <w:szCs w:val="24"/>
          <w:lang w:bidi="ar"/>
        </w:rPr>
        <w:t>技术标评分不带入商务标，原则上按照合理最低价选择中标厂家，与候选中标人在其报价的基础上开展</w:t>
      </w:r>
      <w:r>
        <w:rPr>
          <w:rFonts w:hint="eastAsia" w:ascii="宋体" w:hAnsi="宋体" w:eastAsia="宋体" w:cs="宋体"/>
          <w:kern w:val="0"/>
          <w:sz w:val="24"/>
          <w:szCs w:val="24"/>
          <w:lang w:val="en-US" w:eastAsia="zh-CN" w:bidi="ar"/>
        </w:rPr>
        <w:t>二级</w:t>
      </w:r>
      <w:r>
        <w:rPr>
          <w:rFonts w:hint="eastAsia" w:ascii="宋体" w:hAnsi="宋体" w:eastAsia="宋体" w:cs="宋体"/>
          <w:kern w:val="0"/>
          <w:sz w:val="24"/>
          <w:szCs w:val="24"/>
          <w:lang w:bidi="ar"/>
        </w:rPr>
        <w:t>商务谈判，确定推荐中标人。</w:t>
      </w:r>
    </w:p>
    <w:p w14:paraId="1B482213">
      <w:pPr>
        <w:numPr>
          <w:ilvl w:val="0"/>
          <w:numId w:val="2"/>
        </w:numPr>
        <w:spacing w:line="360" w:lineRule="auto"/>
        <w:ind w:firstLine="48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技术标评分标准</w:t>
      </w:r>
    </w:p>
    <w:p w14:paraId="2CE8C4C0">
      <w:pPr>
        <w:widowControl w:val="0"/>
        <w:numPr>
          <w:numId w:val="0"/>
        </w:numPr>
        <w:spacing w:line="360" w:lineRule="auto"/>
        <w:jc w:val="both"/>
        <w:rPr>
          <w:rFonts w:hint="eastAsia" w:ascii="Times New Roman" w:hAnsi="宋体" w:eastAsia="宋体" w:cs="Times New Roman"/>
          <w:color w:val="000000"/>
          <w:sz w:val="24"/>
          <w:szCs w:val="24"/>
        </w:rPr>
      </w:pPr>
    </w:p>
    <w:p w14:paraId="70F39599">
      <w:pPr>
        <w:widowControl w:val="0"/>
        <w:numPr>
          <w:numId w:val="0"/>
        </w:numPr>
        <w:spacing w:line="360" w:lineRule="auto"/>
        <w:jc w:val="both"/>
        <w:rPr>
          <w:rFonts w:hint="eastAsia" w:ascii="Times New Roman" w:hAnsi="宋体" w:eastAsia="宋体" w:cs="Times New Roman"/>
          <w:color w:val="000000"/>
          <w:sz w:val="24"/>
          <w:szCs w:val="24"/>
        </w:rPr>
      </w:pPr>
    </w:p>
    <w:p w14:paraId="3DD2769B">
      <w:pPr>
        <w:widowControl w:val="0"/>
        <w:numPr>
          <w:ilvl w:val="0"/>
          <w:numId w:val="0"/>
        </w:numPr>
        <w:spacing w:line="360" w:lineRule="auto"/>
        <w:jc w:val="both"/>
        <w:rPr>
          <w:rFonts w:hint="eastAsia" w:ascii="Times New Roman" w:hAnsi="宋体" w:eastAsia="宋体" w:cs="Times New Roman"/>
          <w:color w:val="000000"/>
          <w:sz w:val="24"/>
          <w:szCs w:val="24"/>
        </w:rPr>
      </w:pPr>
    </w:p>
    <w:p w14:paraId="25FB03CF">
      <w:pPr>
        <w:widowControl w:val="0"/>
        <w:numPr>
          <w:ilvl w:val="0"/>
          <w:numId w:val="0"/>
        </w:numPr>
        <w:spacing w:line="360" w:lineRule="auto"/>
        <w:jc w:val="both"/>
        <w:rPr>
          <w:rFonts w:hint="eastAsia" w:ascii="Times New Roman" w:hAnsi="宋体" w:eastAsia="宋体" w:cs="Times New Roman"/>
          <w:color w:val="000000"/>
          <w:sz w:val="24"/>
          <w:szCs w:val="24"/>
        </w:rPr>
      </w:pPr>
    </w:p>
    <w:p w14:paraId="5AD33A62">
      <w:pPr>
        <w:widowControl w:val="0"/>
        <w:numPr>
          <w:ilvl w:val="0"/>
          <w:numId w:val="0"/>
        </w:numPr>
        <w:spacing w:line="360" w:lineRule="auto"/>
        <w:jc w:val="both"/>
        <w:rPr>
          <w:rFonts w:hint="eastAsia" w:ascii="Times New Roman" w:hAnsi="宋体" w:eastAsia="宋体" w:cs="Times New Roman"/>
          <w:color w:val="000000"/>
          <w:sz w:val="24"/>
          <w:szCs w:val="24"/>
        </w:rPr>
      </w:pPr>
    </w:p>
    <w:p w14:paraId="0957D321">
      <w:pPr>
        <w:widowControl w:val="0"/>
        <w:numPr>
          <w:ilvl w:val="0"/>
          <w:numId w:val="0"/>
        </w:numPr>
        <w:spacing w:line="360" w:lineRule="auto"/>
        <w:jc w:val="both"/>
        <w:rPr>
          <w:rFonts w:hint="eastAsia" w:ascii="Times New Roman" w:hAnsi="宋体" w:eastAsia="宋体" w:cs="Times New Roman"/>
          <w:color w:val="000000"/>
          <w:sz w:val="24"/>
          <w:szCs w:val="24"/>
        </w:rPr>
      </w:pPr>
    </w:p>
    <w:tbl>
      <w:tblPr>
        <w:tblStyle w:val="10"/>
        <w:tblpPr w:leftFromText="180" w:rightFromText="180" w:vertAnchor="page" w:horzAnchor="page" w:tblpX="1192" w:tblpY="71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4"/>
        <w:gridCol w:w="1916"/>
        <w:gridCol w:w="6192"/>
      </w:tblGrid>
      <w:tr w14:paraId="6E69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14:paraId="262982CF">
            <w:pPr>
              <w:spacing w:line="360" w:lineRule="auto"/>
              <w:jc w:val="center"/>
              <w:rPr>
                <w:rFonts w:ascii="宋体" w:hAnsi="Courier New" w:eastAsia="Times New Roman" w:cs="Times New Roman"/>
                <w:bCs/>
                <w:color w:val="000000"/>
                <w:sz w:val="24"/>
                <w:szCs w:val="24"/>
              </w:rPr>
            </w:pPr>
            <w:r>
              <w:rPr>
                <w:rFonts w:hint="eastAsia" w:ascii="宋体" w:hAnsi="宋体" w:eastAsia="宋体" w:cs="宋体"/>
                <w:bCs/>
                <w:color w:val="000000"/>
                <w:sz w:val="24"/>
                <w:szCs w:val="24"/>
              </w:rPr>
              <w:t>序号</w:t>
            </w:r>
          </w:p>
        </w:tc>
        <w:tc>
          <w:tcPr>
            <w:tcW w:w="824" w:type="dxa"/>
            <w:noWrap w:val="0"/>
            <w:vAlign w:val="center"/>
          </w:tcPr>
          <w:p w14:paraId="04E65B79">
            <w:pPr>
              <w:spacing w:line="360" w:lineRule="auto"/>
              <w:jc w:val="center"/>
              <w:rPr>
                <w:rFonts w:ascii="宋体" w:hAnsi="Courier New" w:eastAsia="Times New Roman" w:cs="Times New Roman"/>
                <w:bCs/>
                <w:color w:val="000000"/>
                <w:sz w:val="24"/>
                <w:szCs w:val="24"/>
              </w:rPr>
            </w:pPr>
            <w:r>
              <w:rPr>
                <w:rFonts w:hint="eastAsia" w:ascii="宋体" w:hAnsi="宋体" w:eastAsia="Times New Roman" w:cs="宋体"/>
                <w:bCs/>
                <w:color w:val="000000"/>
                <w:sz w:val="24"/>
                <w:szCs w:val="24"/>
              </w:rPr>
              <w:t>类别</w:t>
            </w:r>
          </w:p>
        </w:tc>
        <w:tc>
          <w:tcPr>
            <w:tcW w:w="8108" w:type="dxa"/>
            <w:gridSpan w:val="2"/>
            <w:noWrap w:val="0"/>
            <w:vAlign w:val="center"/>
          </w:tcPr>
          <w:p w14:paraId="4DF1AADD">
            <w:pPr>
              <w:spacing w:line="360" w:lineRule="auto"/>
              <w:jc w:val="center"/>
              <w:rPr>
                <w:rFonts w:ascii="宋体" w:hAnsi="宋体" w:eastAsia="Times New Roman" w:cs="宋体"/>
                <w:color w:val="000000"/>
                <w:sz w:val="24"/>
                <w:szCs w:val="24"/>
              </w:rPr>
            </w:pPr>
            <w:r>
              <w:rPr>
                <w:rFonts w:hint="eastAsia" w:ascii="宋体" w:hAnsi="宋体" w:eastAsia="Times New Roman" w:cs="宋体"/>
                <w:bCs/>
                <w:color w:val="000000"/>
                <w:sz w:val="24"/>
                <w:szCs w:val="24"/>
              </w:rPr>
              <w:t>评审内容</w:t>
            </w:r>
            <w:r>
              <w:rPr>
                <w:rFonts w:hint="eastAsia" w:ascii="宋体" w:hAnsi="Courier New" w:eastAsia="Times New Roman" w:cs="Times New Roman"/>
                <w:bCs/>
                <w:color w:val="000000"/>
                <w:sz w:val="24"/>
                <w:szCs w:val="24"/>
              </w:rPr>
              <w:t>(</w:t>
            </w:r>
            <w:r>
              <w:rPr>
                <w:rFonts w:hint="eastAsia" w:ascii="宋体" w:hAnsi="宋体" w:eastAsia="宋体" w:cs="宋体"/>
                <w:bCs/>
                <w:color w:val="000000"/>
                <w:sz w:val="24"/>
                <w:szCs w:val="24"/>
              </w:rPr>
              <w:t>满分</w:t>
            </w:r>
            <w:r>
              <w:rPr>
                <w:rFonts w:hint="eastAsia" w:ascii="宋体" w:hAnsi="Courier New" w:eastAsia="Times New Roman" w:cs="Times New Roman"/>
                <w:bCs/>
                <w:color w:val="000000"/>
                <w:sz w:val="24"/>
                <w:szCs w:val="24"/>
              </w:rPr>
              <w:t>100</w:t>
            </w:r>
            <w:r>
              <w:rPr>
                <w:rFonts w:hint="eastAsia" w:ascii="宋体" w:hAnsi="宋体" w:eastAsia="Times New Roman" w:cs="宋体"/>
                <w:bCs/>
                <w:color w:val="000000"/>
                <w:sz w:val="24"/>
                <w:szCs w:val="24"/>
              </w:rPr>
              <w:t>分</w:t>
            </w:r>
            <w:r>
              <w:rPr>
                <w:rFonts w:hint="eastAsia" w:ascii="宋体" w:hAnsi="Courier New" w:eastAsia="Times New Roman" w:cs="Times New Roman"/>
                <w:bCs/>
                <w:color w:val="000000"/>
                <w:sz w:val="24"/>
                <w:szCs w:val="24"/>
              </w:rPr>
              <w:t>)</w:t>
            </w:r>
          </w:p>
        </w:tc>
      </w:tr>
      <w:tr w14:paraId="6BFA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14:paraId="20A62B4D">
            <w:pPr>
              <w:spacing w:line="360" w:lineRule="auto"/>
              <w:jc w:val="center"/>
              <w:rPr>
                <w:rFonts w:ascii="宋体" w:hAnsi="Courier New" w:eastAsia="Times New Roman" w:cs="Times New Roman"/>
                <w:bCs/>
                <w:color w:val="000000"/>
                <w:sz w:val="24"/>
                <w:szCs w:val="24"/>
              </w:rPr>
            </w:pPr>
            <w:r>
              <w:rPr>
                <w:rFonts w:hint="eastAsia" w:ascii="宋体" w:hAnsi="Courier New" w:eastAsia="Times New Roman" w:cs="Times New Roman"/>
                <w:bCs/>
                <w:color w:val="000000"/>
                <w:sz w:val="24"/>
                <w:szCs w:val="24"/>
              </w:rPr>
              <w:t>1</w:t>
            </w:r>
          </w:p>
        </w:tc>
        <w:tc>
          <w:tcPr>
            <w:tcW w:w="824" w:type="dxa"/>
            <w:vMerge w:val="restart"/>
            <w:noWrap w:val="0"/>
            <w:vAlign w:val="center"/>
          </w:tcPr>
          <w:p w14:paraId="7928891C">
            <w:pPr>
              <w:spacing w:line="360" w:lineRule="auto"/>
              <w:rPr>
                <w:rFonts w:ascii="宋体" w:hAnsi="Courier New" w:eastAsia="Times New Roman" w:cs="Times New Roman"/>
                <w:bCs/>
                <w:color w:val="000000"/>
                <w:sz w:val="24"/>
                <w:szCs w:val="24"/>
              </w:rPr>
            </w:pPr>
            <w:r>
              <w:rPr>
                <w:rFonts w:hint="eastAsia" w:ascii="宋体" w:hAnsi="宋体" w:eastAsia="Times New Roman" w:cs="宋体"/>
                <w:bCs/>
                <w:color w:val="000000"/>
                <w:sz w:val="24"/>
                <w:szCs w:val="24"/>
              </w:rPr>
              <w:t>技 术</w:t>
            </w:r>
          </w:p>
          <w:p w14:paraId="567920CB">
            <w:pPr>
              <w:spacing w:line="360" w:lineRule="auto"/>
              <w:rPr>
                <w:rFonts w:ascii="宋体" w:hAnsi="Courier New" w:eastAsia="Times New Roman" w:cs="Times New Roman"/>
                <w:bCs/>
                <w:color w:val="000000"/>
                <w:sz w:val="24"/>
                <w:szCs w:val="24"/>
              </w:rPr>
            </w:pPr>
            <w:r>
              <w:rPr>
                <w:rFonts w:hint="eastAsia" w:ascii="宋体" w:hAnsi="宋体" w:eastAsia="Times New Roman" w:cs="宋体"/>
                <w:bCs/>
                <w:color w:val="000000"/>
                <w:sz w:val="24"/>
                <w:szCs w:val="24"/>
              </w:rPr>
              <w:t>部 分</w:t>
            </w:r>
          </w:p>
          <w:p w14:paraId="36DF9247">
            <w:pPr>
              <w:spacing w:line="360" w:lineRule="auto"/>
              <w:rPr>
                <w:rFonts w:ascii="宋体" w:hAnsi="Courier New" w:eastAsia="Times New Roman" w:cs="Times New Roman"/>
                <w:bCs/>
                <w:color w:val="000000"/>
                <w:sz w:val="24"/>
                <w:szCs w:val="24"/>
              </w:rPr>
            </w:pPr>
          </w:p>
        </w:tc>
        <w:tc>
          <w:tcPr>
            <w:tcW w:w="1916" w:type="dxa"/>
            <w:noWrap w:val="0"/>
            <w:vAlign w:val="center"/>
          </w:tcPr>
          <w:p w14:paraId="4009180E">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关键加工设备（</w:t>
            </w:r>
            <w:r>
              <w:rPr>
                <w:rFonts w:ascii="宋体" w:hAnsi="Courier New" w:eastAsia="Times New Roman" w:cs="Times New Roman"/>
                <w:color w:val="000000"/>
                <w:sz w:val="24"/>
                <w:szCs w:val="24"/>
              </w:rPr>
              <w:t>0</w:t>
            </w:r>
            <w:r>
              <w:rPr>
                <w:rFonts w:hint="eastAsia" w:ascii="宋体" w:hAnsi="Courier New" w:eastAsia="Times New Roman" w:cs="Times New Roman"/>
                <w:color w:val="000000"/>
                <w:sz w:val="24"/>
                <w:szCs w:val="24"/>
              </w:rPr>
              <w:t>-10</w:t>
            </w:r>
            <w:r>
              <w:rPr>
                <w:rFonts w:hint="eastAsia" w:ascii="宋体" w:hAnsi="宋体" w:eastAsia="Times New Roman" w:cs="宋体"/>
                <w:color w:val="000000"/>
                <w:sz w:val="24"/>
                <w:szCs w:val="24"/>
              </w:rPr>
              <w:t>分）</w:t>
            </w:r>
          </w:p>
        </w:tc>
        <w:tc>
          <w:tcPr>
            <w:tcW w:w="6192" w:type="dxa"/>
            <w:noWrap w:val="0"/>
            <w:vAlign w:val="center"/>
          </w:tcPr>
          <w:p w14:paraId="7FFCD063">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提供设备品牌型号、技术参数等信息，有加工投标产品的设备能力</w:t>
            </w:r>
          </w:p>
        </w:tc>
      </w:tr>
      <w:tr w14:paraId="6AA2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329D96EB">
            <w:pPr>
              <w:spacing w:line="360" w:lineRule="auto"/>
              <w:jc w:val="center"/>
              <w:rPr>
                <w:rFonts w:ascii="宋体" w:hAnsi="Courier New" w:eastAsia="Times New Roman" w:cs="Times New Roman"/>
                <w:bCs/>
                <w:color w:val="000000"/>
                <w:sz w:val="24"/>
                <w:szCs w:val="24"/>
              </w:rPr>
            </w:pPr>
            <w:r>
              <w:rPr>
                <w:rFonts w:hint="eastAsia" w:ascii="宋体" w:hAnsi="Courier New" w:eastAsia="Times New Roman" w:cs="Times New Roman"/>
                <w:bCs/>
                <w:color w:val="000000"/>
                <w:sz w:val="24"/>
                <w:szCs w:val="24"/>
              </w:rPr>
              <w:t>2</w:t>
            </w:r>
          </w:p>
        </w:tc>
        <w:tc>
          <w:tcPr>
            <w:tcW w:w="824" w:type="dxa"/>
            <w:vMerge w:val="continue"/>
            <w:noWrap w:val="0"/>
            <w:vAlign w:val="center"/>
          </w:tcPr>
          <w:p w14:paraId="2719B937">
            <w:pPr>
              <w:spacing w:line="360" w:lineRule="auto"/>
              <w:rPr>
                <w:rFonts w:ascii="宋体" w:hAnsi="Courier New" w:eastAsia="Times New Roman" w:cs="Times New Roman"/>
                <w:bCs/>
                <w:color w:val="000000"/>
                <w:sz w:val="24"/>
                <w:szCs w:val="24"/>
              </w:rPr>
            </w:pPr>
          </w:p>
        </w:tc>
        <w:tc>
          <w:tcPr>
            <w:tcW w:w="1916" w:type="dxa"/>
            <w:noWrap w:val="0"/>
            <w:vAlign w:val="center"/>
          </w:tcPr>
          <w:p w14:paraId="328AC660">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检测设备</w:t>
            </w:r>
            <w:r>
              <w:rPr>
                <w:rFonts w:hint="eastAsia" w:ascii="宋体" w:hAnsi="Courier New" w:eastAsia="Times New Roman" w:cs="Times New Roman"/>
                <w:color w:val="000000"/>
                <w:sz w:val="24"/>
                <w:szCs w:val="24"/>
              </w:rPr>
              <w:t xml:space="preserve">   </w:t>
            </w:r>
            <w:r>
              <w:rPr>
                <w:rFonts w:hint="eastAsia" w:ascii="宋体" w:hAnsi="宋体" w:eastAsia="Times New Roman" w:cs="宋体"/>
                <w:color w:val="000000"/>
                <w:sz w:val="24"/>
                <w:szCs w:val="24"/>
              </w:rPr>
              <w:t>（</w:t>
            </w:r>
            <w:r>
              <w:rPr>
                <w:rFonts w:ascii="宋体" w:hAnsi="Courier New" w:eastAsia="Times New Roman" w:cs="Times New Roman"/>
                <w:color w:val="000000"/>
                <w:sz w:val="24"/>
                <w:szCs w:val="24"/>
              </w:rPr>
              <w:t>0</w:t>
            </w:r>
            <w:r>
              <w:rPr>
                <w:rFonts w:hint="eastAsia" w:ascii="宋体" w:hAnsi="Courier New" w:eastAsia="Times New Roman" w:cs="Times New Roman"/>
                <w:color w:val="000000"/>
                <w:sz w:val="24"/>
                <w:szCs w:val="24"/>
              </w:rPr>
              <w:t>-10</w:t>
            </w:r>
            <w:r>
              <w:rPr>
                <w:rFonts w:hint="eastAsia" w:ascii="宋体" w:hAnsi="宋体" w:eastAsia="Times New Roman" w:cs="宋体"/>
                <w:color w:val="000000"/>
                <w:sz w:val="24"/>
                <w:szCs w:val="24"/>
              </w:rPr>
              <w:t>分）</w:t>
            </w:r>
          </w:p>
        </w:tc>
        <w:tc>
          <w:tcPr>
            <w:tcW w:w="6192" w:type="dxa"/>
            <w:noWrap w:val="0"/>
            <w:vAlign w:val="center"/>
          </w:tcPr>
          <w:p w14:paraId="56BDD990">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提供设备品牌型号、技术参数等信息，有检测投标产品的能力</w:t>
            </w:r>
          </w:p>
        </w:tc>
      </w:tr>
      <w:tr w14:paraId="7598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trPr>
        <w:tc>
          <w:tcPr>
            <w:tcW w:w="848" w:type="dxa"/>
            <w:noWrap w:val="0"/>
            <w:vAlign w:val="center"/>
          </w:tcPr>
          <w:p w14:paraId="0B93915A">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3</w:t>
            </w:r>
          </w:p>
        </w:tc>
        <w:tc>
          <w:tcPr>
            <w:tcW w:w="824" w:type="dxa"/>
            <w:vMerge w:val="continue"/>
            <w:noWrap w:val="0"/>
            <w:vAlign w:val="center"/>
          </w:tcPr>
          <w:p w14:paraId="59F57E4C">
            <w:pPr>
              <w:spacing w:line="360" w:lineRule="auto"/>
              <w:rPr>
                <w:rFonts w:ascii="宋体" w:hAnsi="Courier New" w:eastAsia="Times New Roman" w:cs="Times New Roman"/>
                <w:bCs/>
                <w:color w:val="000000"/>
                <w:sz w:val="24"/>
                <w:szCs w:val="24"/>
              </w:rPr>
            </w:pPr>
          </w:p>
        </w:tc>
        <w:tc>
          <w:tcPr>
            <w:tcW w:w="1916" w:type="dxa"/>
            <w:noWrap w:val="0"/>
            <w:vAlign w:val="center"/>
          </w:tcPr>
          <w:p w14:paraId="790690E0">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工装模具设计能力及制作工艺水平（0-10分）</w:t>
            </w:r>
          </w:p>
        </w:tc>
        <w:tc>
          <w:tcPr>
            <w:tcW w:w="6192" w:type="dxa"/>
            <w:noWrap w:val="0"/>
            <w:vAlign w:val="center"/>
          </w:tcPr>
          <w:p w14:paraId="74ACB7E9">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提供中高级职称人员证书复印件及社保参保证明；制作工艺描述等</w:t>
            </w:r>
          </w:p>
        </w:tc>
      </w:tr>
      <w:tr w14:paraId="688F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848" w:type="dxa"/>
            <w:noWrap w:val="0"/>
            <w:vAlign w:val="center"/>
          </w:tcPr>
          <w:p w14:paraId="010694B9">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4</w:t>
            </w:r>
          </w:p>
        </w:tc>
        <w:tc>
          <w:tcPr>
            <w:tcW w:w="824" w:type="dxa"/>
            <w:vMerge w:val="continue"/>
            <w:noWrap w:val="0"/>
            <w:vAlign w:val="center"/>
          </w:tcPr>
          <w:p w14:paraId="71869D60">
            <w:pPr>
              <w:spacing w:line="360" w:lineRule="auto"/>
              <w:rPr>
                <w:rFonts w:ascii="宋体" w:hAnsi="Courier New" w:eastAsia="Times New Roman" w:cs="Times New Roman"/>
                <w:bCs/>
                <w:color w:val="000000"/>
                <w:sz w:val="24"/>
                <w:szCs w:val="24"/>
              </w:rPr>
            </w:pPr>
          </w:p>
        </w:tc>
        <w:tc>
          <w:tcPr>
            <w:tcW w:w="1916" w:type="dxa"/>
            <w:noWrap w:val="0"/>
            <w:vAlign w:val="center"/>
          </w:tcPr>
          <w:p w14:paraId="1EFF7DC2">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计算机模拟能力：（</w:t>
            </w:r>
            <w:r>
              <w:rPr>
                <w:rFonts w:hint="eastAsia" w:ascii="宋体" w:hAnsi="Courier New" w:eastAsia="Times New Roman" w:cs="Times New Roman"/>
                <w:color w:val="000000"/>
                <w:sz w:val="24"/>
                <w:szCs w:val="24"/>
              </w:rPr>
              <w:t>0-10</w:t>
            </w:r>
            <w:r>
              <w:rPr>
                <w:rFonts w:hint="eastAsia" w:ascii="宋体" w:hAnsi="宋体" w:eastAsia="Times New Roman" w:cs="宋体"/>
                <w:color w:val="000000"/>
                <w:sz w:val="24"/>
                <w:szCs w:val="24"/>
              </w:rPr>
              <w:t>分）</w:t>
            </w:r>
          </w:p>
        </w:tc>
        <w:tc>
          <w:tcPr>
            <w:tcW w:w="6192" w:type="dxa"/>
            <w:noWrap w:val="0"/>
            <w:vAlign w:val="center"/>
          </w:tcPr>
          <w:p w14:paraId="20B0FCD2">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有三维设计软件</w:t>
            </w:r>
          </w:p>
        </w:tc>
      </w:tr>
      <w:tr w14:paraId="7DA7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48" w:type="dxa"/>
            <w:noWrap w:val="0"/>
            <w:vAlign w:val="center"/>
          </w:tcPr>
          <w:p w14:paraId="7A80DA29">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5</w:t>
            </w:r>
          </w:p>
        </w:tc>
        <w:tc>
          <w:tcPr>
            <w:tcW w:w="824" w:type="dxa"/>
            <w:vMerge w:val="continue"/>
            <w:noWrap w:val="0"/>
            <w:vAlign w:val="center"/>
          </w:tcPr>
          <w:p w14:paraId="088EB143">
            <w:pPr>
              <w:spacing w:line="360" w:lineRule="auto"/>
              <w:rPr>
                <w:rFonts w:ascii="宋体" w:hAnsi="Courier New" w:eastAsia="Times New Roman" w:cs="Times New Roman"/>
                <w:bCs/>
                <w:color w:val="000000"/>
                <w:sz w:val="24"/>
                <w:szCs w:val="24"/>
              </w:rPr>
            </w:pPr>
          </w:p>
        </w:tc>
        <w:tc>
          <w:tcPr>
            <w:tcW w:w="1916" w:type="dxa"/>
            <w:noWrap w:val="0"/>
            <w:vAlign w:val="center"/>
          </w:tcPr>
          <w:p w14:paraId="185F4D66">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类似业绩</w:t>
            </w:r>
          </w:p>
          <w:p w14:paraId="1EA2125C">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w:t>
            </w:r>
            <w:r>
              <w:rPr>
                <w:rFonts w:hint="eastAsia" w:ascii="宋体" w:hAnsi="Courier New" w:eastAsia="Times New Roman" w:cs="Times New Roman"/>
                <w:color w:val="000000"/>
                <w:sz w:val="24"/>
                <w:szCs w:val="24"/>
              </w:rPr>
              <w:t>0-15</w:t>
            </w:r>
            <w:r>
              <w:rPr>
                <w:rFonts w:hint="eastAsia" w:ascii="宋体" w:hAnsi="宋体" w:eastAsia="Times New Roman" w:cs="宋体"/>
                <w:color w:val="000000"/>
                <w:sz w:val="24"/>
                <w:szCs w:val="24"/>
              </w:rPr>
              <w:t>分）</w:t>
            </w:r>
          </w:p>
        </w:tc>
        <w:tc>
          <w:tcPr>
            <w:tcW w:w="6192" w:type="dxa"/>
            <w:noWrap w:val="0"/>
            <w:vAlign w:val="center"/>
          </w:tcPr>
          <w:p w14:paraId="050BAD02">
            <w:pPr>
              <w:spacing w:line="360" w:lineRule="exact"/>
              <w:rPr>
                <w:rFonts w:ascii="宋体" w:hAnsi="Courier New" w:eastAsia="Times New Roman" w:cs="Times New Roman"/>
                <w:color w:val="000000"/>
                <w:sz w:val="24"/>
                <w:szCs w:val="24"/>
              </w:rPr>
            </w:pPr>
            <w:r>
              <w:rPr>
                <w:rFonts w:hint="eastAsia" w:ascii="宋体" w:hAnsi="宋体" w:eastAsia="宋体" w:cs="宋体"/>
                <w:color w:val="000000"/>
                <w:sz w:val="24"/>
                <w:szCs w:val="24"/>
              </w:rPr>
              <w:t>与招标产品、生产设备、生产工艺类似业绩，业绩较好得</w:t>
            </w:r>
            <w:r>
              <w:rPr>
                <w:rFonts w:hint="eastAsia" w:ascii="宋体" w:hAnsi="Courier New" w:eastAsia="Times New Roman" w:cs="Times New Roman"/>
                <w:color w:val="000000"/>
                <w:sz w:val="24"/>
                <w:szCs w:val="24"/>
              </w:rPr>
              <w:t>11-15</w:t>
            </w:r>
            <w:r>
              <w:rPr>
                <w:rFonts w:hint="eastAsia" w:ascii="宋体" w:hAnsi="宋体" w:eastAsia="Times New Roman" w:cs="宋体"/>
                <w:color w:val="000000"/>
                <w:sz w:val="24"/>
                <w:szCs w:val="24"/>
              </w:rPr>
              <w:t>分，业绩一般得10分；与招标产品、生产设备、生产工艺部分类似业绩，得2</w:t>
            </w:r>
            <w:r>
              <w:rPr>
                <w:rFonts w:hint="eastAsia" w:ascii="宋体" w:hAnsi="Courier New" w:eastAsia="Times New Roman" w:cs="Times New Roman"/>
                <w:color w:val="000000"/>
                <w:sz w:val="24"/>
                <w:szCs w:val="24"/>
              </w:rPr>
              <w:t>-9</w:t>
            </w:r>
            <w:r>
              <w:rPr>
                <w:rFonts w:hint="eastAsia" w:ascii="宋体" w:hAnsi="宋体" w:eastAsia="Times New Roman" w:cs="宋体"/>
                <w:color w:val="000000"/>
                <w:sz w:val="24"/>
                <w:szCs w:val="24"/>
              </w:rPr>
              <w:t>分；无类似业绩</w:t>
            </w:r>
            <w:r>
              <w:rPr>
                <w:rFonts w:hint="eastAsia" w:ascii="宋体" w:hAnsi="Courier New" w:eastAsia="Times New Roman" w:cs="Times New Roman"/>
                <w:color w:val="000000"/>
                <w:sz w:val="24"/>
                <w:szCs w:val="24"/>
              </w:rPr>
              <w:t>0</w:t>
            </w:r>
            <w:r>
              <w:rPr>
                <w:rFonts w:hint="eastAsia" w:ascii="宋体" w:hAnsi="宋体" w:eastAsia="Times New Roman" w:cs="宋体"/>
                <w:color w:val="000000"/>
                <w:sz w:val="24"/>
                <w:szCs w:val="24"/>
              </w:rPr>
              <w:t>分。</w:t>
            </w:r>
          </w:p>
        </w:tc>
      </w:tr>
      <w:tr w14:paraId="016B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48" w:type="dxa"/>
            <w:noWrap w:val="0"/>
            <w:vAlign w:val="center"/>
          </w:tcPr>
          <w:p w14:paraId="401BC4DB">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6</w:t>
            </w:r>
          </w:p>
        </w:tc>
        <w:tc>
          <w:tcPr>
            <w:tcW w:w="824" w:type="dxa"/>
            <w:vMerge w:val="continue"/>
            <w:noWrap w:val="0"/>
            <w:vAlign w:val="center"/>
          </w:tcPr>
          <w:p w14:paraId="03F64587">
            <w:pPr>
              <w:spacing w:line="360" w:lineRule="auto"/>
              <w:rPr>
                <w:rFonts w:ascii="宋体" w:hAnsi="Courier New" w:eastAsia="Times New Roman" w:cs="Times New Roman"/>
                <w:bCs/>
                <w:color w:val="000000"/>
                <w:sz w:val="24"/>
                <w:szCs w:val="24"/>
              </w:rPr>
            </w:pPr>
          </w:p>
        </w:tc>
        <w:tc>
          <w:tcPr>
            <w:tcW w:w="1916" w:type="dxa"/>
            <w:noWrap w:val="0"/>
            <w:vAlign w:val="center"/>
          </w:tcPr>
          <w:p w14:paraId="4F870D96">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工艺方案整体描述（</w:t>
            </w:r>
            <w:r>
              <w:rPr>
                <w:rFonts w:hint="eastAsia" w:ascii="宋体" w:hAnsi="Courier New" w:eastAsia="Times New Roman" w:cs="Times New Roman"/>
                <w:color w:val="000000"/>
                <w:sz w:val="24"/>
                <w:szCs w:val="24"/>
              </w:rPr>
              <w:t>0-25</w:t>
            </w:r>
            <w:r>
              <w:rPr>
                <w:rFonts w:hint="eastAsia" w:ascii="宋体" w:hAnsi="宋体" w:eastAsia="Times New Roman" w:cs="宋体"/>
                <w:color w:val="000000"/>
                <w:sz w:val="24"/>
                <w:szCs w:val="24"/>
              </w:rPr>
              <w:t>分）</w:t>
            </w:r>
          </w:p>
        </w:tc>
        <w:tc>
          <w:tcPr>
            <w:tcW w:w="6192" w:type="dxa"/>
            <w:noWrap w:val="0"/>
            <w:vAlign w:val="center"/>
          </w:tcPr>
          <w:p w14:paraId="7FE17161">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根据投标书总体描述情况或现场答疑情况由专家自主综合评价。</w:t>
            </w:r>
          </w:p>
        </w:tc>
      </w:tr>
      <w:tr w14:paraId="45B0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7A0C04FA">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7</w:t>
            </w:r>
          </w:p>
        </w:tc>
        <w:tc>
          <w:tcPr>
            <w:tcW w:w="824" w:type="dxa"/>
            <w:vMerge w:val="continue"/>
            <w:noWrap w:val="0"/>
            <w:vAlign w:val="center"/>
          </w:tcPr>
          <w:p w14:paraId="101C4188">
            <w:pPr>
              <w:spacing w:line="360" w:lineRule="auto"/>
              <w:rPr>
                <w:rFonts w:ascii="宋体" w:hAnsi="Courier New" w:eastAsia="Times New Roman" w:cs="Times New Roman"/>
                <w:bCs/>
                <w:color w:val="000000"/>
                <w:sz w:val="24"/>
                <w:szCs w:val="24"/>
              </w:rPr>
            </w:pPr>
          </w:p>
        </w:tc>
        <w:tc>
          <w:tcPr>
            <w:tcW w:w="1916" w:type="dxa"/>
            <w:noWrap w:val="0"/>
            <w:vAlign w:val="center"/>
          </w:tcPr>
          <w:p w14:paraId="1729706B">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供货周期</w:t>
            </w:r>
          </w:p>
          <w:p w14:paraId="269B1A18">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w:t>
            </w:r>
            <w:r>
              <w:rPr>
                <w:rFonts w:hint="eastAsia" w:ascii="宋体" w:hAnsi="Courier New" w:eastAsia="Times New Roman" w:cs="Times New Roman"/>
                <w:color w:val="000000"/>
                <w:sz w:val="24"/>
                <w:szCs w:val="24"/>
              </w:rPr>
              <w:t>0-10</w:t>
            </w:r>
            <w:r>
              <w:rPr>
                <w:rFonts w:hint="eastAsia" w:ascii="宋体" w:hAnsi="宋体" w:eastAsia="Times New Roman" w:cs="宋体"/>
                <w:color w:val="000000"/>
                <w:sz w:val="24"/>
                <w:szCs w:val="24"/>
              </w:rPr>
              <w:t>分）</w:t>
            </w:r>
          </w:p>
        </w:tc>
        <w:tc>
          <w:tcPr>
            <w:tcW w:w="6192" w:type="dxa"/>
            <w:noWrap w:val="0"/>
            <w:vAlign w:val="center"/>
          </w:tcPr>
          <w:p w14:paraId="2458210E">
            <w:pPr>
              <w:spacing w:line="360" w:lineRule="auto"/>
              <w:rPr>
                <w:rFonts w:ascii="宋体" w:hAnsi="Courier New" w:eastAsia="等线" w:cs="Times New Roman"/>
                <w:color w:val="000000"/>
                <w:sz w:val="24"/>
                <w:szCs w:val="24"/>
              </w:rPr>
            </w:pPr>
            <w:r>
              <w:rPr>
                <w:rFonts w:hint="eastAsia" w:ascii="宋体" w:hAnsi="宋体" w:eastAsia="Times New Roman" w:cs="宋体"/>
                <w:color w:val="000000"/>
                <w:sz w:val="24"/>
                <w:szCs w:val="24"/>
              </w:rPr>
              <w:t>优于招标文件要求得6</w:t>
            </w:r>
            <w:r>
              <w:rPr>
                <w:rFonts w:hint="eastAsia" w:ascii="宋体" w:hAnsi="Courier New" w:eastAsia="Times New Roman" w:cs="Times New Roman"/>
                <w:color w:val="000000"/>
                <w:sz w:val="24"/>
                <w:szCs w:val="24"/>
              </w:rPr>
              <w:t>-10</w:t>
            </w:r>
            <w:r>
              <w:rPr>
                <w:rFonts w:hint="eastAsia" w:ascii="宋体" w:hAnsi="宋体" w:eastAsia="Times New Roman" w:cs="宋体"/>
                <w:color w:val="000000"/>
                <w:sz w:val="24"/>
                <w:szCs w:val="24"/>
              </w:rPr>
              <w:t>分</w:t>
            </w:r>
            <w:r>
              <w:rPr>
                <w:rFonts w:hint="eastAsia" w:ascii="宋体" w:hAnsi="Courier New" w:eastAsia="Times New Roman" w:cs="Times New Roman"/>
                <w:color w:val="000000"/>
                <w:sz w:val="24"/>
                <w:szCs w:val="24"/>
              </w:rPr>
              <w:t xml:space="preserve"> </w:t>
            </w:r>
            <w:r>
              <w:rPr>
                <w:rFonts w:hint="eastAsia" w:ascii="宋体" w:hAnsi="宋体" w:eastAsia="Times New Roman" w:cs="宋体"/>
                <w:color w:val="000000"/>
                <w:sz w:val="24"/>
                <w:szCs w:val="24"/>
              </w:rPr>
              <w:t>；满足招标文件要求得5分；不满足0分。</w:t>
            </w:r>
            <w:r>
              <w:rPr>
                <w:rFonts w:hint="eastAsia" w:ascii="宋体" w:hAnsi="Courier New" w:eastAsia="Times New Roman" w:cs="Times New Roman"/>
                <w:color w:val="000000"/>
                <w:sz w:val="24"/>
                <w:szCs w:val="24"/>
              </w:rPr>
              <w:t xml:space="preserve">  </w:t>
            </w:r>
          </w:p>
        </w:tc>
      </w:tr>
      <w:tr w14:paraId="0618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2DEA9551">
            <w:pPr>
              <w:spacing w:line="360" w:lineRule="auto"/>
              <w:jc w:val="center"/>
              <w:rPr>
                <w:rFonts w:ascii="宋体" w:hAnsi="Courier New" w:eastAsia="Times New Roman" w:cs="Times New Roman"/>
                <w:bCs/>
                <w:color w:val="000000"/>
                <w:sz w:val="24"/>
                <w:szCs w:val="24"/>
              </w:rPr>
            </w:pPr>
            <w:r>
              <w:rPr>
                <w:rFonts w:ascii="宋体" w:hAnsi="Courier New" w:eastAsia="Times New Roman" w:cs="Times New Roman"/>
                <w:bCs/>
                <w:color w:val="000000"/>
                <w:sz w:val="24"/>
                <w:szCs w:val="24"/>
              </w:rPr>
              <w:t>8</w:t>
            </w:r>
          </w:p>
        </w:tc>
        <w:tc>
          <w:tcPr>
            <w:tcW w:w="824" w:type="dxa"/>
            <w:vMerge w:val="continue"/>
            <w:noWrap w:val="0"/>
            <w:vAlign w:val="center"/>
          </w:tcPr>
          <w:p w14:paraId="1C656C23">
            <w:pPr>
              <w:spacing w:line="360" w:lineRule="auto"/>
              <w:rPr>
                <w:rFonts w:ascii="宋体" w:hAnsi="Courier New" w:eastAsia="Times New Roman" w:cs="Times New Roman"/>
                <w:bCs/>
                <w:color w:val="000000"/>
                <w:sz w:val="24"/>
                <w:szCs w:val="24"/>
              </w:rPr>
            </w:pPr>
          </w:p>
        </w:tc>
        <w:tc>
          <w:tcPr>
            <w:tcW w:w="1916" w:type="dxa"/>
            <w:noWrap w:val="0"/>
            <w:vAlign w:val="center"/>
          </w:tcPr>
          <w:p w14:paraId="637C1B2A">
            <w:pPr>
              <w:spacing w:line="360" w:lineRule="auto"/>
              <w:rPr>
                <w:rFonts w:ascii="宋体" w:hAnsi="Courier New" w:eastAsia="Times New Roman" w:cs="Times New Roman"/>
                <w:color w:val="000000"/>
                <w:sz w:val="24"/>
                <w:szCs w:val="24"/>
              </w:rPr>
            </w:pPr>
            <w:r>
              <w:rPr>
                <w:rFonts w:hint="eastAsia" w:ascii="宋体" w:hAnsi="宋体" w:eastAsia="Times New Roman" w:cs="宋体"/>
                <w:color w:val="000000"/>
                <w:sz w:val="24"/>
                <w:szCs w:val="24"/>
              </w:rPr>
              <w:t>质保期及售后服务（</w:t>
            </w:r>
            <w:r>
              <w:rPr>
                <w:rFonts w:hint="eastAsia" w:ascii="宋体" w:hAnsi="Courier New" w:eastAsia="Times New Roman" w:cs="Times New Roman"/>
                <w:color w:val="000000"/>
                <w:sz w:val="24"/>
                <w:szCs w:val="24"/>
              </w:rPr>
              <w:t>0-10</w:t>
            </w:r>
            <w:r>
              <w:rPr>
                <w:rFonts w:hint="eastAsia" w:ascii="宋体" w:hAnsi="宋体" w:eastAsia="Times New Roman" w:cs="宋体"/>
                <w:color w:val="000000"/>
                <w:sz w:val="24"/>
                <w:szCs w:val="24"/>
              </w:rPr>
              <w:t>分）</w:t>
            </w:r>
          </w:p>
        </w:tc>
        <w:tc>
          <w:tcPr>
            <w:tcW w:w="6192" w:type="dxa"/>
            <w:noWrap w:val="0"/>
            <w:vAlign w:val="center"/>
          </w:tcPr>
          <w:p w14:paraId="44465E84">
            <w:pPr>
              <w:spacing w:line="360" w:lineRule="auto"/>
              <w:rPr>
                <w:rFonts w:ascii="宋体" w:hAnsi="宋体" w:eastAsia="Times New Roman" w:cs="宋体"/>
                <w:color w:val="000000"/>
                <w:sz w:val="24"/>
                <w:szCs w:val="24"/>
              </w:rPr>
            </w:pPr>
            <w:r>
              <w:rPr>
                <w:rFonts w:hint="eastAsia" w:ascii="宋体" w:hAnsi="宋体" w:eastAsia="Times New Roman" w:cs="宋体"/>
                <w:color w:val="000000"/>
                <w:sz w:val="24"/>
                <w:szCs w:val="24"/>
              </w:rPr>
              <w:t>售后服务措施得当，质保期优于招标文件要求6-10分、满足招标文件要求5分；不满足0分。</w:t>
            </w:r>
          </w:p>
          <w:p w14:paraId="04735975">
            <w:pPr>
              <w:spacing w:line="360" w:lineRule="auto"/>
              <w:rPr>
                <w:rFonts w:ascii="宋体" w:hAnsi="Courier New" w:eastAsia="Times New Roman" w:cs="Times New Roman"/>
                <w:color w:val="000000"/>
                <w:sz w:val="24"/>
                <w:szCs w:val="24"/>
              </w:rPr>
            </w:pPr>
          </w:p>
        </w:tc>
      </w:tr>
    </w:tbl>
    <w:p w14:paraId="458B2592">
      <w:pPr>
        <w:widowControl w:val="0"/>
        <w:numPr>
          <w:ilvl w:val="0"/>
          <w:numId w:val="0"/>
        </w:numPr>
        <w:spacing w:line="360" w:lineRule="auto"/>
        <w:jc w:val="both"/>
        <w:rPr>
          <w:rFonts w:hint="eastAsia" w:ascii="Times New Roman" w:hAnsi="宋体" w:eastAsia="宋体" w:cs="Times New Roman"/>
          <w:color w:val="000000"/>
          <w:sz w:val="24"/>
          <w:szCs w:val="24"/>
        </w:rPr>
      </w:pPr>
    </w:p>
    <w:p w14:paraId="44B71067">
      <w:pPr>
        <w:tabs>
          <w:tab w:val="left" w:pos="1140"/>
        </w:tabs>
        <w:spacing w:line="48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、本项目每个分包最终只产生一个中标人。</w:t>
      </w:r>
    </w:p>
    <w:p w14:paraId="276AA27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4、出现下列情形之一，招标人有权否决所有投标人的投标，并终止招标</w:t>
      </w:r>
    </w:p>
    <w:p w14:paraId="0D243EAC">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（1）符合条件的投标人或者对招</w:t>
      </w:r>
    </w:p>
    <w:p w14:paraId="0CBD2F50">
      <w:pPr>
        <w:spacing w:line="360" w:lineRule="auto"/>
        <w:ind w:left="-210" w:leftChars="-100" w:firstLine="480" w:firstLineChars="200"/>
        <w:rPr>
          <w:rFonts w:ascii="宋体" w:hAnsi="宋体" w:eastAsia="宋体" w:cs="Times New Roman"/>
          <w:b/>
          <w:color w:val="000000"/>
          <w:sz w:val="24"/>
          <w:szCs w:val="24"/>
        </w:rPr>
      </w:pPr>
      <w:r>
        <w:rPr>
          <w:rFonts w:hint="eastAsia" w:ascii="宋体" w:hAnsi="宋体" w:eastAsia="宋体" w:cs="Times New Roman"/>
          <w:color w:val="000000"/>
          <w:sz w:val="24"/>
          <w:szCs w:val="24"/>
        </w:rPr>
        <w:t>标文件做实质响应的投标人不足三家的；</w:t>
      </w:r>
    </w:p>
    <w:p w14:paraId="12D3B905">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（2）出现影响采购公正的违法、违规行为的；</w:t>
      </w:r>
    </w:p>
    <w:p w14:paraId="45515CA6">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（3）因重大变故，采购任务取消的；</w:t>
      </w:r>
    </w:p>
    <w:p w14:paraId="2487FE0D">
      <w:pPr>
        <w:spacing w:line="360" w:lineRule="auto"/>
        <w:ind w:left="-210" w:leftChars="-100" w:firstLine="480" w:firstLineChars="200"/>
        <w:rPr>
          <w:rFonts w:ascii="宋体" w:hAnsi="Courier New" w:eastAsia="宋体" w:cs="Times New Roman"/>
          <w:color w:val="000000"/>
          <w:sz w:val="24"/>
          <w:szCs w:val="24"/>
        </w:rPr>
      </w:pPr>
      <w:r>
        <w:rPr>
          <w:rFonts w:hint="eastAsia" w:ascii="宋体" w:hAnsi="Courier New" w:eastAsia="宋体" w:cs="Times New Roman"/>
          <w:color w:val="000000"/>
          <w:sz w:val="24"/>
          <w:szCs w:val="24"/>
        </w:rPr>
        <w:t>（4）评标委员会经评审，认为所有投标都不符合招标文件要求的；</w:t>
      </w:r>
    </w:p>
    <w:p w14:paraId="04DAFE33">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（5）招标人认为其他应终止招标的情形。</w:t>
      </w:r>
    </w:p>
    <w:p w14:paraId="25D6E69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44903D5">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（1）投标人提供的有关资格、资质证明文件不合格、不真实或提供虚假投标材料；</w:t>
      </w:r>
    </w:p>
    <w:p w14:paraId="0276058B">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（2）投标人在报价有效期内撤回投标；</w:t>
      </w:r>
    </w:p>
    <w:p w14:paraId="24F36BE1">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（3）在整个评标过程中，投标人有企图影响评标结果公正性的任何活动；</w:t>
      </w:r>
    </w:p>
    <w:p w14:paraId="6CBF7EB5">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（4）投标人以任何方式诋毁其他投标人；</w:t>
      </w:r>
    </w:p>
    <w:p w14:paraId="215910D5">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（5）投标人串通投标；</w:t>
      </w:r>
    </w:p>
    <w:p w14:paraId="72F7B0E5">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（6）以他人名义投标或者以其他方式弄虚作假，骗取中标的；</w:t>
      </w:r>
    </w:p>
    <w:p w14:paraId="11DF97F2">
      <w:pPr>
        <w:spacing w:line="360" w:lineRule="auto"/>
        <w:ind w:left="-210" w:leftChars="-100"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（7）不同单位的投标人负责人为同一人或者存在控股、管理关系的；</w:t>
      </w:r>
    </w:p>
    <w:p w14:paraId="2B1DD308">
      <w:pPr>
        <w:spacing w:line="520" w:lineRule="exact"/>
        <w:ind w:left="-210" w:leftChars="-100" w:right="2"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（8）中标人不按规定签订合同；</w:t>
      </w:r>
    </w:p>
    <w:p w14:paraId="3EE70355">
      <w:pPr>
        <w:spacing w:line="520" w:lineRule="exact"/>
        <w:ind w:left="-210" w:leftChars="-100" w:right="2" w:firstLine="480" w:firstLineChars="200"/>
        <w:rPr>
          <w:rFonts w:ascii="宋体" w:hAnsi="宋体" w:eastAsia="宋体" w:cs="宋体"/>
          <w:color w:val="606266"/>
          <w:sz w:val="24"/>
          <w:szCs w:val="24"/>
          <w:shd w:val="clear" w:color="auto" w:fill="FFFFFF"/>
        </w:rPr>
      </w:pPr>
      <w:r>
        <w:rPr>
          <w:rFonts w:hint="eastAsia" w:ascii="宋体" w:hAnsi="宋体" w:eastAsia="宋体" w:cs="Times New Roman"/>
          <w:color w:val="000000"/>
          <w:sz w:val="24"/>
          <w:szCs w:val="24"/>
        </w:rPr>
        <w:t>（9）投标人被举报、检举，并经招标方查实无误的；</w:t>
      </w:r>
    </w:p>
    <w:p w14:paraId="548C0A92">
      <w:pPr>
        <w:spacing w:line="520" w:lineRule="exact"/>
        <w:ind w:left="-210" w:leftChars="-100" w:right="2"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（10）法律、法规规定的其他情况。</w:t>
      </w:r>
    </w:p>
    <w:bookmarkEnd w:id="5"/>
    <w:bookmarkEnd w:id="6"/>
    <w:p w14:paraId="4606377D">
      <w:pPr>
        <w:spacing w:line="360" w:lineRule="auto"/>
        <w:rPr>
          <w:rFonts w:hint="eastAsia" w:ascii="黑体" w:hAnsi="黑体" w:eastAsia="黑体"/>
          <w:b/>
          <w:bCs/>
          <w:sz w:val="28"/>
          <w:szCs w:val="28"/>
        </w:rPr>
      </w:pPr>
      <w:r>
        <w:rPr>
          <w:rFonts w:hint="eastAsia" w:ascii="黑体" w:hAnsi="黑体" w:eastAsia="黑体"/>
          <w:b/>
          <w:bCs/>
          <w:sz w:val="28"/>
          <w:szCs w:val="28"/>
        </w:rPr>
        <w:t>五、投标文件签署</w:t>
      </w:r>
    </w:p>
    <w:p w14:paraId="22B9DA8B">
      <w:pPr>
        <w:spacing w:line="360" w:lineRule="auto"/>
        <w:ind w:firstLine="480" w:firstLineChars="200"/>
        <w:rPr>
          <w:rFonts w:hint="eastAsia" w:ascii="宋体" w:hAnsi="宋体"/>
          <w:sz w:val="24"/>
          <w:szCs w:val="24"/>
        </w:rPr>
      </w:pPr>
      <w:r>
        <w:rPr>
          <w:rFonts w:hint="eastAsia" w:ascii="宋体" w:hAnsi="宋体"/>
          <w:sz w:val="24"/>
          <w:szCs w:val="24"/>
        </w:rPr>
        <w:t>1.法定代表人或投标人授权代表必须按招标文件的规定在投标文件加盖投标人</w:t>
      </w:r>
      <w:r>
        <w:rPr>
          <w:rFonts w:hint="eastAsia" w:ascii="宋体" w:hAnsi="宋体"/>
          <w:b/>
          <w:bCs/>
          <w:sz w:val="24"/>
          <w:szCs w:val="24"/>
        </w:rPr>
        <w:t>单位公章</w:t>
      </w:r>
      <w:r>
        <w:rPr>
          <w:rFonts w:hint="eastAsia" w:ascii="宋体"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14:paraId="084EFC79">
      <w:pPr>
        <w:spacing w:line="360" w:lineRule="auto"/>
        <w:ind w:firstLine="480" w:firstLineChars="200"/>
        <w:rPr>
          <w:rFonts w:hint="eastAsia" w:ascii="宋体" w:hAnsi="宋体"/>
          <w:sz w:val="24"/>
          <w:szCs w:val="24"/>
        </w:rPr>
      </w:pPr>
      <w:r>
        <w:rPr>
          <w:rFonts w:hint="eastAsia" w:ascii="宋体" w:hAnsi="宋体"/>
          <w:sz w:val="24"/>
          <w:szCs w:val="24"/>
        </w:rPr>
        <w:t>2.任何行间插字、涂改和增删，必须由投标人的法定代表人或授权代表签字或加盖公章后才有效。</w:t>
      </w:r>
    </w:p>
    <w:p w14:paraId="506CD4A9">
      <w:pPr>
        <w:spacing w:line="520" w:lineRule="exact"/>
        <w:ind w:right="2"/>
        <w:rPr>
          <w:rFonts w:hint="eastAsia" w:ascii="宋体" w:hAnsi="宋体"/>
          <w:b/>
          <w:bCs/>
          <w:color w:val="000000"/>
          <w:sz w:val="28"/>
          <w:szCs w:val="28"/>
        </w:rPr>
      </w:pPr>
      <w:r>
        <w:rPr>
          <w:rFonts w:hint="eastAsia"/>
          <w:b/>
          <w:bCs/>
          <w:sz w:val="28"/>
          <w:szCs w:val="28"/>
        </w:rPr>
        <w:t>六、合同签订</w:t>
      </w:r>
    </w:p>
    <w:p w14:paraId="39C02378">
      <w:pPr>
        <w:pStyle w:val="13"/>
        <w:ind w:firstLine="480"/>
        <w:rPr>
          <w:rFonts w:hint="eastAsia"/>
        </w:rPr>
      </w:pPr>
      <w:r>
        <w:rPr>
          <w:rFonts w:hint="eastAsia" w:ascii="Times New Roman" w:hAnsi="Times New Roman"/>
        </w:rPr>
        <w:t>1</w:t>
      </w:r>
      <w:r>
        <w:rPr>
          <w:rFonts w:hint="eastAsia"/>
        </w:rPr>
        <w:t>、</w:t>
      </w:r>
      <w:r>
        <w:rPr>
          <w:rFonts w:hint="eastAsia" w:cs="宋体"/>
        </w:rPr>
        <w:t>确定中标结果后，招标人向中标人发放《中标通知书》；中标人接《中标通知书》15日之内，按照招标文件及投标文件的约定，签订合同</w:t>
      </w:r>
      <w:r>
        <w:rPr>
          <w:rFonts w:hint="eastAsia"/>
        </w:rPr>
        <w:t>。</w:t>
      </w:r>
    </w:p>
    <w:p w14:paraId="647E9BBF">
      <w:pPr>
        <w:pStyle w:val="13"/>
        <w:ind w:firstLine="480"/>
        <w:rPr>
          <w:rFonts w:hint="eastAsia"/>
        </w:rPr>
      </w:pPr>
      <w:r>
        <w:rPr>
          <w:rFonts w:hint="eastAsia" w:ascii="Times New Roman" w:hAnsi="Times New Roman"/>
        </w:rPr>
        <w:t>2</w:t>
      </w:r>
      <w:r>
        <w:rPr>
          <w:rFonts w:hint="eastAsia"/>
        </w:rPr>
        <w:t>、中标人应当按照合同约定的履约责任，在保证质量的前提下完成中标项目，不得将中标项目转包给他人，否则视为违约，招标人有权解除合同。</w:t>
      </w:r>
    </w:p>
    <w:p w14:paraId="7C3FE1F6">
      <w:pPr>
        <w:pStyle w:val="5"/>
        <w:spacing w:line="360" w:lineRule="auto"/>
        <w:ind w:firstLine="480" w:firstLineChars="200"/>
        <w:rPr>
          <w:rFonts w:hint="eastAsia"/>
          <w:sz w:val="24"/>
        </w:rPr>
      </w:pPr>
      <w:r>
        <w:rPr>
          <w:rFonts w:hint="eastAsia"/>
          <w:sz w:val="24"/>
        </w:rPr>
        <w:t>3、中标人由于履行义务的能力或信用有严重缺陷，招标人有权取消其中标资格，招标人将从中标候选单位中依序重新确定中标人，或重新组织招标。</w:t>
      </w:r>
    </w:p>
    <w:p w14:paraId="54765A35">
      <w:pPr>
        <w:pStyle w:val="5"/>
        <w:spacing w:line="360" w:lineRule="auto"/>
        <w:ind w:firstLine="480" w:firstLineChars="200"/>
        <w:rPr>
          <w:rFonts w:hint="eastAsia"/>
          <w:sz w:val="24"/>
        </w:rPr>
      </w:pPr>
      <w:r>
        <w:rPr>
          <w:rFonts w:hint="eastAsia"/>
          <w:sz w:val="24"/>
        </w:rPr>
        <w:t>4、合同以双方最终签署的版本为准。</w:t>
      </w:r>
    </w:p>
    <w:p w14:paraId="092E7A08">
      <w:pPr>
        <w:pStyle w:val="5"/>
        <w:spacing w:line="360" w:lineRule="auto"/>
        <w:rPr>
          <w:b/>
          <w:bCs/>
          <w:sz w:val="28"/>
          <w:szCs w:val="28"/>
        </w:rPr>
      </w:pPr>
      <w:r>
        <w:rPr>
          <w:rFonts w:hint="eastAsia"/>
          <w:b/>
          <w:bCs/>
          <w:sz w:val="28"/>
          <w:szCs w:val="28"/>
        </w:rPr>
        <w:t>七、中标人瑕疵滞后发现的处理原则</w:t>
      </w:r>
    </w:p>
    <w:p w14:paraId="05CD7EDA">
      <w:pPr>
        <w:spacing w:line="520" w:lineRule="exact"/>
        <w:ind w:right="2" w:firstLine="480" w:firstLineChars="200"/>
        <w:rPr>
          <w:rFonts w:ascii="宋体" w:hAnsi="宋体" w:cs="宋体"/>
          <w:color w:val="000000"/>
          <w:sz w:val="24"/>
          <w:szCs w:val="24"/>
        </w:rPr>
      </w:pPr>
      <w:r>
        <w:rPr>
          <w:rFonts w:hint="eastAsia" w:ascii="宋体" w:hAnsi="宋体" w:cs="宋体"/>
          <w:color w:val="000000"/>
          <w:sz w:val="24"/>
          <w:szCs w:val="24"/>
        </w:rPr>
        <w:t>无论基于何种原因，各项本应作为拒绝处理的情形，即便未被及时发现而使该中标人通过了资格审核、现场复审、终评或其他所有相关程序，包括已签订合同，招标人有权取消其中标资格，一旦中标人被拒绝或该中标人此前的评议结果被取消，因招标产生的相关的费用以及一切损失均由中标人承担。</w:t>
      </w:r>
    </w:p>
    <w:p w14:paraId="2B881802">
      <w:pPr>
        <w:spacing w:line="520" w:lineRule="exact"/>
        <w:ind w:right="2"/>
        <w:rPr>
          <w:rFonts w:ascii="宋体" w:hAnsi="宋体" w:cs="宋体"/>
          <w:b/>
          <w:bCs/>
          <w:color w:val="000000"/>
          <w:sz w:val="28"/>
          <w:szCs w:val="28"/>
        </w:rPr>
      </w:pPr>
      <w:r>
        <w:rPr>
          <w:rFonts w:hint="eastAsia" w:cs="宋体"/>
          <w:b/>
          <w:bCs/>
          <w:sz w:val="28"/>
          <w:szCs w:val="28"/>
        </w:rPr>
        <w:t>八、</w:t>
      </w:r>
      <w:r>
        <w:rPr>
          <w:rFonts w:hint="eastAsia"/>
          <w:b/>
          <w:bCs/>
          <w:sz w:val="28"/>
          <w:szCs w:val="28"/>
        </w:rPr>
        <w:t>其他</w:t>
      </w:r>
    </w:p>
    <w:p w14:paraId="3DF43B53">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1、其余未尽事宜均以最终签署的协议（或合同）约定为准。</w:t>
      </w:r>
    </w:p>
    <w:p w14:paraId="2951F134">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2、要求招标人或相关合同签订单位提供的配合，在标书文件中说明。</w:t>
      </w:r>
    </w:p>
    <w:p w14:paraId="796BD947">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3、凡对本次招标提出的问询，均以招标人的书面答复为准。招标人的任何工作人员对投标人所作的任何口头解释、介绍、答复，对招标人和投标人均无任何约束力。</w:t>
      </w:r>
    </w:p>
    <w:p w14:paraId="12E2C370">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4、投标人应承担所有与准备和参加投标有关的全部费用，招标人在任何情况下均无义务和责任承担此费用。</w:t>
      </w:r>
    </w:p>
    <w:p w14:paraId="6A4652AB">
      <w:pPr>
        <w:spacing w:line="520" w:lineRule="exact"/>
        <w:ind w:right="2"/>
        <w:rPr>
          <w:rFonts w:hint="eastAsia" w:ascii="宋体" w:hAnsi="Courier New"/>
          <w:b/>
          <w:bCs/>
          <w:color w:val="000000"/>
          <w:sz w:val="28"/>
          <w:szCs w:val="28"/>
        </w:rPr>
      </w:pPr>
      <w:r>
        <w:rPr>
          <w:rFonts w:hint="eastAsia"/>
          <w:b/>
          <w:bCs/>
          <w:sz w:val="28"/>
          <w:szCs w:val="28"/>
        </w:rPr>
        <w:t>九、解释权</w:t>
      </w:r>
    </w:p>
    <w:p w14:paraId="311A5989">
      <w:pPr>
        <w:pStyle w:val="15"/>
        <w:spacing w:line="400" w:lineRule="exact"/>
        <w:ind w:firstLine="600" w:firstLineChars="250"/>
        <w:rPr>
          <w:rFonts w:hint="eastAsia" w:ascii="黑体" w:hAnsi="黑体" w:eastAsia="黑体"/>
          <w:b w:val="0"/>
          <w:bCs w:val="0"/>
          <w:sz w:val="28"/>
          <w:szCs w:val="28"/>
        </w:rPr>
      </w:pPr>
      <w:r>
        <w:rPr>
          <w:rFonts w:hint="eastAsia"/>
          <w:b w:val="0"/>
        </w:rPr>
        <w:t>本招标文件的最终解释权归招标人，当对一个问题有多种解释时以招标人的书面解释为准。招标文件未做须知明示，而又有相关法律、法规规定的，招标人对此所做解释以相关的法律、法规规定为依据。</w:t>
      </w:r>
    </w:p>
    <w:p w14:paraId="0DAB2339">
      <w:pPr>
        <w:spacing w:line="360" w:lineRule="auto"/>
        <w:rPr>
          <w:rFonts w:hint="eastAsia" w:ascii="宋体" w:hAnsi="宋体"/>
          <w:sz w:val="24"/>
        </w:rPr>
      </w:pPr>
      <w:r>
        <w:rPr>
          <w:rFonts w:hint="eastAsia" w:ascii="黑体" w:hAnsi="黑体" w:eastAsia="黑体"/>
          <w:b/>
          <w:bCs/>
          <w:sz w:val="28"/>
          <w:szCs w:val="28"/>
        </w:rPr>
        <w:t>十、投标文件格式要求</w:t>
      </w:r>
    </w:p>
    <w:p w14:paraId="5AF6CD5C">
      <w:pPr>
        <w:pStyle w:val="3"/>
        <w:adjustRightInd w:val="0"/>
        <w:snapToGrid w:val="0"/>
        <w:spacing w:before="93" w:beforeLines="30" w:line="240" w:lineRule="exact"/>
        <w:rPr>
          <w:rFonts w:hint="eastAsia" w:ascii="宋体" w:hAnsi="宋体"/>
          <w:sz w:val="24"/>
        </w:rPr>
      </w:pPr>
    </w:p>
    <w:p w14:paraId="1AA501AA">
      <w:pPr>
        <w:pStyle w:val="3"/>
        <w:adjustRightInd w:val="0"/>
        <w:snapToGrid w:val="0"/>
        <w:spacing w:before="93" w:beforeLines="30" w:line="240" w:lineRule="exact"/>
        <w:rPr>
          <w:rFonts w:hint="eastAsia" w:ascii="宋体" w:hAnsi="宋体"/>
          <w:sz w:val="24"/>
        </w:rPr>
      </w:pPr>
    </w:p>
    <w:p w14:paraId="77E9B6B8">
      <w:pPr>
        <w:pStyle w:val="3"/>
        <w:adjustRightInd w:val="0"/>
        <w:snapToGrid w:val="0"/>
        <w:spacing w:before="93" w:beforeLines="30" w:line="240" w:lineRule="exact"/>
        <w:rPr>
          <w:rFonts w:hint="eastAsia" w:ascii="宋体" w:hAnsi="宋体"/>
          <w:sz w:val="24"/>
        </w:rPr>
      </w:pPr>
    </w:p>
    <w:p w14:paraId="55060060">
      <w:pPr>
        <w:pStyle w:val="3"/>
        <w:adjustRightInd w:val="0"/>
        <w:snapToGrid w:val="0"/>
        <w:spacing w:before="93" w:beforeLines="30" w:line="240" w:lineRule="exact"/>
        <w:rPr>
          <w:rFonts w:hint="eastAsia" w:ascii="宋体" w:hAnsi="宋体"/>
          <w:sz w:val="24"/>
        </w:rPr>
      </w:pPr>
    </w:p>
    <w:p w14:paraId="56AAE49A">
      <w:pPr>
        <w:pStyle w:val="3"/>
        <w:adjustRightInd w:val="0"/>
        <w:snapToGrid w:val="0"/>
        <w:spacing w:before="93" w:beforeLines="30" w:line="240" w:lineRule="exact"/>
        <w:rPr>
          <w:rFonts w:hint="eastAsia" w:ascii="宋体" w:hAnsi="宋体"/>
          <w:sz w:val="24"/>
        </w:rPr>
      </w:pPr>
    </w:p>
    <w:p w14:paraId="5E27B255">
      <w:pPr>
        <w:pStyle w:val="3"/>
        <w:adjustRightInd w:val="0"/>
        <w:snapToGrid w:val="0"/>
        <w:spacing w:before="93" w:beforeLines="30" w:line="240" w:lineRule="exact"/>
        <w:rPr>
          <w:rFonts w:hint="eastAsia" w:ascii="宋体" w:hAnsi="宋体"/>
          <w:sz w:val="24"/>
        </w:rPr>
      </w:pPr>
    </w:p>
    <w:p w14:paraId="3B023094">
      <w:pPr>
        <w:pStyle w:val="3"/>
        <w:adjustRightInd w:val="0"/>
        <w:snapToGrid w:val="0"/>
        <w:spacing w:before="93" w:beforeLines="30" w:line="240" w:lineRule="exact"/>
        <w:rPr>
          <w:rFonts w:hint="eastAsia" w:ascii="宋体" w:hAnsi="宋体"/>
          <w:sz w:val="24"/>
        </w:rPr>
      </w:pPr>
    </w:p>
    <w:p w14:paraId="1ABD7F13">
      <w:pPr>
        <w:pStyle w:val="3"/>
        <w:adjustRightInd w:val="0"/>
        <w:snapToGrid w:val="0"/>
        <w:spacing w:before="93" w:beforeLines="30" w:line="240" w:lineRule="exact"/>
        <w:rPr>
          <w:rFonts w:hint="eastAsia" w:ascii="宋体" w:hAnsi="宋体"/>
          <w:sz w:val="24"/>
        </w:rPr>
      </w:pPr>
    </w:p>
    <w:p w14:paraId="500D37E2">
      <w:pPr>
        <w:pStyle w:val="3"/>
        <w:adjustRightInd w:val="0"/>
        <w:snapToGrid w:val="0"/>
        <w:spacing w:before="93" w:beforeLines="30" w:line="240" w:lineRule="exact"/>
        <w:rPr>
          <w:rFonts w:hint="eastAsia" w:ascii="宋体" w:hAnsi="宋体"/>
          <w:sz w:val="24"/>
        </w:rPr>
      </w:pPr>
    </w:p>
    <w:p w14:paraId="2DA1086B">
      <w:pPr>
        <w:pStyle w:val="4"/>
        <w:rPr>
          <w:rFonts w:hint="eastAsia"/>
        </w:rPr>
      </w:pPr>
    </w:p>
    <w:p w14:paraId="25399690">
      <w:pPr>
        <w:pStyle w:val="4"/>
        <w:rPr>
          <w:rFonts w:hint="eastAsia"/>
        </w:rPr>
      </w:pPr>
    </w:p>
    <w:p w14:paraId="321A0EE5">
      <w:pPr>
        <w:pStyle w:val="4"/>
        <w:rPr>
          <w:rFonts w:hint="eastAsia"/>
        </w:rPr>
      </w:pPr>
    </w:p>
    <w:p w14:paraId="4986E604">
      <w:pPr>
        <w:pStyle w:val="4"/>
        <w:rPr>
          <w:rFonts w:hint="eastAsia"/>
        </w:rPr>
      </w:pPr>
    </w:p>
    <w:p w14:paraId="7AEB1DF1">
      <w:pPr>
        <w:pStyle w:val="4"/>
        <w:rPr>
          <w:rFonts w:hint="eastAsia"/>
        </w:rPr>
      </w:pPr>
    </w:p>
    <w:p w14:paraId="375320CA">
      <w:pPr>
        <w:pStyle w:val="4"/>
        <w:rPr>
          <w:rFonts w:hint="eastAsia"/>
        </w:rPr>
      </w:pPr>
    </w:p>
    <w:p w14:paraId="045714C0">
      <w:pPr>
        <w:pStyle w:val="4"/>
        <w:rPr>
          <w:rFonts w:hint="eastAsia"/>
        </w:rPr>
      </w:pPr>
    </w:p>
    <w:p w14:paraId="16197B05">
      <w:pPr>
        <w:pStyle w:val="4"/>
        <w:rPr>
          <w:rFonts w:hint="eastAsia"/>
        </w:rPr>
      </w:pPr>
    </w:p>
    <w:p w14:paraId="4920DF8C">
      <w:pPr>
        <w:pStyle w:val="4"/>
        <w:ind w:left="0" w:leftChars="0" w:firstLine="0" w:firstLineChars="0"/>
        <w:rPr>
          <w:rFonts w:hint="eastAsia"/>
        </w:rPr>
      </w:pPr>
    </w:p>
    <w:p w14:paraId="7B4BB6FE">
      <w:pPr>
        <w:pStyle w:val="3"/>
        <w:adjustRightInd w:val="0"/>
        <w:snapToGrid w:val="0"/>
        <w:spacing w:before="93" w:beforeLines="30" w:line="240" w:lineRule="exact"/>
        <w:rPr>
          <w:rFonts w:hint="eastAsia" w:ascii="宋体" w:hAnsi="宋体"/>
          <w:sz w:val="24"/>
        </w:rPr>
      </w:pPr>
      <w:r>
        <w:rPr>
          <w:rFonts w:hint="eastAsia" w:ascii="宋体" w:hAnsi="宋体"/>
          <w:sz w:val="24"/>
        </w:rPr>
        <w:t>格式一</w:t>
      </w:r>
    </w:p>
    <w:p w14:paraId="60289FBE">
      <w:pPr>
        <w:pStyle w:val="3"/>
        <w:adjustRightInd w:val="0"/>
        <w:snapToGrid w:val="0"/>
        <w:spacing w:before="93" w:beforeLines="30" w:line="240" w:lineRule="exact"/>
        <w:rPr>
          <w:rFonts w:hint="eastAsia" w:ascii="宋体" w:hAnsi="宋体"/>
          <w:sz w:val="24"/>
        </w:rPr>
      </w:pPr>
    </w:p>
    <w:p w14:paraId="69C7B9FD">
      <w:pPr>
        <w:spacing w:line="360" w:lineRule="auto"/>
        <w:ind w:left="420"/>
        <w:jc w:val="center"/>
        <w:rPr>
          <w:rFonts w:eastAsia="仿宋_GB2312"/>
          <w:sz w:val="28"/>
        </w:rPr>
      </w:pPr>
      <w:r>
        <w:rPr>
          <w:rFonts w:eastAsia="仿宋_GB2312"/>
          <w:b/>
          <w:sz w:val="44"/>
        </w:rPr>
        <w:t>投标文件签署授权委托书</w:t>
      </w:r>
    </w:p>
    <w:p w14:paraId="23A8E5C3">
      <w:pPr>
        <w:spacing w:line="360" w:lineRule="auto"/>
        <w:ind w:firstLine="567"/>
        <w:rPr>
          <w:color w:val="000000"/>
          <w:sz w:val="24"/>
          <w:szCs w:val="24"/>
        </w:rPr>
      </w:pPr>
      <w:r>
        <w:rPr>
          <w:rFonts w:eastAsia="仿宋_GB2312"/>
          <w:sz w:val="28"/>
          <w:szCs w:val="28"/>
        </w:rPr>
        <w:t>本授权委托书声明：我</w:t>
      </w:r>
      <w:r>
        <w:rPr>
          <w:rFonts w:eastAsia="隶书"/>
          <w:sz w:val="28"/>
          <w:szCs w:val="28"/>
          <w:u w:val="single"/>
        </w:rPr>
        <w:t xml:space="preserve"> (法人代表姓名)　</w:t>
      </w:r>
      <w:r>
        <w:rPr>
          <w:rFonts w:eastAsia="仿宋_GB2312"/>
          <w:sz w:val="28"/>
          <w:szCs w:val="28"/>
        </w:rPr>
        <w:t>系</w:t>
      </w:r>
      <w:r>
        <w:rPr>
          <w:rFonts w:eastAsia="隶书"/>
          <w:sz w:val="28"/>
          <w:szCs w:val="28"/>
          <w:u w:val="single"/>
        </w:rPr>
        <w:t xml:space="preserve"> (投标人名称，公司名)</w:t>
      </w:r>
      <w:r>
        <w:rPr>
          <w:rFonts w:eastAsia="仿宋_GB2312"/>
          <w:sz w:val="28"/>
          <w:szCs w:val="28"/>
        </w:rPr>
        <w:t>的法定代表人，现授权委托</w:t>
      </w:r>
      <w:r>
        <w:rPr>
          <w:rFonts w:eastAsia="隶书"/>
          <w:sz w:val="28"/>
          <w:szCs w:val="28"/>
          <w:u w:val="single"/>
        </w:rPr>
        <w:t xml:space="preserve"> (投标人名称，公司名) </w:t>
      </w:r>
      <w:r>
        <w:rPr>
          <w:rFonts w:eastAsia="仿宋_GB2312"/>
          <w:sz w:val="28"/>
          <w:szCs w:val="28"/>
        </w:rPr>
        <w:t>的</w:t>
      </w:r>
      <w:r>
        <w:rPr>
          <w:rFonts w:eastAsia="隶书"/>
          <w:sz w:val="28"/>
          <w:szCs w:val="28"/>
          <w:u w:val="single"/>
        </w:rPr>
        <w:t xml:space="preserve"> (代理人姓名) </w:t>
      </w:r>
      <w:r>
        <w:rPr>
          <w:rFonts w:eastAsia="仿宋_GB2312"/>
          <w:sz w:val="28"/>
          <w:szCs w:val="28"/>
        </w:rPr>
        <w:t>为我公司签署</w:t>
      </w:r>
      <w:r>
        <w:rPr>
          <w:rFonts w:hint="eastAsia" w:ascii="仿宋" w:hAnsi="仿宋" w:eastAsia="仿宋"/>
          <w:color w:val="000000"/>
          <w:sz w:val="28"/>
          <w:szCs w:val="28"/>
        </w:rPr>
        <w:t>重汽（济南）车桥有限公司</w:t>
      </w:r>
      <w:r>
        <w:rPr>
          <w:rFonts w:hint="eastAsia" w:ascii="仿宋" w:hAnsi="仿宋" w:eastAsia="仿宋" w:cs="仿宋"/>
          <w:spacing w:val="-8"/>
          <w:sz w:val="28"/>
          <w:szCs w:val="28"/>
          <w:u w:val="single"/>
        </w:rPr>
        <w:t>钻夹具</w:t>
      </w:r>
      <w:r>
        <w:rPr>
          <w:rFonts w:hint="eastAsia" w:ascii="仿宋" w:hAnsi="仿宋" w:eastAsia="仿宋"/>
          <w:bCs/>
          <w:color w:val="000000"/>
          <w:spacing w:val="-8"/>
          <w:sz w:val="28"/>
          <w:szCs w:val="28"/>
        </w:rPr>
        <w:t>项目</w:t>
      </w:r>
      <w:r>
        <w:rPr>
          <w:rFonts w:eastAsia="仿宋_GB2312"/>
          <w:sz w:val="28"/>
          <w:szCs w:val="28"/>
        </w:rPr>
        <w:t>的投标文件和中标后合同签订的法定代表人的授权委托代理人，我承认代理人全权代表我签署本项目的投标文件和中标后合同的内容。</w:t>
      </w:r>
    </w:p>
    <w:p w14:paraId="71019614">
      <w:pPr>
        <w:spacing w:line="360" w:lineRule="auto"/>
        <w:ind w:firstLine="567"/>
        <w:rPr>
          <w:rFonts w:eastAsia="仿宋_GB2312"/>
          <w:sz w:val="28"/>
          <w:szCs w:val="28"/>
        </w:rPr>
      </w:pPr>
      <w:r>
        <w:rPr>
          <w:rFonts w:eastAsia="仿宋_GB2312"/>
          <w:sz w:val="28"/>
          <w:szCs w:val="28"/>
        </w:rPr>
        <w:t>代理人无转委权，特此委托。</w:t>
      </w:r>
    </w:p>
    <w:p w14:paraId="17A33C3D">
      <w:pPr>
        <w:spacing w:line="360" w:lineRule="auto"/>
        <w:rPr>
          <w:rFonts w:eastAsia="仿宋_GB2312"/>
          <w:sz w:val="28"/>
          <w:szCs w:val="28"/>
        </w:rPr>
      </w:pPr>
    </w:p>
    <w:p w14:paraId="2F932860">
      <w:pPr>
        <w:spacing w:line="360" w:lineRule="auto"/>
        <w:ind w:firstLine="600" w:firstLineChars="250"/>
        <w:rPr>
          <w:rFonts w:hint="eastAsia" w:eastAsia="仿宋_GB2312"/>
          <w:sz w:val="24"/>
        </w:rPr>
      </w:pPr>
      <w:r>
        <w:rPr>
          <w:rFonts w:eastAsia="仿宋_GB2312"/>
          <w:sz w:val="24"/>
        </w:rPr>
        <w:t xml:space="preserve">代理人姓名： </w:t>
      </w:r>
    </w:p>
    <w:p w14:paraId="3470BAE5">
      <w:pPr>
        <w:spacing w:line="360" w:lineRule="auto"/>
        <w:ind w:firstLine="600" w:firstLineChars="250"/>
        <w:rPr>
          <w:rFonts w:hint="eastAsia" w:eastAsia="仿宋_GB2312"/>
          <w:sz w:val="24"/>
        </w:rPr>
      </w:pPr>
      <w:r>
        <w:rPr>
          <w:rFonts w:eastAsia="仿宋_GB2312"/>
          <w:sz w:val="24"/>
        </w:rPr>
        <w:t>身份证号码：　</w:t>
      </w:r>
    </w:p>
    <w:p w14:paraId="3CDE6D6A">
      <w:pPr>
        <w:spacing w:line="360" w:lineRule="auto"/>
        <w:ind w:firstLine="600" w:firstLineChars="250"/>
        <w:rPr>
          <w:rFonts w:eastAsia="仿宋_GB2312"/>
          <w:sz w:val="24"/>
        </w:rPr>
      </w:pPr>
      <w:r>
        <w:rPr>
          <w:rFonts w:eastAsia="仿宋_GB2312"/>
          <w:sz w:val="24"/>
        </w:rPr>
        <w:t>职务：</w:t>
      </w:r>
    </w:p>
    <w:p w14:paraId="28317B03">
      <w:pPr>
        <w:adjustRightInd w:val="0"/>
        <w:spacing w:line="480" w:lineRule="exact"/>
        <w:ind w:firstLine="422" w:firstLineChars="200"/>
        <w:jc w:val="left"/>
        <w:textAlignment w:val="baseline"/>
        <w:rPr>
          <w:rFonts w:ascii="宋体"/>
          <w:b/>
          <w:color w:val="000000"/>
          <w:kern w:val="0"/>
          <w:szCs w:val="21"/>
        </w:rPr>
      </w:pPr>
      <w:r>
        <w:rPr>
          <w:rFonts w:hint="eastAsia" w:ascii="宋体" w:hAnsi="宋体"/>
          <w:b/>
          <w:color w:val="000000"/>
          <w:kern w:val="0"/>
          <w:szCs w:val="21"/>
        </w:rPr>
        <w:t>附法人代表、代理人有效的身份证正反两面复印件</w:t>
      </w:r>
    </w:p>
    <w:p w14:paraId="1D66F062">
      <w:pPr>
        <w:spacing w:line="360" w:lineRule="auto"/>
        <w:rPr>
          <w:rFonts w:eastAsia="仿宋_GB2312"/>
          <w:sz w:val="24"/>
        </w:rPr>
      </w:pPr>
    </w:p>
    <w:p w14:paraId="0106B9BF">
      <w:pPr>
        <w:spacing w:line="360" w:lineRule="auto"/>
        <w:rPr>
          <w:rFonts w:eastAsia="仿宋_GB2312"/>
          <w:sz w:val="24"/>
        </w:rPr>
      </w:pPr>
    </w:p>
    <w:p w14:paraId="49D77915">
      <w:pPr>
        <w:spacing w:line="360" w:lineRule="auto"/>
        <w:rPr>
          <w:rFonts w:hint="eastAsia" w:eastAsia="仿宋_GB2312"/>
          <w:sz w:val="24"/>
        </w:rPr>
      </w:pPr>
    </w:p>
    <w:p w14:paraId="726A095E">
      <w:pPr>
        <w:spacing w:line="360" w:lineRule="auto"/>
        <w:rPr>
          <w:rFonts w:eastAsia="仿宋_GB2312"/>
          <w:sz w:val="24"/>
        </w:rPr>
      </w:pPr>
    </w:p>
    <w:p w14:paraId="313417A7">
      <w:pPr>
        <w:spacing w:line="360" w:lineRule="auto"/>
        <w:rPr>
          <w:rFonts w:hint="eastAsia" w:eastAsia="仿宋_GB2312"/>
          <w:sz w:val="24"/>
        </w:rPr>
      </w:pPr>
    </w:p>
    <w:p w14:paraId="4E89E377">
      <w:pPr>
        <w:spacing w:line="360" w:lineRule="auto"/>
        <w:ind w:right="480" w:firstLine="5280" w:firstLineChars="2200"/>
        <w:rPr>
          <w:rFonts w:eastAsia="仿宋_GB2312"/>
          <w:sz w:val="24"/>
        </w:rPr>
      </w:pPr>
      <w:r>
        <w:rPr>
          <w:rFonts w:eastAsia="仿宋_GB2312"/>
          <w:sz w:val="24"/>
        </w:rPr>
        <w:t>投标单位</w:t>
      </w:r>
      <w:r>
        <w:rPr>
          <w:rFonts w:eastAsia="隶书"/>
          <w:sz w:val="24"/>
        </w:rPr>
        <w:t>：</w:t>
      </w:r>
      <w:r>
        <w:rPr>
          <w:rFonts w:eastAsia="仿宋_GB2312"/>
          <w:sz w:val="24"/>
        </w:rPr>
        <w:t>（盖章）</w:t>
      </w:r>
    </w:p>
    <w:p w14:paraId="39FFFC25">
      <w:pPr>
        <w:spacing w:line="360" w:lineRule="auto"/>
        <w:rPr>
          <w:rFonts w:hint="eastAsia" w:eastAsia="仿宋_GB2312"/>
          <w:sz w:val="24"/>
        </w:rPr>
      </w:pPr>
    </w:p>
    <w:p w14:paraId="11F749D4">
      <w:pPr>
        <w:spacing w:line="360" w:lineRule="auto"/>
        <w:ind w:firstLine="5280" w:firstLineChars="2200"/>
        <w:rPr>
          <w:rFonts w:eastAsia="仿宋_GB2312"/>
          <w:sz w:val="24"/>
        </w:rPr>
      </w:pPr>
      <w:r>
        <w:rPr>
          <w:rFonts w:eastAsia="仿宋_GB2312"/>
          <w:sz w:val="24"/>
        </w:rPr>
        <w:t>法定代表人：（签字）</w:t>
      </w:r>
    </w:p>
    <w:p w14:paraId="33EAE9CC">
      <w:pPr>
        <w:spacing w:line="360" w:lineRule="auto"/>
        <w:ind w:firstLine="432" w:firstLineChars="180"/>
        <w:rPr>
          <w:rFonts w:eastAsia="仿宋_GB2312"/>
          <w:sz w:val="24"/>
        </w:rPr>
      </w:pPr>
    </w:p>
    <w:p w14:paraId="1A9E7CB0">
      <w:pPr>
        <w:wordWrap w:val="0"/>
        <w:spacing w:line="360" w:lineRule="auto"/>
        <w:ind w:right="480"/>
        <w:jc w:val="right"/>
        <w:rPr>
          <w:rFonts w:eastAsia="仿宋_GB2312"/>
          <w:sz w:val="24"/>
        </w:rPr>
      </w:pPr>
    </w:p>
    <w:p w14:paraId="206490FD">
      <w:pPr>
        <w:spacing w:line="360" w:lineRule="auto"/>
        <w:ind w:right="960"/>
        <w:jc w:val="center"/>
        <w:rPr>
          <w:rFonts w:ascii="宋体" w:hAnsi="宋体"/>
          <w:b/>
          <w:bCs/>
          <w:sz w:val="28"/>
          <w:szCs w:val="28"/>
        </w:rPr>
      </w:pPr>
      <w:r>
        <w:rPr>
          <w:rFonts w:hint="eastAsia" w:eastAsia="仿宋_GB2312"/>
          <w:sz w:val="24"/>
        </w:rPr>
        <w:t xml:space="preserve">                                            </w:t>
      </w:r>
      <w:r>
        <w:rPr>
          <w:rFonts w:eastAsia="仿宋_GB2312"/>
          <w:sz w:val="24"/>
        </w:rPr>
        <w:t>日期：    年    月    日</w:t>
      </w:r>
    </w:p>
    <w:p w14:paraId="735E936F">
      <w:pPr>
        <w:spacing w:line="360" w:lineRule="auto"/>
        <w:ind w:right="960"/>
        <w:jc w:val="left"/>
        <w:rPr>
          <w:rFonts w:hint="eastAsia" w:ascii="宋体" w:hAnsi="宋体"/>
          <w:b/>
          <w:bCs/>
          <w:sz w:val="28"/>
          <w:szCs w:val="28"/>
        </w:rPr>
      </w:pPr>
    </w:p>
    <w:p w14:paraId="44F586A9">
      <w:pPr>
        <w:spacing w:line="360" w:lineRule="auto"/>
        <w:ind w:right="960"/>
        <w:jc w:val="left"/>
        <w:rPr>
          <w:rFonts w:hint="eastAsia" w:ascii="宋体" w:hAnsi="宋体"/>
          <w:b/>
          <w:bCs/>
          <w:sz w:val="28"/>
          <w:szCs w:val="28"/>
        </w:rPr>
      </w:pPr>
    </w:p>
    <w:p w14:paraId="32915567">
      <w:pPr>
        <w:spacing w:line="360" w:lineRule="auto"/>
        <w:ind w:right="960"/>
        <w:jc w:val="left"/>
        <w:rPr>
          <w:rFonts w:hint="eastAsia" w:ascii="宋体" w:hAnsi="宋体"/>
          <w:b/>
          <w:bCs/>
          <w:sz w:val="28"/>
          <w:szCs w:val="28"/>
        </w:rPr>
      </w:pPr>
    </w:p>
    <w:p w14:paraId="46BB5E5F">
      <w:pPr>
        <w:spacing w:line="360" w:lineRule="auto"/>
        <w:ind w:right="960"/>
        <w:jc w:val="left"/>
        <w:rPr>
          <w:rFonts w:hint="eastAsia" w:ascii="宋体" w:hAnsi="宋体"/>
          <w:b/>
          <w:bCs/>
          <w:sz w:val="28"/>
          <w:szCs w:val="28"/>
        </w:rPr>
      </w:pPr>
      <w:r>
        <w:rPr>
          <w:rFonts w:hint="eastAsia" w:ascii="宋体" w:hAnsi="宋体"/>
          <w:b/>
          <w:bCs/>
          <w:sz w:val="28"/>
          <w:szCs w:val="28"/>
        </w:rPr>
        <w:t>格式2</w:t>
      </w:r>
      <w:r>
        <w:rPr>
          <w:rFonts w:ascii="宋体" w:hAnsi="宋体"/>
          <w:b/>
          <w:bCs/>
          <w:sz w:val="28"/>
          <w:szCs w:val="28"/>
        </w:rPr>
        <w:t xml:space="preserve"> </w:t>
      </w:r>
      <w:r>
        <w:rPr>
          <w:rFonts w:hint="eastAsia" w:ascii="宋体" w:hAnsi="宋体"/>
          <w:b/>
          <w:bCs/>
          <w:sz w:val="28"/>
          <w:szCs w:val="28"/>
        </w:rPr>
        <w:t>报价单</w:t>
      </w:r>
    </w:p>
    <w:tbl>
      <w:tblPr>
        <w:tblStyle w:val="10"/>
        <w:tblW w:w="8987" w:type="dxa"/>
        <w:jc w:val="center"/>
        <w:tblLayout w:type="fixed"/>
        <w:tblCellMar>
          <w:top w:w="0" w:type="dxa"/>
          <w:left w:w="108" w:type="dxa"/>
          <w:bottom w:w="0" w:type="dxa"/>
          <w:right w:w="108" w:type="dxa"/>
        </w:tblCellMar>
      </w:tblPr>
      <w:tblGrid>
        <w:gridCol w:w="422"/>
        <w:gridCol w:w="1062"/>
        <w:gridCol w:w="1071"/>
        <w:gridCol w:w="1407"/>
        <w:gridCol w:w="705"/>
        <w:gridCol w:w="780"/>
        <w:gridCol w:w="690"/>
        <w:gridCol w:w="810"/>
        <w:gridCol w:w="2040"/>
      </w:tblGrid>
      <w:tr w14:paraId="079AA727">
        <w:tblPrEx>
          <w:tblCellMar>
            <w:top w:w="0" w:type="dxa"/>
            <w:left w:w="108" w:type="dxa"/>
            <w:bottom w:w="0" w:type="dxa"/>
            <w:right w:w="108" w:type="dxa"/>
          </w:tblCellMar>
        </w:tblPrEx>
        <w:trPr>
          <w:trHeight w:val="810" w:hRule="atLeast"/>
          <w:jc w:val="center"/>
        </w:trPr>
        <w:tc>
          <w:tcPr>
            <w:tcW w:w="422" w:type="dxa"/>
            <w:tcBorders>
              <w:top w:val="single" w:color="000000" w:sz="4" w:space="0"/>
              <w:left w:val="single" w:color="000000" w:sz="4" w:space="0"/>
              <w:bottom w:val="nil"/>
              <w:right w:val="single" w:color="000000" w:sz="4" w:space="0"/>
            </w:tcBorders>
            <w:noWrap w:val="0"/>
            <w:vAlign w:val="center"/>
          </w:tcPr>
          <w:p w14:paraId="692760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062" w:type="dxa"/>
            <w:tcBorders>
              <w:top w:val="single" w:color="000000" w:sz="4" w:space="0"/>
              <w:left w:val="single" w:color="000000" w:sz="4" w:space="0"/>
              <w:bottom w:val="nil"/>
              <w:right w:val="single" w:color="000000" w:sz="4" w:space="0"/>
            </w:tcBorders>
            <w:noWrap w:val="0"/>
            <w:vAlign w:val="center"/>
          </w:tcPr>
          <w:p w14:paraId="0FC1101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SAP物料号</w:t>
            </w:r>
          </w:p>
        </w:tc>
        <w:tc>
          <w:tcPr>
            <w:tcW w:w="1071" w:type="dxa"/>
            <w:tcBorders>
              <w:top w:val="single" w:color="000000" w:sz="4" w:space="0"/>
              <w:left w:val="single" w:color="000000" w:sz="4" w:space="0"/>
              <w:bottom w:val="nil"/>
              <w:right w:val="single" w:color="000000" w:sz="4" w:space="0"/>
            </w:tcBorders>
            <w:noWrap w:val="0"/>
            <w:vAlign w:val="center"/>
          </w:tcPr>
          <w:p w14:paraId="61DA0B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工装名称</w:t>
            </w:r>
          </w:p>
        </w:tc>
        <w:tc>
          <w:tcPr>
            <w:tcW w:w="1407" w:type="dxa"/>
            <w:tcBorders>
              <w:top w:val="single" w:color="000000" w:sz="4" w:space="0"/>
              <w:left w:val="single" w:color="000000" w:sz="4" w:space="0"/>
              <w:bottom w:val="nil"/>
              <w:right w:val="single" w:color="000000" w:sz="4" w:space="0"/>
            </w:tcBorders>
            <w:noWrap w:val="0"/>
            <w:vAlign w:val="center"/>
          </w:tcPr>
          <w:p w14:paraId="2A0D45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工装编号</w:t>
            </w:r>
          </w:p>
        </w:tc>
        <w:tc>
          <w:tcPr>
            <w:tcW w:w="705" w:type="dxa"/>
            <w:tcBorders>
              <w:top w:val="single" w:color="000000" w:sz="4" w:space="0"/>
              <w:left w:val="single" w:color="000000" w:sz="4" w:space="0"/>
              <w:bottom w:val="nil"/>
              <w:right w:val="single" w:color="000000" w:sz="4" w:space="0"/>
            </w:tcBorders>
            <w:noWrap w:val="0"/>
            <w:vAlign w:val="center"/>
          </w:tcPr>
          <w:p w14:paraId="5E910C6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数量（套）</w:t>
            </w:r>
          </w:p>
        </w:tc>
        <w:tc>
          <w:tcPr>
            <w:tcW w:w="780" w:type="dxa"/>
            <w:tcBorders>
              <w:top w:val="single" w:color="000000" w:sz="4" w:space="0"/>
              <w:left w:val="single" w:color="000000" w:sz="4" w:space="0"/>
              <w:bottom w:val="nil"/>
              <w:right w:val="single" w:color="000000" w:sz="4" w:space="0"/>
            </w:tcBorders>
            <w:noWrap w:val="0"/>
            <w:vAlign w:val="center"/>
          </w:tcPr>
          <w:p w14:paraId="237661D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单价</w:t>
            </w:r>
          </w:p>
          <w:p w14:paraId="239F98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（元，未税）</w:t>
            </w:r>
          </w:p>
        </w:tc>
        <w:tc>
          <w:tcPr>
            <w:tcW w:w="690" w:type="dxa"/>
            <w:tcBorders>
              <w:top w:val="single" w:color="000000" w:sz="4" w:space="0"/>
              <w:left w:val="single" w:color="000000" w:sz="4" w:space="0"/>
              <w:bottom w:val="nil"/>
              <w:right w:val="single" w:color="auto" w:sz="4" w:space="0"/>
            </w:tcBorders>
            <w:noWrap w:val="0"/>
            <w:vAlign w:val="center"/>
          </w:tcPr>
          <w:p w14:paraId="54947C9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p w14:paraId="3E41498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（元）</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0C76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工 期   </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2E2F4B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 注</w:t>
            </w:r>
          </w:p>
        </w:tc>
      </w:tr>
      <w:tr w14:paraId="61CF25EB">
        <w:tblPrEx>
          <w:tblCellMar>
            <w:top w:w="0" w:type="dxa"/>
            <w:left w:w="108" w:type="dxa"/>
            <w:bottom w:w="0" w:type="dxa"/>
            <w:right w:w="108" w:type="dxa"/>
          </w:tblCellMar>
        </w:tblPrEx>
        <w:trPr>
          <w:trHeight w:val="980" w:hRule="atLeast"/>
          <w:jc w:val="center"/>
        </w:trPr>
        <w:tc>
          <w:tcPr>
            <w:tcW w:w="422" w:type="dxa"/>
            <w:tcBorders>
              <w:top w:val="single" w:color="000000" w:sz="4" w:space="0"/>
              <w:left w:val="single" w:color="000000" w:sz="4" w:space="0"/>
              <w:bottom w:val="nil"/>
              <w:right w:val="nil"/>
            </w:tcBorders>
            <w:shd w:val="clear" w:color="auto" w:fill="auto"/>
            <w:noWrap w:val="0"/>
            <w:vAlign w:val="center"/>
          </w:tcPr>
          <w:p w14:paraId="7CEB8B6E">
            <w:pPr>
              <w:widowControl/>
              <w:jc w:val="center"/>
              <w:textAlignment w:val="center"/>
              <w:rPr>
                <w:rFonts w:hint="eastAsia" w:ascii="宋体" w:hAnsi="宋体" w:cs="宋体"/>
                <w:color w:val="000000"/>
                <w:kern w:val="0"/>
                <w:szCs w:val="21"/>
                <w:highlight w:val="green"/>
                <w:lang w:bidi="ar"/>
              </w:rPr>
            </w:pPr>
            <w:r>
              <w:rPr>
                <w:rFonts w:hint="eastAsia" w:ascii="宋体" w:hAnsi="宋体" w:cs="宋体"/>
                <w:color w:val="000000"/>
                <w:kern w:val="0"/>
                <w:szCs w:val="21"/>
                <w:highlight w:val="green"/>
                <w:lang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F0EFD">
            <w:pPr>
              <w:widowControl/>
              <w:jc w:val="center"/>
              <w:textAlignment w:val="center"/>
              <w:rPr>
                <w:rFonts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1493688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EF54E">
            <w:pPr>
              <w:widowControl/>
              <w:jc w:val="center"/>
              <w:textAlignment w:val="center"/>
              <w:rPr>
                <w:rFonts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装焊夹具</w:t>
            </w:r>
          </w:p>
        </w:tc>
        <w:tc>
          <w:tcPr>
            <w:tcW w:w="14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CEC0">
            <w:pPr>
              <w:widowControl/>
              <w:jc w:val="center"/>
              <w:textAlignment w:val="center"/>
              <w:rPr>
                <w:rFonts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QX7703-00225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D5C5CF">
            <w:pPr>
              <w:widowControl/>
              <w:jc w:val="center"/>
              <w:textAlignment w:val="center"/>
              <w:rPr>
                <w:rFonts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20152B">
            <w:pPr>
              <w:widowControl/>
              <w:jc w:val="center"/>
              <w:textAlignment w:val="center"/>
              <w:rPr>
                <w:rFonts w:hint="eastAsia" w:ascii="宋体" w:hAnsi="宋体" w:cs="宋体"/>
                <w:color w:val="000000"/>
                <w:kern w:val="0"/>
                <w:szCs w:val="21"/>
                <w:highlight w:val="green"/>
                <w:lang w:bidi="ar"/>
              </w:rPr>
            </w:pPr>
          </w:p>
        </w:tc>
        <w:tc>
          <w:tcPr>
            <w:tcW w:w="690" w:type="dxa"/>
            <w:tcBorders>
              <w:top w:val="single" w:color="000000" w:sz="4" w:space="0"/>
              <w:left w:val="single" w:color="000000" w:sz="4" w:space="0"/>
              <w:bottom w:val="nil"/>
              <w:right w:val="single" w:color="auto" w:sz="4" w:space="0"/>
            </w:tcBorders>
            <w:noWrap w:val="0"/>
            <w:vAlign w:val="center"/>
          </w:tcPr>
          <w:p w14:paraId="4FBBE1D1">
            <w:pPr>
              <w:widowControl/>
              <w:jc w:val="left"/>
              <w:textAlignment w:val="center"/>
              <w:rPr>
                <w:rFonts w:hint="eastAsia" w:ascii="宋体" w:hAnsi="宋体" w:cs="宋体"/>
                <w:color w:val="000000"/>
                <w:kern w:val="0"/>
                <w:szCs w:val="21"/>
                <w:highlight w:val="green"/>
                <w:lang w:bidi="ar"/>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C475EE">
            <w:pPr>
              <w:widowControl/>
              <w:jc w:val="center"/>
              <w:textAlignment w:val="center"/>
              <w:rPr>
                <w:rFonts w:hint="eastAsia"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60天</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646B4EF">
            <w:pPr>
              <w:widowControl/>
              <w:jc w:val="center"/>
              <w:textAlignment w:val="center"/>
              <w:rPr>
                <w:rFonts w:ascii="宋体" w:hAnsi="宋体" w:cs="宋体"/>
                <w:color w:val="000000"/>
                <w:kern w:val="0"/>
                <w:szCs w:val="21"/>
                <w:highlight w:val="green"/>
                <w:lang w:bidi="ar"/>
              </w:rPr>
            </w:pPr>
            <w:r>
              <w:rPr>
                <w:rFonts w:hint="eastAsia" w:ascii="宋体" w:hAnsi="宋体" w:eastAsia="宋体" w:cs="宋体"/>
                <w:color w:val="000000"/>
                <w:kern w:val="0"/>
                <w:sz w:val="21"/>
                <w:szCs w:val="21"/>
                <w:highlight w:val="green"/>
                <w:lang w:bidi="ar"/>
              </w:rPr>
              <w:t>根据技术协议和 《工艺装备设计任务书》 要求进行设计制作，如有不同，以高严格要求为准。</w:t>
            </w:r>
          </w:p>
        </w:tc>
      </w:tr>
      <w:tr w14:paraId="48DE4373">
        <w:tblPrEx>
          <w:tblCellMar>
            <w:top w:w="0" w:type="dxa"/>
            <w:left w:w="108" w:type="dxa"/>
            <w:bottom w:w="0" w:type="dxa"/>
            <w:right w:w="108" w:type="dxa"/>
          </w:tblCellMar>
        </w:tblPrEx>
        <w:trPr>
          <w:trHeight w:val="495" w:hRule="atLeast"/>
          <w:jc w:val="center"/>
        </w:trPr>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B3ECD5">
            <w:pPr>
              <w:widowControl/>
              <w:jc w:val="center"/>
              <w:textAlignment w:val="center"/>
              <w:rPr>
                <w:rFonts w:hint="eastAsia" w:ascii="宋体" w:hAnsi="宋体" w:cs="宋体"/>
                <w:color w:val="000000"/>
                <w:kern w:val="0"/>
                <w:sz w:val="24"/>
                <w:szCs w:val="24"/>
                <w:lang w:bidi="ar"/>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ED56166">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总 计：</w:t>
            </w:r>
          </w:p>
        </w:tc>
        <w:tc>
          <w:tcPr>
            <w:tcW w:w="1407" w:type="dxa"/>
            <w:tcBorders>
              <w:top w:val="single" w:color="000000" w:sz="4" w:space="0"/>
              <w:left w:val="single" w:color="000000" w:sz="4" w:space="0"/>
              <w:bottom w:val="single" w:color="000000" w:sz="4" w:space="0"/>
              <w:right w:val="single" w:color="000000" w:sz="4" w:space="0"/>
            </w:tcBorders>
            <w:noWrap w:val="0"/>
            <w:vAlign w:val="center"/>
          </w:tcPr>
          <w:p w14:paraId="46A61AC1">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D7B8EF">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highlight w:val="green"/>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8FE6FC">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3DF46EF1">
            <w:pPr>
              <w:widowControl/>
              <w:jc w:val="center"/>
              <w:textAlignment w:val="center"/>
              <w:rPr>
                <w:rFonts w:ascii="宋体" w:hAnsi="宋体" w:cs="宋体"/>
                <w:color w:val="000000"/>
                <w:kern w:val="0"/>
                <w:sz w:val="24"/>
                <w:szCs w:val="24"/>
                <w:lang w:bidi="ar"/>
              </w:rPr>
            </w:pPr>
          </w:p>
        </w:tc>
        <w:tc>
          <w:tcPr>
            <w:tcW w:w="2040" w:type="dxa"/>
            <w:tcBorders>
              <w:top w:val="single" w:color="000000" w:sz="4" w:space="0"/>
              <w:left w:val="nil"/>
              <w:bottom w:val="single" w:color="000000" w:sz="4" w:space="0"/>
              <w:right w:val="single" w:color="000000" w:sz="4" w:space="0"/>
            </w:tcBorders>
            <w:noWrap w:val="0"/>
            <w:vAlign w:val="center"/>
          </w:tcPr>
          <w:p w14:paraId="68A66BD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 xml:space="preserve">  </w:t>
            </w:r>
            <w:r>
              <w:rPr>
                <w:rFonts w:hint="eastAsia" w:ascii="宋体" w:hAnsi="宋体" w:cs="宋体"/>
                <w:b/>
                <w:bCs/>
                <w:color w:val="000000"/>
                <w:kern w:val="0"/>
                <w:sz w:val="24"/>
                <w:szCs w:val="24"/>
                <w:lang w:bidi="ar"/>
              </w:rPr>
              <w:t>不含税价</w:t>
            </w:r>
          </w:p>
        </w:tc>
      </w:tr>
      <w:tr w14:paraId="73C3F267">
        <w:tblPrEx>
          <w:tblCellMar>
            <w:top w:w="0" w:type="dxa"/>
            <w:left w:w="108" w:type="dxa"/>
            <w:bottom w:w="0" w:type="dxa"/>
            <w:right w:w="108" w:type="dxa"/>
          </w:tblCellMar>
        </w:tblPrEx>
        <w:trPr>
          <w:trHeight w:val="495" w:hRule="atLeast"/>
          <w:jc w:val="center"/>
        </w:trPr>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EAD8D9A">
            <w:pPr>
              <w:widowControl/>
              <w:jc w:val="center"/>
              <w:textAlignment w:val="center"/>
              <w:rPr>
                <w:rFonts w:hint="eastAsia" w:ascii="宋体" w:hAnsi="宋体" w:cs="宋体"/>
                <w:color w:val="000000"/>
                <w:kern w:val="0"/>
                <w:sz w:val="24"/>
                <w:szCs w:val="24"/>
                <w:lang w:bidi="ar"/>
              </w:rPr>
            </w:pPr>
          </w:p>
        </w:tc>
        <w:tc>
          <w:tcPr>
            <w:tcW w:w="5463" w:type="dxa"/>
            <w:gridSpan w:val="6"/>
            <w:tcBorders>
              <w:top w:val="single" w:color="000000" w:sz="4" w:space="0"/>
              <w:left w:val="single" w:color="000000" w:sz="4" w:space="0"/>
              <w:bottom w:val="single" w:color="000000" w:sz="4" w:space="0"/>
              <w:right w:val="single" w:color="000000" w:sz="4" w:space="0"/>
            </w:tcBorders>
            <w:noWrap w:val="0"/>
            <w:vAlign w:val="center"/>
          </w:tcPr>
          <w:p w14:paraId="2CBB720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金额大写（含税、人民币）： </w:t>
            </w:r>
          </w:p>
        </w:tc>
        <w:tc>
          <w:tcPr>
            <w:tcW w:w="2040" w:type="dxa"/>
            <w:tcBorders>
              <w:top w:val="single" w:color="000000" w:sz="4" w:space="0"/>
              <w:left w:val="nil"/>
              <w:bottom w:val="single" w:color="000000" w:sz="4" w:space="0"/>
              <w:right w:val="single" w:color="000000" w:sz="4" w:space="0"/>
            </w:tcBorders>
            <w:noWrap w:val="0"/>
            <w:vAlign w:val="center"/>
          </w:tcPr>
          <w:p w14:paraId="3B3CCFD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增值税率：13%</w:t>
            </w:r>
          </w:p>
        </w:tc>
      </w:tr>
    </w:tbl>
    <w:p w14:paraId="443E5FFC">
      <w:pPr>
        <w:pStyle w:val="5"/>
        <w:spacing w:line="360" w:lineRule="auto"/>
        <w:rPr>
          <w:rFonts w:hint="eastAsia"/>
        </w:rPr>
      </w:pPr>
    </w:p>
    <w:p w14:paraId="06F64B89">
      <w:pPr>
        <w:pStyle w:val="5"/>
        <w:spacing w:line="360" w:lineRule="auto"/>
        <w:ind w:firstLine="630" w:firstLineChars="300"/>
      </w:pPr>
      <w:r>
        <w:rPr>
          <w:rFonts w:hint="eastAsia"/>
        </w:rPr>
        <w:t>填报人：</w:t>
      </w:r>
      <w:r>
        <w:rPr>
          <w:rFonts w:hint="eastAsia"/>
        </w:rPr>
        <w:tab/>
      </w:r>
      <w:r>
        <w:rPr>
          <w:rFonts w:hint="eastAsia"/>
        </w:rPr>
        <w:tab/>
      </w:r>
      <w:r>
        <w:t xml:space="preserve">      </w:t>
      </w:r>
      <w:r>
        <w:rPr>
          <w:rFonts w:hint="eastAsia"/>
        </w:rPr>
        <w:tab/>
      </w:r>
      <w:r>
        <w:rPr>
          <w:rFonts w:hint="eastAsia"/>
        </w:rPr>
        <w:t>日期：</w:t>
      </w:r>
      <w:r>
        <w:rPr>
          <w:rFonts w:hint="eastAsia"/>
        </w:rPr>
        <w:tab/>
      </w:r>
      <w:r>
        <w:rPr>
          <w:rFonts w:hint="eastAsia"/>
        </w:rPr>
        <w:tab/>
      </w:r>
    </w:p>
    <w:p w14:paraId="003D2097">
      <w:pPr>
        <w:pStyle w:val="5"/>
        <w:spacing w:line="360" w:lineRule="auto"/>
        <w:ind w:firstLine="630" w:firstLineChars="300"/>
        <w:rPr>
          <w:rFonts w:hint="eastAsia"/>
        </w:rPr>
      </w:pPr>
      <w:r>
        <w:rPr>
          <w:rFonts w:hint="eastAsia"/>
        </w:rPr>
        <w:t>报价单位章</w:t>
      </w:r>
      <w:r>
        <w:rPr>
          <w:rFonts w:hint="eastAsia"/>
        </w:rPr>
        <w:tab/>
      </w:r>
      <w:bookmarkStart w:id="7" w:name="_Toc353881017"/>
      <w:bookmarkStart w:id="8" w:name="_Toc639008"/>
      <w:bookmarkStart w:id="9" w:name="_Toc26556"/>
      <w:r>
        <w:rPr>
          <w:rFonts w:hint="eastAsia"/>
        </w:rPr>
        <w:t xml:space="preserve"> </w:t>
      </w:r>
    </w:p>
    <w:p w14:paraId="29862859">
      <w:pPr>
        <w:pStyle w:val="15"/>
        <w:ind w:firstLine="0" w:firstLineChars="0"/>
        <w:rPr>
          <w:rFonts w:hint="eastAsia"/>
        </w:rPr>
      </w:pPr>
    </w:p>
    <w:p w14:paraId="2C7FB459">
      <w:pPr>
        <w:pStyle w:val="15"/>
        <w:ind w:firstLine="0" w:firstLineChars="0"/>
        <w:rPr>
          <w:rFonts w:hint="eastAsia"/>
        </w:rPr>
      </w:pPr>
    </w:p>
    <w:p w14:paraId="1638CFDB">
      <w:pPr>
        <w:pStyle w:val="15"/>
        <w:ind w:firstLine="0" w:firstLineChars="0"/>
        <w:rPr>
          <w:rFonts w:hint="eastAsia"/>
        </w:rPr>
      </w:pPr>
    </w:p>
    <w:p w14:paraId="1CEC0899">
      <w:pPr>
        <w:pStyle w:val="15"/>
        <w:ind w:firstLine="0" w:firstLineChars="0"/>
        <w:rPr>
          <w:rFonts w:hint="eastAsia"/>
        </w:rPr>
      </w:pPr>
    </w:p>
    <w:p w14:paraId="66144F2F">
      <w:pPr>
        <w:pStyle w:val="15"/>
        <w:ind w:firstLine="0" w:firstLineChars="0"/>
        <w:rPr>
          <w:rFonts w:hint="eastAsia"/>
        </w:rPr>
      </w:pPr>
    </w:p>
    <w:p w14:paraId="14BB01BB">
      <w:pPr>
        <w:pStyle w:val="15"/>
        <w:ind w:firstLine="0" w:firstLineChars="0"/>
        <w:rPr>
          <w:rFonts w:hint="eastAsia"/>
        </w:rPr>
      </w:pPr>
    </w:p>
    <w:p w14:paraId="0FB28004">
      <w:pPr>
        <w:pStyle w:val="15"/>
        <w:ind w:firstLine="0" w:firstLineChars="0"/>
        <w:rPr>
          <w:rFonts w:hint="eastAsia"/>
        </w:rPr>
      </w:pPr>
    </w:p>
    <w:p w14:paraId="09086519">
      <w:pPr>
        <w:pStyle w:val="15"/>
        <w:ind w:firstLine="0" w:firstLineChars="0"/>
        <w:rPr>
          <w:rFonts w:hint="eastAsia"/>
        </w:rPr>
      </w:pPr>
    </w:p>
    <w:p w14:paraId="43B9081C">
      <w:pPr>
        <w:pStyle w:val="15"/>
        <w:ind w:firstLine="0" w:firstLineChars="0"/>
        <w:rPr>
          <w:rFonts w:hint="eastAsia"/>
        </w:rPr>
      </w:pPr>
    </w:p>
    <w:p w14:paraId="24F2B2A9">
      <w:pPr>
        <w:pStyle w:val="15"/>
        <w:ind w:firstLine="0" w:firstLineChars="0"/>
        <w:rPr>
          <w:rFonts w:hint="eastAsia"/>
        </w:rPr>
      </w:pPr>
    </w:p>
    <w:p w14:paraId="5AF9DF58">
      <w:pPr>
        <w:pStyle w:val="15"/>
        <w:ind w:firstLine="0" w:firstLineChars="0"/>
        <w:rPr>
          <w:rFonts w:hint="eastAsia"/>
        </w:rPr>
      </w:pPr>
    </w:p>
    <w:p w14:paraId="0F2F9758">
      <w:pPr>
        <w:pStyle w:val="15"/>
        <w:ind w:firstLine="0" w:firstLineChars="0"/>
        <w:rPr>
          <w:rFonts w:hint="eastAsia"/>
        </w:rPr>
      </w:pPr>
    </w:p>
    <w:p w14:paraId="21A9F654">
      <w:pPr>
        <w:pStyle w:val="15"/>
        <w:ind w:firstLine="0" w:firstLineChars="0"/>
        <w:rPr>
          <w:rFonts w:hint="eastAsia"/>
        </w:rPr>
      </w:pPr>
    </w:p>
    <w:p w14:paraId="70E478B9">
      <w:pPr>
        <w:pStyle w:val="15"/>
        <w:ind w:firstLine="0" w:firstLineChars="0"/>
        <w:rPr>
          <w:rFonts w:hint="eastAsia"/>
        </w:rPr>
      </w:pPr>
    </w:p>
    <w:p w14:paraId="555168D5">
      <w:pPr>
        <w:pStyle w:val="15"/>
        <w:ind w:firstLine="0" w:firstLineChars="0"/>
        <w:rPr>
          <w:rFonts w:hint="eastAsia"/>
        </w:rPr>
      </w:pPr>
    </w:p>
    <w:p w14:paraId="728D784B">
      <w:pPr>
        <w:pStyle w:val="15"/>
        <w:ind w:firstLine="0" w:firstLineChars="0"/>
        <w:rPr>
          <w:rFonts w:hint="eastAsia"/>
        </w:rPr>
      </w:pPr>
    </w:p>
    <w:p w14:paraId="0E963A4F">
      <w:pPr>
        <w:pStyle w:val="15"/>
        <w:ind w:firstLine="0" w:firstLineChars="0"/>
        <w:rPr>
          <w:rFonts w:hint="eastAsia"/>
        </w:rPr>
      </w:pPr>
    </w:p>
    <w:p w14:paraId="269EE279">
      <w:pPr>
        <w:pStyle w:val="15"/>
        <w:ind w:firstLine="0" w:firstLineChars="0"/>
        <w:rPr>
          <w:rFonts w:hint="eastAsia"/>
        </w:rPr>
      </w:pPr>
    </w:p>
    <w:p w14:paraId="65977CE7">
      <w:pPr>
        <w:pStyle w:val="15"/>
        <w:ind w:firstLine="0" w:firstLineChars="0"/>
        <w:rPr>
          <w:rFonts w:hint="eastAsia"/>
        </w:rPr>
      </w:pPr>
    </w:p>
    <w:p w14:paraId="00A2799F">
      <w:pPr>
        <w:pStyle w:val="15"/>
        <w:ind w:firstLine="0" w:firstLineChars="0"/>
        <w:rPr>
          <w:rFonts w:hint="eastAsia"/>
        </w:rPr>
      </w:pPr>
    </w:p>
    <w:p w14:paraId="7A418EFB">
      <w:pPr>
        <w:pStyle w:val="15"/>
        <w:ind w:firstLine="0" w:firstLineChars="0"/>
        <w:rPr>
          <w:rFonts w:hint="eastAsia"/>
        </w:rPr>
      </w:pPr>
    </w:p>
    <w:p w14:paraId="371F51A0">
      <w:pPr>
        <w:pStyle w:val="15"/>
        <w:ind w:firstLine="0" w:firstLineChars="0"/>
        <w:rPr>
          <w:rFonts w:hint="eastAsia"/>
        </w:rPr>
      </w:pPr>
    </w:p>
    <w:p w14:paraId="163F7356">
      <w:pPr>
        <w:pStyle w:val="15"/>
        <w:ind w:firstLine="0" w:firstLineChars="0"/>
        <w:rPr>
          <w:rFonts w:hint="eastAsia"/>
        </w:rPr>
      </w:pPr>
    </w:p>
    <w:p w14:paraId="3B5ECD96">
      <w:pPr>
        <w:pStyle w:val="15"/>
        <w:ind w:firstLine="0" w:firstLineChars="0"/>
        <w:rPr>
          <w:rFonts w:hint="eastAsia"/>
        </w:rPr>
      </w:pPr>
    </w:p>
    <w:bookmarkEnd w:id="7"/>
    <w:bookmarkEnd w:id="8"/>
    <w:bookmarkEnd w:id="9"/>
    <w:p w14:paraId="05A83839">
      <w:pPr>
        <w:rPr>
          <w:rFonts w:hint="eastAsia" w:ascii="宋体" w:hAnsi="宋体" w:cs="宋体"/>
          <w:b/>
          <w:bCs/>
          <w:color w:val="000000"/>
          <w:sz w:val="28"/>
          <w:szCs w:val="22"/>
        </w:rPr>
      </w:pPr>
    </w:p>
    <w:p w14:paraId="700644D7">
      <w:pPr>
        <w:pStyle w:val="15"/>
        <w:ind w:firstLine="0" w:firstLineChars="0"/>
        <w:rPr>
          <w:rFonts w:hint="eastAsia"/>
        </w:rPr>
      </w:pPr>
      <w:r>
        <w:rPr>
          <w:rFonts w:hint="eastAsia"/>
        </w:rPr>
        <w:t>格式3</w:t>
      </w:r>
      <w:r>
        <w:t xml:space="preserve"> </w:t>
      </w:r>
      <w:r>
        <w:rPr>
          <w:rFonts w:hint="eastAsia"/>
        </w:rPr>
        <w:t>报价明细表</w:t>
      </w:r>
    </w:p>
    <w:p w14:paraId="212C4608">
      <w:pPr>
        <w:ind w:firstLine="551" w:firstLineChars="196"/>
        <w:rPr>
          <w:rFonts w:ascii="宋体" w:hAnsi="宋体" w:cs="宋体"/>
          <w:b/>
          <w:bCs/>
          <w:color w:val="000000"/>
          <w:sz w:val="28"/>
          <w:szCs w:val="22"/>
        </w:rPr>
      </w:pPr>
      <w:r>
        <w:rPr>
          <w:rFonts w:hint="eastAsia" w:ascii="宋体" w:hAnsi="宋体" w:cs="宋体"/>
          <w:b/>
          <w:bCs/>
          <w:color w:val="000000"/>
          <w:sz w:val="28"/>
          <w:szCs w:val="22"/>
        </w:rPr>
        <w:t>详见报价资料</w:t>
      </w:r>
      <w:r>
        <w:rPr>
          <w:rFonts w:ascii="宋体" w:hAnsi="宋体" w:cs="宋体"/>
          <w:b/>
          <w:bCs/>
          <w:color w:val="000000"/>
          <w:sz w:val="28"/>
          <w:szCs w:val="22"/>
        </w:rPr>
        <w:t>—</w:t>
      </w:r>
      <w:r>
        <w:rPr>
          <w:rFonts w:hint="eastAsia" w:ascii="宋体" w:hAnsi="宋体" w:cs="宋体"/>
          <w:b/>
          <w:bCs/>
          <w:color w:val="000000"/>
          <w:sz w:val="28"/>
          <w:szCs w:val="22"/>
        </w:rPr>
        <w:t>采购分解报价表</w:t>
      </w:r>
    </w:p>
    <w:p w14:paraId="3FE3D99B">
      <w:pPr>
        <w:rPr>
          <w:rFonts w:hint="eastAsia"/>
        </w:rPr>
      </w:pPr>
    </w:p>
    <w:p w14:paraId="7ECCBFEC">
      <w:pPr>
        <w:ind w:firstLine="411" w:firstLineChars="196"/>
      </w:pPr>
      <w:r>
        <w:drawing>
          <wp:inline distT="0" distB="0" distL="114300" distR="114300">
            <wp:extent cx="4552315" cy="5895340"/>
            <wp:effectExtent l="0" t="0" r="635"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3"/>
                    <a:stretch>
                      <a:fillRect/>
                    </a:stretch>
                  </pic:blipFill>
                  <pic:spPr>
                    <a:xfrm>
                      <a:off x="0" y="0"/>
                      <a:ext cx="4552315" cy="5895340"/>
                    </a:xfrm>
                    <a:prstGeom prst="rect">
                      <a:avLst/>
                    </a:prstGeom>
                    <a:noFill/>
                    <a:ln>
                      <a:noFill/>
                    </a:ln>
                  </pic:spPr>
                </pic:pic>
              </a:graphicData>
            </a:graphic>
          </wp:inline>
        </w:drawing>
      </w:r>
    </w:p>
    <w:p w14:paraId="0F34C70F">
      <w:pPr>
        <w:ind w:firstLine="411" w:firstLineChars="196"/>
      </w:pPr>
    </w:p>
    <w:p w14:paraId="6A018189">
      <w:pPr>
        <w:rPr>
          <w:rFonts w:hint="eastAsia"/>
        </w:rPr>
      </w:pPr>
    </w:p>
    <w:p w14:paraId="15B58497">
      <w:pPr>
        <w:pStyle w:val="3"/>
        <w:rPr>
          <w:rFonts w:hint="eastAsia"/>
        </w:rPr>
      </w:pPr>
    </w:p>
    <w:p w14:paraId="6D3E3575">
      <w:pPr>
        <w:pStyle w:val="4"/>
        <w:rPr>
          <w:rFonts w:hint="eastAsia"/>
        </w:rPr>
      </w:pPr>
    </w:p>
    <w:p w14:paraId="2CC47ABF">
      <w:pPr>
        <w:pStyle w:val="4"/>
        <w:ind w:left="0" w:leftChars="0"/>
        <w:rPr>
          <w:rFonts w:hint="eastAsia"/>
        </w:rPr>
      </w:pPr>
    </w:p>
    <w:p w14:paraId="137E993E">
      <w:pPr>
        <w:pStyle w:val="4"/>
        <w:ind w:left="0" w:leftChars="0"/>
        <w:rPr>
          <w:rFonts w:hint="eastAsia"/>
        </w:rPr>
      </w:pPr>
    </w:p>
    <w:p w14:paraId="7910D258">
      <w:pPr>
        <w:pStyle w:val="4"/>
        <w:rPr>
          <w:rFonts w:hint="eastAsia"/>
        </w:rPr>
      </w:pPr>
    </w:p>
    <w:p w14:paraId="70A9FD1C">
      <w:pPr>
        <w:pStyle w:val="15"/>
        <w:ind w:firstLine="0" w:firstLineChars="0"/>
      </w:pPr>
      <w:r>
        <w:rPr>
          <w:rFonts w:hint="eastAsia"/>
        </w:rPr>
        <w:t>格式4 商务条款偏离表</w:t>
      </w:r>
    </w:p>
    <w:p w14:paraId="4E7B3668">
      <w:pPr>
        <w:rPr>
          <w:rFonts w:hint="eastAsia"/>
        </w:rPr>
      </w:pPr>
    </w:p>
    <w:p w14:paraId="202C4F7B">
      <w:pPr>
        <w:rPr>
          <w:rFonts w:hint="eastAsia"/>
        </w:rPr>
      </w:pPr>
      <w:r>
        <w:rPr>
          <w:rFonts w:hint="eastAsia"/>
        </w:rPr>
        <w:t xml:space="preserve">招标项目： </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947"/>
        <w:gridCol w:w="2957"/>
        <w:gridCol w:w="1686"/>
      </w:tblGrid>
      <w:tr w14:paraId="11C33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4FD949CC">
            <w:pPr>
              <w:pStyle w:val="16"/>
            </w:pPr>
            <w:r>
              <w:rPr>
                <w:rFonts w:hint="eastAsia" w:ascii="宋体" w:hAnsi="宋体" w:cs="宋体"/>
              </w:rPr>
              <w:t>项目</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15ED832C">
            <w:pPr>
              <w:pStyle w:val="16"/>
            </w:pPr>
            <w:r>
              <w:rPr>
                <w:rFonts w:hint="eastAsia" w:ascii="宋体" w:hAnsi="宋体" w:cs="宋体"/>
              </w:rPr>
              <w:t>招标文件要求</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4C0238E">
            <w:pPr>
              <w:pStyle w:val="16"/>
            </w:pPr>
            <w:r>
              <w:rPr>
                <w:rFonts w:hint="eastAsia" w:ascii="宋体" w:hAnsi="宋体" w:cs="宋体"/>
              </w:rPr>
              <w:t>响应规格</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1ABFFB4">
            <w:pPr>
              <w:pStyle w:val="16"/>
            </w:pPr>
            <w:r>
              <w:rPr>
                <w:rFonts w:hint="eastAsia" w:ascii="宋体" w:hAnsi="宋体" w:cs="宋体"/>
              </w:rPr>
              <w:t>是否偏离</w:t>
            </w:r>
          </w:p>
          <w:p w14:paraId="37511E8A">
            <w:pPr>
              <w:pStyle w:val="16"/>
            </w:pPr>
            <w:r>
              <w:rPr>
                <w:rFonts w:hint="eastAsia" w:ascii="宋体" w:hAnsi="宋体" w:cs="宋体"/>
              </w:rPr>
              <w:t>（提供说明）</w:t>
            </w:r>
          </w:p>
        </w:tc>
      </w:tr>
      <w:tr w14:paraId="327CC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170DBFC8">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D5F07C8">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2CBB528B">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72ABB41">
            <w:pPr>
              <w:pStyle w:val="16"/>
            </w:pPr>
          </w:p>
        </w:tc>
      </w:tr>
      <w:tr w14:paraId="5C237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4D8EC617">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64C03867">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14FBC91D">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61D12D4">
            <w:pPr>
              <w:pStyle w:val="16"/>
              <w:rPr>
                <w:szCs w:val="21"/>
              </w:rPr>
            </w:pPr>
          </w:p>
        </w:tc>
      </w:tr>
      <w:tr w14:paraId="0C033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32D97BC3">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A63CA8B">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4876276">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86E40F4">
            <w:pPr>
              <w:pStyle w:val="16"/>
            </w:pPr>
          </w:p>
        </w:tc>
      </w:tr>
      <w:tr w14:paraId="34130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59437EB">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350D5616">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356320B8">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A4939D6">
            <w:pPr>
              <w:pStyle w:val="16"/>
            </w:pPr>
          </w:p>
        </w:tc>
      </w:tr>
      <w:tr w14:paraId="3AA2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7C01394D">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514C3D7">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61CB8D6D">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C179F52">
            <w:pPr>
              <w:pStyle w:val="16"/>
            </w:pPr>
          </w:p>
        </w:tc>
      </w:tr>
      <w:tr w14:paraId="2F5EF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366C8C5">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A4C5CD2">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155C7061">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47311B34">
            <w:pPr>
              <w:pStyle w:val="16"/>
            </w:pPr>
          </w:p>
        </w:tc>
      </w:tr>
      <w:tr w14:paraId="1642F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CA528E4">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8F7ECEE">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12F294E1">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34444B1">
            <w:pPr>
              <w:pStyle w:val="16"/>
            </w:pPr>
          </w:p>
        </w:tc>
      </w:tr>
      <w:tr w14:paraId="3978D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647DC7D">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BDDC8AF">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48234DAF">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6EC39434">
            <w:pPr>
              <w:pStyle w:val="16"/>
            </w:pPr>
          </w:p>
        </w:tc>
      </w:tr>
      <w:tr w14:paraId="1D9ED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3D30342C">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42F97578">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63B3728">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4CC7725A">
            <w:pPr>
              <w:pStyle w:val="16"/>
            </w:pPr>
          </w:p>
        </w:tc>
      </w:tr>
    </w:tbl>
    <w:p w14:paraId="773626AF">
      <w:pPr>
        <w:pStyle w:val="13"/>
        <w:ind w:firstLine="480"/>
        <w:rPr>
          <w:rFonts w:hint="eastAsia"/>
        </w:rPr>
      </w:pPr>
    </w:p>
    <w:p w14:paraId="0C935387">
      <w:pPr>
        <w:pStyle w:val="13"/>
        <w:ind w:firstLine="480"/>
        <w:rPr>
          <w:rFonts w:hint="eastAsia"/>
        </w:rPr>
      </w:pPr>
    </w:p>
    <w:p w14:paraId="06A91DAD">
      <w:pPr>
        <w:pStyle w:val="13"/>
        <w:ind w:firstLine="480"/>
        <w:rPr>
          <w:rFonts w:hint="eastAsia"/>
        </w:rPr>
      </w:pPr>
    </w:p>
    <w:p w14:paraId="192127A9">
      <w:pPr>
        <w:pStyle w:val="13"/>
        <w:ind w:firstLine="480"/>
        <w:rPr>
          <w:rFonts w:hint="eastAsia"/>
        </w:rPr>
      </w:pPr>
    </w:p>
    <w:p w14:paraId="72CA61B7">
      <w:pPr>
        <w:pStyle w:val="13"/>
        <w:ind w:firstLine="480"/>
        <w:rPr>
          <w:rFonts w:hint="eastAsia"/>
        </w:rPr>
      </w:pPr>
      <w:r>
        <w:rPr>
          <w:rFonts w:hint="eastAsia"/>
        </w:rPr>
        <w:t xml:space="preserve">投标人名称：（盖章）                  </w:t>
      </w:r>
    </w:p>
    <w:p w14:paraId="3D8B101D">
      <w:pPr>
        <w:pStyle w:val="13"/>
        <w:ind w:firstLine="480"/>
        <w:rPr>
          <w:rFonts w:hint="eastAsia"/>
        </w:rPr>
      </w:pPr>
      <w:r>
        <w:rPr>
          <w:rFonts w:hint="eastAsia"/>
        </w:rPr>
        <w:t xml:space="preserve">法定代表人（委托代理人）： （签字）           </w:t>
      </w:r>
    </w:p>
    <w:p w14:paraId="3C097745">
      <w:pPr>
        <w:pStyle w:val="13"/>
        <w:ind w:firstLine="480"/>
        <w:rPr>
          <w:rFonts w:hint="eastAsia"/>
        </w:rPr>
      </w:pPr>
      <w:r>
        <w:rPr>
          <w:rFonts w:hint="eastAsia"/>
        </w:rPr>
        <w:t>日期：</w:t>
      </w:r>
    </w:p>
    <w:p w14:paraId="08A3C618">
      <w:pPr>
        <w:pStyle w:val="13"/>
        <w:ind w:firstLine="480"/>
        <w:rPr>
          <w:rFonts w:hint="eastAsia"/>
        </w:rPr>
      </w:pPr>
      <w:r>
        <w:rPr>
          <w:rFonts w:hint="eastAsia"/>
        </w:rPr>
        <w:t>注：为避免歧义，无偏离也应要提报该表，并注明“无”字。如无该表则即使在其它部分已反映，将也被视为“无偏离”。</w:t>
      </w:r>
    </w:p>
    <w:p w14:paraId="44595C97">
      <w:pPr>
        <w:pStyle w:val="13"/>
        <w:ind w:firstLine="480"/>
        <w:rPr>
          <w:rFonts w:hint="eastAsia"/>
        </w:rPr>
      </w:pPr>
    </w:p>
    <w:p w14:paraId="240EC69A">
      <w:pPr>
        <w:pStyle w:val="13"/>
        <w:ind w:firstLine="480"/>
        <w:rPr>
          <w:rFonts w:hint="eastAsia"/>
        </w:rPr>
      </w:pPr>
    </w:p>
    <w:p w14:paraId="5D4C3CE5">
      <w:pPr>
        <w:pStyle w:val="13"/>
        <w:ind w:firstLine="480"/>
        <w:rPr>
          <w:rFonts w:hint="eastAsia"/>
        </w:rPr>
      </w:pPr>
    </w:p>
    <w:p w14:paraId="06C61766">
      <w:pPr>
        <w:pStyle w:val="13"/>
        <w:ind w:firstLine="480"/>
        <w:rPr>
          <w:rFonts w:hint="eastAsia"/>
        </w:rPr>
      </w:pPr>
    </w:p>
    <w:p w14:paraId="6F212926">
      <w:pPr>
        <w:pStyle w:val="15"/>
        <w:ind w:firstLine="0" w:firstLineChars="0"/>
        <w:rPr>
          <w:rFonts w:hint="eastAsia" w:cs="宋体"/>
        </w:rPr>
      </w:pPr>
    </w:p>
    <w:p w14:paraId="3CB1174E">
      <w:pPr>
        <w:pStyle w:val="15"/>
        <w:ind w:firstLine="0" w:firstLineChars="0"/>
        <w:rPr>
          <w:rFonts w:hint="eastAsia"/>
        </w:rPr>
      </w:pPr>
      <w:r>
        <w:rPr>
          <w:rFonts w:hint="eastAsia" w:cs="宋体"/>
        </w:rPr>
        <w:t>格式5</w:t>
      </w:r>
      <w:r>
        <w:rPr>
          <w:rFonts w:hint="eastAsia"/>
        </w:rPr>
        <w:t>技术规格偏离表</w:t>
      </w:r>
    </w:p>
    <w:p w14:paraId="710E2E44">
      <w:pPr>
        <w:pStyle w:val="15"/>
        <w:rPr>
          <w:rFonts w:hint="eastAsia"/>
        </w:rPr>
      </w:pPr>
    </w:p>
    <w:p w14:paraId="2D95384E">
      <w:pPr>
        <w:rPr>
          <w:rFonts w:hint="eastAsia"/>
        </w:rPr>
      </w:pPr>
      <w:r>
        <w:rPr>
          <w:rFonts w:hint="eastAsia"/>
        </w:rPr>
        <w:t xml:space="preserve">招标项目：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535"/>
        <w:gridCol w:w="2475"/>
        <w:gridCol w:w="1648"/>
      </w:tblGrid>
      <w:tr w14:paraId="2C5B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312108C5">
            <w:pPr>
              <w:pStyle w:val="16"/>
              <w:rPr>
                <w:rFonts w:hint="eastAsia"/>
              </w:rPr>
            </w:pPr>
            <w:r>
              <w:rPr>
                <w:rFonts w:hint="eastAsia" w:ascii="宋体" w:hAnsi="宋体" w:cs="宋体"/>
              </w:rPr>
              <w:t>序号</w:t>
            </w:r>
          </w:p>
        </w:tc>
        <w:tc>
          <w:tcPr>
            <w:tcW w:w="3535" w:type="dxa"/>
            <w:noWrap w:val="0"/>
            <w:vAlign w:val="center"/>
          </w:tcPr>
          <w:p w14:paraId="0F157409">
            <w:pPr>
              <w:pStyle w:val="16"/>
              <w:rPr>
                <w:rFonts w:hint="eastAsia"/>
              </w:rPr>
            </w:pPr>
            <w:r>
              <w:rPr>
                <w:rFonts w:hint="eastAsia" w:ascii="宋体" w:hAnsi="宋体" w:cs="宋体"/>
              </w:rPr>
              <w:t>招标要求</w:t>
            </w:r>
          </w:p>
        </w:tc>
        <w:tc>
          <w:tcPr>
            <w:tcW w:w="2475" w:type="dxa"/>
            <w:noWrap w:val="0"/>
            <w:vAlign w:val="center"/>
          </w:tcPr>
          <w:p w14:paraId="6CC5BAD2">
            <w:pPr>
              <w:pStyle w:val="16"/>
              <w:rPr>
                <w:rFonts w:hint="eastAsia"/>
              </w:rPr>
            </w:pPr>
            <w:r>
              <w:rPr>
                <w:rFonts w:hint="eastAsia" w:ascii="宋体" w:hAnsi="宋体" w:cs="宋体"/>
              </w:rPr>
              <w:t>响应规格</w:t>
            </w:r>
          </w:p>
        </w:tc>
        <w:tc>
          <w:tcPr>
            <w:tcW w:w="1648" w:type="dxa"/>
            <w:noWrap w:val="0"/>
            <w:vAlign w:val="center"/>
          </w:tcPr>
          <w:p w14:paraId="4DDCF9F9">
            <w:pPr>
              <w:pStyle w:val="16"/>
              <w:rPr>
                <w:rFonts w:hint="eastAsia"/>
              </w:rPr>
            </w:pPr>
            <w:r>
              <w:rPr>
                <w:rFonts w:hint="eastAsia" w:ascii="宋体" w:hAnsi="宋体" w:cs="宋体"/>
              </w:rPr>
              <w:t>是否偏离</w:t>
            </w:r>
          </w:p>
        </w:tc>
      </w:tr>
      <w:tr w14:paraId="0631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24" w:type="dxa"/>
            <w:noWrap w:val="0"/>
            <w:vAlign w:val="center"/>
          </w:tcPr>
          <w:p w14:paraId="43686835">
            <w:pPr>
              <w:pStyle w:val="16"/>
              <w:rPr>
                <w:rFonts w:hint="eastAsia"/>
                <w:sz w:val="24"/>
              </w:rPr>
            </w:pPr>
          </w:p>
        </w:tc>
        <w:tc>
          <w:tcPr>
            <w:tcW w:w="3535" w:type="dxa"/>
            <w:noWrap w:val="0"/>
            <w:vAlign w:val="center"/>
          </w:tcPr>
          <w:p w14:paraId="3B35DF0B">
            <w:pPr>
              <w:spacing w:line="240" w:lineRule="exact"/>
              <w:jc w:val="left"/>
              <w:rPr>
                <w:rFonts w:hint="eastAsia" w:ascii="宋体" w:hAnsi="宋体"/>
                <w:sz w:val="24"/>
                <w:szCs w:val="24"/>
              </w:rPr>
            </w:pPr>
          </w:p>
        </w:tc>
        <w:tc>
          <w:tcPr>
            <w:tcW w:w="2475" w:type="dxa"/>
            <w:noWrap w:val="0"/>
            <w:vAlign w:val="center"/>
          </w:tcPr>
          <w:p w14:paraId="69A5806B">
            <w:pPr>
              <w:pStyle w:val="16"/>
              <w:rPr>
                <w:rFonts w:hint="eastAsia"/>
                <w:sz w:val="24"/>
              </w:rPr>
            </w:pPr>
          </w:p>
        </w:tc>
        <w:tc>
          <w:tcPr>
            <w:tcW w:w="1648" w:type="dxa"/>
            <w:noWrap w:val="0"/>
            <w:vAlign w:val="center"/>
          </w:tcPr>
          <w:p w14:paraId="6F1FDA37">
            <w:pPr>
              <w:pStyle w:val="16"/>
              <w:rPr>
                <w:rFonts w:hint="eastAsia"/>
                <w:sz w:val="24"/>
              </w:rPr>
            </w:pPr>
          </w:p>
        </w:tc>
      </w:tr>
      <w:tr w14:paraId="7E07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619C319C">
            <w:pPr>
              <w:pStyle w:val="16"/>
              <w:rPr>
                <w:rFonts w:hint="eastAsia"/>
                <w:sz w:val="24"/>
              </w:rPr>
            </w:pPr>
          </w:p>
        </w:tc>
        <w:tc>
          <w:tcPr>
            <w:tcW w:w="3535" w:type="dxa"/>
            <w:noWrap w:val="0"/>
            <w:vAlign w:val="center"/>
          </w:tcPr>
          <w:p w14:paraId="245DFE04">
            <w:pPr>
              <w:spacing w:line="240" w:lineRule="exact"/>
              <w:ind w:firstLine="480" w:firstLineChars="200"/>
              <w:rPr>
                <w:rFonts w:hint="eastAsia" w:ascii="宋体" w:hAnsi="宋体"/>
                <w:sz w:val="24"/>
                <w:szCs w:val="24"/>
              </w:rPr>
            </w:pPr>
          </w:p>
        </w:tc>
        <w:tc>
          <w:tcPr>
            <w:tcW w:w="2475" w:type="dxa"/>
            <w:noWrap w:val="0"/>
            <w:vAlign w:val="center"/>
          </w:tcPr>
          <w:p w14:paraId="2F5CC130">
            <w:pPr>
              <w:pStyle w:val="16"/>
              <w:rPr>
                <w:rFonts w:hint="eastAsia"/>
                <w:i/>
                <w:sz w:val="24"/>
              </w:rPr>
            </w:pPr>
          </w:p>
        </w:tc>
        <w:tc>
          <w:tcPr>
            <w:tcW w:w="1648" w:type="dxa"/>
            <w:noWrap w:val="0"/>
            <w:vAlign w:val="center"/>
          </w:tcPr>
          <w:p w14:paraId="7784C459">
            <w:pPr>
              <w:pStyle w:val="16"/>
              <w:rPr>
                <w:rFonts w:hint="eastAsia"/>
                <w:sz w:val="24"/>
              </w:rPr>
            </w:pPr>
          </w:p>
        </w:tc>
      </w:tr>
      <w:tr w14:paraId="386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5084C78E">
            <w:pPr>
              <w:pStyle w:val="16"/>
              <w:rPr>
                <w:rFonts w:hint="eastAsia"/>
                <w:sz w:val="24"/>
              </w:rPr>
            </w:pPr>
          </w:p>
        </w:tc>
        <w:tc>
          <w:tcPr>
            <w:tcW w:w="3535" w:type="dxa"/>
            <w:noWrap w:val="0"/>
            <w:vAlign w:val="center"/>
          </w:tcPr>
          <w:p w14:paraId="626876DA">
            <w:pPr>
              <w:spacing w:line="240" w:lineRule="exact"/>
              <w:jc w:val="left"/>
              <w:rPr>
                <w:rFonts w:hint="eastAsia" w:ascii="宋体" w:hAnsi="宋体"/>
                <w:sz w:val="24"/>
                <w:szCs w:val="24"/>
              </w:rPr>
            </w:pPr>
          </w:p>
        </w:tc>
        <w:tc>
          <w:tcPr>
            <w:tcW w:w="2475" w:type="dxa"/>
            <w:noWrap w:val="0"/>
            <w:vAlign w:val="top"/>
          </w:tcPr>
          <w:p w14:paraId="3E224BEB">
            <w:pPr>
              <w:pStyle w:val="16"/>
              <w:rPr>
                <w:rFonts w:hint="eastAsia"/>
                <w:sz w:val="24"/>
              </w:rPr>
            </w:pPr>
          </w:p>
        </w:tc>
        <w:tc>
          <w:tcPr>
            <w:tcW w:w="1648" w:type="dxa"/>
            <w:noWrap w:val="0"/>
            <w:vAlign w:val="top"/>
          </w:tcPr>
          <w:p w14:paraId="2A1E7F25">
            <w:pPr>
              <w:pStyle w:val="16"/>
              <w:rPr>
                <w:rFonts w:hint="eastAsia"/>
                <w:sz w:val="24"/>
              </w:rPr>
            </w:pPr>
          </w:p>
        </w:tc>
      </w:tr>
      <w:tr w14:paraId="4AD6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624" w:type="dxa"/>
            <w:noWrap w:val="0"/>
            <w:vAlign w:val="center"/>
          </w:tcPr>
          <w:p w14:paraId="39D5517D">
            <w:pPr>
              <w:pStyle w:val="16"/>
              <w:rPr>
                <w:rFonts w:hint="eastAsia"/>
                <w:sz w:val="24"/>
              </w:rPr>
            </w:pPr>
          </w:p>
        </w:tc>
        <w:tc>
          <w:tcPr>
            <w:tcW w:w="3535" w:type="dxa"/>
            <w:noWrap w:val="0"/>
            <w:vAlign w:val="top"/>
          </w:tcPr>
          <w:p w14:paraId="1275BCE9">
            <w:pPr>
              <w:spacing w:line="240" w:lineRule="exact"/>
              <w:jc w:val="left"/>
              <w:rPr>
                <w:rFonts w:hint="eastAsia" w:ascii="宋体" w:hAnsi="宋体"/>
                <w:sz w:val="24"/>
                <w:szCs w:val="24"/>
              </w:rPr>
            </w:pPr>
          </w:p>
        </w:tc>
        <w:tc>
          <w:tcPr>
            <w:tcW w:w="2475" w:type="dxa"/>
            <w:noWrap w:val="0"/>
            <w:vAlign w:val="top"/>
          </w:tcPr>
          <w:p w14:paraId="6CBAFF24">
            <w:pPr>
              <w:pStyle w:val="16"/>
              <w:rPr>
                <w:rFonts w:hint="eastAsia"/>
                <w:sz w:val="24"/>
              </w:rPr>
            </w:pPr>
          </w:p>
        </w:tc>
        <w:tc>
          <w:tcPr>
            <w:tcW w:w="1648" w:type="dxa"/>
            <w:noWrap w:val="0"/>
            <w:vAlign w:val="top"/>
          </w:tcPr>
          <w:p w14:paraId="6B1B67D8">
            <w:pPr>
              <w:pStyle w:val="16"/>
              <w:rPr>
                <w:rFonts w:hint="eastAsia"/>
                <w:sz w:val="24"/>
              </w:rPr>
            </w:pPr>
          </w:p>
        </w:tc>
      </w:tr>
      <w:tr w14:paraId="2EFA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2FF11826">
            <w:pPr>
              <w:pStyle w:val="16"/>
              <w:rPr>
                <w:rFonts w:hint="eastAsia"/>
                <w:sz w:val="24"/>
              </w:rPr>
            </w:pPr>
          </w:p>
        </w:tc>
        <w:tc>
          <w:tcPr>
            <w:tcW w:w="3535" w:type="dxa"/>
            <w:noWrap w:val="0"/>
            <w:vAlign w:val="top"/>
          </w:tcPr>
          <w:p w14:paraId="795DE041">
            <w:pPr>
              <w:pStyle w:val="16"/>
              <w:rPr>
                <w:rFonts w:hint="eastAsia"/>
                <w:b w:val="0"/>
                <w:sz w:val="24"/>
              </w:rPr>
            </w:pPr>
          </w:p>
        </w:tc>
        <w:tc>
          <w:tcPr>
            <w:tcW w:w="2475" w:type="dxa"/>
            <w:noWrap w:val="0"/>
            <w:vAlign w:val="top"/>
          </w:tcPr>
          <w:p w14:paraId="26F41052">
            <w:pPr>
              <w:pStyle w:val="16"/>
              <w:rPr>
                <w:rFonts w:hint="eastAsia"/>
                <w:sz w:val="24"/>
              </w:rPr>
            </w:pPr>
          </w:p>
        </w:tc>
        <w:tc>
          <w:tcPr>
            <w:tcW w:w="1648" w:type="dxa"/>
            <w:noWrap w:val="0"/>
            <w:vAlign w:val="top"/>
          </w:tcPr>
          <w:p w14:paraId="55769C9C">
            <w:pPr>
              <w:pStyle w:val="16"/>
              <w:rPr>
                <w:rFonts w:hint="eastAsia"/>
                <w:sz w:val="24"/>
              </w:rPr>
            </w:pPr>
          </w:p>
        </w:tc>
      </w:tr>
      <w:tr w14:paraId="1BB9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5A74897C">
            <w:pPr>
              <w:pStyle w:val="16"/>
              <w:rPr>
                <w:rFonts w:hint="eastAsia"/>
                <w:sz w:val="24"/>
              </w:rPr>
            </w:pPr>
          </w:p>
        </w:tc>
        <w:tc>
          <w:tcPr>
            <w:tcW w:w="3535" w:type="dxa"/>
            <w:noWrap w:val="0"/>
            <w:vAlign w:val="top"/>
          </w:tcPr>
          <w:p w14:paraId="63AB92E8">
            <w:pPr>
              <w:pStyle w:val="16"/>
              <w:rPr>
                <w:rFonts w:hint="eastAsia"/>
                <w:b w:val="0"/>
                <w:sz w:val="24"/>
              </w:rPr>
            </w:pPr>
          </w:p>
        </w:tc>
        <w:tc>
          <w:tcPr>
            <w:tcW w:w="2475" w:type="dxa"/>
            <w:noWrap w:val="0"/>
            <w:vAlign w:val="top"/>
          </w:tcPr>
          <w:p w14:paraId="34749596">
            <w:pPr>
              <w:pStyle w:val="16"/>
              <w:rPr>
                <w:rFonts w:hint="eastAsia"/>
                <w:sz w:val="24"/>
              </w:rPr>
            </w:pPr>
          </w:p>
        </w:tc>
        <w:tc>
          <w:tcPr>
            <w:tcW w:w="1648" w:type="dxa"/>
            <w:noWrap w:val="0"/>
            <w:vAlign w:val="top"/>
          </w:tcPr>
          <w:p w14:paraId="39B1B5E9">
            <w:pPr>
              <w:pStyle w:val="16"/>
              <w:rPr>
                <w:rFonts w:hint="eastAsia"/>
                <w:sz w:val="24"/>
              </w:rPr>
            </w:pPr>
          </w:p>
        </w:tc>
      </w:tr>
      <w:tr w14:paraId="376F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6D9023A3">
            <w:pPr>
              <w:pStyle w:val="16"/>
              <w:rPr>
                <w:rFonts w:hint="eastAsia"/>
                <w:sz w:val="24"/>
              </w:rPr>
            </w:pPr>
          </w:p>
        </w:tc>
        <w:tc>
          <w:tcPr>
            <w:tcW w:w="3535" w:type="dxa"/>
            <w:noWrap w:val="0"/>
            <w:vAlign w:val="center"/>
          </w:tcPr>
          <w:p w14:paraId="186C53AC">
            <w:pPr>
              <w:pStyle w:val="16"/>
              <w:rPr>
                <w:rFonts w:hint="eastAsia"/>
                <w:b w:val="0"/>
                <w:sz w:val="24"/>
              </w:rPr>
            </w:pPr>
          </w:p>
        </w:tc>
        <w:tc>
          <w:tcPr>
            <w:tcW w:w="2475" w:type="dxa"/>
            <w:noWrap w:val="0"/>
            <w:vAlign w:val="top"/>
          </w:tcPr>
          <w:p w14:paraId="18A479BA">
            <w:pPr>
              <w:pStyle w:val="16"/>
              <w:rPr>
                <w:rFonts w:hint="eastAsia"/>
                <w:sz w:val="24"/>
              </w:rPr>
            </w:pPr>
          </w:p>
        </w:tc>
        <w:tc>
          <w:tcPr>
            <w:tcW w:w="1648" w:type="dxa"/>
            <w:noWrap w:val="0"/>
            <w:vAlign w:val="top"/>
          </w:tcPr>
          <w:p w14:paraId="464394D0">
            <w:pPr>
              <w:pStyle w:val="16"/>
              <w:rPr>
                <w:rFonts w:hint="eastAsia"/>
                <w:sz w:val="24"/>
              </w:rPr>
            </w:pPr>
          </w:p>
        </w:tc>
      </w:tr>
      <w:tr w14:paraId="3A97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5A9E4E68">
            <w:pPr>
              <w:pStyle w:val="16"/>
              <w:rPr>
                <w:rFonts w:hint="eastAsia"/>
                <w:sz w:val="24"/>
              </w:rPr>
            </w:pPr>
          </w:p>
        </w:tc>
        <w:tc>
          <w:tcPr>
            <w:tcW w:w="3535" w:type="dxa"/>
            <w:noWrap w:val="0"/>
            <w:vAlign w:val="top"/>
          </w:tcPr>
          <w:p w14:paraId="2218F87B">
            <w:pPr>
              <w:pStyle w:val="16"/>
              <w:rPr>
                <w:rFonts w:hint="eastAsia"/>
                <w:sz w:val="24"/>
              </w:rPr>
            </w:pPr>
          </w:p>
        </w:tc>
        <w:tc>
          <w:tcPr>
            <w:tcW w:w="2475" w:type="dxa"/>
            <w:noWrap w:val="0"/>
            <w:vAlign w:val="top"/>
          </w:tcPr>
          <w:p w14:paraId="500CF685">
            <w:pPr>
              <w:pStyle w:val="16"/>
              <w:rPr>
                <w:rFonts w:hint="eastAsia"/>
                <w:sz w:val="24"/>
              </w:rPr>
            </w:pPr>
          </w:p>
        </w:tc>
        <w:tc>
          <w:tcPr>
            <w:tcW w:w="1648" w:type="dxa"/>
            <w:noWrap w:val="0"/>
            <w:vAlign w:val="top"/>
          </w:tcPr>
          <w:p w14:paraId="1C44DABB">
            <w:pPr>
              <w:pStyle w:val="16"/>
              <w:rPr>
                <w:rFonts w:hint="eastAsia"/>
                <w:sz w:val="24"/>
              </w:rPr>
            </w:pPr>
          </w:p>
        </w:tc>
      </w:tr>
    </w:tbl>
    <w:p w14:paraId="3177BC6B">
      <w:pPr>
        <w:spacing w:line="660" w:lineRule="exact"/>
        <w:rPr>
          <w:rFonts w:hint="eastAsia" w:ascii="宋体" w:hAnsi="宋体"/>
          <w:sz w:val="24"/>
        </w:rPr>
      </w:pPr>
    </w:p>
    <w:p w14:paraId="14B1F48F">
      <w:pPr>
        <w:spacing w:line="660" w:lineRule="exact"/>
        <w:rPr>
          <w:rFonts w:hint="eastAsia" w:ascii="宋体" w:hAnsi="宋体"/>
          <w:sz w:val="24"/>
        </w:rPr>
      </w:pPr>
    </w:p>
    <w:p w14:paraId="450DC6D1">
      <w:pPr>
        <w:spacing w:line="660" w:lineRule="exact"/>
        <w:rPr>
          <w:rFonts w:hint="eastAsia" w:ascii="宋体" w:hAnsi="宋体"/>
          <w:sz w:val="24"/>
        </w:rPr>
      </w:pPr>
    </w:p>
    <w:p w14:paraId="51DF14C1">
      <w:pPr>
        <w:spacing w:line="660" w:lineRule="exact"/>
        <w:rPr>
          <w:rFonts w:hint="eastAsia" w:ascii="宋体" w:hAnsi="宋体"/>
          <w:sz w:val="24"/>
        </w:rPr>
      </w:pPr>
      <w:r>
        <w:rPr>
          <w:rFonts w:hint="eastAsia" w:ascii="宋体" w:hAnsi="宋体"/>
          <w:sz w:val="24"/>
        </w:rPr>
        <w:t xml:space="preserve">投标人：（盖章） </w:t>
      </w:r>
    </w:p>
    <w:p w14:paraId="630DD303">
      <w:pPr>
        <w:spacing w:line="660" w:lineRule="exact"/>
        <w:rPr>
          <w:rFonts w:hint="eastAsia" w:ascii="宋体" w:hAnsi="宋体"/>
          <w:sz w:val="24"/>
        </w:rPr>
      </w:pPr>
      <w:r>
        <w:rPr>
          <w:rFonts w:hint="eastAsia" w:ascii="宋体" w:hAnsi="宋体"/>
          <w:sz w:val="24"/>
        </w:rPr>
        <w:t>法定代表人（委托代理人）：（签字）</w:t>
      </w:r>
    </w:p>
    <w:p w14:paraId="4B745A8A">
      <w:pPr>
        <w:rPr>
          <w:rFonts w:ascii="黑体" w:eastAsia="黑体"/>
          <w:color w:val="000000"/>
          <w:sz w:val="24"/>
          <w:szCs w:val="24"/>
        </w:rPr>
      </w:pPr>
    </w:p>
    <w:p w14:paraId="0C860D6D">
      <w:pPr>
        <w:rPr>
          <w:rFonts w:hint="eastAsia" w:ascii="宋体" w:hAnsi="宋体" w:cs="宋体"/>
          <w:bCs/>
          <w:color w:val="000000"/>
          <w:sz w:val="24"/>
          <w:szCs w:val="24"/>
        </w:rPr>
      </w:pPr>
      <w:r>
        <w:rPr>
          <w:rFonts w:hint="eastAsia" w:ascii="宋体" w:hAnsi="宋体" w:cs="宋体"/>
          <w:bCs/>
          <w:color w:val="000000"/>
          <w:sz w:val="24"/>
          <w:szCs w:val="24"/>
        </w:rPr>
        <w:t>日期：</w:t>
      </w:r>
    </w:p>
    <w:p w14:paraId="1355C148">
      <w:pPr>
        <w:pStyle w:val="13"/>
        <w:ind w:firstLine="0" w:firstLineChars="0"/>
        <w:rPr>
          <w:rFonts w:hint="eastAsia"/>
        </w:rPr>
      </w:pPr>
    </w:p>
    <w:p w14:paraId="2A7DBD4D">
      <w:pPr>
        <w:pStyle w:val="13"/>
        <w:ind w:firstLine="0" w:firstLineChars="0"/>
        <w:rPr>
          <w:rFonts w:hint="eastAsia"/>
        </w:rPr>
      </w:pPr>
      <w:r>
        <w:rPr>
          <w:rFonts w:hint="eastAsia"/>
        </w:rPr>
        <w:t>注：为避免歧义，无偏离也应要提报该表，并注明“无”字。如无该表则即使在其它部分已反映，将也被视为“无偏离”。</w:t>
      </w:r>
    </w:p>
    <w:p w14:paraId="76ABE2E5">
      <w:pPr>
        <w:pStyle w:val="13"/>
        <w:ind w:firstLine="0" w:firstLineChars="0"/>
        <w:rPr>
          <w:rFonts w:hint="eastAsia"/>
        </w:rPr>
      </w:pPr>
    </w:p>
    <w:p w14:paraId="2C2A14BD">
      <w:pPr>
        <w:pStyle w:val="13"/>
        <w:ind w:firstLine="0" w:firstLineChars="0"/>
        <w:rPr>
          <w:rFonts w:hint="eastAsia"/>
        </w:rPr>
      </w:pPr>
    </w:p>
    <w:p w14:paraId="405C9B6F">
      <w:pPr>
        <w:pStyle w:val="15"/>
        <w:ind w:firstLine="0" w:firstLineChars="0"/>
      </w:pPr>
      <w:r>
        <w:rPr>
          <w:rFonts w:hint="eastAsia"/>
        </w:rPr>
        <w:t>格式6</w:t>
      </w:r>
      <w:r>
        <w:t xml:space="preserve"> </w:t>
      </w:r>
      <w:r>
        <w:rPr>
          <w:rFonts w:hint="eastAsia"/>
        </w:rPr>
        <w:t>近三年国内同类项目业绩一览表</w:t>
      </w:r>
    </w:p>
    <w:p w14:paraId="33B34822">
      <w:pPr>
        <w:pStyle w:val="13"/>
        <w:ind w:firstLine="480"/>
        <w:rPr>
          <w:rFonts w:hint="eastAsia"/>
        </w:rPr>
      </w:pPr>
      <w:r>
        <w:rPr>
          <w:rFonts w:hint="eastAsia"/>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14:paraId="0731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808" w:type="dxa"/>
            <w:noWrap w:val="0"/>
            <w:vAlign w:val="center"/>
          </w:tcPr>
          <w:p w14:paraId="6D89B4A2">
            <w:pPr>
              <w:pStyle w:val="9"/>
              <w:jc w:val="center"/>
              <w:rPr>
                <w:rFonts w:hint="eastAsia" w:ascii="宋体" w:hAnsi="宋体"/>
                <w:b/>
                <w:szCs w:val="21"/>
              </w:rPr>
            </w:pPr>
            <w:r>
              <w:rPr>
                <w:rFonts w:hint="eastAsia" w:ascii="宋体" w:hAnsi="宋体"/>
                <w:b/>
                <w:szCs w:val="21"/>
              </w:rPr>
              <w:t>序号</w:t>
            </w:r>
          </w:p>
        </w:tc>
        <w:tc>
          <w:tcPr>
            <w:tcW w:w="2061" w:type="dxa"/>
            <w:noWrap w:val="0"/>
            <w:vAlign w:val="center"/>
          </w:tcPr>
          <w:p w14:paraId="096C90B3">
            <w:pPr>
              <w:pStyle w:val="9"/>
              <w:jc w:val="center"/>
              <w:rPr>
                <w:rFonts w:hint="eastAsia" w:ascii="宋体" w:hAnsi="宋体"/>
                <w:b/>
                <w:szCs w:val="21"/>
              </w:rPr>
            </w:pPr>
            <w:r>
              <w:rPr>
                <w:rFonts w:hint="eastAsia" w:ascii="宋体" w:hAnsi="宋体"/>
                <w:b/>
                <w:szCs w:val="21"/>
              </w:rPr>
              <w:t>采购单位</w:t>
            </w:r>
          </w:p>
        </w:tc>
        <w:tc>
          <w:tcPr>
            <w:tcW w:w="1317" w:type="dxa"/>
            <w:noWrap w:val="0"/>
            <w:vAlign w:val="center"/>
          </w:tcPr>
          <w:p w14:paraId="5EB4144D">
            <w:pPr>
              <w:pStyle w:val="9"/>
              <w:jc w:val="center"/>
              <w:rPr>
                <w:rFonts w:hint="eastAsia" w:ascii="宋体" w:hAnsi="宋体"/>
                <w:b/>
                <w:szCs w:val="21"/>
              </w:rPr>
            </w:pPr>
            <w:r>
              <w:rPr>
                <w:rFonts w:hint="eastAsia" w:ascii="宋体" w:hAnsi="宋体"/>
                <w:b/>
                <w:szCs w:val="21"/>
              </w:rPr>
              <w:t>项目名称</w:t>
            </w:r>
          </w:p>
          <w:p w14:paraId="72589F68">
            <w:pPr>
              <w:pStyle w:val="9"/>
              <w:jc w:val="center"/>
              <w:rPr>
                <w:rFonts w:hint="eastAsia" w:ascii="宋体" w:hAnsi="宋体"/>
                <w:b/>
                <w:szCs w:val="21"/>
              </w:rPr>
            </w:pPr>
          </w:p>
        </w:tc>
        <w:tc>
          <w:tcPr>
            <w:tcW w:w="775" w:type="dxa"/>
            <w:noWrap w:val="0"/>
            <w:vAlign w:val="center"/>
          </w:tcPr>
          <w:p w14:paraId="409E6E8E">
            <w:pPr>
              <w:pStyle w:val="9"/>
              <w:ind w:left="0" w:firstLine="0"/>
              <w:jc w:val="center"/>
              <w:rPr>
                <w:rFonts w:hint="eastAsia" w:ascii="宋体" w:hAnsi="宋体"/>
                <w:b/>
                <w:szCs w:val="21"/>
              </w:rPr>
            </w:pPr>
            <w:r>
              <w:rPr>
                <w:rFonts w:hint="eastAsia" w:ascii="宋体" w:hAnsi="宋体"/>
                <w:b/>
                <w:szCs w:val="21"/>
              </w:rPr>
              <w:t>数量</w:t>
            </w:r>
          </w:p>
        </w:tc>
        <w:tc>
          <w:tcPr>
            <w:tcW w:w="1281" w:type="dxa"/>
            <w:noWrap w:val="0"/>
            <w:vAlign w:val="center"/>
          </w:tcPr>
          <w:p w14:paraId="6FDEFE90">
            <w:pPr>
              <w:pStyle w:val="9"/>
              <w:ind w:left="0" w:firstLine="0"/>
              <w:jc w:val="center"/>
              <w:rPr>
                <w:rFonts w:hint="eastAsia" w:ascii="宋体" w:hAnsi="宋体"/>
                <w:b/>
                <w:szCs w:val="21"/>
              </w:rPr>
            </w:pPr>
            <w:r>
              <w:rPr>
                <w:rFonts w:hint="eastAsia" w:ascii="宋体" w:hAnsi="宋体"/>
                <w:b/>
                <w:szCs w:val="21"/>
              </w:rPr>
              <w:t>合同金额 （万元）</w:t>
            </w:r>
          </w:p>
        </w:tc>
        <w:tc>
          <w:tcPr>
            <w:tcW w:w="1481" w:type="dxa"/>
            <w:noWrap w:val="0"/>
            <w:vAlign w:val="center"/>
          </w:tcPr>
          <w:p w14:paraId="6CAF703C">
            <w:pPr>
              <w:pStyle w:val="9"/>
              <w:ind w:left="0" w:firstLine="0"/>
              <w:jc w:val="center"/>
              <w:rPr>
                <w:rFonts w:hint="eastAsia" w:ascii="宋体" w:hAnsi="宋体"/>
                <w:b/>
                <w:szCs w:val="21"/>
              </w:rPr>
            </w:pPr>
            <w:r>
              <w:rPr>
                <w:rFonts w:hint="eastAsia" w:ascii="宋体" w:hAnsi="宋体"/>
                <w:b/>
                <w:szCs w:val="21"/>
              </w:rPr>
              <w:t>合同签订时间</w:t>
            </w:r>
          </w:p>
        </w:tc>
        <w:tc>
          <w:tcPr>
            <w:tcW w:w="1559" w:type="dxa"/>
            <w:noWrap w:val="0"/>
            <w:vAlign w:val="center"/>
          </w:tcPr>
          <w:p w14:paraId="68B785FD">
            <w:pPr>
              <w:pStyle w:val="9"/>
              <w:jc w:val="center"/>
              <w:rPr>
                <w:rFonts w:hint="eastAsia" w:ascii="宋体" w:hAnsi="宋体"/>
                <w:b/>
                <w:szCs w:val="21"/>
              </w:rPr>
            </w:pPr>
            <w:r>
              <w:rPr>
                <w:rFonts w:hint="eastAsia" w:ascii="宋体" w:hAnsi="宋体"/>
                <w:b/>
                <w:szCs w:val="21"/>
              </w:rPr>
              <w:t>联系人及</w:t>
            </w:r>
          </w:p>
          <w:p w14:paraId="7466C482">
            <w:pPr>
              <w:pStyle w:val="9"/>
              <w:jc w:val="center"/>
              <w:rPr>
                <w:rFonts w:hint="eastAsia" w:ascii="宋体" w:hAnsi="宋体"/>
                <w:b/>
                <w:szCs w:val="21"/>
              </w:rPr>
            </w:pPr>
            <w:r>
              <w:rPr>
                <w:rFonts w:hint="eastAsia" w:ascii="宋体" w:hAnsi="宋体"/>
                <w:b/>
                <w:szCs w:val="21"/>
              </w:rPr>
              <w:t>联系电话</w:t>
            </w:r>
          </w:p>
        </w:tc>
      </w:tr>
      <w:tr w14:paraId="5F10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73D63E2">
            <w:pPr>
              <w:pStyle w:val="9"/>
              <w:jc w:val="center"/>
              <w:rPr>
                <w:rFonts w:hint="eastAsia" w:ascii="宋体" w:hAnsi="宋体"/>
                <w:b/>
              </w:rPr>
            </w:pPr>
            <w:r>
              <w:rPr>
                <w:rFonts w:hint="eastAsia" w:ascii="宋体" w:hAnsi="宋体"/>
                <w:b/>
              </w:rPr>
              <w:t>1</w:t>
            </w:r>
          </w:p>
        </w:tc>
        <w:tc>
          <w:tcPr>
            <w:tcW w:w="2061" w:type="dxa"/>
            <w:noWrap w:val="0"/>
            <w:vAlign w:val="center"/>
          </w:tcPr>
          <w:p w14:paraId="5277DA77">
            <w:pPr>
              <w:pStyle w:val="9"/>
              <w:jc w:val="center"/>
              <w:rPr>
                <w:rFonts w:hint="eastAsia" w:ascii="宋体" w:hAnsi="宋体"/>
                <w:b/>
              </w:rPr>
            </w:pPr>
          </w:p>
        </w:tc>
        <w:tc>
          <w:tcPr>
            <w:tcW w:w="1317" w:type="dxa"/>
            <w:noWrap w:val="0"/>
            <w:vAlign w:val="center"/>
          </w:tcPr>
          <w:p w14:paraId="77DB3D0D">
            <w:pPr>
              <w:pStyle w:val="9"/>
              <w:jc w:val="center"/>
              <w:rPr>
                <w:rFonts w:hint="eastAsia" w:ascii="宋体" w:hAnsi="宋体"/>
                <w:b/>
              </w:rPr>
            </w:pPr>
          </w:p>
        </w:tc>
        <w:tc>
          <w:tcPr>
            <w:tcW w:w="775" w:type="dxa"/>
            <w:noWrap w:val="0"/>
            <w:vAlign w:val="center"/>
          </w:tcPr>
          <w:p w14:paraId="04EBCFFB">
            <w:pPr>
              <w:pStyle w:val="9"/>
              <w:jc w:val="center"/>
              <w:rPr>
                <w:rFonts w:hint="eastAsia" w:ascii="宋体" w:hAnsi="宋体"/>
                <w:b/>
              </w:rPr>
            </w:pPr>
          </w:p>
        </w:tc>
        <w:tc>
          <w:tcPr>
            <w:tcW w:w="1281" w:type="dxa"/>
            <w:noWrap w:val="0"/>
            <w:vAlign w:val="center"/>
          </w:tcPr>
          <w:p w14:paraId="42FA2F24">
            <w:pPr>
              <w:pStyle w:val="9"/>
              <w:jc w:val="center"/>
              <w:rPr>
                <w:rFonts w:hint="eastAsia" w:ascii="宋体" w:hAnsi="宋体"/>
                <w:b/>
              </w:rPr>
            </w:pPr>
          </w:p>
        </w:tc>
        <w:tc>
          <w:tcPr>
            <w:tcW w:w="1481" w:type="dxa"/>
            <w:noWrap w:val="0"/>
            <w:vAlign w:val="center"/>
          </w:tcPr>
          <w:p w14:paraId="31EED9B6">
            <w:pPr>
              <w:pStyle w:val="9"/>
              <w:jc w:val="center"/>
              <w:rPr>
                <w:rFonts w:hint="eastAsia" w:ascii="宋体" w:hAnsi="宋体"/>
                <w:b/>
              </w:rPr>
            </w:pPr>
          </w:p>
        </w:tc>
        <w:tc>
          <w:tcPr>
            <w:tcW w:w="1559" w:type="dxa"/>
            <w:noWrap w:val="0"/>
            <w:vAlign w:val="center"/>
          </w:tcPr>
          <w:p w14:paraId="7F06795B">
            <w:pPr>
              <w:pStyle w:val="9"/>
              <w:jc w:val="center"/>
              <w:rPr>
                <w:rFonts w:hint="eastAsia" w:ascii="宋体" w:hAnsi="宋体"/>
                <w:b/>
              </w:rPr>
            </w:pPr>
          </w:p>
        </w:tc>
      </w:tr>
      <w:tr w14:paraId="3823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445B032">
            <w:pPr>
              <w:pStyle w:val="9"/>
              <w:jc w:val="center"/>
              <w:rPr>
                <w:rFonts w:hint="eastAsia" w:ascii="宋体" w:hAnsi="宋体"/>
                <w:b/>
              </w:rPr>
            </w:pPr>
            <w:r>
              <w:rPr>
                <w:rFonts w:hint="eastAsia" w:ascii="宋体" w:hAnsi="宋体"/>
                <w:b/>
              </w:rPr>
              <w:t>2</w:t>
            </w:r>
          </w:p>
        </w:tc>
        <w:tc>
          <w:tcPr>
            <w:tcW w:w="2061" w:type="dxa"/>
            <w:noWrap w:val="0"/>
            <w:vAlign w:val="center"/>
          </w:tcPr>
          <w:p w14:paraId="55C27DD7">
            <w:pPr>
              <w:pStyle w:val="9"/>
              <w:jc w:val="center"/>
              <w:rPr>
                <w:rFonts w:hint="eastAsia" w:ascii="宋体" w:hAnsi="宋体"/>
                <w:b/>
              </w:rPr>
            </w:pPr>
          </w:p>
        </w:tc>
        <w:tc>
          <w:tcPr>
            <w:tcW w:w="1317" w:type="dxa"/>
            <w:noWrap w:val="0"/>
            <w:vAlign w:val="center"/>
          </w:tcPr>
          <w:p w14:paraId="49AC4E40">
            <w:pPr>
              <w:pStyle w:val="9"/>
              <w:jc w:val="center"/>
              <w:rPr>
                <w:rFonts w:hint="eastAsia" w:ascii="宋体" w:hAnsi="宋体"/>
                <w:b/>
              </w:rPr>
            </w:pPr>
          </w:p>
        </w:tc>
        <w:tc>
          <w:tcPr>
            <w:tcW w:w="775" w:type="dxa"/>
            <w:noWrap w:val="0"/>
            <w:vAlign w:val="center"/>
          </w:tcPr>
          <w:p w14:paraId="0BDA7F10">
            <w:pPr>
              <w:pStyle w:val="9"/>
              <w:jc w:val="center"/>
              <w:rPr>
                <w:rFonts w:hint="eastAsia" w:ascii="宋体" w:hAnsi="宋体"/>
                <w:b/>
              </w:rPr>
            </w:pPr>
          </w:p>
        </w:tc>
        <w:tc>
          <w:tcPr>
            <w:tcW w:w="1281" w:type="dxa"/>
            <w:noWrap w:val="0"/>
            <w:vAlign w:val="center"/>
          </w:tcPr>
          <w:p w14:paraId="7892601E">
            <w:pPr>
              <w:pStyle w:val="9"/>
              <w:jc w:val="center"/>
              <w:rPr>
                <w:rFonts w:hint="eastAsia" w:ascii="宋体" w:hAnsi="宋体"/>
                <w:b/>
              </w:rPr>
            </w:pPr>
          </w:p>
        </w:tc>
        <w:tc>
          <w:tcPr>
            <w:tcW w:w="1481" w:type="dxa"/>
            <w:noWrap w:val="0"/>
            <w:vAlign w:val="center"/>
          </w:tcPr>
          <w:p w14:paraId="021312DE">
            <w:pPr>
              <w:pStyle w:val="9"/>
              <w:jc w:val="center"/>
              <w:rPr>
                <w:rFonts w:hint="eastAsia" w:ascii="宋体" w:hAnsi="宋体"/>
                <w:b/>
              </w:rPr>
            </w:pPr>
          </w:p>
        </w:tc>
        <w:tc>
          <w:tcPr>
            <w:tcW w:w="1559" w:type="dxa"/>
            <w:noWrap w:val="0"/>
            <w:vAlign w:val="center"/>
          </w:tcPr>
          <w:p w14:paraId="47311E02">
            <w:pPr>
              <w:pStyle w:val="9"/>
              <w:jc w:val="center"/>
              <w:rPr>
                <w:rFonts w:hint="eastAsia" w:ascii="宋体" w:hAnsi="宋体"/>
                <w:b/>
              </w:rPr>
            </w:pPr>
          </w:p>
        </w:tc>
      </w:tr>
      <w:tr w14:paraId="5931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76CBB609">
            <w:pPr>
              <w:pStyle w:val="9"/>
              <w:jc w:val="center"/>
              <w:rPr>
                <w:rFonts w:hint="eastAsia" w:ascii="宋体" w:hAnsi="宋体"/>
                <w:b/>
              </w:rPr>
            </w:pPr>
            <w:r>
              <w:rPr>
                <w:rFonts w:hint="eastAsia" w:ascii="宋体" w:hAnsi="宋体"/>
                <w:b/>
              </w:rPr>
              <w:t>3</w:t>
            </w:r>
          </w:p>
        </w:tc>
        <w:tc>
          <w:tcPr>
            <w:tcW w:w="2061" w:type="dxa"/>
            <w:noWrap w:val="0"/>
            <w:vAlign w:val="center"/>
          </w:tcPr>
          <w:p w14:paraId="2A0BFF56">
            <w:pPr>
              <w:pStyle w:val="9"/>
              <w:jc w:val="center"/>
              <w:rPr>
                <w:rFonts w:hint="eastAsia" w:ascii="宋体" w:hAnsi="宋体"/>
                <w:b/>
              </w:rPr>
            </w:pPr>
          </w:p>
        </w:tc>
        <w:tc>
          <w:tcPr>
            <w:tcW w:w="1317" w:type="dxa"/>
            <w:noWrap w:val="0"/>
            <w:vAlign w:val="center"/>
          </w:tcPr>
          <w:p w14:paraId="5BAFCF98">
            <w:pPr>
              <w:pStyle w:val="9"/>
              <w:jc w:val="center"/>
              <w:rPr>
                <w:rFonts w:hint="eastAsia" w:ascii="宋体" w:hAnsi="宋体"/>
                <w:b/>
              </w:rPr>
            </w:pPr>
          </w:p>
        </w:tc>
        <w:tc>
          <w:tcPr>
            <w:tcW w:w="775" w:type="dxa"/>
            <w:noWrap w:val="0"/>
            <w:vAlign w:val="center"/>
          </w:tcPr>
          <w:p w14:paraId="5BDAADF2">
            <w:pPr>
              <w:pStyle w:val="9"/>
              <w:jc w:val="center"/>
              <w:rPr>
                <w:rFonts w:hint="eastAsia" w:ascii="宋体" w:hAnsi="宋体"/>
                <w:b/>
              </w:rPr>
            </w:pPr>
          </w:p>
        </w:tc>
        <w:tc>
          <w:tcPr>
            <w:tcW w:w="1281" w:type="dxa"/>
            <w:noWrap w:val="0"/>
            <w:vAlign w:val="center"/>
          </w:tcPr>
          <w:p w14:paraId="4F0F7AC5">
            <w:pPr>
              <w:pStyle w:val="9"/>
              <w:jc w:val="center"/>
              <w:rPr>
                <w:rFonts w:hint="eastAsia" w:ascii="宋体" w:hAnsi="宋体"/>
                <w:b/>
              </w:rPr>
            </w:pPr>
          </w:p>
        </w:tc>
        <w:tc>
          <w:tcPr>
            <w:tcW w:w="1481" w:type="dxa"/>
            <w:noWrap w:val="0"/>
            <w:vAlign w:val="center"/>
          </w:tcPr>
          <w:p w14:paraId="69E2E521">
            <w:pPr>
              <w:pStyle w:val="9"/>
              <w:jc w:val="center"/>
              <w:rPr>
                <w:rFonts w:hint="eastAsia" w:ascii="宋体" w:hAnsi="宋体"/>
                <w:b/>
              </w:rPr>
            </w:pPr>
          </w:p>
        </w:tc>
        <w:tc>
          <w:tcPr>
            <w:tcW w:w="1559" w:type="dxa"/>
            <w:noWrap w:val="0"/>
            <w:vAlign w:val="center"/>
          </w:tcPr>
          <w:p w14:paraId="35F38600">
            <w:pPr>
              <w:pStyle w:val="9"/>
              <w:jc w:val="center"/>
              <w:rPr>
                <w:rFonts w:hint="eastAsia" w:ascii="宋体" w:hAnsi="宋体"/>
                <w:b/>
              </w:rPr>
            </w:pPr>
          </w:p>
        </w:tc>
      </w:tr>
      <w:tr w14:paraId="55D0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68B2A74C">
            <w:pPr>
              <w:pStyle w:val="9"/>
              <w:jc w:val="center"/>
              <w:rPr>
                <w:rFonts w:hint="eastAsia" w:ascii="宋体" w:hAnsi="宋体"/>
                <w:b/>
              </w:rPr>
            </w:pPr>
            <w:r>
              <w:rPr>
                <w:rFonts w:hint="eastAsia" w:ascii="宋体" w:hAnsi="宋体"/>
                <w:b/>
              </w:rPr>
              <w:t>4</w:t>
            </w:r>
          </w:p>
        </w:tc>
        <w:tc>
          <w:tcPr>
            <w:tcW w:w="2061" w:type="dxa"/>
            <w:noWrap w:val="0"/>
            <w:vAlign w:val="center"/>
          </w:tcPr>
          <w:p w14:paraId="580686F5">
            <w:pPr>
              <w:pStyle w:val="9"/>
              <w:jc w:val="center"/>
              <w:rPr>
                <w:rFonts w:hint="eastAsia" w:ascii="宋体" w:hAnsi="宋体"/>
                <w:b/>
              </w:rPr>
            </w:pPr>
          </w:p>
        </w:tc>
        <w:tc>
          <w:tcPr>
            <w:tcW w:w="1317" w:type="dxa"/>
            <w:noWrap w:val="0"/>
            <w:vAlign w:val="center"/>
          </w:tcPr>
          <w:p w14:paraId="4EC0CCC4">
            <w:pPr>
              <w:pStyle w:val="9"/>
              <w:jc w:val="center"/>
              <w:rPr>
                <w:rFonts w:hint="eastAsia" w:ascii="宋体" w:hAnsi="宋体"/>
                <w:b/>
              </w:rPr>
            </w:pPr>
          </w:p>
        </w:tc>
        <w:tc>
          <w:tcPr>
            <w:tcW w:w="775" w:type="dxa"/>
            <w:noWrap w:val="0"/>
            <w:vAlign w:val="center"/>
          </w:tcPr>
          <w:p w14:paraId="12038BE2">
            <w:pPr>
              <w:pStyle w:val="9"/>
              <w:jc w:val="center"/>
              <w:rPr>
                <w:rFonts w:hint="eastAsia" w:ascii="宋体" w:hAnsi="宋体"/>
                <w:b/>
              </w:rPr>
            </w:pPr>
          </w:p>
        </w:tc>
        <w:tc>
          <w:tcPr>
            <w:tcW w:w="1281" w:type="dxa"/>
            <w:noWrap w:val="0"/>
            <w:vAlign w:val="center"/>
          </w:tcPr>
          <w:p w14:paraId="6D73658E">
            <w:pPr>
              <w:pStyle w:val="9"/>
              <w:jc w:val="center"/>
              <w:rPr>
                <w:rFonts w:hint="eastAsia" w:ascii="宋体" w:hAnsi="宋体"/>
                <w:b/>
              </w:rPr>
            </w:pPr>
          </w:p>
        </w:tc>
        <w:tc>
          <w:tcPr>
            <w:tcW w:w="1481" w:type="dxa"/>
            <w:noWrap w:val="0"/>
            <w:vAlign w:val="center"/>
          </w:tcPr>
          <w:p w14:paraId="3280409F">
            <w:pPr>
              <w:pStyle w:val="9"/>
              <w:jc w:val="center"/>
              <w:rPr>
                <w:rFonts w:hint="eastAsia" w:ascii="宋体" w:hAnsi="宋体"/>
                <w:b/>
              </w:rPr>
            </w:pPr>
          </w:p>
        </w:tc>
        <w:tc>
          <w:tcPr>
            <w:tcW w:w="1559" w:type="dxa"/>
            <w:noWrap w:val="0"/>
            <w:vAlign w:val="center"/>
          </w:tcPr>
          <w:p w14:paraId="03FB532C">
            <w:pPr>
              <w:pStyle w:val="9"/>
              <w:jc w:val="center"/>
              <w:rPr>
                <w:rFonts w:hint="eastAsia" w:ascii="宋体" w:hAnsi="宋体"/>
                <w:b/>
              </w:rPr>
            </w:pPr>
          </w:p>
        </w:tc>
      </w:tr>
      <w:tr w14:paraId="5C83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5780686F">
            <w:pPr>
              <w:pStyle w:val="9"/>
              <w:jc w:val="center"/>
              <w:rPr>
                <w:rFonts w:hint="eastAsia" w:ascii="宋体" w:hAnsi="宋体"/>
                <w:b/>
              </w:rPr>
            </w:pPr>
            <w:r>
              <w:rPr>
                <w:rFonts w:hint="eastAsia" w:ascii="宋体" w:hAnsi="宋体"/>
                <w:b/>
              </w:rPr>
              <w:t>5</w:t>
            </w:r>
          </w:p>
        </w:tc>
        <w:tc>
          <w:tcPr>
            <w:tcW w:w="2061" w:type="dxa"/>
            <w:noWrap w:val="0"/>
            <w:vAlign w:val="center"/>
          </w:tcPr>
          <w:p w14:paraId="74C61E8D">
            <w:pPr>
              <w:pStyle w:val="9"/>
              <w:jc w:val="center"/>
              <w:rPr>
                <w:rFonts w:hint="eastAsia" w:ascii="宋体" w:hAnsi="宋体"/>
                <w:b/>
              </w:rPr>
            </w:pPr>
          </w:p>
        </w:tc>
        <w:tc>
          <w:tcPr>
            <w:tcW w:w="1317" w:type="dxa"/>
            <w:noWrap w:val="0"/>
            <w:vAlign w:val="center"/>
          </w:tcPr>
          <w:p w14:paraId="1CBDF5CD">
            <w:pPr>
              <w:pStyle w:val="9"/>
              <w:jc w:val="center"/>
              <w:rPr>
                <w:rFonts w:hint="eastAsia" w:ascii="宋体" w:hAnsi="宋体"/>
                <w:b/>
              </w:rPr>
            </w:pPr>
          </w:p>
        </w:tc>
        <w:tc>
          <w:tcPr>
            <w:tcW w:w="775" w:type="dxa"/>
            <w:noWrap w:val="0"/>
            <w:vAlign w:val="center"/>
          </w:tcPr>
          <w:p w14:paraId="4FE82BEA">
            <w:pPr>
              <w:pStyle w:val="9"/>
              <w:jc w:val="center"/>
              <w:rPr>
                <w:rFonts w:hint="eastAsia" w:ascii="宋体" w:hAnsi="宋体"/>
                <w:b/>
              </w:rPr>
            </w:pPr>
          </w:p>
        </w:tc>
        <w:tc>
          <w:tcPr>
            <w:tcW w:w="1281" w:type="dxa"/>
            <w:noWrap w:val="0"/>
            <w:vAlign w:val="center"/>
          </w:tcPr>
          <w:p w14:paraId="793EFA34">
            <w:pPr>
              <w:pStyle w:val="9"/>
              <w:jc w:val="center"/>
              <w:rPr>
                <w:rFonts w:hint="eastAsia" w:ascii="宋体" w:hAnsi="宋体"/>
                <w:b/>
              </w:rPr>
            </w:pPr>
          </w:p>
        </w:tc>
        <w:tc>
          <w:tcPr>
            <w:tcW w:w="1481" w:type="dxa"/>
            <w:noWrap w:val="0"/>
            <w:vAlign w:val="center"/>
          </w:tcPr>
          <w:p w14:paraId="1D854F56">
            <w:pPr>
              <w:pStyle w:val="9"/>
              <w:jc w:val="center"/>
              <w:rPr>
                <w:rFonts w:hint="eastAsia" w:ascii="宋体" w:hAnsi="宋体"/>
                <w:b/>
              </w:rPr>
            </w:pPr>
          </w:p>
        </w:tc>
        <w:tc>
          <w:tcPr>
            <w:tcW w:w="1559" w:type="dxa"/>
            <w:noWrap w:val="0"/>
            <w:vAlign w:val="center"/>
          </w:tcPr>
          <w:p w14:paraId="527D23F9">
            <w:pPr>
              <w:pStyle w:val="9"/>
              <w:jc w:val="center"/>
              <w:rPr>
                <w:rFonts w:hint="eastAsia" w:ascii="宋体" w:hAnsi="宋体"/>
                <w:b/>
              </w:rPr>
            </w:pPr>
          </w:p>
        </w:tc>
      </w:tr>
      <w:tr w14:paraId="25BF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46942806">
            <w:pPr>
              <w:pStyle w:val="9"/>
              <w:rPr>
                <w:rFonts w:hint="eastAsia" w:ascii="宋体" w:hAnsi="宋体"/>
                <w:b/>
              </w:rPr>
            </w:pPr>
          </w:p>
        </w:tc>
        <w:tc>
          <w:tcPr>
            <w:tcW w:w="2061" w:type="dxa"/>
            <w:noWrap w:val="0"/>
            <w:vAlign w:val="top"/>
          </w:tcPr>
          <w:p w14:paraId="53F887ED">
            <w:pPr>
              <w:pStyle w:val="9"/>
              <w:rPr>
                <w:rFonts w:hint="eastAsia" w:ascii="宋体" w:hAnsi="宋体"/>
                <w:b/>
              </w:rPr>
            </w:pPr>
          </w:p>
        </w:tc>
        <w:tc>
          <w:tcPr>
            <w:tcW w:w="1317" w:type="dxa"/>
            <w:noWrap w:val="0"/>
            <w:vAlign w:val="top"/>
          </w:tcPr>
          <w:p w14:paraId="07F90DE1">
            <w:pPr>
              <w:pStyle w:val="9"/>
              <w:rPr>
                <w:rFonts w:hint="eastAsia" w:ascii="宋体" w:hAnsi="宋体"/>
                <w:b/>
              </w:rPr>
            </w:pPr>
          </w:p>
        </w:tc>
        <w:tc>
          <w:tcPr>
            <w:tcW w:w="775" w:type="dxa"/>
            <w:noWrap w:val="0"/>
            <w:vAlign w:val="top"/>
          </w:tcPr>
          <w:p w14:paraId="51A6585C">
            <w:pPr>
              <w:pStyle w:val="9"/>
              <w:rPr>
                <w:rFonts w:hint="eastAsia" w:ascii="宋体" w:hAnsi="宋体"/>
                <w:b/>
              </w:rPr>
            </w:pPr>
          </w:p>
        </w:tc>
        <w:tc>
          <w:tcPr>
            <w:tcW w:w="1281" w:type="dxa"/>
            <w:noWrap w:val="0"/>
            <w:vAlign w:val="top"/>
          </w:tcPr>
          <w:p w14:paraId="505B5E7E">
            <w:pPr>
              <w:pStyle w:val="9"/>
              <w:rPr>
                <w:rFonts w:hint="eastAsia" w:ascii="宋体" w:hAnsi="宋体"/>
                <w:b/>
              </w:rPr>
            </w:pPr>
          </w:p>
        </w:tc>
        <w:tc>
          <w:tcPr>
            <w:tcW w:w="1481" w:type="dxa"/>
            <w:noWrap w:val="0"/>
            <w:vAlign w:val="top"/>
          </w:tcPr>
          <w:p w14:paraId="4E7F752C">
            <w:pPr>
              <w:pStyle w:val="9"/>
              <w:rPr>
                <w:rFonts w:hint="eastAsia" w:ascii="宋体" w:hAnsi="宋体"/>
                <w:b/>
              </w:rPr>
            </w:pPr>
          </w:p>
        </w:tc>
        <w:tc>
          <w:tcPr>
            <w:tcW w:w="1559" w:type="dxa"/>
            <w:noWrap w:val="0"/>
            <w:vAlign w:val="top"/>
          </w:tcPr>
          <w:p w14:paraId="65FE7C4D">
            <w:pPr>
              <w:pStyle w:val="9"/>
              <w:rPr>
                <w:rFonts w:hint="eastAsia" w:ascii="宋体" w:hAnsi="宋体"/>
                <w:b/>
              </w:rPr>
            </w:pPr>
          </w:p>
        </w:tc>
      </w:tr>
      <w:tr w14:paraId="1632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662F88D6">
            <w:pPr>
              <w:pStyle w:val="9"/>
              <w:rPr>
                <w:rFonts w:hint="eastAsia" w:ascii="宋体" w:hAnsi="宋体"/>
                <w:b/>
              </w:rPr>
            </w:pPr>
          </w:p>
        </w:tc>
        <w:tc>
          <w:tcPr>
            <w:tcW w:w="2061" w:type="dxa"/>
            <w:noWrap w:val="0"/>
            <w:vAlign w:val="top"/>
          </w:tcPr>
          <w:p w14:paraId="0DE48189">
            <w:pPr>
              <w:pStyle w:val="9"/>
              <w:rPr>
                <w:rFonts w:hint="eastAsia" w:ascii="宋体" w:hAnsi="宋体"/>
                <w:b/>
              </w:rPr>
            </w:pPr>
          </w:p>
        </w:tc>
        <w:tc>
          <w:tcPr>
            <w:tcW w:w="1317" w:type="dxa"/>
            <w:noWrap w:val="0"/>
            <w:vAlign w:val="top"/>
          </w:tcPr>
          <w:p w14:paraId="14700D33">
            <w:pPr>
              <w:pStyle w:val="9"/>
              <w:rPr>
                <w:rFonts w:hint="eastAsia" w:ascii="宋体" w:hAnsi="宋体"/>
                <w:b/>
              </w:rPr>
            </w:pPr>
          </w:p>
        </w:tc>
        <w:tc>
          <w:tcPr>
            <w:tcW w:w="775" w:type="dxa"/>
            <w:noWrap w:val="0"/>
            <w:vAlign w:val="top"/>
          </w:tcPr>
          <w:p w14:paraId="3A4AB870">
            <w:pPr>
              <w:pStyle w:val="9"/>
              <w:rPr>
                <w:rFonts w:hint="eastAsia" w:ascii="宋体" w:hAnsi="宋体"/>
                <w:b/>
              </w:rPr>
            </w:pPr>
          </w:p>
        </w:tc>
        <w:tc>
          <w:tcPr>
            <w:tcW w:w="1281" w:type="dxa"/>
            <w:noWrap w:val="0"/>
            <w:vAlign w:val="top"/>
          </w:tcPr>
          <w:p w14:paraId="51971A0E">
            <w:pPr>
              <w:pStyle w:val="9"/>
              <w:rPr>
                <w:rFonts w:hint="eastAsia" w:ascii="宋体" w:hAnsi="宋体"/>
                <w:b/>
              </w:rPr>
            </w:pPr>
          </w:p>
        </w:tc>
        <w:tc>
          <w:tcPr>
            <w:tcW w:w="1481" w:type="dxa"/>
            <w:noWrap w:val="0"/>
            <w:vAlign w:val="top"/>
          </w:tcPr>
          <w:p w14:paraId="7C00BD9C">
            <w:pPr>
              <w:pStyle w:val="9"/>
              <w:rPr>
                <w:rFonts w:hint="eastAsia" w:ascii="宋体" w:hAnsi="宋体"/>
                <w:b/>
              </w:rPr>
            </w:pPr>
          </w:p>
        </w:tc>
        <w:tc>
          <w:tcPr>
            <w:tcW w:w="1559" w:type="dxa"/>
            <w:noWrap w:val="0"/>
            <w:vAlign w:val="top"/>
          </w:tcPr>
          <w:p w14:paraId="517DBF58">
            <w:pPr>
              <w:pStyle w:val="9"/>
              <w:rPr>
                <w:rFonts w:hint="eastAsia" w:ascii="宋体" w:hAnsi="宋体"/>
                <w:b/>
              </w:rPr>
            </w:pPr>
          </w:p>
        </w:tc>
      </w:tr>
      <w:tr w14:paraId="5778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567B18EB">
            <w:pPr>
              <w:pStyle w:val="9"/>
              <w:rPr>
                <w:rFonts w:hint="eastAsia" w:ascii="宋体" w:hAnsi="宋体"/>
                <w:b/>
              </w:rPr>
            </w:pPr>
          </w:p>
        </w:tc>
        <w:tc>
          <w:tcPr>
            <w:tcW w:w="2061" w:type="dxa"/>
            <w:noWrap w:val="0"/>
            <w:vAlign w:val="top"/>
          </w:tcPr>
          <w:p w14:paraId="75673CA3">
            <w:pPr>
              <w:pStyle w:val="9"/>
              <w:rPr>
                <w:rFonts w:hint="eastAsia" w:ascii="宋体" w:hAnsi="宋体"/>
                <w:b/>
              </w:rPr>
            </w:pPr>
          </w:p>
        </w:tc>
        <w:tc>
          <w:tcPr>
            <w:tcW w:w="1317" w:type="dxa"/>
            <w:noWrap w:val="0"/>
            <w:vAlign w:val="top"/>
          </w:tcPr>
          <w:p w14:paraId="0F882B55">
            <w:pPr>
              <w:pStyle w:val="9"/>
              <w:rPr>
                <w:rFonts w:hint="eastAsia" w:ascii="宋体" w:hAnsi="宋体"/>
                <w:b/>
              </w:rPr>
            </w:pPr>
          </w:p>
        </w:tc>
        <w:tc>
          <w:tcPr>
            <w:tcW w:w="775" w:type="dxa"/>
            <w:noWrap w:val="0"/>
            <w:vAlign w:val="top"/>
          </w:tcPr>
          <w:p w14:paraId="723CE47C">
            <w:pPr>
              <w:pStyle w:val="9"/>
              <w:rPr>
                <w:rFonts w:hint="eastAsia" w:ascii="宋体" w:hAnsi="宋体"/>
                <w:b/>
              </w:rPr>
            </w:pPr>
          </w:p>
        </w:tc>
        <w:tc>
          <w:tcPr>
            <w:tcW w:w="1281" w:type="dxa"/>
            <w:noWrap w:val="0"/>
            <w:vAlign w:val="top"/>
          </w:tcPr>
          <w:p w14:paraId="4368B6EC">
            <w:pPr>
              <w:pStyle w:val="9"/>
              <w:rPr>
                <w:rFonts w:hint="eastAsia" w:ascii="宋体" w:hAnsi="宋体"/>
                <w:b/>
              </w:rPr>
            </w:pPr>
          </w:p>
        </w:tc>
        <w:tc>
          <w:tcPr>
            <w:tcW w:w="1481" w:type="dxa"/>
            <w:noWrap w:val="0"/>
            <w:vAlign w:val="top"/>
          </w:tcPr>
          <w:p w14:paraId="0876A6EE">
            <w:pPr>
              <w:pStyle w:val="9"/>
              <w:rPr>
                <w:rFonts w:hint="eastAsia" w:ascii="宋体" w:hAnsi="宋体"/>
                <w:b/>
              </w:rPr>
            </w:pPr>
          </w:p>
        </w:tc>
        <w:tc>
          <w:tcPr>
            <w:tcW w:w="1559" w:type="dxa"/>
            <w:noWrap w:val="0"/>
            <w:vAlign w:val="top"/>
          </w:tcPr>
          <w:p w14:paraId="28D0C8FC">
            <w:pPr>
              <w:pStyle w:val="9"/>
              <w:rPr>
                <w:rFonts w:hint="eastAsia" w:ascii="宋体" w:hAnsi="宋体"/>
                <w:b/>
              </w:rPr>
            </w:pPr>
          </w:p>
        </w:tc>
      </w:tr>
      <w:tr w14:paraId="2752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15BBCABA">
            <w:pPr>
              <w:pStyle w:val="9"/>
              <w:rPr>
                <w:rFonts w:hint="eastAsia" w:ascii="宋体" w:hAnsi="宋体"/>
                <w:b/>
              </w:rPr>
            </w:pPr>
          </w:p>
        </w:tc>
        <w:tc>
          <w:tcPr>
            <w:tcW w:w="2061" w:type="dxa"/>
            <w:noWrap w:val="0"/>
            <w:vAlign w:val="top"/>
          </w:tcPr>
          <w:p w14:paraId="6D998A26">
            <w:pPr>
              <w:pStyle w:val="9"/>
              <w:rPr>
                <w:rFonts w:hint="eastAsia" w:ascii="宋体" w:hAnsi="宋体"/>
                <w:b/>
              </w:rPr>
            </w:pPr>
          </w:p>
        </w:tc>
        <w:tc>
          <w:tcPr>
            <w:tcW w:w="1317" w:type="dxa"/>
            <w:noWrap w:val="0"/>
            <w:vAlign w:val="top"/>
          </w:tcPr>
          <w:p w14:paraId="002BE93F">
            <w:pPr>
              <w:pStyle w:val="9"/>
              <w:rPr>
                <w:rFonts w:hint="eastAsia" w:ascii="宋体" w:hAnsi="宋体"/>
                <w:b/>
              </w:rPr>
            </w:pPr>
          </w:p>
        </w:tc>
        <w:tc>
          <w:tcPr>
            <w:tcW w:w="775" w:type="dxa"/>
            <w:noWrap w:val="0"/>
            <w:vAlign w:val="top"/>
          </w:tcPr>
          <w:p w14:paraId="6112F5D4">
            <w:pPr>
              <w:pStyle w:val="9"/>
              <w:rPr>
                <w:rFonts w:hint="eastAsia" w:ascii="宋体" w:hAnsi="宋体"/>
                <w:b/>
              </w:rPr>
            </w:pPr>
          </w:p>
        </w:tc>
        <w:tc>
          <w:tcPr>
            <w:tcW w:w="1281" w:type="dxa"/>
            <w:noWrap w:val="0"/>
            <w:vAlign w:val="top"/>
          </w:tcPr>
          <w:p w14:paraId="1CC04562">
            <w:pPr>
              <w:pStyle w:val="9"/>
              <w:rPr>
                <w:rFonts w:hint="eastAsia" w:ascii="宋体" w:hAnsi="宋体"/>
                <w:b/>
              </w:rPr>
            </w:pPr>
          </w:p>
        </w:tc>
        <w:tc>
          <w:tcPr>
            <w:tcW w:w="1481" w:type="dxa"/>
            <w:noWrap w:val="0"/>
            <w:vAlign w:val="top"/>
          </w:tcPr>
          <w:p w14:paraId="0D28B6C2">
            <w:pPr>
              <w:pStyle w:val="9"/>
              <w:rPr>
                <w:rFonts w:hint="eastAsia" w:ascii="宋体" w:hAnsi="宋体"/>
                <w:b/>
              </w:rPr>
            </w:pPr>
          </w:p>
        </w:tc>
        <w:tc>
          <w:tcPr>
            <w:tcW w:w="1559" w:type="dxa"/>
            <w:noWrap w:val="0"/>
            <w:vAlign w:val="top"/>
          </w:tcPr>
          <w:p w14:paraId="14C595C7">
            <w:pPr>
              <w:pStyle w:val="9"/>
              <w:rPr>
                <w:rFonts w:hint="eastAsia" w:ascii="宋体" w:hAnsi="宋体"/>
                <w:b/>
              </w:rPr>
            </w:pPr>
          </w:p>
        </w:tc>
      </w:tr>
      <w:tr w14:paraId="3DAF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0A954C00">
            <w:pPr>
              <w:pStyle w:val="9"/>
              <w:rPr>
                <w:rFonts w:hint="eastAsia" w:ascii="宋体" w:hAnsi="宋体"/>
                <w:b/>
              </w:rPr>
            </w:pPr>
          </w:p>
        </w:tc>
        <w:tc>
          <w:tcPr>
            <w:tcW w:w="2061" w:type="dxa"/>
            <w:noWrap w:val="0"/>
            <w:vAlign w:val="top"/>
          </w:tcPr>
          <w:p w14:paraId="22850DC5">
            <w:pPr>
              <w:pStyle w:val="9"/>
              <w:rPr>
                <w:rFonts w:hint="eastAsia" w:ascii="宋体" w:hAnsi="宋体"/>
                <w:b/>
              </w:rPr>
            </w:pPr>
          </w:p>
        </w:tc>
        <w:tc>
          <w:tcPr>
            <w:tcW w:w="1317" w:type="dxa"/>
            <w:noWrap w:val="0"/>
            <w:vAlign w:val="top"/>
          </w:tcPr>
          <w:p w14:paraId="7B5CB233">
            <w:pPr>
              <w:pStyle w:val="9"/>
              <w:rPr>
                <w:rFonts w:hint="eastAsia" w:ascii="宋体" w:hAnsi="宋体"/>
                <w:b/>
              </w:rPr>
            </w:pPr>
          </w:p>
        </w:tc>
        <w:tc>
          <w:tcPr>
            <w:tcW w:w="775" w:type="dxa"/>
            <w:noWrap w:val="0"/>
            <w:vAlign w:val="top"/>
          </w:tcPr>
          <w:p w14:paraId="41F2B195">
            <w:pPr>
              <w:pStyle w:val="9"/>
              <w:rPr>
                <w:rFonts w:hint="eastAsia" w:ascii="宋体" w:hAnsi="宋体"/>
                <w:b/>
              </w:rPr>
            </w:pPr>
          </w:p>
        </w:tc>
        <w:tc>
          <w:tcPr>
            <w:tcW w:w="1281" w:type="dxa"/>
            <w:noWrap w:val="0"/>
            <w:vAlign w:val="top"/>
          </w:tcPr>
          <w:p w14:paraId="363C295E">
            <w:pPr>
              <w:pStyle w:val="9"/>
              <w:rPr>
                <w:rFonts w:hint="eastAsia" w:ascii="宋体" w:hAnsi="宋体"/>
                <w:b/>
              </w:rPr>
            </w:pPr>
          </w:p>
        </w:tc>
        <w:tc>
          <w:tcPr>
            <w:tcW w:w="1481" w:type="dxa"/>
            <w:noWrap w:val="0"/>
            <w:vAlign w:val="top"/>
          </w:tcPr>
          <w:p w14:paraId="18C534D1">
            <w:pPr>
              <w:pStyle w:val="9"/>
              <w:rPr>
                <w:rFonts w:hint="eastAsia" w:ascii="宋体" w:hAnsi="宋体"/>
                <w:b/>
              </w:rPr>
            </w:pPr>
          </w:p>
        </w:tc>
        <w:tc>
          <w:tcPr>
            <w:tcW w:w="1559" w:type="dxa"/>
            <w:noWrap w:val="0"/>
            <w:vAlign w:val="top"/>
          </w:tcPr>
          <w:p w14:paraId="3A29E51A">
            <w:pPr>
              <w:pStyle w:val="9"/>
              <w:rPr>
                <w:rFonts w:hint="eastAsia" w:ascii="宋体" w:hAnsi="宋体"/>
                <w:b/>
              </w:rPr>
            </w:pPr>
          </w:p>
        </w:tc>
      </w:tr>
      <w:tr w14:paraId="0976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265371AB">
            <w:pPr>
              <w:pStyle w:val="9"/>
              <w:rPr>
                <w:rFonts w:hint="eastAsia" w:ascii="宋体" w:hAnsi="宋体"/>
                <w:b/>
              </w:rPr>
            </w:pPr>
          </w:p>
        </w:tc>
        <w:tc>
          <w:tcPr>
            <w:tcW w:w="2061" w:type="dxa"/>
            <w:noWrap w:val="0"/>
            <w:vAlign w:val="top"/>
          </w:tcPr>
          <w:p w14:paraId="7BCC96CE">
            <w:pPr>
              <w:pStyle w:val="9"/>
              <w:rPr>
                <w:rFonts w:hint="eastAsia" w:ascii="宋体" w:hAnsi="宋体"/>
                <w:b/>
              </w:rPr>
            </w:pPr>
          </w:p>
        </w:tc>
        <w:tc>
          <w:tcPr>
            <w:tcW w:w="1317" w:type="dxa"/>
            <w:noWrap w:val="0"/>
            <w:vAlign w:val="top"/>
          </w:tcPr>
          <w:p w14:paraId="79AE201E">
            <w:pPr>
              <w:pStyle w:val="9"/>
              <w:rPr>
                <w:rFonts w:hint="eastAsia" w:ascii="宋体" w:hAnsi="宋体"/>
                <w:b/>
              </w:rPr>
            </w:pPr>
          </w:p>
        </w:tc>
        <w:tc>
          <w:tcPr>
            <w:tcW w:w="775" w:type="dxa"/>
            <w:noWrap w:val="0"/>
            <w:vAlign w:val="top"/>
          </w:tcPr>
          <w:p w14:paraId="496FBCB6">
            <w:pPr>
              <w:pStyle w:val="9"/>
              <w:rPr>
                <w:rFonts w:hint="eastAsia" w:ascii="宋体" w:hAnsi="宋体"/>
                <w:b/>
              </w:rPr>
            </w:pPr>
          </w:p>
        </w:tc>
        <w:tc>
          <w:tcPr>
            <w:tcW w:w="1281" w:type="dxa"/>
            <w:noWrap w:val="0"/>
            <w:vAlign w:val="top"/>
          </w:tcPr>
          <w:p w14:paraId="27F9E297">
            <w:pPr>
              <w:pStyle w:val="9"/>
              <w:rPr>
                <w:rFonts w:hint="eastAsia" w:ascii="宋体" w:hAnsi="宋体"/>
                <w:b/>
              </w:rPr>
            </w:pPr>
          </w:p>
        </w:tc>
        <w:tc>
          <w:tcPr>
            <w:tcW w:w="1481" w:type="dxa"/>
            <w:noWrap w:val="0"/>
            <w:vAlign w:val="top"/>
          </w:tcPr>
          <w:p w14:paraId="3E4E9BDB">
            <w:pPr>
              <w:pStyle w:val="9"/>
              <w:rPr>
                <w:rFonts w:hint="eastAsia" w:ascii="宋体" w:hAnsi="宋体"/>
                <w:b/>
              </w:rPr>
            </w:pPr>
          </w:p>
        </w:tc>
        <w:tc>
          <w:tcPr>
            <w:tcW w:w="1559" w:type="dxa"/>
            <w:noWrap w:val="0"/>
            <w:vAlign w:val="top"/>
          </w:tcPr>
          <w:p w14:paraId="734D63CE">
            <w:pPr>
              <w:pStyle w:val="9"/>
              <w:rPr>
                <w:rFonts w:hint="eastAsia" w:ascii="宋体" w:hAnsi="宋体"/>
                <w:b/>
              </w:rPr>
            </w:pPr>
          </w:p>
        </w:tc>
      </w:tr>
    </w:tbl>
    <w:p w14:paraId="70E2D8A7">
      <w:pPr>
        <w:spacing w:line="0" w:lineRule="atLeast"/>
        <w:rPr>
          <w:rFonts w:hint="eastAsia" w:ascii="宋体" w:hAnsi="宋体"/>
          <w:sz w:val="24"/>
        </w:rPr>
      </w:pPr>
    </w:p>
    <w:p w14:paraId="1DB3F53F">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提供三年国内同类产品的制造销售业绩（用户名单、联系方式）</w:t>
      </w:r>
      <w:r>
        <w:rPr>
          <w:rFonts w:hint="eastAsia" w:ascii="宋体" w:hAnsi="宋体"/>
          <w:sz w:val="24"/>
        </w:rPr>
        <w:t>。</w:t>
      </w:r>
    </w:p>
    <w:p w14:paraId="1E177F60">
      <w:pPr>
        <w:tabs>
          <w:tab w:val="left" w:pos="1578"/>
          <w:tab w:val="left" w:pos="10083"/>
        </w:tabs>
        <w:spacing w:line="500" w:lineRule="exact"/>
        <w:rPr>
          <w:rFonts w:hint="eastAsia" w:ascii="宋体" w:hAnsi="宋体"/>
          <w:sz w:val="24"/>
        </w:rPr>
      </w:pPr>
    </w:p>
    <w:p w14:paraId="72EF56E0">
      <w:pPr>
        <w:spacing w:line="660" w:lineRule="exact"/>
        <w:rPr>
          <w:rFonts w:hint="eastAsia" w:ascii="宋体" w:hAnsi="宋体"/>
          <w:sz w:val="24"/>
        </w:rPr>
      </w:pPr>
      <w:r>
        <w:rPr>
          <w:rFonts w:hint="eastAsia" w:ascii="宋体" w:hAnsi="宋体"/>
          <w:sz w:val="24"/>
        </w:rPr>
        <w:t>投标人：（盖章）</w:t>
      </w:r>
    </w:p>
    <w:p w14:paraId="33CCF816">
      <w:pPr>
        <w:spacing w:line="660" w:lineRule="exact"/>
        <w:rPr>
          <w:rFonts w:hint="eastAsia" w:ascii="宋体" w:hAnsi="宋体"/>
          <w:sz w:val="24"/>
        </w:rPr>
      </w:pPr>
      <w:r>
        <w:rPr>
          <w:rFonts w:hint="eastAsia" w:ascii="宋体" w:hAnsi="宋体"/>
          <w:sz w:val="24"/>
        </w:rPr>
        <w:t>法定代表人（委托代理人）：（签字）</w:t>
      </w:r>
    </w:p>
    <w:p w14:paraId="4836EB9D">
      <w:pPr>
        <w:pStyle w:val="17"/>
        <w:rPr>
          <w:rFonts w:hint="eastAsia"/>
        </w:rPr>
      </w:pPr>
    </w:p>
    <w:p w14:paraId="211B2419">
      <w:pPr>
        <w:pStyle w:val="17"/>
        <w:rPr>
          <w:rFonts w:hint="eastAsia"/>
        </w:rPr>
      </w:pPr>
      <w:r>
        <w:rPr>
          <w:rFonts w:hint="eastAsia"/>
        </w:rPr>
        <w:t>日  期</w:t>
      </w:r>
    </w:p>
    <w:p w14:paraId="2E5F3ADF">
      <w:pPr>
        <w:pStyle w:val="17"/>
        <w:rPr>
          <w:rFonts w:hint="eastAsia"/>
        </w:rPr>
      </w:pPr>
    </w:p>
    <w:p w14:paraId="6C34DD26">
      <w:pPr>
        <w:pStyle w:val="17"/>
        <w:rPr>
          <w:rFonts w:eastAsia="黑体"/>
          <w:sz w:val="28"/>
        </w:rPr>
      </w:pPr>
    </w:p>
    <w:p w14:paraId="15D2EE63">
      <w:pPr>
        <w:pStyle w:val="17"/>
        <w:rPr>
          <w:rFonts w:hint="eastAsia" w:eastAsia="黑体"/>
          <w:sz w:val="28"/>
        </w:rPr>
      </w:pPr>
    </w:p>
    <w:p w14:paraId="02FD3B59">
      <w:pPr>
        <w:pStyle w:val="17"/>
        <w:rPr>
          <w:rFonts w:eastAsia="黑体"/>
          <w:sz w:val="28"/>
        </w:rPr>
      </w:pPr>
    </w:p>
    <w:p w14:paraId="427ED3BC">
      <w:pPr>
        <w:pStyle w:val="17"/>
        <w:rPr>
          <w:rFonts w:hint="eastAsia"/>
        </w:rPr>
      </w:pPr>
      <w:r>
        <w:rPr>
          <w:rFonts w:hint="eastAsia" w:eastAsia="黑体"/>
          <w:sz w:val="28"/>
        </w:rPr>
        <w:t>格式</w:t>
      </w:r>
      <w:r>
        <w:rPr>
          <w:rFonts w:eastAsia="黑体"/>
          <w:sz w:val="28"/>
        </w:rPr>
        <w:t>7</w:t>
      </w:r>
    </w:p>
    <w:p w14:paraId="1885232D">
      <w:pPr>
        <w:rPr>
          <w:rFonts w:ascii="宋体" w:hAnsi="宋体"/>
          <w:highlight w:val="green"/>
        </w:rPr>
      </w:pPr>
      <w:r>
        <w:rPr>
          <w:rFonts w:hint="eastAsia" w:ascii="宋体" w:hAnsi="宋体"/>
        </w:rPr>
        <w:t>项目名称：</w:t>
      </w:r>
      <w:r>
        <w:rPr>
          <w:rFonts w:hint="eastAsia"/>
          <w:color w:val="000000"/>
          <w:sz w:val="24"/>
          <w:szCs w:val="24"/>
          <w:highlight w:val="green"/>
        </w:rPr>
        <w:t>点固后盖桥壳装焊夹具</w:t>
      </w:r>
    </w:p>
    <w:p w14:paraId="37DA7199">
      <w:pPr>
        <w:spacing w:line="360" w:lineRule="auto"/>
        <w:ind w:left="885" w:leftChars="-6" w:hanging="898" w:hangingChars="428"/>
        <w:rPr>
          <w:rFonts w:ascii="宋体" w:hAnsi="宋体"/>
          <w:szCs w:val="21"/>
        </w:rPr>
      </w:pPr>
      <w:r>
        <w:rPr>
          <w:rFonts w:hint="eastAsia" w:ascii="宋体" w:hAnsi="宋体"/>
          <w:szCs w:val="21"/>
        </w:rPr>
        <w:t>日期：  年   月   日</w:t>
      </w:r>
    </w:p>
    <w:p w14:paraId="4DCADB08">
      <w:pPr>
        <w:jc w:val="center"/>
        <w:rPr>
          <w:rFonts w:eastAsia="黑体"/>
          <w:b/>
          <w:bCs/>
          <w:sz w:val="28"/>
        </w:rPr>
      </w:pPr>
      <w:r>
        <w:rPr>
          <w:rFonts w:hint="eastAsia" w:eastAsia="黑体"/>
          <w:b/>
          <w:bCs/>
          <w:sz w:val="28"/>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7F1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589883D">
            <w:pPr>
              <w:spacing w:line="360" w:lineRule="auto"/>
              <w:rPr>
                <w:rFonts w:ascii="宋体" w:hAnsi="Courier New"/>
              </w:rPr>
            </w:pPr>
            <w:r>
              <w:rPr>
                <w:rFonts w:hint="eastAsia" w:ascii="宋体" w:hAnsi="Courier New"/>
              </w:rPr>
              <w:t>投标人单位名称：</w:t>
            </w:r>
          </w:p>
        </w:tc>
      </w:tr>
      <w:tr w14:paraId="5EB3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43AF8F7">
            <w:pPr>
              <w:spacing w:line="360" w:lineRule="auto"/>
              <w:rPr>
                <w:rFonts w:ascii="宋体" w:hAnsi="Courier New"/>
              </w:rPr>
            </w:pPr>
            <w:r>
              <w:rPr>
                <w:rFonts w:hint="eastAsia" w:ascii="宋体" w:hAnsi="宋体" w:cs="宋体"/>
              </w:rPr>
              <w:t>开户银行：</w:t>
            </w:r>
          </w:p>
        </w:tc>
      </w:tr>
      <w:tr w14:paraId="191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D8D2EA8">
            <w:pPr>
              <w:spacing w:line="360" w:lineRule="auto"/>
              <w:rPr>
                <w:rFonts w:ascii="宋体" w:hAnsi="Courier New"/>
              </w:rPr>
            </w:pPr>
            <w:r>
              <w:rPr>
                <w:rFonts w:hint="eastAsia" w:ascii="宋体" w:hAnsi="宋体" w:cs="宋体"/>
              </w:rPr>
              <w:t>户名：</w:t>
            </w:r>
          </w:p>
        </w:tc>
      </w:tr>
      <w:tr w14:paraId="1D93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0EB2DAD6">
            <w:pPr>
              <w:spacing w:line="360" w:lineRule="auto"/>
              <w:rPr>
                <w:rFonts w:ascii="宋体" w:hAnsi="Courier New"/>
              </w:rPr>
            </w:pPr>
            <w:r>
              <w:rPr>
                <w:rFonts w:hint="eastAsia" w:ascii="宋体" w:hAnsi="宋体" w:cs="宋体"/>
              </w:rPr>
              <w:t>账号：</w:t>
            </w:r>
          </w:p>
        </w:tc>
      </w:tr>
      <w:tr w14:paraId="3996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EF23081">
            <w:pPr>
              <w:spacing w:line="360" w:lineRule="auto"/>
              <w:rPr>
                <w:rFonts w:ascii="宋体" w:hAnsi="Courier New"/>
              </w:rPr>
            </w:pPr>
            <w:r>
              <w:rPr>
                <w:rFonts w:hint="eastAsia" w:ascii="宋体" w:hAnsi="Courier New"/>
              </w:rPr>
              <w:t>纳税人识别号：</w:t>
            </w:r>
          </w:p>
        </w:tc>
      </w:tr>
    </w:tbl>
    <w:p w14:paraId="6E5DA25D">
      <w:pPr>
        <w:spacing w:line="360" w:lineRule="auto"/>
        <w:ind w:firstLine="240" w:firstLineChars="100"/>
        <w:rPr>
          <w:rFonts w:ascii="仿宋_GB2312" w:hAnsi="宋体" w:eastAsia="仿宋_GB2312"/>
          <w:color w:val="000000"/>
          <w:sz w:val="24"/>
        </w:rPr>
      </w:pPr>
    </w:p>
    <w:p w14:paraId="230ECDF2">
      <w:pPr>
        <w:spacing w:line="360" w:lineRule="auto"/>
        <w:ind w:firstLine="240" w:firstLineChars="100"/>
        <w:rPr>
          <w:rFonts w:ascii="宋体" w:hAnsi="宋体"/>
          <w:b/>
          <w:sz w:val="24"/>
          <w:szCs w:val="24"/>
        </w:rPr>
      </w:pPr>
      <w:r>
        <w:rPr>
          <w:rFonts w:hint="eastAsia" w:ascii="仿宋_GB2312" w:hAnsi="宋体" w:eastAsia="仿宋_GB2312"/>
          <w:color w:val="000000"/>
          <w:sz w:val="24"/>
        </w:rPr>
        <w:t>投标人名称（盖章）：              法定代表人或授权代表签字：</w:t>
      </w:r>
    </w:p>
    <w:p w14:paraId="2629D58D">
      <w:pPr>
        <w:pStyle w:val="17"/>
        <w:rPr>
          <w:rFonts w:hint="eastAsia"/>
        </w:rPr>
      </w:pPr>
    </w:p>
    <w:p w14:paraId="4A35165A">
      <w:pPr>
        <w:pStyle w:val="17"/>
        <w:rPr>
          <w:rFonts w:hint="eastAsia"/>
        </w:rPr>
      </w:pPr>
    </w:p>
    <w:p w14:paraId="60CE5556">
      <w:pPr>
        <w:pStyle w:val="17"/>
        <w:rPr>
          <w:rFonts w:hint="eastAsia"/>
        </w:rPr>
      </w:pPr>
    </w:p>
    <w:p w14:paraId="6E5CCB1C">
      <w:pPr>
        <w:pStyle w:val="17"/>
        <w:rPr>
          <w:rFonts w:hint="eastAsia"/>
        </w:rPr>
      </w:pPr>
    </w:p>
    <w:p w14:paraId="56D603C4">
      <w:pPr>
        <w:pStyle w:val="17"/>
        <w:rPr>
          <w:rFonts w:hint="eastAsia"/>
        </w:rPr>
      </w:pPr>
    </w:p>
    <w:p w14:paraId="68C7F72E">
      <w:pPr>
        <w:pStyle w:val="17"/>
      </w:pPr>
    </w:p>
    <w:p w14:paraId="21FE3BAF">
      <w:pPr>
        <w:pStyle w:val="17"/>
      </w:pPr>
    </w:p>
    <w:p w14:paraId="5CF4C2C6">
      <w:pPr>
        <w:pStyle w:val="17"/>
      </w:pPr>
    </w:p>
    <w:p w14:paraId="38F4A91D">
      <w:pPr>
        <w:pStyle w:val="17"/>
      </w:pPr>
    </w:p>
    <w:p w14:paraId="57C8825E">
      <w:pPr>
        <w:pStyle w:val="17"/>
      </w:pPr>
    </w:p>
    <w:p w14:paraId="01153280">
      <w:pPr>
        <w:pStyle w:val="17"/>
      </w:pPr>
    </w:p>
    <w:p w14:paraId="1B2AFDF9">
      <w:pPr>
        <w:pStyle w:val="17"/>
      </w:pPr>
    </w:p>
    <w:p w14:paraId="17B2F1D3">
      <w:pPr>
        <w:pStyle w:val="17"/>
      </w:pPr>
    </w:p>
    <w:p w14:paraId="1EDB8C79">
      <w:pPr>
        <w:pStyle w:val="17"/>
      </w:pPr>
    </w:p>
    <w:p w14:paraId="751AB595">
      <w:pPr>
        <w:pStyle w:val="17"/>
      </w:pPr>
    </w:p>
    <w:p w14:paraId="2BAA2E39">
      <w:pPr>
        <w:pStyle w:val="17"/>
      </w:pPr>
    </w:p>
    <w:p w14:paraId="070BA4D9">
      <w:pPr>
        <w:pStyle w:val="17"/>
      </w:pPr>
    </w:p>
    <w:p w14:paraId="4DB8A9C6">
      <w:pPr>
        <w:pStyle w:val="17"/>
      </w:pPr>
    </w:p>
    <w:p w14:paraId="77DA74E2">
      <w:pPr>
        <w:pStyle w:val="17"/>
      </w:pPr>
    </w:p>
    <w:p w14:paraId="101D3E8A">
      <w:pPr>
        <w:pStyle w:val="17"/>
      </w:pPr>
    </w:p>
    <w:p w14:paraId="410557B6">
      <w:pPr>
        <w:pStyle w:val="17"/>
      </w:pPr>
    </w:p>
    <w:p w14:paraId="55C23F3B">
      <w:pPr>
        <w:pStyle w:val="17"/>
      </w:pPr>
    </w:p>
    <w:p w14:paraId="0E115C73">
      <w:pPr>
        <w:pStyle w:val="17"/>
      </w:pPr>
    </w:p>
    <w:p w14:paraId="11646585">
      <w:pPr>
        <w:pStyle w:val="17"/>
      </w:pPr>
    </w:p>
    <w:p w14:paraId="4C0DA17D">
      <w:pPr>
        <w:pStyle w:val="17"/>
      </w:pPr>
    </w:p>
    <w:p w14:paraId="571F95F1">
      <w:pPr>
        <w:pStyle w:val="17"/>
      </w:pPr>
    </w:p>
    <w:p w14:paraId="0F21FCCC">
      <w:pPr>
        <w:pStyle w:val="17"/>
        <w:rPr>
          <w:rFonts w:hint="eastAsia"/>
        </w:rPr>
      </w:pPr>
      <w:r>
        <w:rPr>
          <w:rFonts w:hint="eastAsia" w:ascii="宋体" w:hAnsi="宋体" w:cs="宋体"/>
          <w:sz w:val="28"/>
          <w:szCs w:val="28"/>
        </w:rPr>
        <w:t xml:space="preserve">  </w:t>
      </w:r>
      <w:r>
        <w:rPr>
          <w:rFonts w:hint="eastAsia" w:ascii="黑体" w:eastAsia="黑体"/>
          <w:b/>
          <w:bCs/>
          <w:sz w:val="36"/>
          <w:szCs w:val="36"/>
        </w:rPr>
        <w:t xml:space="preserve">第二章 </w:t>
      </w:r>
    </w:p>
    <w:p w14:paraId="103EEE2A">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639FF9C9">
      <w:pPr>
        <w:adjustRightInd w:val="0"/>
        <w:snapToGrid w:val="0"/>
        <w:spacing w:line="360" w:lineRule="auto"/>
        <w:jc w:val="left"/>
        <w:rPr>
          <w:rFonts w:ascii="宋体" w:hAnsi="宋体"/>
          <w:sz w:val="20"/>
        </w:rPr>
      </w:pPr>
    </w:p>
    <w:p w14:paraId="47ED1EC1">
      <w:pPr>
        <w:adjustRightInd w:val="0"/>
        <w:snapToGrid w:val="0"/>
        <w:spacing w:line="360" w:lineRule="auto"/>
        <w:jc w:val="left"/>
        <w:rPr>
          <w:rFonts w:ascii="宋体" w:hAnsi="宋体"/>
          <w:sz w:val="20"/>
        </w:rPr>
      </w:pPr>
    </w:p>
    <w:p w14:paraId="771D3C73">
      <w:pPr>
        <w:adjustRightInd w:val="0"/>
        <w:snapToGrid w:val="0"/>
        <w:spacing w:line="360" w:lineRule="auto"/>
        <w:jc w:val="left"/>
        <w:rPr>
          <w:rFonts w:ascii="宋体" w:hAnsi="宋体"/>
          <w:sz w:val="20"/>
        </w:rPr>
      </w:pPr>
    </w:p>
    <w:p w14:paraId="5BA900F3">
      <w:pPr>
        <w:adjustRightInd w:val="0"/>
        <w:snapToGrid w:val="0"/>
        <w:spacing w:line="360" w:lineRule="auto"/>
        <w:jc w:val="left"/>
        <w:rPr>
          <w:rFonts w:ascii="宋体" w:hAnsi="宋体"/>
          <w:sz w:val="20"/>
        </w:rPr>
      </w:pPr>
    </w:p>
    <w:p w14:paraId="50C8AC0E">
      <w:pPr>
        <w:adjustRightInd w:val="0"/>
        <w:snapToGrid w:val="0"/>
        <w:spacing w:line="360" w:lineRule="auto"/>
        <w:jc w:val="center"/>
        <w:rPr>
          <w:rFonts w:hint="eastAsia" w:ascii="宋体" w:hAnsi="宋体"/>
          <w:b/>
          <w:sz w:val="52"/>
          <w:szCs w:val="36"/>
        </w:rPr>
      </w:pPr>
      <w:r>
        <w:rPr>
          <w:rFonts w:hint="eastAsia" w:ascii="宋体" w:hAnsi="宋体"/>
          <w:b/>
          <w:bCs/>
          <w:sz w:val="52"/>
          <w:szCs w:val="36"/>
        </w:rPr>
        <w:t>工具工装产品采购协议</w:t>
      </w:r>
    </w:p>
    <w:p w14:paraId="08455DCB">
      <w:pPr>
        <w:adjustRightInd w:val="0"/>
        <w:snapToGrid w:val="0"/>
        <w:spacing w:line="360" w:lineRule="auto"/>
        <w:jc w:val="left"/>
        <w:rPr>
          <w:rFonts w:ascii="宋体" w:hAnsi="宋体"/>
          <w:b/>
          <w:sz w:val="36"/>
          <w:szCs w:val="36"/>
        </w:rPr>
      </w:pPr>
    </w:p>
    <w:p w14:paraId="0CFDD564">
      <w:pPr>
        <w:adjustRightInd w:val="0"/>
        <w:snapToGrid w:val="0"/>
        <w:spacing w:line="360" w:lineRule="auto"/>
        <w:jc w:val="left"/>
        <w:rPr>
          <w:rFonts w:ascii="宋体" w:hAnsi="宋体"/>
          <w:b/>
          <w:sz w:val="36"/>
          <w:szCs w:val="36"/>
        </w:rPr>
      </w:pPr>
    </w:p>
    <w:p w14:paraId="1CB60596">
      <w:pPr>
        <w:adjustRightInd w:val="0"/>
        <w:snapToGrid w:val="0"/>
        <w:spacing w:line="360" w:lineRule="auto"/>
        <w:jc w:val="left"/>
        <w:rPr>
          <w:rFonts w:ascii="宋体" w:hAnsi="宋体"/>
          <w:b/>
          <w:sz w:val="36"/>
          <w:szCs w:val="36"/>
        </w:rPr>
      </w:pPr>
    </w:p>
    <w:p w14:paraId="49BD1112">
      <w:pPr>
        <w:adjustRightInd w:val="0"/>
        <w:snapToGrid w:val="0"/>
        <w:spacing w:line="360" w:lineRule="auto"/>
        <w:jc w:val="left"/>
        <w:rPr>
          <w:rFonts w:ascii="宋体" w:hAnsi="宋体"/>
          <w:b/>
          <w:sz w:val="36"/>
          <w:szCs w:val="36"/>
        </w:rPr>
      </w:pPr>
    </w:p>
    <w:p w14:paraId="099C21D8">
      <w:pPr>
        <w:adjustRightInd w:val="0"/>
        <w:snapToGrid w:val="0"/>
        <w:spacing w:line="360" w:lineRule="auto"/>
        <w:jc w:val="left"/>
        <w:rPr>
          <w:rFonts w:hint="eastAsia" w:ascii="宋体" w:hAnsi="宋体"/>
          <w:b/>
          <w:sz w:val="36"/>
          <w:szCs w:val="36"/>
        </w:rPr>
      </w:pPr>
    </w:p>
    <w:p w14:paraId="4575D3A2">
      <w:pPr>
        <w:adjustRightInd w:val="0"/>
        <w:snapToGrid w:val="0"/>
        <w:spacing w:line="360" w:lineRule="auto"/>
        <w:jc w:val="left"/>
        <w:rPr>
          <w:rFonts w:ascii="宋体" w:hAnsi="宋体"/>
          <w:b/>
          <w:sz w:val="36"/>
          <w:szCs w:val="36"/>
        </w:rPr>
      </w:pPr>
    </w:p>
    <w:p w14:paraId="4B1ADBBD">
      <w:pPr>
        <w:adjustRightInd w:val="0"/>
        <w:snapToGrid w:val="0"/>
        <w:spacing w:line="360" w:lineRule="auto"/>
        <w:jc w:val="left"/>
        <w:rPr>
          <w:rFonts w:ascii="宋体" w:hAnsi="宋体"/>
          <w:b/>
          <w:sz w:val="36"/>
          <w:szCs w:val="36"/>
        </w:rPr>
      </w:pPr>
    </w:p>
    <w:p w14:paraId="754FF81D">
      <w:pPr>
        <w:adjustRightInd w:val="0"/>
        <w:snapToGrid w:val="0"/>
        <w:spacing w:line="360" w:lineRule="auto"/>
        <w:jc w:val="left"/>
        <w:rPr>
          <w:rFonts w:ascii="宋体" w:hAnsi="宋体"/>
          <w:b/>
          <w:sz w:val="36"/>
          <w:szCs w:val="36"/>
        </w:rPr>
      </w:pPr>
    </w:p>
    <w:p w14:paraId="4DDCE927">
      <w:pPr>
        <w:adjustRightInd w:val="0"/>
        <w:snapToGrid w:val="0"/>
        <w:spacing w:line="360" w:lineRule="auto"/>
        <w:jc w:val="left"/>
        <w:rPr>
          <w:rFonts w:ascii="宋体" w:hAnsi="宋体"/>
          <w:b/>
          <w:sz w:val="36"/>
          <w:szCs w:val="36"/>
        </w:rPr>
      </w:pPr>
    </w:p>
    <w:p w14:paraId="2E2AFB73">
      <w:pPr>
        <w:adjustRightInd w:val="0"/>
        <w:snapToGrid w:val="0"/>
        <w:spacing w:line="360" w:lineRule="auto"/>
        <w:ind w:firstLine="2327" w:firstLineChars="828"/>
        <w:jc w:val="left"/>
        <w:rPr>
          <w:rFonts w:ascii="宋体" w:hAnsi="宋体"/>
          <w:b/>
          <w:sz w:val="28"/>
          <w:szCs w:val="36"/>
        </w:rPr>
      </w:pPr>
      <w:r>
        <w:rPr>
          <w:rFonts w:hint="eastAsia" w:ascii="宋体" w:hAnsi="宋体"/>
          <w:b/>
          <w:sz w:val="28"/>
          <w:szCs w:val="36"/>
        </w:rPr>
        <w:t>需  方：</w:t>
      </w:r>
      <w:r>
        <w:rPr>
          <w:rFonts w:hint="eastAsia" w:ascii="宋体" w:hAnsi="宋体"/>
          <w:b/>
          <w:sz w:val="28"/>
          <w:szCs w:val="36"/>
          <w:u w:val="thick"/>
        </w:rPr>
        <w:t xml:space="preserve">重汽（济南）车桥有限公司   </w:t>
      </w:r>
      <w:r>
        <w:rPr>
          <w:rFonts w:ascii="宋体" w:hAnsi="宋体"/>
          <w:b/>
          <w:sz w:val="28"/>
          <w:szCs w:val="36"/>
        </w:rPr>
        <w:t xml:space="preserve">            </w:t>
      </w:r>
    </w:p>
    <w:p w14:paraId="3F14EB87">
      <w:pPr>
        <w:adjustRightInd w:val="0"/>
        <w:snapToGrid w:val="0"/>
        <w:spacing w:line="360" w:lineRule="auto"/>
        <w:ind w:firstLine="2327" w:firstLineChars="828"/>
        <w:jc w:val="left"/>
        <w:rPr>
          <w:rFonts w:ascii="宋体" w:hAnsi="宋体"/>
          <w:b/>
          <w:sz w:val="28"/>
          <w:szCs w:val="36"/>
        </w:rPr>
      </w:pPr>
    </w:p>
    <w:p w14:paraId="11DA7DA2">
      <w:pPr>
        <w:adjustRightInd w:val="0"/>
        <w:snapToGrid w:val="0"/>
        <w:spacing w:line="360" w:lineRule="auto"/>
        <w:ind w:firstLine="2327" w:firstLineChars="828"/>
        <w:jc w:val="left"/>
        <w:rPr>
          <w:rFonts w:ascii="宋体" w:hAnsi="宋体"/>
          <w:b/>
          <w:sz w:val="28"/>
          <w:szCs w:val="36"/>
        </w:rPr>
      </w:pPr>
      <w:r>
        <w:rPr>
          <w:rFonts w:hint="eastAsia" w:ascii="宋体" w:hAnsi="宋体"/>
          <w:b/>
          <w:sz w:val="28"/>
          <w:szCs w:val="36"/>
        </w:rPr>
        <w:t>供  方：</w:t>
      </w:r>
      <w:r>
        <w:rPr>
          <w:rFonts w:ascii="宋体" w:hAnsi="宋体"/>
          <w:b/>
          <w:sz w:val="28"/>
          <w:szCs w:val="36"/>
          <w:u w:val="thick"/>
        </w:rPr>
        <w:t xml:space="preserve"> </w:t>
      </w:r>
      <w:r>
        <w:rPr>
          <w:rFonts w:hint="eastAsia" w:ascii="宋体" w:hAnsi="宋体"/>
          <w:b/>
          <w:sz w:val="28"/>
          <w:szCs w:val="36"/>
          <w:u w:val="thick"/>
        </w:rPr>
        <w:t xml:space="preserve">                          </w:t>
      </w:r>
    </w:p>
    <w:p w14:paraId="08EE2E20">
      <w:pPr>
        <w:spacing w:line="520" w:lineRule="exact"/>
        <w:rPr>
          <w:rFonts w:hint="eastAsia" w:ascii="仿宋" w:hAnsi="仿宋" w:eastAsia="仿宋"/>
          <w:b/>
          <w:sz w:val="30"/>
          <w:szCs w:val="32"/>
        </w:rPr>
      </w:pPr>
    </w:p>
    <w:p w14:paraId="55B9F45D">
      <w:pPr>
        <w:spacing w:line="520" w:lineRule="exact"/>
        <w:jc w:val="center"/>
        <w:rPr>
          <w:rFonts w:hint="eastAsia" w:ascii="仿宋" w:hAnsi="仿宋" w:eastAsia="仿宋"/>
          <w:b/>
          <w:sz w:val="30"/>
          <w:szCs w:val="32"/>
        </w:rPr>
      </w:pPr>
    </w:p>
    <w:p w14:paraId="5348D054">
      <w:pPr>
        <w:adjustRightInd w:val="0"/>
        <w:snapToGrid w:val="0"/>
        <w:spacing w:line="280" w:lineRule="exact"/>
        <w:rPr>
          <w:rFonts w:hint="eastAsia" w:ascii="仿宋" w:hAnsi="仿宋" w:eastAsia="仿宋"/>
          <w:szCs w:val="21"/>
        </w:rPr>
      </w:pPr>
    </w:p>
    <w:p w14:paraId="0A328F3C">
      <w:pPr>
        <w:adjustRightInd w:val="0"/>
        <w:snapToGrid w:val="0"/>
        <w:spacing w:line="280" w:lineRule="exact"/>
        <w:rPr>
          <w:rFonts w:hint="eastAsia" w:ascii="仿宋" w:hAnsi="仿宋" w:eastAsia="仿宋"/>
          <w:szCs w:val="21"/>
        </w:rPr>
      </w:pPr>
    </w:p>
    <w:p w14:paraId="242949FE">
      <w:pPr>
        <w:widowControl/>
        <w:adjustRightInd w:val="0"/>
        <w:snapToGrid w:val="0"/>
        <w:spacing w:line="360" w:lineRule="auto"/>
        <w:jc w:val="left"/>
        <w:rPr>
          <w:rFonts w:hint="eastAsia" w:ascii="宋体" w:hAnsi="宋体" w:cs="宋体"/>
          <w:snapToGrid w:val="0"/>
          <w:kern w:val="0"/>
          <w:sz w:val="22"/>
          <w:szCs w:val="22"/>
        </w:rPr>
        <w:sectPr>
          <w:footerReference r:id="rId5" w:type="first"/>
          <w:headerReference r:id="rId3" w:type="default"/>
          <w:footerReference r:id="rId4" w:type="even"/>
          <w:pgSz w:w="11906" w:h="16838"/>
          <w:pgMar w:top="1440" w:right="799" w:bottom="1440" w:left="799" w:header="851" w:footer="567" w:gutter="0"/>
          <w:cols w:space="720" w:num="1"/>
          <w:docGrid w:type="lines" w:linePitch="312" w:charSpace="0"/>
        </w:sectPr>
      </w:pPr>
    </w:p>
    <w:p w14:paraId="763F2ABA">
      <w:pPr>
        <w:widowControl/>
        <w:adjustRightInd w:val="0"/>
        <w:snapToGrid w:val="0"/>
        <w:spacing w:line="360" w:lineRule="auto"/>
        <w:jc w:val="left"/>
        <w:rPr>
          <w:rFonts w:hint="eastAsia" w:ascii="宋体" w:hAnsi="宋体" w:cs="宋体"/>
          <w:snapToGrid w:val="0"/>
          <w:kern w:val="0"/>
          <w:sz w:val="24"/>
          <w:szCs w:val="24"/>
        </w:rPr>
      </w:pPr>
    </w:p>
    <w:p w14:paraId="71107CAB">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重汽（济南）车桥有限公司</w:t>
      </w:r>
    </w:p>
    <w:p w14:paraId="139E0CE4">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 xml:space="preserve">         </w:t>
      </w:r>
    </w:p>
    <w:p w14:paraId="62755799">
      <w:pPr>
        <w:widowControl/>
        <w:adjustRightInd w:val="0"/>
        <w:snapToGrid w:val="0"/>
        <w:spacing w:line="360" w:lineRule="auto"/>
        <w:jc w:val="left"/>
        <w:rPr>
          <w:rFonts w:hint="eastAsia" w:ascii="宋体" w:hAnsi="宋体" w:cs="宋体"/>
          <w:snapToGrid w:val="0"/>
          <w:kern w:val="0"/>
          <w:sz w:val="24"/>
          <w:szCs w:val="24"/>
        </w:rPr>
      </w:pPr>
    </w:p>
    <w:p w14:paraId="21A56137">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供</w:t>
      </w:r>
      <w:r>
        <w:rPr>
          <w:rFonts w:hint="eastAsia" w:ascii="宋体" w:hAnsi="宋体" w:cs="宋体"/>
          <w:snapToGrid w:val="0"/>
          <w:kern w:val="0"/>
          <w:sz w:val="24"/>
          <w:szCs w:val="24"/>
          <w:lang w:eastAsia="zh-Hans"/>
        </w:rPr>
        <w:t xml:space="preserve">方： </w:t>
      </w:r>
    </w:p>
    <w:p w14:paraId="728F6715">
      <w:pPr>
        <w:tabs>
          <w:tab w:val="left" w:pos="0"/>
        </w:tabs>
        <w:adjustRightInd w:val="0"/>
        <w:snapToGrid w:val="0"/>
        <w:spacing w:line="360" w:lineRule="auto"/>
        <w:rPr>
          <w:rFonts w:hint="eastAsia" w:ascii="宋体" w:hAnsi="宋体" w:cs="宋体"/>
          <w:sz w:val="24"/>
          <w:szCs w:val="24"/>
        </w:rPr>
      </w:pPr>
      <w:r>
        <w:rPr>
          <w:rFonts w:hint="eastAsia" w:ascii="宋体" w:hAnsi="宋体" w:cs="宋体"/>
          <w:snapToGrid w:val="0"/>
          <w:kern w:val="0"/>
          <w:sz w:val="24"/>
          <w:szCs w:val="24"/>
        </w:rPr>
        <w:t xml:space="preserve">       </w:t>
      </w:r>
    </w:p>
    <w:p w14:paraId="0737249C">
      <w:pPr>
        <w:tabs>
          <w:tab w:val="left" w:pos="0"/>
        </w:tabs>
        <w:adjustRightInd w:val="0"/>
        <w:snapToGrid w:val="0"/>
        <w:spacing w:line="360" w:lineRule="auto"/>
        <w:ind w:firstLine="480" w:firstLineChars="200"/>
        <w:rPr>
          <w:rFonts w:hint="eastAsia" w:ascii="宋体" w:hAnsi="宋体" w:cs="宋体"/>
          <w:sz w:val="24"/>
          <w:szCs w:val="24"/>
        </w:rPr>
      </w:pPr>
    </w:p>
    <w:p w14:paraId="0A712B28">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本合同是供需双方于济南市【高新】区签署，所列各项条款已经供需双方协商一致。</w:t>
      </w:r>
    </w:p>
    <w:p w14:paraId="69FEEA59">
      <w:pPr>
        <w:tabs>
          <w:tab w:val="left" w:pos="0"/>
        </w:tabs>
        <w:adjustRightInd w:val="0"/>
        <w:snapToGrid w:val="0"/>
        <w:spacing w:line="360" w:lineRule="auto"/>
        <w:ind w:firstLine="480" w:firstLineChars="200"/>
        <w:rPr>
          <w:rFonts w:hint="eastAsia" w:ascii="宋体" w:hAnsi="宋体" w:cs="宋体"/>
          <w:sz w:val="24"/>
          <w:szCs w:val="24"/>
        </w:rPr>
      </w:pPr>
    </w:p>
    <w:p w14:paraId="09443EB8">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第一条、标的、价格及支付</w:t>
      </w:r>
    </w:p>
    <w:p w14:paraId="7D652031">
      <w:pPr>
        <w:adjustRightInd w:val="0"/>
        <w:snapToGrid w:val="0"/>
        <w:spacing w:line="360" w:lineRule="auto"/>
        <w:ind w:firstLine="2"/>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1.1供货产品名称、编号，详见附件《采购明细清单》</w:t>
      </w:r>
    </w:p>
    <w:p w14:paraId="1B0CF754">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1.1.1</w:t>
      </w:r>
      <w:r>
        <w:rPr>
          <w:rFonts w:hint="eastAsia" w:ascii="宋体" w:hAnsi="宋体" w:cs="宋体"/>
          <w:sz w:val="24"/>
          <w:szCs w:val="24"/>
          <w:highlight w:val="green"/>
        </w:rPr>
        <w:t>合同数量为</w:t>
      </w:r>
      <w:r>
        <w:rPr>
          <w:rFonts w:hint="eastAsia" w:ascii="宋体" w:hAnsi="宋体" w:cs="宋体"/>
          <w:sz w:val="24"/>
          <w:szCs w:val="24"/>
          <w:highlight w:val="green"/>
          <w:lang w:val="en-US" w:eastAsia="zh-CN"/>
        </w:rPr>
        <w:t>1</w:t>
      </w:r>
      <w:r>
        <w:rPr>
          <w:rFonts w:hint="eastAsia" w:ascii="宋体" w:hAnsi="宋体" w:cs="宋体"/>
          <w:color w:val="FF0000"/>
          <w:sz w:val="24"/>
          <w:szCs w:val="24"/>
          <w:highlight w:val="green"/>
        </w:rPr>
        <w:t>件</w:t>
      </w:r>
      <w:r>
        <w:rPr>
          <w:rFonts w:hint="eastAsia" w:ascii="宋体" w:hAnsi="宋体" w:cs="宋体"/>
          <w:sz w:val="24"/>
          <w:szCs w:val="24"/>
          <w:highlight w:val="green"/>
        </w:rPr>
        <w:t>。</w:t>
      </w:r>
    </w:p>
    <w:p w14:paraId="3B21458D">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1.1.2本合同单价是指产品到达需方指定地点的</w:t>
      </w:r>
      <w:r>
        <w:rPr>
          <w:rFonts w:hint="eastAsia" w:ascii="宋体" w:hAnsi="宋体" w:cs="宋体"/>
          <w:sz w:val="24"/>
          <w:szCs w:val="24"/>
        </w:rPr>
        <w:sym w:font="Wingdings" w:char="00A8"/>
      </w:r>
      <w:r>
        <w:rPr>
          <w:rFonts w:hint="eastAsia" w:ascii="宋体" w:hAnsi="宋体" w:cs="宋体"/>
          <w:sz w:val="24"/>
          <w:szCs w:val="24"/>
        </w:rPr>
        <w:t>含税</w:t>
      </w:r>
      <w:r>
        <w:rPr>
          <w:rFonts w:hint="eastAsia" w:ascii="宋体" w:hAnsi="宋体" w:cs="宋体"/>
          <w:sz w:val="24"/>
          <w:szCs w:val="24"/>
        </w:rPr>
        <w:sym w:font="Wingdings" w:char="00FE"/>
      </w:r>
      <w:r>
        <w:rPr>
          <w:rFonts w:hint="eastAsia" w:ascii="宋体" w:hAnsi="宋体" w:cs="宋体"/>
          <w:sz w:val="24"/>
          <w:szCs w:val="24"/>
        </w:rPr>
        <w:t>不含税价格,包括但不限于合同设备、外购、外协、配套件、原材料及设计、生产制造、检验、油漆、包装、随机备品备件、易损件、保险、管理、运杂、安装、调试、培训、配合、刀具、图纸资料及双方约定的交货方式相关费用等全部费用。</w:t>
      </w:r>
    </w:p>
    <w:p w14:paraId="47597102">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1.2本合同含税总价为</w:t>
      </w:r>
      <w:r>
        <w:rPr>
          <w:rFonts w:hint="eastAsia" w:ascii="宋体" w:hAnsi="宋体" w:cs="宋体"/>
          <w:color w:val="FF0000"/>
          <w:sz w:val="24"/>
          <w:szCs w:val="24"/>
        </w:rPr>
        <w:t xml:space="preserve"> 元</w:t>
      </w:r>
      <w:r>
        <w:rPr>
          <w:rFonts w:hint="eastAsia" w:ascii="宋体" w:hAnsi="宋体" w:cs="宋体"/>
          <w:sz w:val="24"/>
          <w:szCs w:val="24"/>
        </w:rPr>
        <w:t xml:space="preserve">，不含税总价为 </w:t>
      </w:r>
      <w:r>
        <w:rPr>
          <w:rFonts w:hint="eastAsia" w:ascii="宋体" w:hAnsi="宋体" w:cs="宋体"/>
          <w:color w:val="FF0000"/>
          <w:sz w:val="24"/>
          <w:szCs w:val="24"/>
        </w:rPr>
        <w:t>元</w:t>
      </w:r>
      <w:r>
        <w:rPr>
          <w:rFonts w:hint="eastAsia" w:ascii="宋体" w:hAnsi="宋体" w:cs="宋体"/>
          <w:sz w:val="24"/>
          <w:szCs w:val="24"/>
        </w:rPr>
        <w:t>，本合同执行【13】%的税率，如国家出台新政策对增值税率进行了调整，则不含税价款不变，本合同含税总价在不含税价基础上根据国家最新税率进行相应的调整。</w:t>
      </w:r>
    </w:p>
    <w:p w14:paraId="71D8FE0A">
      <w:pPr>
        <w:pStyle w:val="18"/>
        <w:tabs>
          <w:tab w:val="left" w:pos="1116"/>
        </w:tabs>
        <w:spacing w:before="4" w:line="360" w:lineRule="auto"/>
        <w:ind w:right="326" w:firstLine="480"/>
        <w:jc w:val="left"/>
        <w:rPr>
          <w:spacing w:val="-1"/>
          <w:sz w:val="24"/>
        </w:rPr>
      </w:pPr>
      <w:r>
        <w:rPr>
          <w:rFonts w:hint="eastAsia" w:ascii="宋体" w:hAnsi="宋体" w:cs="宋体"/>
          <w:sz w:val="24"/>
          <w:szCs w:val="24"/>
        </w:rPr>
        <w:t>1.3、结算方式：</w:t>
      </w:r>
      <w:r>
        <w:rPr>
          <w:rFonts w:hint="eastAsia" w:cs="宋体"/>
          <w:sz w:val="24"/>
          <w:szCs w:val="24"/>
        </w:rPr>
        <w:t>半年期商业汇票（包括银行承兑汇票和商业承兑汇票）</w:t>
      </w:r>
      <w:r>
        <w:rPr>
          <w:spacing w:val="-1"/>
          <w:sz w:val="24"/>
        </w:rPr>
        <w:t>【</w:t>
      </w:r>
      <w:r>
        <w:rPr>
          <w:rFonts w:hint="eastAsia"/>
          <w:spacing w:val="-1"/>
          <w:sz w:val="24"/>
        </w:rPr>
        <w:t>产品全部到货并经需方终验收合格后</w:t>
      </w:r>
      <w:r>
        <w:rPr>
          <w:spacing w:val="-1"/>
          <w:sz w:val="24"/>
        </w:rPr>
        <w:t>，</w:t>
      </w:r>
      <w:r>
        <w:rPr>
          <w:rFonts w:hint="eastAsia"/>
          <w:spacing w:val="-1"/>
          <w:sz w:val="24"/>
        </w:rPr>
        <w:t>供方开具全额增值税专用发票，</w:t>
      </w:r>
      <w:r>
        <w:rPr>
          <w:spacing w:val="-1"/>
          <w:sz w:val="24"/>
        </w:rPr>
        <w:t>供方发票</w:t>
      </w:r>
      <w:r>
        <w:rPr>
          <w:rFonts w:hint="eastAsia"/>
          <w:spacing w:val="-1"/>
          <w:sz w:val="24"/>
        </w:rPr>
        <w:t>经需方审核无误后挂账，</w:t>
      </w:r>
      <w:r>
        <w:rPr>
          <w:spacing w:val="-1"/>
          <w:sz w:val="24"/>
        </w:rPr>
        <w:t>挂账之日起满90日</w:t>
      </w:r>
      <w:r>
        <w:rPr>
          <w:rFonts w:hint="eastAsia"/>
          <w:spacing w:val="-1"/>
          <w:sz w:val="24"/>
        </w:rPr>
        <w:t>后，</w:t>
      </w:r>
      <w:r>
        <w:rPr>
          <w:spacing w:val="-1"/>
          <w:sz w:val="24"/>
        </w:rPr>
        <w:t>支付</w:t>
      </w:r>
      <w:r>
        <w:rPr>
          <w:rFonts w:hint="eastAsia"/>
          <w:spacing w:val="-1"/>
          <w:sz w:val="24"/>
        </w:rPr>
        <w:t>合同总价的90%；合同总价的10%作为本合同的质量保证金；</w:t>
      </w:r>
      <w:r>
        <w:rPr>
          <w:rFonts w:hint="eastAsia" w:ascii="宋体" w:hAnsi="宋体" w:cs="宋体"/>
          <w:sz w:val="24"/>
          <w:szCs w:val="24"/>
        </w:rPr>
        <w:t>质保金单独记账，不列入正常货款支付账目</w:t>
      </w:r>
      <w:r>
        <w:rPr>
          <w:rFonts w:hint="eastAsia" w:cs="宋体"/>
          <w:sz w:val="24"/>
          <w:szCs w:val="24"/>
        </w:rPr>
        <w:t>；</w:t>
      </w:r>
      <w:r>
        <w:rPr>
          <w:rFonts w:hint="eastAsia"/>
          <w:spacing w:val="-1"/>
          <w:sz w:val="24"/>
        </w:rPr>
        <w:t>质量保证金在本合同约定的质量保证期内不计利息，待质量保证期满后，产品无质量问题，乙方向甲方提交相应金额的收据及使用单位的使用情况说明，经甲方依照财务制度审核无误后支付；如有质量问题，质量保证金予以扣除。</w:t>
      </w:r>
    </w:p>
    <w:p w14:paraId="1A941FE1">
      <w:pPr>
        <w:pStyle w:val="18"/>
        <w:tabs>
          <w:tab w:val="left" w:pos="1116"/>
        </w:tabs>
        <w:adjustRightInd w:val="0"/>
        <w:snapToGrid w:val="0"/>
        <w:spacing w:before="4" w:line="360" w:lineRule="auto"/>
        <w:ind w:right="326" w:firstLine="480"/>
        <w:jc w:val="left"/>
        <w:rPr>
          <w:rFonts w:hint="eastAsia" w:ascii="宋体" w:hAnsi="宋体" w:cs="宋体"/>
          <w:sz w:val="24"/>
          <w:szCs w:val="24"/>
        </w:rPr>
      </w:pPr>
      <w:r>
        <w:rPr>
          <w:rFonts w:hint="eastAsia" w:ascii="宋体" w:hAnsi="宋体" w:cs="宋体"/>
          <w:sz w:val="24"/>
          <w:szCs w:val="24"/>
        </w:rPr>
        <w:t>1.4、供方在收到需方发出的索赔费用、考核扣款等通知后3日内应给予书面的答复,否则视为同意。</w:t>
      </w:r>
    </w:p>
    <w:p w14:paraId="2A72E7DF">
      <w:pPr>
        <w:pStyle w:val="18"/>
        <w:tabs>
          <w:tab w:val="left" w:pos="1116"/>
        </w:tabs>
        <w:adjustRightInd w:val="0"/>
        <w:snapToGrid w:val="0"/>
        <w:spacing w:before="4" w:line="360" w:lineRule="auto"/>
        <w:ind w:right="326" w:firstLine="480"/>
        <w:jc w:val="left"/>
        <w:rPr>
          <w:rFonts w:hint="eastAsia" w:ascii="宋体" w:hAnsi="宋体" w:cs="宋体"/>
          <w:sz w:val="24"/>
          <w:szCs w:val="24"/>
        </w:rPr>
      </w:pPr>
      <w:r>
        <w:rPr>
          <w:rFonts w:hint="eastAsia" w:ascii="宋体" w:hAnsi="宋体" w:cs="宋体"/>
          <w:sz w:val="24"/>
          <w:szCs w:val="24"/>
        </w:rPr>
        <w:t>1.5、因发票违规给</w:t>
      </w:r>
      <w:r>
        <w:rPr>
          <w:rFonts w:hint="eastAsia" w:cs="宋体"/>
          <w:sz w:val="24"/>
          <w:szCs w:val="24"/>
        </w:rPr>
        <w:t>需方</w:t>
      </w:r>
      <w:r>
        <w:rPr>
          <w:rFonts w:hint="eastAsia" w:ascii="宋体" w:hAnsi="宋体" w:cs="宋体"/>
          <w:sz w:val="24"/>
          <w:szCs w:val="24"/>
        </w:rPr>
        <w:t>造成的增值税、所得税等损失，由</w:t>
      </w:r>
      <w:r>
        <w:rPr>
          <w:rFonts w:hint="eastAsia" w:cs="宋体"/>
          <w:sz w:val="24"/>
          <w:szCs w:val="24"/>
        </w:rPr>
        <w:t>供方</w:t>
      </w:r>
      <w:r>
        <w:rPr>
          <w:rFonts w:hint="eastAsia" w:ascii="宋体" w:hAnsi="宋体" w:cs="宋体"/>
          <w:sz w:val="24"/>
          <w:szCs w:val="24"/>
        </w:rPr>
        <w:t>承担相关责任，包括但不限于税款、滞纳金、罚款及其他相关损失。</w:t>
      </w:r>
    </w:p>
    <w:p w14:paraId="437806F0">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第二条、采购订单要求</w:t>
      </w:r>
    </w:p>
    <w:p w14:paraId="799957CF">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2.1、合同订单的执行</w:t>
      </w:r>
      <w:r>
        <w:rPr>
          <w:rFonts w:hint="eastAsia" w:ascii="宋体" w:hAnsi="宋体" w:cs="宋体"/>
          <w:sz w:val="24"/>
          <w:szCs w:val="24"/>
        </w:rPr>
        <w:tab/>
      </w:r>
    </w:p>
    <w:p w14:paraId="03720FAC">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2.1.1到货日期：</w:t>
      </w:r>
    </w:p>
    <w:p w14:paraId="095B66A6">
      <w:pPr>
        <w:pStyle w:val="6"/>
        <w:tabs>
          <w:tab w:val="left" w:pos="0"/>
        </w:tabs>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交货地点：</w:t>
      </w:r>
    </w:p>
    <w:p w14:paraId="1B910457">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2.1.2供方就供货意向同需方签订的其他约束性文件（例如：供货保障协议等）同样具备法律效应，供方应严格执行。</w:t>
      </w:r>
    </w:p>
    <w:p w14:paraId="5D19B37A">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2.1.3供方满足需方交货数量、交货地点和交货时间的要求。当供方不能满足需方的交货数量、交货地点和时间要求时，供方接到采购订单2天内以书面形式向需方解释不能执行采购订单的原因，以便于需方及时采取措施。上述情况下，需方按照双方确认的供方实际交付的工具工装产品数量进行结算。需方通过要货通知单要求供方交付但供方未实际供货的工具工装产品，如供方欲事后再次交付，需方有权选择折价接受货物或不再接受供方的供货。</w:t>
      </w:r>
    </w:p>
    <w:p w14:paraId="515D20E5">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2.1.4在合同执行过程中，需方作出采购订单变更时，应以书面的形式，在约定送货时间前通知供方，供方应以变更后的要求交付。</w:t>
      </w:r>
    </w:p>
    <w:p w14:paraId="15317F94">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2.2、工具工装产品包装规定</w:t>
      </w:r>
    </w:p>
    <w:p w14:paraId="65A22BA3">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供方须对其所供工具工装产品的包装质量负责，须保证工具工装产品的品质在运输、装卸与仓储过程中无变化。因包装防护不当造成的工具工装产品品质变化及其它损失，全部由供方承担。</w:t>
      </w:r>
    </w:p>
    <w:p w14:paraId="0A4776C4">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2.3、合同履行地</w:t>
      </w:r>
    </w:p>
    <w:p w14:paraId="064B87F1">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2.3.1本合同履行地为</w:t>
      </w:r>
      <w:r>
        <w:rPr>
          <w:rFonts w:hint="eastAsia" w:ascii="宋体" w:hAnsi="宋体" w:cs="宋体"/>
          <w:sz w:val="24"/>
          <w:szCs w:val="24"/>
          <w:u w:val="single"/>
        </w:rPr>
        <w:t>【济南市高新区】</w:t>
      </w:r>
    </w:p>
    <w:p w14:paraId="5AD8F7D5">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2.3.2供方承担工具工装产品的运输、装卸，工具工装产品在需方相关人员确认签收以前，货物产权属于供方所有，工具工装产品丢失、损毁等所有风险由供方承担。</w:t>
      </w:r>
    </w:p>
    <w:p w14:paraId="71FA58C8">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2.3.3供方所供工具工装产品经需方授权人员确认签收后产权属需方所有，工具工装产品的丢失、损毁等相关责任由需方承担。</w:t>
      </w:r>
    </w:p>
    <w:p w14:paraId="384842DF">
      <w:pPr>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2.3.4供方送货至需方指定地点。运输方式由供方按照需方要求自行确定，运输费用由供方承担，并承担运输途中发生的风险。</w:t>
      </w:r>
    </w:p>
    <w:p w14:paraId="347FC757">
      <w:pPr>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2.3.5供方送货时需使用满足需方要求的运输车辆，如：供方进入需方方厂区送货的，须使用重汽品牌车辆。</w:t>
      </w:r>
    </w:p>
    <w:p w14:paraId="060B0D2B">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第三条、技术要求</w:t>
      </w:r>
    </w:p>
    <w:p w14:paraId="065EF7B4">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3.1、供方所供工具工装产品的规格型号、技术标准、产品技术性能必须符合国家行业标准以及相关的环保、能源等方面的法律法规要求和标准。如供方所供工具工装产品不符合前述要求和标准，需方有权拒绝接受，且供方应赔偿因此给需方造成的全部损失。</w:t>
      </w:r>
    </w:p>
    <w:p w14:paraId="4BDBF258">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3.2、如供方需要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需方母公司或母公司其他关联方所有。如供方侵犯需方的知识产权及商业秘密，需方将依据法律程序进行处理并追究供方责任。</w:t>
      </w:r>
    </w:p>
    <w:p w14:paraId="2C3A15A6">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第四条、质量要求</w:t>
      </w:r>
    </w:p>
    <w:p w14:paraId="5977749F">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4.1、工具工装产品的检验</w:t>
      </w:r>
    </w:p>
    <w:p w14:paraId="1D100EAA">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4.1.1供方应根据需方的工具工装产品质量要求，制定产品的检验规范、标准，并报需方备案。如有更改，应在接到订单3个工作日内书面通知需方，否则由此引起的因检验标准不统一所造成的损失，由供方全部承担。</w:t>
      </w:r>
    </w:p>
    <w:p w14:paraId="3B2CE093">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4.1.2如需方需要配置必要的检测器具和试验设备，供方可提供必要的方便，涉及的费用由双方协商确定。</w:t>
      </w:r>
    </w:p>
    <w:p w14:paraId="0C352ABC">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4.1.3需方有权对供方提供的产品实施质量监督抽查，供方承诺免费提供抽样检验的零部件，质量监督抽查所发生的试验检测费用：如样品试验合格，费用由需方承担；不合格时由供方承担；第一次抽查不合格的产品，二次复检费用由供方承担。</w:t>
      </w:r>
    </w:p>
    <w:p w14:paraId="2D8E3A80">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4.1.4供方交付工具工装产品均须随货携带产品合格证或检验报告，根据国家相关法律法规要求需提供有关质监部门或其他相关部门的检测报告的，供方应予以满足。否则，需方将按入库检验不合格处置，由此引起的一切责任均由供方承担。</w:t>
      </w:r>
    </w:p>
    <w:p w14:paraId="2C2997C5">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4.1.5为加大对工具工装产品的质量控制力度，需方将适时地开展质量稽查工作。必要时，派员赴供方处进行产品稽查，供方应给予配合。稽查结果纳入需方对供方的评价。</w:t>
      </w:r>
    </w:p>
    <w:p w14:paraId="2F93726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4.2、不合格工具工装产品的处置</w:t>
      </w:r>
    </w:p>
    <w:p w14:paraId="348C4D1D">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4.2.1让步接收：工具工装产品有轻微不合格，但仍能满足使用性要求，或需方通过自行处理能满足使用性要求的，可采取让步接收方式。让步接收的工具工装产品，供方须做降价处理，降价幅度视工具工装产品不合格的程度在工具工装产品价格的5%～15%范围内确定。</w:t>
      </w:r>
    </w:p>
    <w:p w14:paraId="6449200A">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4.2.2退货：工具工装产品存在严重的质量不合格，做退货处理。退货所造成需方的一切损失由供方承担。</w:t>
      </w:r>
    </w:p>
    <w:p w14:paraId="245EB976">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4.2.3 质量索赔：对因供方提供的工具工装产品质量不合格给需方造成设备停产所发生的经济损失，由需方向供方索赔、追偿。</w:t>
      </w:r>
    </w:p>
    <w:p w14:paraId="21647C4F">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4.2.4 质量违约金：对因供方提供的工具工装产品质量不合格，给需方造成一定经济、声誉、形象等方面的损失，需方视程度要求供方支付1000元至10000元作为违约金。</w:t>
      </w:r>
    </w:p>
    <w:p w14:paraId="5F30B593">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4.2.5 取消供方资格：因供方提供工具工装产品2次以上不合格的，给需方造成损失，除支付违约金外，需方有权决定停止本合同的执行。</w:t>
      </w:r>
    </w:p>
    <w:p w14:paraId="4DF48316">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4.2.6需方根据实际情况采取上述处置方式，除非供方提出相关证明，否则供方须无条件接受。</w:t>
      </w:r>
    </w:p>
    <w:p w14:paraId="11FB0609">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第五条、 现场及售后服务</w:t>
      </w:r>
    </w:p>
    <w:p w14:paraId="67612AAC">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5.1、工具工装产品的服务</w:t>
      </w:r>
    </w:p>
    <w:p w14:paraId="48590BB3">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供方须对其所供工具工装产品做出服务承诺，并承担质量保证责任，质量保证期自需方对工具工装产品终验收合格之日起【12】个月。</w:t>
      </w:r>
    </w:p>
    <w:p w14:paraId="75F12B84">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5.2、工具工装产品现场服务</w:t>
      </w:r>
    </w:p>
    <w:p w14:paraId="0E1F6CD9">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5.2.1供方提供的工具工装产品在需方装配、调试、仓储过程中发现不合格时，供方须及时提供有效地服务和处理，涉及的费用由供方承担。</w:t>
      </w:r>
    </w:p>
    <w:p w14:paraId="11F088AE">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5.2.2遇到需方难以处理的问题时，供方须免费及时派遣专业的技术人员到现场配合需方把问题解决和处理。</w:t>
      </w:r>
    </w:p>
    <w:p w14:paraId="069705E9">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5.3、工具工装产品售后服务</w:t>
      </w:r>
    </w:p>
    <w:p w14:paraId="66B1B9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5.3.1供方须对所供产品的质量负责,对因产品质量引起的相关损失负责，承担与己有关的售后服务相关费用。</w:t>
      </w:r>
    </w:p>
    <w:p w14:paraId="73CA6BA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5.3.2供方有责任向需方提供其产品的技术服务资料，如《产品使用说明书》、《零部件图册》、《易损件清单》、《产品维修手册》等，并提供上述资料的电子版文档。 </w:t>
      </w:r>
    </w:p>
    <w:p w14:paraId="799070B0">
      <w:pPr>
        <w:pStyle w:val="4"/>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5.3.3供方应主动地将产品状态、质量隐患信息及时地向需方通报，以便跟踪并进行及时有效地处理。  </w:t>
      </w:r>
    </w:p>
    <w:p w14:paraId="3766D56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5.3.4合同双方都有责任和义务针对反馈的质量信息进行分析，并将分析的结论与质量纠正和改进联系起来，有针对性地实施纠正和改进，从而不断改进和提高产品质量。</w:t>
      </w:r>
    </w:p>
    <w:p w14:paraId="79C29856">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第六条、知识产权保证</w:t>
      </w:r>
    </w:p>
    <w:p w14:paraId="5C78D5E6">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为确保供需双方所签订的采购合同的签订和履行不侵犯他人的知识产权，以保障采购合同的履行，维护供需双方的共同利益：</w:t>
      </w:r>
    </w:p>
    <w:p w14:paraId="1283A5D3">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6.1知识产权保护</w:t>
      </w:r>
    </w:p>
    <w:p w14:paraId="510BCEE7">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供方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及其关联方所有。供方确认并同意：</w:t>
      </w:r>
    </w:p>
    <w:p w14:paraId="22CA8F9F">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6.1.1未经需方书面许可，供方不得行使上述知识产权；已经需方许可的，供方仅为履行本协议项下的义务使用；</w:t>
      </w:r>
    </w:p>
    <w:p w14:paraId="031E4ED9">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6.1.2严格按照需方技术文件和要求生产产品并进行标识；</w:t>
      </w:r>
    </w:p>
    <w:p w14:paraId="5A0C2C57">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6.1.3不将涉及需方知识产权的产品销售给任何需方及其关联公司之外的第三人；</w:t>
      </w:r>
    </w:p>
    <w:p w14:paraId="3E11F766">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6.1.4不以任何形式和理由将需方知识产权许可第三方使用；</w:t>
      </w:r>
    </w:p>
    <w:p w14:paraId="64F70922">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6.1.5不得向第三人泄露上述知识产权，即使在本协议终止后；</w:t>
      </w:r>
    </w:p>
    <w:p w14:paraId="7E8FC015">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6.1.6本协议终止后，供方立即停止使用上述知识产权。</w:t>
      </w:r>
    </w:p>
    <w:p w14:paraId="77281E06">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6.2商业秘密</w:t>
      </w:r>
    </w:p>
    <w:p w14:paraId="0981A9E0">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6.2.1对于需方的商业秘密，供方承诺：（1）严守机密，并采取所有保密措施和制度保护该秘密，并要求其员工保密和保护；（2）不泄露任何商业秘密给任何第三方；（3）除用于履行与双方的合同之外，任何时候均不得利用该秘密；（4）不复制或通过反向工程使用该秘密。</w:t>
      </w:r>
    </w:p>
    <w:p w14:paraId="6F89B424">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 xml:space="preserve">6.2.2商业秘密的保密期限：（1）在本协议执行期间全程有效；（2）双方在本协议执行期结束后，双方在5年内仍承担全部的保密义务。 </w:t>
      </w:r>
    </w:p>
    <w:p w14:paraId="175B7BAD">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供方如违反上述约定，供方同意需方有权自行决定从需方应付供方产品货款或其他款项中直接扣除上述款项，不足部分有权要求供方补偿，若发生第三人向需方或中国重汽提出任何请求或赔偿，包括但不限于直接和间接的经济损失、调查取证费、差旅费、诉讼费、律师费等，均应由供方承担，并保证需方或中国重汽的利益不受任何损害。</w:t>
      </w:r>
    </w:p>
    <w:p w14:paraId="1F0C6377">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6.3供应商的承诺</w:t>
      </w:r>
    </w:p>
    <w:p w14:paraId="44F32901">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6.3.1供方保证供应给需方的所有产品、材料、图纸、技术要求不侵害任何第三人的知识产权或其他权利。</w:t>
      </w:r>
    </w:p>
    <w:p w14:paraId="56CE1010">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6.3.2如供方提供给需方或需方关联单位（如需方母公司等，下同）的产品、材料存在侵犯第三人知识产权或其他权利的问题，发生第三人向需方或需方关联单位提出任何请求或赔偿，供方应自行承担由此产生的全部责任，保证需方或需方关联单位的利益不受任何损害。</w:t>
      </w:r>
    </w:p>
    <w:p w14:paraId="26F57E23">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6.3.3如第三人因此向需方或需方关联单位提出任何形式的索赔，包括但不限于直接和间接的经济损失、调查取证费、差旅费、诉讼费、律师费等，均应由供方承担，在确定赔偿金额后，供方应直接向第三人全额赔偿；如需方或需方关联单位因此被有权机关决定承担罚款及赔偿等责任，供方应按有权机关规定（包括支付方式和时间等）向有权机关缴纳或向第三人支付需方或需方关联单位承担的全部金额。对于需方因此被第三人进行的任何索赔，供方也应按此向需方、需方关联单位进行立即支付。</w:t>
      </w:r>
    </w:p>
    <w:p w14:paraId="2FE4249C">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6.3.4供方如未按上述约定承担相关责任，供方同意需方或需方关联单位有权自行决定从需方或需方关联单位应付供方产品货款或其他款项中直接扣除上述款项，不足部分有权要求供方补偿。</w:t>
      </w:r>
    </w:p>
    <w:p w14:paraId="37EF7E84">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第七条、针对环境与职业健康安全管理体系的承诺</w:t>
      </w:r>
    </w:p>
    <w:p w14:paraId="3558130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供方根据环境与职业健康安全管理体系对所提供物资的要求做出以下承诺：</w:t>
      </w:r>
    </w:p>
    <w:p w14:paraId="7849776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7.1承诺遵守国家和地方有关职业健康安全、环境保护的法律法规及其他要求；</w:t>
      </w:r>
    </w:p>
    <w:p w14:paraId="633FDB8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7.2承诺对所提供的物资及服务可能产生的环境影响和职业健康安全风险进行全过程控制，并防止上述风险的发生。</w:t>
      </w:r>
    </w:p>
    <w:p w14:paraId="56D4A0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7.3坚持和谐发展，创造企业内部安全、健康的工作环境，承担企业的社会责任，做社会的有益成员。</w:t>
      </w:r>
    </w:p>
    <w:p w14:paraId="2DE057AC">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第八条、物资代管</w:t>
      </w:r>
    </w:p>
    <w:p w14:paraId="076E778E">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经供需双方协商，供方同意将其供应需方的物资，交给需方代管，并就以下条款达成协议：</w:t>
      </w:r>
    </w:p>
    <w:p w14:paraId="6DBF862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8.1供方同意将供给需方的物资预投入需方代管仓库进行代管，并由需方出库使用后再办理结算手续。</w:t>
      </w:r>
    </w:p>
    <w:p w14:paraId="4CB2076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8.2供需双方确定，需方负责管理供方预投代管物资，代管物资的产权属于供方；需方根据生产需要上线使用，同时供方根据需方出库单据，按照《采购合同》要求与需方结算，代管物资在办理出库手续后产权属于需方。</w:t>
      </w:r>
    </w:p>
    <w:p w14:paraId="55250C3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8.3代管物资的交接：双方资产管理人员应就每次交接的物品进行清点，核实品名、规格和数量等，并在相关单据上签名确认，具体流程执行需方相应仓库管理制度。</w:t>
      </w:r>
    </w:p>
    <w:p w14:paraId="0B80373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8.4需方负责代管物资的妥善管理，确保代管物资的安全，以免丢失或损坏。</w:t>
      </w:r>
    </w:p>
    <w:p w14:paraId="498765BE">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8.5代管终止时，需方应将其代管的物资，移交归还给供方。</w:t>
      </w:r>
    </w:p>
    <w:p w14:paraId="0C15332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8.6供方对由需方代管的物资，至少每季度做一次实物盘点，需方给予配合，并出具盘点对账表；需方应配合供方对代管物资进行不定期抽查，以确保供方资产安全。</w:t>
      </w:r>
    </w:p>
    <w:p w14:paraId="326B1C4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8.7代管物资在代管期间由于失窃、使用不当、事故等非不可抗力的原因，所造成的损失，由需方负责赔偿。</w:t>
      </w:r>
    </w:p>
    <w:p w14:paraId="43823DF7">
      <w:pPr>
        <w:adjustRightInd w:val="0"/>
        <w:snapToGrid w:val="0"/>
        <w:spacing w:line="360" w:lineRule="auto"/>
        <w:ind w:firstLine="480" w:firstLineChars="200"/>
        <w:jc w:val="left"/>
        <w:rPr>
          <w:rFonts w:hint="eastAsia" w:ascii="宋体" w:hAnsi="宋体" w:cs="宋体"/>
          <w:b/>
          <w:sz w:val="24"/>
          <w:szCs w:val="24"/>
        </w:rPr>
      </w:pPr>
      <w:r>
        <w:rPr>
          <w:rFonts w:hint="eastAsia" w:ascii="宋体" w:hAnsi="宋体" w:cs="宋体"/>
          <w:sz w:val="24"/>
        </w:rPr>
        <w:t>8.8代管期限，以双方签定的合同期限为准。</w:t>
      </w:r>
    </w:p>
    <w:p w14:paraId="57FC12E8">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第九条、违约责任</w:t>
      </w:r>
    </w:p>
    <w:p w14:paraId="7F5DDE3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9.1、凡因供方产品质量等原因，而造成需方经济损失的，供方须承担相关责任和全部经济损失，需方有权取消供方的供货资格，必要时追究其法律责任。</w:t>
      </w:r>
    </w:p>
    <w:p w14:paraId="789EAF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9.2、凡因供方产品的交货时间和数量没有按需方的采购订单执行，同时对其未履行订单行为没有给需方合理的解释时，每发生一起，需方有权从供方货款扣除1000-2000元的违约金，且供方需承担因此给需方造成的一切损失。</w:t>
      </w:r>
    </w:p>
    <w:p w14:paraId="2012D2B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9.3若供方所供产品涉及到需方定额方面管理规定的，供方所供产品的使用寿命在规定使用条件下达不到定额要求的，对该批次产品未使用部分进行退货处理；已使用部分按定额差额损失的1.2倍进行追偿。</w:t>
      </w:r>
    </w:p>
    <w:p w14:paraId="0F3DEAE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 供方延迟交付或因质量问题影响需方生产进度的：</w:t>
      </w:r>
    </w:p>
    <w:p w14:paraId="5172342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9.4.1造成需方生产计划调整的，视影响程度，供方向需方支付违约金500-1000元/次。</w:t>
      </w:r>
    </w:p>
    <w:p w14:paraId="1F95C97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9.4.2造成需方生产线停线的，供方须向需方支付违约金100000元/次；生产线停线时间10分钟以上（含10分钟）的，按批量生产事故处理，除追偿供方300000元违约金外，需方有权采用以下处理措施：立即调整供货份额、解除与供方签订的所有采购合同、向集团公司申请剔除供方在中国重型汽车集团范围内的供货资格。</w:t>
      </w:r>
    </w:p>
    <w:p w14:paraId="754ED2D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9.5紧急采购计划、专项采购计划，需方采购员协调供方到货时间并得到供方确认，但未按时间到货的，视影响程度，供方影响需方支付违约金1000-10000元/次。</w:t>
      </w:r>
    </w:p>
    <w:p w14:paraId="56FB97E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9.6供方应按照供货份额向需方交付物资，因供方原因无法按供货份额进行供货的，应事先以书面形式（该书面通知须经供方法定代表人签字认可）通知需方采购部门，需方有权就因需方未能按份额供货造成的影响程度进行追偿，同时需方有权参照实际供货份额进行份额调整。</w:t>
      </w:r>
    </w:p>
    <w:p w14:paraId="0DA9737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9.7供方未按双方签订的相关约束文件（例如：供货保障协议等）的要求向需方供货的，每发生一次，应向需方支付违约金1000-10000元，具体金额由需方视影响程度决定。</w:t>
      </w:r>
    </w:p>
    <w:p w14:paraId="7D268D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9.8供方长期交付不及时，造成需方连续三天以上生产延误的，应向需方支付违约金20000元。</w:t>
      </w:r>
    </w:p>
    <w:p w14:paraId="1A175D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9.9未经需方书面同意，供方停止向需方供货的，须向需方一次性支付违约金100000元，需方有权解除与供方签订的所有采购合同，并向集团公司申请剔除供方在中国重型汽车集团范围内的供货资格。</w:t>
      </w:r>
    </w:p>
    <w:p w14:paraId="1D4231F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9.10上述各条款所涉及的违约金需方均有权自供方应付货款中直接扣除。</w:t>
      </w:r>
    </w:p>
    <w:p w14:paraId="435EDF91">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第十条 其它约定</w:t>
      </w:r>
    </w:p>
    <w:p w14:paraId="3F1112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10.1、对于与需方签订的本合同及《相关方安全协议》、《供应商廉洁诚信协议》等协议中，所涉及的需方的各种规章制度及流程，供方已阅知并且传达到供方的相关业务人员。</w:t>
      </w:r>
    </w:p>
    <w:p w14:paraId="73315BF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10.2、供方须积极配合需方的专项工作（如：专项会议、专项招标等）安排，未能按双方商定的工作进度进行的，考核供方500-1000元/次。</w:t>
      </w:r>
    </w:p>
    <w:p w14:paraId="3DFD98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10.3、供方须根据需方要求及时开具相关发票，未得需方书面同意延误发票开具的，每发生一次，供方须向需方支付500元违约金。</w:t>
      </w:r>
    </w:p>
    <w:p w14:paraId="50B9C6FC">
      <w:pPr>
        <w:tabs>
          <w:tab w:val="left" w:pos="0"/>
        </w:tabs>
        <w:spacing w:line="360" w:lineRule="auto"/>
        <w:ind w:left="-50" w:right="-210" w:rightChars="-100" w:firstLine="480" w:firstLineChars="200"/>
        <w:rPr>
          <w:rFonts w:hint="eastAsia" w:ascii="宋体" w:hAnsi="宋体" w:cs="宋体"/>
          <w:sz w:val="24"/>
          <w:szCs w:val="24"/>
        </w:rPr>
      </w:pPr>
      <w:r>
        <w:rPr>
          <w:rFonts w:hint="eastAsia" w:ascii="宋体" w:hAnsi="宋体" w:cs="宋体"/>
          <w:sz w:val="24"/>
          <w:szCs w:val="24"/>
        </w:rPr>
        <w:t>10.4、基于需方降本工作安排，供方所供物资或服务未达到需方降本要求的，需方有权单方确定物资或服务价格的有效期为季度或月度；合作期间，根据双方招标、洽谈等工作要求及结果，需方有权单方对合同相关内容进行必要更改,且供方</w:t>
      </w:r>
      <w:r>
        <w:rPr>
          <w:rFonts w:hint="eastAsia" w:ascii="宋体" w:hAnsi="宋体" w:cs="宋体"/>
          <w:b/>
          <w:bCs/>
          <w:sz w:val="24"/>
          <w:szCs w:val="24"/>
        </w:rPr>
        <w:t>同意</w:t>
      </w:r>
      <w:r>
        <w:rPr>
          <w:rFonts w:hint="eastAsia" w:ascii="宋体" w:hAnsi="宋体" w:cs="宋体"/>
          <w:sz w:val="24"/>
          <w:szCs w:val="24"/>
        </w:rPr>
        <w:t>需方按照价格调整单等相关要求对其进行差价找回，</w:t>
      </w:r>
      <w:r>
        <w:rPr>
          <w:rFonts w:hint="eastAsia" w:ascii="宋体" w:hAnsi="宋体" w:cs="宋体"/>
          <w:b/>
          <w:bCs/>
          <w:sz w:val="24"/>
          <w:szCs w:val="24"/>
        </w:rPr>
        <w:t>同意与</w:t>
      </w:r>
      <w:r>
        <w:rPr>
          <w:rFonts w:hint="eastAsia" w:ascii="宋体" w:hAnsi="宋体" w:cs="宋体"/>
          <w:sz w:val="24"/>
          <w:szCs w:val="24"/>
        </w:rPr>
        <w:t>需方签署补充协议（包括但不限于产品价格调整单等相关协议）。</w:t>
      </w:r>
    </w:p>
    <w:p w14:paraId="2C711FC2">
      <w:pPr>
        <w:tabs>
          <w:tab w:val="left" w:pos="0"/>
        </w:tabs>
        <w:spacing w:line="360" w:lineRule="auto"/>
        <w:ind w:left="-50" w:right="-210" w:rightChars="-100" w:firstLine="480" w:firstLineChars="200"/>
        <w:rPr>
          <w:rFonts w:hint="eastAsia" w:ascii="宋体" w:hAnsi="宋体" w:cs="宋体"/>
          <w:b/>
          <w:bCs/>
          <w:sz w:val="24"/>
          <w:szCs w:val="24"/>
        </w:rPr>
      </w:pPr>
      <w:r>
        <w:rPr>
          <w:rFonts w:hint="eastAsia" w:ascii="宋体" w:hAnsi="宋体" w:cs="宋体"/>
          <w:sz w:val="24"/>
          <w:szCs w:val="24"/>
        </w:rPr>
        <w:t>10.5、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46E1E7C">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第十一条 附则</w:t>
      </w:r>
    </w:p>
    <w:p w14:paraId="766899A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11.1、技术协议作为本合同有效附件，具有与合同相同的法律效力。</w:t>
      </w:r>
    </w:p>
    <w:p w14:paraId="6C66D849">
      <w:pPr>
        <w:pStyle w:val="4"/>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11.2、本合同一式【4】份，需方执【3】</w:t>
      </w:r>
      <w:r>
        <w:rPr>
          <w:rFonts w:hint="eastAsia" w:ascii="宋体" w:hAnsi="宋体" w:cs="宋体"/>
          <w:bCs/>
          <w:sz w:val="24"/>
          <w:szCs w:val="24"/>
        </w:rPr>
        <w:t>份</w:t>
      </w:r>
      <w:r>
        <w:rPr>
          <w:rFonts w:hint="eastAsia" w:ascii="宋体" w:hAnsi="宋体" w:cs="宋体"/>
          <w:sz w:val="24"/>
          <w:szCs w:val="24"/>
        </w:rPr>
        <w:t>，供方执【1】份，双方代表签章后生效，具备同等法律效力。合同中的未尽事宜由供需双方协商解决。</w:t>
      </w:r>
    </w:p>
    <w:p w14:paraId="3A5B517D">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bCs/>
          <w:sz w:val="24"/>
          <w:szCs w:val="24"/>
        </w:rPr>
        <w:t>11.3、特别提示：供需双方已对本合同的所有条款进行了充分协商。</w:t>
      </w:r>
      <w:r>
        <w:rPr>
          <w:rFonts w:hint="eastAsia" w:ascii="宋体" w:hAnsi="宋体" w:cs="宋体"/>
          <w:sz w:val="24"/>
          <w:szCs w:val="24"/>
        </w:rPr>
        <w:t>需方已提请供方特别注意有关双方权利义务的全部条款，对其作全面准确的理解，并已应供方要求对相关条款做出了解释和说明。供方已认真阅读并充分理解所有合同条款，供需双方对本合同各条款的理解完全一致，对合同内容无异议。</w:t>
      </w:r>
    </w:p>
    <w:p w14:paraId="576075F1">
      <w:pPr>
        <w:adjustRightInd w:val="0"/>
        <w:snapToGrid w:val="0"/>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电子签约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920AFD4">
      <w:pPr>
        <w:adjustRightInd w:val="0"/>
        <w:snapToGrid w:val="0"/>
        <w:spacing w:line="360" w:lineRule="auto"/>
        <w:ind w:firstLine="442" w:firstLineChars="200"/>
        <w:rPr>
          <w:rFonts w:hint="eastAsia" w:ascii="宋体" w:hAnsi="宋体" w:cs="宋体"/>
          <w:sz w:val="24"/>
          <w:szCs w:val="24"/>
        </w:rPr>
      </w:pPr>
      <w:r>
        <w:rPr>
          <w:rFonts w:hint="eastAsia" w:ascii="宋体" w:hAnsi="宋体" w:cs="宋体"/>
          <w:b/>
          <w:bCs/>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3D3471CF">
      <w:pPr>
        <w:spacing w:line="360" w:lineRule="auto"/>
        <w:rPr>
          <w:rFonts w:hint="eastAsia" w:ascii="宋体" w:hAnsi="宋体" w:cs="宋体"/>
          <w:sz w:val="24"/>
          <w:szCs w:val="24"/>
        </w:rPr>
      </w:pPr>
      <w:r>
        <w:rPr>
          <w:rFonts w:hint="eastAsia" w:ascii="宋体" w:hAnsi="宋体" w:cs="宋体"/>
          <w:sz w:val="24"/>
          <w:szCs w:val="24"/>
        </w:rPr>
        <w:t>（以下无正文）</w:t>
      </w:r>
    </w:p>
    <w:p w14:paraId="0FC0B491">
      <w:pPr>
        <w:spacing w:line="360" w:lineRule="auto"/>
        <w:ind w:firstLine="480" w:firstLineChars="200"/>
        <w:rPr>
          <w:rFonts w:hint="eastAsia" w:ascii="宋体" w:hAnsi="宋体" w:cs="宋体"/>
          <w:sz w:val="24"/>
          <w:szCs w:val="24"/>
        </w:rPr>
      </w:pPr>
    </w:p>
    <w:p w14:paraId="25797F05">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供</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w:t>
      </w:r>
    </w:p>
    <w:p w14:paraId="29468712">
      <w:pPr>
        <w:widowControl/>
        <w:adjustRightInd w:val="0"/>
        <w:snapToGrid w:val="0"/>
        <w:spacing w:line="360" w:lineRule="auto"/>
        <w:jc w:val="left"/>
        <w:rPr>
          <w:rFonts w:hint="eastAsia" w:ascii="宋体" w:hAnsi="宋体" w:cs="宋体"/>
          <w:snapToGrid w:val="0"/>
          <w:kern w:val="0"/>
          <w:sz w:val="24"/>
          <w:szCs w:val="24"/>
          <w:lang w:eastAsia="zh-Hans"/>
        </w:rPr>
      </w:pPr>
    </w:p>
    <w:p w14:paraId="2C004B4C">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法定代表人或代理人（签字）：                 法定代表人或代理人（签字）：</w:t>
      </w:r>
    </w:p>
    <w:p w14:paraId="1703278D">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地  址：济南市高新区世纪大道757号           地  址：</w:t>
      </w:r>
    </w:p>
    <w:p w14:paraId="3AB8332B">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电话：</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w:t>
      </w:r>
      <w:r>
        <w:rPr>
          <w:rFonts w:hint="eastAsia" w:ascii="宋体" w:hAnsi="宋体" w:cs="宋体"/>
          <w:snapToGrid w:val="0"/>
          <w:kern w:val="0"/>
          <w:sz w:val="24"/>
          <w:szCs w:val="24"/>
          <w:lang w:eastAsia="zh-Hans"/>
        </w:rPr>
        <w:t xml:space="preserve"> 电话： </w:t>
      </w:r>
    </w:p>
    <w:p w14:paraId="4FEA1AAA">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传真：</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传真： </w:t>
      </w:r>
    </w:p>
    <w:p w14:paraId="066E5F60">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 xml:space="preserve">开户银行：中信济分舜耕支行           </w:t>
      </w:r>
      <w:r>
        <w:rPr>
          <w:rFonts w:hint="eastAsia" w:ascii="宋体" w:hAnsi="宋体" w:cs="宋体"/>
          <w:snapToGrid w:val="0"/>
          <w:kern w:val="0"/>
          <w:sz w:val="24"/>
          <w:szCs w:val="24"/>
        </w:rPr>
        <w:t xml:space="preserve">        </w:t>
      </w:r>
      <w:r>
        <w:rPr>
          <w:rFonts w:hint="eastAsia" w:ascii="宋体" w:hAnsi="宋体" w:cs="宋体"/>
          <w:snapToGrid w:val="0"/>
          <w:kern w:val="0"/>
          <w:sz w:val="24"/>
          <w:szCs w:val="24"/>
          <w:lang w:eastAsia="zh-Hans"/>
        </w:rPr>
        <w:t>开户银行：</w:t>
      </w:r>
    </w:p>
    <w:p w14:paraId="26727D8D">
      <w:pPr>
        <w:widowControl/>
        <w:adjustRightInd w:val="0"/>
        <w:snapToGrid w:val="0"/>
        <w:spacing w:line="360" w:lineRule="auto"/>
        <w:jc w:val="left"/>
        <w:rPr>
          <w:rFonts w:hint="eastAsia" w:ascii="宋体" w:hAnsi="宋体" w:cs="宋体"/>
          <w:sz w:val="28"/>
          <w:szCs w:val="28"/>
        </w:rPr>
      </w:pPr>
      <w:r>
        <w:rPr>
          <w:rFonts w:hint="eastAsia" w:ascii="宋体" w:hAnsi="宋体" w:cs="宋体"/>
          <w:snapToGrid w:val="0"/>
          <w:kern w:val="0"/>
          <w:sz w:val="24"/>
          <w:szCs w:val="24"/>
          <w:lang w:eastAsia="zh-Hans"/>
        </w:rPr>
        <w:t>账  号：7372610182600060479                  账 号：</w:t>
      </w:r>
      <w:r>
        <w:rPr>
          <w:rFonts w:hint="eastAsia" w:ascii="宋体" w:hAnsi="宋体" w:cs="宋体"/>
          <w:sz w:val="28"/>
          <w:szCs w:val="28"/>
        </w:rPr>
        <w:t xml:space="preserve">       </w:t>
      </w:r>
    </w:p>
    <w:p w14:paraId="6B684647">
      <w:pPr>
        <w:widowControl/>
        <w:adjustRightInd w:val="0"/>
        <w:snapToGrid w:val="0"/>
        <w:spacing w:line="360" w:lineRule="auto"/>
        <w:jc w:val="left"/>
        <w:rPr>
          <w:rFonts w:hint="eastAsia" w:ascii="宋体" w:hAnsi="宋体" w:cs="宋体"/>
          <w:sz w:val="28"/>
          <w:szCs w:val="28"/>
        </w:rPr>
      </w:pPr>
    </w:p>
    <w:p w14:paraId="21E24416">
      <w:pPr>
        <w:widowControl/>
        <w:adjustRightInd w:val="0"/>
        <w:snapToGrid w:val="0"/>
        <w:spacing w:line="360" w:lineRule="auto"/>
        <w:jc w:val="left"/>
        <w:rPr>
          <w:rFonts w:hint="eastAsia" w:ascii="宋体" w:hAnsi="宋体" w:cs="宋体"/>
          <w:sz w:val="28"/>
          <w:szCs w:val="28"/>
        </w:rPr>
      </w:pPr>
    </w:p>
    <w:p w14:paraId="5DDBF607">
      <w:pPr>
        <w:widowControl/>
        <w:adjustRightInd w:val="0"/>
        <w:snapToGrid w:val="0"/>
        <w:spacing w:line="360" w:lineRule="auto"/>
        <w:jc w:val="left"/>
        <w:rPr>
          <w:rFonts w:hint="eastAsia" w:ascii="宋体" w:hAnsi="宋体" w:cs="宋体"/>
          <w:sz w:val="28"/>
          <w:szCs w:val="28"/>
        </w:rPr>
      </w:pPr>
    </w:p>
    <w:p w14:paraId="66BEC989">
      <w:pPr>
        <w:widowControl/>
        <w:adjustRightInd w:val="0"/>
        <w:snapToGrid w:val="0"/>
        <w:spacing w:line="360" w:lineRule="auto"/>
        <w:jc w:val="left"/>
        <w:rPr>
          <w:rFonts w:hint="eastAsia" w:ascii="宋体" w:hAnsi="宋体" w:cs="宋体"/>
          <w:sz w:val="28"/>
          <w:szCs w:val="28"/>
        </w:rPr>
      </w:pPr>
    </w:p>
    <w:p w14:paraId="0561F8DB">
      <w:pPr>
        <w:widowControl/>
        <w:adjustRightInd w:val="0"/>
        <w:snapToGrid w:val="0"/>
        <w:spacing w:line="360" w:lineRule="auto"/>
        <w:jc w:val="left"/>
        <w:rPr>
          <w:rFonts w:hint="eastAsia" w:ascii="宋体" w:hAnsi="宋体" w:cs="宋体"/>
          <w:sz w:val="28"/>
          <w:szCs w:val="28"/>
        </w:rPr>
      </w:pPr>
    </w:p>
    <w:p w14:paraId="13BA5591">
      <w:pPr>
        <w:widowControl/>
        <w:adjustRightInd w:val="0"/>
        <w:snapToGrid w:val="0"/>
        <w:spacing w:line="360" w:lineRule="auto"/>
        <w:jc w:val="left"/>
        <w:rPr>
          <w:rFonts w:hint="eastAsia" w:ascii="宋体" w:hAnsi="宋体" w:cs="宋体"/>
          <w:sz w:val="28"/>
          <w:szCs w:val="28"/>
        </w:rPr>
      </w:pPr>
    </w:p>
    <w:p w14:paraId="2DE47973">
      <w:pPr>
        <w:widowControl/>
        <w:adjustRightInd w:val="0"/>
        <w:snapToGrid w:val="0"/>
        <w:spacing w:line="360" w:lineRule="auto"/>
        <w:jc w:val="left"/>
        <w:rPr>
          <w:rFonts w:hint="eastAsia" w:ascii="宋体" w:hAnsi="宋体" w:cs="宋体"/>
          <w:sz w:val="28"/>
          <w:szCs w:val="28"/>
        </w:rPr>
      </w:pPr>
    </w:p>
    <w:p w14:paraId="03D106C5">
      <w:pPr>
        <w:widowControl/>
        <w:adjustRightInd w:val="0"/>
        <w:snapToGrid w:val="0"/>
        <w:spacing w:line="360" w:lineRule="auto"/>
        <w:jc w:val="left"/>
        <w:rPr>
          <w:rFonts w:hint="eastAsia" w:ascii="宋体" w:hAnsi="宋体" w:cs="宋体"/>
          <w:sz w:val="28"/>
          <w:szCs w:val="28"/>
        </w:rPr>
      </w:pPr>
    </w:p>
    <w:p w14:paraId="64FDE7DC">
      <w:pPr>
        <w:spacing w:line="520" w:lineRule="exact"/>
        <w:ind w:firstLine="3001" w:firstLineChars="900"/>
        <w:rPr>
          <w:rFonts w:hint="eastAsia" w:ascii="宋体" w:hAnsi="宋体" w:cs="宋体"/>
          <w:b/>
          <w:spacing w:val="-14"/>
          <w:kern w:val="0"/>
          <w:sz w:val="36"/>
          <w:szCs w:val="36"/>
        </w:rPr>
      </w:pPr>
      <w:r>
        <w:rPr>
          <w:rFonts w:hint="eastAsia" w:ascii="宋体" w:hAnsi="宋体" w:cs="宋体"/>
          <w:b/>
          <w:spacing w:val="-14"/>
          <w:kern w:val="0"/>
          <w:sz w:val="36"/>
          <w:szCs w:val="36"/>
        </w:rPr>
        <w:t>采 购 明 细 清 单</w:t>
      </w:r>
    </w:p>
    <w:tbl>
      <w:tblPr>
        <w:tblStyle w:val="10"/>
        <w:tblpPr w:leftFromText="180" w:rightFromText="180" w:vertAnchor="text" w:horzAnchor="page" w:tblpX="1088" w:tblpY="461"/>
        <w:tblOverlap w:val="never"/>
        <w:tblW w:w="5000" w:type="pct"/>
        <w:tblInd w:w="0" w:type="dxa"/>
        <w:tblLayout w:type="fixed"/>
        <w:tblCellMar>
          <w:top w:w="0" w:type="dxa"/>
          <w:left w:w="108" w:type="dxa"/>
          <w:bottom w:w="0" w:type="dxa"/>
          <w:right w:w="108" w:type="dxa"/>
        </w:tblCellMar>
      </w:tblPr>
      <w:tblGrid>
        <w:gridCol w:w="421"/>
        <w:gridCol w:w="1607"/>
        <w:gridCol w:w="1008"/>
        <w:gridCol w:w="435"/>
        <w:gridCol w:w="630"/>
        <w:gridCol w:w="1261"/>
        <w:gridCol w:w="719"/>
        <w:gridCol w:w="384"/>
        <w:gridCol w:w="930"/>
        <w:gridCol w:w="422"/>
        <w:gridCol w:w="839"/>
        <w:gridCol w:w="630"/>
      </w:tblGrid>
      <w:tr w14:paraId="428A1A4A">
        <w:tblPrEx>
          <w:tblCellMar>
            <w:top w:w="0" w:type="dxa"/>
            <w:left w:w="108" w:type="dxa"/>
            <w:bottom w:w="0" w:type="dxa"/>
            <w:right w:w="108" w:type="dxa"/>
          </w:tblCellMar>
        </w:tblPrEx>
        <w:trPr>
          <w:trHeight w:val="1103" w:hRule="atLeast"/>
        </w:trPr>
        <w:tc>
          <w:tcPr>
            <w:tcW w:w="226" w:type="pct"/>
            <w:tcBorders>
              <w:top w:val="single" w:color="auto" w:sz="4" w:space="0"/>
              <w:left w:val="single" w:color="auto" w:sz="4" w:space="0"/>
              <w:bottom w:val="single" w:color="auto" w:sz="4" w:space="0"/>
              <w:right w:val="single" w:color="auto" w:sz="4" w:space="0"/>
            </w:tcBorders>
            <w:noWrap w:val="0"/>
            <w:vAlign w:val="center"/>
          </w:tcPr>
          <w:p w14:paraId="0F58E02A">
            <w:pPr>
              <w:widowControl/>
              <w:jc w:val="center"/>
              <w:rPr>
                <w:rFonts w:hint="eastAsia" w:ascii="宋体" w:hAnsi="宋体" w:cs="宋体"/>
                <w:kern w:val="0"/>
                <w:sz w:val="22"/>
                <w:szCs w:val="22"/>
              </w:rPr>
            </w:pPr>
            <w:r>
              <w:rPr>
                <w:rFonts w:hint="eastAsia" w:ascii="宋体" w:hAnsi="宋体" w:cs="宋体"/>
                <w:kern w:val="0"/>
                <w:sz w:val="22"/>
                <w:szCs w:val="22"/>
              </w:rPr>
              <w:t>序号</w:t>
            </w:r>
          </w:p>
        </w:tc>
        <w:tc>
          <w:tcPr>
            <w:tcW w:w="865" w:type="pct"/>
            <w:tcBorders>
              <w:top w:val="single" w:color="auto" w:sz="4" w:space="0"/>
              <w:left w:val="nil"/>
              <w:bottom w:val="single" w:color="auto" w:sz="4" w:space="0"/>
              <w:right w:val="single" w:color="auto" w:sz="4" w:space="0"/>
            </w:tcBorders>
            <w:noWrap/>
            <w:vAlign w:val="center"/>
          </w:tcPr>
          <w:p w14:paraId="725FC3D6">
            <w:pPr>
              <w:widowControl/>
              <w:jc w:val="center"/>
              <w:rPr>
                <w:rFonts w:hint="eastAsia" w:ascii="宋体" w:hAnsi="宋体" w:cs="宋体"/>
                <w:kern w:val="0"/>
                <w:sz w:val="22"/>
                <w:szCs w:val="22"/>
              </w:rPr>
            </w:pPr>
            <w:r>
              <w:rPr>
                <w:rFonts w:hint="eastAsia" w:ascii="宋体" w:hAnsi="宋体" w:cs="宋体"/>
                <w:kern w:val="0"/>
                <w:sz w:val="22"/>
                <w:szCs w:val="22"/>
              </w:rPr>
              <w:t>产品名称</w:t>
            </w:r>
          </w:p>
        </w:tc>
        <w:tc>
          <w:tcPr>
            <w:tcW w:w="542" w:type="pct"/>
            <w:tcBorders>
              <w:top w:val="single" w:color="auto" w:sz="4" w:space="0"/>
              <w:left w:val="nil"/>
              <w:bottom w:val="single" w:color="auto" w:sz="4" w:space="0"/>
              <w:right w:val="single" w:color="auto" w:sz="4" w:space="0"/>
            </w:tcBorders>
            <w:noWrap/>
            <w:vAlign w:val="center"/>
          </w:tcPr>
          <w:p w14:paraId="66C79389">
            <w:pPr>
              <w:widowControl/>
              <w:jc w:val="center"/>
              <w:rPr>
                <w:rFonts w:hint="eastAsia" w:ascii="宋体" w:hAnsi="宋体" w:cs="宋体"/>
                <w:kern w:val="0"/>
                <w:sz w:val="22"/>
                <w:szCs w:val="22"/>
              </w:rPr>
            </w:pPr>
            <w:r>
              <w:rPr>
                <w:rFonts w:hint="eastAsia" w:ascii="宋体" w:hAnsi="宋体" w:cs="宋体"/>
                <w:kern w:val="0"/>
                <w:sz w:val="22"/>
                <w:szCs w:val="22"/>
              </w:rPr>
              <w:t>规格型号</w:t>
            </w:r>
          </w:p>
        </w:tc>
        <w:tc>
          <w:tcPr>
            <w:tcW w:w="234" w:type="pct"/>
            <w:tcBorders>
              <w:top w:val="single" w:color="auto" w:sz="4" w:space="0"/>
              <w:left w:val="nil"/>
              <w:bottom w:val="single" w:color="auto" w:sz="4" w:space="0"/>
              <w:right w:val="single" w:color="auto" w:sz="4" w:space="0"/>
            </w:tcBorders>
            <w:noWrap/>
            <w:vAlign w:val="center"/>
          </w:tcPr>
          <w:p w14:paraId="38B49B63">
            <w:pPr>
              <w:widowControl/>
              <w:jc w:val="center"/>
              <w:rPr>
                <w:rFonts w:hint="eastAsia" w:ascii="宋体" w:hAnsi="宋体" w:cs="宋体"/>
                <w:kern w:val="0"/>
                <w:sz w:val="22"/>
                <w:szCs w:val="22"/>
              </w:rPr>
            </w:pPr>
            <w:r>
              <w:rPr>
                <w:rFonts w:hint="eastAsia" w:ascii="宋体" w:hAnsi="宋体" w:cs="宋体"/>
                <w:kern w:val="0"/>
                <w:sz w:val="22"/>
                <w:szCs w:val="22"/>
              </w:rPr>
              <w:t>单位</w:t>
            </w:r>
          </w:p>
        </w:tc>
        <w:tc>
          <w:tcPr>
            <w:tcW w:w="339" w:type="pct"/>
            <w:tcBorders>
              <w:top w:val="single" w:color="auto" w:sz="4" w:space="0"/>
              <w:left w:val="nil"/>
              <w:bottom w:val="single" w:color="auto" w:sz="4" w:space="0"/>
              <w:right w:val="single" w:color="auto" w:sz="4" w:space="0"/>
            </w:tcBorders>
            <w:noWrap/>
            <w:vAlign w:val="center"/>
          </w:tcPr>
          <w:p w14:paraId="3CC5C746">
            <w:pPr>
              <w:widowControl/>
              <w:jc w:val="center"/>
              <w:rPr>
                <w:rFonts w:hint="eastAsia" w:ascii="宋体" w:hAnsi="宋体" w:cs="宋体"/>
                <w:kern w:val="0"/>
                <w:sz w:val="22"/>
                <w:szCs w:val="22"/>
              </w:rPr>
            </w:pPr>
            <w:r>
              <w:rPr>
                <w:rFonts w:hint="eastAsia" w:ascii="宋体" w:hAnsi="宋体" w:cs="宋体"/>
                <w:kern w:val="0"/>
                <w:sz w:val="22"/>
                <w:szCs w:val="22"/>
              </w:rPr>
              <w:t>数量</w:t>
            </w:r>
          </w:p>
        </w:tc>
        <w:tc>
          <w:tcPr>
            <w:tcW w:w="678" w:type="pct"/>
            <w:tcBorders>
              <w:top w:val="single" w:color="auto" w:sz="4" w:space="0"/>
              <w:left w:val="nil"/>
              <w:bottom w:val="single" w:color="auto" w:sz="4" w:space="0"/>
              <w:right w:val="single" w:color="auto" w:sz="4" w:space="0"/>
            </w:tcBorders>
            <w:noWrap/>
            <w:vAlign w:val="center"/>
          </w:tcPr>
          <w:p w14:paraId="2A923EA2">
            <w:pPr>
              <w:widowControl/>
              <w:jc w:val="center"/>
              <w:rPr>
                <w:rFonts w:hint="eastAsia" w:ascii="宋体" w:hAnsi="宋体" w:cs="宋体"/>
                <w:kern w:val="0"/>
                <w:sz w:val="22"/>
                <w:szCs w:val="22"/>
              </w:rPr>
            </w:pPr>
            <w:r>
              <w:rPr>
                <w:rFonts w:hint="eastAsia" w:ascii="宋体" w:hAnsi="宋体" w:cs="宋体"/>
                <w:kern w:val="0"/>
                <w:sz w:val="22"/>
                <w:szCs w:val="22"/>
              </w:rPr>
              <w:t>单价（不含税）</w:t>
            </w:r>
          </w:p>
        </w:tc>
        <w:tc>
          <w:tcPr>
            <w:tcW w:w="387" w:type="pct"/>
            <w:tcBorders>
              <w:top w:val="single" w:color="auto" w:sz="4" w:space="0"/>
              <w:left w:val="nil"/>
              <w:bottom w:val="single" w:color="auto" w:sz="4" w:space="0"/>
              <w:right w:val="single" w:color="auto" w:sz="4" w:space="0"/>
            </w:tcBorders>
            <w:noWrap w:val="0"/>
            <w:vAlign w:val="center"/>
          </w:tcPr>
          <w:p w14:paraId="51F03A1C">
            <w:pPr>
              <w:widowControl/>
              <w:jc w:val="center"/>
              <w:rPr>
                <w:rFonts w:hint="eastAsia" w:ascii="宋体" w:hAnsi="宋体" w:cs="宋体"/>
                <w:kern w:val="0"/>
                <w:sz w:val="22"/>
                <w:szCs w:val="22"/>
              </w:rPr>
            </w:pPr>
            <w:r>
              <w:rPr>
                <w:rFonts w:hint="eastAsia" w:ascii="宋体" w:hAnsi="宋体" w:cs="宋体"/>
                <w:kern w:val="0"/>
                <w:sz w:val="22"/>
                <w:szCs w:val="22"/>
              </w:rPr>
              <w:t>税率</w:t>
            </w:r>
          </w:p>
        </w:tc>
        <w:tc>
          <w:tcPr>
            <w:tcW w:w="206" w:type="pct"/>
            <w:tcBorders>
              <w:top w:val="single" w:color="auto" w:sz="4" w:space="0"/>
              <w:left w:val="nil"/>
              <w:bottom w:val="single" w:color="auto" w:sz="4" w:space="0"/>
              <w:right w:val="single" w:color="auto" w:sz="4" w:space="0"/>
            </w:tcBorders>
            <w:noWrap w:val="0"/>
            <w:vAlign w:val="center"/>
          </w:tcPr>
          <w:p w14:paraId="2D84F67A">
            <w:pPr>
              <w:widowControl/>
              <w:jc w:val="center"/>
              <w:rPr>
                <w:rFonts w:hint="eastAsia" w:ascii="宋体" w:hAnsi="宋体" w:cs="宋体"/>
                <w:kern w:val="0"/>
                <w:sz w:val="22"/>
                <w:szCs w:val="22"/>
              </w:rPr>
            </w:pPr>
            <w:r>
              <w:rPr>
                <w:rFonts w:hint="eastAsia" w:ascii="宋体" w:hAnsi="宋体" w:cs="宋体"/>
                <w:kern w:val="0"/>
                <w:sz w:val="22"/>
                <w:szCs w:val="22"/>
              </w:rPr>
              <w:t>税额</w:t>
            </w:r>
          </w:p>
        </w:tc>
        <w:tc>
          <w:tcPr>
            <w:tcW w:w="500" w:type="pct"/>
            <w:tcBorders>
              <w:top w:val="single" w:color="auto" w:sz="4" w:space="0"/>
              <w:left w:val="nil"/>
              <w:bottom w:val="single" w:color="auto" w:sz="4" w:space="0"/>
              <w:right w:val="single" w:color="auto" w:sz="4" w:space="0"/>
            </w:tcBorders>
            <w:noWrap w:val="0"/>
            <w:vAlign w:val="center"/>
          </w:tcPr>
          <w:p w14:paraId="33305E31"/>
          <w:p w14:paraId="522F7F80">
            <w:pPr>
              <w:widowControl/>
              <w:jc w:val="center"/>
              <w:rPr>
                <w:rFonts w:hint="eastAsia" w:ascii="宋体" w:hAnsi="宋体" w:cs="宋体"/>
                <w:kern w:val="0"/>
                <w:sz w:val="22"/>
                <w:szCs w:val="22"/>
              </w:rPr>
            </w:pPr>
            <w:r>
              <w:rPr>
                <w:rFonts w:hint="eastAsia" w:ascii="宋体" w:hAnsi="宋体" w:cs="宋体"/>
                <w:kern w:val="0"/>
                <w:sz w:val="22"/>
                <w:szCs w:val="22"/>
              </w:rPr>
              <w:t>总价（含税）</w:t>
            </w:r>
          </w:p>
        </w:tc>
        <w:tc>
          <w:tcPr>
            <w:tcW w:w="227" w:type="pct"/>
            <w:tcBorders>
              <w:top w:val="single" w:color="auto" w:sz="4" w:space="0"/>
              <w:left w:val="nil"/>
              <w:bottom w:val="single" w:color="auto" w:sz="4" w:space="0"/>
              <w:right w:val="single" w:color="auto" w:sz="4" w:space="0"/>
            </w:tcBorders>
            <w:noWrap w:val="0"/>
            <w:vAlign w:val="center"/>
          </w:tcPr>
          <w:p w14:paraId="561D153B">
            <w:pPr>
              <w:widowControl/>
              <w:jc w:val="center"/>
              <w:rPr>
                <w:rFonts w:hint="eastAsia" w:ascii="宋体" w:hAnsi="宋体" w:cs="宋体"/>
                <w:kern w:val="0"/>
                <w:sz w:val="22"/>
                <w:szCs w:val="22"/>
              </w:rPr>
            </w:pPr>
            <w:r>
              <w:rPr>
                <w:rFonts w:hint="eastAsia" w:ascii="宋体" w:hAnsi="宋体" w:cs="宋体"/>
                <w:kern w:val="0"/>
                <w:sz w:val="22"/>
                <w:szCs w:val="22"/>
              </w:rPr>
              <w:t>品牌</w:t>
            </w:r>
          </w:p>
        </w:tc>
        <w:tc>
          <w:tcPr>
            <w:tcW w:w="451" w:type="pct"/>
            <w:tcBorders>
              <w:top w:val="single" w:color="auto" w:sz="4" w:space="0"/>
              <w:left w:val="single" w:color="auto" w:sz="4" w:space="0"/>
              <w:bottom w:val="single" w:color="auto" w:sz="4" w:space="0"/>
              <w:right w:val="nil"/>
            </w:tcBorders>
            <w:noWrap/>
            <w:vAlign w:val="center"/>
          </w:tcPr>
          <w:p w14:paraId="5876F958">
            <w:pPr>
              <w:widowControl/>
              <w:jc w:val="center"/>
              <w:rPr>
                <w:rFonts w:hint="eastAsia" w:ascii="宋体" w:hAnsi="宋体" w:cs="宋体"/>
                <w:kern w:val="0"/>
                <w:sz w:val="22"/>
                <w:szCs w:val="22"/>
              </w:rPr>
            </w:pPr>
            <w:r>
              <w:rPr>
                <w:rFonts w:hint="eastAsia" w:ascii="宋体" w:hAnsi="宋体" w:cs="宋体"/>
                <w:kern w:val="0"/>
                <w:sz w:val="22"/>
                <w:szCs w:val="22"/>
              </w:rPr>
              <w:t>制造商</w:t>
            </w:r>
          </w:p>
        </w:tc>
        <w:tc>
          <w:tcPr>
            <w:tcW w:w="339" w:type="pct"/>
            <w:tcBorders>
              <w:top w:val="single" w:color="auto" w:sz="4" w:space="0"/>
              <w:left w:val="single" w:color="auto" w:sz="4" w:space="0"/>
              <w:bottom w:val="single" w:color="auto" w:sz="4" w:space="0"/>
              <w:right w:val="single" w:color="auto" w:sz="4" w:space="0"/>
            </w:tcBorders>
            <w:noWrap/>
            <w:vAlign w:val="center"/>
          </w:tcPr>
          <w:p w14:paraId="74F443E2">
            <w:pPr>
              <w:widowControl/>
              <w:jc w:val="center"/>
              <w:rPr>
                <w:rFonts w:hint="eastAsia" w:ascii="宋体" w:hAnsi="宋体" w:cs="宋体"/>
                <w:kern w:val="0"/>
                <w:sz w:val="22"/>
                <w:szCs w:val="22"/>
              </w:rPr>
            </w:pPr>
            <w:r>
              <w:rPr>
                <w:rFonts w:hint="eastAsia" w:ascii="宋体" w:hAnsi="宋体" w:cs="宋体"/>
                <w:kern w:val="0"/>
                <w:sz w:val="22"/>
                <w:szCs w:val="22"/>
              </w:rPr>
              <w:t>备注</w:t>
            </w:r>
          </w:p>
        </w:tc>
      </w:tr>
      <w:tr w14:paraId="58A2668B">
        <w:tblPrEx>
          <w:tblCellMar>
            <w:top w:w="0" w:type="dxa"/>
            <w:left w:w="108" w:type="dxa"/>
            <w:bottom w:w="0" w:type="dxa"/>
            <w:right w:w="108" w:type="dxa"/>
          </w:tblCellMar>
        </w:tblPrEx>
        <w:trPr>
          <w:trHeight w:val="1057" w:hRule="atLeast"/>
        </w:trPr>
        <w:tc>
          <w:tcPr>
            <w:tcW w:w="421" w:type="dxa"/>
            <w:tcBorders>
              <w:top w:val="single" w:color="auto" w:sz="4" w:space="0"/>
              <w:left w:val="single" w:color="auto" w:sz="4" w:space="0"/>
              <w:bottom w:val="single" w:color="auto" w:sz="4" w:space="0"/>
              <w:right w:val="single" w:color="auto" w:sz="4" w:space="0"/>
            </w:tcBorders>
            <w:noWrap/>
            <w:vAlign w:val="center"/>
          </w:tcPr>
          <w:p w14:paraId="2DAC00DD">
            <w:pPr>
              <w:widowControl/>
              <w:jc w:val="center"/>
              <w:textAlignment w:val="center"/>
              <w:rPr>
                <w:rFonts w:hint="eastAsia" w:ascii="宋体" w:hAnsi="宋体" w:cs="宋体"/>
                <w:kern w:val="0"/>
                <w:sz w:val="28"/>
                <w:szCs w:val="28"/>
                <w:highlight w:val="green"/>
              </w:rPr>
            </w:pPr>
            <w:r>
              <w:rPr>
                <w:rFonts w:hint="eastAsia" w:ascii="宋体" w:hAnsi="宋体" w:cs="宋体"/>
                <w:color w:val="000000"/>
                <w:kern w:val="0"/>
                <w:sz w:val="24"/>
                <w:szCs w:val="24"/>
                <w:highlight w:val="green"/>
                <w:lang w:bidi="ar"/>
              </w:rPr>
              <w:t>1</w:t>
            </w:r>
          </w:p>
        </w:tc>
        <w:tc>
          <w:tcPr>
            <w:tcW w:w="1607" w:type="dxa"/>
            <w:tcBorders>
              <w:top w:val="single" w:color="auto" w:sz="4" w:space="0"/>
              <w:left w:val="single" w:color="auto" w:sz="4" w:space="0"/>
              <w:bottom w:val="single" w:color="auto" w:sz="4" w:space="0"/>
              <w:right w:val="single" w:color="auto" w:sz="4" w:space="0"/>
            </w:tcBorders>
            <w:noWrap/>
            <w:vAlign w:val="center"/>
          </w:tcPr>
          <w:p w14:paraId="02BAF439">
            <w:pPr>
              <w:widowControl/>
              <w:jc w:val="center"/>
              <w:textAlignment w:val="center"/>
              <w:rPr>
                <w:rFonts w:ascii="宋体" w:hAnsi="宋体" w:cs="宋体"/>
                <w:kern w:val="0"/>
                <w:sz w:val="28"/>
                <w:szCs w:val="28"/>
                <w:highlight w:val="green"/>
              </w:rPr>
            </w:pPr>
            <w:r>
              <w:rPr>
                <w:rFonts w:hint="eastAsia" w:ascii="宋体" w:hAnsi="宋体" w:eastAsia="宋体" w:cs="宋体"/>
                <w:color w:val="000000"/>
                <w:kern w:val="0"/>
                <w:sz w:val="24"/>
                <w:szCs w:val="24"/>
                <w:highlight w:val="green"/>
                <w:lang w:bidi="ar"/>
              </w:rPr>
              <w:t>装焊夹具</w:t>
            </w:r>
          </w:p>
        </w:tc>
        <w:tc>
          <w:tcPr>
            <w:tcW w:w="1008" w:type="dxa"/>
            <w:tcBorders>
              <w:top w:val="single" w:color="auto" w:sz="4" w:space="0"/>
              <w:left w:val="single" w:color="auto" w:sz="4" w:space="0"/>
              <w:bottom w:val="single" w:color="auto" w:sz="4" w:space="0"/>
              <w:right w:val="single" w:color="auto" w:sz="4" w:space="0"/>
            </w:tcBorders>
            <w:noWrap/>
            <w:vAlign w:val="center"/>
          </w:tcPr>
          <w:p w14:paraId="672FE77C">
            <w:pPr>
              <w:widowControl/>
              <w:jc w:val="center"/>
              <w:textAlignment w:val="center"/>
              <w:rPr>
                <w:rFonts w:ascii="宋体" w:hAnsi="宋体" w:cs="宋体"/>
                <w:kern w:val="0"/>
                <w:sz w:val="28"/>
                <w:szCs w:val="28"/>
                <w:highlight w:val="green"/>
              </w:rPr>
            </w:pPr>
            <w:r>
              <w:rPr>
                <w:rFonts w:hint="eastAsia" w:ascii="宋体" w:hAnsi="宋体" w:eastAsia="宋体" w:cs="宋体"/>
                <w:color w:val="000000"/>
                <w:kern w:val="0"/>
                <w:sz w:val="21"/>
                <w:szCs w:val="28"/>
                <w:highlight w:val="green"/>
                <w:lang w:bidi="ar"/>
              </w:rPr>
              <w:t>QX7703-00225</w:t>
            </w:r>
          </w:p>
        </w:tc>
        <w:tc>
          <w:tcPr>
            <w:tcW w:w="435" w:type="dxa"/>
            <w:tcBorders>
              <w:top w:val="single" w:color="auto" w:sz="4" w:space="0"/>
              <w:left w:val="single" w:color="auto" w:sz="4" w:space="0"/>
              <w:bottom w:val="single" w:color="auto" w:sz="4" w:space="0"/>
              <w:right w:val="single" w:color="auto" w:sz="4" w:space="0"/>
            </w:tcBorders>
            <w:noWrap/>
            <w:vAlign w:val="center"/>
          </w:tcPr>
          <w:p w14:paraId="1512D2A3">
            <w:pPr>
              <w:widowControl/>
              <w:jc w:val="center"/>
              <w:textAlignment w:val="center"/>
              <w:rPr>
                <w:rFonts w:hint="eastAsia" w:ascii="宋体" w:hAnsi="宋体" w:cs="宋体"/>
                <w:kern w:val="0"/>
                <w:sz w:val="28"/>
                <w:szCs w:val="28"/>
                <w:highlight w:val="green"/>
              </w:rPr>
            </w:pPr>
            <w:r>
              <w:rPr>
                <w:rFonts w:hint="eastAsia" w:ascii="宋体" w:hAnsi="宋体" w:eastAsia="宋体" w:cs="宋体"/>
                <w:kern w:val="0"/>
                <w:sz w:val="24"/>
                <w:szCs w:val="24"/>
                <w:highlight w:val="green"/>
              </w:rPr>
              <w:t>套</w:t>
            </w:r>
          </w:p>
        </w:tc>
        <w:tc>
          <w:tcPr>
            <w:tcW w:w="630" w:type="dxa"/>
            <w:tcBorders>
              <w:top w:val="single" w:color="auto" w:sz="4" w:space="0"/>
              <w:left w:val="single" w:color="auto" w:sz="4" w:space="0"/>
              <w:bottom w:val="single" w:color="auto" w:sz="4" w:space="0"/>
              <w:right w:val="single" w:color="auto" w:sz="4" w:space="0"/>
            </w:tcBorders>
            <w:noWrap/>
            <w:vAlign w:val="center"/>
          </w:tcPr>
          <w:p w14:paraId="3A767F32">
            <w:pPr>
              <w:widowControl/>
              <w:jc w:val="center"/>
              <w:textAlignment w:val="center"/>
              <w:rPr>
                <w:rFonts w:hint="eastAsia" w:ascii="宋体" w:hAnsi="宋体" w:cs="宋体"/>
                <w:color w:val="000000"/>
                <w:kern w:val="0"/>
                <w:sz w:val="22"/>
                <w:szCs w:val="22"/>
                <w:highlight w:val="green"/>
                <w:lang w:bidi="ar"/>
              </w:rPr>
            </w:pPr>
            <w:r>
              <w:rPr>
                <w:rFonts w:hint="eastAsia" w:ascii="宋体" w:hAnsi="宋体" w:eastAsia="宋体" w:cs="宋体"/>
                <w:color w:val="000000"/>
                <w:kern w:val="0"/>
                <w:sz w:val="21"/>
                <w:szCs w:val="21"/>
                <w:highlight w:val="green"/>
                <w:lang w:bidi="ar"/>
              </w:rPr>
              <w:t>1</w:t>
            </w:r>
          </w:p>
        </w:tc>
        <w:tc>
          <w:tcPr>
            <w:tcW w:w="1261" w:type="dxa"/>
            <w:tcBorders>
              <w:top w:val="single" w:color="auto" w:sz="4" w:space="0"/>
              <w:left w:val="single" w:color="auto" w:sz="4" w:space="0"/>
              <w:bottom w:val="single" w:color="auto" w:sz="4" w:space="0"/>
              <w:right w:val="single" w:color="auto" w:sz="4" w:space="0"/>
            </w:tcBorders>
            <w:noWrap/>
            <w:vAlign w:val="center"/>
          </w:tcPr>
          <w:p w14:paraId="6BB7F523">
            <w:pPr>
              <w:widowControl/>
              <w:jc w:val="center"/>
              <w:textAlignment w:val="center"/>
              <w:rPr>
                <w:rFonts w:hint="eastAsia" w:ascii="宋体" w:hAnsi="宋体" w:cs="宋体"/>
                <w:kern w:val="0"/>
                <w:sz w:val="28"/>
                <w:szCs w:val="28"/>
                <w:highlight w:val="green"/>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48D1947E">
            <w:pPr>
              <w:widowControl/>
              <w:jc w:val="center"/>
              <w:textAlignment w:val="center"/>
              <w:rPr>
                <w:rFonts w:hint="eastAsia" w:ascii="宋体" w:hAnsi="宋体" w:cs="宋体"/>
                <w:kern w:val="0"/>
                <w:sz w:val="22"/>
                <w:szCs w:val="22"/>
                <w:highlight w:val="green"/>
              </w:rPr>
            </w:pPr>
            <w:r>
              <w:rPr>
                <w:rFonts w:hint="eastAsia" w:ascii="宋体" w:hAnsi="宋体" w:eastAsia="宋体" w:cs="宋体"/>
                <w:color w:val="000000"/>
                <w:kern w:val="0"/>
                <w:sz w:val="21"/>
                <w:szCs w:val="21"/>
                <w:highlight w:val="green"/>
                <w:lang w:bidi="ar"/>
              </w:rPr>
              <w:t>13%</w:t>
            </w:r>
          </w:p>
        </w:tc>
        <w:tc>
          <w:tcPr>
            <w:tcW w:w="206" w:type="pct"/>
            <w:tcBorders>
              <w:top w:val="single" w:color="auto" w:sz="4" w:space="0"/>
              <w:left w:val="single" w:color="auto" w:sz="4" w:space="0"/>
              <w:bottom w:val="single" w:color="auto" w:sz="4" w:space="0"/>
              <w:right w:val="single" w:color="auto" w:sz="4" w:space="0"/>
            </w:tcBorders>
            <w:noWrap w:val="0"/>
            <w:vAlign w:val="center"/>
          </w:tcPr>
          <w:p w14:paraId="363888A0">
            <w:pPr>
              <w:widowControl/>
              <w:jc w:val="center"/>
              <w:textAlignment w:val="center"/>
              <w:rPr>
                <w:rFonts w:hint="eastAsia" w:ascii="宋体" w:hAnsi="宋体" w:cs="宋体"/>
                <w:kern w:val="0"/>
                <w:sz w:val="20"/>
                <w:highlight w:val="yellow"/>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2A7F1C5">
            <w:pPr>
              <w:widowControl/>
              <w:jc w:val="center"/>
              <w:textAlignment w:val="center"/>
              <w:rPr>
                <w:rFonts w:hint="eastAsia" w:ascii="宋体" w:hAnsi="宋体" w:cs="宋体"/>
                <w:kern w:val="0"/>
                <w:sz w:val="20"/>
                <w:highlight w:val="yellow"/>
              </w:rPr>
            </w:pPr>
          </w:p>
        </w:tc>
        <w:tc>
          <w:tcPr>
            <w:tcW w:w="227" w:type="pct"/>
            <w:tcBorders>
              <w:top w:val="single" w:color="auto" w:sz="4" w:space="0"/>
              <w:left w:val="single" w:color="auto" w:sz="4" w:space="0"/>
              <w:bottom w:val="single" w:color="auto" w:sz="4" w:space="0"/>
              <w:right w:val="single" w:color="auto" w:sz="4" w:space="0"/>
            </w:tcBorders>
            <w:noWrap w:val="0"/>
            <w:vAlign w:val="center"/>
          </w:tcPr>
          <w:p w14:paraId="03ACDED3">
            <w:pPr>
              <w:widowControl/>
              <w:jc w:val="center"/>
              <w:textAlignment w:val="center"/>
              <w:rPr>
                <w:rFonts w:hint="eastAsia" w:ascii="宋体" w:hAnsi="宋体" w:cs="宋体"/>
                <w:kern w:val="0"/>
                <w:sz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6126D06F">
            <w:pPr>
              <w:widowControl/>
              <w:jc w:val="center"/>
              <w:textAlignment w:val="center"/>
              <w:rPr>
                <w:rFonts w:hint="eastAsia" w:ascii="宋体" w:hAnsi="宋体" w:cs="宋体"/>
                <w:kern w:val="0"/>
                <w:sz w:val="20"/>
              </w:rPr>
            </w:pPr>
          </w:p>
        </w:tc>
        <w:tc>
          <w:tcPr>
            <w:tcW w:w="339" w:type="pct"/>
            <w:tcBorders>
              <w:top w:val="single" w:color="auto" w:sz="4" w:space="0"/>
              <w:left w:val="single" w:color="auto" w:sz="4" w:space="0"/>
              <w:bottom w:val="single" w:color="auto" w:sz="4" w:space="0"/>
              <w:right w:val="single" w:color="auto" w:sz="4" w:space="0"/>
            </w:tcBorders>
            <w:noWrap/>
            <w:vAlign w:val="center"/>
          </w:tcPr>
          <w:p w14:paraId="3BF1A3C3">
            <w:pPr>
              <w:jc w:val="center"/>
              <w:rPr>
                <w:rFonts w:hint="eastAsia" w:ascii="宋体" w:hAnsi="宋体" w:cs="宋体"/>
                <w:kern w:val="0"/>
                <w:sz w:val="20"/>
              </w:rPr>
            </w:pPr>
          </w:p>
        </w:tc>
      </w:tr>
    </w:tbl>
    <w:p w14:paraId="751080E8">
      <w:pPr>
        <w:widowControl/>
        <w:adjustRightInd w:val="0"/>
        <w:snapToGrid w:val="0"/>
        <w:spacing w:line="360" w:lineRule="auto"/>
        <w:jc w:val="left"/>
        <w:rPr>
          <w:rFonts w:hint="eastAsia" w:ascii="宋体" w:hAnsi="宋体" w:cs="宋体"/>
          <w:sz w:val="28"/>
          <w:szCs w:val="28"/>
        </w:rPr>
      </w:pPr>
    </w:p>
    <w:p w14:paraId="366BEA70">
      <w:pPr>
        <w:widowControl/>
        <w:adjustRightInd w:val="0"/>
        <w:snapToGrid w:val="0"/>
        <w:spacing w:line="360" w:lineRule="auto"/>
        <w:jc w:val="left"/>
        <w:rPr>
          <w:rFonts w:hint="eastAsia" w:ascii="宋体" w:hAnsi="宋体" w:cs="宋体"/>
          <w:sz w:val="28"/>
          <w:szCs w:val="28"/>
        </w:rPr>
      </w:pPr>
    </w:p>
    <w:p w14:paraId="6444719E">
      <w:pPr>
        <w:widowControl/>
        <w:adjustRightInd w:val="0"/>
        <w:snapToGrid w:val="0"/>
        <w:spacing w:line="360" w:lineRule="auto"/>
        <w:jc w:val="left"/>
        <w:rPr>
          <w:rFonts w:hint="eastAsia" w:ascii="宋体" w:hAnsi="宋体" w:cs="宋体"/>
          <w:sz w:val="28"/>
          <w:szCs w:val="28"/>
        </w:rPr>
      </w:pPr>
    </w:p>
    <w:p w14:paraId="61F0F3E8">
      <w:pPr>
        <w:widowControl/>
        <w:adjustRightInd w:val="0"/>
        <w:snapToGrid w:val="0"/>
        <w:spacing w:line="360" w:lineRule="auto"/>
        <w:jc w:val="left"/>
        <w:rPr>
          <w:rFonts w:hint="eastAsia" w:ascii="宋体" w:hAnsi="宋体" w:cs="宋体"/>
          <w:sz w:val="28"/>
          <w:szCs w:val="28"/>
        </w:rPr>
      </w:pPr>
    </w:p>
    <w:p w14:paraId="2780E2E1">
      <w:pPr>
        <w:widowControl/>
        <w:adjustRightInd w:val="0"/>
        <w:snapToGrid w:val="0"/>
        <w:spacing w:line="360" w:lineRule="auto"/>
        <w:jc w:val="left"/>
        <w:rPr>
          <w:rFonts w:hint="eastAsia" w:ascii="宋体" w:hAnsi="宋体" w:cs="宋体"/>
          <w:sz w:val="28"/>
          <w:szCs w:val="28"/>
        </w:rPr>
      </w:pPr>
    </w:p>
    <w:p w14:paraId="05483443">
      <w:pPr>
        <w:widowControl/>
        <w:adjustRightInd w:val="0"/>
        <w:snapToGrid w:val="0"/>
        <w:spacing w:line="360" w:lineRule="auto"/>
        <w:jc w:val="left"/>
        <w:rPr>
          <w:rFonts w:hint="eastAsia" w:ascii="宋体" w:hAnsi="宋体" w:cs="宋体"/>
          <w:sz w:val="28"/>
          <w:szCs w:val="28"/>
        </w:rPr>
      </w:pPr>
    </w:p>
    <w:p w14:paraId="4C6EF163">
      <w:pPr>
        <w:widowControl/>
        <w:adjustRightInd w:val="0"/>
        <w:snapToGrid w:val="0"/>
        <w:spacing w:line="360" w:lineRule="auto"/>
        <w:jc w:val="left"/>
        <w:rPr>
          <w:rFonts w:hint="eastAsia" w:ascii="宋体" w:hAnsi="宋体" w:cs="宋体"/>
          <w:sz w:val="28"/>
          <w:szCs w:val="28"/>
        </w:rPr>
      </w:pPr>
    </w:p>
    <w:p w14:paraId="7CFB1FE1">
      <w:pPr>
        <w:widowControl/>
        <w:adjustRightInd w:val="0"/>
        <w:snapToGrid w:val="0"/>
        <w:spacing w:line="360" w:lineRule="auto"/>
        <w:jc w:val="left"/>
        <w:rPr>
          <w:rFonts w:hint="eastAsia" w:ascii="宋体" w:hAnsi="宋体" w:cs="宋体"/>
          <w:sz w:val="28"/>
          <w:szCs w:val="28"/>
        </w:rPr>
      </w:pPr>
    </w:p>
    <w:p w14:paraId="4DB0E262">
      <w:pPr>
        <w:widowControl/>
        <w:adjustRightInd w:val="0"/>
        <w:snapToGrid w:val="0"/>
        <w:spacing w:line="360" w:lineRule="auto"/>
        <w:jc w:val="left"/>
        <w:rPr>
          <w:rFonts w:hint="eastAsia" w:ascii="宋体" w:hAnsi="宋体" w:cs="宋体"/>
          <w:sz w:val="28"/>
          <w:szCs w:val="28"/>
        </w:rPr>
      </w:pPr>
    </w:p>
    <w:p w14:paraId="7013C343">
      <w:pPr>
        <w:widowControl/>
        <w:adjustRightInd w:val="0"/>
        <w:snapToGrid w:val="0"/>
        <w:spacing w:line="360" w:lineRule="auto"/>
        <w:jc w:val="left"/>
        <w:rPr>
          <w:rFonts w:hint="eastAsia" w:ascii="宋体" w:hAnsi="宋体" w:cs="宋体"/>
          <w:sz w:val="28"/>
          <w:szCs w:val="28"/>
        </w:rPr>
      </w:pPr>
    </w:p>
    <w:p w14:paraId="39234A0E">
      <w:pPr>
        <w:widowControl/>
        <w:adjustRightInd w:val="0"/>
        <w:snapToGrid w:val="0"/>
        <w:spacing w:line="360" w:lineRule="auto"/>
        <w:jc w:val="left"/>
        <w:rPr>
          <w:rFonts w:hint="eastAsia" w:ascii="宋体" w:hAnsi="宋体" w:cs="宋体"/>
          <w:sz w:val="28"/>
          <w:szCs w:val="28"/>
        </w:rPr>
      </w:pPr>
    </w:p>
    <w:p w14:paraId="1B0776E9">
      <w:pPr>
        <w:widowControl/>
        <w:adjustRightInd w:val="0"/>
        <w:snapToGrid w:val="0"/>
        <w:spacing w:line="360" w:lineRule="auto"/>
        <w:jc w:val="left"/>
        <w:rPr>
          <w:rFonts w:hint="eastAsia" w:ascii="宋体" w:hAnsi="宋体" w:cs="宋体"/>
          <w:sz w:val="28"/>
          <w:szCs w:val="28"/>
        </w:rPr>
      </w:pPr>
    </w:p>
    <w:p w14:paraId="5FBC8AC8">
      <w:pPr>
        <w:widowControl/>
        <w:adjustRightInd w:val="0"/>
        <w:snapToGrid w:val="0"/>
        <w:spacing w:line="360" w:lineRule="auto"/>
        <w:jc w:val="left"/>
        <w:rPr>
          <w:rFonts w:hint="eastAsia" w:ascii="宋体" w:hAnsi="宋体" w:cs="宋体"/>
          <w:sz w:val="28"/>
          <w:szCs w:val="28"/>
        </w:rPr>
      </w:pPr>
    </w:p>
    <w:p w14:paraId="269D24B3">
      <w:pPr>
        <w:widowControl/>
        <w:adjustRightInd w:val="0"/>
        <w:snapToGrid w:val="0"/>
        <w:spacing w:line="360" w:lineRule="auto"/>
        <w:jc w:val="left"/>
        <w:rPr>
          <w:rFonts w:hint="eastAsia" w:ascii="宋体" w:hAnsi="宋体" w:cs="宋体"/>
          <w:sz w:val="28"/>
          <w:szCs w:val="28"/>
        </w:rPr>
      </w:pPr>
    </w:p>
    <w:p w14:paraId="585D9495">
      <w:pPr>
        <w:widowControl/>
        <w:adjustRightInd w:val="0"/>
        <w:snapToGrid w:val="0"/>
        <w:spacing w:line="360" w:lineRule="auto"/>
        <w:jc w:val="left"/>
        <w:rPr>
          <w:rFonts w:hint="eastAsia" w:ascii="宋体" w:hAnsi="宋体" w:cs="宋体"/>
          <w:sz w:val="28"/>
          <w:szCs w:val="28"/>
        </w:rPr>
      </w:pPr>
    </w:p>
    <w:p w14:paraId="6FE7EBDB">
      <w:pPr>
        <w:widowControl/>
        <w:adjustRightInd w:val="0"/>
        <w:snapToGrid w:val="0"/>
        <w:spacing w:line="360" w:lineRule="auto"/>
        <w:jc w:val="left"/>
        <w:rPr>
          <w:rFonts w:hint="eastAsia" w:ascii="宋体" w:hAnsi="宋体" w:cs="宋体"/>
          <w:sz w:val="28"/>
          <w:szCs w:val="28"/>
        </w:rPr>
      </w:pPr>
    </w:p>
    <w:p w14:paraId="37CBF3CA">
      <w:pPr>
        <w:widowControl/>
        <w:adjustRightInd w:val="0"/>
        <w:snapToGrid w:val="0"/>
        <w:spacing w:line="360" w:lineRule="auto"/>
        <w:jc w:val="left"/>
        <w:rPr>
          <w:rFonts w:hint="eastAsia" w:ascii="宋体" w:hAnsi="宋体" w:cs="宋体"/>
          <w:sz w:val="28"/>
          <w:szCs w:val="28"/>
        </w:rPr>
      </w:pPr>
    </w:p>
    <w:p w14:paraId="64D752A5">
      <w:pPr>
        <w:widowControl/>
        <w:adjustRightInd w:val="0"/>
        <w:snapToGrid w:val="0"/>
        <w:spacing w:line="360" w:lineRule="auto"/>
        <w:jc w:val="left"/>
        <w:rPr>
          <w:rFonts w:hint="eastAsia" w:ascii="宋体" w:hAnsi="宋体" w:cs="宋体"/>
          <w:sz w:val="28"/>
          <w:szCs w:val="28"/>
        </w:rPr>
      </w:pPr>
    </w:p>
    <w:p w14:paraId="0DC2A276">
      <w:pPr>
        <w:widowControl/>
        <w:adjustRightInd w:val="0"/>
        <w:snapToGrid w:val="0"/>
        <w:spacing w:line="360" w:lineRule="auto"/>
        <w:jc w:val="left"/>
        <w:rPr>
          <w:rFonts w:hint="eastAsia" w:ascii="宋体" w:hAnsi="宋体" w:cs="宋体"/>
          <w:sz w:val="28"/>
          <w:szCs w:val="28"/>
        </w:rPr>
      </w:pPr>
    </w:p>
    <w:p w14:paraId="2725A02F">
      <w:pPr>
        <w:widowControl/>
        <w:adjustRightInd w:val="0"/>
        <w:snapToGrid w:val="0"/>
        <w:spacing w:line="360" w:lineRule="auto"/>
        <w:jc w:val="left"/>
        <w:rPr>
          <w:rFonts w:hint="eastAsia" w:ascii="黑体" w:eastAsia="黑体"/>
          <w:sz w:val="44"/>
          <w:szCs w:val="44"/>
        </w:rPr>
      </w:pPr>
      <w:r>
        <w:rPr>
          <w:rFonts w:hint="eastAsia" w:ascii="宋体" w:hAnsi="宋体" w:cs="宋体"/>
          <w:sz w:val="28"/>
          <w:szCs w:val="28"/>
        </w:rPr>
        <w:t>附件：</w:t>
      </w:r>
    </w:p>
    <w:p w14:paraId="16D2B6EA">
      <w:pPr>
        <w:spacing w:line="490" w:lineRule="exact"/>
        <w:jc w:val="center"/>
        <w:rPr>
          <w:rFonts w:hint="eastAsia" w:ascii="黑体" w:eastAsia="黑体"/>
          <w:sz w:val="44"/>
          <w:szCs w:val="44"/>
        </w:rPr>
      </w:pPr>
      <w:r>
        <w:rPr>
          <w:rFonts w:hint="eastAsia" w:ascii="黑体" w:eastAsia="黑体"/>
          <w:sz w:val="44"/>
          <w:szCs w:val="44"/>
        </w:rPr>
        <w:t>技 术 协 议</w:t>
      </w:r>
    </w:p>
    <w:p w14:paraId="294A3C67">
      <w:pPr>
        <w:spacing w:line="490" w:lineRule="exact"/>
        <w:jc w:val="center"/>
        <w:rPr>
          <w:rFonts w:hint="eastAsia" w:ascii="宋体" w:hAnsi="宋体" w:cs="宋体"/>
          <w:sz w:val="28"/>
          <w:szCs w:val="28"/>
          <w:highlight w:val="green"/>
        </w:rPr>
      </w:pPr>
      <w:r>
        <w:rPr>
          <w:rFonts w:hint="eastAsia" w:ascii="宋体" w:hAnsi="宋体" w:cs="宋体"/>
          <w:kern w:val="0"/>
          <w:sz w:val="28"/>
          <w:szCs w:val="28"/>
          <w:highlight w:val="green"/>
          <w:lang w:bidi="ar"/>
        </w:rPr>
        <w:t>（1493688 QX7703-00225 装焊夹具）</w:t>
      </w:r>
    </w:p>
    <w:p w14:paraId="3AC4A36D">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重汽（济南）车桥有限公司</w:t>
      </w:r>
    </w:p>
    <w:p w14:paraId="639EEFDB">
      <w:pPr>
        <w:pStyle w:val="3"/>
        <w:rPr>
          <w:rFonts w:hint="eastAsia" w:ascii="宋体" w:hAnsi="宋体" w:eastAsia="宋体" w:cs="宋体"/>
          <w:snapToGrid w:val="0"/>
          <w:kern w:val="0"/>
          <w:sz w:val="24"/>
          <w:szCs w:val="24"/>
          <w:lang w:eastAsia="zh-Hans"/>
        </w:rPr>
      </w:pPr>
      <w:r>
        <w:rPr>
          <w:rFonts w:hint="eastAsia" w:ascii="宋体" w:hAnsi="宋体" w:eastAsia="宋体" w:cs="宋体"/>
          <w:snapToGrid w:val="0"/>
          <w:kern w:val="0"/>
          <w:sz w:val="24"/>
          <w:szCs w:val="24"/>
        </w:rPr>
        <w:t>供</w:t>
      </w:r>
      <w:r>
        <w:rPr>
          <w:rFonts w:hint="eastAsia" w:ascii="宋体" w:hAnsi="宋体" w:eastAsia="宋体" w:cs="宋体"/>
          <w:snapToGrid w:val="0"/>
          <w:kern w:val="0"/>
          <w:sz w:val="24"/>
          <w:szCs w:val="24"/>
          <w:lang w:eastAsia="zh-Hans"/>
        </w:rPr>
        <w:t>方：</w:t>
      </w:r>
    </w:p>
    <w:p w14:paraId="246EB6B2">
      <w:pPr>
        <w:pStyle w:val="4"/>
        <w:rPr>
          <w:rFonts w:hint="eastAsia"/>
        </w:rPr>
      </w:pPr>
    </w:p>
    <w:p w14:paraId="67CE4D1D">
      <w:pPr>
        <w:spacing w:line="360" w:lineRule="exact"/>
        <w:rPr>
          <w:rFonts w:hint="eastAsia" w:ascii="宋体" w:hAnsi="宋体"/>
          <w:sz w:val="24"/>
          <w:szCs w:val="24"/>
        </w:rPr>
      </w:pPr>
      <w:r>
        <w:rPr>
          <w:rFonts w:hint="eastAsia" w:ascii="宋体" w:hAnsi="宋体"/>
          <w:sz w:val="24"/>
          <w:szCs w:val="24"/>
        </w:rPr>
        <w:t>一、目的：</w:t>
      </w:r>
    </w:p>
    <w:p w14:paraId="1128D261">
      <w:pPr>
        <w:spacing w:line="360" w:lineRule="auto"/>
        <w:ind w:firstLine="480" w:firstLineChars="200"/>
        <w:jc w:val="left"/>
        <w:rPr>
          <w:rFonts w:ascii="宋体" w:hAnsi="宋体"/>
          <w:sz w:val="24"/>
          <w:szCs w:val="24"/>
        </w:rPr>
      </w:pPr>
      <w:r>
        <w:rPr>
          <w:rFonts w:ascii="宋体" w:hAnsi="宋体"/>
          <w:sz w:val="24"/>
          <w:szCs w:val="24"/>
        </w:rPr>
        <w:t>本协议明确双方合作范围、责任、验收标准等内容，是对合同的重要补充，与合同具有同等法律效应。</w:t>
      </w:r>
    </w:p>
    <w:p w14:paraId="79A5012D">
      <w:pPr>
        <w:spacing w:line="360" w:lineRule="auto"/>
        <w:jc w:val="left"/>
        <w:rPr>
          <w:rFonts w:hint="eastAsia" w:ascii="宋体" w:hAnsi="宋体"/>
          <w:sz w:val="24"/>
          <w:szCs w:val="24"/>
        </w:rPr>
      </w:pPr>
      <w:r>
        <w:rPr>
          <w:rFonts w:hint="eastAsia" w:ascii="宋体" w:hAnsi="宋体"/>
          <w:sz w:val="24"/>
          <w:szCs w:val="24"/>
        </w:rPr>
        <w:t>二、项目概述</w:t>
      </w:r>
    </w:p>
    <w:p w14:paraId="77C60205">
      <w:pPr>
        <w:rPr>
          <w:rFonts w:hint="eastAsia" w:ascii="宋体" w:hAnsi="宋体"/>
          <w:b/>
          <w:bCs/>
          <w:sz w:val="24"/>
          <w:szCs w:val="24"/>
        </w:rPr>
      </w:pPr>
      <w:r>
        <w:rPr>
          <w:rFonts w:hint="eastAsia" w:ascii="宋体" w:hAnsi="宋体"/>
          <w:b/>
          <w:bCs/>
          <w:sz w:val="24"/>
          <w:szCs w:val="24"/>
        </w:rPr>
        <w:t>1、概述：</w:t>
      </w:r>
    </w:p>
    <w:p w14:paraId="64348867">
      <w:pPr>
        <w:spacing w:line="360" w:lineRule="auto"/>
        <w:jc w:val="left"/>
        <w:rPr>
          <w:rFonts w:ascii="宋体" w:hAnsi="宋体"/>
          <w:sz w:val="24"/>
          <w:szCs w:val="24"/>
        </w:rPr>
      </w:pPr>
      <w:r>
        <w:rPr>
          <w:rFonts w:hint="eastAsia" w:ascii="宋体" w:hAnsi="宋体"/>
          <w:sz w:val="24"/>
          <w:szCs w:val="24"/>
        </w:rPr>
        <w:t>1.1该工程为交钥匙工程。即供方根据需方提供的设计资料负责工装的设计、制造、运输、调试、配合需方验收直至交付使用，并提供工装图三维和二维图纸等相关资料。</w:t>
      </w:r>
    </w:p>
    <w:p w14:paraId="07851098">
      <w:pPr>
        <w:spacing w:line="360" w:lineRule="auto"/>
        <w:rPr>
          <w:rFonts w:hint="eastAsia" w:ascii="宋体" w:hAnsi="宋体"/>
          <w:sz w:val="24"/>
          <w:szCs w:val="24"/>
        </w:rPr>
      </w:pPr>
      <w:r>
        <w:rPr>
          <w:rFonts w:hint="eastAsia" w:ascii="宋体" w:hAnsi="宋体"/>
          <w:sz w:val="24"/>
          <w:szCs w:val="24"/>
        </w:rPr>
        <w:t>1.2工装要求：工装必须是全新的，设计制作符合国家、行业相关安全、环保、职业卫生等法规要求。</w:t>
      </w:r>
    </w:p>
    <w:p w14:paraId="2DEF804E">
      <w:pPr>
        <w:spacing w:line="360" w:lineRule="auto"/>
        <w:rPr>
          <w:rFonts w:hint="eastAsia" w:ascii="宋体" w:hAnsi="宋体"/>
          <w:sz w:val="24"/>
          <w:szCs w:val="24"/>
        </w:rPr>
      </w:pPr>
      <w:r>
        <w:rPr>
          <w:rFonts w:hint="eastAsia" w:ascii="宋体" w:hAnsi="宋体"/>
          <w:sz w:val="24"/>
          <w:szCs w:val="24"/>
        </w:rPr>
        <w:t>1.3业绩要求：供方提供近三年在类似产品工装制作业绩说明。</w:t>
      </w:r>
    </w:p>
    <w:p w14:paraId="731A0D9A">
      <w:pPr>
        <w:spacing w:line="360" w:lineRule="auto"/>
        <w:rPr>
          <w:rFonts w:ascii="宋体" w:hAnsi="宋体"/>
          <w:sz w:val="24"/>
          <w:szCs w:val="24"/>
        </w:rPr>
      </w:pPr>
      <w:r>
        <w:rPr>
          <w:rFonts w:hint="eastAsia" w:ascii="宋体" w:hAnsi="宋体"/>
          <w:sz w:val="24"/>
          <w:szCs w:val="24"/>
        </w:rPr>
        <w:t>1.4交货期：</w:t>
      </w:r>
      <w:r>
        <w:rPr>
          <w:rFonts w:hint="eastAsia"/>
          <w:sz w:val="24"/>
          <w:szCs w:val="24"/>
          <w:highlight w:val="green"/>
        </w:rPr>
        <w:t>自订单下发之日起</w:t>
      </w:r>
      <w:r>
        <w:rPr>
          <w:rFonts w:hint="eastAsia"/>
          <w:sz w:val="24"/>
          <w:szCs w:val="24"/>
          <w:highlight w:val="green"/>
          <w:lang w:val="en-US" w:eastAsia="zh-CN"/>
        </w:rPr>
        <w:t>60</w:t>
      </w:r>
      <w:r>
        <w:rPr>
          <w:rFonts w:hint="eastAsia" w:ascii="宋体" w:hAnsi="宋体"/>
          <w:sz w:val="24"/>
          <w:szCs w:val="24"/>
          <w:highlight w:val="green"/>
        </w:rPr>
        <w:t>天</w:t>
      </w:r>
      <w:r>
        <w:rPr>
          <w:rFonts w:hint="eastAsia" w:ascii="宋体" w:hAnsi="宋体"/>
          <w:sz w:val="24"/>
          <w:szCs w:val="24"/>
        </w:rPr>
        <w:t>。</w:t>
      </w:r>
    </w:p>
    <w:p w14:paraId="20D05DC3">
      <w:pPr>
        <w:spacing w:before="240" w:after="60"/>
        <w:jc w:val="left"/>
        <w:outlineLvl w:val="0"/>
        <w:rPr>
          <w:rFonts w:hint="eastAsia" w:ascii="宋体" w:hAnsi="宋体" w:cs="黑体"/>
          <w:b/>
          <w:sz w:val="24"/>
          <w:szCs w:val="24"/>
        </w:rPr>
      </w:pPr>
      <w:r>
        <w:rPr>
          <w:rFonts w:hint="eastAsia" w:ascii="宋体" w:hAnsi="宋体" w:cs="黑体"/>
          <w:b/>
          <w:sz w:val="24"/>
          <w:szCs w:val="24"/>
        </w:rPr>
        <w:t>2、产品及工装信息</w:t>
      </w:r>
    </w:p>
    <w:p w14:paraId="27F9D35A">
      <w:pPr>
        <w:spacing w:line="360" w:lineRule="auto"/>
        <w:jc w:val="left"/>
        <w:rPr>
          <w:rFonts w:hint="eastAsia" w:ascii="宋体" w:hAnsi="宋体" w:cs="宋体"/>
          <w:sz w:val="24"/>
          <w:szCs w:val="24"/>
        </w:rPr>
      </w:pPr>
      <w:r>
        <w:rPr>
          <w:rFonts w:hint="eastAsia" w:ascii="宋体" w:hAnsi="宋体"/>
          <w:sz w:val="24"/>
          <w:szCs w:val="24"/>
        </w:rPr>
        <w:t>2.1</w:t>
      </w:r>
      <w:r>
        <w:rPr>
          <w:rFonts w:hint="eastAsia" w:ascii="宋体" w:hAnsi="宋体" w:cs="宋体"/>
          <w:sz w:val="24"/>
          <w:szCs w:val="24"/>
        </w:rPr>
        <w:t>产品信息见下表：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843"/>
        <w:gridCol w:w="3568"/>
      </w:tblGrid>
      <w:tr w14:paraId="63AD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14:paraId="4F691C5C">
            <w:pPr>
              <w:spacing w:line="360" w:lineRule="auto"/>
              <w:jc w:val="center"/>
              <w:rPr>
                <w:rFonts w:ascii="宋体" w:hAnsi="宋体" w:cs="仿宋"/>
                <w:sz w:val="24"/>
                <w:szCs w:val="24"/>
              </w:rPr>
            </w:pPr>
            <w:r>
              <w:rPr>
                <w:rFonts w:hint="eastAsia" w:ascii="宋体" w:hAnsi="宋体" w:cs="仿宋"/>
                <w:sz w:val="24"/>
                <w:szCs w:val="24"/>
              </w:rPr>
              <w:t>序号</w:t>
            </w:r>
          </w:p>
        </w:tc>
        <w:tc>
          <w:tcPr>
            <w:tcW w:w="3843" w:type="dxa"/>
            <w:noWrap w:val="0"/>
            <w:vAlign w:val="center"/>
          </w:tcPr>
          <w:p w14:paraId="75398610">
            <w:pPr>
              <w:spacing w:line="360" w:lineRule="auto"/>
              <w:jc w:val="center"/>
              <w:rPr>
                <w:rFonts w:ascii="宋体" w:hAnsi="宋体" w:cs="仿宋"/>
                <w:sz w:val="24"/>
                <w:szCs w:val="24"/>
              </w:rPr>
            </w:pPr>
            <w:r>
              <w:rPr>
                <w:rFonts w:hint="eastAsia" w:ascii="宋体" w:hAnsi="宋体" w:cs="仿宋"/>
                <w:sz w:val="24"/>
                <w:szCs w:val="24"/>
              </w:rPr>
              <w:t>产品图号</w:t>
            </w:r>
          </w:p>
        </w:tc>
        <w:tc>
          <w:tcPr>
            <w:tcW w:w="3568" w:type="dxa"/>
            <w:noWrap w:val="0"/>
            <w:vAlign w:val="center"/>
          </w:tcPr>
          <w:p w14:paraId="145446D1">
            <w:pPr>
              <w:spacing w:line="360" w:lineRule="auto"/>
              <w:jc w:val="center"/>
              <w:rPr>
                <w:rFonts w:ascii="宋体" w:hAnsi="宋体" w:cs="仿宋"/>
                <w:sz w:val="24"/>
                <w:szCs w:val="24"/>
              </w:rPr>
            </w:pPr>
            <w:r>
              <w:rPr>
                <w:rFonts w:hint="eastAsia" w:ascii="宋体" w:hAnsi="宋体" w:cs="仿宋"/>
                <w:sz w:val="24"/>
                <w:szCs w:val="24"/>
              </w:rPr>
              <w:t>产品名称</w:t>
            </w:r>
          </w:p>
        </w:tc>
      </w:tr>
      <w:tr w14:paraId="3ADD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2" w:type="dxa"/>
            <w:noWrap w:val="0"/>
            <w:vAlign w:val="center"/>
          </w:tcPr>
          <w:p w14:paraId="76844678">
            <w:pPr>
              <w:spacing w:line="360" w:lineRule="auto"/>
              <w:jc w:val="center"/>
              <w:rPr>
                <w:rFonts w:hint="eastAsia" w:ascii="宋体" w:hAnsi="宋体" w:cs="仿宋"/>
                <w:sz w:val="24"/>
                <w:szCs w:val="24"/>
                <w:highlight w:val="green"/>
              </w:rPr>
            </w:pPr>
            <w:r>
              <w:rPr>
                <w:rFonts w:hint="eastAsia" w:ascii="宋体" w:hAnsi="宋体" w:cs="仿宋"/>
                <w:sz w:val="24"/>
                <w:szCs w:val="24"/>
                <w:highlight w:val="green"/>
              </w:rPr>
              <w:t>1</w:t>
            </w:r>
          </w:p>
        </w:tc>
        <w:tc>
          <w:tcPr>
            <w:tcW w:w="3843" w:type="dxa"/>
            <w:noWrap w:val="0"/>
            <w:vAlign w:val="center"/>
          </w:tcPr>
          <w:p w14:paraId="5DA54F5C">
            <w:pPr>
              <w:spacing w:line="360" w:lineRule="auto"/>
              <w:jc w:val="center"/>
              <w:rPr>
                <w:rFonts w:ascii="宋体" w:hAnsi="宋体" w:cs="仿宋"/>
                <w:sz w:val="24"/>
                <w:szCs w:val="24"/>
                <w:highlight w:val="green"/>
              </w:rPr>
            </w:pPr>
            <w:r>
              <w:rPr>
                <w:rFonts w:hint="eastAsia" w:ascii="宋体" w:hAnsi="宋体" w:cs="仿宋"/>
                <w:sz w:val="24"/>
                <w:szCs w:val="24"/>
                <w:highlight w:val="green"/>
              </w:rPr>
              <w:t>详见《工艺装备设计任务书》</w:t>
            </w:r>
          </w:p>
        </w:tc>
        <w:tc>
          <w:tcPr>
            <w:tcW w:w="3568" w:type="dxa"/>
            <w:noWrap w:val="0"/>
            <w:vAlign w:val="center"/>
          </w:tcPr>
          <w:p w14:paraId="7B4B3A83">
            <w:pPr>
              <w:spacing w:line="360" w:lineRule="auto"/>
              <w:jc w:val="center"/>
              <w:rPr>
                <w:rFonts w:hint="eastAsia" w:ascii="宋体" w:hAnsi="宋体" w:cs="仿宋"/>
                <w:sz w:val="24"/>
                <w:szCs w:val="24"/>
                <w:highlight w:val="green"/>
              </w:rPr>
            </w:pPr>
            <w:r>
              <w:rPr>
                <w:rFonts w:hint="eastAsia" w:ascii="宋体" w:hAnsi="宋体" w:cs="仿宋"/>
                <w:sz w:val="24"/>
                <w:szCs w:val="24"/>
                <w:highlight w:val="green"/>
              </w:rPr>
              <w:t>详见《工艺装备设计任务书》</w:t>
            </w:r>
          </w:p>
        </w:tc>
      </w:tr>
    </w:tbl>
    <w:p w14:paraId="0CD67A65">
      <w:pPr>
        <w:spacing w:before="240" w:line="360" w:lineRule="auto"/>
        <w:rPr>
          <w:rFonts w:hint="eastAsia" w:ascii="宋体" w:hAnsi="宋体"/>
          <w:sz w:val="24"/>
          <w:szCs w:val="24"/>
        </w:rPr>
      </w:pPr>
      <w:r>
        <w:rPr>
          <w:rFonts w:hint="eastAsia" w:ascii="宋体" w:hAnsi="宋体"/>
          <w:sz w:val="24"/>
          <w:szCs w:val="24"/>
        </w:rPr>
        <w:t>2.2工装名称及数量：</w:t>
      </w:r>
    </w:p>
    <w:p w14:paraId="7F2642D6">
      <w:pPr>
        <w:pStyle w:val="3"/>
        <w:spacing w:line="360" w:lineRule="auto"/>
        <w:rPr>
          <w:rFonts w:hint="eastAsia" w:ascii="宋体" w:hAnsi="宋体" w:cs="仿宋"/>
          <w:sz w:val="24"/>
          <w:szCs w:val="24"/>
          <w:highlight w:val="green"/>
        </w:rPr>
      </w:pPr>
      <w:r>
        <w:rPr>
          <w:rFonts w:hint="eastAsia" w:ascii="宋体" w:hAnsi="宋体" w:eastAsia="宋体" w:cs="仿宋"/>
          <w:sz w:val="24"/>
          <w:szCs w:val="24"/>
          <w:highlight w:val="green"/>
        </w:rPr>
        <w:t xml:space="preserve">装焊夹具  1493688 QX7703-00225 </w:t>
      </w:r>
      <w:r>
        <w:rPr>
          <w:rFonts w:hint="eastAsia" w:ascii="宋体" w:hAnsi="宋体" w:eastAsia="宋体" w:cs="宋体"/>
          <w:color w:val="000000"/>
          <w:kern w:val="0"/>
          <w:sz w:val="22"/>
          <w:szCs w:val="22"/>
          <w:highlight w:val="green"/>
          <w:lang w:bidi="ar"/>
        </w:rPr>
        <w:t xml:space="preserve"> </w:t>
      </w:r>
      <w:r>
        <w:rPr>
          <w:rFonts w:hint="eastAsia" w:ascii="宋体" w:hAnsi="宋体" w:eastAsia="宋体"/>
          <w:sz w:val="24"/>
          <w:szCs w:val="24"/>
          <w:highlight w:val="green"/>
        </w:rPr>
        <w:t>1套</w:t>
      </w:r>
    </w:p>
    <w:p w14:paraId="4D857264">
      <w:pPr>
        <w:spacing w:line="360" w:lineRule="auto"/>
        <w:jc w:val="left"/>
        <w:rPr>
          <w:rFonts w:hint="eastAsia" w:ascii="宋体" w:hAnsi="宋体" w:cs="宋体"/>
          <w:sz w:val="24"/>
          <w:szCs w:val="24"/>
        </w:rPr>
      </w:pPr>
      <w:r>
        <w:rPr>
          <w:rFonts w:hint="eastAsia" w:ascii="宋体" w:hAnsi="宋体" w:cs="宋体"/>
          <w:sz w:val="24"/>
          <w:szCs w:val="24"/>
        </w:rPr>
        <w:t>三、主要技术要求</w:t>
      </w:r>
    </w:p>
    <w:p w14:paraId="10C8A18B">
      <w:pPr>
        <w:spacing w:line="360" w:lineRule="auto"/>
        <w:jc w:val="left"/>
        <w:rPr>
          <w:rFonts w:hint="eastAsia" w:ascii="宋体" w:hAnsi="宋体" w:cs="宋体"/>
          <w:sz w:val="24"/>
          <w:szCs w:val="24"/>
        </w:rPr>
      </w:pPr>
      <w:r>
        <w:rPr>
          <w:rFonts w:hint="eastAsia" w:ascii="宋体" w:hAnsi="宋体" w:cs="黑体"/>
          <w:b/>
          <w:sz w:val="24"/>
          <w:szCs w:val="24"/>
        </w:rPr>
        <w:t xml:space="preserve">1技术要求 </w:t>
      </w:r>
    </w:p>
    <w:p w14:paraId="735F2B78">
      <w:pPr>
        <w:tabs>
          <w:tab w:val="left" w:pos="6495"/>
        </w:tabs>
        <w:spacing w:line="360" w:lineRule="auto"/>
        <w:jc w:val="left"/>
        <w:outlineLvl w:val="0"/>
        <w:rPr>
          <w:rFonts w:hint="eastAsia" w:ascii="宋体" w:hAnsi="宋体"/>
          <w:sz w:val="24"/>
          <w:szCs w:val="24"/>
          <w:highlight w:val="green"/>
        </w:rPr>
      </w:pPr>
      <w:r>
        <w:rPr>
          <w:rFonts w:hint="eastAsia" w:ascii="宋体" w:hAnsi="宋体"/>
          <w:sz w:val="24"/>
          <w:szCs w:val="24"/>
        </w:rPr>
        <w:t>1.1</w:t>
      </w:r>
      <w:r>
        <w:rPr>
          <w:rFonts w:hint="eastAsia" w:ascii="宋体" w:hAnsi="宋体" w:eastAsia="宋体" w:cs="Times New Roman"/>
          <w:sz w:val="24"/>
          <w:szCs w:val="24"/>
        </w:rPr>
        <w:t>加工零件</w:t>
      </w:r>
      <w:r>
        <w:rPr>
          <w:rFonts w:hint="eastAsia" w:ascii="宋体" w:hAnsi="宋体"/>
          <w:sz w:val="24"/>
          <w:szCs w:val="24"/>
        </w:rPr>
        <w:t>：</w:t>
      </w:r>
      <w:r>
        <w:rPr>
          <w:rFonts w:hint="eastAsia" w:ascii="宋体" w:hAnsi="宋体"/>
          <w:sz w:val="24"/>
          <w:szCs w:val="24"/>
          <w:highlight w:val="green"/>
        </w:rPr>
        <w:t>冲压桥壳AZ7117339038</w:t>
      </w:r>
    </w:p>
    <w:p w14:paraId="5DCF0DDC">
      <w:pPr>
        <w:tabs>
          <w:tab w:val="left" w:pos="6495"/>
        </w:tabs>
        <w:spacing w:line="360" w:lineRule="auto"/>
        <w:ind w:firstLine="1680" w:firstLineChars="700"/>
        <w:jc w:val="left"/>
        <w:outlineLvl w:val="0"/>
        <w:rPr>
          <w:rFonts w:ascii="宋体" w:hAnsi="宋体"/>
          <w:sz w:val="24"/>
          <w:szCs w:val="24"/>
          <w:highlight w:val="green"/>
        </w:rPr>
      </w:pPr>
      <w:r>
        <w:rPr>
          <w:rFonts w:hint="eastAsia" w:ascii="宋体" w:hAnsi="宋体"/>
          <w:sz w:val="24"/>
          <w:szCs w:val="24"/>
          <w:highlight w:val="green"/>
        </w:rPr>
        <w:t>工件材料：ZQS460QK</w:t>
      </w:r>
    </w:p>
    <w:p w14:paraId="6A6D4982">
      <w:pPr>
        <w:tabs>
          <w:tab w:val="left" w:pos="6495"/>
        </w:tabs>
        <w:spacing w:line="360" w:lineRule="auto"/>
        <w:ind w:firstLine="720" w:firstLineChars="300"/>
        <w:jc w:val="left"/>
        <w:outlineLvl w:val="0"/>
        <w:rPr>
          <w:rFonts w:hint="eastAsia" w:ascii="宋体" w:hAnsi="宋体"/>
          <w:sz w:val="24"/>
          <w:szCs w:val="24"/>
          <w:highlight w:val="green"/>
        </w:rPr>
      </w:pPr>
      <w:r>
        <w:rPr>
          <w:rFonts w:hint="eastAsia" w:ascii="宋体" w:hAnsi="宋体"/>
          <w:sz w:val="24"/>
          <w:szCs w:val="24"/>
          <w:highlight w:val="green"/>
        </w:rPr>
        <w:t xml:space="preserve">        加工件重量:112 ㎏</w:t>
      </w:r>
    </w:p>
    <w:p w14:paraId="348D691C">
      <w:pPr>
        <w:pStyle w:val="4"/>
        <w:spacing w:after="0" w:line="360" w:lineRule="auto"/>
        <w:ind w:left="0" w:leftChars="0"/>
        <w:jc w:val="left"/>
        <w:rPr>
          <w:rFonts w:hint="eastAsia" w:ascii="宋体" w:hAnsi="宋体"/>
          <w:sz w:val="24"/>
          <w:szCs w:val="24"/>
        </w:rPr>
      </w:pPr>
      <w:r>
        <w:rPr>
          <w:rFonts w:hint="eastAsia" w:ascii="宋体" w:hAnsi="宋体"/>
          <w:sz w:val="24"/>
          <w:szCs w:val="24"/>
        </w:rPr>
        <w:t>1.2 工艺流程：</w:t>
      </w:r>
      <w:r>
        <w:rPr>
          <w:rFonts w:hint="eastAsia" w:ascii="宋体" w:hAnsi="宋体"/>
          <w:sz w:val="24"/>
          <w:szCs w:val="24"/>
          <w:highlight w:val="green"/>
        </w:rPr>
        <w:t>人工上料桥壳-工装定位夹紧桥壳—人工组装后盖零部件—工装定位夹紧零部件，实现零部件与桥壳装配—人工点固零部件—工装夹紧松开—人工卸料。供方设计制作装焊夹具，要求满足需方需求。</w:t>
      </w:r>
    </w:p>
    <w:p w14:paraId="63DD6191">
      <w:pPr>
        <w:tabs>
          <w:tab w:val="left" w:pos="6495"/>
        </w:tabs>
        <w:spacing w:line="360" w:lineRule="auto"/>
        <w:jc w:val="left"/>
        <w:outlineLvl w:val="0"/>
        <w:rPr>
          <w:rFonts w:hint="eastAsia" w:ascii="宋体" w:hAnsi="宋体"/>
          <w:sz w:val="24"/>
          <w:szCs w:val="24"/>
          <w:highlight w:val="green"/>
        </w:rPr>
      </w:pPr>
      <w:r>
        <w:rPr>
          <w:rFonts w:hint="eastAsia" w:ascii="宋体" w:hAnsi="宋体"/>
          <w:sz w:val="24"/>
          <w:szCs w:val="24"/>
        </w:rPr>
        <w:t>1.3定位基准：</w:t>
      </w:r>
      <w:r>
        <w:rPr>
          <w:rFonts w:hint="eastAsia" w:ascii="宋体" w:hAnsi="宋体"/>
          <w:sz w:val="24"/>
          <w:szCs w:val="24"/>
          <w:highlight w:val="green"/>
        </w:rPr>
        <w:t>（按设计任务书要求）</w:t>
      </w:r>
    </w:p>
    <w:p w14:paraId="4206AF06">
      <w:pPr>
        <w:pStyle w:val="4"/>
        <w:spacing w:after="0" w:line="360" w:lineRule="auto"/>
        <w:ind w:left="0" w:leftChars="0" w:firstLine="480" w:firstLineChars="200"/>
        <w:jc w:val="left"/>
        <w:rPr>
          <w:rFonts w:hint="eastAsia" w:ascii="宋体" w:hAnsi="宋体"/>
          <w:sz w:val="24"/>
          <w:szCs w:val="24"/>
          <w:highlight w:val="green"/>
        </w:rPr>
      </w:pPr>
      <w:r>
        <w:rPr>
          <w:rFonts w:hint="eastAsia" w:ascii="宋体" w:hAnsi="宋体"/>
          <w:sz w:val="24"/>
          <w:szCs w:val="24"/>
          <w:highlight w:val="green"/>
        </w:rPr>
        <w:t>1.3.1桥壳采用两端外圆、中心止口定位夹紧，工装要求桥壳止口涨芯机构为气动夹紧、两侧外圆定位为固定定位，工装刚性足，满足夹紧后桥壳位置固定，装配零部件时桥壳不移动。</w:t>
      </w:r>
    </w:p>
    <w:p w14:paraId="78812E3E">
      <w:pPr>
        <w:spacing w:line="360" w:lineRule="auto"/>
        <w:ind w:firstLine="480" w:firstLineChars="200"/>
        <w:jc w:val="left"/>
        <w:rPr>
          <w:rFonts w:hint="eastAsia" w:ascii="宋体" w:hAnsi="宋体"/>
          <w:sz w:val="24"/>
          <w:szCs w:val="24"/>
          <w:highlight w:val="yellow"/>
        </w:rPr>
      </w:pPr>
      <w:r>
        <w:rPr>
          <w:rFonts w:hint="eastAsia" w:ascii="宋体" w:hAnsi="宋体"/>
          <w:sz w:val="24"/>
          <w:szCs w:val="24"/>
          <w:highlight w:val="green"/>
        </w:rPr>
        <w:t>1.3.2厂家设计制作后盖轴承座及外圆定位模块、中间止口定位模块、两端外圆定位模块、工装底板，确保各个模块的安装精度。</w:t>
      </w:r>
    </w:p>
    <w:p w14:paraId="74903FCF">
      <w:pPr>
        <w:spacing w:line="360" w:lineRule="auto"/>
        <w:ind w:firstLine="480" w:firstLineChars="200"/>
        <w:rPr>
          <w:rFonts w:ascii="宋体" w:hAnsi="宋体"/>
          <w:sz w:val="24"/>
          <w:szCs w:val="24"/>
          <w:highlight w:val="green"/>
        </w:rPr>
      </w:pPr>
      <w:r>
        <w:rPr>
          <w:rFonts w:hint="eastAsia" w:ascii="宋体" w:hAnsi="宋体"/>
          <w:sz w:val="24"/>
          <w:szCs w:val="24"/>
          <w:highlight w:val="green"/>
        </w:rPr>
        <w:t>1.3.3轴承座定位模块需设计防错装置，保证在涨芯气动夹紧未张开的情况下轴承座定位系统无法使用，保证零部件装配尺寸。</w:t>
      </w:r>
    </w:p>
    <w:p w14:paraId="13FC7EE0">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1.3.4工装模块要求刚性足、稳定性好，保证点焊可靠，工装编号刻录打码（任务书上所示工艺装备编号）。</w:t>
      </w:r>
    </w:p>
    <w:p w14:paraId="216F0274">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1.3.5工装底板四角位置安装吊环，底板下侧增加四处支撑，方便现场工装转运。且供方设计的工装底板与需方的工位器具适配，要求可放置工位器具上。</w:t>
      </w:r>
    </w:p>
    <w:p w14:paraId="161C743F">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1.3.6厂家提供3.25T弓形卸扣4件，并在工装四角预留安装孔。</w:t>
      </w:r>
    </w:p>
    <w:p w14:paraId="44234CFE">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1.3.7厂家提供全套CAD2004版电子图纸和纸质图纸并负责工装的调试，交货时附带工装历史卡片，如因提供图纸不正确产生的影响由工装厂家承担。</w:t>
      </w:r>
    </w:p>
    <w:p w14:paraId="0508E64E">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1.3.8夹具设计优先按相关的国家标准选用标准零件，工装设计应避开点焊区域，便于操作人员进行点焊操作，充分考虑焊接操作的方便性，符合人机工程学。</w:t>
      </w:r>
    </w:p>
    <w:p w14:paraId="77E666B8">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1.3.10夹具所涉及的备件、易损件和专用材料需提供1套与工装配套的备件，具体数量和明细由夹具厂家根据工装结构提供，买方认可，包括但不限于轴承座定位套，定位销，涨芯块等。</w:t>
      </w:r>
    </w:p>
    <w:p w14:paraId="68DDDEDD">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1.3.11夹具要求进行喷漆防锈，漆色为蓝色。</w:t>
      </w:r>
    </w:p>
    <w:p w14:paraId="0B70A405">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1.3.12供方按照工装任务书需求进行工装设计。</w:t>
      </w:r>
    </w:p>
    <w:p w14:paraId="12951325">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1.3.13工装材质采用优质模具钢，定位销/套选用T10A材质。</w:t>
      </w:r>
    </w:p>
    <w:p w14:paraId="3555FF86">
      <w:pPr>
        <w:spacing w:line="360" w:lineRule="auto"/>
        <w:ind w:firstLine="480" w:firstLineChars="200"/>
        <w:jc w:val="left"/>
        <w:rPr>
          <w:rFonts w:ascii="宋体" w:hAnsi="宋体"/>
          <w:sz w:val="24"/>
          <w:szCs w:val="24"/>
          <w:highlight w:val="green"/>
        </w:rPr>
      </w:pPr>
      <w:r>
        <w:rPr>
          <w:rFonts w:hint="eastAsia" w:ascii="宋体" w:hAnsi="宋体"/>
          <w:sz w:val="24"/>
          <w:szCs w:val="24"/>
          <w:highlight w:val="green"/>
        </w:rPr>
        <w:t>1.3.14工装定位模块寿命至少30000件。</w:t>
      </w:r>
    </w:p>
    <w:p w14:paraId="18ADFB6A">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 xml:space="preserve">1.3.15产品连续生产一个班次或300件无产品尺寸超差。  </w:t>
      </w:r>
    </w:p>
    <w:p w14:paraId="2120FD3E">
      <w:pPr>
        <w:spacing w:line="360" w:lineRule="auto"/>
        <w:ind w:firstLine="480" w:firstLineChars="200"/>
        <w:jc w:val="left"/>
        <w:rPr>
          <w:rFonts w:hint="eastAsia" w:ascii="宋体" w:hAnsi="宋体"/>
          <w:sz w:val="24"/>
          <w:szCs w:val="24"/>
          <w:highlight w:val="green"/>
        </w:rPr>
      </w:pPr>
      <w:r>
        <w:rPr>
          <w:rFonts w:hint="eastAsia" w:ascii="宋体" w:hAnsi="宋体" w:cs="宋体"/>
          <w:sz w:val="24"/>
          <w:szCs w:val="24"/>
          <w:highlight w:val="green"/>
        </w:rPr>
        <w:t>1.3.16</w:t>
      </w:r>
      <w:r>
        <w:rPr>
          <w:rFonts w:hint="eastAsia" w:ascii="宋体" w:hAnsi="宋体"/>
          <w:sz w:val="24"/>
          <w:szCs w:val="24"/>
          <w:highlight w:val="green"/>
        </w:rPr>
        <w:t>其余未涵盖部分要求根据具体的产品要求执行。</w:t>
      </w:r>
    </w:p>
    <w:p w14:paraId="5C03B739">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1.3.17设计需充分考虑操作的安全性。</w:t>
      </w:r>
    </w:p>
    <w:p w14:paraId="550F29B9">
      <w:pPr>
        <w:pStyle w:val="4"/>
        <w:numPr>
          <w:ilvl w:val="1"/>
          <w:numId w:val="0"/>
        </w:numPr>
        <w:spacing w:after="0" w:line="360" w:lineRule="auto"/>
        <w:ind w:left="0" w:leftChars="0" w:firstLine="480" w:firstLineChars="200"/>
        <w:rPr>
          <w:rFonts w:hint="eastAsia" w:ascii="宋体" w:hAnsi="宋体"/>
          <w:sz w:val="24"/>
          <w:szCs w:val="24"/>
          <w:highlight w:val="green"/>
        </w:rPr>
      </w:pPr>
    </w:p>
    <w:p w14:paraId="7251EC2F">
      <w:pPr>
        <w:tabs>
          <w:tab w:val="left" w:pos="6495"/>
        </w:tabs>
        <w:spacing w:line="360" w:lineRule="auto"/>
        <w:jc w:val="left"/>
        <w:outlineLvl w:val="0"/>
        <w:rPr>
          <w:rFonts w:hint="eastAsia" w:ascii="宋体" w:hAnsi="宋体"/>
          <w:sz w:val="24"/>
          <w:szCs w:val="24"/>
        </w:rPr>
      </w:pPr>
      <w:r>
        <w:rPr>
          <w:rFonts w:hint="eastAsia" w:ascii="宋体" w:hAnsi="宋体"/>
          <w:sz w:val="24"/>
          <w:szCs w:val="24"/>
        </w:rPr>
        <w:t>1.4供方保证所供货物，必须符合《机械制造企业安全生产标准化》</w:t>
      </w:r>
      <w:r>
        <w:rPr>
          <w:rFonts w:hint="eastAsia" w:ascii="宋体" w:hAnsi="宋体"/>
          <w:sz w:val="24"/>
          <w:szCs w:val="24"/>
          <w:lang w:eastAsia="zh-CN"/>
        </w:rPr>
        <w:t>、《</w:t>
      </w:r>
      <w:r>
        <w:rPr>
          <w:rFonts w:hint="eastAsia" w:ascii="宋体" w:hAnsi="宋体"/>
          <w:sz w:val="24"/>
          <w:szCs w:val="24"/>
          <w:lang w:val="en-US" w:eastAsia="zh-CN"/>
        </w:rPr>
        <w:t>吊具、锁具安全规程</w:t>
      </w:r>
      <w:r>
        <w:rPr>
          <w:rFonts w:hint="eastAsia" w:ascii="宋体" w:hAnsi="宋体"/>
          <w:sz w:val="24"/>
          <w:szCs w:val="24"/>
          <w:lang w:eastAsia="zh-CN"/>
        </w:rPr>
        <w:t>》</w:t>
      </w:r>
      <w:r>
        <w:rPr>
          <w:rFonts w:hint="eastAsia" w:ascii="宋体" w:hAnsi="宋体"/>
          <w:sz w:val="24"/>
          <w:szCs w:val="24"/>
          <w:lang w:val="en-US" w:eastAsia="zh-CN"/>
        </w:rPr>
        <w:t>等国家相关安全标准的</w:t>
      </w:r>
      <w:r>
        <w:rPr>
          <w:rFonts w:hint="eastAsia" w:ascii="宋体" w:hAnsi="宋体"/>
          <w:sz w:val="24"/>
          <w:szCs w:val="24"/>
        </w:rPr>
        <w:t>各项要求。确保货物在使用管理过程中满足《职业健康安全管理体系》、《环境管理体系》等方面的规范及国家标准要求；必须提供所供货物相应的安全操作规程。</w:t>
      </w:r>
    </w:p>
    <w:p w14:paraId="64BE8000">
      <w:pPr>
        <w:tabs>
          <w:tab w:val="left" w:pos="6495"/>
        </w:tabs>
        <w:spacing w:before="240" w:after="60"/>
        <w:jc w:val="left"/>
        <w:outlineLvl w:val="0"/>
        <w:rPr>
          <w:rFonts w:ascii="宋体" w:hAnsi="宋体" w:cs="黑体"/>
          <w:b/>
          <w:sz w:val="24"/>
          <w:szCs w:val="24"/>
        </w:rPr>
      </w:pPr>
      <w:r>
        <w:rPr>
          <w:rFonts w:hint="eastAsia" w:ascii="宋体" w:hAnsi="宋体" w:cs="黑体"/>
          <w:b/>
          <w:sz w:val="24"/>
          <w:szCs w:val="24"/>
        </w:rPr>
        <w:t xml:space="preserve">2用户生产条件 </w:t>
      </w:r>
      <w:r>
        <w:rPr>
          <w:rFonts w:ascii="宋体" w:hAnsi="宋体" w:cs="黑体"/>
          <w:b/>
          <w:sz w:val="24"/>
          <w:szCs w:val="24"/>
        </w:rPr>
        <w:tab/>
      </w:r>
    </w:p>
    <w:p w14:paraId="491D9E1C">
      <w:pPr>
        <w:spacing w:line="360" w:lineRule="auto"/>
        <w:rPr>
          <w:rFonts w:ascii="宋体" w:hAnsi="宋体"/>
          <w:sz w:val="24"/>
          <w:szCs w:val="24"/>
        </w:rPr>
      </w:pPr>
      <w:r>
        <w:rPr>
          <w:rFonts w:hint="eastAsia" w:ascii="宋体" w:hAnsi="宋体"/>
          <w:sz w:val="24"/>
          <w:szCs w:val="24"/>
        </w:rPr>
        <w:t>2.1 车间外部自然环境条件</w:t>
      </w:r>
    </w:p>
    <w:p w14:paraId="4EBE63A8">
      <w:pPr>
        <w:spacing w:line="360" w:lineRule="auto"/>
        <w:ind w:firstLine="480" w:firstLineChars="200"/>
        <w:rPr>
          <w:rFonts w:hint="eastAsia" w:ascii="宋体" w:hAnsi="宋体"/>
          <w:sz w:val="24"/>
          <w:szCs w:val="24"/>
        </w:rPr>
      </w:pPr>
      <w:r>
        <w:rPr>
          <w:rFonts w:hint="eastAsia" w:ascii="宋体" w:hAnsi="宋体"/>
          <w:sz w:val="24"/>
          <w:szCs w:val="24"/>
        </w:rPr>
        <w:t>环境温度：室外极端最低温度-19.7℃，极端最高温度42℃，昼夜最大温差25℃，室内温度0～40℃。</w:t>
      </w:r>
    </w:p>
    <w:p w14:paraId="438871FA">
      <w:pPr>
        <w:spacing w:line="360" w:lineRule="auto"/>
        <w:ind w:firstLine="480" w:firstLineChars="200"/>
        <w:rPr>
          <w:rFonts w:hint="eastAsia" w:ascii="宋体" w:hAnsi="宋体"/>
          <w:sz w:val="24"/>
          <w:szCs w:val="24"/>
        </w:rPr>
      </w:pPr>
      <w:r>
        <w:rPr>
          <w:rFonts w:hint="eastAsia" w:ascii="宋体" w:hAnsi="宋体"/>
          <w:sz w:val="24"/>
          <w:szCs w:val="24"/>
        </w:rPr>
        <w:t>相对湿度：年平均75%，最大95%、最小15%。</w:t>
      </w:r>
    </w:p>
    <w:p w14:paraId="2D808665">
      <w:pPr>
        <w:spacing w:line="360" w:lineRule="auto"/>
        <w:rPr>
          <w:rFonts w:ascii="宋体" w:hAnsi="宋体"/>
          <w:sz w:val="24"/>
          <w:szCs w:val="24"/>
        </w:rPr>
      </w:pPr>
      <w:r>
        <w:rPr>
          <w:rFonts w:hint="eastAsia" w:ascii="宋体" w:hAnsi="宋体"/>
          <w:sz w:val="24"/>
          <w:szCs w:val="24"/>
        </w:rPr>
        <w:t>2.</w:t>
      </w:r>
      <w:r>
        <w:rPr>
          <w:rFonts w:ascii="宋体" w:hAnsi="宋体"/>
          <w:sz w:val="24"/>
          <w:szCs w:val="24"/>
        </w:rPr>
        <w:t>2</w:t>
      </w:r>
      <w:r>
        <w:rPr>
          <w:rFonts w:hint="eastAsia" w:ascii="宋体" w:hAnsi="宋体"/>
          <w:sz w:val="24"/>
          <w:szCs w:val="24"/>
        </w:rPr>
        <w:t xml:space="preserve"> 能源环境</w:t>
      </w:r>
    </w:p>
    <w:p w14:paraId="5B08E663">
      <w:pPr>
        <w:spacing w:line="360" w:lineRule="auto"/>
        <w:ind w:firstLine="480" w:firstLineChars="200"/>
        <w:rPr>
          <w:rFonts w:hint="eastAsia" w:ascii="宋体" w:hAnsi="宋体"/>
          <w:sz w:val="24"/>
          <w:szCs w:val="24"/>
        </w:rPr>
      </w:pPr>
      <w:r>
        <w:rPr>
          <w:rFonts w:hint="eastAsia" w:ascii="宋体" w:hAnsi="宋体"/>
          <w:sz w:val="24"/>
          <w:szCs w:val="24"/>
        </w:rPr>
        <w:t>电力：中国制式，供电电压380V±15%/220V±15%，供电频率50Hz±2%。</w:t>
      </w:r>
    </w:p>
    <w:p w14:paraId="5A7DF577">
      <w:pPr>
        <w:spacing w:line="360" w:lineRule="auto"/>
        <w:ind w:firstLine="480" w:firstLineChars="200"/>
        <w:rPr>
          <w:rFonts w:hint="eastAsia" w:ascii="宋体" w:hAnsi="宋体"/>
          <w:sz w:val="24"/>
          <w:szCs w:val="24"/>
        </w:rPr>
      </w:pPr>
      <w:r>
        <w:rPr>
          <w:rFonts w:hint="eastAsia" w:ascii="宋体" w:hAnsi="宋体"/>
          <w:sz w:val="24"/>
          <w:szCs w:val="24"/>
        </w:rPr>
        <w:t>压缩空气压力：0.5 MPa±0.1</w:t>
      </w:r>
    </w:p>
    <w:p w14:paraId="3BDFEDB2">
      <w:pPr>
        <w:spacing w:line="360" w:lineRule="auto"/>
        <w:ind w:firstLine="480" w:firstLineChars="200"/>
        <w:rPr>
          <w:rFonts w:ascii="宋体" w:hAnsi="宋体"/>
          <w:i/>
          <w:sz w:val="24"/>
          <w:szCs w:val="24"/>
        </w:rPr>
      </w:pPr>
      <w:r>
        <w:rPr>
          <w:rFonts w:hint="eastAsia" w:ascii="宋体" w:hAnsi="宋体"/>
          <w:sz w:val="24"/>
          <w:szCs w:val="24"/>
        </w:rPr>
        <w:t>供水水质及压力：市政自来水</w:t>
      </w:r>
    </w:p>
    <w:p w14:paraId="6D25376D">
      <w:pPr>
        <w:spacing w:line="460" w:lineRule="exact"/>
        <w:rPr>
          <w:rFonts w:hint="eastAsia" w:ascii="宋体" w:hAnsi="宋体"/>
          <w:b/>
          <w:bCs/>
          <w:sz w:val="24"/>
          <w:szCs w:val="24"/>
        </w:rPr>
      </w:pPr>
      <w:r>
        <w:rPr>
          <w:rFonts w:hint="eastAsia" w:ascii="宋体" w:hAnsi="宋体"/>
          <w:b/>
          <w:bCs/>
          <w:sz w:val="24"/>
          <w:szCs w:val="24"/>
        </w:rPr>
        <w:t>3、技术更改及技术文件</w:t>
      </w:r>
    </w:p>
    <w:p w14:paraId="6CEEA543">
      <w:pPr>
        <w:spacing w:line="460" w:lineRule="exact"/>
        <w:ind w:left="508" w:leftChars="242"/>
        <w:rPr>
          <w:rFonts w:hint="eastAsia" w:ascii="宋体" w:hAnsi="宋体"/>
          <w:sz w:val="24"/>
          <w:szCs w:val="24"/>
        </w:rPr>
      </w:pPr>
      <w:r>
        <w:rPr>
          <w:rFonts w:hint="eastAsia" w:ascii="宋体" w:hAnsi="宋体"/>
          <w:sz w:val="24"/>
          <w:szCs w:val="24"/>
        </w:rPr>
        <w:t>3.1如在设计过程中遇到设计更改，需方及时将技术更改通知供方，供方应按更改后的技术要求制造订货产品并负责将更改后的铸件图、工装图（三维和二维）等技术文件及时提交给需方。</w:t>
      </w:r>
    </w:p>
    <w:p w14:paraId="5D0B492E">
      <w:pPr>
        <w:spacing w:line="460" w:lineRule="exact"/>
        <w:ind w:firstLine="480" w:firstLineChars="200"/>
        <w:rPr>
          <w:rFonts w:hint="eastAsia" w:ascii="宋体" w:hAnsi="宋体"/>
          <w:sz w:val="24"/>
          <w:szCs w:val="24"/>
        </w:rPr>
      </w:pPr>
      <w:r>
        <w:rPr>
          <w:rFonts w:hint="eastAsia" w:ascii="宋体" w:hAnsi="宋体"/>
          <w:sz w:val="24"/>
          <w:szCs w:val="24"/>
        </w:rPr>
        <w:t>3.2供方须提供产品合格证明，如有必要须提供国家行业权威机构或需方指定的第三方机构的技术认证。</w:t>
      </w:r>
    </w:p>
    <w:p w14:paraId="44BE91A1">
      <w:pPr>
        <w:spacing w:line="460" w:lineRule="exact"/>
        <w:ind w:firstLine="480" w:firstLineChars="200"/>
        <w:rPr>
          <w:rFonts w:hint="eastAsia" w:ascii="宋体" w:hAnsi="宋体"/>
          <w:sz w:val="24"/>
          <w:szCs w:val="24"/>
        </w:rPr>
      </w:pPr>
      <w:r>
        <w:rPr>
          <w:rFonts w:hint="eastAsia" w:ascii="宋体" w:hAnsi="宋体"/>
          <w:sz w:val="24"/>
          <w:szCs w:val="24"/>
        </w:rPr>
        <w:t>3.3供方自备图纸生产的产品有义务向需方提供必要的产品图纸、执行标准、需方认可机构的检测报告（或实验报告）及产品相关说明等资料。否则需方有权拒绝对供方的产品进行入厂检验。</w:t>
      </w:r>
    </w:p>
    <w:p w14:paraId="7D31BDBB">
      <w:pPr>
        <w:tabs>
          <w:tab w:val="left" w:pos="360"/>
        </w:tabs>
        <w:spacing w:line="460" w:lineRule="exact"/>
        <w:ind w:firstLine="480" w:firstLineChars="200"/>
        <w:rPr>
          <w:rFonts w:hint="eastAsia" w:ascii="宋体" w:hAnsi="宋体"/>
          <w:sz w:val="24"/>
          <w:szCs w:val="24"/>
        </w:rPr>
      </w:pPr>
      <w:r>
        <w:rPr>
          <w:rFonts w:hint="eastAsia" w:ascii="宋体" w:hAnsi="宋体"/>
          <w:sz w:val="24"/>
          <w:szCs w:val="24"/>
        </w:rPr>
        <w:t>3.4供方不得自行改变双方共同确认的本协议附表中技术资料，如确实需要更改，应事先征得需方同意。</w:t>
      </w:r>
    </w:p>
    <w:p w14:paraId="1C3D8A6C">
      <w:pPr>
        <w:tabs>
          <w:tab w:val="left" w:pos="360"/>
        </w:tabs>
        <w:spacing w:line="460" w:lineRule="exact"/>
        <w:ind w:firstLine="480" w:firstLineChars="200"/>
        <w:rPr>
          <w:rFonts w:hint="eastAsia" w:ascii="宋体" w:hAnsi="宋体"/>
          <w:sz w:val="24"/>
          <w:szCs w:val="24"/>
        </w:rPr>
      </w:pPr>
      <w:r>
        <w:rPr>
          <w:rFonts w:hint="eastAsia" w:ascii="宋体" w:hAnsi="宋体"/>
          <w:sz w:val="24"/>
          <w:szCs w:val="24"/>
        </w:rPr>
        <w:t>3.5供方承诺：符合技术要求只是必要条件，满足使用要求和最终用户的要求是最终目的。</w:t>
      </w:r>
    </w:p>
    <w:p w14:paraId="450E21A1">
      <w:pPr>
        <w:spacing w:line="460" w:lineRule="exact"/>
        <w:ind w:left="482" w:hanging="482" w:hangingChars="200"/>
        <w:rPr>
          <w:rFonts w:hint="eastAsia" w:ascii="宋体" w:hAnsi="宋体"/>
          <w:b/>
          <w:bCs/>
          <w:sz w:val="24"/>
          <w:szCs w:val="24"/>
        </w:rPr>
      </w:pPr>
      <w:r>
        <w:rPr>
          <w:rFonts w:hint="eastAsia" w:ascii="宋体" w:hAnsi="宋体"/>
          <w:b/>
          <w:bCs/>
          <w:sz w:val="24"/>
          <w:szCs w:val="24"/>
        </w:rPr>
        <w:t>4、制造过程变更</w:t>
      </w:r>
    </w:p>
    <w:p w14:paraId="1E04B436">
      <w:pPr>
        <w:spacing w:line="460" w:lineRule="exact"/>
        <w:ind w:left="479" w:leftChars="228"/>
        <w:rPr>
          <w:rFonts w:hint="eastAsia" w:ascii="宋体" w:hAnsi="宋体"/>
          <w:sz w:val="24"/>
          <w:szCs w:val="24"/>
        </w:rPr>
      </w:pPr>
      <w:r>
        <w:rPr>
          <w:rFonts w:hint="eastAsia" w:ascii="宋体" w:hAnsi="宋体"/>
          <w:sz w:val="24"/>
          <w:szCs w:val="24"/>
        </w:rPr>
        <w:t>4.1供方必须保证产品在生产制造过程中达到需方规定的质量要求并检测合格。</w:t>
      </w:r>
    </w:p>
    <w:p w14:paraId="6752F694">
      <w:pPr>
        <w:spacing w:line="460" w:lineRule="exact"/>
        <w:ind w:firstLine="480" w:firstLineChars="200"/>
        <w:rPr>
          <w:rFonts w:hint="eastAsia" w:ascii="宋体" w:hAnsi="宋体"/>
          <w:sz w:val="24"/>
          <w:szCs w:val="24"/>
        </w:rPr>
      </w:pPr>
      <w:r>
        <w:rPr>
          <w:rFonts w:hint="eastAsia" w:ascii="宋体" w:hAnsi="宋体"/>
          <w:sz w:val="24"/>
          <w:szCs w:val="24"/>
        </w:rPr>
        <w:t>4.2需方根据产品质量升级等方面的要求，可向供方提出对产品进行重新鉴定或认证的要求，供方应提供足够的产品样本，并配合需方共同完成产品的鉴定或认证工作，其结果双方共享。</w:t>
      </w:r>
    </w:p>
    <w:p w14:paraId="444FB4A5">
      <w:pPr>
        <w:spacing w:line="460" w:lineRule="exact"/>
        <w:ind w:firstLine="477" w:firstLineChars="199"/>
        <w:rPr>
          <w:rFonts w:hint="eastAsia" w:ascii="宋体" w:hAnsi="宋体"/>
          <w:sz w:val="24"/>
          <w:szCs w:val="24"/>
          <w:u w:val="single"/>
        </w:rPr>
      </w:pPr>
      <w:r>
        <w:rPr>
          <w:rFonts w:hint="eastAsia" w:ascii="宋体" w:hAnsi="宋体"/>
          <w:sz w:val="24"/>
          <w:szCs w:val="24"/>
        </w:rPr>
        <w:t>4.3如果供方的生产基地、生产工艺、材料或配套厂商发生了改变，则应及时书面报告需方，需方将对产品进行样本鉴定。</w:t>
      </w:r>
    </w:p>
    <w:p w14:paraId="7A428E4B">
      <w:pPr>
        <w:spacing w:line="460" w:lineRule="exact"/>
        <w:ind w:left="480" w:hanging="480" w:hangingChars="200"/>
        <w:rPr>
          <w:rFonts w:hint="eastAsia" w:ascii="宋体" w:hAnsi="宋体"/>
          <w:sz w:val="24"/>
          <w:szCs w:val="24"/>
        </w:rPr>
      </w:pPr>
      <w:r>
        <w:rPr>
          <w:rFonts w:hint="eastAsia" w:ascii="宋体" w:hAnsi="宋体"/>
          <w:sz w:val="24"/>
          <w:szCs w:val="24"/>
        </w:rPr>
        <w:t>四、产品包装</w:t>
      </w:r>
    </w:p>
    <w:p w14:paraId="4EF29350">
      <w:pPr>
        <w:spacing w:line="460" w:lineRule="exact"/>
        <w:ind w:firstLine="537" w:firstLineChars="224"/>
        <w:rPr>
          <w:rFonts w:hint="eastAsia" w:ascii="宋体" w:hAnsi="宋体"/>
          <w:sz w:val="24"/>
          <w:szCs w:val="24"/>
        </w:rPr>
      </w:pPr>
      <w:r>
        <w:rPr>
          <w:rFonts w:hint="eastAsia" w:ascii="宋体" w:hAnsi="宋体"/>
          <w:sz w:val="24"/>
          <w:szCs w:val="24"/>
        </w:rPr>
        <w:t>1、产品包装须严格执行需方的企业标准或国家标准和行业有关标准及需方的其它包装要求。</w:t>
      </w:r>
    </w:p>
    <w:p w14:paraId="36B09A05">
      <w:pPr>
        <w:spacing w:line="460" w:lineRule="exact"/>
        <w:ind w:left="479" w:leftChars="228"/>
        <w:rPr>
          <w:rFonts w:hint="eastAsia" w:ascii="宋体" w:hAnsi="宋体"/>
          <w:sz w:val="24"/>
          <w:szCs w:val="24"/>
        </w:rPr>
      </w:pPr>
      <w:r>
        <w:rPr>
          <w:rFonts w:hint="eastAsia" w:ascii="宋体" w:hAnsi="宋体"/>
          <w:sz w:val="24"/>
          <w:szCs w:val="24"/>
        </w:rPr>
        <w:t>2、产品包装必须保证产品质量在运输、储存过程中不降低。</w:t>
      </w:r>
    </w:p>
    <w:p w14:paraId="2511C93D">
      <w:pPr>
        <w:spacing w:line="460" w:lineRule="exact"/>
        <w:ind w:left="479" w:leftChars="228"/>
        <w:rPr>
          <w:rFonts w:hint="eastAsia" w:ascii="宋体" w:hAnsi="宋体"/>
          <w:sz w:val="24"/>
          <w:szCs w:val="24"/>
        </w:rPr>
      </w:pPr>
      <w:r>
        <w:rPr>
          <w:rFonts w:hint="eastAsia" w:ascii="宋体" w:hAnsi="宋体"/>
          <w:sz w:val="24"/>
          <w:szCs w:val="24"/>
        </w:rPr>
        <w:t>3、木质包装，包装及运输过程中要进行防潮、防锈、防磕碰处理</w:t>
      </w:r>
    </w:p>
    <w:p w14:paraId="383A9009">
      <w:pPr>
        <w:spacing w:line="460" w:lineRule="exact"/>
        <w:ind w:left="479" w:leftChars="228"/>
        <w:rPr>
          <w:rFonts w:hint="eastAsia" w:ascii="宋体" w:hAnsi="宋体"/>
          <w:sz w:val="24"/>
          <w:szCs w:val="24"/>
        </w:rPr>
      </w:pPr>
      <w:r>
        <w:rPr>
          <w:rFonts w:hint="eastAsia" w:ascii="宋体" w:hAnsi="宋体"/>
          <w:sz w:val="24"/>
          <w:szCs w:val="24"/>
        </w:rPr>
        <w:t>4、产品标识要求</w:t>
      </w:r>
    </w:p>
    <w:p w14:paraId="103EA412">
      <w:pPr>
        <w:spacing w:line="460" w:lineRule="exact"/>
        <w:ind w:left="479" w:leftChars="228"/>
        <w:rPr>
          <w:rFonts w:hint="eastAsia" w:ascii="宋体" w:hAnsi="宋体"/>
          <w:sz w:val="24"/>
          <w:szCs w:val="24"/>
        </w:rPr>
      </w:pPr>
      <w:r>
        <w:rPr>
          <w:rFonts w:hint="eastAsia" w:ascii="宋体" w:hAnsi="宋体"/>
          <w:sz w:val="24"/>
          <w:szCs w:val="24"/>
        </w:rPr>
        <w:t>4.1供方对其供给需方的产品必须进行可追溯性标识，同时须满足需方的特定标识要求。</w:t>
      </w:r>
    </w:p>
    <w:p w14:paraId="0E0D1959">
      <w:pPr>
        <w:spacing w:line="460" w:lineRule="exact"/>
        <w:ind w:firstLine="480" w:firstLineChars="200"/>
        <w:rPr>
          <w:rFonts w:hint="eastAsia" w:ascii="宋体" w:hAnsi="宋体"/>
          <w:sz w:val="24"/>
          <w:szCs w:val="24"/>
        </w:rPr>
      </w:pPr>
      <w:r>
        <w:rPr>
          <w:rFonts w:hint="eastAsia" w:ascii="宋体" w:hAnsi="宋体"/>
          <w:sz w:val="24"/>
          <w:szCs w:val="24"/>
        </w:rPr>
        <w:t>4.2产品标识部位以不影响产品质量为原则，除需方明确要求的标识部位外，供方可自行选择部位，并将标识部位传给需方备案。</w:t>
      </w:r>
    </w:p>
    <w:p w14:paraId="403B601E">
      <w:pPr>
        <w:spacing w:line="360" w:lineRule="auto"/>
        <w:rPr>
          <w:rFonts w:hint="eastAsia" w:ascii="宋体" w:hAnsi="宋体"/>
          <w:sz w:val="24"/>
          <w:szCs w:val="24"/>
        </w:rPr>
      </w:pPr>
      <w:r>
        <w:rPr>
          <w:rFonts w:hint="eastAsia" w:ascii="宋体" w:hAnsi="宋体"/>
          <w:sz w:val="24"/>
          <w:szCs w:val="24"/>
        </w:rPr>
        <w:t>五、预验收及交货</w:t>
      </w:r>
    </w:p>
    <w:p w14:paraId="60CEBCBE">
      <w:pPr>
        <w:spacing w:line="360" w:lineRule="auto"/>
        <w:rPr>
          <w:rFonts w:hint="eastAsia" w:ascii="宋体" w:hAnsi="宋体"/>
          <w:sz w:val="24"/>
          <w:szCs w:val="24"/>
          <w:highlight w:val="green"/>
        </w:rPr>
      </w:pPr>
      <w:r>
        <w:rPr>
          <w:rFonts w:hint="eastAsia" w:ascii="宋体" w:hAnsi="宋体"/>
          <w:sz w:val="24"/>
          <w:szCs w:val="24"/>
          <w:highlight w:val="green"/>
        </w:rPr>
        <w:t>1、预验收</w:t>
      </w:r>
    </w:p>
    <w:p w14:paraId="532434C7">
      <w:pPr>
        <w:spacing w:line="360" w:lineRule="auto"/>
        <w:ind w:firstLine="420"/>
        <w:rPr>
          <w:rFonts w:ascii="宋体" w:hAnsi="宋体"/>
          <w:sz w:val="24"/>
          <w:szCs w:val="24"/>
          <w:highlight w:val="green"/>
        </w:rPr>
      </w:pPr>
      <w:r>
        <w:rPr>
          <w:rFonts w:hint="eastAsia" w:ascii="宋体" w:hAnsi="宋体"/>
          <w:sz w:val="24"/>
          <w:szCs w:val="24"/>
          <w:highlight w:val="green"/>
        </w:rPr>
        <w:t>必要时需方派专业人员在发货前</w:t>
      </w:r>
      <w:r>
        <w:rPr>
          <w:rFonts w:ascii="宋体" w:hAnsi="宋体"/>
          <w:sz w:val="24"/>
          <w:szCs w:val="24"/>
          <w:highlight w:val="green"/>
        </w:rPr>
        <w:t>3</w:t>
      </w:r>
      <w:r>
        <w:rPr>
          <w:rFonts w:hint="eastAsia" w:ascii="宋体" w:hAnsi="宋体"/>
          <w:sz w:val="24"/>
          <w:szCs w:val="24"/>
          <w:highlight w:val="green"/>
        </w:rPr>
        <w:t>天到供方工厂进行预验收，检查确认工装数量及结构完整，并签署预验收备忘录。需提前准备样件，生产现场进行各系列生产验证后方可全部供货。</w:t>
      </w:r>
    </w:p>
    <w:p w14:paraId="2AF8D802">
      <w:pPr>
        <w:numPr>
          <w:ilvl w:val="0"/>
          <w:numId w:val="3"/>
        </w:numPr>
        <w:spacing w:line="360" w:lineRule="auto"/>
        <w:rPr>
          <w:rFonts w:hint="eastAsia" w:ascii="宋体" w:hAnsi="宋体"/>
          <w:sz w:val="24"/>
          <w:szCs w:val="24"/>
        </w:rPr>
      </w:pPr>
      <w:r>
        <w:rPr>
          <w:rFonts w:hint="eastAsia" w:ascii="宋体" w:hAnsi="宋体"/>
          <w:sz w:val="24"/>
          <w:szCs w:val="24"/>
        </w:rPr>
        <w:t>验收依据</w:t>
      </w:r>
    </w:p>
    <w:p w14:paraId="0A01664A">
      <w:pPr>
        <w:spacing w:line="360" w:lineRule="auto"/>
        <w:ind w:firstLine="480" w:firstLineChars="200"/>
        <w:rPr>
          <w:rFonts w:hint="eastAsia" w:ascii="宋体" w:hAnsi="宋体"/>
          <w:sz w:val="24"/>
          <w:szCs w:val="24"/>
        </w:rPr>
      </w:pPr>
      <w:r>
        <w:rPr>
          <w:rFonts w:hint="eastAsia" w:ascii="宋体" w:hAnsi="宋体"/>
          <w:sz w:val="24"/>
          <w:szCs w:val="24"/>
        </w:rPr>
        <w:t>符合工艺图、综述卡片以及技术协议要求。</w:t>
      </w:r>
    </w:p>
    <w:p w14:paraId="7CBAA52C">
      <w:pPr>
        <w:spacing w:line="360" w:lineRule="auto"/>
        <w:rPr>
          <w:rFonts w:hint="eastAsia" w:ascii="宋体" w:hAnsi="宋体"/>
          <w:sz w:val="24"/>
          <w:szCs w:val="24"/>
        </w:rPr>
      </w:pPr>
      <w:r>
        <w:rPr>
          <w:rFonts w:hint="eastAsia" w:ascii="宋体" w:hAnsi="宋体"/>
          <w:sz w:val="24"/>
          <w:szCs w:val="24"/>
        </w:rPr>
        <w:t>3、进厂检验：工装到厂后，需方按照工装图纸及相关的技术协议进行全尺寸检验，检验合格后方可进行调试验证，不合格不予以安排调试验证。</w:t>
      </w:r>
    </w:p>
    <w:p w14:paraId="53626DEB">
      <w:pPr>
        <w:spacing w:line="360" w:lineRule="auto"/>
        <w:rPr>
          <w:rFonts w:hint="eastAsia" w:ascii="宋体" w:hAnsi="宋体"/>
          <w:sz w:val="24"/>
          <w:szCs w:val="24"/>
        </w:rPr>
      </w:pPr>
      <w:r>
        <w:rPr>
          <w:rFonts w:hint="eastAsia" w:ascii="宋体" w:hAnsi="宋体"/>
          <w:sz w:val="24"/>
          <w:szCs w:val="24"/>
        </w:rPr>
        <w:t>六、调试、验证</w:t>
      </w:r>
    </w:p>
    <w:p w14:paraId="593A765B">
      <w:pPr>
        <w:spacing w:line="360" w:lineRule="auto"/>
        <w:rPr>
          <w:rFonts w:hint="eastAsia" w:ascii="宋体" w:hAnsi="宋体"/>
          <w:sz w:val="24"/>
          <w:szCs w:val="24"/>
        </w:rPr>
      </w:pPr>
      <w:r>
        <w:rPr>
          <w:rFonts w:hint="eastAsia" w:ascii="宋体" w:hAnsi="宋体"/>
          <w:sz w:val="24"/>
          <w:szCs w:val="24"/>
        </w:rPr>
        <w:t>1、工装安装后进行空载运行，工装活动部分动作正常、可靠。</w:t>
      </w:r>
    </w:p>
    <w:p w14:paraId="577E9229">
      <w:pPr>
        <w:spacing w:line="360" w:lineRule="auto"/>
        <w:rPr>
          <w:rFonts w:hint="eastAsia" w:ascii="宋体" w:hAnsi="宋体"/>
          <w:sz w:val="24"/>
          <w:szCs w:val="24"/>
          <w:highlight w:val="green"/>
        </w:rPr>
      </w:pPr>
      <w:r>
        <w:rPr>
          <w:rFonts w:hint="eastAsia" w:ascii="宋体" w:hAnsi="宋体"/>
          <w:sz w:val="24"/>
          <w:szCs w:val="24"/>
          <w:highlight w:val="green"/>
        </w:rPr>
        <w:t>2、工装及涉及的相关产品连续生产一个周的产品件，且工装检验合格后认为工装合格。</w:t>
      </w:r>
    </w:p>
    <w:p w14:paraId="4DFAD905">
      <w:pPr>
        <w:spacing w:line="360" w:lineRule="auto"/>
        <w:rPr>
          <w:rFonts w:hint="eastAsia" w:ascii="宋体" w:hAnsi="宋体"/>
          <w:sz w:val="24"/>
          <w:szCs w:val="24"/>
          <w:highlight w:val="green"/>
        </w:rPr>
      </w:pPr>
      <w:r>
        <w:rPr>
          <w:rFonts w:hint="eastAsia" w:ascii="宋体" w:hAnsi="宋体"/>
          <w:sz w:val="24"/>
          <w:szCs w:val="24"/>
          <w:highlight w:val="green"/>
        </w:rPr>
        <w:t>3、调试验证时需方提前通知供方，供方需安排技术人员到现场参与工装的验证调试，包括理论、技术和操作、维修、安全等方面的技术指导。</w:t>
      </w:r>
    </w:p>
    <w:p w14:paraId="06D61138">
      <w:pPr>
        <w:spacing w:line="360" w:lineRule="auto"/>
        <w:rPr>
          <w:rFonts w:ascii="宋体" w:hAnsi="宋体"/>
          <w:sz w:val="24"/>
          <w:szCs w:val="24"/>
        </w:rPr>
      </w:pPr>
      <w:r>
        <w:rPr>
          <w:rFonts w:hint="eastAsia" w:ascii="宋体" w:hAnsi="宋体"/>
          <w:sz w:val="24"/>
          <w:szCs w:val="24"/>
        </w:rPr>
        <w:t>七、备件和易损件</w:t>
      </w:r>
    </w:p>
    <w:p w14:paraId="40FC1A3D">
      <w:pPr>
        <w:spacing w:line="360" w:lineRule="auto"/>
        <w:rPr>
          <w:rFonts w:hint="eastAsia" w:ascii="宋体" w:hAnsi="宋体"/>
          <w:sz w:val="24"/>
          <w:szCs w:val="24"/>
          <w:highlight w:val="none"/>
        </w:rPr>
      </w:pPr>
      <w:r>
        <w:rPr>
          <w:rFonts w:hint="eastAsia" w:ascii="宋体" w:hAnsi="宋体"/>
          <w:sz w:val="24"/>
          <w:szCs w:val="24"/>
          <w:highlight w:val="none"/>
          <w:lang w:val="en-US" w:eastAsia="zh-CN"/>
        </w:rPr>
        <w:t>供</w:t>
      </w:r>
      <w:r>
        <w:rPr>
          <w:rFonts w:hint="eastAsia" w:ascii="宋体" w:hAnsi="宋体"/>
          <w:sz w:val="24"/>
          <w:szCs w:val="24"/>
          <w:highlight w:val="none"/>
        </w:rPr>
        <w:t>方提供完整的工装</w:t>
      </w:r>
      <w:r>
        <w:rPr>
          <w:rFonts w:hint="eastAsia" w:ascii="宋体" w:hAnsi="宋体"/>
          <w:sz w:val="24"/>
          <w:szCs w:val="24"/>
          <w:highlight w:val="none"/>
          <w:lang w:val="en-AU"/>
        </w:rPr>
        <w:t>设计图、</w:t>
      </w:r>
      <w:r>
        <w:rPr>
          <w:rFonts w:hint="eastAsia" w:ascii="宋体" w:hAnsi="宋体"/>
          <w:sz w:val="24"/>
          <w:szCs w:val="24"/>
          <w:highlight w:val="none"/>
        </w:rPr>
        <w:t>工装</w:t>
      </w:r>
      <w:r>
        <w:rPr>
          <w:rFonts w:hint="eastAsia" w:ascii="宋体" w:hAnsi="宋体"/>
          <w:sz w:val="24"/>
          <w:szCs w:val="24"/>
          <w:highlight w:val="none"/>
          <w:lang w:val="en-AU"/>
        </w:rPr>
        <w:t>安装图、备件明细、</w:t>
      </w:r>
      <w:r>
        <w:rPr>
          <w:rFonts w:hint="eastAsia" w:ascii="宋体" w:hAnsi="宋体"/>
          <w:sz w:val="24"/>
          <w:szCs w:val="24"/>
          <w:highlight w:val="none"/>
        </w:rPr>
        <w:t>易损件。</w:t>
      </w:r>
    </w:p>
    <w:p w14:paraId="58C5F826">
      <w:pPr>
        <w:spacing w:line="360" w:lineRule="auto"/>
        <w:rPr>
          <w:rFonts w:ascii="宋体" w:hAnsi="宋体"/>
          <w:sz w:val="24"/>
          <w:szCs w:val="24"/>
        </w:rPr>
      </w:pPr>
      <w:r>
        <w:rPr>
          <w:rFonts w:hint="eastAsia" w:ascii="宋体" w:hAnsi="宋体"/>
          <w:sz w:val="24"/>
          <w:szCs w:val="24"/>
        </w:rPr>
        <w:t>八、质量保证</w:t>
      </w:r>
    </w:p>
    <w:p w14:paraId="54271D0D">
      <w:pPr>
        <w:spacing w:line="360" w:lineRule="auto"/>
        <w:rPr>
          <w:rFonts w:hint="eastAsia" w:ascii="宋体" w:hAnsi="宋体"/>
          <w:sz w:val="24"/>
          <w:szCs w:val="24"/>
        </w:rPr>
      </w:pPr>
      <w:r>
        <w:rPr>
          <w:rFonts w:hint="eastAsia" w:ascii="宋体" w:hAnsi="宋体"/>
          <w:sz w:val="24"/>
          <w:szCs w:val="24"/>
        </w:rPr>
        <w:t>从终验证合格签字之日开始计算质保期，质量保证期：壹年。</w:t>
      </w:r>
    </w:p>
    <w:p w14:paraId="08AD6755">
      <w:pPr>
        <w:widowControl/>
        <w:adjustRightInd w:val="0"/>
        <w:snapToGrid w:val="0"/>
        <w:spacing w:line="360" w:lineRule="auto"/>
        <w:jc w:val="left"/>
        <w:rPr>
          <w:rFonts w:hint="eastAsia" w:ascii="宋体" w:hAnsi="宋体" w:cs="宋体"/>
          <w:snapToGrid w:val="0"/>
          <w:kern w:val="0"/>
          <w:sz w:val="24"/>
          <w:szCs w:val="24"/>
        </w:rPr>
      </w:pPr>
    </w:p>
    <w:p w14:paraId="1879DA4A">
      <w:pPr>
        <w:widowControl/>
        <w:adjustRightInd w:val="0"/>
        <w:snapToGrid w:val="0"/>
        <w:spacing w:line="360" w:lineRule="auto"/>
        <w:jc w:val="left"/>
        <w:rPr>
          <w:rFonts w:hint="eastAsia" w:ascii="宋体" w:hAnsi="宋体" w:cs="宋体"/>
          <w:snapToGrid w:val="0"/>
          <w:kern w:val="0"/>
          <w:sz w:val="24"/>
          <w:szCs w:val="24"/>
        </w:rPr>
      </w:pPr>
    </w:p>
    <w:p w14:paraId="5D1D726E">
      <w:pPr>
        <w:widowControl/>
        <w:adjustRightInd w:val="0"/>
        <w:snapToGrid w:val="0"/>
        <w:spacing w:line="360" w:lineRule="auto"/>
        <w:jc w:val="left"/>
        <w:rPr>
          <w:rFonts w:hint="eastAsia" w:ascii="宋体" w:hAnsi="宋体" w:cs="宋体"/>
          <w:snapToGrid w:val="0"/>
          <w:kern w:val="0"/>
          <w:sz w:val="24"/>
          <w:szCs w:val="24"/>
        </w:rPr>
      </w:pPr>
    </w:p>
    <w:p w14:paraId="46E58DE0">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供</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w:t>
      </w:r>
    </w:p>
    <w:p w14:paraId="48D755AF">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法定代表人或代理人（签字）：                 法定代表人或代理人（签字）：</w:t>
      </w:r>
    </w:p>
    <w:p w14:paraId="7A3FFAC6">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 xml:space="preserve">地  址：济南市高新区世纪大道757号           地  址： </w:t>
      </w:r>
    </w:p>
    <w:p w14:paraId="12ECE6A3">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电话：</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电话：</w:t>
      </w:r>
    </w:p>
    <w:p w14:paraId="47ADB4C6">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传真：</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传真： </w:t>
      </w:r>
    </w:p>
    <w:p w14:paraId="6F5FE694">
      <w:pPr>
        <w:pStyle w:val="3"/>
        <w:rPr>
          <w:rFonts w:hint="eastAsia" w:ascii="宋体" w:hAnsi="宋体" w:cs="宋体"/>
          <w:snapToGrid w:val="0"/>
          <w:kern w:val="0"/>
          <w:sz w:val="24"/>
          <w:szCs w:val="24"/>
          <w:lang w:eastAsia="zh-Hans"/>
        </w:rPr>
      </w:pPr>
    </w:p>
    <w:p w14:paraId="4AB2E302">
      <w:pPr>
        <w:pStyle w:val="4"/>
        <w:rPr>
          <w:rFonts w:hint="eastAsia" w:ascii="宋体" w:hAnsi="宋体" w:cs="宋体"/>
          <w:snapToGrid w:val="0"/>
          <w:kern w:val="0"/>
          <w:sz w:val="24"/>
          <w:szCs w:val="24"/>
          <w:lang w:eastAsia="zh-Hans"/>
        </w:rPr>
      </w:pPr>
    </w:p>
    <w:p w14:paraId="4A26E546">
      <w:pPr>
        <w:pStyle w:val="4"/>
        <w:ind w:left="0" w:leftChars="0"/>
        <w:rPr>
          <w:rFonts w:hint="eastAsia" w:ascii="宋体" w:hAnsi="宋体" w:cs="宋体"/>
          <w:snapToGrid w:val="0"/>
          <w:kern w:val="0"/>
          <w:sz w:val="24"/>
          <w:szCs w:val="24"/>
          <w:lang w:eastAsia="zh-Hans"/>
        </w:rPr>
      </w:pPr>
    </w:p>
    <w:p w14:paraId="542F0B24">
      <w:pPr>
        <w:pStyle w:val="3"/>
        <w:rPr>
          <w:rFonts w:hint="eastAsia" w:ascii="宋体" w:hAnsi="宋体" w:eastAsia="宋体" w:cs="宋体"/>
          <w:kern w:val="0"/>
          <w:sz w:val="24"/>
          <w:szCs w:val="24"/>
        </w:rPr>
      </w:pPr>
    </w:p>
    <w:p w14:paraId="2BB92658">
      <w:pPr>
        <w:pStyle w:val="4"/>
        <w:rPr>
          <w:rFonts w:hint="eastAsia" w:ascii="宋体" w:hAnsi="宋体" w:cs="宋体"/>
          <w:kern w:val="0"/>
          <w:sz w:val="24"/>
          <w:szCs w:val="24"/>
        </w:rPr>
      </w:pPr>
    </w:p>
    <w:p w14:paraId="77AFCBC7">
      <w:pPr>
        <w:pStyle w:val="4"/>
        <w:rPr>
          <w:rFonts w:hint="eastAsia" w:ascii="宋体" w:hAnsi="宋体" w:cs="宋体"/>
          <w:kern w:val="0"/>
          <w:sz w:val="24"/>
          <w:szCs w:val="24"/>
        </w:rPr>
      </w:pPr>
    </w:p>
    <w:p w14:paraId="1442805F">
      <w:pPr>
        <w:pStyle w:val="4"/>
        <w:rPr>
          <w:rFonts w:hint="eastAsia" w:ascii="宋体" w:hAnsi="宋体" w:cs="宋体"/>
          <w:kern w:val="0"/>
          <w:sz w:val="24"/>
          <w:szCs w:val="24"/>
        </w:rPr>
      </w:pPr>
    </w:p>
    <w:p w14:paraId="30DEA2C2">
      <w:pPr>
        <w:pStyle w:val="4"/>
        <w:rPr>
          <w:rFonts w:hint="eastAsia" w:ascii="宋体" w:hAnsi="宋体" w:cs="宋体"/>
          <w:kern w:val="0"/>
          <w:sz w:val="24"/>
          <w:szCs w:val="24"/>
        </w:rPr>
      </w:pPr>
    </w:p>
    <w:p w14:paraId="76077A75">
      <w:pPr>
        <w:pStyle w:val="4"/>
        <w:rPr>
          <w:rFonts w:hint="eastAsia" w:ascii="宋体" w:hAnsi="宋体" w:cs="宋体"/>
          <w:kern w:val="0"/>
          <w:sz w:val="24"/>
          <w:szCs w:val="24"/>
        </w:rPr>
      </w:pPr>
    </w:p>
    <w:p w14:paraId="15BAE956">
      <w:pPr>
        <w:pStyle w:val="4"/>
        <w:rPr>
          <w:rFonts w:hint="eastAsia" w:ascii="宋体" w:hAnsi="宋体" w:cs="宋体"/>
          <w:kern w:val="0"/>
          <w:sz w:val="24"/>
          <w:szCs w:val="24"/>
        </w:rPr>
      </w:pPr>
    </w:p>
    <w:p w14:paraId="6C11A7E6">
      <w:pPr>
        <w:pStyle w:val="4"/>
        <w:rPr>
          <w:rFonts w:hint="eastAsia" w:ascii="宋体" w:hAnsi="宋体" w:cs="宋体"/>
          <w:kern w:val="0"/>
          <w:sz w:val="24"/>
          <w:szCs w:val="24"/>
        </w:rPr>
      </w:pPr>
    </w:p>
    <w:p w14:paraId="558E59B6">
      <w:pPr>
        <w:pStyle w:val="4"/>
        <w:rPr>
          <w:rFonts w:hint="eastAsia" w:ascii="宋体" w:hAnsi="宋体" w:cs="宋体"/>
          <w:kern w:val="0"/>
          <w:sz w:val="24"/>
          <w:szCs w:val="24"/>
        </w:rPr>
      </w:pPr>
    </w:p>
    <w:p w14:paraId="38A949D2">
      <w:pPr>
        <w:pStyle w:val="4"/>
        <w:rPr>
          <w:rFonts w:hint="eastAsia" w:ascii="宋体" w:hAnsi="宋体" w:cs="宋体"/>
          <w:kern w:val="0"/>
          <w:sz w:val="24"/>
          <w:szCs w:val="24"/>
        </w:rPr>
      </w:pPr>
    </w:p>
    <w:p w14:paraId="40AE6FC2">
      <w:pPr>
        <w:pStyle w:val="4"/>
        <w:rPr>
          <w:rFonts w:hint="eastAsia" w:ascii="宋体" w:hAnsi="宋体" w:cs="宋体"/>
          <w:kern w:val="0"/>
          <w:sz w:val="24"/>
          <w:szCs w:val="24"/>
        </w:rPr>
      </w:pPr>
    </w:p>
    <w:p w14:paraId="70C1DF20">
      <w:pPr>
        <w:pStyle w:val="4"/>
        <w:rPr>
          <w:rFonts w:hint="eastAsia" w:ascii="宋体" w:hAnsi="宋体" w:cs="宋体"/>
          <w:kern w:val="0"/>
          <w:sz w:val="24"/>
          <w:szCs w:val="24"/>
        </w:rPr>
      </w:pPr>
    </w:p>
    <w:p w14:paraId="2C603777">
      <w:pPr>
        <w:pStyle w:val="4"/>
        <w:rPr>
          <w:rFonts w:hint="eastAsia" w:ascii="宋体" w:hAnsi="宋体" w:cs="宋体"/>
          <w:kern w:val="0"/>
          <w:sz w:val="24"/>
          <w:szCs w:val="24"/>
        </w:rPr>
      </w:pPr>
    </w:p>
    <w:p w14:paraId="151C75DC">
      <w:pPr>
        <w:pStyle w:val="4"/>
        <w:rPr>
          <w:rFonts w:hint="eastAsia" w:ascii="宋体" w:hAnsi="宋体" w:cs="宋体"/>
          <w:kern w:val="0"/>
          <w:sz w:val="24"/>
          <w:szCs w:val="24"/>
        </w:rPr>
      </w:pPr>
    </w:p>
    <w:p w14:paraId="37BBDAA8">
      <w:pPr>
        <w:pStyle w:val="4"/>
        <w:rPr>
          <w:rFonts w:hint="eastAsia" w:ascii="宋体" w:hAnsi="宋体" w:cs="宋体"/>
          <w:kern w:val="0"/>
          <w:sz w:val="24"/>
          <w:szCs w:val="24"/>
        </w:rPr>
      </w:pPr>
    </w:p>
    <w:p w14:paraId="68335B57">
      <w:pPr>
        <w:pStyle w:val="4"/>
        <w:rPr>
          <w:rFonts w:hint="eastAsia" w:ascii="宋体" w:hAnsi="宋体" w:cs="宋体"/>
          <w:kern w:val="0"/>
          <w:sz w:val="24"/>
          <w:szCs w:val="24"/>
        </w:rPr>
      </w:pPr>
    </w:p>
    <w:p w14:paraId="2DB20443">
      <w:pPr>
        <w:pStyle w:val="4"/>
        <w:rPr>
          <w:rFonts w:hint="eastAsia" w:ascii="宋体" w:hAnsi="宋体" w:cs="宋体"/>
          <w:kern w:val="0"/>
          <w:sz w:val="24"/>
          <w:szCs w:val="24"/>
        </w:rPr>
      </w:pPr>
    </w:p>
    <w:p w14:paraId="7BB74784">
      <w:pPr>
        <w:pStyle w:val="4"/>
        <w:ind w:left="0" w:leftChars="0" w:firstLine="0" w:firstLineChars="0"/>
        <w:rPr>
          <w:rFonts w:hint="eastAsia" w:ascii="宋体" w:hAnsi="宋体" w:cs="宋体"/>
          <w:kern w:val="0"/>
          <w:sz w:val="24"/>
          <w:szCs w:val="24"/>
        </w:rPr>
      </w:pPr>
    </w:p>
    <w:p w14:paraId="134487C9">
      <w:pPr>
        <w:pStyle w:val="3"/>
        <w:rPr>
          <w:rFonts w:hint="eastAsia" w:ascii="宋体" w:hAnsi="宋体" w:eastAsia="宋体" w:cs="宋体"/>
          <w:kern w:val="0"/>
          <w:sz w:val="24"/>
          <w:szCs w:val="24"/>
        </w:rPr>
      </w:pPr>
      <w:r>
        <w:rPr>
          <w:rFonts w:hint="eastAsia" w:ascii="宋体" w:hAnsi="宋体" w:eastAsia="宋体" w:cs="宋体"/>
          <w:kern w:val="0"/>
          <w:sz w:val="24"/>
          <w:szCs w:val="24"/>
        </w:rPr>
        <w:t>附件：《工艺装备设计任务书》</w:t>
      </w:r>
    </w:p>
    <w:p w14:paraId="37814F27">
      <w:pPr>
        <w:pStyle w:val="4"/>
        <w:rPr>
          <w:sz w:val="24"/>
          <w:szCs w:val="24"/>
          <w:highlight w:val="green"/>
        </w:rPr>
      </w:pPr>
      <w:r>
        <w:rPr>
          <w:rFonts w:hint="eastAsia" w:ascii="宋体" w:hAnsi="宋体" w:cs="宋体"/>
          <w:kern w:val="0"/>
          <w:sz w:val="24"/>
          <w:szCs w:val="24"/>
          <w:highlight w:val="green"/>
        </w:rPr>
        <w:t>QX7703-00225</w:t>
      </w:r>
    </w:p>
    <w:p w14:paraId="135C47DD">
      <w:pPr>
        <w:pStyle w:val="4"/>
        <w:ind w:left="0" w:leftChars="0" w:firstLine="0" w:firstLineChars="0"/>
        <w:jc w:val="both"/>
      </w:pPr>
      <w:r>
        <w:drawing>
          <wp:inline distT="0" distB="0" distL="114300" distR="114300">
            <wp:extent cx="5438775" cy="76771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438775" cy="7677150"/>
                    </a:xfrm>
                    <a:prstGeom prst="rect">
                      <a:avLst/>
                    </a:prstGeom>
                    <a:noFill/>
                    <a:ln>
                      <a:noFill/>
                    </a:ln>
                  </pic:spPr>
                </pic:pic>
              </a:graphicData>
            </a:graphic>
          </wp:inline>
        </w:drawing>
      </w:r>
      <w:r>
        <w:drawing>
          <wp:inline distT="0" distB="0" distL="114300" distR="114300">
            <wp:extent cx="8335010" cy="5898515"/>
            <wp:effectExtent l="0" t="0" r="698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rot="5400000">
                      <a:off x="0" y="0"/>
                      <a:ext cx="8335010" cy="5898515"/>
                    </a:xfrm>
                    <a:prstGeom prst="rect">
                      <a:avLst/>
                    </a:prstGeom>
                    <a:noFill/>
                    <a:ln>
                      <a:noFill/>
                    </a:ln>
                  </pic:spPr>
                </pic:pic>
              </a:graphicData>
            </a:graphic>
          </wp:inline>
        </w:drawing>
      </w:r>
    </w:p>
    <w:p w14:paraId="3C04F6AC">
      <w:pPr>
        <w:pStyle w:val="4"/>
        <w:ind w:left="0" w:leftChars="0" w:firstLine="0" w:firstLineChars="0"/>
        <w:jc w:val="both"/>
      </w:pPr>
    </w:p>
    <w:p w14:paraId="1B00DFCF">
      <w:pPr>
        <w:pStyle w:val="4"/>
        <w:jc w:val="center"/>
        <w:rPr>
          <w:sz w:val="84"/>
          <w:szCs w:val="84"/>
        </w:rPr>
      </w:pPr>
      <w:r>
        <w:rPr>
          <w:rFonts w:hint="eastAsia"/>
          <w:sz w:val="84"/>
          <w:szCs w:val="84"/>
        </w:rPr>
        <w:t>采购保密协议</w:t>
      </w:r>
    </w:p>
    <w:p w14:paraId="6CCC5065">
      <w:pPr>
        <w:widowControl/>
        <w:autoSpaceDE w:val="0"/>
        <w:autoSpaceDN w:val="0"/>
        <w:adjustRightInd w:val="0"/>
        <w:snapToGrid w:val="0"/>
        <w:spacing w:line="360" w:lineRule="auto"/>
        <w:jc w:val="left"/>
        <w:rPr>
          <w:rFonts w:ascii="宋体" w:hAnsi="宋体"/>
          <w:b/>
          <w:kern w:val="0"/>
          <w:sz w:val="36"/>
          <w:szCs w:val="36"/>
        </w:rPr>
      </w:pPr>
    </w:p>
    <w:p w14:paraId="10C01F30">
      <w:pPr>
        <w:widowControl/>
        <w:autoSpaceDE w:val="0"/>
        <w:autoSpaceDN w:val="0"/>
        <w:adjustRightInd w:val="0"/>
        <w:snapToGrid w:val="0"/>
        <w:spacing w:line="360" w:lineRule="auto"/>
        <w:jc w:val="left"/>
        <w:rPr>
          <w:rFonts w:hint="eastAsia" w:ascii="宋体" w:hAnsi="宋体"/>
          <w:b/>
          <w:kern w:val="0"/>
          <w:sz w:val="36"/>
          <w:szCs w:val="36"/>
        </w:rPr>
      </w:pPr>
      <w:r>
        <w:rPr>
          <w:rFonts w:hint="eastAsia" w:ascii="宋体" w:hAnsi="宋体"/>
          <w:b/>
          <w:kern w:val="0"/>
          <w:sz w:val="36"/>
          <w:szCs w:val="36"/>
        </w:rPr>
        <w:t xml:space="preserve"> </w:t>
      </w:r>
    </w:p>
    <w:p w14:paraId="169233F0">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甲  方：重汽（济南）车桥有限公司</w:t>
      </w:r>
      <w:r>
        <w:rPr>
          <w:rFonts w:ascii="宋体" w:hAnsi="宋体"/>
          <w:b/>
          <w:kern w:val="0"/>
          <w:sz w:val="28"/>
          <w:szCs w:val="36"/>
        </w:rPr>
        <w:t xml:space="preserve">           </w:t>
      </w:r>
    </w:p>
    <w:p w14:paraId="3AFD1AB5">
      <w:pPr>
        <w:widowControl/>
        <w:autoSpaceDE w:val="0"/>
        <w:autoSpaceDN w:val="0"/>
        <w:adjustRightInd w:val="0"/>
        <w:snapToGrid w:val="0"/>
        <w:spacing w:line="360" w:lineRule="auto"/>
        <w:jc w:val="left"/>
        <w:rPr>
          <w:rFonts w:ascii="宋体" w:hAnsi="宋体"/>
          <w:b/>
          <w:kern w:val="0"/>
          <w:sz w:val="28"/>
          <w:szCs w:val="36"/>
        </w:rPr>
      </w:pPr>
    </w:p>
    <w:p w14:paraId="6DF56653">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乙  方：</w:t>
      </w:r>
      <w:r>
        <w:rPr>
          <w:rFonts w:ascii="宋体" w:hAnsi="宋体"/>
          <w:b/>
          <w:kern w:val="0"/>
          <w:sz w:val="28"/>
          <w:szCs w:val="36"/>
          <w:u w:val="thick"/>
        </w:rPr>
        <w:t xml:space="preserve">                           </w:t>
      </w:r>
    </w:p>
    <w:p w14:paraId="690D6F4D">
      <w:pPr>
        <w:widowControl/>
        <w:autoSpaceDE w:val="0"/>
        <w:autoSpaceDN w:val="0"/>
        <w:adjustRightInd w:val="0"/>
        <w:snapToGrid w:val="0"/>
        <w:spacing w:line="360" w:lineRule="auto"/>
        <w:ind w:firstLine="1124" w:firstLineChars="400"/>
        <w:jc w:val="left"/>
        <w:rPr>
          <w:rFonts w:ascii="宋体" w:hAnsi="宋体"/>
          <w:b/>
          <w:kern w:val="0"/>
          <w:sz w:val="28"/>
          <w:szCs w:val="36"/>
        </w:rPr>
      </w:pPr>
    </w:p>
    <w:p w14:paraId="3C052C15">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签订日期：</w:t>
      </w:r>
      <w:r>
        <w:rPr>
          <w:rFonts w:ascii="宋体" w:hAnsi="宋体"/>
          <w:b/>
          <w:kern w:val="0"/>
          <w:sz w:val="28"/>
          <w:szCs w:val="36"/>
        </w:rPr>
        <w:t xml:space="preserve">  </w:t>
      </w:r>
      <w:r>
        <w:rPr>
          <w:rFonts w:hint="eastAsia" w:ascii="宋体" w:hAnsi="宋体"/>
          <w:b/>
          <w:kern w:val="0"/>
          <w:sz w:val="28"/>
          <w:szCs w:val="36"/>
        </w:rPr>
        <w:t xml:space="preserve"> 年  月   日</w:t>
      </w:r>
    </w:p>
    <w:p w14:paraId="75D68A9D">
      <w:pPr>
        <w:widowControl/>
        <w:autoSpaceDE w:val="0"/>
        <w:autoSpaceDN w:val="0"/>
        <w:adjustRightInd w:val="0"/>
        <w:spacing w:line="520" w:lineRule="exact"/>
        <w:jc w:val="center"/>
        <w:rPr>
          <w:rFonts w:hint="eastAsia" w:ascii="仿宋" w:hAnsi="仿宋" w:eastAsia="仿宋"/>
          <w:b/>
          <w:kern w:val="0"/>
          <w:sz w:val="30"/>
          <w:szCs w:val="32"/>
        </w:rPr>
      </w:pPr>
    </w:p>
    <w:p w14:paraId="364EF78F">
      <w:pPr>
        <w:widowControl/>
        <w:autoSpaceDE w:val="0"/>
        <w:autoSpaceDN w:val="0"/>
        <w:adjustRightInd w:val="0"/>
        <w:snapToGrid w:val="0"/>
        <w:spacing w:line="360" w:lineRule="auto"/>
        <w:jc w:val="left"/>
        <w:rPr>
          <w:rFonts w:ascii="宋体" w:hAnsi="宋体"/>
          <w:snapToGrid w:val="0"/>
          <w:kern w:val="0"/>
          <w:sz w:val="20"/>
        </w:rPr>
        <w:sectPr>
          <w:headerReference r:id="rId6" w:type="default"/>
          <w:footerReference r:id="rId7" w:type="default"/>
          <w:footerReference r:id="rId8" w:type="even"/>
          <w:type w:val="continuous"/>
          <w:pgSz w:w="11906" w:h="16838"/>
          <w:pgMar w:top="1440" w:right="1418" w:bottom="1440" w:left="1418" w:header="851" w:footer="992" w:gutter="0"/>
          <w:cols w:space="720" w:num="1"/>
          <w:docGrid w:type="lines" w:linePitch="312" w:charSpace="0"/>
        </w:sectPr>
      </w:pPr>
      <w:bookmarkStart w:id="10" w:name="_DV_M4"/>
      <w:bookmarkEnd w:id="10"/>
    </w:p>
    <w:p w14:paraId="59C37192">
      <w:pPr>
        <w:widowControl/>
        <w:autoSpaceDE w:val="0"/>
        <w:autoSpaceDN w:val="0"/>
        <w:adjustRightInd w:val="0"/>
        <w:snapToGrid w:val="0"/>
        <w:spacing w:line="360" w:lineRule="auto"/>
        <w:jc w:val="left"/>
        <w:rPr>
          <w:rFonts w:ascii="宋体" w:hAnsi="宋体"/>
          <w:snapToGrid w:val="0"/>
          <w:kern w:val="0"/>
          <w:sz w:val="20"/>
        </w:rPr>
      </w:pPr>
    </w:p>
    <w:p w14:paraId="12B8AF8B">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甲方</w:t>
      </w:r>
      <w:r>
        <w:rPr>
          <w:rFonts w:hint="eastAsia" w:ascii="宋体" w:hAnsi="宋体"/>
          <w:snapToGrid w:val="0"/>
          <w:kern w:val="0"/>
          <w:sz w:val="22"/>
          <w:szCs w:val="22"/>
        </w:rPr>
        <w:t>（需方）</w:t>
      </w:r>
      <w:r>
        <w:rPr>
          <w:rFonts w:ascii="宋体" w:hAnsi="宋体"/>
          <w:snapToGrid w:val="0"/>
          <w:kern w:val="0"/>
          <w:sz w:val="22"/>
          <w:szCs w:val="22"/>
          <w:lang w:eastAsia="zh-Hans"/>
        </w:rPr>
        <w:t>：</w:t>
      </w:r>
      <w:r>
        <w:rPr>
          <w:rFonts w:hint="eastAsia" w:ascii="宋体" w:hAnsi="宋体"/>
          <w:snapToGrid w:val="0"/>
          <w:kern w:val="0"/>
          <w:sz w:val="22"/>
          <w:szCs w:val="22"/>
        </w:rPr>
        <w:t>重汽（济南）车桥有限公司</w:t>
      </w:r>
    </w:p>
    <w:p w14:paraId="49A996D0">
      <w:pPr>
        <w:widowControl/>
        <w:autoSpaceDE w:val="0"/>
        <w:autoSpaceDN w:val="0"/>
        <w:adjustRightInd w:val="0"/>
        <w:snapToGrid w:val="0"/>
        <w:spacing w:line="360" w:lineRule="auto"/>
        <w:jc w:val="left"/>
        <w:rPr>
          <w:rFonts w:hint="eastAsia" w:ascii="宋体" w:hAnsi="宋体"/>
          <w:snapToGrid w:val="0"/>
          <w:kern w:val="0"/>
          <w:sz w:val="22"/>
          <w:szCs w:val="22"/>
        </w:rPr>
      </w:pPr>
      <w:r>
        <w:rPr>
          <w:rFonts w:hint="eastAsia" w:ascii="宋体" w:hAnsi="宋体"/>
          <w:snapToGrid w:val="0"/>
          <w:kern w:val="0"/>
          <w:sz w:val="22"/>
          <w:szCs w:val="22"/>
        </w:rPr>
        <w:t xml:space="preserve"> </w:t>
      </w:r>
    </w:p>
    <w:p w14:paraId="0FB31622">
      <w:pPr>
        <w:widowControl/>
        <w:autoSpaceDE w:val="0"/>
        <w:autoSpaceDN w:val="0"/>
        <w:adjustRightInd w:val="0"/>
        <w:snapToGrid w:val="0"/>
        <w:spacing w:line="360" w:lineRule="auto"/>
        <w:jc w:val="left"/>
        <w:rPr>
          <w:rFonts w:hint="eastAsia" w:ascii="宋体" w:hAnsi="宋体"/>
          <w:snapToGrid w:val="0"/>
          <w:kern w:val="0"/>
          <w:sz w:val="22"/>
          <w:szCs w:val="22"/>
        </w:rPr>
      </w:pPr>
    </w:p>
    <w:p w14:paraId="62C1D9F9">
      <w:pPr>
        <w:widowControl/>
        <w:autoSpaceDE w:val="0"/>
        <w:autoSpaceDN w:val="0"/>
        <w:adjustRightInd w:val="0"/>
        <w:snapToGrid w:val="0"/>
        <w:spacing w:line="360" w:lineRule="auto"/>
        <w:jc w:val="left"/>
        <w:rPr>
          <w:rFonts w:hint="eastAsia" w:ascii="宋体" w:hAnsi="宋体"/>
          <w:snapToGrid w:val="0"/>
          <w:kern w:val="0"/>
          <w:sz w:val="20"/>
        </w:rPr>
      </w:pPr>
      <w:r>
        <w:rPr>
          <w:rFonts w:ascii="宋体" w:hAnsi="宋体"/>
          <w:snapToGrid w:val="0"/>
          <w:kern w:val="0"/>
          <w:sz w:val="22"/>
          <w:szCs w:val="22"/>
          <w:lang w:eastAsia="zh-Hans"/>
        </w:rPr>
        <w:t>乙方</w:t>
      </w:r>
      <w:r>
        <w:rPr>
          <w:rFonts w:hint="eastAsia" w:ascii="宋体" w:hAnsi="宋体"/>
          <w:snapToGrid w:val="0"/>
          <w:kern w:val="0"/>
          <w:sz w:val="22"/>
          <w:szCs w:val="22"/>
        </w:rPr>
        <w:t>（供方）</w:t>
      </w:r>
      <w:r>
        <w:rPr>
          <w:rFonts w:ascii="宋体" w:hAnsi="宋体"/>
          <w:snapToGrid w:val="0"/>
          <w:kern w:val="0"/>
          <w:sz w:val="22"/>
          <w:szCs w:val="22"/>
          <w:lang w:eastAsia="zh-Hans"/>
        </w:rPr>
        <w:t>：</w:t>
      </w:r>
    </w:p>
    <w:p w14:paraId="603499C0">
      <w:pPr>
        <w:widowControl/>
        <w:autoSpaceDE w:val="0"/>
        <w:autoSpaceDN w:val="0"/>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  </w:t>
      </w:r>
    </w:p>
    <w:p w14:paraId="612EEEB6">
      <w:pPr>
        <w:rPr>
          <w:rFonts w:hint="eastAsia" w:ascii="宋体" w:hAnsi="宋体" w:cs="宋体"/>
          <w:kern w:val="0"/>
          <w:sz w:val="22"/>
          <w:szCs w:val="22"/>
        </w:rPr>
      </w:pPr>
      <w:r>
        <w:rPr>
          <w:rFonts w:hint="eastAsia" w:ascii="宋体" w:hAnsi="宋体" w:cs="宋体"/>
          <w:kern w:val="0"/>
          <w:sz w:val="22"/>
          <w:szCs w:val="22"/>
        </w:rPr>
        <w:t>本采购保密协议（“本协议”）由下列双方于</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日在山东省济南市签署</w:t>
      </w:r>
      <w:bookmarkStart w:id="11" w:name="_DV_M11"/>
      <w:bookmarkEnd w:id="11"/>
      <w:bookmarkStart w:id="12" w:name="_DV_M6"/>
      <w:bookmarkEnd w:id="12"/>
      <w:r>
        <w:rPr>
          <w:rFonts w:hint="eastAsia" w:ascii="宋体" w:hAnsi="宋体" w:cs="宋体"/>
          <w:kern w:val="0"/>
          <w:sz w:val="22"/>
          <w:szCs w:val="22"/>
        </w:rPr>
        <w:t>，本协议中甲方和乙方单独称为“一方”，合称为“双方”。</w:t>
      </w:r>
    </w:p>
    <w:p w14:paraId="4DC85255">
      <w:pPr>
        <w:widowControl/>
        <w:autoSpaceDE w:val="0"/>
        <w:autoSpaceDN w:val="0"/>
        <w:adjustRightInd w:val="0"/>
        <w:spacing w:line="360" w:lineRule="auto"/>
        <w:ind w:left="282" w:leftChars="-75" w:right="-311" w:rightChars="-148" w:hanging="440" w:hangingChars="200"/>
        <w:jc w:val="left"/>
        <w:rPr>
          <w:rFonts w:hint="eastAsia" w:ascii="宋体" w:hAnsi="宋体" w:cs="宋体"/>
          <w:kern w:val="0"/>
          <w:sz w:val="22"/>
          <w:szCs w:val="22"/>
        </w:rPr>
      </w:pPr>
    </w:p>
    <w:p w14:paraId="605DDED5">
      <w:pPr>
        <w:widowControl/>
        <w:autoSpaceDE w:val="0"/>
        <w:autoSpaceDN w:val="0"/>
        <w:adjustRightInd w:val="0"/>
        <w:spacing w:after="240" w:line="360" w:lineRule="auto"/>
        <w:ind w:left="-158" w:leftChars="-75" w:right="-311" w:rightChars="-148"/>
        <w:jc w:val="left"/>
        <w:rPr>
          <w:rFonts w:hint="eastAsia" w:ascii="宋体" w:hAnsi="宋体" w:cs="宋体"/>
          <w:b/>
          <w:kern w:val="0"/>
          <w:sz w:val="22"/>
          <w:szCs w:val="22"/>
        </w:rPr>
      </w:pPr>
      <w:r>
        <w:rPr>
          <w:rFonts w:hint="eastAsia" w:ascii="宋体" w:hAnsi="宋体" w:cs="宋体"/>
          <w:b/>
          <w:kern w:val="0"/>
          <w:sz w:val="22"/>
          <w:szCs w:val="22"/>
        </w:rPr>
        <w:t>鉴于：</w:t>
      </w:r>
    </w:p>
    <w:p w14:paraId="2EF1009C">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1. 甲方拟选择乙方进行有关</w:t>
      </w:r>
      <w:r>
        <w:rPr>
          <w:rFonts w:hint="eastAsia" w:ascii="宋体" w:hAnsi="宋体" w:cs="宋体"/>
          <w:b/>
          <w:kern w:val="0"/>
          <w:sz w:val="22"/>
          <w:szCs w:val="22"/>
        </w:rPr>
        <w:t>产品</w:t>
      </w:r>
      <w:r>
        <w:rPr>
          <w:rFonts w:hint="eastAsia" w:ascii="宋体" w:hAnsi="宋体" w:cs="宋体"/>
          <w:kern w:val="0"/>
          <w:sz w:val="22"/>
          <w:szCs w:val="22"/>
        </w:rPr>
        <w:t>的试制或未来可能选择乙方为其提供有关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的供应、工序外协服务。</w:t>
      </w:r>
    </w:p>
    <w:p w14:paraId="77A02EE6">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   出于上述目的，甲方已经（或将要）向乙方提供有关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保密信息</w:t>
      </w:r>
      <w:r>
        <w:rPr>
          <w:rFonts w:hint="eastAsia" w:ascii="宋体" w:hAnsi="宋体" w:cs="宋体"/>
          <w:kern w:val="0"/>
          <w:sz w:val="22"/>
          <w:szCs w:val="22"/>
        </w:rPr>
        <w:t>。</w:t>
      </w:r>
    </w:p>
    <w:p w14:paraId="05A1156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     经平等协商，甲乙双方自愿签订协议如下：</w:t>
      </w:r>
    </w:p>
    <w:p w14:paraId="36558890">
      <w:pPr>
        <w:widowControl/>
        <w:autoSpaceDE w:val="0"/>
        <w:autoSpaceDN w:val="0"/>
        <w:adjustRightInd w:val="0"/>
        <w:spacing w:line="360" w:lineRule="auto"/>
        <w:ind w:right="-311" w:rightChars="-148"/>
        <w:jc w:val="left"/>
        <w:rPr>
          <w:rFonts w:hint="eastAsia" w:ascii="宋体" w:hAnsi="宋体" w:cs="宋体"/>
          <w:b/>
          <w:kern w:val="0"/>
          <w:sz w:val="22"/>
          <w:szCs w:val="22"/>
        </w:rPr>
      </w:pPr>
      <w:bookmarkStart w:id="13" w:name="_DV_M13"/>
      <w:bookmarkEnd w:id="13"/>
      <w:bookmarkStart w:id="14" w:name="_DV_M14"/>
      <w:bookmarkEnd w:id="14"/>
      <w:bookmarkStart w:id="15" w:name="_DV_M15"/>
      <w:bookmarkEnd w:id="15"/>
      <w:bookmarkStart w:id="16" w:name="_DV_M16"/>
      <w:bookmarkEnd w:id="16"/>
      <w:bookmarkStart w:id="17" w:name="_DV_M12"/>
      <w:bookmarkEnd w:id="17"/>
      <w:bookmarkStart w:id="18" w:name="_Toc504793032"/>
      <w:bookmarkStart w:id="19" w:name="_Ref516672240"/>
      <w:bookmarkStart w:id="20" w:name="_Ref516672366"/>
    </w:p>
    <w:p w14:paraId="12926CA0">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444D1CA4">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734EB14B">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59C9ADD2">
      <w:pPr>
        <w:widowControl/>
        <w:autoSpaceDE w:val="0"/>
        <w:autoSpaceDN w:val="0"/>
        <w:adjustRightInd w:val="0"/>
        <w:spacing w:line="360" w:lineRule="auto"/>
        <w:ind w:right="-311" w:rightChars="-148"/>
        <w:jc w:val="left"/>
        <w:rPr>
          <w:rFonts w:hint="eastAsia" w:ascii="宋体" w:hAnsi="宋体" w:cs="宋体"/>
          <w:b/>
          <w:kern w:val="0"/>
          <w:sz w:val="22"/>
          <w:szCs w:val="22"/>
        </w:rPr>
      </w:pPr>
      <w:r>
        <w:rPr>
          <w:rFonts w:hint="eastAsia" w:ascii="宋体" w:hAnsi="宋体" w:cs="宋体"/>
          <w:b/>
          <w:kern w:val="0"/>
          <w:sz w:val="22"/>
          <w:szCs w:val="22"/>
        </w:rPr>
        <w:t>第一条  定义</w:t>
      </w:r>
    </w:p>
    <w:bookmarkEnd w:id="18"/>
    <w:bookmarkEnd w:id="19"/>
    <w:bookmarkEnd w:id="20"/>
    <w:p w14:paraId="706B8DA1">
      <w:pPr>
        <w:widowControl/>
        <w:autoSpaceDE w:val="0"/>
        <w:autoSpaceDN w:val="0"/>
        <w:adjustRightInd w:val="0"/>
        <w:spacing w:line="360" w:lineRule="auto"/>
        <w:ind w:left="473" w:leftChars="225" w:right="-311" w:rightChars="-148"/>
        <w:jc w:val="left"/>
        <w:rPr>
          <w:rFonts w:hint="eastAsia" w:ascii="宋体" w:hAnsi="宋体" w:cs="宋体"/>
          <w:kern w:val="0"/>
          <w:sz w:val="22"/>
          <w:szCs w:val="22"/>
        </w:rPr>
      </w:pPr>
      <w:bookmarkStart w:id="21" w:name="_DV_M18"/>
      <w:bookmarkEnd w:id="21"/>
      <w:r>
        <w:rPr>
          <w:rFonts w:hint="eastAsia" w:ascii="宋体" w:hAnsi="宋体" w:cs="宋体"/>
          <w:kern w:val="0"/>
          <w:sz w:val="22"/>
          <w:szCs w:val="22"/>
        </w:rPr>
        <w:t>在本协议中，除非上下文另有规定，否则下列表述具有以下涵义：</w:t>
      </w:r>
    </w:p>
    <w:p w14:paraId="0571AC4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  “</w:t>
      </w:r>
      <w:r>
        <w:rPr>
          <w:rFonts w:hint="eastAsia" w:ascii="宋体" w:hAnsi="宋体" w:cs="宋体"/>
          <w:b/>
          <w:kern w:val="0"/>
          <w:sz w:val="22"/>
          <w:szCs w:val="22"/>
        </w:rPr>
        <w:t>保密信息</w:t>
      </w:r>
      <w:r>
        <w:rPr>
          <w:rFonts w:hint="eastAsia" w:ascii="宋体" w:hAnsi="宋体" w:cs="宋体"/>
          <w:kern w:val="0"/>
          <w:sz w:val="22"/>
          <w:szCs w:val="22"/>
        </w:rPr>
        <w:t>”指甲方为</w:t>
      </w:r>
      <w:r>
        <w:rPr>
          <w:rFonts w:hint="eastAsia" w:ascii="宋体" w:hAnsi="宋体" w:cs="宋体"/>
          <w:b/>
          <w:kern w:val="0"/>
          <w:sz w:val="22"/>
          <w:szCs w:val="22"/>
        </w:rPr>
        <w:t>协议目的</w:t>
      </w:r>
      <w:r>
        <w:rPr>
          <w:rFonts w:hint="eastAsia" w:ascii="宋体" w:hAnsi="宋体" w:cs="宋体"/>
          <w:kern w:val="0"/>
          <w:sz w:val="22"/>
          <w:szCs w:val="22"/>
        </w:rPr>
        <w:t>向乙方提供的一切资料或信息以及在双方合作中乙方从甲方获取的一切资料或信息，包括但不限于</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包括电子信息）。</w:t>
      </w:r>
    </w:p>
    <w:p w14:paraId="5C98A90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1.2  “</w:t>
      </w:r>
      <w:r>
        <w:rPr>
          <w:rFonts w:hint="eastAsia" w:ascii="宋体" w:hAnsi="宋体" w:cs="宋体"/>
          <w:b/>
          <w:kern w:val="0"/>
          <w:sz w:val="22"/>
          <w:szCs w:val="22"/>
        </w:rPr>
        <w:t>产品</w:t>
      </w:r>
      <w:r>
        <w:rPr>
          <w:rFonts w:hint="eastAsia" w:ascii="宋体" w:hAnsi="宋体" w:cs="宋体"/>
          <w:kern w:val="0"/>
          <w:sz w:val="22"/>
          <w:szCs w:val="22"/>
        </w:rPr>
        <w:t>”指乙方根据甲方的要求，使用本协议项下的</w:t>
      </w:r>
      <w:r>
        <w:rPr>
          <w:rFonts w:hint="eastAsia" w:ascii="宋体" w:hAnsi="宋体" w:cs="宋体"/>
          <w:b/>
          <w:kern w:val="0"/>
          <w:sz w:val="22"/>
          <w:szCs w:val="22"/>
        </w:rPr>
        <w:t>保密信息</w:t>
      </w:r>
      <w:r>
        <w:rPr>
          <w:rFonts w:hint="eastAsia" w:ascii="宋体" w:hAnsi="宋体" w:cs="宋体"/>
          <w:kern w:val="0"/>
          <w:sz w:val="22"/>
          <w:szCs w:val="22"/>
        </w:rPr>
        <w:t>试制或制造、装配或工序外协服务的相关汽车零部件。</w:t>
      </w:r>
    </w:p>
    <w:p w14:paraId="439B08DD">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 xml:space="preserve">1.4  </w:t>
      </w:r>
      <w:r>
        <w:rPr>
          <w:rFonts w:hint="eastAsia" w:ascii="宋体" w:hAnsi="宋体" w:cs="宋体"/>
          <w:b/>
          <w:kern w:val="0"/>
          <w:sz w:val="22"/>
          <w:szCs w:val="22"/>
        </w:rPr>
        <w:t>“装备”</w:t>
      </w:r>
      <w:r>
        <w:rPr>
          <w:rFonts w:hint="eastAsia" w:ascii="宋体" w:hAnsi="宋体" w:cs="宋体"/>
          <w:kern w:val="0"/>
          <w:sz w:val="22"/>
          <w:szCs w:val="22"/>
        </w:rPr>
        <w:t>指应甲方要求，乙方为甲方提供工艺装备、检验装备、试验装备及制造用设备。</w:t>
      </w:r>
    </w:p>
    <w:p w14:paraId="1F36C6C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1.5  “</w:t>
      </w:r>
      <w:r>
        <w:rPr>
          <w:rFonts w:hint="eastAsia" w:ascii="宋体" w:hAnsi="宋体" w:cs="宋体"/>
          <w:b/>
          <w:kern w:val="0"/>
          <w:sz w:val="22"/>
          <w:szCs w:val="22"/>
        </w:rPr>
        <w:t>协议目的</w:t>
      </w:r>
      <w:r>
        <w:rPr>
          <w:rFonts w:hint="eastAsia" w:ascii="宋体" w:hAnsi="宋体" w:cs="宋体"/>
          <w:kern w:val="0"/>
          <w:sz w:val="22"/>
          <w:szCs w:val="22"/>
        </w:rPr>
        <w:t>”指乙方根据甲方要求利用本协议项下的</w:t>
      </w:r>
      <w:r>
        <w:rPr>
          <w:rFonts w:hint="eastAsia" w:ascii="宋体" w:hAnsi="宋体" w:cs="宋体"/>
          <w:b/>
          <w:kern w:val="0"/>
          <w:sz w:val="22"/>
          <w:szCs w:val="22"/>
        </w:rPr>
        <w:t>保密信息</w:t>
      </w:r>
      <w:r>
        <w:rPr>
          <w:rFonts w:hint="eastAsia" w:ascii="宋体" w:hAnsi="宋体" w:cs="宋体"/>
          <w:kern w:val="0"/>
          <w:sz w:val="22"/>
          <w:szCs w:val="22"/>
        </w:rPr>
        <w:t>，为甲方进行</w:t>
      </w:r>
      <w:r>
        <w:rPr>
          <w:rFonts w:hint="eastAsia" w:ascii="宋体" w:hAnsi="宋体" w:cs="宋体"/>
          <w:b/>
          <w:kern w:val="0"/>
          <w:sz w:val="22"/>
          <w:szCs w:val="22"/>
        </w:rPr>
        <w:t>产品</w:t>
      </w:r>
      <w:r>
        <w:rPr>
          <w:rFonts w:hint="eastAsia" w:ascii="宋体" w:hAnsi="宋体" w:cs="宋体"/>
          <w:kern w:val="0"/>
          <w:sz w:val="22"/>
          <w:szCs w:val="22"/>
        </w:rPr>
        <w:t>的试制或制造、装配或工序外协服务，或为甲方提供</w:t>
      </w:r>
      <w:r>
        <w:rPr>
          <w:rFonts w:hint="eastAsia" w:ascii="宋体" w:hAnsi="宋体" w:cs="宋体"/>
          <w:b/>
          <w:kern w:val="0"/>
          <w:sz w:val="22"/>
          <w:szCs w:val="22"/>
        </w:rPr>
        <w:t>装备</w:t>
      </w:r>
      <w:r>
        <w:rPr>
          <w:rFonts w:hint="eastAsia" w:ascii="宋体" w:hAnsi="宋体" w:cs="宋体"/>
          <w:kern w:val="0"/>
          <w:sz w:val="22"/>
          <w:szCs w:val="22"/>
        </w:rPr>
        <w:t>。</w:t>
      </w:r>
    </w:p>
    <w:p w14:paraId="7F502D1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1.6  “</w:t>
      </w:r>
      <w:r>
        <w:rPr>
          <w:rFonts w:hint="eastAsia" w:ascii="宋体" w:hAnsi="宋体" w:cs="宋体"/>
          <w:b/>
          <w:kern w:val="0"/>
          <w:sz w:val="22"/>
          <w:szCs w:val="22"/>
        </w:rPr>
        <w:t>分供应商</w:t>
      </w:r>
      <w:r>
        <w:rPr>
          <w:rFonts w:hint="eastAsia" w:ascii="宋体" w:hAnsi="宋体" w:cs="宋体"/>
          <w:kern w:val="0"/>
          <w:sz w:val="22"/>
          <w:szCs w:val="22"/>
        </w:rPr>
        <w:t>”指乙方为</w:t>
      </w:r>
      <w:r>
        <w:rPr>
          <w:rFonts w:hint="eastAsia" w:ascii="宋体" w:hAnsi="宋体" w:cs="宋体"/>
          <w:b/>
          <w:kern w:val="0"/>
          <w:sz w:val="22"/>
          <w:szCs w:val="22"/>
        </w:rPr>
        <w:t>协议目的</w:t>
      </w:r>
      <w:r>
        <w:rPr>
          <w:rFonts w:hint="eastAsia" w:ascii="宋体" w:hAnsi="宋体" w:cs="宋体"/>
          <w:kern w:val="0"/>
          <w:sz w:val="22"/>
          <w:szCs w:val="22"/>
        </w:rPr>
        <w:t>而确需向第三方提供相关</w:t>
      </w:r>
      <w:r>
        <w:rPr>
          <w:rFonts w:hint="eastAsia" w:ascii="宋体" w:hAnsi="宋体" w:cs="宋体"/>
          <w:b/>
          <w:kern w:val="0"/>
          <w:sz w:val="22"/>
          <w:szCs w:val="22"/>
        </w:rPr>
        <w:t>保密信息</w:t>
      </w:r>
      <w:r>
        <w:rPr>
          <w:rFonts w:hint="eastAsia" w:ascii="宋体" w:hAnsi="宋体" w:cs="宋体"/>
          <w:kern w:val="0"/>
          <w:sz w:val="22"/>
          <w:szCs w:val="22"/>
        </w:rPr>
        <w:t>，并由第三方使用</w:t>
      </w:r>
      <w:r>
        <w:rPr>
          <w:rFonts w:hint="eastAsia" w:ascii="宋体" w:hAnsi="宋体" w:cs="宋体"/>
          <w:b/>
          <w:kern w:val="0"/>
          <w:sz w:val="22"/>
          <w:szCs w:val="22"/>
        </w:rPr>
        <w:t>保密信息</w:t>
      </w:r>
      <w:r>
        <w:rPr>
          <w:rFonts w:hint="eastAsia" w:ascii="宋体" w:hAnsi="宋体" w:cs="宋体"/>
          <w:kern w:val="0"/>
          <w:sz w:val="22"/>
          <w:szCs w:val="22"/>
        </w:rPr>
        <w:t>试制或制造、供应、装配或工序外协服务</w:t>
      </w:r>
      <w:r>
        <w:rPr>
          <w:rFonts w:hint="eastAsia" w:ascii="宋体" w:hAnsi="宋体" w:cs="宋体"/>
          <w:b/>
          <w:kern w:val="0"/>
          <w:sz w:val="22"/>
          <w:szCs w:val="22"/>
        </w:rPr>
        <w:t>产品</w:t>
      </w:r>
      <w:r>
        <w:rPr>
          <w:rFonts w:hint="eastAsia" w:ascii="宋体" w:hAnsi="宋体" w:cs="宋体"/>
          <w:kern w:val="0"/>
          <w:sz w:val="22"/>
          <w:szCs w:val="22"/>
        </w:rPr>
        <w:t>中的某一组成部分且仅向乙方供应以便乙方向甲方提供</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人</w:t>
      </w:r>
      <w:r>
        <w:rPr>
          <w:rFonts w:hint="eastAsia" w:ascii="宋体" w:hAnsi="宋体" w:cs="宋体"/>
          <w:kern w:val="0"/>
          <w:sz w:val="22"/>
          <w:szCs w:val="22"/>
        </w:rPr>
        <w:t>。但前提是，甲方已在与乙方签订的相关合同或协议中明确约定乙方应按约定将拟选择的</w:t>
      </w:r>
      <w:r>
        <w:rPr>
          <w:rFonts w:hint="eastAsia" w:ascii="宋体" w:hAnsi="宋体" w:cs="宋体"/>
          <w:b/>
          <w:kern w:val="0"/>
          <w:sz w:val="22"/>
          <w:szCs w:val="22"/>
        </w:rPr>
        <w:t>分供应商</w:t>
      </w:r>
      <w:r>
        <w:rPr>
          <w:rFonts w:hint="eastAsia" w:ascii="宋体" w:hAnsi="宋体" w:cs="宋体"/>
          <w:kern w:val="0"/>
          <w:sz w:val="22"/>
          <w:szCs w:val="22"/>
        </w:rPr>
        <w:t>事前取得甲方的同意。</w:t>
      </w:r>
    </w:p>
    <w:p w14:paraId="6E2C285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1.7  “</w:t>
      </w:r>
      <w:r>
        <w:rPr>
          <w:rFonts w:hint="eastAsia" w:ascii="宋体" w:hAnsi="宋体" w:cs="宋体"/>
          <w:b/>
          <w:kern w:val="0"/>
          <w:sz w:val="22"/>
          <w:szCs w:val="22"/>
        </w:rPr>
        <w:t>附属公司</w:t>
      </w:r>
      <w:r>
        <w:rPr>
          <w:rFonts w:hint="eastAsia" w:ascii="宋体" w:hAnsi="宋体" w:cs="宋体"/>
          <w:kern w:val="0"/>
          <w:sz w:val="22"/>
          <w:szCs w:val="22"/>
        </w:rPr>
        <w:t xml:space="preserve">”指任何一方通过直接或间接拥有其逾50%表决股权或通过合同安排而持有其控制性表决权，和/或持有选举其多数董事之权力的任何公司或经济实体。 </w:t>
      </w:r>
    </w:p>
    <w:p w14:paraId="702ECC8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2" w:name="_Toc506278688"/>
      <w:r>
        <w:rPr>
          <w:rFonts w:hint="eastAsia" w:ascii="宋体" w:hAnsi="宋体" w:cs="宋体"/>
          <w:kern w:val="0"/>
          <w:sz w:val="22"/>
          <w:szCs w:val="22"/>
        </w:rPr>
        <w:t>1.8  “</w:t>
      </w:r>
      <w:r>
        <w:rPr>
          <w:rFonts w:hint="eastAsia" w:ascii="宋体" w:hAnsi="宋体" w:cs="宋体"/>
          <w:b/>
          <w:kern w:val="0"/>
          <w:sz w:val="22"/>
          <w:szCs w:val="22"/>
        </w:rPr>
        <w:t>人</w:t>
      </w:r>
      <w:r>
        <w:rPr>
          <w:rFonts w:hint="eastAsia" w:ascii="宋体" w:hAnsi="宋体" w:cs="宋体"/>
          <w:kern w:val="0"/>
          <w:sz w:val="22"/>
          <w:szCs w:val="22"/>
        </w:rPr>
        <w:t>”指任何个人、商号、企业、公司、合营企业、合伙组织、信托组织、协会或其他任何实体，无论是否具有独立法人地位，并且视情况允许，应包括该</w:t>
      </w:r>
      <w:r>
        <w:rPr>
          <w:rFonts w:hint="eastAsia" w:ascii="宋体" w:hAnsi="宋体" w:cs="宋体"/>
          <w:b/>
          <w:kern w:val="0"/>
          <w:sz w:val="22"/>
          <w:szCs w:val="22"/>
        </w:rPr>
        <w:t>人</w:t>
      </w:r>
      <w:r>
        <w:rPr>
          <w:rFonts w:hint="eastAsia" w:ascii="宋体" w:hAnsi="宋体" w:cs="宋体"/>
          <w:kern w:val="0"/>
          <w:sz w:val="22"/>
          <w:szCs w:val="22"/>
        </w:rPr>
        <w:t>的法定代表人以及经许可的受让</w:t>
      </w:r>
      <w:r>
        <w:rPr>
          <w:rFonts w:hint="eastAsia" w:ascii="宋体" w:hAnsi="宋体" w:cs="宋体"/>
          <w:b/>
          <w:kern w:val="0"/>
          <w:sz w:val="22"/>
          <w:szCs w:val="22"/>
        </w:rPr>
        <w:t>人</w:t>
      </w:r>
      <w:r>
        <w:rPr>
          <w:rFonts w:hint="eastAsia" w:ascii="宋体" w:hAnsi="宋体" w:cs="宋体"/>
          <w:kern w:val="0"/>
          <w:sz w:val="22"/>
          <w:szCs w:val="22"/>
        </w:rPr>
        <w:t>。</w:t>
      </w:r>
    </w:p>
    <w:p w14:paraId="21F4BED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1.9  “</w:t>
      </w:r>
      <w:r>
        <w:rPr>
          <w:rFonts w:hint="eastAsia" w:ascii="宋体" w:hAnsi="宋体" w:cs="宋体"/>
          <w:b/>
          <w:kern w:val="0"/>
          <w:sz w:val="22"/>
          <w:szCs w:val="22"/>
        </w:rPr>
        <w:t>关联方</w:t>
      </w:r>
      <w:r>
        <w:rPr>
          <w:rFonts w:hint="eastAsia" w:ascii="宋体" w:hAnsi="宋体" w:cs="宋体"/>
          <w:kern w:val="0"/>
          <w:sz w:val="22"/>
          <w:szCs w:val="22"/>
        </w:rPr>
        <w:t>”就任何方而言，通过拥有有表决权的股份或其它方式直接或间接控制该方或受该方控制或与该方共同受控制的任何公司或其它实体，以及按</w:t>
      </w:r>
      <w:r>
        <w:rPr>
          <w:rFonts w:hint="eastAsia" w:ascii="宋体" w:hAnsi="宋体" w:cs="宋体"/>
          <w:b/>
          <w:kern w:val="0"/>
          <w:sz w:val="22"/>
          <w:szCs w:val="22"/>
        </w:rPr>
        <w:t>中国</w:t>
      </w:r>
      <w:r>
        <w:rPr>
          <w:rFonts w:hint="eastAsia" w:ascii="宋体" w:hAnsi="宋体" w:cs="宋体"/>
          <w:kern w:val="0"/>
          <w:sz w:val="22"/>
          <w:szCs w:val="22"/>
        </w:rPr>
        <w:t>公司法规定具有关联关系的</w:t>
      </w:r>
      <w:r>
        <w:rPr>
          <w:rFonts w:hint="eastAsia" w:ascii="宋体" w:hAnsi="宋体" w:cs="宋体"/>
          <w:b/>
          <w:kern w:val="0"/>
          <w:sz w:val="22"/>
          <w:szCs w:val="22"/>
        </w:rPr>
        <w:t>人</w:t>
      </w:r>
      <w:r>
        <w:rPr>
          <w:rFonts w:hint="eastAsia" w:ascii="宋体" w:hAnsi="宋体" w:cs="宋体"/>
          <w:kern w:val="0"/>
          <w:sz w:val="22"/>
          <w:szCs w:val="22"/>
        </w:rPr>
        <w:t>。</w:t>
      </w:r>
    </w:p>
    <w:p w14:paraId="1A71D33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1.10 “</w:t>
      </w:r>
      <w:r>
        <w:rPr>
          <w:rFonts w:hint="eastAsia" w:ascii="宋体" w:hAnsi="宋体" w:cs="宋体"/>
          <w:b/>
          <w:kern w:val="0"/>
          <w:sz w:val="22"/>
          <w:szCs w:val="22"/>
        </w:rPr>
        <w:t>员工</w:t>
      </w:r>
      <w:r>
        <w:rPr>
          <w:rFonts w:hint="eastAsia" w:ascii="宋体" w:hAnsi="宋体" w:cs="宋体"/>
          <w:kern w:val="0"/>
          <w:sz w:val="22"/>
          <w:szCs w:val="22"/>
        </w:rPr>
        <w:t>”指任一方或</w:t>
      </w:r>
      <w:r>
        <w:rPr>
          <w:rFonts w:hint="eastAsia" w:ascii="宋体" w:hAnsi="宋体" w:cs="宋体"/>
          <w:b/>
          <w:kern w:val="0"/>
          <w:sz w:val="22"/>
          <w:szCs w:val="22"/>
        </w:rPr>
        <w:t>分供应商</w:t>
      </w:r>
      <w:r>
        <w:rPr>
          <w:rFonts w:hint="eastAsia" w:ascii="宋体" w:hAnsi="宋体" w:cs="宋体"/>
          <w:kern w:val="0"/>
          <w:sz w:val="22"/>
          <w:szCs w:val="22"/>
        </w:rPr>
        <w:t>的法定代表人、董事、监事、高级管理人员和雇员等。</w:t>
      </w:r>
    </w:p>
    <w:p w14:paraId="28C510E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3" w:name="_DV_M32"/>
      <w:bookmarkEnd w:id="23"/>
      <w:bookmarkStart w:id="24" w:name="_DV_M27"/>
      <w:bookmarkEnd w:id="24"/>
      <w:bookmarkStart w:id="25" w:name="_DV_M28"/>
      <w:bookmarkEnd w:id="25"/>
      <w:r>
        <w:rPr>
          <w:rFonts w:hint="eastAsia" w:ascii="宋体" w:hAnsi="宋体" w:cs="宋体"/>
          <w:kern w:val="0"/>
          <w:sz w:val="22"/>
          <w:szCs w:val="22"/>
        </w:rPr>
        <w:t>1.11 “</w:t>
      </w:r>
      <w:r>
        <w:rPr>
          <w:rFonts w:hint="eastAsia" w:ascii="宋体" w:hAnsi="宋体" w:cs="宋体"/>
          <w:b/>
          <w:kern w:val="0"/>
          <w:sz w:val="22"/>
          <w:szCs w:val="22"/>
        </w:rPr>
        <w:t>中国</w:t>
      </w:r>
      <w:r>
        <w:rPr>
          <w:rFonts w:hint="eastAsia" w:ascii="宋体" w:hAnsi="宋体" w:cs="宋体"/>
          <w:kern w:val="0"/>
          <w:sz w:val="22"/>
          <w:szCs w:val="22"/>
        </w:rPr>
        <w:t>”，指中华人民共和国（为协议表述方便之目的，在本协议中不包括中国香港特别行政区、澳门特别行政区和台湾）。</w:t>
      </w:r>
    </w:p>
    <w:p w14:paraId="0D5CA8E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4EBB0329">
      <w:pPr>
        <w:widowControl/>
        <w:autoSpaceDE w:val="0"/>
        <w:autoSpaceDN w:val="0"/>
        <w:adjustRightInd w:val="0"/>
        <w:spacing w:line="360" w:lineRule="auto"/>
        <w:ind w:left="373" w:leftChars="-74"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第二条  保密信息使用</w:t>
      </w:r>
    </w:p>
    <w:p w14:paraId="2226E4E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6" w:name="_DV_M34"/>
      <w:bookmarkEnd w:id="26"/>
      <w:r>
        <w:rPr>
          <w:rFonts w:hint="eastAsia" w:ascii="宋体" w:hAnsi="宋体" w:cs="宋体"/>
          <w:kern w:val="0"/>
          <w:sz w:val="22"/>
          <w:szCs w:val="22"/>
        </w:rPr>
        <w:t>2.1  在遵守本协议条款和条件的前提下，乙方按本协议规定或甲方的要求使用</w:t>
      </w:r>
      <w:r>
        <w:rPr>
          <w:rFonts w:hint="eastAsia" w:ascii="宋体" w:hAnsi="宋体" w:cs="宋体"/>
          <w:b/>
          <w:kern w:val="0"/>
          <w:sz w:val="22"/>
          <w:szCs w:val="22"/>
        </w:rPr>
        <w:t>保密信息</w:t>
      </w:r>
      <w:r>
        <w:rPr>
          <w:rFonts w:hint="eastAsia" w:ascii="宋体" w:hAnsi="宋体" w:cs="宋体"/>
          <w:kern w:val="0"/>
          <w:sz w:val="22"/>
          <w:szCs w:val="22"/>
        </w:rPr>
        <w:t>进行</w:t>
      </w:r>
      <w:r>
        <w:rPr>
          <w:rFonts w:hint="eastAsia" w:ascii="宋体" w:hAnsi="宋体" w:cs="宋体"/>
          <w:b/>
          <w:kern w:val="0"/>
          <w:sz w:val="22"/>
          <w:szCs w:val="22"/>
        </w:rPr>
        <w:t>产品</w:t>
      </w:r>
      <w:r>
        <w:rPr>
          <w:rFonts w:hint="eastAsia" w:ascii="宋体" w:hAnsi="宋体" w:cs="宋体"/>
          <w:kern w:val="0"/>
          <w:sz w:val="22"/>
          <w:szCs w:val="22"/>
        </w:rPr>
        <w:t>的试制或制造、装配</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产品</w:t>
      </w:r>
      <w:r>
        <w:rPr>
          <w:rFonts w:hint="eastAsia" w:ascii="宋体" w:hAnsi="宋体" w:cs="宋体"/>
          <w:kern w:val="0"/>
          <w:sz w:val="22"/>
          <w:szCs w:val="22"/>
        </w:rPr>
        <w:t>的工序外协服</w:t>
      </w:r>
      <w:bookmarkStart w:id="27" w:name="OLE_LINK10"/>
      <w:r>
        <w:rPr>
          <w:rFonts w:hint="eastAsia" w:ascii="宋体" w:hAnsi="宋体" w:cs="宋体"/>
          <w:kern w:val="0"/>
          <w:sz w:val="22"/>
          <w:szCs w:val="22"/>
        </w:rPr>
        <w:t>务</w:t>
      </w:r>
      <w:bookmarkEnd w:id="27"/>
      <w:r>
        <w:rPr>
          <w:rFonts w:hint="eastAsia" w:ascii="宋体" w:hAnsi="宋体" w:cs="宋体"/>
          <w:kern w:val="0"/>
          <w:sz w:val="22"/>
          <w:szCs w:val="22"/>
        </w:rPr>
        <w:t>或为甲方提供</w:t>
      </w:r>
      <w:r>
        <w:rPr>
          <w:rFonts w:hint="eastAsia" w:ascii="宋体" w:hAnsi="宋体" w:cs="宋体"/>
          <w:b/>
          <w:kern w:val="0"/>
          <w:sz w:val="22"/>
          <w:szCs w:val="22"/>
        </w:rPr>
        <w:t>装备</w:t>
      </w:r>
      <w:r>
        <w:rPr>
          <w:rFonts w:hint="eastAsia" w:ascii="宋体" w:hAnsi="宋体" w:cs="宋体"/>
          <w:kern w:val="0"/>
          <w:sz w:val="22"/>
          <w:szCs w:val="22"/>
        </w:rPr>
        <w:t>；并按甲方要求，向甲方供应合格的</w:t>
      </w:r>
      <w:r>
        <w:rPr>
          <w:rFonts w:hint="eastAsia" w:ascii="宋体" w:hAnsi="宋体" w:cs="宋体"/>
          <w:b/>
          <w:kern w:val="0"/>
          <w:sz w:val="22"/>
          <w:szCs w:val="22"/>
        </w:rPr>
        <w:t>产品</w:t>
      </w:r>
      <w:r>
        <w:rPr>
          <w:rFonts w:hint="eastAsia" w:ascii="宋体" w:hAnsi="宋体" w:cs="宋体"/>
          <w:kern w:val="0"/>
          <w:sz w:val="22"/>
          <w:szCs w:val="22"/>
        </w:rPr>
        <w:t>。若</w:t>
      </w:r>
      <w:r>
        <w:rPr>
          <w:rFonts w:hint="eastAsia" w:ascii="宋体" w:hAnsi="宋体" w:cs="宋体"/>
          <w:b/>
          <w:kern w:val="0"/>
          <w:sz w:val="22"/>
          <w:szCs w:val="22"/>
        </w:rPr>
        <w:t>产品</w:t>
      </w:r>
      <w:r>
        <w:rPr>
          <w:rFonts w:hint="eastAsia" w:ascii="宋体" w:hAnsi="宋体" w:cs="宋体"/>
          <w:kern w:val="0"/>
          <w:sz w:val="22"/>
          <w:szCs w:val="22"/>
        </w:rPr>
        <w:t>试制成功，甲方要求提供</w:t>
      </w:r>
      <w:r>
        <w:rPr>
          <w:rFonts w:hint="eastAsia" w:ascii="宋体" w:hAnsi="宋体" w:cs="宋体"/>
          <w:b/>
          <w:kern w:val="0"/>
          <w:sz w:val="22"/>
          <w:szCs w:val="22"/>
        </w:rPr>
        <w:t>产品</w:t>
      </w:r>
      <w:r>
        <w:rPr>
          <w:rFonts w:hint="eastAsia" w:ascii="宋体" w:hAnsi="宋体" w:cs="宋体"/>
          <w:kern w:val="0"/>
          <w:sz w:val="22"/>
          <w:szCs w:val="22"/>
        </w:rPr>
        <w:t>的，乙方必须提供</w:t>
      </w:r>
      <w:r>
        <w:rPr>
          <w:rFonts w:hint="eastAsia" w:ascii="宋体" w:hAnsi="宋体" w:cs="宋体"/>
          <w:b/>
          <w:kern w:val="0"/>
          <w:sz w:val="22"/>
          <w:szCs w:val="22"/>
        </w:rPr>
        <w:t>产品</w:t>
      </w:r>
      <w:r>
        <w:rPr>
          <w:rFonts w:hint="eastAsia" w:ascii="宋体" w:hAnsi="宋体" w:cs="宋体"/>
          <w:kern w:val="0"/>
          <w:sz w:val="22"/>
          <w:szCs w:val="22"/>
        </w:rPr>
        <w:t>。</w:t>
      </w:r>
    </w:p>
    <w:p w14:paraId="5802B42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  乙方不得将</w:t>
      </w:r>
      <w:r>
        <w:rPr>
          <w:rFonts w:hint="eastAsia" w:ascii="宋体" w:hAnsi="宋体" w:cs="宋体"/>
          <w:b/>
          <w:kern w:val="0"/>
          <w:sz w:val="22"/>
          <w:szCs w:val="22"/>
        </w:rPr>
        <w:t>保密信息</w:t>
      </w:r>
      <w:r>
        <w:rPr>
          <w:rFonts w:hint="eastAsia" w:ascii="宋体" w:hAnsi="宋体" w:cs="宋体"/>
          <w:kern w:val="0"/>
          <w:sz w:val="22"/>
          <w:szCs w:val="22"/>
        </w:rPr>
        <w:t>运用于</w:t>
      </w:r>
      <w:r>
        <w:rPr>
          <w:rFonts w:hint="eastAsia" w:ascii="宋体" w:hAnsi="宋体" w:cs="宋体"/>
          <w:b/>
          <w:kern w:val="0"/>
          <w:sz w:val="22"/>
          <w:szCs w:val="22"/>
        </w:rPr>
        <w:t>协议目的</w:t>
      </w:r>
      <w:r>
        <w:rPr>
          <w:rFonts w:hint="eastAsia" w:ascii="宋体" w:hAnsi="宋体" w:cs="宋体"/>
          <w:kern w:val="0"/>
          <w:sz w:val="22"/>
          <w:szCs w:val="22"/>
        </w:rPr>
        <w:t xml:space="preserve">外的任何行为，包括但不限于： </w:t>
      </w:r>
    </w:p>
    <w:p w14:paraId="793AC0D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2.2.1  除</w:t>
      </w:r>
      <w:r>
        <w:rPr>
          <w:rFonts w:hint="eastAsia" w:ascii="宋体" w:hAnsi="宋体" w:cs="宋体"/>
          <w:b/>
          <w:kern w:val="0"/>
          <w:sz w:val="22"/>
          <w:szCs w:val="22"/>
        </w:rPr>
        <w:t>协议目的</w:t>
      </w:r>
      <w:r>
        <w:rPr>
          <w:rFonts w:hint="eastAsia" w:ascii="宋体" w:hAnsi="宋体" w:cs="宋体"/>
          <w:kern w:val="0"/>
          <w:sz w:val="22"/>
          <w:szCs w:val="22"/>
        </w:rPr>
        <w:t>之外，自己或使第三</w:t>
      </w:r>
      <w:r>
        <w:rPr>
          <w:rFonts w:hint="eastAsia" w:ascii="宋体" w:hAnsi="宋体" w:cs="宋体"/>
          <w:b/>
          <w:kern w:val="0"/>
          <w:sz w:val="22"/>
          <w:szCs w:val="22"/>
        </w:rPr>
        <w:t>人</w:t>
      </w:r>
      <w:r>
        <w:rPr>
          <w:rFonts w:hint="eastAsia" w:ascii="宋体" w:hAnsi="宋体" w:cs="宋体"/>
          <w:kern w:val="0"/>
          <w:sz w:val="22"/>
          <w:szCs w:val="22"/>
        </w:rPr>
        <w:t>为任何其他目的使用、更改</w:t>
      </w:r>
      <w:r>
        <w:rPr>
          <w:rFonts w:hint="eastAsia" w:ascii="宋体" w:hAnsi="宋体" w:cs="宋体"/>
          <w:b/>
          <w:kern w:val="0"/>
          <w:sz w:val="22"/>
          <w:szCs w:val="22"/>
        </w:rPr>
        <w:t>保密信息</w:t>
      </w:r>
      <w:r>
        <w:rPr>
          <w:rFonts w:hint="eastAsia" w:ascii="宋体" w:hAnsi="宋体" w:cs="宋体"/>
          <w:kern w:val="0"/>
          <w:sz w:val="22"/>
          <w:szCs w:val="22"/>
        </w:rPr>
        <w:t>或者 允许他</w:t>
      </w:r>
      <w:r>
        <w:rPr>
          <w:rFonts w:hint="eastAsia" w:ascii="宋体" w:hAnsi="宋体" w:cs="宋体"/>
          <w:b/>
          <w:kern w:val="0"/>
          <w:sz w:val="22"/>
          <w:szCs w:val="22"/>
        </w:rPr>
        <w:t>人</w:t>
      </w:r>
      <w:r>
        <w:rPr>
          <w:rFonts w:hint="eastAsia" w:ascii="宋体" w:hAnsi="宋体" w:cs="宋体"/>
          <w:kern w:val="0"/>
          <w:sz w:val="22"/>
          <w:szCs w:val="22"/>
        </w:rPr>
        <w:t>（包括但不限于以分包、授权或转委托等形式）使用、更改</w:t>
      </w:r>
      <w:r>
        <w:rPr>
          <w:rFonts w:hint="eastAsia" w:ascii="宋体" w:hAnsi="宋体" w:cs="宋体"/>
          <w:b/>
          <w:kern w:val="0"/>
          <w:sz w:val="22"/>
          <w:szCs w:val="22"/>
        </w:rPr>
        <w:t>保密信息</w:t>
      </w:r>
      <w:r>
        <w:rPr>
          <w:rFonts w:hint="eastAsia" w:ascii="宋体" w:hAnsi="宋体" w:cs="宋体"/>
          <w:kern w:val="0"/>
          <w:sz w:val="22"/>
          <w:szCs w:val="22"/>
        </w:rPr>
        <w:t>；</w:t>
      </w:r>
    </w:p>
    <w:p w14:paraId="355C301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2.2.2 复印或允许他</w:t>
      </w:r>
      <w:r>
        <w:rPr>
          <w:rFonts w:hint="eastAsia" w:ascii="宋体" w:hAnsi="宋体" w:cs="宋体"/>
          <w:b/>
          <w:kern w:val="0"/>
          <w:sz w:val="22"/>
          <w:szCs w:val="22"/>
        </w:rPr>
        <w:t>人</w:t>
      </w:r>
      <w:r>
        <w:rPr>
          <w:rFonts w:hint="eastAsia" w:ascii="宋体" w:hAnsi="宋体" w:cs="宋体"/>
          <w:kern w:val="0"/>
          <w:sz w:val="22"/>
          <w:szCs w:val="22"/>
        </w:rPr>
        <w:t>复印</w:t>
      </w:r>
      <w:r>
        <w:rPr>
          <w:rFonts w:hint="eastAsia" w:ascii="宋体" w:hAnsi="宋体" w:cs="宋体"/>
          <w:b/>
          <w:kern w:val="0"/>
          <w:sz w:val="22"/>
          <w:szCs w:val="22"/>
        </w:rPr>
        <w:t>保密信息</w:t>
      </w:r>
      <w:r>
        <w:rPr>
          <w:rFonts w:hint="eastAsia" w:ascii="宋体" w:hAnsi="宋体" w:cs="宋体"/>
          <w:kern w:val="0"/>
          <w:sz w:val="22"/>
          <w:szCs w:val="22"/>
        </w:rPr>
        <w:t>的文件，但基于</w:t>
      </w:r>
      <w:r>
        <w:rPr>
          <w:rFonts w:hint="eastAsia" w:ascii="宋体" w:hAnsi="宋体" w:cs="宋体"/>
          <w:b/>
          <w:kern w:val="0"/>
          <w:sz w:val="22"/>
          <w:szCs w:val="22"/>
        </w:rPr>
        <w:t>协议目的</w:t>
      </w:r>
      <w:r>
        <w:rPr>
          <w:rFonts w:hint="eastAsia" w:ascii="宋体" w:hAnsi="宋体" w:cs="宋体"/>
          <w:kern w:val="0"/>
          <w:sz w:val="22"/>
          <w:szCs w:val="22"/>
        </w:rPr>
        <w:t>经甲方书面同意的除外；</w:t>
      </w:r>
    </w:p>
    <w:p w14:paraId="32E2D13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2.2.3  向第三</w:t>
      </w:r>
      <w:r>
        <w:rPr>
          <w:rFonts w:hint="eastAsia" w:ascii="宋体" w:hAnsi="宋体" w:cs="宋体"/>
          <w:b/>
          <w:kern w:val="0"/>
          <w:sz w:val="22"/>
          <w:szCs w:val="22"/>
        </w:rPr>
        <w:t>人</w:t>
      </w:r>
      <w:r>
        <w:rPr>
          <w:rFonts w:hint="eastAsia" w:ascii="宋体" w:hAnsi="宋体" w:cs="宋体"/>
          <w:kern w:val="0"/>
          <w:sz w:val="22"/>
          <w:szCs w:val="22"/>
        </w:rPr>
        <w:t>转让、分许可、出售、出让或质押甲方根据本协议向其授予的</w:t>
      </w:r>
      <w:r>
        <w:rPr>
          <w:rFonts w:hint="eastAsia" w:ascii="宋体" w:hAnsi="宋体" w:cs="宋体"/>
          <w:b/>
          <w:kern w:val="0"/>
          <w:sz w:val="22"/>
          <w:szCs w:val="22"/>
        </w:rPr>
        <w:t>保密信息</w:t>
      </w:r>
      <w:r>
        <w:rPr>
          <w:rFonts w:hint="eastAsia" w:ascii="宋体" w:hAnsi="宋体" w:cs="宋体"/>
          <w:kern w:val="0"/>
          <w:sz w:val="22"/>
          <w:szCs w:val="22"/>
        </w:rPr>
        <w:t>的使用权，或分包、转授权利或以其他方式安排第三</w:t>
      </w:r>
      <w:r>
        <w:rPr>
          <w:rFonts w:hint="eastAsia" w:ascii="宋体" w:hAnsi="宋体" w:cs="宋体"/>
          <w:b/>
          <w:kern w:val="0"/>
          <w:sz w:val="22"/>
          <w:szCs w:val="22"/>
        </w:rPr>
        <w:t>人</w:t>
      </w:r>
      <w:r>
        <w:rPr>
          <w:rFonts w:hint="eastAsia" w:ascii="宋体" w:hAnsi="宋体" w:cs="宋体"/>
          <w:kern w:val="0"/>
          <w:sz w:val="22"/>
          <w:szCs w:val="22"/>
        </w:rPr>
        <w:t>使用甲方在本协议下向其传递的</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42AED76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2.2.4  除非双方在相关合同或协议中另有约定，乙方不得直接或间接向甲方之外的第三</w:t>
      </w:r>
      <w:r>
        <w:rPr>
          <w:rFonts w:hint="eastAsia" w:ascii="宋体" w:hAnsi="宋体" w:cs="宋体"/>
          <w:b/>
          <w:kern w:val="0"/>
          <w:sz w:val="22"/>
          <w:szCs w:val="22"/>
        </w:rPr>
        <w:t>人</w:t>
      </w:r>
      <w:r>
        <w:rPr>
          <w:rFonts w:hint="eastAsia" w:ascii="宋体" w:hAnsi="宋体" w:cs="宋体"/>
          <w:kern w:val="0"/>
          <w:sz w:val="22"/>
          <w:szCs w:val="22"/>
        </w:rPr>
        <w:t>销售或提供</w:t>
      </w:r>
      <w:r>
        <w:rPr>
          <w:rFonts w:hint="eastAsia" w:ascii="宋体" w:hAnsi="宋体" w:cs="宋体"/>
          <w:b/>
          <w:kern w:val="0"/>
          <w:sz w:val="22"/>
          <w:szCs w:val="22"/>
        </w:rPr>
        <w:t>产品</w:t>
      </w:r>
      <w:r>
        <w:rPr>
          <w:rFonts w:hint="eastAsia" w:ascii="宋体" w:hAnsi="宋体" w:cs="宋体"/>
          <w:kern w:val="0"/>
          <w:sz w:val="22"/>
          <w:szCs w:val="22"/>
        </w:rPr>
        <w:t>（包括利用</w:t>
      </w:r>
      <w:r>
        <w:rPr>
          <w:rFonts w:hint="eastAsia" w:ascii="宋体" w:hAnsi="宋体" w:cs="宋体"/>
          <w:b/>
          <w:kern w:val="0"/>
          <w:sz w:val="22"/>
          <w:szCs w:val="22"/>
        </w:rPr>
        <w:t>保密信息</w:t>
      </w:r>
      <w:r>
        <w:rPr>
          <w:rFonts w:hint="eastAsia" w:ascii="宋体" w:hAnsi="宋体" w:cs="宋体"/>
          <w:kern w:val="0"/>
          <w:sz w:val="22"/>
          <w:szCs w:val="22"/>
        </w:rPr>
        <w:t>制造与</w:t>
      </w:r>
      <w:r>
        <w:rPr>
          <w:rFonts w:hint="eastAsia" w:ascii="宋体" w:hAnsi="宋体" w:cs="宋体"/>
          <w:b/>
          <w:kern w:val="0"/>
          <w:sz w:val="22"/>
          <w:szCs w:val="22"/>
        </w:rPr>
        <w:t>产品</w:t>
      </w:r>
      <w:r>
        <w:rPr>
          <w:rFonts w:hint="eastAsia" w:ascii="宋体" w:hAnsi="宋体" w:cs="宋体"/>
          <w:kern w:val="0"/>
          <w:sz w:val="22"/>
          <w:szCs w:val="22"/>
        </w:rPr>
        <w:t>类似的零部件）或</w:t>
      </w:r>
      <w:r>
        <w:rPr>
          <w:rFonts w:hint="eastAsia" w:ascii="宋体" w:hAnsi="宋体" w:cs="宋体"/>
          <w:b/>
          <w:kern w:val="0"/>
          <w:sz w:val="22"/>
          <w:szCs w:val="22"/>
        </w:rPr>
        <w:t>装备</w:t>
      </w:r>
      <w:r>
        <w:rPr>
          <w:rFonts w:hint="eastAsia" w:ascii="宋体" w:hAnsi="宋体" w:cs="宋体"/>
          <w:kern w:val="0"/>
          <w:sz w:val="22"/>
          <w:szCs w:val="22"/>
        </w:rPr>
        <w:t>，也不得对</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自用；</w:t>
      </w:r>
    </w:p>
    <w:p w14:paraId="02B0DCAD">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2.2.5  乙方不得向第三</w:t>
      </w:r>
      <w:r>
        <w:rPr>
          <w:rFonts w:hint="eastAsia" w:ascii="宋体" w:hAnsi="宋体" w:cs="宋体"/>
          <w:b/>
          <w:kern w:val="0"/>
          <w:sz w:val="22"/>
          <w:szCs w:val="22"/>
        </w:rPr>
        <w:t>人</w:t>
      </w:r>
      <w:r>
        <w:rPr>
          <w:rFonts w:hint="eastAsia" w:ascii="宋体" w:hAnsi="宋体" w:cs="宋体"/>
          <w:kern w:val="0"/>
          <w:sz w:val="22"/>
          <w:szCs w:val="22"/>
        </w:rPr>
        <w:t>或乙方自身提供能够用于制造含有</w:t>
      </w:r>
      <w:r>
        <w:rPr>
          <w:rFonts w:hint="eastAsia" w:ascii="宋体" w:hAnsi="宋体" w:cs="宋体"/>
          <w:b/>
          <w:kern w:val="0"/>
          <w:sz w:val="22"/>
          <w:szCs w:val="22"/>
        </w:rPr>
        <w:t>保密信息</w:t>
      </w:r>
      <w:r>
        <w:rPr>
          <w:rFonts w:hint="eastAsia" w:ascii="宋体" w:hAnsi="宋体" w:cs="宋体"/>
          <w:kern w:val="0"/>
          <w:sz w:val="22"/>
          <w:szCs w:val="22"/>
        </w:rPr>
        <w:t>的</w:t>
      </w:r>
      <w:r>
        <w:rPr>
          <w:rFonts w:hint="eastAsia" w:ascii="宋体" w:hAnsi="宋体" w:cs="宋体"/>
          <w:b/>
          <w:kern w:val="0"/>
          <w:sz w:val="22"/>
          <w:szCs w:val="22"/>
        </w:rPr>
        <w:t>装备</w:t>
      </w:r>
      <w:r>
        <w:rPr>
          <w:rFonts w:hint="eastAsia" w:ascii="宋体" w:hAnsi="宋体" w:cs="宋体"/>
          <w:kern w:val="0"/>
          <w:sz w:val="22"/>
          <w:szCs w:val="22"/>
        </w:rPr>
        <w:t>；</w:t>
      </w:r>
    </w:p>
    <w:p w14:paraId="3A97FAE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2.3  双方同意，不论双方中的一方或双方对</w:t>
      </w:r>
      <w:r>
        <w:rPr>
          <w:rFonts w:hint="eastAsia" w:ascii="宋体" w:hAnsi="宋体" w:cs="宋体"/>
          <w:b/>
          <w:kern w:val="0"/>
          <w:sz w:val="22"/>
          <w:szCs w:val="22"/>
        </w:rPr>
        <w:t>产品</w:t>
      </w:r>
      <w:r>
        <w:rPr>
          <w:rFonts w:hint="eastAsia" w:ascii="宋体" w:hAnsi="宋体" w:cs="宋体"/>
          <w:kern w:val="0"/>
          <w:sz w:val="22"/>
          <w:szCs w:val="22"/>
        </w:rPr>
        <w:t>做出任何</w:t>
      </w:r>
      <w:bookmarkStart w:id="28" w:name="OLE_LINK31"/>
      <w:r>
        <w:rPr>
          <w:rFonts w:hint="eastAsia" w:ascii="宋体" w:hAnsi="宋体" w:cs="宋体"/>
          <w:kern w:val="0"/>
          <w:sz w:val="22"/>
          <w:szCs w:val="22"/>
        </w:rPr>
        <w:t>升级、变更和/或改进</w:t>
      </w:r>
      <w:bookmarkEnd w:id="28"/>
      <w:r>
        <w:rPr>
          <w:rFonts w:hint="eastAsia" w:ascii="宋体" w:hAnsi="宋体" w:cs="宋体"/>
          <w:kern w:val="0"/>
          <w:sz w:val="22"/>
          <w:szCs w:val="22"/>
        </w:rPr>
        <w:t>，升级、变更和/或改进后的产品，仍应适用本协议关于</w:t>
      </w:r>
      <w:r>
        <w:rPr>
          <w:rFonts w:hint="eastAsia" w:ascii="宋体" w:hAnsi="宋体" w:cs="宋体"/>
          <w:b/>
          <w:kern w:val="0"/>
          <w:sz w:val="22"/>
          <w:szCs w:val="22"/>
        </w:rPr>
        <w:t>产品</w:t>
      </w:r>
      <w:r>
        <w:rPr>
          <w:rFonts w:hint="eastAsia" w:ascii="宋体" w:hAnsi="宋体" w:cs="宋体"/>
          <w:kern w:val="0"/>
          <w:sz w:val="22"/>
          <w:szCs w:val="22"/>
        </w:rPr>
        <w:t>的定义。</w:t>
      </w:r>
    </w:p>
    <w:p w14:paraId="22D6B41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2.4  除本协议外，甲方并没有明示或默示授予乙方任何进一步的权利或许可。乙方同意并承认，除本协议项下明示授予的权利外，对于使用甲方或其</w:t>
      </w:r>
      <w:r>
        <w:rPr>
          <w:rFonts w:hint="eastAsia" w:ascii="宋体" w:hAnsi="宋体" w:cs="宋体"/>
          <w:b/>
          <w:kern w:val="0"/>
          <w:sz w:val="22"/>
          <w:szCs w:val="22"/>
        </w:rPr>
        <w:t>附属公司</w:t>
      </w:r>
      <w:r>
        <w:rPr>
          <w:rFonts w:hint="eastAsia" w:ascii="宋体" w:hAnsi="宋体" w:cs="宋体"/>
          <w:kern w:val="0"/>
          <w:sz w:val="22"/>
          <w:szCs w:val="22"/>
        </w:rPr>
        <w:t>所拥有或控制的</w:t>
      </w:r>
      <w:r>
        <w:rPr>
          <w:rFonts w:hint="eastAsia" w:ascii="宋体" w:hAnsi="宋体" w:cs="宋体"/>
          <w:b/>
          <w:kern w:val="0"/>
          <w:sz w:val="22"/>
          <w:szCs w:val="22"/>
        </w:rPr>
        <w:t>保密信息</w:t>
      </w:r>
      <w:r>
        <w:rPr>
          <w:rFonts w:hint="eastAsia" w:ascii="宋体" w:hAnsi="宋体" w:cs="宋体"/>
          <w:kern w:val="0"/>
          <w:sz w:val="22"/>
          <w:szCs w:val="22"/>
        </w:rPr>
        <w:t>的任何其他权利，乙方无权取得亦不拥有上述权利或对之有任何主张。</w:t>
      </w:r>
    </w:p>
    <w:p w14:paraId="6DBC425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  如果发生以下任何一种情况，乙方（包括</w:t>
      </w:r>
      <w:r>
        <w:rPr>
          <w:rFonts w:hint="eastAsia" w:ascii="宋体" w:hAnsi="宋体" w:cs="宋体"/>
          <w:b/>
          <w:kern w:val="0"/>
          <w:sz w:val="22"/>
          <w:szCs w:val="22"/>
        </w:rPr>
        <w:t>分供应商</w:t>
      </w:r>
      <w:r>
        <w:rPr>
          <w:rFonts w:hint="eastAsia" w:ascii="宋体" w:hAnsi="宋体" w:cs="宋体"/>
          <w:kern w:val="0"/>
          <w:sz w:val="22"/>
          <w:szCs w:val="22"/>
        </w:rPr>
        <w:t>）应立即停止使用</w:t>
      </w:r>
      <w:r>
        <w:rPr>
          <w:rFonts w:hint="eastAsia" w:ascii="宋体" w:hAnsi="宋体" w:cs="宋体"/>
          <w:b/>
          <w:kern w:val="0"/>
          <w:sz w:val="22"/>
          <w:szCs w:val="22"/>
        </w:rPr>
        <w:t>保密信息</w:t>
      </w:r>
      <w:r>
        <w:rPr>
          <w:rFonts w:hint="eastAsia" w:ascii="宋体" w:hAnsi="宋体" w:cs="宋体"/>
          <w:kern w:val="0"/>
          <w:sz w:val="22"/>
          <w:szCs w:val="22"/>
        </w:rPr>
        <w:t>以及</w:t>
      </w:r>
      <w:r>
        <w:rPr>
          <w:rFonts w:hint="eastAsia" w:ascii="宋体" w:hAnsi="宋体" w:cs="宋体"/>
          <w:b/>
          <w:kern w:val="0"/>
          <w:sz w:val="22"/>
          <w:szCs w:val="22"/>
        </w:rPr>
        <w:t>产品</w:t>
      </w:r>
      <w:r>
        <w:rPr>
          <w:rFonts w:hint="eastAsia" w:ascii="宋体" w:hAnsi="宋体" w:cs="宋体"/>
          <w:kern w:val="0"/>
          <w:sz w:val="22"/>
          <w:szCs w:val="22"/>
        </w:rPr>
        <w:t>试制或制造、装配或工序外协服务，并履行第6.3条规定义务：</w:t>
      </w:r>
    </w:p>
    <w:p w14:paraId="4BDEA26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2.5.1  本协议期限届满；</w:t>
      </w:r>
    </w:p>
    <w:p w14:paraId="78F30AA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2.5.2  乙方违反本协议的规定；</w:t>
      </w:r>
    </w:p>
    <w:p w14:paraId="31FA14E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2.5.3  乙方</w:t>
      </w:r>
      <w:r>
        <w:rPr>
          <w:rFonts w:hint="eastAsia" w:ascii="宋体" w:hAnsi="宋体" w:cs="宋体"/>
          <w:b/>
          <w:kern w:val="0"/>
          <w:sz w:val="22"/>
          <w:szCs w:val="22"/>
        </w:rPr>
        <w:t>产品</w:t>
      </w:r>
      <w:r>
        <w:rPr>
          <w:rFonts w:hint="eastAsia" w:ascii="宋体" w:hAnsi="宋体" w:cs="宋体"/>
          <w:kern w:val="0"/>
          <w:sz w:val="22"/>
          <w:szCs w:val="22"/>
        </w:rPr>
        <w:t>试制失败或者双方没有签署供货协议；</w:t>
      </w:r>
    </w:p>
    <w:p w14:paraId="118210A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2.5.4  乙方与甲方或甲方</w:t>
      </w:r>
      <w:r>
        <w:rPr>
          <w:rFonts w:hint="eastAsia" w:ascii="宋体" w:hAnsi="宋体" w:cs="宋体"/>
          <w:b/>
          <w:kern w:val="0"/>
          <w:sz w:val="22"/>
          <w:szCs w:val="22"/>
        </w:rPr>
        <w:t>附属公司</w:t>
      </w:r>
      <w:r>
        <w:rPr>
          <w:rFonts w:hint="eastAsia" w:ascii="宋体" w:hAnsi="宋体" w:cs="宋体"/>
          <w:kern w:val="0"/>
          <w:sz w:val="22"/>
          <w:szCs w:val="22"/>
        </w:rPr>
        <w:t>的供货协议终止；</w:t>
      </w:r>
    </w:p>
    <w:p w14:paraId="72EAC28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2.5.5  乙方停止向甲方或甲方</w:t>
      </w:r>
      <w:r>
        <w:rPr>
          <w:rFonts w:hint="eastAsia" w:ascii="宋体" w:hAnsi="宋体" w:cs="宋体"/>
          <w:b/>
          <w:kern w:val="0"/>
          <w:sz w:val="22"/>
          <w:szCs w:val="22"/>
        </w:rPr>
        <w:t>附属公司</w:t>
      </w:r>
      <w:r>
        <w:rPr>
          <w:rFonts w:hint="eastAsia" w:ascii="宋体" w:hAnsi="宋体" w:cs="宋体"/>
          <w:kern w:val="0"/>
          <w:sz w:val="22"/>
          <w:szCs w:val="22"/>
        </w:rPr>
        <w:t>供应</w:t>
      </w:r>
      <w:r>
        <w:rPr>
          <w:rFonts w:hint="eastAsia" w:ascii="宋体" w:hAnsi="宋体" w:cs="宋体"/>
          <w:b/>
          <w:kern w:val="0"/>
          <w:sz w:val="22"/>
          <w:szCs w:val="22"/>
        </w:rPr>
        <w:t>产品</w:t>
      </w:r>
      <w:r>
        <w:rPr>
          <w:rFonts w:hint="eastAsia" w:ascii="宋体" w:hAnsi="宋体" w:cs="宋体"/>
          <w:kern w:val="0"/>
          <w:sz w:val="22"/>
          <w:szCs w:val="22"/>
        </w:rPr>
        <w:t>；</w:t>
      </w:r>
    </w:p>
    <w:p w14:paraId="704136E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2.5.6  乙方被甲方竞争对手直接或间接收购或控制，但甲方同意的除外；</w:t>
      </w:r>
    </w:p>
    <w:p w14:paraId="1924B30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2.5.7  乙方破产或被兼并重组。</w:t>
      </w:r>
    </w:p>
    <w:p w14:paraId="58A902C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0F6E1918">
      <w:pPr>
        <w:widowControl/>
        <w:autoSpaceDE w:val="0"/>
        <w:autoSpaceDN w:val="0"/>
        <w:adjustRightInd w:val="0"/>
        <w:spacing w:line="360" w:lineRule="auto"/>
        <w:ind w:left="370" w:leftChars="-75"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第三条   保密信息权利归属</w:t>
      </w:r>
    </w:p>
    <w:p w14:paraId="2E08DAC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3.1  乙方确认，除非具有管辖权的法院另有最终决定，否则甲方拥有或因其他原因有权对</w:t>
      </w:r>
      <w:r>
        <w:rPr>
          <w:rFonts w:hint="eastAsia" w:ascii="宋体" w:hAnsi="宋体" w:cs="宋体"/>
          <w:b/>
          <w:kern w:val="0"/>
          <w:sz w:val="22"/>
          <w:szCs w:val="22"/>
        </w:rPr>
        <w:t>保密信息</w:t>
      </w:r>
      <w:r>
        <w:rPr>
          <w:rFonts w:hint="eastAsia" w:ascii="宋体" w:hAnsi="宋体" w:cs="宋体"/>
          <w:kern w:val="0"/>
          <w:sz w:val="22"/>
          <w:szCs w:val="22"/>
        </w:rPr>
        <w:t>让乙方为</w:t>
      </w:r>
      <w:r>
        <w:rPr>
          <w:rFonts w:hint="eastAsia" w:ascii="宋体" w:hAnsi="宋体" w:cs="宋体"/>
          <w:b/>
          <w:kern w:val="0"/>
          <w:sz w:val="22"/>
          <w:szCs w:val="22"/>
        </w:rPr>
        <w:t>协议目的</w:t>
      </w:r>
      <w:r>
        <w:rPr>
          <w:rFonts w:hint="eastAsia" w:ascii="宋体" w:hAnsi="宋体" w:cs="宋体"/>
          <w:kern w:val="0"/>
          <w:sz w:val="22"/>
          <w:szCs w:val="22"/>
        </w:rPr>
        <w:t>进行使用，而在本协议或其它协议项下传递给乙方的甲方所有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于现在和将来均为甲方的专属财产，并依照</w:t>
      </w:r>
      <w:r>
        <w:rPr>
          <w:rFonts w:hint="eastAsia" w:ascii="宋体" w:hAnsi="宋体" w:cs="宋体"/>
          <w:b/>
          <w:kern w:val="0"/>
          <w:sz w:val="22"/>
          <w:szCs w:val="22"/>
        </w:rPr>
        <w:t>中国</w:t>
      </w:r>
      <w:r>
        <w:rPr>
          <w:rFonts w:hint="eastAsia" w:ascii="宋体" w:hAnsi="宋体" w:cs="宋体"/>
          <w:kern w:val="0"/>
          <w:sz w:val="22"/>
          <w:szCs w:val="22"/>
        </w:rPr>
        <w:t>反不正当竞争法构成甲方的商业秘密。</w:t>
      </w:r>
    </w:p>
    <w:p w14:paraId="6C1C1FA4">
      <w:pPr>
        <w:widowControl/>
        <w:autoSpaceDE w:val="0"/>
        <w:autoSpaceDN w:val="0"/>
        <w:adjustRightInd w:val="0"/>
        <w:spacing w:line="360" w:lineRule="auto"/>
        <w:ind w:left="191" w:leftChars="91" w:right="-311" w:rightChars="-148"/>
        <w:jc w:val="left"/>
        <w:rPr>
          <w:rFonts w:hint="eastAsia" w:ascii="宋体" w:hAnsi="宋体" w:cs="宋体"/>
          <w:kern w:val="0"/>
          <w:sz w:val="22"/>
          <w:szCs w:val="22"/>
        </w:rPr>
      </w:pPr>
      <w:r>
        <w:rPr>
          <w:rFonts w:hint="eastAsia" w:ascii="宋体" w:hAnsi="宋体" w:cs="宋体"/>
          <w:kern w:val="0"/>
          <w:sz w:val="22"/>
          <w:szCs w:val="22"/>
        </w:rPr>
        <w:t>双方因履行</w:t>
      </w:r>
      <w:r>
        <w:rPr>
          <w:rFonts w:hint="eastAsia" w:ascii="宋体" w:hAnsi="宋体" w:cs="宋体"/>
          <w:b/>
          <w:kern w:val="0"/>
          <w:sz w:val="22"/>
          <w:szCs w:val="22"/>
        </w:rPr>
        <w:t>协议目的</w:t>
      </w:r>
      <w:r>
        <w:rPr>
          <w:rFonts w:hint="eastAsia" w:ascii="宋体" w:hAnsi="宋体" w:cs="宋体"/>
          <w:kern w:val="0"/>
          <w:sz w:val="22"/>
          <w:szCs w:val="22"/>
        </w:rPr>
        <w:t>进行的技术交流、技术支持、技术培训和现场参观而传达给乙方或由乙方取得的所有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w:t>
      </w:r>
    </w:p>
    <w:p w14:paraId="6862960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3.2  如乙方得悉甲方的任何</w:t>
      </w:r>
      <w:r>
        <w:rPr>
          <w:rFonts w:hint="eastAsia" w:ascii="宋体" w:hAnsi="宋体" w:cs="宋体"/>
          <w:b/>
          <w:kern w:val="0"/>
          <w:sz w:val="22"/>
          <w:szCs w:val="22"/>
        </w:rPr>
        <w:t>保密信息</w:t>
      </w:r>
      <w:r>
        <w:rPr>
          <w:rFonts w:hint="eastAsia" w:ascii="宋体" w:hAnsi="宋体" w:cs="宋体"/>
          <w:kern w:val="0"/>
          <w:sz w:val="22"/>
          <w:szCs w:val="22"/>
        </w:rPr>
        <w:t>遭侵犯或疑似侵权，乙方应尽快将情况以书面通知甲方。如果甲方决定就侵权行为进行起诉，或以其他方式停止或阻止该实际或可能发生的侵权行为，乙方应向甲方提供所有可用证据、详情和协助。</w:t>
      </w:r>
    </w:p>
    <w:p w14:paraId="2B0B480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3.3  乙方不得在世界任何地方就</w:t>
      </w:r>
      <w:r>
        <w:rPr>
          <w:rFonts w:hint="eastAsia" w:ascii="宋体" w:hAnsi="宋体" w:cs="宋体"/>
          <w:b/>
          <w:kern w:val="0"/>
          <w:sz w:val="22"/>
          <w:szCs w:val="22"/>
        </w:rPr>
        <w:t>保密信息</w:t>
      </w:r>
      <w:r>
        <w:rPr>
          <w:rFonts w:hint="eastAsia" w:ascii="宋体" w:hAnsi="宋体" w:cs="宋体"/>
          <w:kern w:val="0"/>
          <w:sz w:val="22"/>
          <w:szCs w:val="22"/>
        </w:rPr>
        <w:t>、根据</w:t>
      </w:r>
      <w:r>
        <w:rPr>
          <w:rFonts w:hint="eastAsia" w:ascii="宋体" w:hAnsi="宋体" w:cs="宋体"/>
          <w:b/>
          <w:kern w:val="0"/>
          <w:sz w:val="22"/>
          <w:szCs w:val="22"/>
        </w:rPr>
        <w:t>保密信息</w:t>
      </w:r>
      <w:r>
        <w:rPr>
          <w:rFonts w:hint="eastAsia" w:ascii="宋体" w:hAnsi="宋体" w:cs="宋体"/>
          <w:kern w:val="0"/>
          <w:sz w:val="22"/>
          <w:szCs w:val="22"/>
        </w:rPr>
        <w:t>而试制或制造、装配或工序外协服务的</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以及对</w:t>
      </w:r>
      <w:r>
        <w:rPr>
          <w:rFonts w:hint="eastAsia" w:ascii="宋体" w:hAnsi="宋体" w:cs="宋体"/>
          <w:b/>
          <w:kern w:val="0"/>
          <w:sz w:val="22"/>
          <w:szCs w:val="22"/>
        </w:rPr>
        <w:t>保密信息</w:t>
      </w:r>
      <w:r>
        <w:rPr>
          <w:rFonts w:hint="eastAsia" w:ascii="宋体" w:hAnsi="宋体" w:cs="宋体"/>
          <w:kern w:val="0"/>
          <w:sz w:val="22"/>
          <w:szCs w:val="22"/>
        </w:rPr>
        <w:t>而进行的升级、变更和/或改进（不论由哪一方完成）直接或间接提交或促使提交专利或</w:t>
      </w:r>
      <w:bookmarkStart w:id="29" w:name="OLE_LINK3"/>
      <w:r>
        <w:rPr>
          <w:rFonts w:hint="eastAsia" w:ascii="宋体" w:hAnsi="宋体" w:cs="宋体"/>
          <w:kern w:val="0"/>
          <w:sz w:val="22"/>
          <w:szCs w:val="22"/>
        </w:rPr>
        <w:t>著作权或</w:t>
      </w:r>
      <w:bookmarkEnd w:id="29"/>
      <w:r>
        <w:rPr>
          <w:rFonts w:hint="eastAsia" w:ascii="宋体" w:hAnsi="宋体" w:cs="宋体"/>
          <w:kern w:val="0"/>
          <w:sz w:val="22"/>
          <w:szCs w:val="22"/>
        </w:rPr>
        <w:t>其它权利的申请，也不得以其名义取得或促使以其他</w:t>
      </w:r>
      <w:r>
        <w:rPr>
          <w:rFonts w:hint="eastAsia" w:ascii="宋体" w:hAnsi="宋体" w:cs="宋体"/>
          <w:b/>
          <w:kern w:val="0"/>
          <w:sz w:val="22"/>
          <w:szCs w:val="22"/>
        </w:rPr>
        <w:t>人</w:t>
      </w:r>
      <w:r>
        <w:rPr>
          <w:rFonts w:hint="eastAsia" w:ascii="宋体" w:hAnsi="宋体" w:cs="宋体"/>
          <w:kern w:val="0"/>
          <w:sz w:val="22"/>
          <w:szCs w:val="22"/>
        </w:rPr>
        <w:t>名义取得任何专利</w:t>
      </w:r>
      <w:bookmarkStart w:id="30" w:name="OLE_LINK2"/>
      <w:r>
        <w:rPr>
          <w:rFonts w:hint="eastAsia" w:ascii="宋体" w:hAnsi="宋体" w:cs="宋体"/>
          <w:kern w:val="0"/>
          <w:sz w:val="22"/>
          <w:szCs w:val="22"/>
        </w:rPr>
        <w:t>或其它权利</w:t>
      </w:r>
      <w:bookmarkEnd w:id="30"/>
      <w:r>
        <w:rPr>
          <w:rFonts w:hint="eastAsia" w:ascii="宋体" w:hAnsi="宋体" w:cs="宋体"/>
          <w:kern w:val="0"/>
          <w:sz w:val="22"/>
          <w:szCs w:val="22"/>
        </w:rPr>
        <w:t>注册。</w:t>
      </w:r>
    </w:p>
    <w:p w14:paraId="0499362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3.4  如乙方违反上述3.3条的规定提交了申请或取得专利或著作权或其他权利注册，则乙方除应按本协议的约定承担违约责任外，还应根据甲方要求，毫不延迟地将该等申请、注册的权利无偿转让给甲方。该等转让或变更涉及所有费用由乙方承担。</w:t>
      </w:r>
      <w:r>
        <w:rPr>
          <w:rFonts w:hint="eastAsia" w:ascii="宋体" w:hAnsi="宋体" w:cs="宋体"/>
          <w:kern w:val="0"/>
          <w:sz w:val="22"/>
          <w:szCs w:val="22"/>
        </w:rPr>
        <w:tab/>
      </w:r>
    </w:p>
    <w:p w14:paraId="1A8CFCF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3.5  乙方同意不直接或间接从事可能引起双方争议或者损害</w:t>
      </w:r>
      <w:r>
        <w:rPr>
          <w:rFonts w:hint="eastAsia" w:ascii="宋体" w:hAnsi="宋体" w:cs="宋体"/>
          <w:b/>
          <w:kern w:val="0"/>
          <w:sz w:val="22"/>
          <w:szCs w:val="22"/>
        </w:rPr>
        <w:t>保密信息</w:t>
      </w:r>
      <w:r>
        <w:rPr>
          <w:rFonts w:hint="eastAsia" w:ascii="宋体" w:hAnsi="宋体" w:cs="宋体"/>
          <w:kern w:val="0"/>
          <w:sz w:val="22"/>
          <w:szCs w:val="22"/>
        </w:rPr>
        <w:t>中甲方的权利、资格或利益的事项或者任何不利行为。乙方不享有以本协议名义有损于甲方</w:t>
      </w:r>
      <w:r>
        <w:rPr>
          <w:rFonts w:hint="eastAsia" w:ascii="宋体" w:hAnsi="宋体" w:cs="宋体"/>
          <w:b/>
          <w:kern w:val="0"/>
          <w:sz w:val="22"/>
          <w:szCs w:val="22"/>
        </w:rPr>
        <w:t>保密信息</w:t>
      </w:r>
      <w:r>
        <w:rPr>
          <w:rFonts w:hint="eastAsia" w:ascii="宋体" w:hAnsi="宋体" w:cs="宋体"/>
          <w:kern w:val="0"/>
          <w:sz w:val="22"/>
          <w:szCs w:val="22"/>
        </w:rPr>
        <w:t>的任何权利、资格或利益。</w:t>
      </w:r>
    </w:p>
    <w:p w14:paraId="2251D3A6">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第四条  保密义务</w:t>
      </w:r>
    </w:p>
    <w:p w14:paraId="7B28563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4.1  乙方确认</w:t>
      </w:r>
      <w:r>
        <w:rPr>
          <w:rFonts w:hint="eastAsia" w:ascii="宋体" w:hAnsi="宋体" w:cs="宋体"/>
          <w:b/>
          <w:kern w:val="0"/>
          <w:sz w:val="22"/>
          <w:szCs w:val="22"/>
        </w:rPr>
        <w:t>保密信息</w:t>
      </w:r>
      <w:r>
        <w:rPr>
          <w:rFonts w:hint="eastAsia" w:ascii="宋体" w:hAnsi="宋体" w:cs="宋体"/>
          <w:kern w:val="0"/>
          <w:sz w:val="22"/>
          <w:szCs w:val="22"/>
        </w:rPr>
        <w:t>对甲方具有重大的商业价值，如果信息泄露，将会对甲方造成重大损失。乙方同意对</w:t>
      </w:r>
      <w:r>
        <w:rPr>
          <w:rFonts w:hint="eastAsia" w:ascii="宋体" w:hAnsi="宋体" w:cs="宋体"/>
          <w:b/>
          <w:kern w:val="0"/>
          <w:sz w:val="22"/>
          <w:szCs w:val="22"/>
        </w:rPr>
        <w:t>保密信息</w:t>
      </w:r>
      <w:r>
        <w:rPr>
          <w:rFonts w:hint="eastAsia" w:ascii="宋体" w:hAnsi="宋体" w:cs="宋体"/>
          <w:kern w:val="0"/>
          <w:sz w:val="22"/>
          <w:szCs w:val="22"/>
        </w:rPr>
        <w:t>进行保密，保密期限为本协议有效期间和其后十五(15)年。</w:t>
      </w:r>
    </w:p>
    <w:p w14:paraId="7A70CB8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  乙方承认并做到：</w:t>
      </w:r>
    </w:p>
    <w:p w14:paraId="3834A89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4.2.1  </w:t>
      </w:r>
      <w:r>
        <w:rPr>
          <w:rFonts w:hint="eastAsia" w:ascii="宋体" w:hAnsi="宋体" w:cs="宋体"/>
          <w:b/>
          <w:kern w:val="0"/>
          <w:sz w:val="22"/>
          <w:szCs w:val="22"/>
        </w:rPr>
        <w:t>保密信息</w:t>
      </w:r>
      <w:r>
        <w:rPr>
          <w:rFonts w:hint="eastAsia" w:ascii="宋体" w:hAnsi="宋体" w:cs="宋体"/>
          <w:kern w:val="0"/>
          <w:sz w:val="22"/>
          <w:szCs w:val="22"/>
        </w:rPr>
        <w:t>构成甲方的商业秘密，应予以保密，且仅用于</w:t>
      </w:r>
      <w:r>
        <w:rPr>
          <w:rFonts w:hint="eastAsia" w:ascii="宋体" w:hAnsi="宋体" w:cs="宋体"/>
          <w:b/>
          <w:kern w:val="0"/>
          <w:sz w:val="22"/>
          <w:szCs w:val="22"/>
        </w:rPr>
        <w:t>协议目的</w:t>
      </w:r>
      <w:r>
        <w:rPr>
          <w:rFonts w:hint="eastAsia" w:ascii="宋体" w:hAnsi="宋体" w:cs="宋体"/>
          <w:kern w:val="0"/>
          <w:sz w:val="22"/>
          <w:szCs w:val="22"/>
        </w:rPr>
        <w:t>。对甲方在</w:t>
      </w:r>
      <w:r>
        <w:rPr>
          <w:rFonts w:hint="eastAsia" w:ascii="宋体" w:hAnsi="宋体" w:cs="宋体"/>
          <w:b/>
          <w:kern w:val="0"/>
          <w:sz w:val="22"/>
          <w:szCs w:val="22"/>
        </w:rPr>
        <w:t>保密信息</w:t>
      </w:r>
      <w:r>
        <w:rPr>
          <w:rFonts w:hint="eastAsia" w:ascii="宋体" w:hAnsi="宋体" w:cs="宋体"/>
          <w:kern w:val="0"/>
          <w:sz w:val="22"/>
          <w:szCs w:val="22"/>
        </w:rPr>
        <w:t>中的所有和相关权利，乙方应予尊重和保护；</w:t>
      </w:r>
    </w:p>
    <w:p w14:paraId="591EDD7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4.2.2  采取有效措施，妥善保存所收到的一切</w:t>
      </w:r>
      <w:r>
        <w:rPr>
          <w:rFonts w:hint="eastAsia" w:ascii="宋体" w:hAnsi="宋体" w:cs="宋体"/>
          <w:b/>
          <w:kern w:val="0"/>
          <w:sz w:val="22"/>
          <w:szCs w:val="22"/>
        </w:rPr>
        <w:t>保密信息</w:t>
      </w:r>
      <w:r>
        <w:rPr>
          <w:rFonts w:hint="eastAsia" w:ascii="宋体" w:hAnsi="宋体" w:cs="宋体"/>
          <w:kern w:val="0"/>
          <w:sz w:val="22"/>
          <w:szCs w:val="22"/>
        </w:rPr>
        <w:t>；</w:t>
      </w:r>
    </w:p>
    <w:p w14:paraId="6353088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4.2.3  除</w:t>
      </w:r>
      <w:r>
        <w:rPr>
          <w:rFonts w:hint="eastAsia" w:ascii="宋体" w:hAnsi="宋体" w:cs="宋体"/>
          <w:b/>
          <w:kern w:val="0"/>
          <w:sz w:val="22"/>
          <w:szCs w:val="22"/>
        </w:rPr>
        <w:t>协议目的</w:t>
      </w:r>
      <w:r>
        <w:rPr>
          <w:rFonts w:hint="eastAsia" w:ascii="宋体" w:hAnsi="宋体" w:cs="宋体"/>
          <w:kern w:val="0"/>
          <w:sz w:val="22"/>
          <w:szCs w:val="22"/>
        </w:rPr>
        <w:t>外，不得仿制、复制</w:t>
      </w:r>
      <w:r>
        <w:rPr>
          <w:rFonts w:hint="eastAsia" w:ascii="宋体" w:hAnsi="宋体" w:cs="宋体"/>
          <w:b/>
          <w:kern w:val="0"/>
          <w:sz w:val="22"/>
          <w:szCs w:val="22"/>
        </w:rPr>
        <w:t>保密信息</w:t>
      </w:r>
      <w:r>
        <w:rPr>
          <w:rFonts w:hint="eastAsia" w:ascii="宋体" w:hAnsi="宋体" w:cs="宋体"/>
          <w:kern w:val="0"/>
          <w:sz w:val="22"/>
          <w:szCs w:val="22"/>
        </w:rPr>
        <w:t>或者以其他方式制造或销售按本协议供应的</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w:t>
      </w:r>
    </w:p>
    <w:p w14:paraId="18CD4BD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4.2.4  如乙方在本协议项下的任何义务被违反或可能被违反，单以金钱作损害赔偿对甲方而言并非足够的补救，而且甲方除所有其他可用的法律补救外，有权针对该违约或可能违约的行为做出禁制令；</w:t>
      </w:r>
    </w:p>
    <w:p w14:paraId="03DB4ED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4.2.5  乙方</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、均不会擅自仿制、制造、复制或销售</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w:t>
      </w:r>
    </w:p>
    <w:p w14:paraId="1CF968F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  乙方必须采取有效措施，对</w:t>
      </w:r>
      <w:bookmarkStart w:id="31" w:name="OLE_LINK5"/>
      <w:r>
        <w:rPr>
          <w:rFonts w:hint="eastAsia" w:ascii="宋体" w:hAnsi="宋体" w:cs="宋体"/>
          <w:b/>
          <w:kern w:val="0"/>
          <w:sz w:val="22"/>
          <w:szCs w:val="22"/>
        </w:rPr>
        <w:t>保密信息</w:t>
      </w:r>
      <w:bookmarkEnd w:id="31"/>
      <w:r>
        <w:rPr>
          <w:rFonts w:hint="eastAsia" w:ascii="宋体" w:hAnsi="宋体" w:cs="宋体"/>
          <w:kern w:val="0"/>
          <w:sz w:val="22"/>
          <w:szCs w:val="22"/>
        </w:rPr>
        <w:t>保守秘密，不得外传或透露（无论直接或间接，无论以书面、口头或任何其他形式），但在下述情况下披露除外：</w:t>
      </w:r>
    </w:p>
    <w:p w14:paraId="5E454A8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4.3.1  根据本协议规定乙方向其</w:t>
      </w:r>
      <w:r>
        <w:rPr>
          <w:rFonts w:hint="eastAsia" w:ascii="宋体" w:hAnsi="宋体" w:cs="宋体"/>
          <w:b/>
          <w:kern w:val="0"/>
          <w:sz w:val="22"/>
          <w:szCs w:val="22"/>
        </w:rPr>
        <w:t>员工</w:t>
      </w:r>
      <w:r>
        <w:rPr>
          <w:rFonts w:hint="eastAsia" w:ascii="宋体" w:hAnsi="宋体" w:cs="宋体"/>
          <w:kern w:val="0"/>
          <w:sz w:val="22"/>
          <w:szCs w:val="22"/>
        </w:rPr>
        <w:t>和/或任何经甲方批准的</w:t>
      </w:r>
      <w:r>
        <w:rPr>
          <w:rFonts w:hint="eastAsia" w:ascii="宋体" w:hAnsi="宋体" w:cs="宋体"/>
          <w:b/>
          <w:kern w:val="0"/>
          <w:sz w:val="22"/>
          <w:szCs w:val="22"/>
        </w:rPr>
        <w:t>分供应商</w:t>
      </w:r>
      <w:r>
        <w:rPr>
          <w:rFonts w:hint="eastAsia" w:ascii="宋体" w:hAnsi="宋体" w:cs="宋体"/>
          <w:kern w:val="0"/>
          <w:sz w:val="22"/>
          <w:szCs w:val="22"/>
        </w:rPr>
        <w:t>披露</w:t>
      </w:r>
      <w:r>
        <w:rPr>
          <w:rFonts w:hint="eastAsia" w:ascii="宋体" w:hAnsi="宋体" w:cs="宋体"/>
          <w:b/>
          <w:kern w:val="0"/>
          <w:sz w:val="22"/>
          <w:szCs w:val="22"/>
        </w:rPr>
        <w:t>保密信息</w:t>
      </w:r>
      <w:r>
        <w:rPr>
          <w:rFonts w:hint="eastAsia" w:ascii="宋体" w:hAnsi="宋体" w:cs="宋体"/>
          <w:kern w:val="0"/>
          <w:sz w:val="22"/>
          <w:szCs w:val="22"/>
        </w:rPr>
        <w:t>，条件是按“确实需要知悉”的原则，被透露者与此直接相关，其知悉对本</w:t>
      </w:r>
      <w:r>
        <w:rPr>
          <w:rFonts w:hint="eastAsia" w:ascii="宋体" w:hAnsi="宋体" w:cs="宋体"/>
          <w:b/>
          <w:kern w:val="0"/>
          <w:sz w:val="22"/>
          <w:szCs w:val="22"/>
        </w:rPr>
        <w:t>协议目的</w:t>
      </w:r>
      <w:r>
        <w:rPr>
          <w:rFonts w:hint="eastAsia" w:ascii="宋体" w:hAnsi="宋体" w:cs="宋体"/>
          <w:kern w:val="0"/>
          <w:sz w:val="22"/>
          <w:szCs w:val="22"/>
        </w:rPr>
        <w:t>来说是至关重要的，而且对履行其工作职责或供应保证来说是必要的，并且他们分别已承担保密义务，其形式足以使</w:t>
      </w:r>
      <w:r>
        <w:rPr>
          <w:rFonts w:hint="eastAsia" w:ascii="宋体" w:hAnsi="宋体" w:cs="宋体"/>
          <w:b/>
          <w:kern w:val="0"/>
          <w:sz w:val="22"/>
          <w:szCs w:val="22"/>
        </w:rPr>
        <w:t>保密信息</w:t>
      </w:r>
      <w:r>
        <w:rPr>
          <w:rFonts w:hint="eastAsia" w:ascii="宋体" w:hAnsi="宋体" w:cs="宋体"/>
          <w:kern w:val="0"/>
          <w:sz w:val="22"/>
          <w:szCs w:val="22"/>
        </w:rPr>
        <w:t>不会外传；</w:t>
      </w:r>
    </w:p>
    <w:p w14:paraId="246F0FB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4.3.2  当</w:t>
      </w:r>
      <w:r>
        <w:rPr>
          <w:rFonts w:hint="eastAsia" w:ascii="宋体" w:hAnsi="宋体" w:cs="宋体"/>
          <w:b/>
          <w:kern w:val="0"/>
          <w:sz w:val="22"/>
          <w:szCs w:val="22"/>
        </w:rPr>
        <w:t>保密信息</w:t>
      </w:r>
      <w:r>
        <w:rPr>
          <w:rFonts w:hint="eastAsia" w:ascii="宋体" w:hAnsi="宋体" w:cs="宋体"/>
          <w:kern w:val="0"/>
          <w:sz w:val="22"/>
          <w:szCs w:val="22"/>
        </w:rPr>
        <w:t>已为公众所知时披露，且该信息不是由于乙方违反本协议项下的保密义务而为公众所知的。</w:t>
      </w:r>
    </w:p>
    <w:p w14:paraId="23A5521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32" w:name="OLE_LINK12"/>
      <w:r>
        <w:rPr>
          <w:rFonts w:hint="eastAsia" w:ascii="宋体" w:hAnsi="宋体" w:cs="宋体"/>
          <w:kern w:val="0"/>
          <w:sz w:val="22"/>
          <w:szCs w:val="22"/>
        </w:rPr>
        <w:t>4.4  如果经甲方同意的</w:t>
      </w:r>
      <w:bookmarkStart w:id="33" w:name="OLE_LINK7"/>
      <w:r>
        <w:rPr>
          <w:rFonts w:hint="eastAsia" w:ascii="宋体" w:hAnsi="宋体" w:cs="宋体"/>
          <w:b/>
          <w:kern w:val="0"/>
          <w:sz w:val="22"/>
          <w:szCs w:val="22"/>
        </w:rPr>
        <w:t>分供应商</w:t>
      </w:r>
      <w:bookmarkEnd w:id="33"/>
      <w:r>
        <w:rPr>
          <w:rFonts w:hint="eastAsia" w:ascii="宋体" w:hAnsi="宋体" w:cs="宋体"/>
          <w:kern w:val="0"/>
          <w:sz w:val="22"/>
          <w:szCs w:val="22"/>
        </w:rPr>
        <w:t>使用有关</w:t>
      </w:r>
      <w:r>
        <w:rPr>
          <w:rFonts w:hint="eastAsia" w:ascii="宋体" w:hAnsi="宋体" w:cs="宋体"/>
          <w:b/>
          <w:kern w:val="0"/>
          <w:sz w:val="22"/>
          <w:szCs w:val="22"/>
        </w:rPr>
        <w:t>保密信息</w:t>
      </w:r>
      <w:r>
        <w:rPr>
          <w:rFonts w:hint="eastAsia" w:ascii="宋体" w:hAnsi="宋体" w:cs="宋体"/>
          <w:kern w:val="0"/>
          <w:sz w:val="22"/>
          <w:szCs w:val="22"/>
        </w:rPr>
        <w:t>，乙方和</w:t>
      </w:r>
      <w:r>
        <w:rPr>
          <w:rFonts w:hint="eastAsia" w:ascii="宋体" w:hAnsi="宋体" w:cs="宋体"/>
          <w:b/>
          <w:kern w:val="0"/>
          <w:sz w:val="22"/>
          <w:szCs w:val="22"/>
        </w:rPr>
        <w:t>分供应商</w:t>
      </w:r>
      <w:r>
        <w:rPr>
          <w:rFonts w:hint="eastAsia" w:ascii="宋体" w:hAnsi="宋体" w:cs="宋体"/>
          <w:kern w:val="0"/>
          <w:sz w:val="22"/>
          <w:szCs w:val="22"/>
        </w:rPr>
        <w:t>应签署一份要求</w:t>
      </w:r>
      <w:r>
        <w:rPr>
          <w:rFonts w:hint="eastAsia" w:ascii="宋体" w:hAnsi="宋体" w:cs="宋体"/>
          <w:b/>
          <w:kern w:val="0"/>
          <w:sz w:val="22"/>
          <w:szCs w:val="22"/>
        </w:rPr>
        <w:t>分供应商</w:t>
      </w:r>
      <w:r>
        <w:rPr>
          <w:rFonts w:hint="eastAsia" w:ascii="宋体" w:hAnsi="宋体" w:cs="宋体"/>
          <w:kern w:val="0"/>
          <w:sz w:val="22"/>
          <w:szCs w:val="22"/>
        </w:rPr>
        <w:t>义务不低于本协议中乙方义务的</w:t>
      </w:r>
      <w:r>
        <w:rPr>
          <w:rFonts w:hint="eastAsia" w:ascii="宋体" w:hAnsi="宋体" w:cs="宋体"/>
          <w:b/>
          <w:kern w:val="0"/>
          <w:sz w:val="22"/>
          <w:szCs w:val="22"/>
        </w:rPr>
        <w:t>保密信息</w:t>
      </w:r>
      <w:r>
        <w:rPr>
          <w:rFonts w:hint="eastAsia" w:ascii="宋体" w:hAnsi="宋体" w:cs="宋体"/>
          <w:kern w:val="0"/>
          <w:sz w:val="22"/>
          <w:szCs w:val="22"/>
        </w:rPr>
        <w:t>协议。同时，对于</w:t>
      </w:r>
      <w:r>
        <w:rPr>
          <w:rFonts w:hint="eastAsia" w:ascii="宋体" w:hAnsi="宋体" w:cs="宋体"/>
          <w:b/>
          <w:kern w:val="0"/>
          <w:sz w:val="22"/>
          <w:szCs w:val="22"/>
        </w:rPr>
        <w:t>分供应商</w:t>
      </w:r>
      <w:r>
        <w:rPr>
          <w:rFonts w:hint="eastAsia" w:ascii="宋体" w:hAnsi="宋体" w:cs="宋体"/>
          <w:kern w:val="0"/>
          <w:sz w:val="22"/>
          <w:szCs w:val="22"/>
        </w:rPr>
        <w:t xml:space="preserve">乙方应该： </w:t>
      </w:r>
    </w:p>
    <w:p w14:paraId="768C5C8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4.4.1  并不由于与</w:t>
      </w:r>
      <w:bookmarkStart w:id="34" w:name="OLE_LINK6"/>
      <w:r>
        <w:rPr>
          <w:rFonts w:hint="eastAsia" w:ascii="宋体" w:hAnsi="宋体" w:cs="宋体"/>
          <w:b/>
          <w:kern w:val="0"/>
          <w:sz w:val="22"/>
          <w:szCs w:val="22"/>
        </w:rPr>
        <w:t>分供应商</w:t>
      </w:r>
      <w:bookmarkEnd w:id="34"/>
      <w:r>
        <w:rPr>
          <w:rFonts w:hint="eastAsia" w:ascii="宋体" w:hAnsi="宋体" w:cs="宋体"/>
          <w:kern w:val="0"/>
          <w:sz w:val="22"/>
          <w:szCs w:val="22"/>
        </w:rPr>
        <w:t>签订使用有关</w:t>
      </w:r>
      <w:bookmarkStart w:id="35" w:name="OLE_LINK8"/>
      <w:r>
        <w:rPr>
          <w:rFonts w:hint="eastAsia" w:ascii="宋体" w:hAnsi="宋体" w:cs="宋体"/>
          <w:b/>
          <w:kern w:val="0"/>
          <w:sz w:val="22"/>
          <w:szCs w:val="22"/>
        </w:rPr>
        <w:t>保密信息</w:t>
      </w:r>
      <w:bookmarkEnd w:id="35"/>
      <w:r>
        <w:rPr>
          <w:rFonts w:hint="eastAsia" w:ascii="宋体" w:hAnsi="宋体" w:cs="宋体"/>
          <w:kern w:val="0"/>
          <w:sz w:val="22"/>
          <w:szCs w:val="22"/>
        </w:rPr>
        <w:t>的协议，而免除履行本协议项下的任何义务或责任；</w:t>
      </w:r>
    </w:p>
    <w:p w14:paraId="54F1B8A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4.4.2  除非甲方书面同意，不得允许或授权</w:t>
      </w:r>
      <w:r>
        <w:rPr>
          <w:rFonts w:hint="eastAsia" w:ascii="宋体" w:hAnsi="宋体" w:cs="宋体"/>
          <w:b/>
          <w:kern w:val="0"/>
          <w:sz w:val="22"/>
          <w:szCs w:val="22"/>
        </w:rPr>
        <w:t>分供应商</w:t>
      </w:r>
      <w:r>
        <w:rPr>
          <w:rFonts w:hint="eastAsia" w:ascii="宋体" w:hAnsi="宋体" w:cs="宋体"/>
          <w:kern w:val="0"/>
          <w:sz w:val="22"/>
          <w:szCs w:val="22"/>
        </w:rPr>
        <w:t>向第三</w:t>
      </w:r>
      <w:r>
        <w:rPr>
          <w:rFonts w:hint="eastAsia" w:ascii="宋体" w:hAnsi="宋体" w:cs="宋体"/>
          <w:b/>
          <w:kern w:val="0"/>
          <w:sz w:val="22"/>
          <w:szCs w:val="22"/>
        </w:rPr>
        <w:t>人</w:t>
      </w:r>
      <w:r>
        <w:rPr>
          <w:rFonts w:hint="eastAsia" w:ascii="宋体" w:hAnsi="宋体" w:cs="宋体"/>
          <w:kern w:val="0"/>
          <w:sz w:val="22"/>
          <w:szCs w:val="22"/>
        </w:rPr>
        <w:t>做出分包、转授或以其他方式安排第三</w:t>
      </w:r>
      <w:r>
        <w:rPr>
          <w:rFonts w:hint="eastAsia" w:ascii="宋体" w:hAnsi="宋体" w:cs="宋体"/>
          <w:b/>
          <w:kern w:val="0"/>
          <w:sz w:val="22"/>
          <w:szCs w:val="22"/>
        </w:rPr>
        <w:t>人</w:t>
      </w:r>
      <w:r>
        <w:rPr>
          <w:rFonts w:hint="eastAsia" w:ascii="宋体" w:hAnsi="宋体" w:cs="宋体"/>
          <w:kern w:val="0"/>
          <w:sz w:val="22"/>
          <w:szCs w:val="22"/>
        </w:rPr>
        <w:t>使用</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6C7A860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4.4.3  对</w:t>
      </w:r>
      <w:r>
        <w:rPr>
          <w:rFonts w:hint="eastAsia" w:ascii="宋体" w:hAnsi="宋体" w:cs="宋体"/>
          <w:b/>
          <w:kern w:val="0"/>
          <w:sz w:val="22"/>
          <w:szCs w:val="22"/>
        </w:rPr>
        <w:t>分供应商</w:t>
      </w:r>
      <w:r>
        <w:rPr>
          <w:rFonts w:hint="eastAsia" w:ascii="宋体" w:hAnsi="宋体" w:cs="宋体"/>
          <w:kern w:val="0"/>
          <w:sz w:val="22"/>
          <w:szCs w:val="22"/>
        </w:rPr>
        <w:t>及其</w:t>
      </w:r>
      <w:r>
        <w:rPr>
          <w:rFonts w:hint="eastAsia" w:ascii="宋体" w:hAnsi="宋体" w:cs="宋体"/>
          <w:b/>
          <w:kern w:val="0"/>
          <w:sz w:val="22"/>
          <w:szCs w:val="22"/>
        </w:rPr>
        <w:t>员工</w:t>
      </w:r>
      <w:r>
        <w:rPr>
          <w:rFonts w:hint="eastAsia" w:ascii="宋体" w:hAnsi="宋体" w:cs="宋体"/>
          <w:kern w:val="0"/>
          <w:sz w:val="22"/>
          <w:szCs w:val="22"/>
        </w:rPr>
        <w:t>符合或并未符合本协议以及有关的规定负责；</w:t>
      </w:r>
    </w:p>
    <w:p w14:paraId="4986691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4.4.4  须就</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的作为、不作为、违约和/或过失行为向甲方负责，</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的作为、不作为、违约和/或过失行为视为乙方的作为、不作为、违约或过失。</w:t>
      </w:r>
      <w:bookmarkEnd w:id="32"/>
      <w:r>
        <w:rPr>
          <w:rFonts w:hint="eastAsia" w:ascii="宋体" w:hAnsi="宋体" w:cs="宋体"/>
          <w:kern w:val="0"/>
          <w:sz w:val="22"/>
          <w:szCs w:val="22"/>
        </w:rPr>
        <w:t xml:space="preserve"> </w:t>
      </w:r>
    </w:p>
    <w:p w14:paraId="0378C69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4.5  如果乙方或其</w:t>
      </w:r>
      <w:r>
        <w:rPr>
          <w:rFonts w:hint="eastAsia" w:ascii="宋体" w:hAnsi="宋体" w:cs="宋体"/>
          <w:b/>
          <w:kern w:val="0"/>
          <w:sz w:val="22"/>
          <w:szCs w:val="22"/>
        </w:rPr>
        <w:t>员工</w:t>
      </w:r>
      <w:r>
        <w:rPr>
          <w:rFonts w:hint="eastAsia" w:ascii="宋体" w:hAnsi="宋体" w:cs="宋体"/>
          <w:kern w:val="0"/>
          <w:sz w:val="22"/>
          <w:szCs w:val="22"/>
        </w:rPr>
        <w:t>、</w:t>
      </w:r>
      <w:bookmarkStart w:id="36" w:name="OLE_LINK22"/>
      <w:r>
        <w:rPr>
          <w:rFonts w:hint="eastAsia" w:ascii="宋体" w:hAnsi="宋体" w:cs="宋体"/>
          <w:b/>
          <w:kern w:val="0"/>
          <w:sz w:val="22"/>
          <w:szCs w:val="22"/>
        </w:rPr>
        <w:t>关联方</w:t>
      </w:r>
      <w:r>
        <w:rPr>
          <w:rFonts w:hint="eastAsia" w:ascii="宋体" w:hAnsi="宋体" w:cs="宋体"/>
          <w:kern w:val="0"/>
          <w:sz w:val="22"/>
          <w:szCs w:val="22"/>
        </w:rPr>
        <w:t>、</w:t>
      </w:r>
      <w:bookmarkEnd w:id="36"/>
      <w:r>
        <w:rPr>
          <w:rFonts w:hint="eastAsia" w:ascii="宋体" w:hAnsi="宋体" w:cs="宋体"/>
          <w:b/>
          <w:kern w:val="0"/>
          <w:sz w:val="22"/>
          <w:szCs w:val="22"/>
        </w:rPr>
        <w:t>分供应商</w:t>
      </w:r>
      <w:r>
        <w:rPr>
          <w:rFonts w:hint="eastAsia" w:ascii="宋体" w:hAnsi="宋体" w:cs="宋体"/>
          <w:kern w:val="0"/>
          <w:sz w:val="22"/>
          <w:szCs w:val="22"/>
        </w:rPr>
        <w:t>未能遵守本协议，均构成严重违反本协议的行为，视为乙方违反本协议。</w:t>
      </w:r>
    </w:p>
    <w:p w14:paraId="3F991B4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4.6  乙方应遵从甲方不时发出的、有关处理和保管</w:t>
      </w:r>
      <w:r>
        <w:rPr>
          <w:rFonts w:hint="eastAsia" w:ascii="宋体" w:hAnsi="宋体" w:cs="宋体"/>
          <w:b/>
          <w:kern w:val="0"/>
          <w:sz w:val="22"/>
          <w:szCs w:val="22"/>
        </w:rPr>
        <w:t>保密信息</w:t>
      </w:r>
      <w:r>
        <w:rPr>
          <w:rFonts w:hint="eastAsia" w:ascii="宋体" w:hAnsi="宋体" w:cs="宋体"/>
          <w:kern w:val="0"/>
          <w:sz w:val="22"/>
          <w:szCs w:val="22"/>
        </w:rPr>
        <w:t>的任何指引、政策和议定书，以及按照甲方的要求将本协议项下</w:t>
      </w:r>
      <w:r>
        <w:rPr>
          <w:rFonts w:hint="eastAsia" w:ascii="宋体" w:hAnsi="宋体" w:cs="宋体"/>
          <w:b/>
          <w:kern w:val="0"/>
          <w:sz w:val="22"/>
          <w:szCs w:val="22"/>
        </w:rPr>
        <w:t>保密信息</w:t>
      </w:r>
      <w:r>
        <w:rPr>
          <w:rFonts w:hint="eastAsia" w:ascii="宋体" w:hAnsi="宋体" w:cs="宋体"/>
          <w:kern w:val="0"/>
          <w:sz w:val="22"/>
          <w:szCs w:val="22"/>
        </w:rPr>
        <w:t>的使用情况、保密情况及时通知甲方。</w:t>
      </w:r>
    </w:p>
    <w:p w14:paraId="2A53F433">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第五条  产品标签</w:t>
      </w:r>
    </w:p>
    <w:p w14:paraId="2409925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5.1  乙方应严格按照甲方的要求在</w:t>
      </w:r>
      <w:r>
        <w:rPr>
          <w:rFonts w:hint="eastAsia" w:ascii="宋体" w:hAnsi="宋体" w:cs="宋体"/>
          <w:b/>
          <w:kern w:val="0"/>
          <w:sz w:val="22"/>
          <w:szCs w:val="22"/>
        </w:rPr>
        <w:t>产品</w:t>
      </w:r>
      <w:r>
        <w:rPr>
          <w:rFonts w:hint="eastAsia" w:ascii="宋体" w:hAnsi="宋体" w:cs="宋体"/>
          <w:kern w:val="0"/>
          <w:sz w:val="22"/>
          <w:szCs w:val="22"/>
        </w:rPr>
        <w:t>上使用商标、标志、标识、型号、名称和零件号系统，以及加贴、使用铭牌。</w:t>
      </w:r>
    </w:p>
    <w:p w14:paraId="1C8A3A2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5.2  乙方不得在本协议期限内以及在期限届满或本协议终止后，针对</w:t>
      </w:r>
      <w:r>
        <w:rPr>
          <w:rFonts w:hint="eastAsia" w:ascii="宋体" w:hAnsi="宋体" w:cs="宋体"/>
          <w:b/>
          <w:kern w:val="0"/>
          <w:sz w:val="22"/>
          <w:szCs w:val="22"/>
        </w:rPr>
        <w:t>产品</w:t>
      </w:r>
      <w:r>
        <w:rPr>
          <w:rFonts w:hint="eastAsia" w:ascii="宋体" w:hAnsi="宋体" w:cs="宋体"/>
          <w:kern w:val="0"/>
          <w:sz w:val="22"/>
          <w:szCs w:val="22"/>
        </w:rPr>
        <w:t xml:space="preserve">以任何形式或媒体（包括印刷资料/材料、广告材料、图纸、软件、往来书信和出版物）使用未经甲方同意的任何商标、商号、型号、名称或标志。 </w:t>
      </w:r>
    </w:p>
    <w:p w14:paraId="38FA1607">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第六条  期限</w:t>
      </w:r>
    </w:p>
    <w:p w14:paraId="0B445DA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6.1  本协议的期限为十（10）年（“期限”），自双方签署之日开始。</w:t>
      </w:r>
    </w:p>
    <w:p w14:paraId="27E3E99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6.2  甲方向乙方传递</w:t>
      </w:r>
      <w:r>
        <w:rPr>
          <w:rFonts w:hint="eastAsia" w:ascii="宋体" w:hAnsi="宋体" w:cs="宋体"/>
          <w:b/>
          <w:kern w:val="0"/>
          <w:sz w:val="22"/>
          <w:szCs w:val="22"/>
        </w:rPr>
        <w:t>保密信息</w:t>
      </w:r>
      <w:r>
        <w:rPr>
          <w:rFonts w:hint="eastAsia" w:ascii="宋体" w:hAnsi="宋体" w:cs="宋体"/>
          <w:kern w:val="0"/>
          <w:sz w:val="22"/>
          <w:szCs w:val="22"/>
        </w:rPr>
        <w:t>后，本协议不得以任何理由撤销、提前终止或解除。</w:t>
      </w:r>
    </w:p>
    <w:p w14:paraId="0BD6F21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  本协议期限届满后或按第2.5条、第7.1条规定，乙方应：</w:t>
      </w:r>
    </w:p>
    <w:p w14:paraId="7CB8B39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6.3.1  立即向甲方返还所有</w:t>
      </w:r>
      <w:r>
        <w:rPr>
          <w:rFonts w:hint="eastAsia" w:ascii="宋体" w:hAnsi="宋体" w:cs="宋体"/>
          <w:b/>
          <w:kern w:val="0"/>
          <w:sz w:val="22"/>
          <w:szCs w:val="22"/>
        </w:rPr>
        <w:t>保密信息</w:t>
      </w:r>
      <w:r>
        <w:rPr>
          <w:rFonts w:hint="eastAsia" w:ascii="宋体" w:hAnsi="宋体" w:cs="宋体"/>
          <w:kern w:val="0"/>
          <w:sz w:val="22"/>
          <w:szCs w:val="22"/>
        </w:rPr>
        <w:t>并不得保存副本，</w:t>
      </w:r>
      <w:r>
        <w:rPr>
          <w:rFonts w:hint="eastAsia" w:ascii="宋体" w:hAnsi="宋体" w:cs="宋体"/>
          <w:b/>
          <w:kern w:val="0"/>
          <w:sz w:val="22"/>
          <w:szCs w:val="22"/>
        </w:rPr>
        <w:t>保密信息</w:t>
      </w:r>
      <w:r>
        <w:rPr>
          <w:rFonts w:hint="eastAsia" w:ascii="宋体" w:hAnsi="宋体" w:cs="宋体"/>
          <w:kern w:val="0"/>
          <w:sz w:val="22"/>
          <w:szCs w:val="22"/>
        </w:rPr>
        <w:t>载体及</w:t>
      </w:r>
      <w:r>
        <w:rPr>
          <w:rFonts w:hint="eastAsia" w:ascii="宋体" w:hAnsi="宋体" w:cs="宋体"/>
          <w:b/>
          <w:kern w:val="0"/>
          <w:sz w:val="22"/>
          <w:szCs w:val="22"/>
        </w:rPr>
        <w:t>保密信息</w:t>
      </w:r>
      <w:r>
        <w:rPr>
          <w:rFonts w:hint="eastAsia" w:ascii="宋体" w:hAnsi="宋体" w:cs="宋体"/>
          <w:kern w:val="0"/>
          <w:sz w:val="22"/>
          <w:szCs w:val="22"/>
        </w:rPr>
        <w:t>介质的特性导致客观上无法返还甲方的，乙方应当于将载有</w:t>
      </w:r>
      <w:r>
        <w:rPr>
          <w:rFonts w:hint="eastAsia" w:ascii="宋体" w:hAnsi="宋体" w:cs="宋体"/>
          <w:b/>
          <w:kern w:val="0"/>
          <w:sz w:val="22"/>
          <w:szCs w:val="22"/>
        </w:rPr>
        <w:t>保密信息</w:t>
      </w:r>
      <w:r>
        <w:rPr>
          <w:rFonts w:hint="eastAsia" w:ascii="宋体" w:hAnsi="宋体" w:cs="宋体"/>
          <w:kern w:val="0"/>
          <w:sz w:val="22"/>
          <w:szCs w:val="22"/>
        </w:rPr>
        <w:t>的载体或介质销毁，或对其进行处理使其不具有</w:t>
      </w:r>
      <w:r>
        <w:rPr>
          <w:rFonts w:hint="eastAsia" w:ascii="宋体" w:hAnsi="宋体" w:cs="宋体"/>
          <w:b/>
          <w:kern w:val="0"/>
          <w:sz w:val="22"/>
          <w:szCs w:val="22"/>
        </w:rPr>
        <w:t>保密信息</w:t>
      </w:r>
      <w:r>
        <w:rPr>
          <w:rFonts w:hint="eastAsia" w:ascii="宋体" w:hAnsi="宋体" w:cs="宋体"/>
          <w:kern w:val="0"/>
          <w:sz w:val="22"/>
          <w:szCs w:val="22"/>
        </w:rPr>
        <w:t>保存和传递功能，以达到乙方不保存任何</w:t>
      </w:r>
      <w:r>
        <w:rPr>
          <w:rFonts w:hint="eastAsia" w:ascii="宋体" w:hAnsi="宋体" w:cs="宋体"/>
          <w:b/>
          <w:kern w:val="0"/>
          <w:sz w:val="22"/>
          <w:szCs w:val="22"/>
        </w:rPr>
        <w:t>保密信息</w:t>
      </w:r>
      <w:r>
        <w:rPr>
          <w:rFonts w:hint="eastAsia" w:ascii="宋体" w:hAnsi="宋体" w:cs="宋体"/>
          <w:kern w:val="0"/>
          <w:sz w:val="22"/>
          <w:szCs w:val="22"/>
        </w:rPr>
        <w:t>的目的；</w:t>
      </w:r>
    </w:p>
    <w:p w14:paraId="4F0B106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6.3.2  就全部</w:t>
      </w:r>
      <w:r>
        <w:rPr>
          <w:rFonts w:hint="eastAsia" w:ascii="宋体" w:hAnsi="宋体" w:cs="宋体"/>
          <w:b/>
          <w:kern w:val="0"/>
          <w:sz w:val="22"/>
          <w:szCs w:val="22"/>
        </w:rPr>
        <w:t>保密信息</w:t>
      </w:r>
      <w:r>
        <w:rPr>
          <w:rFonts w:hint="eastAsia" w:ascii="宋体" w:hAnsi="宋体" w:cs="宋体"/>
          <w:kern w:val="0"/>
          <w:sz w:val="22"/>
          <w:szCs w:val="22"/>
        </w:rPr>
        <w:t>都已按本协议规定返还或进行处理向甲方或出具书面承诺函；</w:t>
      </w:r>
    </w:p>
    <w:p w14:paraId="33900C1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6.3.3  在30日内按甲方指定的地点把甲方提供给乙方用于试制或制造</w:t>
      </w:r>
      <w:r>
        <w:rPr>
          <w:rFonts w:hint="eastAsia" w:ascii="宋体" w:hAnsi="宋体" w:cs="宋体"/>
          <w:b/>
          <w:kern w:val="0"/>
          <w:sz w:val="22"/>
          <w:szCs w:val="22"/>
        </w:rPr>
        <w:t>产品</w:t>
      </w:r>
      <w:r>
        <w:rPr>
          <w:rFonts w:hint="eastAsia" w:ascii="宋体" w:hAnsi="宋体" w:cs="宋体"/>
          <w:kern w:val="0"/>
          <w:sz w:val="22"/>
          <w:szCs w:val="22"/>
        </w:rPr>
        <w:t>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14:paraId="69E7C05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6.3.4  不再享有并使用第5.1条、第5.2条的</w:t>
      </w:r>
      <w:r>
        <w:rPr>
          <w:rFonts w:hint="eastAsia" w:ascii="宋体" w:hAnsi="宋体" w:cs="宋体"/>
          <w:b/>
          <w:kern w:val="0"/>
          <w:sz w:val="22"/>
          <w:szCs w:val="22"/>
        </w:rPr>
        <w:t>产品</w:t>
      </w:r>
      <w:r>
        <w:rPr>
          <w:rFonts w:hint="eastAsia" w:ascii="宋体" w:hAnsi="宋体" w:cs="宋体"/>
          <w:kern w:val="0"/>
          <w:sz w:val="22"/>
          <w:szCs w:val="22"/>
        </w:rPr>
        <w:t>标签权利；</w:t>
      </w:r>
    </w:p>
    <w:p w14:paraId="0B7F847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6.3.5  不得继续使用</w:t>
      </w:r>
      <w:r>
        <w:rPr>
          <w:rFonts w:hint="eastAsia" w:ascii="宋体" w:hAnsi="宋体" w:cs="宋体"/>
          <w:b/>
          <w:kern w:val="0"/>
          <w:sz w:val="22"/>
          <w:szCs w:val="22"/>
        </w:rPr>
        <w:t>保密信息</w:t>
      </w:r>
      <w:r>
        <w:rPr>
          <w:rFonts w:hint="eastAsia" w:ascii="宋体" w:hAnsi="宋体" w:cs="宋体"/>
          <w:kern w:val="0"/>
          <w:sz w:val="22"/>
          <w:szCs w:val="22"/>
        </w:rPr>
        <w:t>和/或进行</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的试制或制造、装配或工序外协服务。</w:t>
      </w:r>
    </w:p>
    <w:p w14:paraId="3B5D29A3">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第七条  违约及责任</w:t>
      </w:r>
    </w:p>
    <w:p w14:paraId="3998535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7.1  如乙方违反本协议第2.1条、</w:t>
      </w:r>
      <w:bookmarkStart w:id="37" w:name="OLE_LINK28"/>
      <w:r>
        <w:rPr>
          <w:rFonts w:hint="eastAsia" w:ascii="宋体" w:hAnsi="宋体" w:cs="宋体"/>
          <w:kern w:val="0"/>
          <w:sz w:val="22"/>
          <w:szCs w:val="22"/>
        </w:rPr>
        <w:t>2.2条</w:t>
      </w:r>
      <w:bookmarkEnd w:id="37"/>
      <w:r>
        <w:rPr>
          <w:rFonts w:hint="eastAsia" w:ascii="宋体" w:hAnsi="宋体" w:cs="宋体"/>
          <w:kern w:val="0"/>
          <w:sz w:val="22"/>
          <w:szCs w:val="22"/>
        </w:rPr>
        <w:t>、2.4条、</w:t>
      </w:r>
      <w:bookmarkStart w:id="38" w:name="OLE_LINK29"/>
      <w:r>
        <w:rPr>
          <w:rFonts w:hint="eastAsia" w:ascii="宋体" w:hAnsi="宋体" w:cs="宋体"/>
          <w:kern w:val="0"/>
          <w:sz w:val="22"/>
          <w:szCs w:val="22"/>
        </w:rPr>
        <w:t>3.3条、</w:t>
      </w:r>
      <w:bookmarkEnd w:id="38"/>
      <w:r>
        <w:rPr>
          <w:rFonts w:hint="eastAsia" w:ascii="宋体" w:hAnsi="宋体" w:cs="宋体"/>
          <w:kern w:val="0"/>
          <w:sz w:val="22"/>
          <w:szCs w:val="22"/>
        </w:rPr>
        <w:t>3.4条、3.5条、</w:t>
      </w:r>
      <w:bookmarkStart w:id="39" w:name="OLE_LINK30"/>
      <w:r>
        <w:rPr>
          <w:rFonts w:hint="eastAsia" w:ascii="宋体" w:hAnsi="宋体" w:cs="宋体"/>
          <w:kern w:val="0"/>
          <w:sz w:val="22"/>
          <w:szCs w:val="22"/>
        </w:rPr>
        <w:t>4.1条、</w:t>
      </w:r>
      <w:bookmarkEnd w:id="39"/>
      <w:r>
        <w:rPr>
          <w:rFonts w:hint="eastAsia" w:ascii="宋体" w:hAnsi="宋体" w:cs="宋体"/>
          <w:kern w:val="0"/>
          <w:sz w:val="22"/>
          <w:szCs w:val="22"/>
        </w:rPr>
        <w:t>4.2条、4.3条、4.4条、4.5条、4.6条，则为重大违约，乙方除承担第2.5条、第6.3条责任外，需向甲方支付1000万元的惩罚性违约金，并按7.2条规定的损害赔偿金数额赔偿甲方全部损失，构成犯罪的按</w:t>
      </w:r>
      <w:r>
        <w:rPr>
          <w:rFonts w:hint="eastAsia" w:ascii="宋体" w:hAnsi="宋体" w:cs="宋体"/>
          <w:b/>
          <w:kern w:val="0"/>
          <w:sz w:val="22"/>
          <w:szCs w:val="22"/>
        </w:rPr>
        <w:t>中国</w:t>
      </w:r>
      <w:r>
        <w:rPr>
          <w:rFonts w:hint="eastAsia" w:ascii="宋体" w:hAnsi="宋体" w:cs="宋体"/>
          <w:kern w:val="0"/>
          <w:sz w:val="22"/>
          <w:szCs w:val="22"/>
        </w:rPr>
        <w:t>刑法第219条承担刑事责任。乙方承担前述法律责任后，仍应继续履行本协议规定的有关义务。</w:t>
      </w:r>
    </w:p>
    <w:p w14:paraId="6DF96D7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7.2  乙方认为，由于</w:t>
      </w:r>
      <w:r>
        <w:rPr>
          <w:rFonts w:hint="eastAsia" w:ascii="宋体" w:hAnsi="宋体" w:cs="宋体"/>
          <w:b/>
          <w:kern w:val="0"/>
          <w:sz w:val="22"/>
          <w:szCs w:val="22"/>
        </w:rPr>
        <w:t>保密信息</w:t>
      </w:r>
      <w:r>
        <w:rPr>
          <w:rFonts w:hint="eastAsia" w:ascii="宋体" w:hAnsi="宋体" w:cs="宋体"/>
          <w:kern w:val="0"/>
          <w:sz w:val="22"/>
          <w:szCs w:val="22"/>
        </w:rPr>
        <w:t>对甲方具有重大以及不可估量的经济利益，重大违约给甲方损失将是巨大的，因乙方重大违约而给甲方造成的损失金额由甲方进行测算（包括但不限于由于乙方违约而导致甲方被追索承担的赔偿或损失、律师费用等）。但在各种情况下，双方一致认为甲方的损失均应被视为最少不低于1000万元。</w:t>
      </w:r>
    </w:p>
    <w:p w14:paraId="16D4220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7.3  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14:paraId="653748B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7.4  若乙方是自然人设立的有限责任公司或股份公司，则对于第7.1条、7.2条所提述乙方支付金钱的责任，乙方股东、法定代表人、实际控制人等承担连带赔偿责任（各方另行签署连带责任协议）。</w:t>
      </w:r>
    </w:p>
    <w:p w14:paraId="292DA679">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第八条  适用法律及争议解决</w:t>
      </w:r>
    </w:p>
    <w:p w14:paraId="3257C9A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8.1  本协议适用</w:t>
      </w:r>
      <w:r>
        <w:rPr>
          <w:rFonts w:hint="eastAsia" w:ascii="宋体" w:hAnsi="宋体" w:cs="宋体"/>
          <w:b/>
          <w:kern w:val="0"/>
          <w:sz w:val="22"/>
          <w:szCs w:val="22"/>
        </w:rPr>
        <w:t>中国</w:t>
      </w:r>
      <w:r>
        <w:rPr>
          <w:rFonts w:hint="eastAsia" w:ascii="宋体" w:hAnsi="宋体" w:cs="宋体"/>
          <w:kern w:val="0"/>
          <w:sz w:val="22"/>
          <w:szCs w:val="22"/>
        </w:rPr>
        <w:t>法律，但不适用其冲突法原则。</w:t>
      </w:r>
    </w:p>
    <w:p w14:paraId="423220B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8.2  双方应努力通过友好协商就本协议的解释或履行所产生的或与之有关的任何争议或索赔作出和解。如在一方向另一方提出该事项后六十(60)日内无法通过该等协商达成和解，则任何一方均可以向济南市或协议签署地法院起诉。</w:t>
      </w:r>
    </w:p>
    <w:p w14:paraId="505518A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8.3  在争议依照第8.2条解决之前，双方应继续履行其在本协议项下的各自义务和责任。</w:t>
      </w:r>
    </w:p>
    <w:p w14:paraId="72642906">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第九条  一般条款</w:t>
      </w:r>
    </w:p>
    <w:p w14:paraId="27D94AE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9.1  一方未行使其在本协议项下的任何权利、权力或权益概不构成对该等权利、权力和权益的放弃，对任何权利、权力或权益的任何一次或部分行使，概不排除对任何其他权利、权力或权益的行使。</w:t>
      </w:r>
    </w:p>
    <w:p w14:paraId="4638ADE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9.2  本协议构成双方就保密事项的全部协议和谅解，并取代以前的全部协议、安排和谅解。对本协议进行添加、删减或其他任何形式的修改需以书面形式进行。</w:t>
      </w:r>
    </w:p>
    <w:p w14:paraId="3A22AF2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9.3  如本协议任何条文无效，概不影响本协议任何其他条文的效力。</w:t>
      </w:r>
    </w:p>
    <w:p w14:paraId="3901C42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9.4  本协议第2.2条、2.4条、3.1条、3.3条、3.4条、3.5条、4.1条、4.2.(a)条、4.2.(c)条、4.2.(d)条、4.2.( e)条、4.3条、4.4条、4.5条、6.3条、7条、8条在本协议期限届满后继续有效。本协议其他条款因其本身性质或根据法律、法规规定应持续或继续有效的，在本协议期限届满后继续有效。</w:t>
      </w:r>
    </w:p>
    <w:p w14:paraId="7E13618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9.5  本协议的终止无损于双方于终止日期在本协议项下的权利和责任，包括但不限于违约或赔偿责任，除非双方以书面形式明示放弃。</w:t>
      </w:r>
    </w:p>
    <w:p w14:paraId="227135A8">
      <w:pPr>
        <w:widowControl/>
        <w:autoSpaceDE w:val="0"/>
        <w:autoSpaceDN w:val="0"/>
        <w:adjustRightInd w:val="0"/>
        <w:spacing w:line="360" w:lineRule="auto"/>
        <w:ind w:left="337" w:leftChars="-75" w:right="-311" w:rightChars="-148" w:hanging="495" w:hangingChars="225"/>
        <w:rPr>
          <w:rFonts w:hint="eastAsia" w:ascii="宋体" w:hAnsi="宋体" w:cs="宋体"/>
          <w:kern w:val="0"/>
          <w:sz w:val="22"/>
          <w:szCs w:val="22"/>
        </w:rPr>
      </w:pPr>
      <w:r>
        <w:rPr>
          <w:rFonts w:hint="eastAsia" w:ascii="宋体" w:hAnsi="宋体" w:cs="宋体"/>
          <w:kern w:val="0"/>
          <w:sz w:val="22"/>
          <w:szCs w:val="22"/>
        </w:rPr>
        <w:t>9.6  本协议中的甲方享有的权利和义务亦包括甲方的不时存在的任何</w:t>
      </w:r>
      <w:r>
        <w:rPr>
          <w:rFonts w:hint="eastAsia" w:ascii="宋体" w:hAnsi="宋体" w:cs="宋体"/>
          <w:b/>
          <w:kern w:val="0"/>
          <w:sz w:val="22"/>
          <w:szCs w:val="22"/>
        </w:rPr>
        <w:t>附属公司</w:t>
      </w:r>
      <w:r>
        <w:rPr>
          <w:rFonts w:hint="eastAsia" w:ascii="宋体" w:hAnsi="宋体" w:cs="宋体"/>
          <w:kern w:val="0"/>
          <w:sz w:val="22"/>
          <w:szCs w:val="22"/>
        </w:rPr>
        <w:t>；乙方承担的义务亦包括乙方的</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及其顾问、代理人、</w:t>
      </w:r>
      <w:r>
        <w:rPr>
          <w:rFonts w:hint="eastAsia" w:ascii="宋体" w:hAnsi="宋体" w:cs="宋体"/>
          <w:b/>
          <w:kern w:val="0"/>
          <w:sz w:val="22"/>
          <w:szCs w:val="22"/>
        </w:rPr>
        <w:t>分供应商</w:t>
      </w:r>
      <w:r>
        <w:rPr>
          <w:rFonts w:hint="eastAsia" w:ascii="宋体" w:hAnsi="宋体" w:cs="宋体"/>
          <w:kern w:val="0"/>
          <w:sz w:val="22"/>
          <w:szCs w:val="22"/>
        </w:rPr>
        <w:t>，乙方应确保上述</w:t>
      </w:r>
      <w:r>
        <w:rPr>
          <w:rFonts w:hint="eastAsia" w:ascii="宋体" w:hAnsi="宋体" w:cs="宋体"/>
          <w:b/>
          <w:kern w:val="0"/>
          <w:sz w:val="22"/>
          <w:szCs w:val="22"/>
        </w:rPr>
        <w:t>人</w:t>
      </w:r>
      <w:r>
        <w:rPr>
          <w:rFonts w:hint="eastAsia" w:ascii="宋体" w:hAnsi="宋体" w:cs="宋体"/>
          <w:kern w:val="0"/>
          <w:sz w:val="22"/>
          <w:szCs w:val="22"/>
        </w:rPr>
        <w:t>遵守义务并由乙方承担其不遵守的法律责任。</w:t>
      </w:r>
    </w:p>
    <w:p w14:paraId="0C09785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9.7</w:t>
      </w:r>
      <w:bookmarkStart w:id="40" w:name="OLE_LINK9"/>
      <w:r>
        <w:rPr>
          <w:rFonts w:hint="eastAsia" w:ascii="宋体" w:hAnsi="宋体" w:cs="宋体"/>
          <w:kern w:val="0"/>
          <w:sz w:val="22"/>
          <w:szCs w:val="22"/>
        </w:rPr>
        <w:t xml:space="preserve">  本协议自双方签署之日起生效。</w:t>
      </w:r>
      <w:bookmarkEnd w:id="40"/>
      <w:r>
        <w:rPr>
          <w:rFonts w:hint="eastAsia" w:ascii="宋体" w:hAnsi="宋体" w:cs="宋体"/>
          <w:kern w:val="0"/>
          <w:sz w:val="22"/>
          <w:szCs w:val="22"/>
        </w:rPr>
        <w:t>但是如果本协议签订前存在甲方向乙方提供</w:t>
      </w:r>
      <w:r>
        <w:rPr>
          <w:rFonts w:hint="eastAsia" w:ascii="宋体" w:hAnsi="宋体" w:cs="宋体"/>
          <w:b/>
          <w:kern w:val="0"/>
          <w:sz w:val="22"/>
          <w:szCs w:val="22"/>
        </w:rPr>
        <w:t>保密信息</w:t>
      </w:r>
      <w:r>
        <w:rPr>
          <w:rFonts w:hint="eastAsia" w:ascii="宋体" w:hAnsi="宋体" w:cs="宋体"/>
          <w:kern w:val="0"/>
          <w:sz w:val="22"/>
          <w:szCs w:val="22"/>
        </w:rPr>
        <w:t>的，也适用本协议。</w:t>
      </w:r>
    </w:p>
    <w:p w14:paraId="348D956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9.8  本协议一式三份，甲方两份，乙方一份，具有同等的法律效力。</w:t>
      </w:r>
      <w:bookmarkEnd w:id="22"/>
    </w:p>
    <w:p w14:paraId="1B250461">
      <w:pPr>
        <w:widowControl/>
        <w:autoSpaceDE w:val="0"/>
        <w:autoSpaceDN w:val="0"/>
        <w:adjustRightInd w:val="0"/>
        <w:spacing w:line="360" w:lineRule="auto"/>
        <w:ind w:left="311" w:leftChars="17" w:right="-311" w:rightChars="-148" w:hanging="275" w:hangingChars="125"/>
        <w:jc w:val="left"/>
        <w:rPr>
          <w:rFonts w:hint="eastAsia" w:ascii="宋体" w:hAnsi="宋体" w:cs="宋体"/>
          <w:kern w:val="0"/>
          <w:sz w:val="22"/>
          <w:szCs w:val="22"/>
        </w:rPr>
      </w:pPr>
      <w:r>
        <w:rPr>
          <w:rFonts w:hint="eastAsia" w:ascii="宋体" w:hAnsi="宋体" w:cs="宋体"/>
          <w:kern w:val="0"/>
          <w:sz w:val="22"/>
          <w:szCs w:val="22"/>
        </w:rPr>
        <w:t>（以下无正文）</w:t>
      </w:r>
    </w:p>
    <w:p w14:paraId="2B89701A">
      <w:pPr>
        <w:widowControl/>
        <w:autoSpaceDE w:val="0"/>
        <w:autoSpaceDN w:val="0"/>
        <w:adjustRightInd w:val="0"/>
        <w:snapToGrid w:val="0"/>
        <w:spacing w:line="360" w:lineRule="auto"/>
        <w:jc w:val="left"/>
        <w:rPr>
          <w:rFonts w:hint="eastAsia"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r>
        <w:rPr>
          <w:rFonts w:ascii="宋体" w:hAnsi="宋体"/>
          <w:snapToGrid w:val="0"/>
          <w:kern w:val="0"/>
          <w:sz w:val="22"/>
          <w:szCs w:val="22"/>
          <w:lang w:eastAsia="zh-Hans"/>
        </w:rPr>
        <w:t xml:space="preserve"> </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147C09D1">
      <w:pPr>
        <w:widowControl/>
        <w:autoSpaceDE w:val="0"/>
        <w:autoSpaceDN w:val="0"/>
        <w:adjustRightInd w:val="0"/>
        <w:snapToGrid w:val="0"/>
        <w:spacing w:line="360" w:lineRule="auto"/>
        <w:jc w:val="left"/>
        <w:rPr>
          <w:rFonts w:hint="eastAsia" w:ascii="宋体" w:hAnsi="宋体"/>
          <w:snapToGrid w:val="0"/>
          <w:color w:val="000000"/>
          <w:kern w:val="0"/>
          <w:sz w:val="22"/>
          <w:szCs w:val="22"/>
        </w:rPr>
      </w:pPr>
      <w:r>
        <w:rPr>
          <w:rFonts w:hint="eastAsia" w:ascii="宋体" w:hAnsi="宋体"/>
          <w:snapToGrid w:val="0"/>
          <w:kern w:val="0"/>
          <w:sz w:val="22"/>
          <w:szCs w:val="22"/>
        </w:rPr>
        <w:t>重汽（济南）车桥有限公司</w:t>
      </w:r>
    </w:p>
    <w:p w14:paraId="7D2ABBFE">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028FCA0E">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701B8D92">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166401E4">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hint="eastAsia" w:ascii="宋体" w:hAnsi="宋体"/>
          <w:snapToGrid w:val="0"/>
          <w:color w:val="000000"/>
          <w:kern w:val="0"/>
          <w:sz w:val="22"/>
          <w:szCs w:val="22"/>
        </w:rPr>
        <w:t>济南市高新区世纪大道757号</w:t>
      </w:r>
      <w:r>
        <w:rPr>
          <w:rFonts w:ascii="宋体" w:hAnsi="宋体"/>
          <w:snapToGrid w:val="0"/>
          <w:color w:val="000000"/>
          <w:kern w:val="0"/>
          <w:sz w:val="22"/>
          <w:szCs w:val="22"/>
          <w:lang w:eastAsia="zh-Hans"/>
        </w:rPr>
        <w:t xml:space="preserve">           </w:t>
      </w:r>
      <w:r>
        <w:rPr>
          <w:rFonts w:hint="eastAsia" w:ascii="宋体" w:hAnsi="宋体"/>
          <w:snapToGrid w:val="0"/>
          <w:color w:val="000000"/>
          <w:kern w:val="0"/>
          <w:sz w:val="22"/>
          <w:szCs w:val="22"/>
        </w:rPr>
        <w:t xml:space="preserve"> </w:t>
      </w:r>
      <w:r>
        <w:rPr>
          <w:rFonts w:ascii="宋体" w:hAnsi="宋体"/>
          <w:snapToGrid w:val="0"/>
          <w:color w:val="000000"/>
          <w:kern w:val="0"/>
          <w:sz w:val="22"/>
          <w:szCs w:val="22"/>
          <w:lang w:eastAsia="zh-Hans"/>
        </w:rPr>
        <w:t xml:space="preserve">地  址： </w:t>
      </w:r>
    </w:p>
    <w:p w14:paraId="3D4A2B85">
      <w:pPr>
        <w:widowControl/>
        <w:autoSpaceDE w:val="0"/>
        <w:autoSpaceDN w:val="0"/>
        <w:adjustRightInd w:val="0"/>
        <w:snapToGrid w:val="0"/>
        <w:spacing w:line="360" w:lineRule="auto"/>
        <w:jc w:val="left"/>
        <w:rPr>
          <w:rFonts w:hint="eastAsia" w:ascii="宋体" w:hAnsi="宋体"/>
          <w:snapToGrid w:val="0"/>
          <w:kern w:val="0"/>
          <w:sz w:val="22"/>
          <w:szCs w:val="22"/>
        </w:rPr>
      </w:pPr>
    </w:p>
    <w:p w14:paraId="2F3DB2A0">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 xml:space="preserve">电话：                                       电话： </w:t>
      </w:r>
    </w:p>
    <w:p w14:paraId="42F70092">
      <w:pPr>
        <w:rPr>
          <w:rFonts w:hint="eastAsia" w:ascii="仿宋" w:hAnsi="仿宋" w:eastAsia="仿宋"/>
          <w:sz w:val="28"/>
          <w:szCs w:val="28"/>
        </w:rPr>
      </w:pPr>
    </w:p>
    <w:p w14:paraId="3E8DA7AA">
      <w:pPr>
        <w:rPr>
          <w:rFonts w:hint="eastAsia" w:ascii="仿宋" w:hAnsi="仿宋" w:eastAsia="仿宋"/>
          <w:sz w:val="28"/>
          <w:szCs w:val="28"/>
        </w:rPr>
      </w:pPr>
    </w:p>
    <w:p w14:paraId="40537BA2">
      <w:pPr>
        <w:rPr>
          <w:rFonts w:ascii="仿宋" w:hAnsi="仿宋" w:eastAsia="仿宋"/>
          <w:sz w:val="28"/>
          <w:szCs w:val="28"/>
        </w:rPr>
      </w:pPr>
    </w:p>
    <w:p w14:paraId="60B1295C">
      <w:pPr>
        <w:rPr>
          <w:rFonts w:ascii="仿宋" w:hAnsi="仿宋" w:eastAsia="仿宋"/>
          <w:sz w:val="28"/>
          <w:szCs w:val="28"/>
        </w:rPr>
      </w:pPr>
    </w:p>
    <w:p w14:paraId="0ED6CDCB">
      <w:pPr>
        <w:rPr>
          <w:rFonts w:ascii="仿宋" w:hAnsi="仿宋" w:eastAsia="仿宋"/>
          <w:sz w:val="28"/>
          <w:szCs w:val="28"/>
        </w:rPr>
      </w:pPr>
    </w:p>
    <w:p w14:paraId="3D887705">
      <w:pPr>
        <w:rPr>
          <w:rFonts w:ascii="仿宋" w:hAnsi="仿宋" w:eastAsia="仿宋"/>
          <w:sz w:val="28"/>
          <w:szCs w:val="28"/>
        </w:rPr>
      </w:pPr>
    </w:p>
    <w:p w14:paraId="392A5E68">
      <w:pPr>
        <w:rPr>
          <w:rFonts w:ascii="仿宋" w:hAnsi="仿宋" w:eastAsia="仿宋"/>
          <w:sz w:val="28"/>
          <w:szCs w:val="28"/>
        </w:rPr>
      </w:pPr>
    </w:p>
    <w:p w14:paraId="02CF12AA">
      <w:pPr>
        <w:rPr>
          <w:rFonts w:ascii="仿宋" w:hAnsi="仿宋" w:eastAsia="仿宋"/>
          <w:sz w:val="28"/>
          <w:szCs w:val="28"/>
        </w:rPr>
      </w:pPr>
    </w:p>
    <w:p w14:paraId="04C85CB4">
      <w:pPr>
        <w:rPr>
          <w:rFonts w:hint="eastAsia" w:ascii="黑体" w:hAnsi="Calibri" w:eastAsia="黑体"/>
          <w:b/>
          <w:sz w:val="52"/>
          <w:szCs w:val="52"/>
        </w:rPr>
      </w:pPr>
    </w:p>
    <w:p w14:paraId="49BEA148">
      <w:pPr>
        <w:jc w:val="center"/>
        <w:rPr>
          <w:rFonts w:ascii="黑体" w:hAnsi="Calibri" w:eastAsia="黑体"/>
          <w:b/>
          <w:sz w:val="52"/>
          <w:szCs w:val="52"/>
        </w:rPr>
      </w:pPr>
      <w:r>
        <w:rPr>
          <w:rFonts w:hint="eastAsia" w:ascii="黑体" w:hAnsi="Calibri" w:eastAsia="黑体"/>
          <w:b/>
          <w:sz w:val="52"/>
          <w:szCs w:val="52"/>
        </w:rPr>
        <w:t>采购产品质量保证与服务协议</w:t>
      </w:r>
    </w:p>
    <w:p w14:paraId="3B853212">
      <w:pPr>
        <w:ind w:firstLine="422" w:firstLineChars="200"/>
        <w:rPr>
          <w:rFonts w:hint="eastAsia" w:ascii="Calibri" w:hAnsi="Calibri"/>
          <w:b/>
          <w:szCs w:val="22"/>
        </w:rPr>
      </w:pPr>
    </w:p>
    <w:p w14:paraId="3EB6882B">
      <w:pPr>
        <w:ind w:firstLine="422" w:firstLineChars="200"/>
        <w:rPr>
          <w:rFonts w:ascii="Calibri" w:hAnsi="Calibri"/>
          <w:b/>
          <w:szCs w:val="22"/>
        </w:rPr>
      </w:pPr>
    </w:p>
    <w:p w14:paraId="476F6A4A">
      <w:pPr>
        <w:ind w:firstLine="422" w:firstLineChars="200"/>
        <w:rPr>
          <w:rFonts w:ascii="Calibri" w:hAnsi="Calibri"/>
          <w:b/>
          <w:szCs w:val="22"/>
        </w:rPr>
      </w:pPr>
    </w:p>
    <w:p w14:paraId="5C5932A6">
      <w:pPr>
        <w:ind w:firstLine="422" w:firstLineChars="200"/>
        <w:rPr>
          <w:rFonts w:ascii="Calibri" w:hAnsi="Calibri"/>
          <w:b/>
          <w:szCs w:val="22"/>
        </w:rPr>
      </w:pPr>
    </w:p>
    <w:p w14:paraId="114911F8">
      <w:pPr>
        <w:ind w:firstLine="422" w:firstLineChars="200"/>
        <w:rPr>
          <w:rFonts w:ascii="Calibri" w:hAnsi="Calibri"/>
          <w:b/>
          <w:szCs w:val="22"/>
        </w:rPr>
      </w:pPr>
    </w:p>
    <w:p w14:paraId="064CD0BD">
      <w:pPr>
        <w:ind w:firstLine="422" w:firstLineChars="200"/>
        <w:rPr>
          <w:rFonts w:ascii="Calibri" w:hAnsi="Calibri"/>
          <w:b/>
          <w:szCs w:val="22"/>
        </w:rPr>
      </w:pPr>
    </w:p>
    <w:p w14:paraId="766DB306">
      <w:pPr>
        <w:ind w:firstLine="422" w:firstLineChars="200"/>
        <w:rPr>
          <w:rFonts w:ascii="Calibri" w:hAnsi="Calibri"/>
          <w:b/>
          <w:szCs w:val="22"/>
        </w:rPr>
      </w:pPr>
    </w:p>
    <w:p w14:paraId="41DAC27D">
      <w:pPr>
        <w:ind w:firstLine="420" w:firstLineChars="200"/>
        <w:rPr>
          <w:rFonts w:ascii="Calibri" w:hAnsi="Calibri"/>
          <w:b/>
          <w:szCs w:val="22"/>
        </w:rPr>
      </w:pPr>
      <w:r>
        <w:drawing>
          <wp:anchor distT="0" distB="0" distL="114300" distR="114300" simplePos="0" relativeHeight="251659264" behindDoc="0" locked="0" layoutInCell="1" allowOverlap="1">
            <wp:simplePos x="0" y="0"/>
            <wp:positionH relativeFrom="column">
              <wp:posOffset>1889760</wp:posOffset>
            </wp:positionH>
            <wp:positionV relativeFrom="paragraph">
              <wp:posOffset>52705</wp:posOffset>
            </wp:positionV>
            <wp:extent cx="2337435" cy="2308860"/>
            <wp:effectExtent l="0" t="0" r="5715" b="15240"/>
            <wp:wrapNone/>
            <wp:docPr id="4" name="图片 2" descr="说明: 说明: 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说明: 说明: 重汽"/>
                    <pic:cNvPicPr>
                      <a:picLocks noChangeAspect="1"/>
                    </pic:cNvPicPr>
                  </pic:nvPicPr>
                  <pic:blipFill>
                    <a:blip r:embed="rId16"/>
                    <a:stretch>
                      <a:fillRect/>
                    </a:stretch>
                  </pic:blipFill>
                  <pic:spPr>
                    <a:xfrm>
                      <a:off x="0" y="0"/>
                      <a:ext cx="2337435" cy="2308860"/>
                    </a:xfrm>
                    <a:prstGeom prst="rect">
                      <a:avLst/>
                    </a:prstGeom>
                    <a:noFill/>
                    <a:ln>
                      <a:noFill/>
                    </a:ln>
                  </pic:spPr>
                </pic:pic>
              </a:graphicData>
            </a:graphic>
          </wp:anchor>
        </w:drawing>
      </w:r>
    </w:p>
    <w:p w14:paraId="3A10C29A">
      <w:pPr>
        <w:ind w:firstLine="422" w:firstLineChars="200"/>
        <w:rPr>
          <w:rFonts w:ascii="Calibri" w:hAnsi="Calibri"/>
          <w:b/>
          <w:szCs w:val="22"/>
        </w:rPr>
      </w:pPr>
    </w:p>
    <w:p w14:paraId="46BA6675">
      <w:pPr>
        <w:ind w:firstLine="422" w:firstLineChars="200"/>
        <w:rPr>
          <w:rFonts w:ascii="Calibri" w:hAnsi="Calibri"/>
          <w:b/>
          <w:szCs w:val="22"/>
        </w:rPr>
      </w:pPr>
    </w:p>
    <w:p w14:paraId="3E2C2E9D">
      <w:pPr>
        <w:ind w:firstLine="422" w:firstLineChars="200"/>
        <w:rPr>
          <w:rFonts w:ascii="Calibri" w:hAnsi="Calibri"/>
          <w:b/>
          <w:szCs w:val="22"/>
        </w:rPr>
      </w:pPr>
    </w:p>
    <w:p w14:paraId="4084DF86">
      <w:pPr>
        <w:ind w:firstLine="422" w:firstLineChars="200"/>
        <w:rPr>
          <w:rFonts w:ascii="Calibri" w:hAnsi="Calibri"/>
          <w:b/>
          <w:szCs w:val="22"/>
        </w:rPr>
      </w:pPr>
    </w:p>
    <w:p w14:paraId="46CEA1F6">
      <w:pPr>
        <w:ind w:firstLine="422" w:firstLineChars="200"/>
        <w:rPr>
          <w:rFonts w:ascii="Calibri" w:hAnsi="Calibri"/>
          <w:b/>
          <w:szCs w:val="22"/>
        </w:rPr>
      </w:pPr>
    </w:p>
    <w:p w14:paraId="32DF29E4">
      <w:pPr>
        <w:ind w:firstLine="422" w:firstLineChars="200"/>
        <w:rPr>
          <w:rFonts w:ascii="Calibri" w:hAnsi="Calibri"/>
          <w:b/>
          <w:szCs w:val="22"/>
        </w:rPr>
      </w:pPr>
    </w:p>
    <w:p w14:paraId="3FCCB3FB">
      <w:pPr>
        <w:ind w:firstLine="422" w:firstLineChars="200"/>
        <w:rPr>
          <w:rFonts w:ascii="Calibri" w:hAnsi="Calibri"/>
          <w:b/>
          <w:szCs w:val="22"/>
        </w:rPr>
      </w:pPr>
    </w:p>
    <w:p w14:paraId="07E78897">
      <w:pPr>
        <w:ind w:firstLine="422" w:firstLineChars="200"/>
        <w:rPr>
          <w:rFonts w:ascii="Calibri" w:hAnsi="Calibri"/>
          <w:b/>
          <w:szCs w:val="22"/>
        </w:rPr>
      </w:pPr>
    </w:p>
    <w:p w14:paraId="451D9610">
      <w:pPr>
        <w:ind w:firstLine="422" w:firstLineChars="200"/>
        <w:rPr>
          <w:rFonts w:ascii="Calibri" w:hAnsi="Calibri"/>
          <w:b/>
          <w:szCs w:val="22"/>
        </w:rPr>
      </w:pPr>
    </w:p>
    <w:p w14:paraId="2095FE75">
      <w:pPr>
        <w:ind w:firstLine="422" w:firstLineChars="200"/>
        <w:rPr>
          <w:rFonts w:ascii="Calibri" w:hAnsi="Calibri"/>
          <w:b/>
          <w:szCs w:val="22"/>
        </w:rPr>
      </w:pPr>
    </w:p>
    <w:p w14:paraId="7CA31BBD">
      <w:pPr>
        <w:ind w:firstLine="422" w:firstLineChars="200"/>
        <w:rPr>
          <w:rFonts w:ascii="Calibri" w:hAnsi="Calibri"/>
          <w:b/>
          <w:szCs w:val="22"/>
        </w:rPr>
      </w:pPr>
    </w:p>
    <w:p w14:paraId="3721DB03">
      <w:pPr>
        <w:ind w:firstLine="422" w:firstLineChars="200"/>
        <w:rPr>
          <w:rFonts w:ascii="Calibri" w:hAnsi="Calibri"/>
          <w:b/>
          <w:szCs w:val="22"/>
        </w:rPr>
      </w:pPr>
    </w:p>
    <w:p w14:paraId="47C0B44F">
      <w:pPr>
        <w:ind w:firstLine="422" w:firstLineChars="200"/>
        <w:rPr>
          <w:rFonts w:ascii="Calibri" w:hAnsi="Calibri"/>
          <w:b/>
          <w:szCs w:val="22"/>
        </w:rPr>
      </w:pPr>
    </w:p>
    <w:p w14:paraId="6A61EF10">
      <w:pPr>
        <w:ind w:firstLine="422" w:firstLineChars="200"/>
        <w:rPr>
          <w:rFonts w:ascii="Calibri" w:hAnsi="Calibri"/>
          <w:b/>
          <w:szCs w:val="22"/>
        </w:rPr>
      </w:pPr>
    </w:p>
    <w:p w14:paraId="471D3423">
      <w:pPr>
        <w:ind w:firstLine="422" w:firstLineChars="200"/>
        <w:rPr>
          <w:rFonts w:ascii="Calibri" w:hAnsi="Calibri"/>
          <w:b/>
          <w:szCs w:val="22"/>
        </w:rPr>
      </w:pPr>
    </w:p>
    <w:p w14:paraId="46C6CD4B">
      <w:pPr>
        <w:ind w:firstLine="422" w:firstLineChars="200"/>
        <w:rPr>
          <w:rFonts w:ascii="Calibri" w:hAnsi="Calibri"/>
          <w:b/>
          <w:szCs w:val="22"/>
        </w:rPr>
      </w:pPr>
    </w:p>
    <w:p w14:paraId="5EE46F34">
      <w:pPr>
        <w:ind w:firstLine="422" w:firstLineChars="200"/>
        <w:rPr>
          <w:rFonts w:ascii="Calibri" w:hAnsi="Calibri"/>
          <w:b/>
          <w:szCs w:val="22"/>
        </w:rPr>
      </w:pPr>
    </w:p>
    <w:p w14:paraId="1611CD26">
      <w:pPr>
        <w:ind w:firstLine="422" w:firstLineChars="200"/>
        <w:rPr>
          <w:rFonts w:ascii="Calibri" w:hAnsi="Calibri"/>
          <w:b/>
          <w:szCs w:val="22"/>
        </w:rPr>
      </w:pPr>
    </w:p>
    <w:p w14:paraId="5265C9F5">
      <w:pPr>
        <w:ind w:firstLine="422" w:firstLineChars="200"/>
        <w:rPr>
          <w:rFonts w:ascii="Calibri" w:hAnsi="Calibri"/>
          <w:b/>
          <w:szCs w:val="22"/>
        </w:rPr>
      </w:pPr>
    </w:p>
    <w:p w14:paraId="6754F672">
      <w:pPr>
        <w:ind w:firstLine="422" w:firstLineChars="200"/>
        <w:rPr>
          <w:rFonts w:ascii="Calibri" w:hAnsi="Calibri"/>
          <w:b/>
          <w:szCs w:val="22"/>
        </w:rPr>
      </w:pPr>
    </w:p>
    <w:p w14:paraId="288E15BA">
      <w:pPr>
        <w:ind w:firstLine="643" w:firstLineChars="200"/>
        <w:jc w:val="left"/>
        <w:rPr>
          <w:rFonts w:ascii="Calibri" w:hAnsi="Calibri"/>
          <w:b/>
          <w:sz w:val="32"/>
          <w:szCs w:val="32"/>
        </w:rPr>
      </w:pPr>
    </w:p>
    <w:p w14:paraId="5237C4A6">
      <w:pPr>
        <w:pStyle w:val="3"/>
        <w:rPr>
          <w:rFonts w:ascii="Calibri" w:hAnsi="Calibri"/>
          <w:b/>
          <w:szCs w:val="32"/>
        </w:rPr>
      </w:pPr>
    </w:p>
    <w:p w14:paraId="69517E3F">
      <w:pPr>
        <w:pStyle w:val="4"/>
        <w:rPr>
          <w:rFonts w:ascii="Calibri" w:hAnsi="Calibri"/>
          <w:b/>
          <w:sz w:val="32"/>
          <w:szCs w:val="32"/>
        </w:rPr>
      </w:pPr>
    </w:p>
    <w:p w14:paraId="388C3C98">
      <w:pPr>
        <w:pStyle w:val="4"/>
        <w:rPr>
          <w:rFonts w:ascii="Calibri" w:hAnsi="Calibri"/>
          <w:b/>
          <w:sz w:val="32"/>
          <w:szCs w:val="32"/>
        </w:rPr>
      </w:pPr>
    </w:p>
    <w:p w14:paraId="096CA631">
      <w:pPr>
        <w:jc w:val="center"/>
        <w:rPr>
          <w:rFonts w:hint="eastAsia" w:ascii="微软雅黑" w:hAnsi="微软雅黑" w:eastAsia="微软雅黑"/>
          <w:b/>
          <w:sz w:val="32"/>
          <w:szCs w:val="32"/>
        </w:rPr>
      </w:pPr>
      <w:r>
        <w:rPr>
          <w:rFonts w:hint="eastAsia" w:ascii="微软雅黑" w:hAnsi="微软雅黑" w:eastAsia="微软雅黑"/>
          <w:sz w:val="32"/>
          <w:szCs w:val="32"/>
        </w:rPr>
        <w:t>重汽（济南）车桥有限公司</w:t>
      </w:r>
    </w:p>
    <w:p w14:paraId="3B9F4C37">
      <w:pPr>
        <w:jc w:val="center"/>
        <w:rPr>
          <w:rFonts w:hint="eastAsia" w:ascii="微软雅黑" w:hAnsi="微软雅黑" w:eastAsia="微软雅黑"/>
          <w:sz w:val="32"/>
          <w:szCs w:val="32"/>
        </w:rPr>
      </w:pPr>
      <w:r>
        <w:rPr>
          <w:rFonts w:hint="eastAsia" w:ascii="微软雅黑" w:hAnsi="微软雅黑" w:eastAsia="微软雅黑"/>
          <w:sz w:val="32"/>
          <w:szCs w:val="32"/>
        </w:rPr>
        <w:t>采购产品质量保证与服务协议</w:t>
      </w:r>
    </w:p>
    <w:p w14:paraId="4CFB9E79">
      <w:pPr>
        <w:ind w:firstLine="560" w:firstLineChars="200"/>
        <w:jc w:val="left"/>
        <w:rPr>
          <w:rFonts w:hint="eastAsia" w:ascii="仿宋" w:hAnsi="仿宋" w:eastAsia="仿宋"/>
          <w:sz w:val="28"/>
          <w:szCs w:val="28"/>
        </w:rPr>
      </w:pPr>
      <w:r>
        <w:rPr>
          <w:rFonts w:hint="eastAsia" w:ascii="仿宋" w:hAnsi="仿宋" w:eastAsia="仿宋"/>
          <w:sz w:val="28"/>
          <w:szCs w:val="28"/>
        </w:rPr>
        <w:t>甲方：重汽（济南）车桥有限公司</w:t>
      </w:r>
    </w:p>
    <w:p w14:paraId="70B40A65">
      <w:pPr>
        <w:ind w:firstLine="560" w:firstLineChars="200"/>
        <w:jc w:val="left"/>
        <w:rPr>
          <w:rFonts w:hint="eastAsia" w:ascii="仿宋" w:hAnsi="仿宋" w:eastAsia="仿宋"/>
          <w:sz w:val="28"/>
          <w:szCs w:val="28"/>
        </w:rPr>
      </w:pPr>
      <w:r>
        <w:rPr>
          <w:rFonts w:hint="eastAsia" w:ascii="仿宋" w:hAnsi="仿宋" w:eastAsia="仿宋"/>
          <w:sz w:val="28"/>
          <w:szCs w:val="28"/>
        </w:rPr>
        <w:t>乙方：【供应商】</w:t>
      </w:r>
    </w:p>
    <w:p w14:paraId="3500AEF2">
      <w:pPr>
        <w:ind w:firstLine="480" w:firstLineChars="200"/>
        <w:jc w:val="left"/>
        <w:rPr>
          <w:rFonts w:hint="eastAsia" w:ascii="仿宋" w:hAnsi="仿宋" w:eastAsia="仿宋"/>
          <w:sz w:val="24"/>
          <w:szCs w:val="24"/>
        </w:rPr>
      </w:pPr>
      <w:r>
        <w:rPr>
          <w:rFonts w:hint="eastAsia" w:ascii="仿宋" w:hAnsi="仿宋" w:eastAsia="仿宋"/>
          <w:sz w:val="24"/>
          <w:szCs w:val="24"/>
        </w:rPr>
        <w:t>为保持产品质量的稳定与持续提升，明确产品质量的责任与义务，甲、乙双方经友好协商，签订《采购产品质量保证与服务协议》（以下简称“本协议”）以资共同遵守。</w:t>
      </w:r>
    </w:p>
    <w:p w14:paraId="0228343E">
      <w:pPr>
        <w:ind w:firstLine="482" w:firstLineChars="200"/>
        <w:jc w:val="left"/>
        <w:rPr>
          <w:rFonts w:hint="eastAsia" w:ascii="仿宋" w:hAnsi="仿宋" w:eastAsia="仿宋"/>
          <w:b/>
          <w:sz w:val="24"/>
          <w:szCs w:val="24"/>
        </w:rPr>
      </w:pPr>
      <w:r>
        <w:rPr>
          <w:rFonts w:hint="eastAsia" w:ascii="仿宋" w:hAnsi="仿宋" w:eastAsia="仿宋"/>
          <w:b/>
          <w:sz w:val="24"/>
          <w:szCs w:val="24"/>
        </w:rPr>
        <w:t>1．协议适用范围</w:t>
      </w:r>
    </w:p>
    <w:p w14:paraId="0201C0B1">
      <w:pPr>
        <w:ind w:firstLine="480" w:firstLineChars="200"/>
        <w:jc w:val="left"/>
        <w:rPr>
          <w:rFonts w:hint="eastAsia" w:ascii="仿宋" w:hAnsi="仿宋" w:eastAsia="仿宋"/>
          <w:sz w:val="24"/>
          <w:szCs w:val="24"/>
        </w:rPr>
      </w:pPr>
      <w:r>
        <w:rPr>
          <w:rFonts w:hint="eastAsia" w:ascii="仿宋" w:hAnsi="仿宋" w:eastAsia="仿宋"/>
          <w:sz w:val="24"/>
          <w:szCs w:val="24"/>
        </w:rPr>
        <w:t>本协议所指产品，是指甲方从乙方采购用于甲方生产配套和/或后市场服务的产品。</w:t>
      </w:r>
    </w:p>
    <w:p w14:paraId="79F69696">
      <w:pPr>
        <w:ind w:firstLine="482" w:firstLineChars="200"/>
        <w:jc w:val="left"/>
        <w:rPr>
          <w:rFonts w:hint="eastAsia" w:ascii="仿宋" w:hAnsi="仿宋" w:eastAsia="仿宋"/>
          <w:b/>
          <w:sz w:val="24"/>
          <w:szCs w:val="24"/>
        </w:rPr>
      </w:pPr>
      <w:r>
        <w:rPr>
          <w:rFonts w:hint="eastAsia" w:ascii="仿宋" w:hAnsi="仿宋" w:eastAsia="仿宋"/>
          <w:b/>
          <w:sz w:val="24"/>
          <w:szCs w:val="24"/>
        </w:rPr>
        <w:t>2．管理职责</w:t>
      </w:r>
    </w:p>
    <w:p w14:paraId="5A8EA5D8">
      <w:pPr>
        <w:ind w:firstLine="480" w:firstLineChars="200"/>
        <w:jc w:val="left"/>
        <w:rPr>
          <w:rFonts w:hint="eastAsia" w:ascii="仿宋" w:hAnsi="仿宋" w:eastAsia="仿宋"/>
          <w:sz w:val="24"/>
          <w:szCs w:val="24"/>
        </w:rPr>
      </w:pPr>
      <w:bookmarkStart w:id="41" w:name="_Toc532218608"/>
      <w:bookmarkStart w:id="42" w:name="_Toc532218607"/>
      <w:bookmarkStart w:id="43" w:name="二、质量保证"/>
      <w:r>
        <w:rPr>
          <w:rFonts w:hint="eastAsia" w:ascii="仿宋" w:hAnsi="仿宋" w:eastAsia="仿宋"/>
          <w:sz w:val="24"/>
          <w:szCs w:val="24"/>
        </w:rPr>
        <w:t>2.1 甲方职责</w:t>
      </w:r>
    </w:p>
    <w:p w14:paraId="48BE8CFF">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2.1.1甲方应向乙方明确提出技术和质量要求。当甲方变更技术和/或质量要求时，应及时通知乙方。</w:t>
      </w:r>
    </w:p>
    <w:p w14:paraId="533EEC71">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2.1.2甲方应及时向乙方反馈其所提供产品存在的质量问题（包括因包装不良导致），并负责向乙方提供不合格品资料及质量信息。</w:t>
      </w:r>
    </w:p>
    <w:p w14:paraId="50B55425">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2.1.3甲方负责验证乙方相关质量改进的有效性，客户有要求或必要时直接到乙方现场进行产品验证。</w:t>
      </w:r>
    </w:p>
    <w:p w14:paraId="449759A7">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2.1.4甲方按计划或根据需要不定期的对乙方质量保证能力等方面进行审核。</w:t>
      </w:r>
    </w:p>
    <w:p w14:paraId="69305B62">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2.1.5甲方应提出从乙方采购产品的检验技术标准，若采用乙方检验标准时乙方应在甲方备案，必要时对双方的检验方法进行统一。对于甲方要求检测而乙方又不具备检验能力的产品及项目，乙方应选择甲方认可的第三方检测机构检测。第三方检测产生的费用由乙方承担。甲方可视检验情况对检验项目和周期进行调整。</w:t>
      </w:r>
    </w:p>
    <w:p w14:paraId="1B956FB1">
      <w:pPr>
        <w:widowControl/>
        <w:ind w:firstLine="480" w:firstLineChars="200"/>
        <w:jc w:val="left"/>
        <w:rPr>
          <w:rFonts w:hint="eastAsia" w:ascii="仿宋" w:hAnsi="仿宋" w:eastAsia="仿宋"/>
          <w:sz w:val="24"/>
          <w:szCs w:val="24"/>
        </w:rPr>
      </w:pPr>
      <w:r>
        <w:rPr>
          <w:rFonts w:hint="eastAsia" w:ascii="仿宋" w:hAnsi="仿宋" w:eastAsia="仿宋"/>
          <w:sz w:val="24"/>
          <w:szCs w:val="24"/>
        </w:rPr>
        <w:t>2.1.6停用：乙方工装在检验及用户的使用过程中，出现下列情况时，应立即暂停供货。</w:t>
      </w:r>
    </w:p>
    <w:p w14:paraId="45F531A7">
      <w:pPr>
        <w:widowControl/>
        <w:ind w:firstLine="480" w:firstLineChars="200"/>
        <w:jc w:val="left"/>
        <w:rPr>
          <w:rFonts w:hint="eastAsia" w:ascii="仿宋" w:hAnsi="仿宋" w:eastAsia="仿宋"/>
          <w:sz w:val="24"/>
          <w:szCs w:val="24"/>
        </w:rPr>
      </w:pPr>
      <w:r>
        <w:rPr>
          <w:rFonts w:hint="eastAsia" w:ascii="仿宋" w:hAnsi="仿宋" w:eastAsia="仿宋"/>
          <w:sz w:val="24"/>
          <w:szCs w:val="24"/>
        </w:rPr>
        <w:t>a.乙方工装进厂检验连续出现三次以上不合格情况；</w:t>
      </w:r>
    </w:p>
    <w:p w14:paraId="20F798BB">
      <w:pPr>
        <w:widowControl/>
        <w:ind w:firstLine="480" w:firstLineChars="200"/>
        <w:jc w:val="left"/>
        <w:rPr>
          <w:rFonts w:hint="eastAsia" w:ascii="仿宋" w:hAnsi="仿宋" w:eastAsia="仿宋"/>
          <w:sz w:val="24"/>
          <w:szCs w:val="24"/>
        </w:rPr>
      </w:pPr>
      <w:r>
        <w:rPr>
          <w:rFonts w:hint="eastAsia" w:ascii="仿宋" w:hAnsi="仿宋" w:eastAsia="仿宋"/>
          <w:sz w:val="24"/>
          <w:szCs w:val="24"/>
        </w:rPr>
        <w:t>b.乙方工装在使用过程中造成甲方批量性质量问题时。</w:t>
      </w:r>
    </w:p>
    <w:p w14:paraId="7D7B8068">
      <w:pPr>
        <w:widowControl/>
        <w:ind w:firstLine="480" w:firstLineChars="200"/>
        <w:jc w:val="left"/>
        <w:rPr>
          <w:rFonts w:hint="eastAsia" w:ascii="仿宋" w:hAnsi="仿宋" w:eastAsia="仿宋"/>
          <w:sz w:val="24"/>
          <w:szCs w:val="24"/>
        </w:rPr>
      </w:pPr>
      <w:r>
        <w:rPr>
          <w:rFonts w:hint="eastAsia" w:ascii="仿宋" w:hAnsi="仿宋" w:eastAsia="仿宋"/>
          <w:sz w:val="24"/>
          <w:szCs w:val="24"/>
        </w:rPr>
        <w:t>c.乙方工装使用中连续三次出现达不到定额时</w:t>
      </w:r>
    </w:p>
    <w:p w14:paraId="1A4DCCE2">
      <w:pPr>
        <w:widowControl/>
        <w:ind w:firstLine="480" w:firstLineChars="200"/>
        <w:jc w:val="left"/>
        <w:rPr>
          <w:rFonts w:hint="eastAsia" w:ascii="仿宋" w:hAnsi="仿宋" w:eastAsia="仿宋"/>
          <w:sz w:val="24"/>
          <w:szCs w:val="24"/>
        </w:rPr>
      </w:pPr>
      <w:r>
        <w:rPr>
          <w:rFonts w:hint="eastAsia" w:ascii="仿宋" w:hAnsi="仿宋" w:eastAsia="仿宋"/>
          <w:sz w:val="24"/>
          <w:szCs w:val="24"/>
        </w:rPr>
        <w:t>2.1.7启用：乙方工装一旦被停用，原则上应完成以下事项后，方可启用。</w:t>
      </w:r>
    </w:p>
    <w:p w14:paraId="3FC777B3">
      <w:pPr>
        <w:widowControl/>
        <w:ind w:firstLine="480" w:firstLineChars="200"/>
        <w:jc w:val="left"/>
        <w:rPr>
          <w:rFonts w:hint="eastAsia" w:ascii="仿宋" w:hAnsi="仿宋" w:eastAsia="仿宋"/>
          <w:sz w:val="24"/>
          <w:szCs w:val="24"/>
        </w:rPr>
      </w:pPr>
      <w:r>
        <w:rPr>
          <w:rFonts w:hint="eastAsia" w:ascii="仿宋" w:hAnsi="仿宋" w:eastAsia="仿宋"/>
          <w:sz w:val="24"/>
          <w:szCs w:val="24"/>
        </w:rPr>
        <w:t>a.库存工装全部更改为合格工装。</w:t>
      </w:r>
    </w:p>
    <w:p w14:paraId="604177CC">
      <w:pPr>
        <w:widowControl/>
        <w:ind w:firstLine="480" w:firstLineChars="200"/>
        <w:jc w:val="left"/>
        <w:rPr>
          <w:rFonts w:hint="eastAsia" w:ascii="仿宋" w:hAnsi="仿宋" w:eastAsia="仿宋"/>
          <w:sz w:val="24"/>
          <w:szCs w:val="24"/>
        </w:rPr>
      </w:pPr>
      <w:r>
        <w:rPr>
          <w:rFonts w:hint="eastAsia" w:ascii="仿宋" w:hAnsi="仿宋" w:eastAsia="仿宋"/>
          <w:sz w:val="24"/>
          <w:szCs w:val="24"/>
        </w:rPr>
        <w:t>b.经过甲方组织的二方审核，确定质量保证能力能够满足要求。</w:t>
      </w:r>
    </w:p>
    <w:p w14:paraId="4BAEC734">
      <w:pPr>
        <w:widowControl/>
        <w:ind w:firstLine="480" w:firstLineChars="200"/>
        <w:jc w:val="left"/>
        <w:rPr>
          <w:rFonts w:hint="eastAsia" w:ascii="仿宋" w:hAnsi="仿宋" w:eastAsia="仿宋"/>
          <w:kern w:val="0"/>
          <w:sz w:val="24"/>
          <w:szCs w:val="24"/>
        </w:rPr>
      </w:pPr>
      <w:r>
        <w:rPr>
          <w:rFonts w:hint="eastAsia" w:ascii="仿宋" w:hAnsi="仿宋" w:eastAsia="仿宋"/>
          <w:sz w:val="24"/>
          <w:szCs w:val="24"/>
        </w:rPr>
        <w:t>c.对工装质量做出书面承诺并承担甲方的损失。</w:t>
      </w:r>
    </w:p>
    <w:p w14:paraId="3CAA42D1">
      <w:pPr>
        <w:ind w:firstLine="480" w:firstLineChars="200"/>
        <w:jc w:val="left"/>
        <w:rPr>
          <w:rFonts w:hint="eastAsia" w:ascii="仿宋" w:hAnsi="仿宋" w:eastAsia="仿宋"/>
          <w:sz w:val="24"/>
          <w:szCs w:val="24"/>
        </w:rPr>
      </w:pPr>
      <w:r>
        <w:rPr>
          <w:rFonts w:hint="eastAsia" w:ascii="仿宋" w:hAnsi="仿宋" w:eastAsia="仿宋"/>
          <w:sz w:val="24"/>
          <w:szCs w:val="24"/>
        </w:rPr>
        <w:t>2.2乙方职责</w:t>
      </w:r>
    </w:p>
    <w:p w14:paraId="3AD7E0F1">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2.2.1乙方应按照IATF16949或ISO9001标准以及甲方要求建立、健全和持续改进质量管理体系，取得认证证书，以确保向甲方长期稳定地提供合格产品；并及时将证书有效版本提交至甲方采购部门备案。</w:t>
      </w:r>
    </w:p>
    <w:p w14:paraId="181C58D8">
      <w:pPr>
        <w:ind w:firstLine="480" w:firstLineChars="200"/>
        <w:jc w:val="left"/>
        <w:rPr>
          <w:rFonts w:hint="eastAsia" w:ascii="仿宋" w:hAnsi="仿宋" w:eastAsia="仿宋"/>
          <w:sz w:val="24"/>
          <w:szCs w:val="24"/>
        </w:rPr>
      </w:pPr>
      <w:r>
        <w:rPr>
          <w:rFonts w:hint="eastAsia" w:ascii="仿宋" w:hAnsi="仿宋" w:eastAsia="仿宋"/>
          <w:sz w:val="24"/>
          <w:szCs w:val="24"/>
        </w:rPr>
        <w:t>2.2.2对于国家准入或出口目的国要求的法规件，乙方产品应满足法规要求。对于强制性认证的产品或双方确认由乙方负责取得出口认证的产品，乙方负责取得认证证书并报甲方备案，乙方应保证供货期间认证证书持续有效。</w:t>
      </w:r>
    </w:p>
    <w:p w14:paraId="1355D24C">
      <w:pPr>
        <w:tabs>
          <w:tab w:val="left" w:pos="0"/>
        </w:tabs>
        <w:ind w:firstLine="480" w:firstLineChars="200"/>
        <w:rPr>
          <w:rFonts w:hint="eastAsia" w:ascii="仿宋" w:hAnsi="仿宋" w:eastAsia="仿宋"/>
          <w:sz w:val="24"/>
          <w:szCs w:val="24"/>
        </w:rPr>
      </w:pPr>
      <w:bookmarkStart w:id="44" w:name="_Hlk4226509"/>
      <w:r>
        <w:rPr>
          <w:rFonts w:hint="eastAsia" w:ascii="仿宋" w:hAnsi="仿宋" w:eastAsia="仿宋"/>
          <w:sz w:val="24"/>
          <w:szCs w:val="24"/>
        </w:rPr>
        <w:t>2.2</w:t>
      </w:r>
      <w:bookmarkEnd w:id="44"/>
      <w:r>
        <w:rPr>
          <w:rFonts w:hint="eastAsia" w:ascii="仿宋" w:hAnsi="仿宋" w:eastAsia="仿宋"/>
          <w:sz w:val="24"/>
          <w:szCs w:val="24"/>
        </w:rPr>
        <w:t>.3乙方应对其产品的特殊过程按GB/T19001-2016/ISO9001:2015或GJB9001C-2017标准中8.5.1f)条的要求进行过程确认，将确认、控制和过程能力的相关资料定期提交甲方采购部门。</w:t>
      </w:r>
    </w:p>
    <w:p w14:paraId="4DAA7DCE">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2.2.4乙方应按要求提交PPAP文件，提交其关键零部件、关键原材料供方明细。当供方发生变化时，需提交新的供方明细，重新提交PPAP文件。</w:t>
      </w:r>
    </w:p>
    <w:p w14:paraId="1DE121F2">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2.2.5当客户或甲方到乙方进行产品验证时，乙方应积极配合，但验证的结论不作为乙方交付的依据。</w:t>
      </w:r>
    </w:p>
    <w:p w14:paraId="5D7F61B2">
      <w:pPr>
        <w:ind w:firstLine="480" w:firstLineChars="200"/>
        <w:jc w:val="left"/>
        <w:rPr>
          <w:rFonts w:hint="eastAsia" w:ascii="仿宋" w:hAnsi="仿宋" w:eastAsia="仿宋"/>
          <w:sz w:val="24"/>
          <w:szCs w:val="24"/>
        </w:rPr>
      </w:pPr>
      <w:r>
        <w:rPr>
          <w:rFonts w:hint="eastAsia" w:ascii="仿宋" w:hAnsi="仿宋" w:eastAsia="仿宋"/>
          <w:sz w:val="24"/>
          <w:szCs w:val="24"/>
        </w:rPr>
        <w:t>2.2.6当乙方发生改制、合并、兼并、分立、设立分支机构、迁址、更名、法定代表人及质量、销售业务负责人变更、生产线改造、生产设备更换等情况时，乙方应按照甲方供应商变更要求将变更情况书面提交至甲方采购部门。甲方需要按照要求进行审核评审的，乙方应积极配合，甲方经审核评审认为不符合要求的，有权要求乙方按照甲方的管理要求进行调整。</w:t>
      </w:r>
    </w:p>
    <w:p w14:paraId="6E434A6C">
      <w:pPr>
        <w:ind w:firstLine="480" w:firstLineChars="200"/>
        <w:jc w:val="left"/>
        <w:rPr>
          <w:rFonts w:hint="eastAsia" w:ascii="仿宋" w:hAnsi="仿宋" w:eastAsia="仿宋"/>
          <w:sz w:val="24"/>
          <w:szCs w:val="24"/>
        </w:rPr>
      </w:pPr>
      <w:r>
        <w:rPr>
          <w:rFonts w:hint="eastAsia" w:ascii="仿宋" w:hAnsi="仿宋" w:eastAsia="仿宋"/>
          <w:sz w:val="24"/>
          <w:szCs w:val="24"/>
        </w:rPr>
        <w:t>2.2.7当发生以下事项时，乙方应向甲方提交“4M1E 报告”，经甲方评估和批准后，再根据甲方依据Q/ZZ50239《配套产品供方准入及产品释放批准程序》要求制定的首批工装样件或/和首批供货释放要求，完成重新释放批准后方可继续供货。</w:t>
      </w:r>
    </w:p>
    <w:p w14:paraId="2790DB69">
      <w:pPr>
        <w:ind w:firstLine="480" w:firstLineChars="200"/>
        <w:jc w:val="left"/>
        <w:rPr>
          <w:rFonts w:hint="eastAsia" w:ascii="仿宋" w:hAnsi="仿宋" w:eastAsia="仿宋"/>
          <w:sz w:val="24"/>
          <w:szCs w:val="24"/>
        </w:rPr>
      </w:pPr>
      <w:r>
        <w:rPr>
          <w:rFonts w:hint="eastAsia" w:ascii="仿宋" w:hAnsi="仿宋" w:eastAsia="仿宋"/>
          <w:sz w:val="24"/>
          <w:szCs w:val="24"/>
        </w:rPr>
        <w:t>a.设计、规范、材料更改；</w:t>
      </w:r>
    </w:p>
    <w:p w14:paraId="4AC44184">
      <w:pPr>
        <w:ind w:firstLine="480" w:firstLineChars="200"/>
        <w:jc w:val="left"/>
        <w:rPr>
          <w:rFonts w:hint="eastAsia" w:ascii="仿宋" w:hAnsi="仿宋" w:eastAsia="仿宋"/>
          <w:sz w:val="24"/>
          <w:szCs w:val="24"/>
        </w:rPr>
      </w:pPr>
      <w:r>
        <w:rPr>
          <w:rFonts w:hint="eastAsia" w:ascii="仿宋" w:hAnsi="仿宋" w:eastAsia="仿宋"/>
          <w:sz w:val="24"/>
          <w:szCs w:val="24"/>
        </w:rPr>
        <w:t>b.使用代用材料或进行设计偏离等事项；</w:t>
      </w:r>
    </w:p>
    <w:p w14:paraId="35338A37">
      <w:pPr>
        <w:ind w:firstLine="480" w:firstLineChars="200"/>
        <w:jc w:val="left"/>
        <w:rPr>
          <w:rFonts w:hint="eastAsia" w:ascii="仿宋" w:hAnsi="仿宋" w:eastAsia="仿宋"/>
          <w:sz w:val="24"/>
          <w:szCs w:val="24"/>
        </w:rPr>
      </w:pPr>
      <w:r>
        <w:rPr>
          <w:rFonts w:hint="eastAsia" w:ascii="仿宋" w:hAnsi="仿宋" w:eastAsia="仿宋"/>
          <w:sz w:val="24"/>
          <w:szCs w:val="24"/>
        </w:rPr>
        <w:t>c.启用因质量问题停用的配套产品；</w:t>
      </w:r>
    </w:p>
    <w:p w14:paraId="0E805DB3">
      <w:pPr>
        <w:ind w:firstLine="480" w:firstLineChars="200"/>
        <w:jc w:val="left"/>
        <w:rPr>
          <w:rFonts w:hint="eastAsia" w:ascii="仿宋" w:hAnsi="仿宋" w:eastAsia="仿宋"/>
          <w:sz w:val="24"/>
          <w:szCs w:val="24"/>
        </w:rPr>
      </w:pPr>
      <w:r>
        <w:rPr>
          <w:rFonts w:hint="eastAsia" w:ascii="仿宋" w:hAnsi="仿宋" w:eastAsia="仿宋"/>
          <w:sz w:val="24"/>
          <w:szCs w:val="24"/>
        </w:rPr>
        <w:t>d.生产工艺和关重设备变更；</w:t>
      </w:r>
    </w:p>
    <w:p w14:paraId="53C0F0C1">
      <w:pPr>
        <w:ind w:firstLine="480" w:firstLineChars="200"/>
        <w:jc w:val="left"/>
        <w:rPr>
          <w:rFonts w:hint="eastAsia" w:ascii="仿宋" w:hAnsi="仿宋" w:eastAsia="仿宋"/>
          <w:sz w:val="24"/>
          <w:szCs w:val="24"/>
        </w:rPr>
      </w:pPr>
      <w:r>
        <w:rPr>
          <w:rFonts w:hint="eastAsia" w:ascii="仿宋" w:hAnsi="仿宋" w:eastAsia="仿宋"/>
          <w:sz w:val="24"/>
          <w:szCs w:val="24"/>
        </w:rPr>
        <w:t>e.生产设备停用12个月以上后恢复生产；</w:t>
      </w:r>
    </w:p>
    <w:p w14:paraId="7A411D46">
      <w:pPr>
        <w:ind w:firstLine="480" w:firstLineChars="200"/>
        <w:jc w:val="left"/>
        <w:rPr>
          <w:rFonts w:hint="eastAsia" w:ascii="仿宋" w:hAnsi="仿宋" w:eastAsia="仿宋"/>
          <w:sz w:val="24"/>
          <w:szCs w:val="24"/>
        </w:rPr>
      </w:pPr>
      <w:r>
        <w:rPr>
          <w:rFonts w:hint="eastAsia" w:ascii="仿宋" w:hAnsi="仿宋" w:eastAsia="仿宋"/>
          <w:sz w:val="24"/>
          <w:szCs w:val="24"/>
        </w:rPr>
        <w:t>f.生产地变迁，或生产线重新布局；</w:t>
      </w:r>
    </w:p>
    <w:p w14:paraId="5E2A58C1">
      <w:pPr>
        <w:ind w:firstLine="480" w:firstLineChars="200"/>
        <w:jc w:val="left"/>
        <w:rPr>
          <w:rFonts w:hint="eastAsia" w:ascii="仿宋" w:hAnsi="仿宋" w:eastAsia="仿宋"/>
          <w:sz w:val="24"/>
          <w:szCs w:val="24"/>
        </w:rPr>
      </w:pPr>
      <w:r>
        <w:rPr>
          <w:rFonts w:hint="eastAsia" w:ascii="仿宋" w:hAnsi="仿宋" w:eastAsia="仿宋"/>
          <w:sz w:val="24"/>
          <w:szCs w:val="24"/>
        </w:rPr>
        <w:t>g.工装、模具、设备大修或重新装备；</w:t>
      </w:r>
    </w:p>
    <w:p w14:paraId="5D9A9AF1">
      <w:pPr>
        <w:ind w:firstLine="480" w:firstLineChars="200"/>
        <w:jc w:val="left"/>
        <w:rPr>
          <w:rFonts w:hint="eastAsia" w:ascii="仿宋" w:hAnsi="仿宋" w:eastAsia="仿宋"/>
          <w:sz w:val="24"/>
          <w:szCs w:val="24"/>
        </w:rPr>
      </w:pPr>
      <w:r>
        <w:rPr>
          <w:rFonts w:hint="eastAsia" w:ascii="仿宋" w:hAnsi="仿宋" w:eastAsia="仿宋"/>
          <w:sz w:val="24"/>
          <w:szCs w:val="24"/>
        </w:rPr>
        <w:t>h.重要分供方变更。</w:t>
      </w:r>
    </w:p>
    <w:p w14:paraId="25E215F2">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2.2.8乙方为甲方制造产品的生产现场应满足甲方过程审核要求。</w:t>
      </w:r>
    </w:p>
    <w:p w14:paraId="3A3CE3DB">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3．质量条款</w:t>
      </w:r>
    </w:p>
    <w:p w14:paraId="22E45251">
      <w:pPr>
        <w:tabs>
          <w:tab w:val="left" w:pos="0"/>
        </w:tabs>
        <w:ind w:firstLine="482" w:firstLineChars="200"/>
        <w:rPr>
          <w:rFonts w:hint="eastAsia" w:ascii="仿宋" w:hAnsi="仿宋" w:eastAsia="仿宋"/>
          <w:b/>
          <w:sz w:val="24"/>
          <w:szCs w:val="24"/>
        </w:rPr>
      </w:pPr>
      <w:r>
        <w:rPr>
          <w:rFonts w:hint="eastAsia" w:ascii="仿宋" w:hAnsi="仿宋" w:eastAsia="仿宋"/>
          <w:b/>
          <w:sz w:val="24"/>
          <w:szCs w:val="24"/>
        </w:rPr>
        <w:t>3.1实物质量标准</w:t>
      </w:r>
    </w:p>
    <w:p w14:paraId="7C0514C0">
      <w:pPr>
        <w:ind w:firstLine="480" w:firstLineChars="200"/>
        <w:jc w:val="left"/>
        <w:rPr>
          <w:rFonts w:hint="eastAsia" w:ascii="仿宋" w:hAnsi="仿宋" w:eastAsia="仿宋"/>
          <w:sz w:val="24"/>
          <w:szCs w:val="24"/>
        </w:rPr>
      </w:pPr>
      <w:r>
        <w:rPr>
          <w:rFonts w:hint="eastAsia" w:ascii="仿宋" w:hAnsi="仿宋" w:eastAsia="仿宋"/>
          <w:sz w:val="24"/>
          <w:szCs w:val="24"/>
        </w:rPr>
        <w:t>3.1.1乙方负责向甲方提供符合标准要求和甲方产品符合性要求的产品。制造过程中需要更改图样、工艺及技术要求时，需经甲方书面批准，非经甲方书面批准，不得擅自更改。</w:t>
      </w:r>
    </w:p>
    <w:p w14:paraId="16F46155">
      <w:pPr>
        <w:ind w:firstLine="480" w:firstLineChars="200"/>
        <w:jc w:val="left"/>
        <w:rPr>
          <w:rFonts w:hint="eastAsia" w:ascii="仿宋" w:hAnsi="仿宋" w:eastAsia="仿宋"/>
          <w:sz w:val="24"/>
          <w:szCs w:val="24"/>
        </w:rPr>
      </w:pPr>
      <w:r>
        <w:rPr>
          <w:rFonts w:hint="eastAsia" w:ascii="仿宋" w:hAnsi="仿宋" w:eastAsia="仿宋"/>
          <w:sz w:val="24"/>
          <w:szCs w:val="24"/>
        </w:rPr>
        <w:t>产品符合性的判定依据包括但不限于以下内容：</w:t>
      </w:r>
    </w:p>
    <w:p w14:paraId="08E1A49B">
      <w:pPr>
        <w:ind w:firstLine="480" w:firstLineChars="200"/>
        <w:jc w:val="left"/>
        <w:rPr>
          <w:rFonts w:hint="eastAsia" w:ascii="仿宋" w:hAnsi="仿宋" w:eastAsia="仿宋"/>
          <w:sz w:val="24"/>
          <w:szCs w:val="24"/>
        </w:rPr>
      </w:pPr>
      <w:r>
        <w:rPr>
          <w:rFonts w:hint="eastAsia" w:ascii="仿宋" w:hAnsi="仿宋" w:eastAsia="仿宋"/>
          <w:sz w:val="24"/>
          <w:szCs w:val="24"/>
        </w:rPr>
        <w:t>a.产品图样；</w:t>
      </w:r>
    </w:p>
    <w:p w14:paraId="6D45875C">
      <w:pPr>
        <w:ind w:firstLine="480" w:firstLineChars="200"/>
        <w:jc w:val="left"/>
        <w:rPr>
          <w:rFonts w:hint="eastAsia" w:ascii="仿宋" w:hAnsi="仿宋" w:eastAsia="仿宋"/>
          <w:sz w:val="24"/>
          <w:szCs w:val="24"/>
        </w:rPr>
      </w:pPr>
      <w:r>
        <w:rPr>
          <w:rFonts w:hint="eastAsia" w:ascii="仿宋" w:hAnsi="仿宋" w:eastAsia="仿宋"/>
          <w:sz w:val="24"/>
          <w:szCs w:val="24"/>
        </w:rPr>
        <w:t>b.产品技术文件；</w:t>
      </w:r>
    </w:p>
    <w:p w14:paraId="766086B3">
      <w:pPr>
        <w:ind w:firstLine="480" w:firstLineChars="200"/>
        <w:jc w:val="left"/>
        <w:rPr>
          <w:rFonts w:hint="eastAsia" w:ascii="仿宋" w:hAnsi="仿宋" w:eastAsia="仿宋"/>
          <w:sz w:val="24"/>
          <w:szCs w:val="24"/>
        </w:rPr>
      </w:pPr>
      <w:r>
        <w:rPr>
          <w:rFonts w:hint="eastAsia" w:ascii="仿宋" w:hAnsi="仿宋" w:eastAsia="仿宋"/>
          <w:sz w:val="24"/>
          <w:szCs w:val="24"/>
        </w:rPr>
        <w:t>c.产品技术协议；</w:t>
      </w:r>
    </w:p>
    <w:p w14:paraId="7D4FB461">
      <w:pPr>
        <w:ind w:firstLine="480" w:firstLineChars="200"/>
        <w:jc w:val="left"/>
        <w:rPr>
          <w:rFonts w:hint="eastAsia" w:ascii="仿宋" w:hAnsi="仿宋" w:eastAsia="仿宋"/>
          <w:sz w:val="24"/>
          <w:szCs w:val="24"/>
        </w:rPr>
      </w:pPr>
      <w:r>
        <w:rPr>
          <w:rFonts w:hint="eastAsia" w:ascii="仿宋" w:hAnsi="仿宋" w:eastAsia="仿宋"/>
          <w:sz w:val="24"/>
          <w:szCs w:val="24"/>
        </w:rPr>
        <w:t>d.产品相关的现行标准；</w:t>
      </w:r>
    </w:p>
    <w:p w14:paraId="23FE8D8C">
      <w:pPr>
        <w:ind w:firstLine="480" w:firstLineChars="200"/>
        <w:jc w:val="left"/>
        <w:rPr>
          <w:rFonts w:hint="eastAsia" w:ascii="仿宋" w:hAnsi="仿宋" w:eastAsia="仿宋"/>
          <w:sz w:val="24"/>
          <w:szCs w:val="24"/>
        </w:rPr>
      </w:pPr>
      <w:r>
        <w:rPr>
          <w:rFonts w:hint="eastAsia" w:ascii="仿宋" w:hAnsi="仿宋" w:eastAsia="仿宋"/>
          <w:sz w:val="24"/>
          <w:szCs w:val="24"/>
        </w:rPr>
        <w:t>e.产品的会签图纸或双方确认的技术要求；</w:t>
      </w:r>
    </w:p>
    <w:p w14:paraId="04F02F4A">
      <w:pPr>
        <w:ind w:firstLine="480" w:firstLineChars="200"/>
        <w:jc w:val="left"/>
        <w:rPr>
          <w:rFonts w:hint="eastAsia" w:ascii="仿宋" w:hAnsi="仿宋" w:eastAsia="仿宋"/>
          <w:sz w:val="24"/>
          <w:szCs w:val="24"/>
        </w:rPr>
      </w:pPr>
      <w:r>
        <w:rPr>
          <w:rFonts w:hint="eastAsia" w:ascii="仿宋" w:hAnsi="仿宋" w:eastAsia="仿宋"/>
          <w:sz w:val="24"/>
          <w:szCs w:val="24"/>
        </w:rPr>
        <w:t>f.产品包装要求；</w:t>
      </w:r>
    </w:p>
    <w:p w14:paraId="77FFE878">
      <w:pPr>
        <w:ind w:firstLine="480" w:firstLineChars="200"/>
        <w:jc w:val="left"/>
        <w:rPr>
          <w:rFonts w:hint="eastAsia" w:ascii="仿宋" w:hAnsi="仿宋" w:eastAsia="仿宋"/>
          <w:sz w:val="24"/>
          <w:szCs w:val="24"/>
        </w:rPr>
      </w:pPr>
      <w:r>
        <w:rPr>
          <w:rFonts w:hint="eastAsia" w:ascii="仿宋" w:hAnsi="仿宋" w:eastAsia="仿宋"/>
          <w:sz w:val="24"/>
          <w:szCs w:val="24"/>
        </w:rPr>
        <w:t>g.产品质量目标要求。</w:t>
      </w:r>
    </w:p>
    <w:p w14:paraId="7966635E">
      <w:pPr>
        <w:ind w:firstLine="480" w:firstLineChars="200"/>
        <w:jc w:val="left"/>
        <w:rPr>
          <w:rFonts w:hint="eastAsia" w:ascii="仿宋" w:hAnsi="仿宋" w:eastAsia="仿宋"/>
          <w:sz w:val="24"/>
          <w:szCs w:val="24"/>
        </w:rPr>
      </w:pPr>
      <w:r>
        <w:rPr>
          <w:rFonts w:hint="eastAsia" w:ascii="仿宋" w:hAnsi="仿宋" w:eastAsia="仿宋"/>
          <w:sz w:val="24"/>
          <w:szCs w:val="24"/>
        </w:rPr>
        <w:t>3.1.2乙方提供给甲方的产品，应附有：</w:t>
      </w:r>
    </w:p>
    <w:p w14:paraId="7D3C430A">
      <w:pPr>
        <w:ind w:firstLine="480" w:firstLineChars="200"/>
        <w:jc w:val="left"/>
        <w:rPr>
          <w:rFonts w:hint="eastAsia" w:ascii="仿宋" w:hAnsi="仿宋" w:eastAsia="仿宋"/>
          <w:sz w:val="24"/>
          <w:szCs w:val="24"/>
        </w:rPr>
      </w:pPr>
      <w:r>
        <w:rPr>
          <w:rFonts w:hint="eastAsia" w:ascii="仿宋" w:hAnsi="仿宋" w:eastAsia="仿宋"/>
          <w:sz w:val="24"/>
          <w:szCs w:val="24"/>
        </w:rPr>
        <w:t>a.符合甲方要求的自检报告及产品合格证明，乙方应对报告的数据真实性负责。必要时按甲方要求提供双方认可的第三方检测报告；</w:t>
      </w:r>
    </w:p>
    <w:p w14:paraId="4BFEC0CC">
      <w:pPr>
        <w:ind w:firstLine="480" w:firstLineChars="200"/>
        <w:jc w:val="left"/>
        <w:rPr>
          <w:rFonts w:hint="eastAsia" w:ascii="仿宋" w:hAnsi="仿宋" w:eastAsia="仿宋"/>
          <w:sz w:val="24"/>
          <w:szCs w:val="24"/>
        </w:rPr>
      </w:pPr>
      <w:r>
        <w:rPr>
          <w:rFonts w:hint="eastAsia" w:ascii="仿宋" w:hAnsi="仿宋" w:eastAsia="仿宋"/>
          <w:sz w:val="24"/>
          <w:szCs w:val="24"/>
        </w:rPr>
        <w:t>b.符合甲方要求的产品铭牌、编号及标识；</w:t>
      </w:r>
    </w:p>
    <w:p w14:paraId="1CF62A2E">
      <w:pPr>
        <w:ind w:firstLine="480" w:firstLineChars="200"/>
        <w:jc w:val="left"/>
        <w:rPr>
          <w:rFonts w:hint="eastAsia" w:ascii="仿宋" w:hAnsi="仿宋" w:eastAsia="仿宋"/>
          <w:sz w:val="24"/>
          <w:szCs w:val="24"/>
        </w:rPr>
      </w:pPr>
      <w:r>
        <w:rPr>
          <w:rFonts w:hint="eastAsia" w:ascii="仿宋" w:hAnsi="仿宋" w:eastAsia="仿宋"/>
          <w:sz w:val="24"/>
          <w:szCs w:val="24"/>
        </w:rPr>
        <w:t>c.甲方要求的产品说明书；</w:t>
      </w:r>
    </w:p>
    <w:p w14:paraId="0D9427D6">
      <w:pPr>
        <w:ind w:firstLine="480" w:firstLineChars="200"/>
        <w:jc w:val="left"/>
        <w:rPr>
          <w:rFonts w:hint="eastAsia" w:ascii="仿宋" w:hAnsi="仿宋" w:eastAsia="仿宋"/>
          <w:sz w:val="24"/>
          <w:szCs w:val="24"/>
        </w:rPr>
      </w:pPr>
      <w:r>
        <w:rPr>
          <w:rFonts w:hint="eastAsia" w:ascii="仿宋" w:hAnsi="仿宋" w:eastAsia="仿宋"/>
          <w:sz w:val="24"/>
          <w:szCs w:val="24"/>
        </w:rPr>
        <w:t>d.具有可追溯性的批次信息；</w:t>
      </w:r>
    </w:p>
    <w:p w14:paraId="6CAE7D04">
      <w:pPr>
        <w:ind w:firstLine="480" w:firstLineChars="200"/>
        <w:jc w:val="left"/>
        <w:rPr>
          <w:rFonts w:hint="eastAsia" w:ascii="仿宋" w:hAnsi="仿宋" w:eastAsia="仿宋"/>
          <w:sz w:val="24"/>
          <w:szCs w:val="24"/>
        </w:rPr>
      </w:pPr>
      <w:r>
        <w:rPr>
          <w:rFonts w:hint="eastAsia" w:ascii="仿宋" w:hAnsi="仿宋" w:eastAsia="仿宋"/>
          <w:sz w:val="24"/>
          <w:szCs w:val="24"/>
        </w:rPr>
        <w:t>e.甲方有要求时，应按甲方相关标准携带条码。</w:t>
      </w:r>
    </w:p>
    <w:p w14:paraId="053383F8">
      <w:pPr>
        <w:ind w:firstLine="482" w:firstLineChars="200"/>
        <w:jc w:val="left"/>
        <w:rPr>
          <w:rFonts w:hint="eastAsia" w:ascii="仿宋" w:hAnsi="仿宋" w:eastAsia="仿宋"/>
          <w:b/>
          <w:sz w:val="24"/>
          <w:szCs w:val="24"/>
        </w:rPr>
      </w:pPr>
      <w:r>
        <w:rPr>
          <w:rFonts w:hint="eastAsia" w:ascii="仿宋" w:hAnsi="仿宋" w:eastAsia="仿宋"/>
          <w:b/>
          <w:sz w:val="24"/>
          <w:szCs w:val="24"/>
        </w:rPr>
        <w:t>3.2检验要求</w:t>
      </w:r>
    </w:p>
    <w:p w14:paraId="6E8CA43C">
      <w:pPr>
        <w:ind w:firstLine="480" w:firstLineChars="200"/>
        <w:jc w:val="left"/>
        <w:rPr>
          <w:rFonts w:hint="eastAsia" w:ascii="仿宋" w:hAnsi="仿宋" w:eastAsia="仿宋"/>
          <w:sz w:val="24"/>
          <w:szCs w:val="24"/>
        </w:rPr>
      </w:pPr>
      <w:r>
        <w:rPr>
          <w:rFonts w:hint="eastAsia" w:ascii="仿宋" w:hAnsi="仿宋" w:eastAsia="仿宋"/>
          <w:sz w:val="24"/>
          <w:szCs w:val="24"/>
        </w:rPr>
        <w:t>3.2.1乙方应按照国家法律法规及甲方技术和质量要求进行产品检验，建立和保留进货检验、过程检验和出厂检验记录，并按甲方要求提交或备查。对于法规件，应按照法规保存要求保留相关检验记录。</w:t>
      </w:r>
    </w:p>
    <w:p w14:paraId="00558B83">
      <w:pPr>
        <w:ind w:firstLine="480" w:firstLineChars="200"/>
        <w:jc w:val="left"/>
        <w:rPr>
          <w:rFonts w:hint="eastAsia" w:ascii="仿宋" w:hAnsi="仿宋" w:eastAsia="仿宋"/>
          <w:sz w:val="24"/>
          <w:szCs w:val="24"/>
        </w:rPr>
      </w:pPr>
      <w:r>
        <w:rPr>
          <w:rFonts w:hint="eastAsia" w:ascii="仿宋" w:hAnsi="仿宋" w:eastAsia="仿宋"/>
          <w:sz w:val="24"/>
          <w:szCs w:val="24"/>
        </w:rPr>
        <w:t>3.2.2乙方应配备必要的试验检验设备，建立覆盖产品原材料检验、功能检测、可靠性检测等方面的试验检验能力。</w:t>
      </w:r>
      <w:r>
        <w:rPr>
          <w:rFonts w:hint="eastAsia" w:ascii="仿宋" w:hAnsi="仿宋" w:eastAsia="仿宋"/>
          <w:kern w:val="0"/>
          <w:sz w:val="24"/>
          <w:szCs w:val="22"/>
        </w:rPr>
        <w:t>根据产品的质量特性要求，乙方应制订产品的检验基准书和检验控制计划，报甲方备案。</w:t>
      </w:r>
    </w:p>
    <w:p w14:paraId="0F758654">
      <w:pPr>
        <w:ind w:firstLine="480" w:firstLineChars="200"/>
        <w:jc w:val="left"/>
        <w:rPr>
          <w:rFonts w:hint="eastAsia" w:ascii="仿宋" w:hAnsi="仿宋" w:eastAsia="仿宋"/>
          <w:sz w:val="24"/>
          <w:szCs w:val="24"/>
        </w:rPr>
      </w:pPr>
      <w:r>
        <w:rPr>
          <w:rFonts w:hint="eastAsia" w:ascii="仿宋" w:hAnsi="仿宋" w:eastAsia="仿宋"/>
          <w:sz w:val="24"/>
          <w:szCs w:val="24"/>
        </w:rPr>
        <w:t>3.2.3对于异形件、内外饰等型面件，乙方应制作专用检具。对甲方因检验需要，要求提供专用检具时，应按甲方要求提供用。</w:t>
      </w:r>
    </w:p>
    <w:p w14:paraId="1922FE61">
      <w:pPr>
        <w:ind w:firstLine="480" w:firstLineChars="200"/>
        <w:jc w:val="left"/>
        <w:rPr>
          <w:rFonts w:hint="eastAsia" w:ascii="仿宋" w:hAnsi="仿宋" w:eastAsia="仿宋"/>
          <w:sz w:val="24"/>
          <w:szCs w:val="24"/>
        </w:rPr>
      </w:pPr>
      <w:r>
        <w:rPr>
          <w:rFonts w:hint="eastAsia" w:ascii="仿宋" w:hAnsi="仿宋" w:eastAsia="仿宋"/>
          <w:sz w:val="24"/>
          <w:szCs w:val="24"/>
        </w:rPr>
        <w:t>3.2.4乙方应根据产品质量特性要求，制订产品检验控制计划并认真组织实施。同时应按甲方产品质量控制计划规定的时限，提供相应的产品检验报告。</w:t>
      </w:r>
    </w:p>
    <w:p w14:paraId="1D59621A">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3.2.5 进货检验过程中的破坏性检验，由乙方承担破坏性检验的样件费用。</w:t>
      </w:r>
    </w:p>
    <w:p w14:paraId="13D929BD">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3.2.6乙方在提供工装的同时，必须附带图纸、工装检验合格证、尺寸检验记录、模具情况鉴定表、热处理仪表纸、硬度检验记录、工装跟踪簿、派工单等相关资料，其中曲轴类、连杆类工装必须提供三维尺寸检测报告，以便甲方进行复验、验收。如乙方不提供相关资料，甲方将按检验不合格处置。</w:t>
      </w:r>
    </w:p>
    <w:p w14:paraId="7E0433E3">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3.2.7为确保乙方提供的工装精度，甲方不定期到工装生产现场对乙方的三维造型和模拟图样与甲方造型进行比对，并检测现场精磨使用检测样板，来确保乙方工装精度。在复检中发现的不合格，每发生一次考核3000-10000元,年周期内重复发生的加倍考核。乙方制造过程发生变更时，必须书面通知甲方，甲方根据体系管理要求进行二方审核，审核通过后方可进行生产。</w:t>
      </w:r>
    </w:p>
    <w:p w14:paraId="23CEE323">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3.2.8铸造工装，甲方主要检查工装的外观质量、配件是否齐全，对关健尺寸、主要配件性能进行确认。锻造模具工装的甲方主要对硬度、外观质量和新制模具闭合高度及模具外观能够检测部位进行确认,新制模具焊修后甲方将按新制模具的要求来进行检验，焊修模具乙方应在工装检验合格证上注明未焊修前基体的硬度。甲方的复验结果不免除乙方的质量责任，甲方以模具工装首件产品验证合格为复检标准，以达到乙方承诺的工装定额要求为合格。</w:t>
      </w:r>
    </w:p>
    <w:p w14:paraId="6967F39B">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3.2.9乙方提供首批（首件、样件）工装时，需同时提供该工装的材质报告单、质保单及检验记录等质量证明文件。同时首次制作或新制工装，乙方必须提供模具样板或样件，以便甲方认可。</w:t>
      </w:r>
    </w:p>
    <w:p w14:paraId="59B0E937">
      <w:pPr>
        <w:ind w:firstLine="482" w:firstLineChars="200"/>
        <w:jc w:val="left"/>
        <w:rPr>
          <w:rFonts w:hint="eastAsia" w:ascii="仿宋" w:hAnsi="仿宋" w:eastAsia="仿宋"/>
          <w:b/>
          <w:sz w:val="24"/>
          <w:szCs w:val="24"/>
        </w:rPr>
      </w:pPr>
      <w:r>
        <w:rPr>
          <w:rFonts w:hint="eastAsia" w:ascii="仿宋" w:hAnsi="仿宋" w:eastAsia="仿宋"/>
          <w:b/>
          <w:sz w:val="24"/>
          <w:szCs w:val="24"/>
        </w:rPr>
        <w:t>3.3二方审核</w:t>
      </w:r>
    </w:p>
    <w:p w14:paraId="5E254E8E">
      <w:pPr>
        <w:ind w:firstLine="480" w:firstLineChars="200"/>
        <w:jc w:val="left"/>
        <w:rPr>
          <w:rFonts w:hint="eastAsia" w:ascii="仿宋" w:hAnsi="仿宋" w:eastAsia="仿宋"/>
          <w:sz w:val="24"/>
          <w:szCs w:val="24"/>
        </w:rPr>
      </w:pPr>
      <w:r>
        <w:rPr>
          <w:rFonts w:hint="eastAsia" w:ascii="仿宋" w:hAnsi="仿宋" w:eastAsia="仿宋"/>
          <w:sz w:val="24"/>
          <w:szCs w:val="24"/>
        </w:rPr>
        <w:t>当甲方在进货检验、生产制造、售后服务和质量抽检等过程发现乙方产品存在异常质量问题时，可自行或委托第三方机构到乙方（含乙方分供方）生产现场开展针对产品、过程或体系等的二方审核。第三方机构的审核费用及审核员的交通食宿费用由乙方承担。</w:t>
      </w:r>
    </w:p>
    <w:p w14:paraId="7C92CE53">
      <w:pPr>
        <w:ind w:firstLine="482" w:firstLineChars="200"/>
        <w:jc w:val="left"/>
        <w:rPr>
          <w:rFonts w:hint="eastAsia" w:ascii="仿宋" w:hAnsi="仿宋" w:eastAsia="仿宋"/>
          <w:b/>
          <w:sz w:val="24"/>
          <w:szCs w:val="24"/>
        </w:rPr>
      </w:pPr>
      <w:r>
        <w:rPr>
          <w:rFonts w:hint="eastAsia" w:ascii="仿宋" w:hAnsi="仿宋" w:eastAsia="仿宋"/>
          <w:b/>
          <w:sz w:val="24"/>
          <w:szCs w:val="24"/>
        </w:rPr>
        <w:t>3.4产品免检</w:t>
      </w:r>
    </w:p>
    <w:p w14:paraId="7AB66199">
      <w:pPr>
        <w:ind w:firstLine="480" w:firstLineChars="200"/>
        <w:jc w:val="left"/>
        <w:rPr>
          <w:rFonts w:hint="eastAsia" w:ascii="仿宋" w:hAnsi="仿宋" w:eastAsia="仿宋"/>
          <w:sz w:val="24"/>
          <w:szCs w:val="24"/>
        </w:rPr>
      </w:pPr>
      <w:r>
        <w:rPr>
          <w:rFonts w:hint="eastAsia" w:ascii="仿宋" w:hAnsi="仿宋" w:eastAsia="仿宋"/>
          <w:sz w:val="24"/>
          <w:szCs w:val="24"/>
        </w:rPr>
        <w:t>质量保证体系健全且具备向甲方持续提供合格产品的卓越供方，可向甲方提出产品免检申请，甲方审核批准后将其纳入免检供方名录。</w:t>
      </w:r>
    </w:p>
    <w:p w14:paraId="13049400">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4．服务条款</w:t>
      </w:r>
    </w:p>
    <w:p w14:paraId="369AFCCE">
      <w:pPr>
        <w:spacing w:line="360" w:lineRule="auto"/>
        <w:ind w:firstLine="480" w:firstLineChars="200"/>
        <w:rPr>
          <w:rFonts w:hint="eastAsia" w:ascii="仿宋_GB2312" w:hAnsi="Calibri" w:eastAsia="仿宋_GB2312"/>
          <w:sz w:val="24"/>
          <w:szCs w:val="22"/>
        </w:rPr>
      </w:pPr>
      <w:r>
        <w:rPr>
          <w:rFonts w:hint="eastAsia" w:ascii="仿宋" w:hAnsi="仿宋" w:eastAsia="仿宋"/>
          <w:sz w:val="24"/>
          <w:szCs w:val="24"/>
        </w:rPr>
        <w:t>4.1乙方应按照甲方要求提供生产制造过程的技术支持和现场服务。乙方产品在甲方进货检验、生产过程中发生质量问题，乙方在接到通知后，24小时（省内12小时）内到现场进行处理。</w:t>
      </w:r>
      <w:r>
        <w:rPr>
          <w:rFonts w:hint="eastAsia" w:ascii="仿宋_GB2312" w:hAnsi="Calibri" w:eastAsia="仿宋_GB2312"/>
          <w:sz w:val="24"/>
          <w:szCs w:val="22"/>
        </w:rPr>
        <w:t>没有回复的视为同意，甲方有权对乙方进行强制索赔，未按时到现场的甲方将对乙方考核1000-10000元，年周期内重复发生的加倍考核。</w:t>
      </w:r>
    </w:p>
    <w:p w14:paraId="5F37C60F">
      <w:pPr>
        <w:spacing w:line="360" w:lineRule="auto"/>
        <w:ind w:firstLine="480" w:firstLineChars="200"/>
        <w:rPr>
          <w:rFonts w:hint="eastAsia" w:ascii="仿宋" w:hAnsi="仿宋" w:eastAsia="仿宋"/>
          <w:sz w:val="24"/>
          <w:szCs w:val="24"/>
        </w:rPr>
      </w:pPr>
      <w:r>
        <w:rPr>
          <w:rFonts w:hint="eastAsia" w:ascii="仿宋_GB2312" w:hAnsi="Calibri" w:eastAsia="仿宋_GB2312"/>
          <w:sz w:val="24"/>
          <w:szCs w:val="22"/>
        </w:rPr>
        <w:t>4.2乙方如对甲方的复验结果有异议，应在得到检验结果后8小时内书面提出，若选择第三方复验，要选择甲方所在地质检机构，其资质应达到或高于重汽质量部资质，检测费用由乙方承担。</w:t>
      </w:r>
    </w:p>
    <w:p w14:paraId="41687326">
      <w:pPr>
        <w:snapToGrid w:val="0"/>
        <w:ind w:firstLine="482" w:firstLineChars="200"/>
        <w:rPr>
          <w:rFonts w:hint="eastAsia" w:ascii="仿宋" w:hAnsi="仿宋" w:eastAsia="仿宋"/>
          <w:b/>
          <w:sz w:val="24"/>
          <w:szCs w:val="24"/>
        </w:rPr>
      </w:pPr>
      <w:r>
        <w:rPr>
          <w:rFonts w:hint="eastAsia" w:ascii="仿宋" w:hAnsi="仿宋" w:eastAsia="仿宋"/>
          <w:b/>
          <w:sz w:val="24"/>
          <w:szCs w:val="24"/>
        </w:rPr>
        <w:t>5．不合格品的处理方式</w:t>
      </w:r>
    </w:p>
    <w:p w14:paraId="6B316D8A">
      <w:pPr>
        <w:snapToGrid w:val="0"/>
        <w:ind w:firstLine="480" w:firstLineChars="200"/>
        <w:rPr>
          <w:rFonts w:hint="eastAsia" w:ascii="仿宋" w:hAnsi="仿宋" w:eastAsia="仿宋"/>
          <w:sz w:val="24"/>
          <w:szCs w:val="24"/>
        </w:rPr>
      </w:pPr>
      <w:r>
        <w:rPr>
          <w:rFonts w:hint="eastAsia" w:ascii="仿宋" w:hAnsi="仿宋" w:eastAsia="仿宋"/>
          <w:sz w:val="24"/>
          <w:szCs w:val="24"/>
        </w:rPr>
        <w:t>5.1因乙方不合格品造成的质量问题，甲方按照本协议第6条的规定进行处理。乙方不得将退库处理的不合格品以次充好再次销售给甲方，如有违反，乙方应按照第6条的相关规定向甲方支付违约金。</w:t>
      </w:r>
    </w:p>
    <w:p w14:paraId="0EC29102">
      <w:pPr>
        <w:snapToGrid w:val="0"/>
        <w:ind w:firstLine="480" w:firstLineChars="200"/>
        <w:rPr>
          <w:rFonts w:hint="eastAsia" w:ascii="仿宋" w:hAnsi="仿宋" w:eastAsia="仿宋"/>
          <w:sz w:val="24"/>
          <w:szCs w:val="24"/>
        </w:rPr>
      </w:pPr>
      <w:r>
        <w:rPr>
          <w:rFonts w:hint="eastAsia" w:ascii="仿宋" w:hAnsi="仿宋" w:eastAsia="仿宋"/>
          <w:sz w:val="24"/>
          <w:szCs w:val="24"/>
        </w:rPr>
        <w:t>5.2乙方不得擅自向任何第三方销售不合格品，如有违反按照双方签署的《采购协议》相关条款执行。</w:t>
      </w:r>
    </w:p>
    <w:p w14:paraId="45FF5586">
      <w:pPr>
        <w:snapToGrid w:val="0"/>
        <w:ind w:firstLine="480" w:firstLineChars="200"/>
        <w:rPr>
          <w:rFonts w:hint="eastAsia" w:ascii="仿宋" w:hAnsi="仿宋" w:eastAsia="仿宋"/>
          <w:sz w:val="24"/>
          <w:szCs w:val="24"/>
        </w:rPr>
      </w:pPr>
      <w:r>
        <w:rPr>
          <w:rFonts w:hint="eastAsia" w:ascii="仿宋" w:hAnsi="仿宋" w:eastAsia="仿宋"/>
          <w:sz w:val="24"/>
          <w:szCs w:val="24"/>
        </w:rPr>
        <w:t>5.3甲方有权对乙方不合格品进行封存、隔离、报废、销毁或作永久性标识。</w:t>
      </w:r>
    </w:p>
    <w:p w14:paraId="51D05266">
      <w:pPr>
        <w:tabs>
          <w:tab w:val="left" w:pos="0"/>
        </w:tabs>
        <w:ind w:firstLine="482" w:firstLineChars="20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sz w:val="24"/>
          <w:szCs w:val="24"/>
        </w:rPr>
        <w:t>．</w:t>
      </w:r>
      <w:r>
        <w:rPr>
          <w:rFonts w:hint="eastAsia" w:ascii="仿宋" w:hAnsi="仿宋" w:eastAsia="仿宋"/>
          <w:b/>
          <w:bCs/>
          <w:sz w:val="24"/>
          <w:szCs w:val="24"/>
        </w:rPr>
        <w:t>质量问题处理及索赔管理</w:t>
      </w:r>
    </w:p>
    <w:p w14:paraId="61E88B31">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6.1质量问题处理</w:t>
      </w:r>
    </w:p>
    <w:p w14:paraId="46D1D221">
      <w:pPr>
        <w:snapToGrid w:val="0"/>
        <w:ind w:firstLine="480" w:firstLineChars="200"/>
        <w:rPr>
          <w:rFonts w:hint="eastAsia" w:ascii="仿宋" w:hAnsi="仿宋" w:eastAsia="仿宋"/>
          <w:sz w:val="24"/>
          <w:szCs w:val="24"/>
        </w:rPr>
      </w:pPr>
      <w:r>
        <w:rPr>
          <w:rFonts w:hint="eastAsia" w:ascii="仿宋" w:hAnsi="仿宋" w:eastAsia="仿宋"/>
          <w:sz w:val="24"/>
          <w:szCs w:val="24"/>
        </w:rPr>
        <w:t>乙方提供的产品在甲方进厂检验、使用过程中发生质量问题以及乙方在与甲方的业务往来各个环节存在不良行为的，乙方承担由此对甲方造成的经济损失，甲方有权在体系内通报。具体处置细则如下：</w:t>
      </w:r>
    </w:p>
    <w:p w14:paraId="66C6E711">
      <w:pPr>
        <w:snapToGrid w:val="0"/>
        <w:ind w:firstLine="480" w:firstLineChars="200"/>
        <w:rPr>
          <w:rFonts w:hint="eastAsia" w:ascii="仿宋" w:hAnsi="仿宋" w:eastAsia="仿宋"/>
          <w:sz w:val="24"/>
          <w:szCs w:val="24"/>
        </w:rPr>
      </w:pPr>
      <w:r>
        <w:rPr>
          <w:rFonts w:hint="eastAsia" w:ascii="仿宋" w:hAnsi="仿宋" w:eastAsia="仿宋"/>
          <w:sz w:val="24"/>
          <w:szCs w:val="24"/>
        </w:rPr>
        <w:t>6.1.1进货检验过程中工装不合格的处置：</w:t>
      </w:r>
    </w:p>
    <w:p w14:paraId="2168D976">
      <w:pPr>
        <w:snapToGrid w:val="0"/>
        <w:ind w:firstLine="480" w:firstLineChars="200"/>
        <w:rPr>
          <w:rFonts w:hint="eastAsia" w:ascii="仿宋" w:hAnsi="仿宋" w:eastAsia="仿宋"/>
          <w:sz w:val="24"/>
          <w:szCs w:val="24"/>
        </w:rPr>
      </w:pPr>
      <w:r>
        <w:rPr>
          <w:rFonts w:hint="eastAsia" w:ascii="仿宋" w:hAnsi="仿宋" w:eastAsia="仿宋"/>
          <w:sz w:val="24"/>
          <w:szCs w:val="24"/>
        </w:rPr>
        <w:t>6.1.1.1返工工装：对于轻微质量缺陷，经甲方工艺工程部组织评审确认返工能够现场修复解决，且规定了返工指导标准、再检验标准的产品，定义为返工工装。</w:t>
      </w:r>
    </w:p>
    <w:p w14:paraId="4D3D0D13">
      <w:pPr>
        <w:snapToGrid w:val="0"/>
        <w:ind w:firstLine="480" w:firstLineChars="200"/>
        <w:rPr>
          <w:rFonts w:hint="eastAsia" w:ascii="仿宋" w:hAnsi="仿宋" w:eastAsia="仿宋"/>
          <w:sz w:val="24"/>
          <w:szCs w:val="24"/>
        </w:rPr>
      </w:pPr>
      <w:r>
        <w:rPr>
          <w:rFonts w:hint="eastAsia" w:ascii="仿宋" w:hAnsi="仿宋" w:eastAsia="仿宋"/>
          <w:sz w:val="24"/>
          <w:szCs w:val="24"/>
        </w:rPr>
        <w:t xml:space="preserve">返工工装原则上由乙方在甲方现场返工，所发生的费用（包括工时费、材料费）由乙方承担。返工的工装，需做降价处理，降价幅度在返工工装原总价的5%—10%的幅度内确定，并按照降价后的价格支付货款，年周期内重复发生的加倍考核。其中： </w:t>
      </w:r>
    </w:p>
    <w:p w14:paraId="0538FBFC">
      <w:pPr>
        <w:snapToGrid w:val="0"/>
        <w:ind w:firstLine="480" w:firstLineChars="200"/>
        <w:rPr>
          <w:rFonts w:hint="eastAsia" w:ascii="仿宋" w:hAnsi="仿宋" w:eastAsia="仿宋"/>
          <w:sz w:val="24"/>
          <w:szCs w:val="24"/>
        </w:rPr>
      </w:pPr>
      <w:r>
        <w:rPr>
          <w:rFonts w:hint="eastAsia" w:ascii="仿宋" w:hAnsi="仿宋" w:eastAsia="仿宋"/>
          <w:sz w:val="24"/>
          <w:szCs w:val="24"/>
        </w:rPr>
        <w:t>1）该批返工工装单件进货结算价值≥50000元时，按5%确定；</w:t>
      </w:r>
    </w:p>
    <w:p w14:paraId="1F3A9C27">
      <w:pPr>
        <w:snapToGrid w:val="0"/>
        <w:ind w:firstLine="480" w:firstLineChars="200"/>
        <w:rPr>
          <w:rFonts w:hint="eastAsia" w:ascii="仿宋" w:hAnsi="仿宋" w:eastAsia="仿宋"/>
          <w:sz w:val="24"/>
          <w:szCs w:val="24"/>
        </w:rPr>
      </w:pPr>
      <w:r>
        <w:rPr>
          <w:rFonts w:hint="eastAsia" w:ascii="仿宋" w:hAnsi="仿宋" w:eastAsia="仿宋"/>
          <w:sz w:val="24"/>
          <w:szCs w:val="24"/>
        </w:rPr>
        <w:t>2）该批返工工装单件进货结算价值＜50000元，≥10000元时，按6%确定；</w:t>
      </w:r>
    </w:p>
    <w:p w14:paraId="37A81EC3">
      <w:pPr>
        <w:snapToGrid w:val="0"/>
        <w:ind w:firstLine="480" w:firstLineChars="200"/>
        <w:rPr>
          <w:rFonts w:hint="eastAsia" w:ascii="仿宋" w:hAnsi="仿宋" w:eastAsia="仿宋"/>
          <w:sz w:val="24"/>
          <w:szCs w:val="24"/>
        </w:rPr>
      </w:pPr>
      <w:r>
        <w:rPr>
          <w:rFonts w:hint="eastAsia" w:ascii="仿宋" w:hAnsi="仿宋" w:eastAsia="仿宋"/>
          <w:sz w:val="24"/>
          <w:szCs w:val="24"/>
        </w:rPr>
        <w:t>3）该批返工工装单件进货结算价值＜10000元时，按10%确定。</w:t>
      </w:r>
    </w:p>
    <w:p w14:paraId="3ED28114">
      <w:pPr>
        <w:snapToGrid w:val="0"/>
        <w:ind w:firstLine="480" w:firstLineChars="200"/>
        <w:rPr>
          <w:rFonts w:hint="eastAsia" w:ascii="仿宋" w:hAnsi="仿宋" w:eastAsia="仿宋"/>
          <w:sz w:val="24"/>
          <w:szCs w:val="24"/>
        </w:rPr>
      </w:pPr>
      <w:r>
        <w:rPr>
          <w:rFonts w:hint="eastAsia" w:ascii="仿宋" w:hAnsi="仿宋" w:eastAsia="仿宋"/>
          <w:sz w:val="24"/>
          <w:szCs w:val="24"/>
        </w:rPr>
        <w:t>6.1.1.2退货：工装存在不可接受的质量不合格项，经甲方工艺工程部组织评审确认，不能现场返工的工装，定义为退货工装。因退货所造成甲方的一切损失（包括潜在的损失）由乙方承担，按该批次产品总价值的10%-30%对乙方进行考核，年周期内重复发生的加倍考核。其中：</w:t>
      </w:r>
    </w:p>
    <w:p w14:paraId="580360DB">
      <w:pPr>
        <w:snapToGrid w:val="0"/>
        <w:ind w:firstLine="480" w:firstLineChars="200"/>
        <w:rPr>
          <w:rFonts w:hint="eastAsia" w:ascii="仿宋" w:hAnsi="仿宋" w:eastAsia="仿宋"/>
          <w:sz w:val="24"/>
          <w:szCs w:val="24"/>
        </w:rPr>
      </w:pPr>
      <w:r>
        <w:rPr>
          <w:rFonts w:hint="eastAsia" w:ascii="仿宋" w:hAnsi="仿宋" w:eastAsia="仿宋"/>
          <w:sz w:val="24"/>
          <w:szCs w:val="24"/>
        </w:rPr>
        <w:t>1）该批退货工装单件进货结算价值≥50000元时，按10%确定；</w:t>
      </w:r>
    </w:p>
    <w:p w14:paraId="01B3B16D">
      <w:pPr>
        <w:snapToGrid w:val="0"/>
        <w:ind w:firstLine="480" w:firstLineChars="200"/>
        <w:rPr>
          <w:rFonts w:hint="eastAsia" w:ascii="仿宋" w:hAnsi="仿宋" w:eastAsia="仿宋"/>
          <w:sz w:val="24"/>
          <w:szCs w:val="24"/>
        </w:rPr>
      </w:pPr>
      <w:r>
        <w:rPr>
          <w:rFonts w:hint="eastAsia" w:ascii="仿宋" w:hAnsi="仿宋" w:eastAsia="仿宋"/>
          <w:sz w:val="24"/>
          <w:szCs w:val="24"/>
        </w:rPr>
        <w:t>2）该批退货工装单件进货结算价值＜50000元，≥10000元时，按20%确定；</w:t>
      </w:r>
    </w:p>
    <w:p w14:paraId="5D249125">
      <w:pPr>
        <w:snapToGrid w:val="0"/>
        <w:ind w:firstLine="480" w:firstLineChars="200"/>
        <w:rPr>
          <w:rFonts w:hint="eastAsia" w:ascii="仿宋" w:hAnsi="仿宋" w:eastAsia="仿宋"/>
          <w:sz w:val="24"/>
          <w:szCs w:val="24"/>
        </w:rPr>
      </w:pPr>
      <w:r>
        <w:rPr>
          <w:rFonts w:hint="eastAsia" w:ascii="仿宋" w:hAnsi="仿宋" w:eastAsia="仿宋"/>
          <w:sz w:val="24"/>
          <w:szCs w:val="24"/>
        </w:rPr>
        <w:t>3）该批退货工装单件进货结算价值＜10000元时，按30%确定。</w:t>
      </w:r>
    </w:p>
    <w:p w14:paraId="59710276">
      <w:pPr>
        <w:snapToGrid w:val="0"/>
        <w:ind w:firstLine="480" w:firstLineChars="200"/>
        <w:rPr>
          <w:rFonts w:hint="eastAsia" w:ascii="仿宋" w:hAnsi="仿宋" w:eastAsia="仿宋"/>
          <w:sz w:val="24"/>
          <w:szCs w:val="24"/>
        </w:rPr>
      </w:pPr>
      <w:r>
        <w:rPr>
          <w:rFonts w:hint="eastAsia" w:ascii="仿宋" w:hAnsi="仿宋" w:eastAsia="仿宋"/>
          <w:sz w:val="24"/>
          <w:szCs w:val="24"/>
        </w:rPr>
        <w:t>乙方退货后未按要求对工装进行处理即重新入库，造成同样问题二次不合格的，视情况追加5000-50000元的考核。</w:t>
      </w:r>
    </w:p>
    <w:p w14:paraId="5F649C43">
      <w:pPr>
        <w:snapToGrid w:val="0"/>
        <w:ind w:firstLine="480" w:firstLineChars="200"/>
        <w:rPr>
          <w:rFonts w:hint="eastAsia" w:ascii="仿宋" w:hAnsi="仿宋" w:eastAsia="仿宋"/>
          <w:sz w:val="24"/>
          <w:szCs w:val="24"/>
        </w:rPr>
      </w:pPr>
      <w:r>
        <w:rPr>
          <w:rFonts w:hint="eastAsia" w:ascii="仿宋" w:hAnsi="仿宋" w:eastAsia="仿宋"/>
          <w:sz w:val="24"/>
          <w:szCs w:val="24"/>
        </w:rPr>
        <w:t>6.1.2现场使用中工装不合格的处置:</w:t>
      </w:r>
    </w:p>
    <w:p w14:paraId="2EDC0DDC">
      <w:pPr>
        <w:snapToGrid w:val="0"/>
        <w:ind w:firstLine="480" w:firstLineChars="200"/>
        <w:rPr>
          <w:rFonts w:hint="eastAsia" w:ascii="仿宋" w:hAnsi="仿宋" w:eastAsia="仿宋"/>
          <w:sz w:val="24"/>
          <w:szCs w:val="24"/>
        </w:rPr>
      </w:pPr>
      <w:r>
        <w:rPr>
          <w:rFonts w:hint="eastAsia" w:ascii="仿宋" w:hAnsi="仿宋" w:eastAsia="仿宋"/>
          <w:sz w:val="24"/>
          <w:szCs w:val="24"/>
        </w:rPr>
        <w:t>6.1.2.1因乙方工装上场首件验证不合格,由甲方工艺工程部组织技术、制造、使用部门鉴定为乙方责任后，原则上按6.1.1.2条款处理，甲方使用单位所发生的动能费用、工人工时、材料费全部由乙方承担。</w:t>
      </w:r>
    </w:p>
    <w:p w14:paraId="53012DD3">
      <w:pPr>
        <w:snapToGrid w:val="0"/>
        <w:ind w:firstLine="480" w:firstLineChars="200"/>
        <w:rPr>
          <w:rFonts w:hint="eastAsia" w:ascii="仿宋" w:hAnsi="仿宋" w:eastAsia="仿宋"/>
          <w:sz w:val="24"/>
          <w:szCs w:val="24"/>
        </w:rPr>
      </w:pPr>
      <w:r>
        <w:rPr>
          <w:rFonts w:hint="eastAsia" w:ascii="仿宋" w:hAnsi="仿宋" w:eastAsia="仿宋"/>
          <w:sz w:val="24"/>
          <w:szCs w:val="24"/>
        </w:rPr>
        <w:t>6.1.2.2工装实际使用寿命达不到承诺寿命时，按（承诺寿命-实际使用寿命）/承诺寿命×合同价 扣款，同时甲方将对重复切换模具及生产停顿造成的工时浪费，对乙方进行考核，相应切换下场的整套工装考核金额见下表，年周期内相同品种模具问题重复发生的加倍考核。</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621"/>
        <w:gridCol w:w="1959"/>
        <w:gridCol w:w="1440"/>
      </w:tblGrid>
      <w:tr w14:paraId="6F72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top"/>
          </w:tcPr>
          <w:p w14:paraId="1AAAC534">
            <w:pPr>
              <w:snapToGrid w:val="0"/>
              <w:ind w:firstLine="420" w:firstLineChars="200"/>
              <w:rPr>
                <w:rFonts w:ascii="仿宋" w:hAnsi="仿宋" w:eastAsia="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8890</wp:posOffset>
                      </wp:positionV>
                      <wp:extent cx="1396365" cy="579755"/>
                      <wp:effectExtent l="1905" t="4445" r="11430" b="6350"/>
                      <wp:wrapNone/>
                      <wp:docPr id="3" name="直接连接符 3"/>
                      <wp:cNvGraphicFramePr/>
                      <a:graphic xmlns:a="http://schemas.openxmlformats.org/drawingml/2006/main">
                        <a:graphicData uri="http://schemas.microsoft.com/office/word/2010/wordprocessingShape">
                          <wps:wsp>
                            <wps:cNvCnPr/>
                            <wps:spPr>
                              <a:xfrm>
                                <a:off x="0" y="0"/>
                                <a:ext cx="1396365" cy="579755"/>
                              </a:xfrm>
                              <a:prstGeom prst="line">
                                <a:avLst/>
                              </a:prstGeom>
                              <a:ln w="3175" cap="flat" cmpd="sng">
                                <a:solidFill>
                                  <a:sysClr val="windowText" lastClr="000000">
                                    <a:lumMod val="50000"/>
                                    <a:lumOff val="50000"/>
                                  </a:sysClr>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5pt;margin-top:0.7pt;height:45.65pt;width:109.95pt;z-index:251660288;mso-width-relative:page;mso-height-relative:page;" filled="f" stroked="t" coordsize="21600,21600" o:gfxdata="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VdVDVAAAACAEAAA8AAAAA&#10;AAAAAQAgAAAAIgAAAGRycy9kb3ducmV2LnhtbFBLAQIUABQAAAAIAIdO4kBBcVWaFwIAADcEAAAO&#10;AAAAAAAAAAEAIAAAACQBAABkcnMvZTJvRG9jLnhtbFBLBQYAAAAABgAGAFkBAACtBQAAAAA=&#10;">
                      <v:fill on="f" focussize="0,0"/>
                      <v:stroke weight="0.25pt" color="#808080" joinstyle="round"/>
                      <v:imagedata o:title=""/>
                      <o:lock v:ext="edit" aspectratio="f"/>
                    </v:line>
                  </w:pict>
                </mc:Fallback>
              </mc:AlternateContent>
            </w:r>
            <w:r>
              <w:rPr>
                <w:rFonts w:hint="eastAsia" w:ascii="仿宋" w:hAnsi="仿宋" w:eastAsia="仿宋"/>
                <w:sz w:val="24"/>
                <w:szCs w:val="24"/>
              </w:rPr>
              <w:t xml:space="preserve">       使用寿命</w:t>
            </w:r>
          </w:p>
          <w:p w14:paraId="43DE7B5E">
            <w:pPr>
              <w:snapToGrid w:val="0"/>
              <w:ind w:firstLine="480" w:firstLineChars="200"/>
              <w:rPr>
                <w:rFonts w:ascii="仿宋" w:hAnsi="仿宋" w:eastAsia="仿宋"/>
                <w:sz w:val="24"/>
                <w:szCs w:val="24"/>
              </w:rPr>
            </w:pPr>
            <w:r>
              <w:rPr>
                <w:rFonts w:hint="eastAsia" w:ascii="仿宋" w:hAnsi="仿宋" w:eastAsia="仿宋"/>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21BDC95E">
            <w:pPr>
              <w:snapToGrid w:val="0"/>
              <w:ind w:firstLine="480" w:firstLineChars="200"/>
              <w:rPr>
                <w:rFonts w:ascii="仿宋" w:hAnsi="仿宋" w:eastAsia="仿宋"/>
                <w:sz w:val="24"/>
                <w:szCs w:val="24"/>
              </w:rPr>
            </w:pPr>
            <w:r>
              <w:rPr>
                <w:rFonts w:hint="eastAsia" w:ascii="仿宋" w:hAnsi="仿宋" w:eastAsia="仿宋"/>
                <w:sz w:val="24"/>
                <w:szCs w:val="24"/>
              </w:rPr>
              <w:t>实际使用寿命＜50%时</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0E96A736">
            <w:pPr>
              <w:snapToGrid w:val="0"/>
              <w:ind w:firstLine="480" w:firstLineChars="200"/>
              <w:rPr>
                <w:rFonts w:ascii="仿宋" w:hAnsi="仿宋" w:eastAsia="仿宋"/>
                <w:sz w:val="24"/>
                <w:szCs w:val="24"/>
              </w:rPr>
            </w:pPr>
            <w:r>
              <w:rPr>
                <w:rFonts w:hint="eastAsia" w:ascii="仿宋" w:hAnsi="仿宋" w:eastAsia="仿宋"/>
                <w:sz w:val="24"/>
                <w:szCs w:val="24"/>
              </w:rPr>
              <w:t>50%≤实际使用寿命≤80%时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516886D">
            <w:pPr>
              <w:snapToGrid w:val="0"/>
              <w:ind w:firstLine="480" w:firstLineChars="200"/>
              <w:rPr>
                <w:rFonts w:ascii="仿宋" w:hAnsi="仿宋" w:eastAsia="仿宋"/>
                <w:sz w:val="24"/>
                <w:szCs w:val="24"/>
              </w:rPr>
            </w:pPr>
            <w:r>
              <w:rPr>
                <w:rFonts w:hint="eastAsia" w:ascii="仿宋" w:hAnsi="仿宋" w:eastAsia="仿宋"/>
                <w:sz w:val="24"/>
                <w:szCs w:val="24"/>
              </w:rPr>
              <w:t>实际使用寿命≥80%时</w:t>
            </w:r>
          </w:p>
        </w:tc>
      </w:tr>
      <w:tr w14:paraId="1FC3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center"/>
          </w:tcPr>
          <w:p w14:paraId="3115B5FE">
            <w:pPr>
              <w:snapToGrid w:val="0"/>
              <w:ind w:firstLine="480" w:firstLineChars="200"/>
              <w:rPr>
                <w:rFonts w:ascii="仿宋" w:hAnsi="仿宋" w:eastAsia="仿宋"/>
                <w:sz w:val="24"/>
                <w:szCs w:val="24"/>
              </w:rPr>
            </w:pPr>
            <w:r>
              <w:rPr>
                <w:rFonts w:hint="eastAsia" w:ascii="仿宋" w:hAnsi="仿宋" w:eastAsia="仿宋"/>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25813148">
            <w:pPr>
              <w:snapToGrid w:val="0"/>
              <w:ind w:firstLine="480" w:firstLineChars="200"/>
              <w:rPr>
                <w:rFonts w:ascii="仿宋" w:hAnsi="仿宋" w:eastAsia="仿宋"/>
                <w:sz w:val="24"/>
                <w:szCs w:val="24"/>
              </w:rPr>
            </w:pPr>
            <w:r>
              <w:rPr>
                <w:rFonts w:hint="eastAsia" w:ascii="仿宋" w:hAnsi="仿宋" w:eastAsia="仿宋"/>
                <w:sz w:val="24"/>
                <w:szCs w:val="24"/>
              </w:rPr>
              <w:t>1）工装进货结算价值≥50000元时，按该工装合同价的10%考核；</w:t>
            </w:r>
          </w:p>
          <w:p w14:paraId="0AD4E577">
            <w:pPr>
              <w:snapToGrid w:val="0"/>
              <w:ind w:firstLine="480" w:firstLineChars="200"/>
              <w:rPr>
                <w:rFonts w:hint="eastAsia" w:ascii="仿宋" w:hAnsi="仿宋" w:eastAsia="仿宋"/>
                <w:sz w:val="24"/>
                <w:szCs w:val="24"/>
              </w:rPr>
            </w:pPr>
            <w:r>
              <w:rPr>
                <w:rFonts w:hint="eastAsia" w:ascii="仿宋" w:hAnsi="仿宋" w:eastAsia="仿宋"/>
                <w:sz w:val="24"/>
                <w:szCs w:val="24"/>
              </w:rPr>
              <w:t>2）工装进货结算价值＜50000元，≥10000元时，按该工装合同价的20%确定；</w:t>
            </w:r>
          </w:p>
          <w:p w14:paraId="522432D1">
            <w:pPr>
              <w:snapToGrid w:val="0"/>
              <w:ind w:firstLine="480" w:firstLineChars="200"/>
              <w:rPr>
                <w:rFonts w:ascii="仿宋" w:hAnsi="仿宋" w:eastAsia="仿宋"/>
                <w:sz w:val="24"/>
                <w:szCs w:val="24"/>
              </w:rPr>
            </w:pPr>
            <w:r>
              <w:rPr>
                <w:rFonts w:hint="eastAsia" w:ascii="仿宋" w:hAnsi="仿宋" w:eastAsia="仿宋"/>
                <w:sz w:val="24"/>
                <w:szCs w:val="24"/>
              </w:rPr>
              <w:t>3）工装进货结算价值＜10000元时，按该工装合同价的30%确定。</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3B411862">
            <w:pPr>
              <w:snapToGrid w:val="0"/>
              <w:ind w:firstLine="480" w:firstLineChars="200"/>
              <w:rPr>
                <w:rFonts w:ascii="仿宋" w:hAnsi="仿宋" w:eastAsia="仿宋"/>
                <w:sz w:val="24"/>
                <w:szCs w:val="24"/>
              </w:rPr>
            </w:pPr>
            <w:r>
              <w:rPr>
                <w:rFonts w:hint="eastAsia" w:ascii="仿宋" w:hAnsi="仿宋" w:eastAsia="仿宋"/>
                <w:sz w:val="24"/>
                <w:szCs w:val="24"/>
              </w:rPr>
              <w:t>该工装合同价的5%考核</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62D713">
            <w:pPr>
              <w:snapToGrid w:val="0"/>
              <w:ind w:firstLine="480" w:firstLineChars="200"/>
              <w:rPr>
                <w:rFonts w:ascii="仿宋" w:hAnsi="仿宋" w:eastAsia="仿宋"/>
                <w:sz w:val="24"/>
                <w:szCs w:val="24"/>
              </w:rPr>
            </w:pPr>
            <w:r>
              <w:rPr>
                <w:rFonts w:hint="eastAsia" w:ascii="仿宋" w:hAnsi="仿宋" w:eastAsia="仿宋"/>
                <w:sz w:val="24"/>
                <w:szCs w:val="24"/>
              </w:rPr>
              <w:t>不考核</w:t>
            </w:r>
          </w:p>
        </w:tc>
      </w:tr>
    </w:tbl>
    <w:p w14:paraId="1FB9BFFC">
      <w:pPr>
        <w:snapToGrid w:val="0"/>
        <w:ind w:firstLine="480" w:firstLineChars="200"/>
        <w:rPr>
          <w:rFonts w:hint="eastAsia" w:ascii="仿宋" w:hAnsi="仿宋" w:eastAsia="仿宋"/>
          <w:sz w:val="24"/>
          <w:szCs w:val="24"/>
        </w:rPr>
      </w:pPr>
      <w:r>
        <w:rPr>
          <w:rFonts w:hint="eastAsia" w:ascii="仿宋" w:hAnsi="仿宋" w:eastAsia="仿宋"/>
          <w:sz w:val="24"/>
          <w:szCs w:val="24"/>
        </w:rPr>
        <w:t>6.1.2.3模具实际使用寿命为甲方工装跟踪簿上填报的实际生产数量为准。</w:t>
      </w:r>
    </w:p>
    <w:p w14:paraId="2263CACE">
      <w:pPr>
        <w:snapToGrid w:val="0"/>
        <w:ind w:firstLine="480" w:firstLineChars="200"/>
        <w:rPr>
          <w:rFonts w:hint="eastAsia" w:ascii="仿宋" w:hAnsi="仿宋" w:eastAsia="仿宋"/>
          <w:sz w:val="24"/>
          <w:szCs w:val="24"/>
        </w:rPr>
      </w:pPr>
      <w:r>
        <w:rPr>
          <w:rFonts w:hint="eastAsia" w:ascii="仿宋" w:hAnsi="仿宋" w:eastAsia="仿宋"/>
          <w:sz w:val="24"/>
          <w:szCs w:val="24"/>
        </w:rPr>
        <w:t>6.1.3对生产制造不合格工装的乙方，甲方可视不合格程度及造成甲方在经济、声誉等方面的损失情况，做出以下处理：</w:t>
      </w:r>
    </w:p>
    <w:p w14:paraId="057EACF4">
      <w:pPr>
        <w:snapToGrid w:val="0"/>
        <w:ind w:firstLine="480" w:firstLineChars="200"/>
        <w:rPr>
          <w:rFonts w:hint="eastAsia" w:ascii="仿宋" w:hAnsi="仿宋" w:eastAsia="仿宋"/>
          <w:sz w:val="24"/>
          <w:szCs w:val="24"/>
        </w:rPr>
      </w:pPr>
      <w:r>
        <w:rPr>
          <w:rFonts w:hint="eastAsia" w:ascii="仿宋" w:hAnsi="仿宋" w:eastAsia="仿宋"/>
          <w:sz w:val="24"/>
          <w:szCs w:val="24"/>
        </w:rPr>
        <w:t>6.1.3.1对连续三次以上在进货检验出现退货或生产使用中出现低于承诺寿命30%的供方，将取消其合格供方资格。</w:t>
      </w:r>
    </w:p>
    <w:p w14:paraId="0EF9DC58">
      <w:pPr>
        <w:snapToGrid w:val="0"/>
        <w:ind w:firstLine="480" w:firstLineChars="200"/>
        <w:rPr>
          <w:rFonts w:hint="eastAsia" w:ascii="仿宋" w:hAnsi="仿宋" w:eastAsia="仿宋"/>
          <w:sz w:val="24"/>
          <w:szCs w:val="24"/>
        </w:rPr>
      </w:pPr>
      <w:r>
        <w:rPr>
          <w:rFonts w:hint="eastAsia" w:ascii="仿宋" w:hAnsi="仿宋" w:eastAsia="仿宋"/>
          <w:sz w:val="24"/>
          <w:szCs w:val="24"/>
        </w:rPr>
        <w:t>6.1.3.2对乙方发生退货或不合格现象，甲方将对乙方供货业绩进行扣分统计，并作年度合格供方评审依据。</w:t>
      </w:r>
    </w:p>
    <w:p w14:paraId="0F4D0050">
      <w:pPr>
        <w:snapToGrid w:val="0"/>
        <w:ind w:firstLine="480" w:firstLineChars="200"/>
        <w:rPr>
          <w:rFonts w:hint="eastAsia" w:ascii="仿宋" w:hAnsi="仿宋" w:eastAsia="仿宋"/>
          <w:sz w:val="24"/>
          <w:szCs w:val="24"/>
        </w:rPr>
      </w:pPr>
      <w:r>
        <w:rPr>
          <w:rFonts w:hint="eastAsia" w:ascii="仿宋" w:hAnsi="仿宋" w:eastAsia="仿宋"/>
          <w:sz w:val="24"/>
          <w:szCs w:val="24"/>
        </w:rPr>
        <w:t>6.1.4新产品验证过程出现的不合格，属车桥公司设计责任的，由工艺工程部、使用单位签字确认，车桥工艺工程部对工装制造单位免于考核；属工装本身质量问题，车桥公司按第6.1.2条款进行处理。</w:t>
      </w:r>
    </w:p>
    <w:p w14:paraId="0D56E856">
      <w:pPr>
        <w:snapToGrid w:val="0"/>
        <w:ind w:firstLine="480" w:firstLineChars="200"/>
        <w:rPr>
          <w:rFonts w:hint="eastAsia" w:ascii="仿宋" w:hAnsi="仿宋" w:eastAsia="仿宋"/>
          <w:sz w:val="24"/>
          <w:szCs w:val="24"/>
        </w:rPr>
      </w:pPr>
      <w:r>
        <w:rPr>
          <w:rFonts w:hint="eastAsia" w:ascii="仿宋" w:hAnsi="仿宋" w:eastAsia="仿宋"/>
          <w:sz w:val="24"/>
          <w:szCs w:val="24"/>
        </w:rPr>
        <w:t>6.1.5供方行为</w:t>
      </w:r>
    </w:p>
    <w:p w14:paraId="362320BE">
      <w:pPr>
        <w:snapToGrid w:val="0"/>
        <w:ind w:firstLine="480" w:firstLineChars="200"/>
        <w:rPr>
          <w:rFonts w:hint="eastAsia" w:ascii="仿宋" w:hAnsi="仿宋" w:eastAsia="仿宋"/>
          <w:sz w:val="24"/>
          <w:szCs w:val="24"/>
        </w:rPr>
      </w:pPr>
      <w:r>
        <w:rPr>
          <w:rFonts w:hint="eastAsia" w:ascii="仿宋" w:hAnsi="仿宋" w:eastAsia="仿宋"/>
          <w:sz w:val="24"/>
          <w:szCs w:val="24"/>
        </w:rPr>
        <w:t>6.1.5.1乙方对重大质量问题有意隐瞒不报，对甲方造成较大影响时，甲方有权对乙方的行为进行通报，并视影响程度、损失大小，要求乙方按照10万元以上的标准向甲方支付违约金；情节特别严重或年内二次发生的，甲方有权取消乙方供货资格，原则上2年内不进行供方准入。乙方对一般批量质量问题有意隐瞒不报，对甲方正常生产造成一定影响的，甲方有权视影响程度、损失大小，要求乙方向甲方支付1万元以上的违约金。</w:t>
      </w:r>
    </w:p>
    <w:p w14:paraId="3E13ADCD">
      <w:pPr>
        <w:snapToGrid w:val="0"/>
        <w:ind w:firstLine="480" w:firstLineChars="200"/>
        <w:rPr>
          <w:rFonts w:hint="eastAsia" w:ascii="仿宋" w:hAnsi="仿宋" w:eastAsia="仿宋"/>
          <w:sz w:val="24"/>
          <w:szCs w:val="24"/>
        </w:rPr>
      </w:pPr>
      <w:r>
        <w:rPr>
          <w:rFonts w:hint="eastAsia" w:ascii="仿宋" w:hAnsi="仿宋" w:eastAsia="仿宋"/>
          <w:sz w:val="24"/>
          <w:szCs w:val="24"/>
        </w:rPr>
        <w:t>6.1.5.2乙方无正当理由未按甲方要求提供“4M1E 报告”、公司相关变更信息等（违反第2.2.7条），给甲方产品带来质量隐患或对甲方正常生产造成影响的，甲方有权视影响程度、损失大小，要求乙方按照1万元-5万元的标准向甲方支付违约金，情节较严重或年周期内重复发生的，甲方有权降低供货比例、暂停供货，直至取消合格供方资格。</w:t>
      </w:r>
    </w:p>
    <w:p w14:paraId="72120C0F">
      <w:pPr>
        <w:snapToGrid w:val="0"/>
        <w:ind w:firstLine="480" w:firstLineChars="200"/>
        <w:rPr>
          <w:rFonts w:hint="eastAsia" w:ascii="仿宋" w:hAnsi="仿宋" w:eastAsia="仿宋"/>
          <w:sz w:val="24"/>
          <w:szCs w:val="24"/>
        </w:rPr>
      </w:pPr>
      <w:r>
        <w:rPr>
          <w:rFonts w:hint="eastAsia" w:ascii="仿宋" w:hAnsi="仿宋" w:eastAsia="仿宋"/>
          <w:sz w:val="24"/>
          <w:szCs w:val="24"/>
        </w:rPr>
        <w:t>6.1.5.3甲方已通知乙方更改工艺或技术图纸，但乙方未按要求进行更改，或乙方发生符合PPAP中规定的应通知变更而未及时通知的，甲方一经发现，扣除乙方该批货物价值的10%作为违约金；对造成严重后果的，可予以加倍扣除违约金或取消其供货资格。</w:t>
      </w:r>
    </w:p>
    <w:p w14:paraId="45255974">
      <w:pPr>
        <w:snapToGrid w:val="0"/>
        <w:ind w:firstLine="480" w:firstLineChars="200"/>
        <w:rPr>
          <w:rFonts w:hint="eastAsia" w:ascii="仿宋" w:hAnsi="仿宋" w:eastAsia="仿宋"/>
          <w:sz w:val="24"/>
          <w:szCs w:val="24"/>
        </w:rPr>
      </w:pPr>
      <w:r>
        <w:rPr>
          <w:rFonts w:hint="eastAsia" w:ascii="仿宋" w:hAnsi="仿宋" w:eastAsia="仿宋"/>
          <w:sz w:val="24"/>
          <w:szCs w:val="24"/>
        </w:rPr>
        <w:t>6.1.5.4对甲方要求提交的资料或信息（包括但不限于供方自检报告等），如乙方提供与事实情况不符，甲方有权要求乙方支付1万元-5万元的违约金，情节严重的，甲方有权取消乙方供货资格。如果违约金不足以弥补甲方损失，甲方有权要求乙方赔偿甲方的全部直接损失。</w:t>
      </w:r>
    </w:p>
    <w:p w14:paraId="2E192A41">
      <w:pPr>
        <w:snapToGrid w:val="0"/>
        <w:ind w:firstLine="480" w:firstLineChars="200"/>
        <w:rPr>
          <w:rFonts w:hint="eastAsia" w:ascii="仿宋" w:hAnsi="仿宋" w:eastAsia="仿宋"/>
          <w:sz w:val="24"/>
          <w:szCs w:val="24"/>
        </w:rPr>
      </w:pPr>
      <w:r>
        <w:rPr>
          <w:rFonts w:hint="eastAsia" w:ascii="仿宋" w:hAnsi="仿宋" w:eastAsia="仿宋"/>
          <w:sz w:val="24"/>
          <w:szCs w:val="24"/>
        </w:rPr>
        <w:t>6.1.5.5对供货零件的尺寸类、性能类要求，乙方应制定检验规范并按甲方要求或国家、行业标准要求进行周期性检测控制，未按要求执行的，甲方有权要求乙方支付1万元-5万元违约金，如性能类项目未按要求执行周期性检验，甲方查实且发现性能不符合要求的，甲方有权要求乙方支付5万元-10万元违约金，情节严重的，甲方有权取消乙方供货资格。如果违约金不足以弥补甲方损失，甲方有权要求乙方赔偿甲方的全部直接损失。</w:t>
      </w:r>
    </w:p>
    <w:p w14:paraId="5F115754">
      <w:pPr>
        <w:snapToGrid w:val="0"/>
        <w:ind w:firstLine="480" w:firstLineChars="200"/>
        <w:rPr>
          <w:rFonts w:hint="eastAsia" w:ascii="仿宋" w:hAnsi="仿宋" w:eastAsia="仿宋"/>
          <w:sz w:val="24"/>
          <w:szCs w:val="24"/>
        </w:rPr>
      </w:pPr>
      <w:r>
        <w:rPr>
          <w:rFonts w:hint="eastAsia" w:ascii="仿宋" w:hAnsi="仿宋" w:eastAsia="仿宋"/>
          <w:sz w:val="24"/>
          <w:szCs w:val="24"/>
        </w:rPr>
        <w:t>6.1.6态度/沟通</w:t>
      </w:r>
    </w:p>
    <w:p w14:paraId="642C306A">
      <w:pPr>
        <w:snapToGrid w:val="0"/>
        <w:ind w:firstLine="480" w:firstLineChars="200"/>
        <w:rPr>
          <w:rFonts w:hint="eastAsia" w:ascii="仿宋" w:hAnsi="仿宋" w:eastAsia="仿宋"/>
          <w:sz w:val="24"/>
          <w:szCs w:val="24"/>
        </w:rPr>
      </w:pPr>
      <w:r>
        <w:rPr>
          <w:rFonts w:hint="eastAsia" w:ascii="仿宋" w:hAnsi="仿宋" w:eastAsia="仿宋"/>
          <w:sz w:val="24"/>
          <w:szCs w:val="24"/>
        </w:rPr>
        <w:t>6.1.6.1乙方对发生的质量问题及审核发现问题未按时反馈、未制定整改措施或制定了整改措施但未实施的，首次发生的支付违约金1000-5000元，一年内重复发生加倍支付违约金。</w:t>
      </w:r>
    </w:p>
    <w:p w14:paraId="66CD18AA">
      <w:pPr>
        <w:snapToGrid w:val="0"/>
        <w:ind w:firstLine="480" w:firstLineChars="200"/>
        <w:rPr>
          <w:rFonts w:hint="eastAsia" w:ascii="仿宋" w:hAnsi="仿宋" w:eastAsia="仿宋"/>
          <w:sz w:val="24"/>
          <w:szCs w:val="24"/>
        </w:rPr>
      </w:pPr>
      <w:r>
        <w:rPr>
          <w:rFonts w:hint="eastAsia" w:ascii="仿宋" w:hAnsi="仿宋" w:eastAsia="仿宋"/>
          <w:sz w:val="24"/>
          <w:szCs w:val="24"/>
        </w:rPr>
        <w:t>6.1.6.2乙方无正当理由未按要求及时提供相关有效证书、报告、信息的，首次发生的支付违约金2000元，一年内重复发生加倍支付违约金。</w:t>
      </w:r>
    </w:p>
    <w:p w14:paraId="4CF67767">
      <w:pPr>
        <w:snapToGrid w:val="0"/>
        <w:ind w:firstLine="480" w:firstLineChars="200"/>
        <w:rPr>
          <w:rFonts w:hint="eastAsia" w:ascii="仿宋" w:hAnsi="仿宋" w:eastAsia="仿宋"/>
          <w:sz w:val="24"/>
          <w:szCs w:val="24"/>
        </w:rPr>
      </w:pPr>
      <w:r>
        <w:rPr>
          <w:rFonts w:hint="eastAsia" w:ascii="仿宋" w:hAnsi="仿宋" w:eastAsia="仿宋"/>
          <w:sz w:val="24"/>
          <w:szCs w:val="24"/>
        </w:rPr>
        <w:t>6.1.6.3当出现认证证书失效、被暂停及变更时，乙方须7个工作日内书面告知甲方，否则乙方须支付违约金2000元，如果违约金不足以弥补甲方损失，甲方有权要求乙方赔偿甲方的全部直接损失。情节严重的，甲方有权取消乙方供货资格。</w:t>
      </w:r>
    </w:p>
    <w:p w14:paraId="668EAC81">
      <w:pPr>
        <w:snapToGrid w:val="0"/>
        <w:ind w:firstLine="480" w:firstLineChars="200"/>
        <w:rPr>
          <w:rFonts w:hint="eastAsia" w:ascii="仿宋" w:hAnsi="仿宋" w:eastAsia="仿宋"/>
          <w:sz w:val="24"/>
          <w:szCs w:val="24"/>
        </w:rPr>
      </w:pPr>
      <w:r>
        <w:rPr>
          <w:rFonts w:hint="eastAsia" w:ascii="仿宋" w:hAnsi="仿宋" w:eastAsia="仿宋"/>
          <w:sz w:val="24"/>
          <w:szCs w:val="24"/>
        </w:rPr>
        <w:t>6.1.7其它问题</w:t>
      </w:r>
    </w:p>
    <w:p w14:paraId="28DD3BB5">
      <w:pPr>
        <w:snapToGrid w:val="0"/>
        <w:ind w:firstLine="480" w:firstLineChars="200"/>
        <w:rPr>
          <w:rFonts w:hint="eastAsia" w:ascii="仿宋" w:hAnsi="仿宋" w:eastAsia="仿宋"/>
          <w:sz w:val="24"/>
          <w:szCs w:val="24"/>
        </w:rPr>
      </w:pPr>
      <w:r>
        <w:rPr>
          <w:rFonts w:hint="eastAsia" w:ascii="仿宋" w:hAnsi="仿宋" w:eastAsia="仿宋"/>
          <w:sz w:val="24"/>
          <w:szCs w:val="24"/>
        </w:rPr>
        <w:t>6.1.7.1因乙方产品质量问题，造成甲方或客户人员伤害和财产损失的，乙方除按本协议承担赔偿外，还应按相关法律、法规的规定承担有关责任，并承担因此给客户或相关人员造成的人员或财产的相关损失。</w:t>
      </w:r>
    </w:p>
    <w:p w14:paraId="35BCD57C">
      <w:pPr>
        <w:snapToGrid w:val="0"/>
        <w:ind w:firstLine="480" w:firstLineChars="200"/>
        <w:rPr>
          <w:rFonts w:hint="eastAsia" w:ascii="仿宋" w:hAnsi="仿宋" w:eastAsia="仿宋"/>
          <w:sz w:val="24"/>
          <w:szCs w:val="24"/>
        </w:rPr>
      </w:pPr>
      <w:r>
        <w:rPr>
          <w:rFonts w:hint="eastAsia" w:ascii="仿宋" w:hAnsi="仿宋" w:eastAsia="仿宋"/>
          <w:sz w:val="24"/>
          <w:szCs w:val="24"/>
        </w:rPr>
        <w:t>6.1.7.2其它未尽事宜，双方协商解决，协商一致后签订补充协议。</w:t>
      </w:r>
    </w:p>
    <w:p w14:paraId="555933CF">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6.2索赔程序</w:t>
      </w:r>
    </w:p>
    <w:p w14:paraId="081ABDDB">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6.2.1甲方依据乙方问题所造成的影响及后果，按照本协议的规定，确定违约金及索赔金额并通过甲方采购信息化系统、邮件等形式通知乙方，乙方应及时进行确认。乙方如有异议，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14:paraId="5FE9A36C">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6.2.2对乙方的考核，由乙方以电汇或现金的方式结算。乙方降价、索赔费用由甲方从其货款中扣除，甲方财务部门在结算乙方货款时，首先扣除因产品质量问题产生降价、索赔金额。</w:t>
      </w:r>
    </w:p>
    <w:p w14:paraId="1246194B">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6.2.3乙方发现甲方人员对质量责任判定弄虚作假的，有权向甲方投诉，经甲方查证属实的，将无息退还误判乙方的索赔费用。</w:t>
      </w:r>
    </w:p>
    <w:p w14:paraId="679AE002">
      <w:pPr>
        <w:ind w:firstLine="480" w:firstLineChars="200"/>
        <w:jc w:val="left"/>
        <w:rPr>
          <w:rFonts w:hint="eastAsia" w:ascii="仿宋" w:hAnsi="仿宋" w:eastAsia="仿宋"/>
          <w:sz w:val="24"/>
          <w:szCs w:val="24"/>
        </w:rPr>
      </w:pPr>
      <w:r>
        <w:rPr>
          <w:rFonts w:hint="eastAsia" w:ascii="仿宋" w:hAnsi="仿宋" w:eastAsia="仿宋"/>
          <w:sz w:val="24"/>
          <w:szCs w:val="24"/>
        </w:rPr>
        <w:t>6.2.4质量保证金</w:t>
      </w:r>
    </w:p>
    <w:p w14:paraId="702559A6">
      <w:pPr>
        <w:widowControl/>
        <w:numPr>
          <w:ilvl w:val="0"/>
          <w:numId w:val="4"/>
        </w:numPr>
        <w:ind w:firstLine="480" w:firstLineChars="200"/>
        <w:jc w:val="left"/>
        <w:rPr>
          <w:rFonts w:hint="eastAsia" w:ascii="仿宋" w:hAnsi="仿宋" w:eastAsia="仿宋"/>
          <w:sz w:val="24"/>
          <w:szCs w:val="24"/>
        </w:rPr>
      </w:pPr>
      <w:r>
        <w:rPr>
          <w:rFonts w:hint="eastAsia" w:ascii="仿宋" w:hAnsi="仿宋" w:eastAsia="仿宋"/>
          <w:sz w:val="24"/>
          <w:szCs w:val="24"/>
        </w:rPr>
        <w:t>质量保证金用于乙方所供产品发生质量问题的索赔保证金，以确保乙方所供产品的售后追偿索赔可正常进行。质量保证金从应付货款中计提，质量保证金不作为每月向乙方付款的基数，本协议执行完毕后，可转入下一年度作为质量保证金。</w:t>
      </w:r>
    </w:p>
    <w:p w14:paraId="4F7B3B69">
      <w:pPr>
        <w:widowControl/>
        <w:numPr>
          <w:ilvl w:val="0"/>
          <w:numId w:val="5"/>
        </w:numPr>
        <w:ind w:firstLine="480" w:firstLineChars="200"/>
        <w:jc w:val="left"/>
        <w:rPr>
          <w:rFonts w:hint="eastAsia" w:ascii="仿宋" w:hAnsi="仿宋" w:eastAsia="仿宋"/>
          <w:sz w:val="24"/>
          <w:szCs w:val="24"/>
        </w:rPr>
      </w:pPr>
      <w:r>
        <w:rPr>
          <w:rFonts w:hint="eastAsia" w:ascii="仿宋" w:hAnsi="仿宋" w:eastAsia="仿宋"/>
          <w:sz w:val="24"/>
          <w:szCs w:val="24"/>
        </w:rPr>
        <w:t>对于采购产品合格供方，质保金计算方式为：年度质保金额度=上年度质量索赔费用×本年度较上年度预测产量增幅系数×风险系数，最低1万元，最高200万元。年度质量索赔费用与年度供货额的比率，为质量索赔比率（A）；根据不同的质量索赔比率设定不同的风险系数：A≤2%，风险系数=1； 2%&lt; A≤5%，风险系数=1.2；5%&lt; A≤10%，风险系数=1.5； A&gt;10%，风险系数=2。</w:t>
      </w:r>
    </w:p>
    <w:p w14:paraId="5B79E184">
      <w:pPr>
        <w:widowControl/>
        <w:ind w:left="480"/>
        <w:jc w:val="left"/>
        <w:rPr>
          <w:rFonts w:hint="eastAsia" w:ascii="仿宋" w:hAnsi="仿宋" w:eastAsia="仿宋"/>
          <w:sz w:val="24"/>
          <w:szCs w:val="24"/>
        </w:rPr>
      </w:pPr>
      <w:r>
        <w:rPr>
          <w:rFonts w:hint="eastAsia" w:ascii="仿宋" w:hAnsi="仿宋" w:eastAsia="仿宋"/>
          <w:sz w:val="24"/>
          <w:szCs w:val="24"/>
        </w:rPr>
        <w:t>对于采购产品新准入供方，按照已挂账发票逐票预留，直至留足，上限200万元。</w:t>
      </w:r>
    </w:p>
    <w:p w14:paraId="2907A7B7">
      <w:pPr>
        <w:widowControl/>
        <w:numPr>
          <w:ilvl w:val="0"/>
          <w:numId w:val="5"/>
        </w:numPr>
        <w:ind w:firstLine="480" w:firstLineChars="200"/>
        <w:jc w:val="left"/>
        <w:rPr>
          <w:rFonts w:hint="eastAsia" w:ascii="仿宋" w:hAnsi="仿宋" w:eastAsia="仿宋"/>
          <w:sz w:val="24"/>
          <w:szCs w:val="24"/>
        </w:rPr>
      </w:pPr>
      <w:r>
        <w:rPr>
          <w:rFonts w:hint="eastAsia" w:ascii="仿宋" w:hAnsi="仿宋" w:eastAsia="仿宋"/>
          <w:sz w:val="24"/>
          <w:szCs w:val="24"/>
        </w:rPr>
        <w:t xml:space="preserve">双方确认合同有效期内乙方应缴纳质保金【    】万元，自应付账款中扣除作为质保金。 </w:t>
      </w:r>
    </w:p>
    <w:p w14:paraId="0E42F8C3">
      <w:pPr>
        <w:widowControl/>
        <w:ind w:firstLine="480" w:firstLineChars="200"/>
        <w:jc w:val="left"/>
        <w:rPr>
          <w:rFonts w:hint="eastAsia" w:ascii="仿宋" w:hAnsi="仿宋" w:eastAsia="仿宋"/>
          <w:sz w:val="24"/>
          <w:szCs w:val="24"/>
        </w:rPr>
      </w:pPr>
      <w:r>
        <w:rPr>
          <w:rFonts w:hint="eastAsia" w:ascii="仿宋" w:hAnsi="仿宋" w:eastAsia="仿宋"/>
          <w:sz w:val="24"/>
          <w:szCs w:val="24"/>
        </w:rPr>
        <w:t>（4）甲方按照约定扣除保证金后，有权自动在应付乙方账款中扣除相应金额补足质保金，如应付账款无法补足的，乙方以现款补足。</w:t>
      </w:r>
    </w:p>
    <w:p w14:paraId="1346122D">
      <w:pPr>
        <w:widowControl/>
        <w:ind w:firstLine="480" w:firstLineChars="200"/>
        <w:jc w:val="left"/>
        <w:rPr>
          <w:rFonts w:hint="eastAsia" w:ascii="仿宋" w:hAnsi="仿宋" w:eastAsia="仿宋"/>
          <w:sz w:val="24"/>
          <w:szCs w:val="24"/>
        </w:rPr>
      </w:pPr>
      <w:r>
        <w:rPr>
          <w:rFonts w:hint="eastAsia" w:ascii="仿宋" w:hAnsi="仿宋" w:eastAsia="仿宋"/>
          <w:sz w:val="24"/>
          <w:szCs w:val="24"/>
        </w:rPr>
        <w:t>（5）质量保证金额度确定后，每半年对乙方进行风险评估，风险系数发生变化时，甲方应按照计算规则对质量保证金额度进行调整。当乙方出现停供风险时，甲方有权根据实际情况重新确定质保金额度，并自应付账款中扣除质保金差额部分，如应付账款无法补足的，乙方同意以现款补足质量保证金。</w:t>
      </w:r>
    </w:p>
    <w:p w14:paraId="03A61176">
      <w:pPr>
        <w:widowControl/>
        <w:ind w:firstLine="480" w:firstLineChars="200"/>
        <w:jc w:val="left"/>
        <w:rPr>
          <w:rFonts w:hint="eastAsia" w:ascii="仿宋" w:hAnsi="仿宋" w:eastAsia="仿宋"/>
          <w:sz w:val="24"/>
          <w:szCs w:val="24"/>
        </w:rPr>
      </w:pPr>
      <w:r>
        <w:rPr>
          <w:rFonts w:hint="eastAsia" w:ascii="仿宋" w:hAnsi="仿宋" w:eastAsia="仿宋"/>
          <w:sz w:val="24"/>
          <w:szCs w:val="24"/>
        </w:rPr>
        <w:t>（6）乙方停止供货一年后，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14:paraId="0301C6E5">
      <w:pPr>
        <w:widowControl/>
        <w:ind w:firstLine="480" w:firstLineChars="200"/>
        <w:jc w:val="left"/>
        <w:rPr>
          <w:rFonts w:hint="eastAsia" w:ascii="仿宋" w:hAnsi="仿宋" w:eastAsia="仿宋"/>
          <w:sz w:val="24"/>
          <w:szCs w:val="24"/>
        </w:rPr>
      </w:pPr>
      <w:r>
        <w:rPr>
          <w:rFonts w:hint="eastAsia" w:ascii="仿宋" w:hAnsi="仿宋" w:eastAsia="仿宋"/>
          <w:sz w:val="24"/>
          <w:szCs w:val="24"/>
        </w:rPr>
        <w:t>（7）如乙方向甲方所属集团公司内多家制造单位供货，质量保证金额度分别计算、收取。如乙方出现停供风险，可在集团范围内统筹使用质量保证金，消除售后索赔赔付风险，乙方对此无异议。</w:t>
      </w:r>
    </w:p>
    <w:p w14:paraId="5241A8EB">
      <w:pPr>
        <w:widowControl/>
        <w:ind w:firstLine="480" w:firstLineChars="200"/>
        <w:jc w:val="left"/>
        <w:rPr>
          <w:rFonts w:hint="eastAsia" w:ascii="仿宋" w:hAnsi="仿宋" w:eastAsia="仿宋"/>
          <w:sz w:val="24"/>
          <w:szCs w:val="24"/>
        </w:rPr>
      </w:pPr>
      <w:r>
        <w:rPr>
          <w:rFonts w:hint="eastAsia" w:ascii="仿宋" w:hAnsi="仿宋" w:eastAsia="仿宋"/>
          <w:sz w:val="24"/>
          <w:szCs w:val="24"/>
        </w:rPr>
        <w:t>6.2.5由于工装质量原因，导致产品在甲方的生产过程中出现不合格品或造成相关损失，质量责任由乙方承担，乙方应赔偿，包括但不限于加工费用、工时费、废品损失费、返修费等，具体按照甲方财务部门核定的费用为准。</w:t>
      </w:r>
    </w:p>
    <w:p w14:paraId="56B602BE">
      <w:pPr>
        <w:widowControl/>
        <w:ind w:firstLine="480" w:firstLineChars="200"/>
        <w:jc w:val="left"/>
        <w:rPr>
          <w:rFonts w:hint="eastAsia" w:ascii="仿宋" w:hAnsi="仿宋" w:eastAsia="仿宋"/>
          <w:sz w:val="24"/>
          <w:szCs w:val="24"/>
        </w:rPr>
      </w:pPr>
      <w:r>
        <w:rPr>
          <w:rFonts w:hint="eastAsia" w:ascii="仿宋" w:hAnsi="仿宋" w:eastAsia="仿宋"/>
          <w:sz w:val="24"/>
          <w:szCs w:val="24"/>
        </w:rPr>
        <w:t>6.2.6乙方要根据甲方反馈的不合格信息及时提出整改措施，组织进行整改。由于整改不到位，造成质量问题的重复发生，乙方要加倍赔偿甲方的损失。</w:t>
      </w:r>
    </w:p>
    <w:p w14:paraId="4A4CD0C7">
      <w:pPr>
        <w:widowControl/>
        <w:ind w:firstLine="480" w:firstLineChars="200"/>
        <w:jc w:val="left"/>
        <w:rPr>
          <w:rFonts w:hint="eastAsia" w:ascii="仿宋" w:hAnsi="仿宋" w:eastAsia="仿宋"/>
          <w:sz w:val="24"/>
          <w:szCs w:val="24"/>
        </w:rPr>
      </w:pPr>
      <w:r>
        <w:rPr>
          <w:rFonts w:hint="eastAsia" w:ascii="仿宋" w:hAnsi="仿宋" w:eastAsia="仿宋"/>
          <w:sz w:val="24"/>
          <w:szCs w:val="24"/>
        </w:rPr>
        <w:t>6.2.7乙方应确保供货不耽误甲方正常生产（不可抗拒因素除外），如果因乙方产品质量原因或供货期滞后，导致甲方局部或全线停产，甲方在30分钟内通知乙方，乙方应承担停产给甲方造成的损失，按每条线每小时1000-5000元计算，年周期内重复发生的加倍考核。</w:t>
      </w:r>
    </w:p>
    <w:p w14:paraId="45DF9EB6">
      <w:pPr>
        <w:widowControl/>
        <w:ind w:firstLine="480" w:firstLineChars="200"/>
        <w:jc w:val="left"/>
        <w:rPr>
          <w:rFonts w:hint="eastAsia" w:ascii="仿宋" w:hAnsi="仿宋" w:eastAsia="仿宋"/>
          <w:sz w:val="24"/>
          <w:szCs w:val="24"/>
        </w:rPr>
      </w:pPr>
      <w:r>
        <w:rPr>
          <w:rFonts w:hint="eastAsia" w:ascii="仿宋" w:hAnsi="仿宋" w:eastAsia="仿宋"/>
          <w:sz w:val="24"/>
          <w:szCs w:val="24"/>
        </w:rPr>
        <w:t>6.2.8对于已付款的不合格的外制工装，每月由甲方工艺工程部门开据《质量索赔通知单》，并通知乙方确认。</w:t>
      </w:r>
    </w:p>
    <w:p w14:paraId="23E2F6A9">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7．法律适用与争议解决</w:t>
      </w:r>
    </w:p>
    <w:p w14:paraId="62877FF8">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协议受中华人民共和国法律的管辖。由本协议产生或与本协议有关的所有争议，若无法在争议发生后30日内通过双方友好协商解决，则本协议任何一方有权将争议提交至甲方住所地有管辖权的人民法院诉讼解决。</w:t>
      </w:r>
    </w:p>
    <w:p w14:paraId="24553A2A">
      <w:pPr>
        <w:widowControl/>
        <w:ind w:firstLine="482" w:firstLineChars="200"/>
        <w:jc w:val="left"/>
        <w:rPr>
          <w:rFonts w:hint="eastAsia" w:ascii="仿宋" w:hAnsi="仿宋" w:eastAsia="仿宋"/>
          <w:kern w:val="0"/>
          <w:sz w:val="24"/>
          <w:szCs w:val="24"/>
        </w:rPr>
      </w:pPr>
      <w:r>
        <w:rPr>
          <w:rFonts w:hint="eastAsia" w:ascii="仿宋" w:hAnsi="仿宋" w:eastAsia="仿宋"/>
          <w:b/>
          <w:kern w:val="0"/>
          <w:sz w:val="24"/>
          <w:szCs w:val="24"/>
        </w:rPr>
        <w:t>8．其他规定</w:t>
      </w:r>
    </w:p>
    <w:p w14:paraId="10691934">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8.1本协议终止（中止）时，乙方需将甲方提供的技术资料（含复印件）、工装模具等如数交还甲方，并对甲方相关的所有技术资料进行保密。</w:t>
      </w:r>
    </w:p>
    <w:p w14:paraId="6AECFBEB">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8.2乙方不得与甲方的客户直接发生与甲方采购产品有关的任何商务往来。</w:t>
      </w:r>
    </w:p>
    <w:p w14:paraId="04EEA98F">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8.3乙方违反本协议各项条款，甲方有权中止与乙方签订的采购合同，由此造成的一切损失由乙方承担。</w:t>
      </w:r>
    </w:p>
    <w:p w14:paraId="7785F5FA">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8.4本协议书自双方代表签字并盖章后生效，有效期限为</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 xml:space="preserve"> 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日至</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日。协议到期后如双方均无异议，则本协议延续一年，最多可延续两次。</w:t>
      </w:r>
    </w:p>
    <w:p w14:paraId="2BAE3A21">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8.5 任何一方如欲修改本协议，需在协议到期前一个月书面通知另一方，本协议将到期终止，双方可另行签署新的《采购产品质量保证与服务协议》。</w:t>
      </w:r>
    </w:p>
    <w:p w14:paraId="28460F81">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8.6本协议生效后，甲方与乙方之前签订的质量保证协议即行废止。</w:t>
      </w:r>
    </w:p>
    <w:p w14:paraId="495CD171">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8.7本协议一式两份，甲乙双方各执一份，具有同等法律效力。</w:t>
      </w:r>
    </w:p>
    <w:p w14:paraId="0D25F385">
      <w:pPr>
        <w:widowControl/>
        <w:ind w:firstLine="480" w:firstLineChars="200"/>
        <w:jc w:val="left"/>
        <w:rPr>
          <w:rFonts w:hint="eastAsia" w:ascii="仿宋" w:hAnsi="仿宋" w:eastAsia="仿宋"/>
          <w:kern w:val="0"/>
          <w:sz w:val="24"/>
          <w:szCs w:val="24"/>
        </w:rPr>
      </w:pPr>
    </w:p>
    <w:p w14:paraId="23EE1BB0">
      <w:pPr>
        <w:widowControl/>
        <w:ind w:firstLine="480" w:firstLineChars="200"/>
        <w:jc w:val="left"/>
        <w:rPr>
          <w:rFonts w:hint="eastAsia" w:ascii="仿宋" w:hAnsi="仿宋" w:eastAsia="仿宋"/>
          <w:kern w:val="0"/>
          <w:sz w:val="24"/>
          <w:szCs w:val="24"/>
        </w:rPr>
      </w:pPr>
    </w:p>
    <w:p w14:paraId="03C79C6F">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甲方:(盖章)                            乙方：(盖章)</w:t>
      </w:r>
    </w:p>
    <w:p w14:paraId="36696749">
      <w:pPr>
        <w:widowControl/>
        <w:ind w:firstLine="480" w:firstLineChars="200"/>
        <w:jc w:val="left"/>
        <w:rPr>
          <w:rFonts w:hint="eastAsia" w:ascii="仿宋" w:hAnsi="仿宋" w:eastAsia="仿宋"/>
          <w:kern w:val="0"/>
          <w:sz w:val="24"/>
          <w:szCs w:val="24"/>
        </w:rPr>
      </w:pPr>
    </w:p>
    <w:p w14:paraId="2B972163">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授权代表人签字：                       授权代表人签字：</w:t>
      </w:r>
    </w:p>
    <w:p w14:paraId="4A5EE172">
      <w:pPr>
        <w:widowControl/>
        <w:ind w:firstLine="480" w:firstLineChars="200"/>
        <w:jc w:val="left"/>
        <w:rPr>
          <w:rFonts w:hint="eastAsia" w:ascii="仿宋" w:hAnsi="仿宋" w:eastAsia="仿宋"/>
          <w:kern w:val="0"/>
          <w:sz w:val="24"/>
          <w:szCs w:val="24"/>
        </w:rPr>
      </w:pPr>
    </w:p>
    <w:p w14:paraId="533D9DFF">
      <w:pPr>
        <w:widowControl/>
        <w:ind w:firstLine="1440" w:firstLineChars="600"/>
        <w:jc w:val="left"/>
        <w:rPr>
          <w:rFonts w:hint="eastAsia" w:ascii="仿宋" w:hAnsi="仿宋" w:eastAsia="仿宋"/>
          <w:kern w:val="0"/>
          <w:sz w:val="24"/>
          <w:szCs w:val="24"/>
        </w:rPr>
      </w:pPr>
      <w:r>
        <w:rPr>
          <w:rFonts w:hint="eastAsia" w:ascii="仿宋" w:hAnsi="仿宋" w:eastAsia="仿宋"/>
          <w:kern w:val="0"/>
          <w:sz w:val="24"/>
          <w:szCs w:val="24"/>
        </w:rPr>
        <w:t>时间:    年  月  日                    时间:    年  月  日</w:t>
      </w:r>
    </w:p>
    <w:p w14:paraId="07426D83">
      <w:pPr>
        <w:rPr>
          <w:rFonts w:hint="eastAsia" w:ascii="仿宋_GB2312" w:hAnsi="宋体" w:eastAsia="仿宋_GB2312"/>
          <w:sz w:val="24"/>
          <w:szCs w:val="24"/>
        </w:rPr>
      </w:pPr>
    </w:p>
    <w:bookmarkEnd w:id="41"/>
    <w:bookmarkEnd w:id="42"/>
    <w:bookmarkEnd w:id="43"/>
    <w:p w14:paraId="62B2BA5E">
      <w:pPr>
        <w:rPr>
          <w:rFonts w:hint="eastAsia" w:ascii="仿宋_GB2312" w:hAnsi="宋体" w:eastAsia="仿宋_GB2312"/>
          <w:sz w:val="24"/>
          <w:szCs w:val="24"/>
        </w:rPr>
      </w:pPr>
    </w:p>
    <w:p w14:paraId="5FBFA7A0">
      <w:pPr>
        <w:rPr>
          <w:rFonts w:hint="eastAsia" w:ascii="仿宋" w:hAnsi="仿宋" w:eastAsia="仿宋"/>
          <w:sz w:val="28"/>
          <w:szCs w:val="28"/>
        </w:rPr>
      </w:pPr>
    </w:p>
    <w:p w14:paraId="7AF76B96">
      <w:pPr>
        <w:rPr>
          <w:rFonts w:hint="eastAsia" w:ascii="仿宋" w:hAnsi="仿宋" w:eastAsia="仿宋"/>
          <w:sz w:val="28"/>
          <w:szCs w:val="28"/>
        </w:rPr>
      </w:pPr>
    </w:p>
    <w:p w14:paraId="3F8151FC">
      <w:pPr>
        <w:pStyle w:val="3"/>
        <w:rPr>
          <w:rFonts w:hint="eastAsia"/>
        </w:rPr>
      </w:pPr>
    </w:p>
    <w:p w14:paraId="1D625D04">
      <w:pPr>
        <w:pStyle w:val="4"/>
        <w:rPr>
          <w:rFonts w:hint="eastAsia"/>
        </w:rPr>
      </w:pPr>
    </w:p>
    <w:p w14:paraId="30BAC146">
      <w:pPr>
        <w:pStyle w:val="4"/>
        <w:rPr>
          <w:rFonts w:hint="eastAsia"/>
        </w:rPr>
      </w:pPr>
    </w:p>
    <w:p w14:paraId="15AA0074">
      <w:pPr>
        <w:pStyle w:val="4"/>
        <w:rPr>
          <w:rFonts w:hint="eastAsia"/>
        </w:rPr>
      </w:pPr>
    </w:p>
    <w:p w14:paraId="477A6AC1">
      <w:pPr>
        <w:pStyle w:val="4"/>
        <w:rPr>
          <w:rFonts w:hint="eastAsia"/>
        </w:rPr>
      </w:pPr>
    </w:p>
    <w:p w14:paraId="1D74A022">
      <w:pPr>
        <w:pStyle w:val="4"/>
        <w:rPr>
          <w:rFonts w:hint="eastAsia"/>
        </w:rPr>
      </w:pPr>
    </w:p>
    <w:p w14:paraId="219AA6E8">
      <w:pPr>
        <w:pStyle w:val="4"/>
        <w:rPr>
          <w:rFonts w:hint="eastAsia"/>
        </w:rPr>
      </w:pPr>
    </w:p>
    <w:p w14:paraId="0F9DA062">
      <w:pPr>
        <w:pStyle w:val="4"/>
        <w:rPr>
          <w:rFonts w:hint="eastAsia"/>
        </w:rPr>
      </w:pPr>
    </w:p>
    <w:p w14:paraId="305C61E8">
      <w:pPr>
        <w:pStyle w:val="4"/>
        <w:rPr>
          <w:rFonts w:hint="eastAsia"/>
        </w:rPr>
      </w:pPr>
    </w:p>
    <w:p w14:paraId="296A6917">
      <w:pPr>
        <w:pStyle w:val="4"/>
        <w:rPr>
          <w:rFonts w:hint="eastAsia"/>
        </w:rPr>
      </w:pPr>
    </w:p>
    <w:p w14:paraId="40716C2B">
      <w:pPr>
        <w:pStyle w:val="4"/>
        <w:rPr>
          <w:rFonts w:hint="eastAsia"/>
        </w:rPr>
      </w:pPr>
    </w:p>
    <w:p w14:paraId="3B8F4D42">
      <w:pPr>
        <w:pStyle w:val="4"/>
        <w:rPr>
          <w:rFonts w:hint="eastAsia"/>
        </w:rPr>
      </w:pPr>
    </w:p>
    <w:p w14:paraId="2DC545C7">
      <w:pPr>
        <w:pStyle w:val="4"/>
        <w:rPr>
          <w:rFonts w:hint="eastAsia"/>
        </w:rPr>
      </w:pPr>
    </w:p>
    <w:p w14:paraId="5736F3DE">
      <w:pPr>
        <w:rPr>
          <w:rFonts w:hint="eastAsia" w:ascii="宋体" w:hAnsi="宋体"/>
          <w:b/>
          <w:bCs/>
          <w:sz w:val="32"/>
        </w:rPr>
      </w:pPr>
    </w:p>
    <w:p w14:paraId="604479B1">
      <w:pPr>
        <w:jc w:val="center"/>
        <w:rPr>
          <w:rFonts w:ascii="宋体" w:hAnsi="宋体"/>
          <w:b/>
          <w:bCs/>
          <w:sz w:val="32"/>
        </w:rPr>
      </w:pPr>
      <w:r>
        <w:rPr>
          <w:rFonts w:hint="eastAsia" w:ascii="宋体" w:hAnsi="宋体"/>
          <w:b/>
          <w:bCs/>
          <w:sz w:val="32"/>
        </w:rPr>
        <w:t>服务承诺函</w:t>
      </w:r>
    </w:p>
    <w:p w14:paraId="7BEACDD5">
      <w:pPr>
        <w:spacing w:line="400" w:lineRule="exact"/>
        <w:jc w:val="center"/>
        <w:rPr>
          <w:rFonts w:ascii="宋体" w:hAnsi="宋体"/>
          <w:sz w:val="24"/>
        </w:rPr>
      </w:pPr>
      <w:r>
        <w:rPr>
          <w:rFonts w:hint="eastAsia" w:ascii="宋体" w:hAnsi="宋体"/>
          <w:sz w:val="24"/>
        </w:rPr>
        <w:t>（包含但不仅限于以下内容）</w:t>
      </w:r>
    </w:p>
    <w:p w14:paraId="7770953A">
      <w:pPr>
        <w:spacing w:line="400" w:lineRule="exact"/>
        <w:ind w:firstLine="3360"/>
        <w:jc w:val="center"/>
        <w:rPr>
          <w:rFonts w:ascii="宋体" w:hAnsi="宋体"/>
          <w:sz w:val="24"/>
        </w:rPr>
      </w:pPr>
      <w:r>
        <w:rPr>
          <w:rFonts w:hint="eastAsia" w:ascii="宋体" w:hAnsi="宋体"/>
          <w:sz w:val="24"/>
        </w:rPr>
        <w:t xml:space="preserve">项目名称：       </w:t>
      </w:r>
    </w:p>
    <w:p w14:paraId="37B50587">
      <w:pPr>
        <w:spacing w:line="400" w:lineRule="exact"/>
        <w:ind w:firstLine="3360"/>
        <w:jc w:val="center"/>
        <w:rPr>
          <w:rFonts w:ascii="宋体" w:hAnsi="宋体"/>
          <w:sz w:val="24"/>
        </w:rPr>
      </w:pPr>
      <w:r>
        <w:rPr>
          <w:rFonts w:hint="eastAsia" w:ascii="宋体" w:hAnsi="宋体"/>
          <w:sz w:val="24"/>
        </w:rPr>
        <w:t>项目编号：</w:t>
      </w:r>
    </w:p>
    <w:p w14:paraId="7B607D86">
      <w:pPr>
        <w:spacing w:line="400" w:lineRule="exact"/>
        <w:rPr>
          <w:rFonts w:ascii="宋体" w:hAnsi="宋体"/>
          <w:sz w:val="24"/>
        </w:rPr>
      </w:pPr>
      <w:r>
        <w:rPr>
          <w:rFonts w:hint="eastAsia" w:ascii="宋体" w:hAnsi="宋体"/>
          <w:sz w:val="24"/>
        </w:rPr>
        <w:t>重汽（济南）车桥有限公司：</w:t>
      </w:r>
    </w:p>
    <w:p w14:paraId="3AA456AF">
      <w:pPr>
        <w:spacing w:line="400" w:lineRule="exact"/>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(投标单位名称)  </w:t>
      </w:r>
      <w:r>
        <w:rPr>
          <w:rFonts w:hint="eastAsia" w:ascii="宋体" w:hAnsi="宋体"/>
          <w:sz w:val="24"/>
        </w:rPr>
        <w:t>对中标合同货物的服务作如下承诺：</w:t>
      </w:r>
    </w:p>
    <w:p w14:paraId="686C0E4C">
      <w:pPr>
        <w:tabs>
          <w:tab w:val="left" w:pos="615"/>
        </w:tabs>
        <w:spacing w:line="400" w:lineRule="exact"/>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30AF8B39">
      <w:pPr>
        <w:tabs>
          <w:tab w:val="left" w:pos="615"/>
        </w:tabs>
        <w:spacing w:line="400" w:lineRule="exact"/>
        <w:ind w:firstLine="480" w:firstLineChars="200"/>
        <w:rPr>
          <w:rFonts w:ascii="宋体" w:hAnsi="宋体"/>
          <w:sz w:val="24"/>
        </w:rPr>
      </w:pPr>
      <w:r>
        <w:rPr>
          <w:rFonts w:hint="eastAsia" w:ascii="宋体" w:hAnsi="宋体"/>
          <w:sz w:val="24"/>
        </w:rPr>
        <w:t>2．按需方要求的时间到现场进行技术服务。</w:t>
      </w:r>
    </w:p>
    <w:p w14:paraId="04587840">
      <w:pPr>
        <w:tabs>
          <w:tab w:val="left" w:pos="615"/>
        </w:tabs>
        <w:spacing w:line="400" w:lineRule="exact"/>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25560D96">
      <w:pPr>
        <w:numPr>
          <w:ilvl w:val="0"/>
          <w:numId w:val="6"/>
        </w:numPr>
        <w:tabs>
          <w:tab w:val="left" w:pos="1254"/>
        </w:tabs>
        <w:spacing w:line="400" w:lineRule="exact"/>
        <w:rPr>
          <w:rFonts w:ascii="宋体" w:hAnsi="宋体"/>
          <w:sz w:val="24"/>
        </w:rPr>
      </w:pPr>
      <w:r>
        <w:rPr>
          <w:rFonts w:hint="eastAsia" w:ascii="宋体" w:hAnsi="宋体"/>
          <w:sz w:val="24"/>
        </w:rPr>
        <w:t>严格执行供需双方就有关问题召开会议的纪要或签订的协议。</w:t>
      </w:r>
    </w:p>
    <w:p w14:paraId="5BF12842">
      <w:pPr>
        <w:numPr>
          <w:ilvl w:val="0"/>
          <w:numId w:val="6"/>
        </w:numPr>
        <w:tabs>
          <w:tab w:val="left" w:pos="1254"/>
        </w:tabs>
        <w:spacing w:line="400" w:lineRule="exact"/>
        <w:ind w:left="0" w:firstLine="480"/>
        <w:rPr>
          <w:rFonts w:ascii="宋体" w:hAnsi="宋体"/>
          <w:sz w:val="24"/>
        </w:rPr>
      </w:pPr>
      <w:r>
        <w:rPr>
          <w:rFonts w:hint="eastAsia" w:ascii="宋体" w:hAnsi="宋体"/>
          <w:sz w:val="24"/>
        </w:rPr>
        <w:t>根据需方的要求为需方举办有关货物指导安装、调试、使用、维护技术的业务培训，保证需方运行、维修人员熟练掌握运行和维修技能。</w:t>
      </w:r>
    </w:p>
    <w:p w14:paraId="2DFF5863">
      <w:pPr>
        <w:tabs>
          <w:tab w:val="left" w:pos="615"/>
        </w:tabs>
        <w:spacing w:line="400" w:lineRule="exact"/>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6．加强售前、售中、售后服务，把“24小时服务”、“超前服务”、“全过程服务”、“终身服务”贯彻在产品制造、指导安装、调试、大修的全过程。</w:t>
      </w:r>
    </w:p>
    <w:p w14:paraId="4772A104">
      <w:pPr>
        <w:tabs>
          <w:tab w:val="left" w:pos="615"/>
        </w:tabs>
        <w:spacing w:line="400" w:lineRule="exact"/>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rPr>
        <w:t xml:space="preserve">  </w:t>
      </w:r>
      <w:r>
        <w:rPr>
          <w:rFonts w:hint="eastAsia" w:ascii="宋体" w:hAnsi="宋体"/>
          <w:sz w:val="24"/>
        </w:rPr>
        <w:t>小时之内作出答复或派出服务人员，尽快到达现场，做到用户对质量不满意，服务不停止。</w:t>
      </w:r>
    </w:p>
    <w:p w14:paraId="1FCBD5F4">
      <w:pPr>
        <w:numPr>
          <w:ilvl w:val="0"/>
          <w:numId w:val="7"/>
        </w:numPr>
        <w:tabs>
          <w:tab w:val="left" w:pos="780"/>
        </w:tabs>
        <w:spacing w:line="400" w:lineRule="exact"/>
        <w:rPr>
          <w:rFonts w:ascii="宋体" w:hAnsi="宋体"/>
          <w:sz w:val="24"/>
        </w:rPr>
      </w:pPr>
      <w:r>
        <w:rPr>
          <w:rFonts w:hint="eastAsia" w:ascii="宋体" w:hAnsi="宋体"/>
          <w:sz w:val="24"/>
        </w:rPr>
        <w:t>随时满足需方对备品备件的要求。</w:t>
      </w:r>
    </w:p>
    <w:p w14:paraId="284DD1DF">
      <w:pPr>
        <w:tabs>
          <w:tab w:val="left" w:pos="615"/>
        </w:tabs>
        <w:spacing w:line="400" w:lineRule="exact"/>
        <w:ind w:firstLine="480" w:firstLineChars="200"/>
        <w:rPr>
          <w:rFonts w:ascii="宋体" w:hAnsi="宋体"/>
          <w:sz w:val="24"/>
        </w:rPr>
      </w:pPr>
      <w:r>
        <w:rPr>
          <w:rFonts w:hint="eastAsia" w:ascii="宋体" w:hAnsi="宋体"/>
          <w:sz w:val="24"/>
        </w:rPr>
        <w:t>9.无论在何种情况下，供方决不以任何理由刁难需方。</w:t>
      </w:r>
    </w:p>
    <w:p w14:paraId="3A133EAE">
      <w:pPr>
        <w:tabs>
          <w:tab w:val="left" w:pos="615"/>
        </w:tabs>
        <w:spacing w:line="400" w:lineRule="exact"/>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4BE81FA1">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1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3"/>
        <w:gridCol w:w="1401"/>
        <w:gridCol w:w="1539"/>
        <w:gridCol w:w="1551"/>
        <w:gridCol w:w="2473"/>
      </w:tblGrid>
      <w:tr w14:paraId="20A1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38" w:type="dxa"/>
            <w:vMerge w:val="restart"/>
            <w:noWrap w:val="0"/>
            <w:vAlign w:val="center"/>
          </w:tcPr>
          <w:p w14:paraId="00F6CEE7">
            <w:pPr>
              <w:spacing w:line="360" w:lineRule="auto"/>
              <w:jc w:val="center"/>
              <w:rPr>
                <w:rFonts w:ascii="宋体" w:hAnsi="宋体"/>
                <w:sz w:val="24"/>
              </w:rPr>
            </w:pPr>
            <w:r>
              <w:rPr>
                <w:rFonts w:hint="eastAsia" w:ascii="宋体" w:hAnsi="宋体"/>
                <w:sz w:val="24"/>
              </w:rPr>
              <w:t>序号</w:t>
            </w:r>
          </w:p>
        </w:tc>
        <w:tc>
          <w:tcPr>
            <w:tcW w:w="1413" w:type="dxa"/>
            <w:vMerge w:val="restart"/>
            <w:noWrap w:val="0"/>
            <w:vAlign w:val="center"/>
          </w:tcPr>
          <w:p w14:paraId="66A0CBDF">
            <w:pPr>
              <w:spacing w:line="360" w:lineRule="auto"/>
              <w:jc w:val="center"/>
              <w:rPr>
                <w:rFonts w:ascii="宋体" w:hAnsi="宋体"/>
                <w:sz w:val="24"/>
              </w:rPr>
            </w:pPr>
            <w:r>
              <w:rPr>
                <w:rFonts w:hint="eastAsia" w:ascii="宋体" w:hAnsi="宋体"/>
                <w:sz w:val="24"/>
              </w:rPr>
              <w:t>技术服务内容</w:t>
            </w:r>
          </w:p>
        </w:tc>
        <w:tc>
          <w:tcPr>
            <w:tcW w:w="1401" w:type="dxa"/>
            <w:vMerge w:val="restart"/>
            <w:noWrap w:val="0"/>
            <w:vAlign w:val="center"/>
          </w:tcPr>
          <w:p w14:paraId="59BB0546">
            <w:pPr>
              <w:spacing w:line="360" w:lineRule="auto"/>
              <w:jc w:val="center"/>
              <w:rPr>
                <w:rFonts w:ascii="宋体" w:hAnsi="宋体"/>
                <w:sz w:val="24"/>
              </w:rPr>
            </w:pPr>
            <w:r>
              <w:rPr>
                <w:rFonts w:hint="eastAsia" w:ascii="宋体" w:hAnsi="宋体"/>
                <w:sz w:val="24"/>
              </w:rPr>
              <w:t>计划人月数</w:t>
            </w:r>
          </w:p>
        </w:tc>
        <w:tc>
          <w:tcPr>
            <w:tcW w:w="3090" w:type="dxa"/>
            <w:gridSpan w:val="2"/>
            <w:noWrap w:val="0"/>
            <w:vAlign w:val="center"/>
          </w:tcPr>
          <w:p w14:paraId="2C4353CD">
            <w:pPr>
              <w:spacing w:line="360" w:lineRule="auto"/>
              <w:jc w:val="center"/>
              <w:rPr>
                <w:rFonts w:ascii="宋体" w:hAnsi="宋体"/>
                <w:sz w:val="24"/>
              </w:rPr>
            </w:pPr>
            <w:r>
              <w:rPr>
                <w:rFonts w:hint="eastAsia" w:ascii="宋体" w:hAnsi="宋体"/>
                <w:sz w:val="24"/>
              </w:rPr>
              <w:t>派出人员构成</w:t>
            </w:r>
          </w:p>
        </w:tc>
        <w:tc>
          <w:tcPr>
            <w:tcW w:w="2473" w:type="dxa"/>
            <w:vMerge w:val="restart"/>
            <w:noWrap w:val="0"/>
            <w:vAlign w:val="center"/>
          </w:tcPr>
          <w:p w14:paraId="695DD1EE">
            <w:pPr>
              <w:spacing w:line="360" w:lineRule="auto"/>
              <w:jc w:val="center"/>
              <w:rPr>
                <w:rFonts w:ascii="宋体" w:hAnsi="宋体"/>
                <w:sz w:val="24"/>
              </w:rPr>
            </w:pPr>
            <w:r>
              <w:rPr>
                <w:rFonts w:hint="eastAsia" w:ascii="宋体" w:hAnsi="宋体"/>
                <w:sz w:val="24"/>
              </w:rPr>
              <w:t>备   注</w:t>
            </w:r>
          </w:p>
        </w:tc>
      </w:tr>
      <w:tr w14:paraId="236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738" w:type="dxa"/>
            <w:vMerge w:val="continue"/>
            <w:noWrap w:val="0"/>
            <w:vAlign w:val="center"/>
          </w:tcPr>
          <w:p w14:paraId="6D097CDF">
            <w:pPr>
              <w:spacing w:line="360" w:lineRule="auto"/>
              <w:jc w:val="center"/>
              <w:rPr>
                <w:rFonts w:ascii="宋体" w:hAnsi="宋体"/>
                <w:sz w:val="24"/>
              </w:rPr>
            </w:pPr>
          </w:p>
        </w:tc>
        <w:tc>
          <w:tcPr>
            <w:tcW w:w="1413" w:type="dxa"/>
            <w:vMerge w:val="continue"/>
            <w:noWrap w:val="0"/>
            <w:vAlign w:val="center"/>
          </w:tcPr>
          <w:p w14:paraId="7CD7368E">
            <w:pPr>
              <w:spacing w:line="360" w:lineRule="auto"/>
              <w:jc w:val="center"/>
              <w:rPr>
                <w:rFonts w:ascii="宋体" w:hAnsi="宋体"/>
                <w:sz w:val="24"/>
              </w:rPr>
            </w:pPr>
          </w:p>
        </w:tc>
        <w:tc>
          <w:tcPr>
            <w:tcW w:w="1401" w:type="dxa"/>
            <w:vMerge w:val="continue"/>
            <w:noWrap w:val="0"/>
            <w:vAlign w:val="center"/>
          </w:tcPr>
          <w:p w14:paraId="49781085">
            <w:pPr>
              <w:spacing w:line="360" w:lineRule="auto"/>
              <w:jc w:val="center"/>
              <w:rPr>
                <w:rFonts w:ascii="宋体" w:hAnsi="宋体"/>
                <w:sz w:val="24"/>
              </w:rPr>
            </w:pPr>
          </w:p>
        </w:tc>
        <w:tc>
          <w:tcPr>
            <w:tcW w:w="1539" w:type="dxa"/>
            <w:noWrap w:val="0"/>
            <w:vAlign w:val="center"/>
          </w:tcPr>
          <w:p w14:paraId="2E1064EF">
            <w:pPr>
              <w:spacing w:line="360" w:lineRule="auto"/>
              <w:jc w:val="center"/>
              <w:rPr>
                <w:rFonts w:ascii="宋体" w:hAnsi="宋体"/>
                <w:sz w:val="24"/>
              </w:rPr>
            </w:pPr>
            <w:r>
              <w:rPr>
                <w:rFonts w:hint="eastAsia" w:ascii="宋体" w:hAnsi="宋体"/>
                <w:sz w:val="24"/>
              </w:rPr>
              <w:t>职 称</w:t>
            </w:r>
          </w:p>
        </w:tc>
        <w:tc>
          <w:tcPr>
            <w:tcW w:w="1551" w:type="dxa"/>
            <w:noWrap w:val="0"/>
            <w:vAlign w:val="center"/>
          </w:tcPr>
          <w:p w14:paraId="5E64DC56">
            <w:pPr>
              <w:spacing w:line="360" w:lineRule="auto"/>
              <w:jc w:val="center"/>
              <w:rPr>
                <w:rFonts w:ascii="宋体" w:hAnsi="宋体"/>
                <w:sz w:val="24"/>
              </w:rPr>
            </w:pPr>
            <w:r>
              <w:rPr>
                <w:rFonts w:hint="eastAsia" w:ascii="宋体" w:hAnsi="宋体"/>
                <w:sz w:val="24"/>
              </w:rPr>
              <w:t>人 数</w:t>
            </w:r>
          </w:p>
        </w:tc>
        <w:tc>
          <w:tcPr>
            <w:tcW w:w="2473" w:type="dxa"/>
            <w:vMerge w:val="continue"/>
            <w:noWrap w:val="0"/>
            <w:vAlign w:val="center"/>
          </w:tcPr>
          <w:p w14:paraId="4C436863">
            <w:pPr>
              <w:spacing w:line="360" w:lineRule="auto"/>
              <w:jc w:val="center"/>
              <w:rPr>
                <w:rFonts w:ascii="宋体" w:hAnsi="宋体"/>
                <w:sz w:val="24"/>
              </w:rPr>
            </w:pPr>
          </w:p>
        </w:tc>
      </w:tr>
      <w:tr w14:paraId="4488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1736789E">
            <w:pPr>
              <w:jc w:val="center"/>
              <w:rPr>
                <w:rFonts w:ascii="宋体" w:hAnsi="宋体"/>
                <w:sz w:val="24"/>
              </w:rPr>
            </w:pPr>
          </w:p>
        </w:tc>
        <w:tc>
          <w:tcPr>
            <w:tcW w:w="1413" w:type="dxa"/>
            <w:noWrap w:val="0"/>
            <w:vAlign w:val="center"/>
          </w:tcPr>
          <w:p w14:paraId="1454764B">
            <w:pPr>
              <w:jc w:val="center"/>
              <w:rPr>
                <w:rFonts w:ascii="宋体" w:hAnsi="宋体"/>
                <w:sz w:val="24"/>
              </w:rPr>
            </w:pPr>
          </w:p>
        </w:tc>
        <w:tc>
          <w:tcPr>
            <w:tcW w:w="1401" w:type="dxa"/>
            <w:noWrap w:val="0"/>
            <w:vAlign w:val="center"/>
          </w:tcPr>
          <w:p w14:paraId="0F69DB73">
            <w:pPr>
              <w:jc w:val="center"/>
              <w:rPr>
                <w:rFonts w:ascii="宋体" w:hAnsi="宋体"/>
                <w:sz w:val="24"/>
              </w:rPr>
            </w:pPr>
          </w:p>
        </w:tc>
        <w:tc>
          <w:tcPr>
            <w:tcW w:w="1539" w:type="dxa"/>
            <w:noWrap w:val="0"/>
            <w:vAlign w:val="center"/>
          </w:tcPr>
          <w:p w14:paraId="51BC30D9">
            <w:pPr>
              <w:jc w:val="center"/>
              <w:rPr>
                <w:rFonts w:ascii="宋体" w:hAnsi="宋体"/>
                <w:sz w:val="24"/>
              </w:rPr>
            </w:pPr>
          </w:p>
        </w:tc>
        <w:tc>
          <w:tcPr>
            <w:tcW w:w="1551" w:type="dxa"/>
            <w:noWrap w:val="0"/>
            <w:vAlign w:val="center"/>
          </w:tcPr>
          <w:p w14:paraId="0BDDEF76">
            <w:pPr>
              <w:jc w:val="center"/>
              <w:rPr>
                <w:rFonts w:ascii="宋体" w:hAnsi="宋体"/>
                <w:sz w:val="24"/>
              </w:rPr>
            </w:pPr>
          </w:p>
        </w:tc>
        <w:tc>
          <w:tcPr>
            <w:tcW w:w="2473" w:type="dxa"/>
            <w:noWrap w:val="0"/>
            <w:vAlign w:val="center"/>
          </w:tcPr>
          <w:p w14:paraId="5D423C9E">
            <w:pPr>
              <w:jc w:val="center"/>
              <w:rPr>
                <w:rFonts w:ascii="宋体" w:hAnsi="宋体"/>
                <w:sz w:val="24"/>
              </w:rPr>
            </w:pPr>
          </w:p>
        </w:tc>
      </w:tr>
      <w:tr w14:paraId="5EC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2AA5135A">
            <w:pPr>
              <w:jc w:val="center"/>
              <w:rPr>
                <w:rFonts w:ascii="宋体" w:hAnsi="宋体"/>
                <w:sz w:val="24"/>
              </w:rPr>
            </w:pPr>
          </w:p>
        </w:tc>
        <w:tc>
          <w:tcPr>
            <w:tcW w:w="1413" w:type="dxa"/>
            <w:noWrap w:val="0"/>
            <w:vAlign w:val="center"/>
          </w:tcPr>
          <w:p w14:paraId="4E848B29">
            <w:pPr>
              <w:jc w:val="center"/>
              <w:rPr>
                <w:rFonts w:ascii="宋体" w:hAnsi="宋体"/>
                <w:sz w:val="24"/>
              </w:rPr>
            </w:pPr>
          </w:p>
        </w:tc>
        <w:tc>
          <w:tcPr>
            <w:tcW w:w="1401" w:type="dxa"/>
            <w:noWrap w:val="0"/>
            <w:vAlign w:val="center"/>
          </w:tcPr>
          <w:p w14:paraId="02B74EC8">
            <w:pPr>
              <w:jc w:val="center"/>
              <w:rPr>
                <w:rFonts w:ascii="宋体" w:hAnsi="宋体"/>
                <w:sz w:val="24"/>
              </w:rPr>
            </w:pPr>
          </w:p>
        </w:tc>
        <w:tc>
          <w:tcPr>
            <w:tcW w:w="1539" w:type="dxa"/>
            <w:noWrap w:val="0"/>
            <w:vAlign w:val="center"/>
          </w:tcPr>
          <w:p w14:paraId="766BF138">
            <w:pPr>
              <w:jc w:val="center"/>
              <w:rPr>
                <w:rFonts w:ascii="宋体" w:hAnsi="宋体"/>
                <w:sz w:val="24"/>
              </w:rPr>
            </w:pPr>
          </w:p>
        </w:tc>
        <w:tc>
          <w:tcPr>
            <w:tcW w:w="1551" w:type="dxa"/>
            <w:noWrap w:val="0"/>
            <w:vAlign w:val="center"/>
          </w:tcPr>
          <w:p w14:paraId="752BDD87">
            <w:pPr>
              <w:jc w:val="center"/>
              <w:rPr>
                <w:rFonts w:ascii="宋体" w:hAnsi="宋体"/>
                <w:sz w:val="24"/>
              </w:rPr>
            </w:pPr>
          </w:p>
        </w:tc>
        <w:tc>
          <w:tcPr>
            <w:tcW w:w="2473" w:type="dxa"/>
            <w:noWrap w:val="0"/>
            <w:vAlign w:val="center"/>
          </w:tcPr>
          <w:p w14:paraId="5B2F36E7">
            <w:pPr>
              <w:jc w:val="center"/>
              <w:rPr>
                <w:rFonts w:ascii="宋体" w:hAnsi="宋体"/>
                <w:sz w:val="24"/>
              </w:rPr>
            </w:pPr>
          </w:p>
        </w:tc>
      </w:tr>
      <w:tr w14:paraId="21C7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4C348820">
            <w:pPr>
              <w:jc w:val="center"/>
              <w:rPr>
                <w:rFonts w:ascii="宋体" w:hAnsi="宋体"/>
                <w:sz w:val="24"/>
              </w:rPr>
            </w:pPr>
          </w:p>
        </w:tc>
        <w:tc>
          <w:tcPr>
            <w:tcW w:w="1413" w:type="dxa"/>
            <w:noWrap w:val="0"/>
            <w:vAlign w:val="center"/>
          </w:tcPr>
          <w:p w14:paraId="08FF6D75">
            <w:pPr>
              <w:jc w:val="center"/>
              <w:rPr>
                <w:rFonts w:ascii="宋体" w:hAnsi="宋体"/>
                <w:sz w:val="24"/>
              </w:rPr>
            </w:pPr>
          </w:p>
        </w:tc>
        <w:tc>
          <w:tcPr>
            <w:tcW w:w="1401" w:type="dxa"/>
            <w:noWrap w:val="0"/>
            <w:vAlign w:val="center"/>
          </w:tcPr>
          <w:p w14:paraId="09515AA5">
            <w:pPr>
              <w:jc w:val="center"/>
              <w:rPr>
                <w:rFonts w:ascii="宋体" w:hAnsi="宋体"/>
                <w:sz w:val="24"/>
              </w:rPr>
            </w:pPr>
          </w:p>
        </w:tc>
        <w:tc>
          <w:tcPr>
            <w:tcW w:w="1539" w:type="dxa"/>
            <w:noWrap w:val="0"/>
            <w:vAlign w:val="center"/>
          </w:tcPr>
          <w:p w14:paraId="3FE7CABD">
            <w:pPr>
              <w:jc w:val="center"/>
              <w:rPr>
                <w:rFonts w:ascii="宋体" w:hAnsi="宋体"/>
                <w:sz w:val="24"/>
              </w:rPr>
            </w:pPr>
          </w:p>
        </w:tc>
        <w:tc>
          <w:tcPr>
            <w:tcW w:w="1551" w:type="dxa"/>
            <w:noWrap w:val="0"/>
            <w:vAlign w:val="center"/>
          </w:tcPr>
          <w:p w14:paraId="21A5CD0C">
            <w:pPr>
              <w:jc w:val="center"/>
              <w:rPr>
                <w:rFonts w:ascii="宋体" w:hAnsi="宋体"/>
                <w:sz w:val="24"/>
              </w:rPr>
            </w:pPr>
          </w:p>
        </w:tc>
        <w:tc>
          <w:tcPr>
            <w:tcW w:w="2473" w:type="dxa"/>
            <w:noWrap w:val="0"/>
            <w:vAlign w:val="center"/>
          </w:tcPr>
          <w:p w14:paraId="1DF707D4">
            <w:pPr>
              <w:jc w:val="center"/>
              <w:rPr>
                <w:rFonts w:ascii="宋体" w:hAnsi="宋体"/>
                <w:sz w:val="24"/>
              </w:rPr>
            </w:pPr>
          </w:p>
        </w:tc>
      </w:tr>
    </w:tbl>
    <w:p w14:paraId="7A4D24D4">
      <w:pPr>
        <w:spacing w:line="360" w:lineRule="auto"/>
        <w:ind w:firstLine="5520" w:firstLineChars="2300"/>
        <w:rPr>
          <w:rFonts w:ascii="宋体" w:hAnsi="宋体"/>
          <w:sz w:val="24"/>
        </w:rPr>
      </w:pPr>
      <w:r>
        <w:rPr>
          <w:rFonts w:hint="eastAsia" w:ascii="宋体" w:hAnsi="宋体"/>
          <w:sz w:val="24"/>
        </w:rPr>
        <w:t xml:space="preserve">投标人名称（公章）：         </w:t>
      </w:r>
    </w:p>
    <w:p w14:paraId="645FEC60">
      <w:pPr>
        <w:spacing w:line="360" w:lineRule="auto"/>
        <w:ind w:firstLine="5520" w:firstLineChars="2300"/>
        <w:rPr>
          <w:rFonts w:ascii="宋体" w:hAnsi="宋体"/>
          <w:sz w:val="24"/>
        </w:rPr>
      </w:pPr>
      <w:r>
        <w:rPr>
          <w:rFonts w:hint="eastAsia" w:ascii="宋体" w:hAnsi="宋体"/>
          <w:sz w:val="24"/>
        </w:rPr>
        <w:t xml:space="preserve">授权代表签字：              </w:t>
      </w:r>
    </w:p>
    <w:p w14:paraId="71714DDA">
      <w:pPr>
        <w:spacing w:line="360" w:lineRule="auto"/>
        <w:ind w:firstLine="5520" w:firstLineChars="2300"/>
        <w:rPr>
          <w:rFonts w:ascii="宋体" w:hAnsi="宋体"/>
          <w:sz w:val="24"/>
        </w:rPr>
      </w:pPr>
      <w:r>
        <w:rPr>
          <w:rFonts w:hint="eastAsia" w:ascii="宋体" w:hAnsi="宋体"/>
          <w:sz w:val="24"/>
        </w:rPr>
        <w:t xml:space="preserve"> 日   期：   </w:t>
      </w:r>
    </w:p>
    <w:p w14:paraId="30A755A1">
      <w:pPr>
        <w:spacing w:line="360" w:lineRule="auto"/>
        <w:ind w:firstLine="5520" w:firstLineChars="2300"/>
        <w:rPr>
          <w:rFonts w:ascii="宋体" w:hAnsi="宋体"/>
          <w:sz w:val="24"/>
        </w:rPr>
      </w:pPr>
    </w:p>
    <w:p w14:paraId="2F50BC4C">
      <w:pPr>
        <w:spacing w:line="520" w:lineRule="exact"/>
        <w:jc w:val="center"/>
        <w:rPr>
          <w:rFonts w:hint="eastAsia" w:ascii="宋体" w:hAnsi="宋体"/>
          <w:b/>
          <w:bCs/>
          <w:sz w:val="32"/>
        </w:rPr>
      </w:pPr>
    </w:p>
    <w:p w14:paraId="780CB3DF">
      <w:pPr>
        <w:spacing w:line="520" w:lineRule="exact"/>
        <w:jc w:val="center"/>
        <w:rPr>
          <w:rFonts w:ascii="宋体" w:hAnsi="宋体"/>
          <w:b/>
          <w:bCs/>
          <w:sz w:val="32"/>
        </w:rPr>
      </w:pPr>
      <w:r>
        <w:rPr>
          <w:rFonts w:hint="eastAsia" w:ascii="宋体" w:hAnsi="宋体"/>
          <w:b/>
          <w:bCs/>
          <w:sz w:val="32"/>
        </w:rPr>
        <w:t>质量承诺函</w:t>
      </w:r>
    </w:p>
    <w:p w14:paraId="1C682BB5">
      <w:pPr>
        <w:spacing w:line="360" w:lineRule="auto"/>
        <w:ind w:firstLine="5640"/>
        <w:rPr>
          <w:rFonts w:ascii="宋体" w:hAnsi="宋体"/>
          <w:sz w:val="24"/>
        </w:rPr>
      </w:pPr>
      <w:r>
        <w:rPr>
          <w:rFonts w:hint="eastAsia" w:ascii="宋体" w:hAnsi="宋体"/>
          <w:sz w:val="24"/>
        </w:rPr>
        <w:t xml:space="preserve">项目名称：                </w:t>
      </w:r>
    </w:p>
    <w:p w14:paraId="63CA5440">
      <w:pPr>
        <w:spacing w:line="360" w:lineRule="auto"/>
        <w:ind w:firstLine="5640"/>
        <w:rPr>
          <w:rFonts w:ascii="宋体" w:hAnsi="宋体"/>
          <w:sz w:val="24"/>
        </w:rPr>
      </w:pPr>
      <w:r>
        <w:rPr>
          <w:rFonts w:hint="eastAsia" w:ascii="宋体" w:hAnsi="宋体"/>
          <w:sz w:val="24"/>
        </w:rPr>
        <w:t>项目编号：</w:t>
      </w:r>
    </w:p>
    <w:p w14:paraId="29298904">
      <w:pPr>
        <w:spacing w:line="360" w:lineRule="auto"/>
        <w:rPr>
          <w:rFonts w:ascii="宋体" w:hAnsi="宋体"/>
          <w:sz w:val="24"/>
        </w:rPr>
      </w:pPr>
      <w:r>
        <w:rPr>
          <w:rFonts w:hint="eastAsia" w:ascii="宋体" w:hAnsi="宋体"/>
          <w:sz w:val="24"/>
        </w:rPr>
        <w:t>重汽（济南）车桥有限公司：</w:t>
      </w:r>
    </w:p>
    <w:p w14:paraId="3902CA6E">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(投标单位名称)  </w:t>
      </w:r>
      <w:r>
        <w:rPr>
          <w:rFonts w:hint="eastAsia" w:ascii="宋体" w:hAnsi="宋体"/>
          <w:sz w:val="24"/>
        </w:rPr>
        <w:t>为保证中标货物的质量特作如下承诺：</w:t>
      </w:r>
    </w:p>
    <w:p w14:paraId="24DDEFB1">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7C4683F9">
      <w:pPr>
        <w:spacing w:line="360" w:lineRule="auto"/>
        <w:ind w:left="480"/>
        <w:rPr>
          <w:rFonts w:ascii="宋体" w:hAnsi="宋体"/>
          <w:sz w:val="24"/>
        </w:rPr>
      </w:pPr>
      <w:r>
        <w:rPr>
          <w:rFonts w:hint="eastAsia" w:ascii="宋体" w:hAnsi="宋体"/>
          <w:sz w:val="24"/>
        </w:rPr>
        <w:t>2．严格检查和控制原材料、原器件、配套件的进厂质量。</w:t>
      </w:r>
    </w:p>
    <w:p w14:paraId="5312CB64">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53426A03">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01ABB4C6">
      <w:pPr>
        <w:spacing w:line="360" w:lineRule="auto"/>
        <w:ind w:firstLine="480" w:firstLineChars="200"/>
        <w:rPr>
          <w:rFonts w:ascii="宋体" w:hAnsi="宋体"/>
          <w:sz w:val="24"/>
        </w:rPr>
      </w:pPr>
      <w:r>
        <w:rPr>
          <w:rFonts w:hint="eastAsia" w:ascii="宋体" w:hAnsi="宋体"/>
          <w:sz w:val="24"/>
        </w:rPr>
        <w:t>5．按合同规定向需方或监造单位提供有关部门标准和图纸，并为需方及监造提供方便,对货物的质量，工期进行全过程跟踪。</w:t>
      </w:r>
    </w:p>
    <w:p w14:paraId="0A999676">
      <w:pPr>
        <w:spacing w:line="360" w:lineRule="auto"/>
        <w:ind w:firstLine="480" w:firstLineChars="200"/>
        <w:rPr>
          <w:rFonts w:ascii="宋体" w:hAnsi="宋体"/>
          <w:sz w:val="24"/>
        </w:rPr>
      </w:pPr>
      <w:r>
        <w:rPr>
          <w:rFonts w:hint="eastAsia" w:ascii="宋体" w:hAnsi="宋体"/>
          <w:sz w:val="24"/>
        </w:rPr>
        <w:t>6．停工待检部位提前</w:t>
      </w:r>
      <w:r>
        <w:rPr>
          <w:rFonts w:hint="eastAsia" w:ascii="宋体" w:hAnsi="宋体"/>
          <w:sz w:val="24"/>
          <w:u w:val="single"/>
        </w:rPr>
        <w:t xml:space="preserve">   </w:t>
      </w:r>
      <w:r>
        <w:rPr>
          <w:rFonts w:hint="eastAsia" w:ascii="宋体" w:hAnsi="宋体"/>
          <w:sz w:val="24"/>
        </w:rPr>
        <w:t>天通知需方及监造代表。</w:t>
      </w:r>
    </w:p>
    <w:p w14:paraId="4A2B4589">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634ECC02">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28C72590">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12ED6B0F">
      <w:pPr>
        <w:numPr>
          <w:ilvl w:val="0"/>
          <w:numId w:val="8"/>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0B95A6FB">
      <w:pPr>
        <w:numPr>
          <w:ilvl w:val="0"/>
          <w:numId w:val="8"/>
        </w:numPr>
        <w:spacing w:line="360" w:lineRule="auto"/>
        <w:rPr>
          <w:rFonts w:ascii="宋体" w:hAnsi="宋体"/>
          <w:sz w:val="24"/>
        </w:rPr>
      </w:pPr>
      <w:r>
        <w:rPr>
          <w:rFonts w:hint="eastAsia" w:ascii="宋体" w:hAnsi="宋体"/>
          <w:sz w:val="24"/>
        </w:rPr>
        <w:t xml:space="preserve">我单位针对本项目提供的其他质量承诺 </w:t>
      </w:r>
      <w:r>
        <w:rPr>
          <w:rFonts w:hint="eastAsia" w:ascii="宋体" w:hAnsi="宋体"/>
          <w:sz w:val="24"/>
          <w:u w:val="single"/>
        </w:rPr>
        <w:t xml:space="preserve">         </w:t>
      </w:r>
      <w:r>
        <w:rPr>
          <w:rFonts w:hint="eastAsia" w:ascii="宋体" w:hAnsi="宋体"/>
          <w:sz w:val="24"/>
        </w:rPr>
        <w:t>。</w:t>
      </w:r>
    </w:p>
    <w:p w14:paraId="571F5963">
      <w:pPr>
        <w:spacing w:line="360" w:lineRule="auto"/>
        <w:ind w:left="480"/>
        <w:rPr>
          <w:rFonts w:ascii="宋体" w:hAnsi="宋体"/>
          <w:sz w:val="24"/>
        </w:rPr>
      </w:pPr>
      <w:r>
        <w:rPr>
          <w:rFonts w:hint="eastAsia" w:ascii="宋体" w:hAnsi="宋体"/>
          <w:sz w:val="24"/>
        </w:rPr>
        <w:t xml:space="preserve">                            </w:t>
      </w:r>
    </w:p>
    <w:p w14:paraId="13EAA0DE">
      <w:pPr>
        <w:spacing w:line="360" w:lineRule="auto"/>
        <w:ind w:left="480"/>
        <w:rPr>
          <w:rFonts w:ascii="宋体" w:hAnsi="宋体"/>
          <w:sz w:val="24"/>
        </w:rPr>
      </w:pPr>
    </w:p>
    <w:p w14:paraId="794BDDDA">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10646FE2">
      <w:pPr>
        <w:spacing w:line="360" w:lineRule="auto"/>
        <w:ind w:left="480"/>
        <w:rPr>
          <w:rFonts w:ascii="宋体" w:hAnsi="宋体"/>
          <w:sz w:val="24"/>
        </w:rPr>
      </w:pPr>
      <w:r>
        <w:rPr>
          <w:rFonts w:hint="eastAsia" w:ascii="宋体" w:hAnsi="宋体"/>
          <w:sz w:val="24"/>
        </w:rPr>
        <w:t xml:space="preserve">                            授权代表签字：                </w:t>
      </w:r>
    </w:p>
    <w:p w14:paraId="162BF07B">
      <w:pPr>
        <w:ind w:firstLine="3840" w:firstLineChars="1600"/>
        <w:rPr>
          <w:rFonts w:ascii="宋体" w:hAnsi="宋体"/>
          <w:sz w:val="24"/>
        </w:rPr>
      </w:pPr>
      <w:r>
        <w:rPr>
          <w:rFonts w:hint="eastAsia" w:ascii="宋体" w:hAnsi="宋体"/>
          <w:sz w:val="24"/>
        </w:rPr>
        <w:t xml:space="preserve">日    期： </w:t>
      </w:r>
    </w:p>
    <w:p w14:paraId="318FC0D8">
      <w:pPr>
        <w:spacing w:line="360" w:lineRule="auto"/>
        <w:ind w:firstLine="5520" w:firstLineChars="2300"/>
        <w:rPr>
          <w:rFonts w:ascii="宋体" w:hAnsi="宋体"/>
          <w:sz w:val="24"/>
        </w:rPr>
      </w:pPr>
    </w:p>
    <w:p w14:paraId="17026DF5">
      <w:pPr>
        <w:spacing w:line="360" w:lineRule="auto"/>
        <w:ind w:firstLine="5520" w:firstLineChars="2300"/>
        <w:rPr>
          <w:rFonts w:ascii="宋体" w:hAnsi="宋体"/>
          <w:sz w:val="24"/>
        </w:rPr>
      </w:pPr>
    </w:p>
    <w:p w14:paraId="71578F75">
      <w:pPr>
        <w:spacing w:line="300" w:lineRule="auto"/>
        <w:jc w:val="center"/>
        <w:rPr>
          <w:rFonts w:ascii="宋体" w:hAnsi="宋体"/>
          <w:b/>
          <w:bCs/>
          <w:sz w:val="32"/>
        </w:rPr>
      </w:pPr>
      <w:r>
        <w:rPr>
          <w:rFonts w:hint="eastAsia" w:ascii="宋体" w:hAnsi="宋体"/>
          <w:b/>
          <w:bCs/>
          <w:sz w:val="32"/>
        </w:rPr>
        <w:t>投标承诺书</w:t>
      </w:r>
    </w:p>
    <w:p w14:paraId="0CEEE5EA">
      <w:pPr>
        <w:spacing w:line="300" w:lineRule="auto"/>
        <w:jc w:val="left"/>
        <w:rPr>
          <w:rFonts w:ascii="宋体" w:hAnsi="宋体"/>
          <w:b/>
          <w:bCs/>
          <w:sz w:val="30"/>
          <w:szCs w:val="30"/>
        </w:rPr>
      </w:pPr>
      <w:r>
        <w:rPr>
          <w:rFonts w:hint="eastAsia" w:ascii="宋体" w:hAnsi="宋体"/>
          <w:b/>
          <w:bCs/>
          <w:sz w:val="30"/>
          <w:szCs w:val="30"/>
        </w:rPr>
        <w:t>重汽（济南）车桥有限公司：</w:t>
      </w:r>
    </w:p>
    <w:p w14:paraId="1658E422">
      <w:pPr>
        <w:widowControl/>
        <w:spacing w:before="100" w:beforeAutospacing="1" w:after="100" w:afterAutospacing="1" w:line="300" w:lineRule="auto"/>
        <w:ind w:firstLine="600" w:firstLineChars="250"/>
        <w:jc w:val="left"/>
        <w:rPr>
          <w:rFonts w:ascii="宋体" w:hAnsi="宋体" w:cs="宋体"/>
          <w:kern w:val="0"/>
          <w:sz w:val="24"/>
          <w:szCs w:val="24"/>
        </w:rPr>
      </w:pPr>
      <w:r>
        <w:rPr>
          <w:rFonts w:hint="eastAsia" w:ascii="宋体" w:hAnsi="宋体" w:cs="宋体"/>
          <w:kern w:val="0"/>
          <w:sz w:val="24"/>
          <w:szCs w:val="24"/>
        </w:rPr>
        <w:t>根据贵公司的招标邀请，遵照国家有关政策法规，我公司经研究决定，愿以按照贵公司所要求的条件参与</w:t>
      </w:r>
      <w:r>
        <w:rPr>
          <w:rFonts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项目的投标，我公司在参加上述项目投标活动中，作出如下承诺：</w:t>
      </w:r>
    </w:p>
    <w:p w14:paraId="1A8C4753">
      <w:pPr>
        <w:widowControl/>
        <w:spacing w:before="100" w:beforeAutospacing="1" w:after="100" w:afterAutospacing="1" w:line="300" w:lineRule="auto"/>
        <w:ind w:left="559" w:leftChars="266"/>
        <w:jc w:val="left"/>
        <w:rPr>
          <w:rFonts w:ascii="宋体" w:hAnsi="宋体" w:cs="宋体"/>
          <w:kern w:val="0"/>
          <w:sz w:val="24"/>
          <w:szCs w:val="24"/>
        </w:rPr>
      </w:pPr>
      <w:r>
        <w:rPr>
          <w:rFonts w:hint="eastAsia" w:ascii="宋体" w:hAnsi="宋体" w:cs="宋体"/>
          <w:kern w:val="0"/>
          <w:sz w:val="24"/>
          <w:szCs w:val="24"/>
        </w:rPr>
        <w:t>一、提供的相关资质、文件、授权书等材料均真实、合法、有效；</w:t>
      </w:r>
    </w:p>
    <w:p w14:paraId="7DA273D4">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E8B4972">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三、我公司接受贵公司招标文件的全部内容，如有偏离条款，保证会在投标文件中明确说明；</w:t>
      </w:r>
    </w:p>
    <w:p w14:paraId="415DCF77">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四、我公司认可贵公司的招标工作流程及依据该流程确定的招标结果；</w:t>
      </w:r>
    </w:p>
    <w:p w14:paraId="2FFA852C">
      <w:pPr>
        <w:widowControl/>
        <w:spacing w:before="100" w:beforeAutospacing="1" w:after="100" w:afterAutospacing="1" w:line="300" w:lineRule="auto"/>
        <w:ind w:firstLine="480" w:firstLineChars="200"/>
        <w:rPr>
          <w:rFonts w:ascii="宋体" w:hAnsi="宋体" w:cs="宋体"/>
          <w:kern w:val="0"/>
          <w:sz w:val="24"/>
          <w:szCs w:val="24"/>
        </w:rPr>
      </w:pPr>
      <w:r>
        <w:rPr>
          <w:rFonts w:hint="eastAsia" w:ascii="宋体" w:hAnsi="宋体" w:cs="宋体"/>
          <w:kern w:val="0"/>
          <w:sz w:val="24"/>
          <w:szCs w:val="24"/>
        </w:rPr>
        <w:t>五、一旦我公司中标，我公司将完全按照我方的投标书及投标现场签订的澄清函的内容来和贵公司签署最终合同及技术协议；</w:t>
      </w:r>
    </w:p>
    <w:p w14:paraId="31F34E5F">
      <w:pPr>
        <w:widowControl/>
        <w:spacing w:before="100" w:beforeAutospacing="1" w:after="100" w:afterAutospacing="1" w:line="300" w:lineRule="auto"/>
        <w:ind w:firstLine="480" w:firstLineChars="200"/>
        <w:rPr>
          <w:rFonts w:ascii="宋体" w:hAnsi="宋体" w:cs="宋体"/>
          <w:kern w:val="0"/>
          <w:sz w:val="24"/>
          <w:szCs w:val="24"/>
          <w:u w:val="single"/>
        </w:rPr>
      </w:pPr>
      <w:r>
        <w:rPr>
          <w:rFonts w:hint="eastAsia" w:ascii="宋体" w:hAnsi="宋体" w:cs="宋体"/>
          <w:kern w:val="0"/>
          <w:sz w:val="24"/>
          <w:szCs w:val="24"/>
        </w:rPr>
        <w:t>六、我公司同意在签订该承诺书的同时向贵公司缴纳投标保证金：</w:t>
      </w:r>
      <w:r>
        <w:rPr>
          <w:rFonts w:hint="eastAsia" w:ascii="宋体" w:hAnsi="宋体" w:cs="宋体"/>
          <w:kern w:val="0"/>
          <w:sz w:val="24"/>
          <w:szCs w:val="24"/>
          <w:u w:val="single"/>
        </w:rPr>
        <w:t xml:space="preserve">     </w:t>
      </w:r>
      <w:r>
        <w:rPr>
          <w:rFonts w:hint="eastAsia" w:ascii="宋体" w:hAnsi="宋体" w:cs="宋体"/>
          <w:kern w:val="0"/>
          <w:sz w:val="24"/>
          <w:szCs w:val="24"/>
        </w:rPr>
        <w:t>；同时</w:t>
      </w:r>
      <w:r>
        <w:rPr>
          <w:rFonts w:hint="eastAsia" w:ascii="宋体" w:hAnsi="宋体" w:cs="宋体"/>
          <w:b/>
          <w:kern w:val="0"/>
          <w:sz w:val="24"/>
          <w:szCs w:val="24"/>
        </w:rPr>
        <w:t>有偿</w:t>
      </w:r>
      <w:r>
        <w:rPr>
          <w:rFonts w:hint="eastAsia" w:ascii="宋体" w:hAnsi="宋体" w:cs="宋体"/>
          <w:kern w:val="0"/>
          <w:sz w:val="24"/>
          <w:szCs w:val="24"/>
        </w:rPr>
        <w:t>支付该项目的标书费：</w:t>
      </w:r>
      <w:r>
        <w:rPr>
          <w:rFonts w:hint="eastAsia" w:ascii="宋体" w:hAnsi="宋体" w:cs="宋体"/>
          <w:kern w:val="0"/>
          <w:sz w:val="24"/>
          <w:szCs w:val="24"/>
          <w:u w:val="single"/>
        </w:rPr>
        <w:t xml:space="preserve">       </w:t>
      </w:r>
    </w:p>
    <w:p w14:paraId="6E67623C">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如果我公司违反了上述第一至第六条的任一条款，我公司愿意承担由此引起的一切后果和相应的法律责任，同时上述第六条所述的投标保证金我公司自愿放弃，任由贵公司处理</w:t>
      </w:r>
    </w:p>
    <w:p w14:paraId="37145217">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同时我公司若出现以下行为，我公司也自愿放弃投标保证金，任由贵公司处理并承担相应的后果及法律责任。</w:t>
      </w:r>
    </w:p>
    <w:p w14:paraId="2D76024A">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a</w:t>
      </w:r>
      <w:r>
        <w:rPr>
          <w:rFonts w:hint="eastAsia" w:ascii="宋体" w:hAnsi="宋体" w:cs="宋体"/>
          <w:kern w:val="0"/>
          <w:sz w:val="24"/>
          <w:szCs w:val="24"/>
        </w:rPr>
        <w:t>）截至开标前5天，投标人无正当理由且未以书面形式递交说明而在投标截止日不来投标的；</w:t>
      </w:r>
    </w:p>
    <w:p w14:paraId="31B9F576">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b</w:t>
      </w:r>
      <w:r>
        <w:rPr>
          <w:rFonts w:hint="eastAsia" w:ascii="宋体" w:hAnsi="宋体" w:cs="宋体"/>
          <w:kern w:val="0"/>
          <w:sz w:val="24"/>
          <w:szCs w:val="24"/>
        </w:rPr>
        <w:t>）递送投标文件后，无正当理由放弃投标；</w:t>
      </w:r>
    </w:p>
    <w:p w14:paraId="59C3FCCB">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c</w:t>
      </w:r>
      <w:r>
        <w:rPr>
          <w:rFonts w:hint="eastAsia" w:ascii="宋体" w:hAnsi="宋体" w:cs="宋体"/>
          <w:kern w:val="0"/>
          <w:sz w:val="24"/>
          <w:szCs w:val="24"/>
        </w:rPr>
        <w:t>）自中标通知书发出之日起</w:t>
      </w:r>
      <w:r>
        <w:rPr>
          <w:rFonts w:ascii="宋体" w:hAnsi="宋体" w:cs="宋体"/>
          <w:kern w:val="0"/>
          <w:sz w:val="24"/>
          <w:szCs w:val="24"/>
        </w:rPr>
        <w:t>30</w:t>
      </w:r>
      <w:r>
        <w:rPr>
          <w:rFonts w:hint="eastAsia" w:ascii="宋体" w:hAnsi="宋体" w:cs="宋体"/>
          <w:kern w:val="0"/>
          <w:sz w:val="24"/>
          <w:szCs w:val="24"/>
        </w:rPr>
        <w:t>日内，无正当理由不签订合同；</w:t>
      </w:r>
    </w:p>
    <w:p w14:paraId="4E1495F8">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d</w:t>
      </w:r>
      <w:r>
        <w:rPr>
          <w:rFonts w:hint="eastAsia" w:ascii="宋体" w:hAnsi="宋体" w:cs="宋体"/>
          <w:kern w:val="0"/>
          <w:sz w:val="24"/>
          <w:szCs w:val="24"/>
        </w:rPr>
        <w:t>）在投标过程中被查实有串标、围标、陪标等违规违纪行为；</w:t>
      </w:r>
    </w:p>
    <w:p w14:paraId="1C1AA6E0">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e</w:t>
      </w:r>
      <w:r>
        <w:rPr>
          <w:rFonts w:hint="eastAsia" w:ascii="宋体" w:hAnsi="宋体" w:cs="宋体"/>
          <w:kern w:val="0"/>
          <w:sz w:val="24"/>
          <w:szCs w:val="24"/>
        </w:rPr>
        <w:t>）有违约违规行为或被投诉、举报的，在调查处理期间，保证金暂不退还，待调查处理结束后按有关规定处理。</w:t>
      </w:r>
    </w:p>
    <w:p w14:paraId="00A91182">
      <w:pPr>
        <w:widowControl/>
        <w:spacing w:before="100" w:beforeAutospacing="1" w:after="100" w:afterAutospacing="1" w:line="300" w:lineRule="auto"/>
        <w:ind w:firstLine="480" w:firstLineChars="200"/>
        <w:jc w:val="left"/>
        <w:rPr>
          <w:rFonts w:ascii="宋体" w:hAnsi="宋体" w:cs="宋体"/>
          <w:kern w:val="0"/>
          <w:sz w:val="24"/>
          <w:szCs w:val="24"/>
        </w:rPr>
      </w:pPr>
    </w:p>
    <w:p w14:paraId="187E78D6">
      <w:pPr>
        <w:widowControl/>
        <w:spacing w:before="100" w:beforeAutospacing="1" w:after="100" w:afterAutospacing="1" w:line="300" w:lineRule="auto"/>
        <w:ind w:firstLine="600" w:firstLineChars="250"/>
        <w:jc w:val="left"/>
        <w:rPr>
          <w:rFonts w:ascii="宋体" w:hAnsi="宋体" w:cs="宋体"/>
          <w:kern w:val="0"/>
          <w:sz w:val="24"/>
          <w:szCs w:val="24"/>
        </w:rPr>
      </w:pPr>
      <w:r>
        <w:rPr>
          <w:rFonts w:hint="eastAsia" w:ascii="宋体" w:hAnsi="宋体" w:cs="宋体"/>
          <w:kern w:val="0"/>
          <w:sz w:val="24"/>
          <w:szCs w:val="24"/>
        </w:rPr>
        <w:t>特此承诺！</w:t>
      </w:r>
    </w:p>
    <w:p w14:paraId="195CA289">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公司 (盖章) </w:t>
      </w:r>
    </w:p>
    <w:p w14:paraId="3F0217DB">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法定代表人或委托代理人：(签字)</w:t>
      </w:r>
    </w:p>
    <w:p w14:paraId="325684B5">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户名：</w:t>
      </w:r>
    </w:p>
    <w:p w14:paraId="51A4DA9C">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开户行：</w:t>
      </w:r>
    </w:p>
    <w:p w14:paraId="56D47E4F">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账号：</w:t>
      </w:r>
    </w:p>
    <w:p w14:paraId="1D0A172B">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公司地址：</w:t>
      </w:r>
    </w:p>
    <w:p w14:paraId="04863CA4">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联系电话：</w:t>
      </w:r>
    </w:p>
    <w:p w14:paraId="4469A314">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日期：  年  月  日</w:t>
      </w:r>
    </w:p>
    <w:p w14:paraId="01320CD7">
      <w:pPr>
        <w:widowControl/>
        <w:spacing w:before="100" w:beforeAutospacing="1" w:after="100" w:afterAutospacing="1" w:line="300" w:lineRule="auto"/>
        <w:jc w:val="left"/>
        <w:rPr>
          <w:rFonts w:ascii="宋体" w:hAnsi="宋体" w:cs="宋体"/>
          <w:kern w:val="0"/>
          <w:sz w:val="28"/>
          <w:szCs w:val="28"/>
        </w:rPr>
      </w:pPr>
    </w:p>
    <w:p w14:paraId="43D624B0">
      <w:pPr>
        <w:pStyle w:val="4"/>
        <w:ind w:left="0" w:leftChars="0"/>
        <w:rPr>
          <w:rFonts w:hint="eastAsia"/>
        </w:rPr>
      </w:pPr>
    </w:p>
    <w:p w14:paraId="430EA7EA">
      <w:pPr>
        <w:rPr>
          <w:rFonts w:hint="eastAsia" w:ascii="仿宋" w:hAnsi="仿宋" w:eastAsia="仿宋"/>
          <w:sz w:val="28"/>
          <w:szCs w:val="28"/>
        </w:rPr>
      </w:pPr>
    </w:p>
    <w:p w14:paraId="16054147">
      <w:pPr>
        <w:pStyle w:val="4"/>
        <w:rPr>
          <w:rFonts w:hint="eastAsia"/>
        </w:rPr>
      </w:pPr>
    </w:p>
    <w:p w14:paraId="46544A46">
      <w:pPr>
        <w:rPr>
          <w:rFonts w:hint="eastAsia" w:ascii="仿宋" w:hAnsi="仿宋" w:eastAsia="仿宋"/>
          <w:sz w:val="28"/>
          <w:szCs w:val="28"/>
        </w:rPr>
      </w:pPr>
    </w:p>
    <w:p w14:paraId="142247CD">
      <w:pPr>
        <w:rPr>
          <w:rFonts w:hint="eastAsia" w:ascii="仿宋" w:hAnsi="仿宋" w:eastAsia="仿宋"/>
          <w:sz w:val="28"/>
          <w:szCs w:val="28"/>
        </w:rPr>
      </w:pPr>
    </w:p>
    <w:p w14:paraId="6EE618A0"/>
    <w:sectPr>
      <w:headerReference r:id="rId10" w:type="first"/>
      <w:headerReference r:id="rId9" w:type="default"/>
      <w:footerReference r:id="rId11" w:type="default"/>
      <w:type w:val="continuous"/>
      <w:pgSz w:w="11906" w:h="16838"/>
      <w:pgMar w:top="851" w:right="851" w:bottom="102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41D2">
    <w:pPr>
      <w:pStyle w:val="7"/>
      <w:framePr w:wrap="around" w:vAnchor="text" w:hAnchor="margin" w:xAlign="center" w:y="1"/>
      <w:rPr>
        <w:rStyle w:val="12"/>
      </w:rPr>
    </w:pPr>
    <w:r>
      <w:fldChar w:fldCharType="begin"/>
    </w:r>
    <w:r>
      <w:rPr>
        <w:rStyle w:val="12"/>
      </w:rPr>
      <w:instrText xml:space="preserve">PAGE  </w:instrText>
    </w:r>
    <w:r>
      <w:fldChar w:fldCharType="end"/>
    </w:r>
  </w:p>
  <w:p w14:paraId="5D1993E6">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91A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5E282A">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VFfuIBAADOAwAADgAAAGRycy9lMm9Eb2MueG1srVPNjtMwEL4j8Q6W&#10;7zTZaoW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GNuGaMycs3fj5+7fzj1/nn18Z&#10;xUigPkBFdfeBKnF47QcqnuNAwcR7aKNNf2LEKE/yni7yqgGZTIdWy9WqpJSk3OwQfvFwPETAN8pb&#10;loyaR7q/LKs4vgMcS+eS1M35O21MvkPj/goQ5hhReQmm04nJOHGycNgNE72db07Ejp4Fde18/MJZ&#10;T0tRc0dvgDPz1pHmaX9mI87GbjaEk3Sw5sjZaN7iuGeHEPW+y5uXRoTw6oA0d6aTxhh7kwzJoWvO&#10;gkwrmfboTz9XPTzD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MVFfuIBAADOAwAADgAA&#10;AAAAAAABACAAAAAeAQAAZHJzL2Uyb0RvYy54bWxQSwUGAAAAAAYABgBZAQAAcgUAAAAA&#10;">
              <v:fill on="f" focussize="0,0"/>
              <v:stroke on="f"/>
              <v:imagedata o:title=""/>
              <o:lock v:ext="edit" aspectratio="f"/>
              <v:textbox inset="0mm,0mm,0mm,0mm" style="mso-fit-shape-to-text:t;">
                <w:txbxContent>
                  <w:p w14:paraId="315E282A">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645D">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6CE2">
    <w:pPr>
      <w:pStyle w:val="7"/>
      <w:framePr w:wrap="around" w:vAnchor="text" w:hAnchor="margin" w:xAlign="center" w:y="1"/>
      <w:rPr>
        <w:rStyle w:val="12"/>
      </w:rPr>
    </w:pPr>
    <w:r>
      <w:fldChar w:fldCharType="begin"/>
    </w:r>
    <w:r>
      <w:rPr>
        <w:rStyle w:val="12"/>
      </w:rPr>
      <w:instrText xml:space="preserve">PAGE  </w:instrText>
    </w:r>
    <w:r>
      <w:fldChar w:fldCharType="end"/>
    </w:r>
  </w:p>
  <w:p w14:paraId="6F2D95F5">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2B05">
    <w:pPr>
      <w:pStyle w:val="7"/>
      <w:jc w:val="center"/>
    </w:pPr>
    <w:r>
      <w:fldChar w:fldCharType="begin"/>
    </w:r>
    <w:r>
      <w:instrText xml:space="preserve">PAGE   \* MERGEFORMAT</w:instrText>
    </w:r>
    <w:r>
      <w:fldChar w:fldCharType="separate"/>
    </w:r>
    <w:r>
      <w:rPr>
        <w:lang w:val="zh-CN"/>
      </w:rPr>
      <w:t>-</w:t>
    </w:r>
    <w:r>
      <w:t xml:space="preserve"> 60 -</w:t>
    </w:r>
    <w:r>
      <w:fldChar w:fldCharType="end"/>
    </w:r>
  </w:p>
  <w:p w14:paraId="6CAE05F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823F">
    <w:pPr>
      <w:pStyle w:val="8"/>
      <w:pBdr>
        <w:bottom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3D10">
    <w:pPr>
      <w:pStyle w:val="8"/>
      <w:pBdr>
        <w:bottom w:val="none" w:color="auto" w:sz="0" w:space="0"/>
      </w:pBdr>
      <w:rPr>
        <w:rFonts w:hint="eastAsia"/>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9143C">
    <w:pPr>
      <w:pStyle w:val="8"/>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C955">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7F32"/>
    <w:multiLevelType w:val="singleLevel"/>
    <w:tmpl w:val="935D7F32"/>
    <w:lvl w:ilvl="0" w:tentative="0">
      <w:start w:val="2"/>
      <w:numFmt w:val="decimal"/>
      <w:suff w:val="nothing"/>
      <w:lvlText w:val="（%1）"/>
      <w:lvlJc w:val="left"/>
      <w:pPr>
        <w:ind w:left="0" w:firstLine="0"/>
      </w:pPr>
    </w:lvl>
  </w:abstractNum>
  <w:abstractNum w:abstractNumId="1">
    <w:nsid w:val="B4BDA7C3"/>
    <w:multiLevelType w:val="singleLevel"/>
    <w:tmpl w:val="B4BDA7C3"/>
    <w:lvl w:ilvl="0" w:tentative="0">
      <w:start w:val="2"/>
      <w:numFmt w:val="decimal"/>
      <w:suff w:val="nothing"/>
      <w:lvlText w:val="%1、"/>
      <w:lvlJc w:val="left"/>
    </w:lvl>
  </w:abstractNum>
  <w:abstractNum w:abstractNumId="2">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31C1148E"/>
    <w:multiLevelType w:val="singleLevel"/>
    <w:tmpl w:val="31C1148E"/>
    <w:lvl w:ilvl="0" w:tentative="0">
      <w:start w:val="1"/>
      <w:numFmt w:val="decimal"/>
      <w:suff w:val="nothing"/>
      <w:lvlText w:val="（%1）"/>
      <w:lvlJc w:val="left"/>
      <w:pPr>
        <w:ind w:left="0" w:firstLine="0"/>
      </w:pPr>
    </w:lvl>
  </w:abstractNum>
  <w:abstractNum w:abstractNumId="5">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02E17CC"/>
    <w:multiLevelType w:val="singleLevel"/>
    <w:tmpl w:val="602E17CC"/>
    <w:lvl w:ilvl="0" w:tentative="0">
      <w:start w:val="2"/>
      <w:numFmt w:val="decimal"/>
      <w:suff w:val="nothing"/>
      <w:lvlText w:val="%1、"/>
      <w:lvlJc w:val="left"/>
    </w:lvl>
  </w:abstractNum>
  <w:abstractNum w:abstractNumId="7">
    <w:nsid w:val="647E86C7"/>
    <w:multiLevelType w:val="singleLevel"/>
    <w:tmpl w:val="647E86C7"/>
    <w:lvl w:ilvl="0" w:tentative="0">
      <w:start w:val="1"/>
      <w:numFmt w:val="decimal"/>
      <w:suff w:val="nothing"/>
      <w:lvlText w:val="%1、"/>
      <w:lvlJc w:val="left"/>
    </w:lvl>
  </w:abstractNum>
  <w:num w:numId="1">
    <w:abstractNumId w:val="1"/>
  </w:num>
  <w:num w:numId="2">
    <w:abstractNumId w:val="7"/>
  </w:num>
  <w:num w:numId="3">
    <w:abstractNumId w:val="6"/>
  </w:num>
  <w:num w:numId="4">
    <w:abstractNumId w:val="4"/>
    <w:lvlOverride w:ilvl="0">
      <w:startOverride w:val="1"/>
    </w:lvlOverride>
  </w:num>
  <w:num w:numId="5">
    <w:abstractNumId w:val="0"/>
    <w:lvlOverride w:ilvl="0">
      <w:startOverride w:val="2"/>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57F04"/>
    <w:rsid w:val="2C857F04"/>
    <w:rsid w:val="37047520"/>
    <w:rsid w:val="5BB1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仿宋_GB2312" w:eastAsia="仿宋_GB2312"/>
      <w:sz w:val="32"/>
    </w:rPr>
  </w:style>
  <w:style w:type="paragraph" w:styleId="4">
    <w:name w:val="Body Text Indent"/>
    <w:basedOn w:val="1"/>
    <w:uiPriority w:val="0"/>
    <w:pPr>
      <w:spacing w:after="120"/>
      <w:ind w:left="420" w:leftChars="200"/>
    </w:pPr>
  </w:style>
  <w:style w:type="paragraph" w:styleId="5">
    <w:name w:val="Plain Text"/>
    <w:basedOn w:val="1"/>
    <w:qFormat/>
    <w:uiPriority w:val="0"/>
    <w:rPr>
      <w:rFonts w:ascii="宋体" w:hAnsi="Courier New"/>
    </w:rPr>
  </w:style>
  <w:style w:type="paragraph" w:styleId="6">
    <w:name w:val="Body Text Indent 2"/>
    <w:basedOn w:val="1"/>
    <w:qFormat/>
    <w:uiPriority w:val="0"/>
    <w:pPr>
      <w:spacing w:after="120" w:line="480" w:lineRule="auto"/>
      <w:ind w:left="420" w:leftChars="200"/>
    </w:pPr>
  </w:style>
  <w:style w:type="paragraph" w:styleId="7">
    <w:name w:val="footer"/>
    <w:basedOn w:val="1"/>
    <w:uiPriority w:val="99"/>
    <w:pPr>
      <w:tabs>
        <w:tab w:val="center" w:pos="4153"/>
        <w:tab w:val="right" w:pos="8306"/>
      </w:tabs>
      <w:snapToGrid w:val="0"/>
      <w:jc w:val="left"/>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420" w:hanging="420"/>
    </w:pPr>
  </w:style>
  <w:style w:type="character" w:styleId="12">
    <w:name w:val="page number"/>
    <w:uiPriority w:val="0"/>
  </w:style>
  <w:style w:type="paragraph" w:customStyle="1" w:styleId="13">
    <w:name w:val="标书正文格式"/>
    <w:basedOn w:val="5"/>
    <w:qFormat/>
    <w:uiPriority w:val="0"/>
    <w:pPr>
      <w:spacing w:line="360" w:lineRule="auto"/>
      <w:ind w:firstLine="200" w:firstLineChars="200"/>
    </w:pPr>
    <w:rPr>
      <w:rFonts w:hAnsi="宋体"/>
      <w:color w:val="000000"/>
      <w:sz w:val="24"/>
      <w:szCs w:val="24"/>
    </w:rPr>
  </w:style>
  <w:style w:type="paragraph" w:customStyle="1" w:styleId="14">
    <w:name w:val="标正文"/>
    <w:basedOn w:val="13"/>
    <w:qFormat/>
    <w:uiPriority w:val="0"/>
  </w:style>
  <w:style w:type="paragraph" w:customStyle="1" w:styleId="15">
    <w:name w:val="标书三级标题"/>
    <w:basedOn w:val="2"/>
    <w:qFormat/>
    <w:uiPriority w:val="0"/>
    <w:pPr>
      <w:spacing w:before="0" w:after="0" w:line="240" w:lineRule="auto"/>
      <w:ind w:firstLine="482" w:firstLineChars="200"/>
    </w:pPr>
    <w:rPr>
      <w:color w:val="000000"/>
      <w:sz w:val="24"/>
      <w:szCs w:val="24"/>
    </w:rPr>
  </w:style>
  <w:style w:type="paragraph" w:customStyle="1" w:styleId="16">
    <w:name w:val="标书表格"/>
    <w:basedOn w:val="1"/>
    <w:qFormat/>
    <w:uiPriority w:val="0"/>
    <w:pPr>
      <w:jc w:val="center"/>
    </w:pPr>
    <w:rPr>
      <w:b/>
    </w:rPr>
  </w:style>
  <w:style w:type="paragraph" w:styleId="17">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6825</Words>
  <Characters>7203</Characters>
  <Lines>0</Lines>
  <Paragraphs>0</Paragraphs>
  <TotalTime>2</TotalTime>
  <ScaleCrop>false</ScaleCrop>
  <LinksUpToDate>false</LinksUpToDate>
  <CharactersWithSpaces>7470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2026-02-06T02:25:00Z</dcterms:created>
  <dc:creator>嘻嘻~</dc:creator>
  <cp:lastModifiedBy>Administrator</cp:lastModifiedBy>
  <dcterms:modified xsi:type="dcterms:W3CDTF">2026-02-06T02:47:33Z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11669131873C4E178A58441FCA1EEAF6_11</vt:lpwstr>
  </property>
  <property fmtid="{D5CDD505-2E9C-101B-9397-08002B2CF9AE}" pid="4" name="KSOTemplateDocerSaveRecord">
    <vt:lpwstr>eyJoZGlkIjoiOWUwN2ViNzA1MDU0MWU3ZmJmMDE2N2QyNDA1NmE0ZTAiLCJ1c2VySWQiOiI0NTczMjc2NTgifQ==</vt:lpwstr>
  </property>
</Properties>
</file>