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694F3">
      <w:pPr>
        <w:jc w:val="center"/>
        <w:rPr>
          <w:rFonts w:ascii="宋体" w:hAnsi="宋体"/>
          <w:sz w:val="30"/>
          <w:szCs w:val="30"/>
        </w:rPr>
      </w:pPr>
    </w:p>
    <w:p w14:paraId="3E72C8B8">
      <w:pPr>
        <w:jc w:val="center"/>
        <w:rPr>
          <w:rFonts w:hint="eastAsia" w:ascii="宋体" w:hAnsi="宋体"/>
          <w:sz w:val="44"/>
          <w:szCs w:val="48"/>
          <w:lang w:val="en-US" w:eastAsia="zh-CN"/>
        </w:rPr>
      </w:pPr>
      <w:r>
        <w:rPr>
          <w:rFonts w:hint="eastAsia" w:ascii="宋体" w:hAnsi="宋体"/>
          <w:sz w:val="44"/>
          <w:szCs w:val="48"/>
          <w:lang w:val="en-US" w:eastAsia="zh-CN"/>
        </w:rPr>
        <w:t>中国重汽集团济南动力有限公司</w:t>
      </w:r>
    </w:p>
    <w:p w14:paraId="6C5C78DE">
      <w:pPr>
        <w:jc w:val="center"/>
        <w:rPr>
          <w:rFonts w:hint="eastAsia" w:ascii="宋体" w:hAnsi="宋体"/>
          <w:sz w:val="44"/>
          <w:szCs w:val="48"/>
        </w:rPr>
      </w:pPr>
      <w:r>
        <w:rPr>
          <w:rFonts w:hint="eastAsia" w:ascii="宋体" w:hAnsi="宋体"/>
          <w:sz w:val="44"/>
          <w:szCs w:val="48"/>
          <w:lang w:val="en-US" w:eastAsia="zh-CN"/>
        </w:rPr>
        <w:t>济南发动机厂</w:t>
      </w:r>
      <w:r>
        <w:rPr>
          <w:rFonts w:hint="eastAsia" w:ascii="宋体" w:hAnsi="宋体"/>
          <w:sz w:val="44"/>
          <w:szCs w:val="48"/>
        </w:rPr>
        <w:t>VOC</w:t>
      </w:r>
      <w:r>
        <w:rPr>
          <w:rFonts w:hint="eastAsia" w:ascii="宋体" w:hAnsi="宋体"/>
          <w:sz w:val="44"/>
          <w:szCs w:val="48"/>
          <w:lang w:val="en-US" w:eastAsia="zh-CN"/>
        </w:rPr>
        <w:t>s</w:t>
      </w:r>
      <w:r>
        <w:rPr>
          <w:rFonts w:hint="eastAsia" w:ascii="宋体" w:hAnsi="宋体"/>
          <w:sz w:val="44"/>
          <w:szCs w:val="48"/>
        </w:rPr>
        <w:t>废气处理设备外委运维项目</w:t>
      </w:r>
    </w:p>
    <w:p w14:paraId="09FF4906">
      <w:pPr>
        <w:pStyle w:val="3"/>
        <w:rPr>
          <w:rFonts w:hint="eastAsia"/>
        </w:rPr>
      </w:pPr>
    </w:p>
    <w:p w14:paraId="75E8DD2B">
      <w:pPr>
        <w:pStyle w:val="3"/>
        <w:rPr>
          <w:rFonts w:hint="eastAsia"/>
        </w:rPr>
      </w:pPr>
    </w:p>
    <w:p w14:paraId="25E81BEF">
      <w:pPr>
        <w:jc w:val="center"/>
        <w:rPr>
          <w:rFonts w:ascii="黑体" w:hAnsi="宋体" w:eastAsia="黑体"/>
          <w:sz w:val="56"/>
          <w:szCs w:val="84"/>
        </w:rPr>
      </w:pPr>
      <w:r>
        <w:rPr>
          <w:rFonts w:hint="eastAsia" w:ascii="黑体" w:hAnsi="宋体" w:eastAsia="黑体"/>
          <w:sz w:val="56"/>
          <w:szCs w:val="84"/>
        </w:rPr>
        <w:t>招</w:t>
      </w:r>
    </w:p>
    <w:p w14:paraId="6BCD23FE">
      <w:pPr>
        <w:jc w:val="center"/>
        <w:rPr>
          <w:rFonts w:ascii="黑体" w:hAnsi="宋体" w:eastAsia="黑体"/>
          <w:sz w:val="56"/>
          <w:szCs w:val="84"/>
        </w:rPr>
      </w:pPr>
    </w:p>
    <w:p w14:paraId="5C3B62C3">
      <w:pPr>
        <w:jc w:val="center"/>
        <w:rPr>
          <w:rFonts w:ascii="黑体" w:hAnsi="宋体" w:eastAsia="黑体"/>
          <w:sz w:val="56"/>
          <w:szCs w:val="84"/>
        </w:rPr>
      </w:pPr>
      <w:r>
        <w:rPr>
          <w:rFonts w:hint="eastAsia" w:ascii="黑体" w:hAnsi="宋体" w:eastAsia="黑体"/>
          <w:sz w:val="56"/>
          <w:szCs w:val="84"/>
        </w:rPr>
        <w:t>标</w:t>
      </w:r>
    </w:p>
    <w:p w14:paraId="16C60CC5">
      <w:pPr>
        <w:jc w:val="center"/>
        <w:rPr>
          <w:rFonts w:ascii="黑体" w:hAnsi="宋体" w:eastAsia="黑体"/>
          <w:sz w:val="56"/>
          <w:szCs w:val="84"/>
        </w:rPr>
      </w:pPr>
    </w:p>
    <w:p w14:paraId="1F588922">
      <w:pPr>
        <w:jc w:val="center"/>
        <w:rPr>
          <w:rFonts w:ascii="黑体" w:hAnsi="宋体" w:eastAsia="黑体"/>
          <w:sz w:val="56"/>
          <w:szCs w:val="84"/>
        </w:rPr>
      </w:pPr>
      <w:r>
        <w:rPr>
          <w:rFonts w:hint="eastAsia" w:ascii="黑体" w:hAnsi="宋体" w:eastAsia="黑体"/>
          <w:sz w:val="56"/>
          <w:szCs w:val="84"/>
        </w:rPr>
        <w:t>书</w:t>
      </w:r>
    </w:p>
    <w:p w14:paraId="2E95CCA1">
      <w:pPr>
        <w:rPr>
          <w:rFonts w:ascii="黑体" w:hAnsi="宋体" w:eastAsia="黑体"/>
          <w:sz w:val="56"/>
          <w:szCs w:val="84"/>
        </w:rPr>
      </w:pPr>
    </w:p>
    <w:p w14:paraId="6F3D8EC3">
      <w:pPr>
        <w:ind w:right="2240" w:firstLine="1280" w:firstLineChars="400"/>
        <w:jc w:val="left"/>
        <w:rPr>
          <w:rFonts w:ascii="华文仿宋" w:hAnsi="华文仿宋" w:eastAsia="华文仿宋"/>
          <w:sz w:val="32"/>
          <w:szCs w:val="28"/>
        </w:rPr>
      </w:pPr>
    </w:p>
    <w:p w14:paraId="709DC82B">
      <w:pPr>
        <w:ind w:right="2240" w:firstLine="1280" w:firstLineChars="400"/>
        <w:jc w:val="left"/>
        <w:rPr>
          <w:rFonts w:ascii="华文仿宋" w:hAnsi="华文仿宋" w:eastAsia="华文仿宋"/>
          <w:sz w:val="32"/>
          <w:szCs w:val="28"/>
        </w:rPr>
      </w:pPr>
    </w:p>
    <w:p w14:paraId="091316B8">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07D7DB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4B4BF26">
      <w:pPr>
        <w:jc w:val="left"/>
        <w:rPr>
          <w:rFonts w:ascii="华文仿宋" w:hAnsi="华文仿宋" w:eastAsia="华文仿宋"/>
          <w:sz w:val="32"/>
          <w:szCs w:val="28"/>
        </w:rPr>
      </w:pPr>
    </w:p>
    <w:p w14:paraId="705A81A4">
      <w:pPr>
        <w:jc w:val="center"/>
        <w:rPr>
          <w:rFonts w:hint="eastAsia" w:ascii="宋体" w:hAnsi="宋体"/>
          <w:sz w:val="28"/>
          <w:szCs w:val="28"/>
        </w:rPr>
      </w:pPr>
      <w:r>
        <w:rPr>
          <w:rFonts w:hint="eastAsia" w:ascii="宋体" w:hAnsi="宋体"/>
          <w:sz w:val="28"/>
          <w:szCs w:val="28"/>
        </w:rPr>
        <w:t>招 标 人：中国重汽集团济南动力有限公司</w:t>
      </w:r>
    </w:p>
    <w:p w14:paraId="717FAA30">
      <w:pPr>
        <w:jc w:val="center"/>
        <w:rPr>
          <w:rFonts w:hint="default" w:ascii="宋体" w:hAnsi="宋体" w:eastAsia="宋体"/>
          <w:sz w:val="28"/>
          <w:szCs w:val="28"/>
          <w:lang w:val="en-US" w:eastAsia="zh-CN"/>
        </w:rPr>
      </w:pPr>
      <w:r>
        <w:rPr>
          <w:rFonts w:hint="eastAsia" w:ascii="宋体" w:hAnsi="宋体"/>
          <w:sz w:val="28"/>
          <w:szCs w:val="28"/>
          <w:lang w:val="en-US" w:eastAsia="zh-CN"/>
        </w:rPr>
        <w:t>2026年2月</w:t>
      </w:r>
    </w:p>
    <w:p w14:paraId="75C470E4">
      <w:pPr>
        <w:spacing w:line="480" w:lineRule="auto"/>
        <w:jc w:val="center"/>
        <w:rPr>
          <w:rFonts w:ascii="宋体" w:hAnsi="宋体"/>
          <w:b/>
          <w:bCs/>
          <w:sz w:val="48"/>
          <w:szCs w:val="48"/>
        </w:rPr>
      </w:pPr>
    </w:p>
    <w:p w14:paraId="508C2D00">
      <w:pPr>
        <w:spacing w:line="480" w:lineRule="auto"/>
        <w:jc w:val="center"/>
        <w:rPr>
          <w:rFonts w:ascii="宋体" w:hAnsi="宋体"/>
          <w:b/>
          <w:bCs/>
          <w:sz w:val="48"/>
          <w:szCs w:val="48"/>
        </w:rPr>
      </w:pPr>
    </w:p>
    <w:p w14:paraId="5D6FFEA9">
      <w:pPr>
        <w:spacing w:line="480" w:lineRule="auto"/>
        <w:jc w:val="center"/>
        <w:rPr>
          <w:rFonts w:ascii="宋体" w:hAnsi="宋体"/>
          <w:b/>
          <w:bCs/>
          <w:sz w:val="48"/>
          <w:szCs w:val="48"/>
        </w:rPr>
      </w:pPr>
    </w:p>
    <w:p w14:paraId="28B3EE5E">
      <w:pPr>
        <w:spacing w:line="480" w:lineRule="auto"/>
        <w:jc w:val="center"/>
        <w:rPr>
          <w:rFonts w:ascii="宋体" w:hAnsi="宋体"/>
          <w:b/>
          <w:bCs/>
          <w:sz w:val="48"/>
          <w:szCs w:val="48"/>
        </w:rPr>
        <w:sectPr>
          <w:pgSz w:w="11906" w:h="16838"/>
          <w:pgMar w:top="1588" w:right="1418" w:bottom="1134" w:left="1418" w:header="851" w:footer="992" w:gutter="0"/>
          <w:pgNumType w:fmt="numberInDash"/>
          <w:cols w:space="720" w:num="1"/>
          <w:titlePg/>
          <w:docGrid w:type="lines" w:linePitch="312" w:charSpace="0"/>
        </w:sectPr>
      </w:pPr>
    </w:p>
    <w:p w14:paraId="2C664C6F">
      <w:pPr>
        <w:spacing w:line="480" w:lineRule="auto"/>
        <w:jc w:val="center"/>
        <w:rPr>
          <w:rFonts w:ascii="宋体" w:hAnsi="宋体"/>
          <w:b/>
          <w:bCs/>
          <w:sz w:val="48"/>
          <w:szCs w:val="48"/>
        </w:rPr>
      </w:pPr>
      <w:r>
        <w:rPr>
          <w:rFonts w:ascii="宋体" w:hAnsi="宋体"/>
          <w:b/>
          <w:bCs/>
          <w:sz w:val="48"/>
          <w:szCs w:val="48"/>
        </w:rPr>
        <w:t>目   录</w:t>
      </w:r>
    </w:p>
    <w:p w14:paraId="3C89731C">
      <w:pPr>
        <w:tabs>
          <w:tab w:val="left" w:pos="3240"/>
        </w:tabs>
        <w:spacing w:line="480" w:lineRule="auto"/>
        <w:rPr>
          <w:rFonts w:ascii="宋体" w:hAnsi="宋体"/>
          <w:b/>
          <w:bCs/>
          <w:sz w:val="24"/>
        </w:rPr>
      </w:pPr>
      <w:r>
        <w:rPr>
          <w:rFonts w:ascii="宋体" w:hAnsi="宋体"/>
          <w:b/>
          <w:bCs/>
          <w:sz w:val="24"/>
        </w:rPr>
        <w:tab/>
      </w:r>
    </w:p>
    <w:p w14:paraId="559B9F12">
      <w:pPr>
        <w:tabs>
          <w:tab w:val="left" w:pos="3240"/>
        </w:tabs>
        <w:spacing w:line="480" w:lineRule="auto"/>
        <w:rPr>
          <w:rFonts w:ascii="宋体" w:hAnsi="宋体"/>
          <w:b/>
          <w:bCs/>
          <w:sz w:val="24"/>
        </w:rPr>
      </w:pPr>
    </w:p>
    <w:p w14:paraId="4102DB14">
      <w:pPr>
        <w:tabs>
          <w:tab w:val="left" w:pos="3240"/>
        </w:tabs>
        <w:spacing w:line="480" w:lineRule="auto"/>
        <w:rPr>
          <w:rFonts w:ascii="宋体" w:hAnsi="宋体"/>
          <w:b/>
          <w:bCs/>
          <w:sz w:val="24"/>
        </w:rPr>
      </w:pPr>
    </w:p>
    <w:p w14:paraId="586771DC">
      <w:pPr>
        <w:pStyle w:val="10"/>
        <w:tabs>
          <w:tab w:val="right" w:leader="dot" w:pos="9070"/>
        </w:tabs>
        <w:rPr>
          <w:b/>
          <w:bCs/>
          <w:sz w:val="28"/>
          <w:szCs w:val="28"/>
        </w:rPr>
      </w:pPr>
      <w:r>
        <w:rPr>
          <w:b/>
          <w:bCs/>
          <w:sz w:val="28"/>
          <w:szCs w:val="28"/>
        </w:rPr>
        <w:fldChar w:fldCharType="begin"/>
      </w:r>
      <w:r>
        <w:rPr>
          <w:b/>
          <w:bCs/>
          <w:sz w:val="28"/>
          <w:szCs w:val="28"/>
        </w:rPr>
        <w:instrText xml:space="preserve"> TOC \o "1-2" \h \z </w:instrText>
      </w:r>
      <w:r>
        <w:rPr>
          <w:b/>
          <w:bCs/>
          <w:sz w:val="28"/>
          <w:szCs w:val="28"/>
        </w:rPr>
        <w:fldChar w:fldCharType="separate"/>
      </w:r>
      <w:r>
        <w:rPr>
          <w:b/>
          <w:bCs/>
          <w:sz w:val="28"/>
          <w:szCs w:val="28"/>
        </w:rPr>
        <w:fldChar w:fldCharType="begin"/>
      </w:r>
      <w:r>
        <w:rPr>
          <w:b/>
          <w:bCs/>
          <w:sz w:val="28"/>
          <w:szCs w:val="28"/>
        </w:rPr>
        <w:instrText xml:space="preserve"> HYPERLINK \l _Toc19947 </w:instrText>
      </w:r>
      <w:r>
        <w:rPr>
          <w:b/>
          <w:bCs/>
          <w:sz w:val="28"/>
          <w:szCs w:val="28"/>
        </w:rPr>
        <w:fldChar w:fldCharType="separate"/>
      </w:r>
      <w:r>
        <w:rPr>
          <w:rFonts w:hint="eastAsia"/>
          <w:b/>
          <w:bCs/>
          <w:sz w:val="28"/>
          <w:szCs w:val="28"/>
        </w:rPr>
        <w:t>第一章  招标公告</w:t>
      </w:r>
      <w:r>
        <w:rPr>
          <w:b/>
          <w:bCs/>
          <w:sz w:val="28"/>
          <w:szCs w:val="28"/>
        </w:rPr>
        <w:tab/>
      </w:r>
      <w:r>
        <w:rPr>
          <w:b/>
          <w:bCs/>
          <w:sz w:val="28"/>
          <w:szCs w:val="28"/>
        </w:rPr>
        <w:fldChar w:fldCharType="begin"/>
      </w:r>
      <w:r>
        <w:rPr>
          <w:b/>
          <w:bCs/>
          <w:sz w:val="28"/>
          <w:szCs w:val="28"/>
        </w:rPr>
        <w:instrText xml:space="preserve"> PAGEREF _Toc19947 \h </w:instrText>
      </w:r>
      <w:r>
        <w:rPr>
          <w:b/>
          <w:bCs/>
          <w:sz w:val="28"/>
          <w:szCs w:val="28"/>
        </w:rPr>
        <w:fldChar w:fldCharType="separate"/>
      </w:r>
      <w:r>
        <w:rPr>
          <w:b/>
          <w:bCs/>
          <w:sz w:val="28"/>
          <w:szCs w:val="28"/>
        </w:rPr>
        <w:t xml:space="preserve">- </w:t>
      </w:r>
      <w:r>
        <w:rPr>
          <w:rFonts w:hint="eastAsia"/>
          <w:b/>
          <w:bCs/>
          <w:sz w:val="28"/>
          <w:szCs w:val="28"/>
          <w:lang w:val="en-US" w:eastAsia="zh-CN"/>
        </w:rPr>
        <w:t>2</w:t>
      </w:r>
      <w:r>
        <w:rPr>
          <w:b/>
          <w:bCs/>
          <w:sz w:val="28"/>
          <w:szCs w:val="28"/>
        </w:rPr>
        <w:t xml:space="preserve"> -</w:t>
      </w:r>
      <w:r>
        <w:rPr>
          <w:b/>
          <w:bCs/>
          <w:sz w:val="28"/>
          <w:szCs w:val="28"/>
        </w:rPr>
        <w:fldChar w:fldCharType="end"/>
      </w:r>
      <w:r>
        <w:rPr>
          <w:b/>
          <w:bCs/>
          <w:sz w:val="28"/>
          <w:szCs w:val="28"/>
        </w:rPr>
        <w:fldChar w:fldCharType="end"/>
      </w:r>
    </w:p>
    <w:p w14:paraId="1771EC30"/>
    <w:p w14:paraId="0BA080A2">
      <w:pPr>
        <w:pStyle w:val="10"/>
        <w:tabs>
          <w:tab w:val="right" w:leader="dot" w:pos="9070"/>
        </w:tabs>
        <w:rPr>
          <w:b/>
          <w:bCs/>
          <w:sz w:val="28"/>
          <w:szCs w:val="28"/>
        </w:rPr>
      </w:pPr>
      <w:r>
        <w:rPr>
          <w:b/>
          <w:bCs/>
          <w:sz w:val="28"/>
          <w:szCs w:val="28"/>
        </w:rPr>
        <w:fldChar w:fldCharType="begin"/>
      </w:r>
      <w:r>
        <w:rPr>
          <w:b/>
          <w:bCs/>
          <w:sz w:val="28"/>
          <w:szCs w:val="28"/>
        </w:rPr>
        <w:instrText xml:space="preserve"> HYPERLINK \l _Toc17783 </w:instrText>
      </w:r>
      <w:r>
        <w:rPr>
          <w:b/>
          <w:bCs/>
          <w:sz w:val="28"/>
          <w:szCs w:val="28"/>
        </w:rPr>
        <w:fldChar w:fldCharType="separate"/>
      </w:r>
      <w:r>
        <w:rPr>
          <w:rFonts w:hint="eastAsia"/>
          <w:b/>
          <w:bCs/>
          <w:sz w:val="28"/>
          <w:szCs w:val="28"/>
        </w:rPr>
        <w:t>第二章  投标文件编制</w:t>
      </w:r>
      <w:r>
        <w:rPr>
          <w:b/>
          <w:bCs/>
          <w:sz w:val="28"/>
          <w:szCs w:val="28"/>
        </w:rPr>
        <w:tab/>
      </w:r>
      <w:r>
        <w:rPr>
          <w:b/>
          <w:bCs/>
          <w:sz w:val="28"/>
          <w:szCs w:val="28"/>
        </w:rPr>
        <w:fldChar w:fldCharType="begin"/>
      </w:r>
      <w:r>
        <w:rPr>
          <w:b/>
          <w:bCs/>
          <w:sz w:val="28"/>
          <w:szCs w:val="28"/>
        </w:rPr>
        <w:instrText xml:space="preserve"> PAGEREF _Toc17783 \h </w:instrText>
      </w:r>
      <w:r>
        <w:rPr>
          <w:b/>
          <w:bCs/>
          <w:sz w:val="28"/>
          <w:szCs w:val="28"/>
        </w:rPr>
        <w:fldChar w:fldCharType="separate"/>
      </w:r>
      <w:r>
        <w:rPr>
          <w:b/>
          <w:bCs/>
          <w:sz w:val="28"/>
          <w:szCs w:val="28"/>
        </w:rPr>
        <w:t>- 1</w:t>
      </w:r>
      <w:r>
        <w:rPr>
          <w:rFonts w:hint="eastAsia"/>
          <w:b/>
          <w:bCs/>
          <w:sz w:val="28"/>
          <w:szCs w:val="28"/>
          <w:lang w:val="en-US" w:eastAsia="zh-CN"/>
        </w:rPr>
        <w:t>3</w:t>
      </w:r>
      <w:r>
        <w:rPr>
          <w:b/>
          <w:bCs/>
          <w:sz w:val="28"/>
          <w:szCs w:val="28"/>
        </w:rPr>
        <w:t xml:space="preserve"> -</w:t>
      </w:r>
      <w:r>
        <w:rPr>
          <w:b/>
          <w:bCs/>
          <w:sz w:val="28"/>
          <w:szCs w:val="28"/>
        </w:rPr>
        <w:fldChar w:fldCharType="end"/>
      </w:r>
      <w:r>
        <w:rPr>
          <w:b/>
          <w:bCs/>
          <w:sz w:val="28"/>
          <w:szCs w:val="28"/>
        </w:rPr>
        <w:fldChar w:fldCharType="end"/>
      </w:r>
    </w:p>
    <w:p w14:paraId="051E3A47"/>
    <w:p w14:paraId="0D0D9877">
      <w:pPr>
        <w:pStyle w:val="10"/>
        <w:tabs>
          <w:tab w:val="right" w:leader="dot" w:pos="9070"/>
        </w:tabs>
        <w:rPr>
          <w:b/>
          <w:bCs/>
          <w:sz w:val="28"/>
          <w:szCs w:val="28"/>
        </w:rPr>
      </w:pPr>
      <w:r>
        <w:rPr>
          <w:b/>
          <w:bCs/>
          <w:sz w:val="28"/>
          <w:szCs w:val="28"/>
        </w:rPr>
        <w:fldChar w:fldCharType="begin"/>
      </w:r>
      <w:r>
        <w:rPr>
          <w:b/>
          <w:bCs/>
          <w:sz w:val="28"/>
          <w:szCs w:val="28"/>
        </w:rPr>
        <w:instrText xml:space="preserve"> HYPERLINK \l _Toc27766 </w:instrText>
      </w:r>
      <w:r>
        <w:rPr>
          <w:b/>
          <w:bCs/>
          <w:sz w:val="28"/>
          <w:szCs w:val="28"/>
        </w:rPr>
        <w:fldChar w:fldCharType="separate"/>
      </w:r>
      <w:r>
        <w:rPr>
          <w:rFonts w:hint="eastAsia"/>
          <w:b/>
          <w:bCs/>
          <w:sz w:val="28"/>
          <w:szCs w:val="28"/>
        </w:rPr>
        <w:t xml:space="preserve">第三章  </w:t>
      </w:r>
      <w:r>
        <w:rPr>
          <w:b/>
          <w:bCs/>
          <w:sz w:val="28"/>
          <w:szCs w:val="28"/>
        </w:rPr>
        <w:t>技术</w:t>
      </w:r>
      <w:r>
        <w:rPr>
          <w:rFonts w:hint="eastAsia"/>
          <w:b/>
          <w:bCs/>
          <w:sz w:val="28"/>
          <w:szCs w:val="28"/>
          <w:lang w:val="en-US" w:eastAsia="zh-CN"/>
        </w:rPr>
        <w:t>要求</w:t>
      </w:r>
      <w:r>
        <w:rPr>
          <w:b/>
          <w:bCs/>
          <w:sz w:val="28"/>
          <w:szCs w:val="28"/>
        </w:rPr>
        <w:tab/>
      </w:r>
      <w:r>
        <w:rPr>
          <w:b/>
          <w:bCs/>
          <w:sz w:val="28"/>
          <w:szCs w:val="28"/>
        </w:rPr>
        <w:fldChar w:fldCharType="begin"/>
      </w:r>
      <w:r>
        <w:rPr>
          <w:b/>
          <w:bCs/>
          <w:sz w:val="28"/>
          <w:szCs w:val="28"/>
        </w:rPr>
        <w:instrText xml:space="preserve"> PAGEREF _Toc27766 \h </w:instrText>
      </w:r>
      <w:r>
        <w:rPr>
          <w:b/>
          <w:bCs/>
          <w:sz w:val="28"/>
          <w:szCs w:val="28"/>
        </w:rPr>
        <w:fldChar w:fldCharType="separate"/>
      </w:r>
      <w:r>
        <w:rPr>
          <w:b/>
          <w:bCs/>
          <w:sz w:val="28"/>
          <w:szCs w:val="28"/>
        </w:rPr>
        <w:t>- 2</w:t>
      </w:r>
      <w:r>
        <w:rPr>
          <w:rFonts w:hint="eastAsia"/>
          <w:b/>
          <w:bCs/>
          <w:sz w:val="28"/>
          <w:szCs w:val="28"/>
          <w:lang w:val="en-US" w:eastAsia="zh-CN"/>
        </w:rPr>
        <w:t>5</w:t>
      </w:r>
      <w:r>
        <w:rPr>
          <w:b/>
          <w:bCs/>
          <w:sz w:val="28"/>
          <w:szCs w:val="28"/>
        </w:rPr>
        <w:t>-</w:t>
      </w:r>
      <w:r>
        <w:rPr>
          <w:b/>
          <w:bCs/>
          <w:sz w:val="28"/>
          <w:szCs w:val="28"/>
        </w:rPr>
        <w:fldChar w:fldCharType="end"/>
      </w:r>
      <w:r>
        <w:rPr>
          <w:b/>
          <w:bCs/>
          <w:sz w:val="28"/>
          <w:szCs w:val="28"/>
        </w:rPr>
        <w:fldChar w:fldCharType="end"/>
      </w:r>
    </w:p>
    <w:p w14:paraId="50AF1E5C">
      <w:pPr>
        <w:pStyle w:val="6"/>
        <w:spacing w:line="360" w:lineRule="auto"/>
        <w:jc w:val="center"/>
      </w:pPr>
      <w:r>
        <w:rPr>
          <w:b/>
          <w:bCs/>
          <w:sz w:val="28"/>
          <w:szCs w:val="28"/>
        </w:rPr>
        <w:fldChar w:fldCharType="end"/>
      </w:r>
    </w:p>
    <w:p w14:paraId="79E01FA7">
      <w:pPr>
        <w:pStyle w:val="6"/>
        <w:spacing w:line="360" w:lineRule="auto"/>
        <w:jc w:val="center"/>
      </w:pPr>
    </w:p>
    <w:p w14:paraId="7DD78214">
      <w:pPr>
        <w:pStyle w:val="6"/>
        <w:spacing w:line="360" w:lineRule="auto"/>
        <w:jc w:val="center"/>
      </w:pPr>
    </w:p>
    <w:p w14:paraId="5D5879DB">
      <w:pPr>
        <w:pStyle w:val="6"/>
        <w:spacing w:line="360" w:lineRule="auto"/>
        <w:jc w:val="center"/>
      </w:pPr>
    </w:p>
    <w:p w14:paraId="30BFA4AE">
      <w:pPr>
        <w:pStyle w:val="6"/>
        <w:spacing w:line="360" w:lineRule="auto"/>
        <w:jc w:val="center"/>
      </w:pPr>
    </w:p>
    <w:p w14:paraId="7438612F">
      <w:pPr>
        <w:pStyle w:val="6"/>
        <w:spacing w:line="360" w:lineRule="auto"/>
        <w:jc w:val="center"/>
      </w:pPr>
    </w:p>
    <w:p w14:paraId="4AEA90B8">
      <w:pPr>
        <w:pStyle w:val="6"/>
        <w:spacing w:line="360" w:lineRule="auto"/>
        <w:jc w:val="center"/>
      </w:pPr>
    </w:p>
    <w:p w14:paraId="6541E219">
      <w:pPr>
        <w:pStyle w:val="6"/>
        <w:spacing w:line="360" w:lineRule="auto"/>
        <w:jc w:val="center"/>
      </w:pPr>
    </w:p>
    <w:p w14:paraId="2B6939E7">
      <w:pPr>
        <w:pStyle w:val="6"/>
        <w:spacing w:line="360" w:lineRule="auto"/>
        <w:jc w:val="center"/>
      </w:pPr>
    </w:p>
    <w:p w14:paraId="3CA9E937">
      <w:pPr>
        <w:pStyle w:val="6"/>
        <w:spacing w:line="360" w:lineRule="auto"/>
        <w:jc w:val="center"/>
      </w:pPr>
    </w:p>
    <w:p w14:paraId="65CD8D70">
      <w:pPr>
        <w:pStyle w:val="6"/>
        <w:spacing w:line="360" w:lineRule="auto"/>
        <w:jc w:val="center"/>
      </w:pPr>
    </w:p>
    <w:p w14:paraId="7B98FAD7">
      <w:pPr>
        <w:pStyle w:val="6"/>
        <w:spacing w:line="360" w:lineRule="auto"/>
        <w:jc w:val="center"/>
      </w:pPr>
    </w:p>
    <w:p w14:paraId="7DF3D381">
      <w:pPr>
        <w:pStyle w:val="6"/>
        <w:spacing w:line="360" w:lineRule="auto"/>
        <w:jc w:val="center"/>
      </w:pPr>
    </w:p>
    <w:p w14:paraId="0726CFE0">
      <w:pPr>
        <w:pStyle w:val="6"/>
        <w:spacing w:line="360" w:lineRule="auto"/>
        <w:jc w:val="center"/>
      </w:pPr>
    </w:p>
    <w:p w14:paraId="454A9074">
      <w:pPr>
        <w:pStyle w:val="6"/>
        <w:spacing w:line="360" w:lineRule="auto"/>
        <w:jc w:val="center"/>
      </w:pPr>
    </w:p>
    <w:p w14:paraId="2C10FAA6">
      <w:pPr>
        <w:pStyle w:val="6"/>
        <w:spacing w:line="360" w:lineRule="auto"/>
        <w:jc w:val="center"/>
        <w:rPr>
          <w:rFonts w:hint="eastAsia" w:ascii="黑体" w:eastAsia="黑体"/>
          <w:b/>
          <w:bCs/>
          <w:sz w:val="36"/>
          <w:szCs w:val="36"/>
        </w:rPr>
      </w:pPr>
    </w:p>
    <w:p w14:paraId="741F8CC2">
      <w:pPr>
        <w:pStyle w:val="2"/>
        <w:bidi w:val="0"/>
        <w:jc w:val="center"/>
      </w:pPr>
      <w:bookmarkStart w:id="0" w:name="_Toc19947"/>
      <w:r>
        <w:rPr>
          <w:rFonts w:hint="eastAsia"/>
        </w:rPr>
        <w:t>第一章  招标公告</w:t>
      </w:r>
      <w:bookmarkEnd w:id="0"/>
    </w:p>
    <w:p w14:paraId="2D1FA310">
      <w:pPr>
        <w:pStyle w:val="6"/>
        <w:spacing w:line="360" w:lineRule="auto"/>
        <w:rPr>
          <w:rFonts w:ascii="黑体" w:eastAsia="黑体"/>
          <w:b/>
          <w:bCs/>
          <w:sz w:val="28"/>
        </w:rPr>
      </w:pPr>
      <w:r>
        <w:rPr>
          <w:rFonts w:hint="eastAsia" w:ascii="黑体" w:eastAsia="黑体"/>
          <w:b/>
          <w:bCs/>
          <w:sz w:val="28"/>
        </w:rPr>
        <w:t>一、项目名称</w:t>
      </w:r>
    </w:p>
    <w:p w14:paraId="0CE4568E">
      <w:pPr>
        <w:pStyle w:val="6"/>
        <w:spacing w:line="360" w:lineRule="auto"/>
        <w:ind w:left="420"/>
      </w:pPr>
      <w:r>
        <w:rPr>
          <w:rFonts w:hint="eastAsia"/>
        </w:rPr>
        <w:t>项目名称：</w:t>
      </w:r>
      <w:bookmarkStart w:id="1" w:name="OLE_LINK1"/>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bookmarkEnd w:id="1"/>
    <w:p w14:paraId="7C4CEDC1">
      <w:pPr>
        <w:pStyle w:val="6"/>
        <w:spacing w:line="360" w:lineRule="auto"/>
        <w:rPr>
          <w:rFonts w:ascii="黑体" w:eastAsia="黑体"/>
          <w:b/>
          <w:bCs/>
          <w:sz w:val="28"/>
        </w:rPr>
      </w:pPr>
      <w:r>
        <w:rPr>
          <w:rFonts w:hint="eastAsia" w:ascii="黑体" w:eastAsia="黑体"/>
          <w:b/>
          <w:bCs/>
          <w:sz w:val="28"/>
        </w:rPr>
        <w:t>二、招标内容</w:t>
      </w:r>
    </w:p>
    <w:p w14:paraId="1C14A1DA">
      <w:pPr>
        <w:pStyle w:val="6"/>
        <w:spacing w:line="360" w:lineRule="auto"/>
        <w:ind w:firstLine="420" w:firstLineChars="200"/>
        <w:rPr>
          <w:rFonts w:hint="default" w:eastAsia="宋体"/>
          <w:lang w:val="en-US" w:eastAsia="zh-CN"/>
        </w:rPr>
      </w:pPr>
      <w:r>
        <w:rPr>
          <w:rFonts w:hint="eastAsia"/>
        </w:rPr>
        <w:t>招标内容：济南发动机厂VOC</w:t>
      </w:r>
      <w:r>
        <w:rPr>
          <w:rFonts w:hint="eastAsia"/>
          <w:lang w:val="en-US" w:eastAsia="zh-CN"/>
        </w:rPr>
        <w:t>s</w:t>
      </w:r>
      <w:r>
        <w:rPr>
          <w:rFonts w:hint="eastAsia"/>
        </w:rPr>
        <w:t>废气处理设备外委运维</w:t>
      </w:r>
      <w:r>
        <w:rPr>
          <w:rFonts w:hint="eastAsia"/>
          <w:lang w:eastAsia="zh-CN"/>
        </w:rPr>
        <w:t>，</w:t>
      </w:r>
      <w:r>
        <w:rPr>
          <w:rFonts w:hint="eastAsia"/>
          <w:lang w:val="en-US" w:eastAsia="zh-CN"/>
        </w:rPr>
        <w:t>运维设备如下：</w:t>
      </w:r>
    </w:p>
    <w:tbl>
      <w:tblPr>
        <w:tblStyle w:val="12"/>
        <w:tblW w:w="8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995"/>
        <w:gridCol w:w="1708"/>
        <w:gridCol w:w="1080"/>
        <w:gridCol w:w="1080"/>
        <w:gridCol w:w="1096"/>
      </w:tblGrid>
      <w:tr w14:paraId="16993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1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C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地点</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65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工艺方式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3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FC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A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设备品牌</w:t>
            </w:r>
          </w:p>
        </w:tc>
      </w:tr>
      <w:tr w14:paraId="4D999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C8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济南发动机厂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1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装调部-调涂二车间</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C8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预处理+活性炭吸附+催化燃烧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6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3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3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扬州琼花</w:t>
            </w:r>
          </w:p>
        </w:tc>
      </w:tr>
    </w:tbl>
    <w:p w14:paraId="79727B7C">
      <w:pPr>
        <w:pStyle w:val="6"/>
        <w:spacing w:line="360" w:lineRule="auto"/>
        <w:ind w:firstLine="420" w:firstLineChars="200"/>
      </w:pPr>
      <w:r>
        <w:rPr>
          <w:rFonts w:hint="eastAsia"/>
        </w:rPr>
        <w:t xml:space="preserve">                                                                                                                                                                                                                                                                                                                                                                                                                                                                                                                                                                                                                                     </w:t>
      </w:r>
    </w:p>
    <w:p w14:paraId="7DED98F1">
      <w:pPr>
        <w:pStyle w:val="6"/>
        <w:spacing w:line="360" w:lineRule="auto"/>
        <w:rPr>
          <w:rFonts w:ascii="黑体" w:eastAsia="黑体"/>
          <w:b/>
          <w:bCs/>
          <w:sz w:val="28"/>
        </w:rPr>
      </w:pPr>
      <w:r>
        <w:rPr>
          <w:rFonts w:hint="eastAsia" w:ascii="黑体" w:eastAsia="黑体"/>
          <w:b/>
          <w:bCs/>
          <w:sz w:val="28"/>
        </w:rPr>
        <w:t>三、招标形式</w:t>
      </w:r>
    </w:p>
    <w:p w14:paraId="148FFC1A">
      <w:pPr>
        <w:pStyle w:val="6"/>
        <w:spacing w:line="360" w:lineRule="auto"/>
        <w:ind w:firstLine="420" w:firstLineChars="200"/>
      </w:pPr>
      <w:r>
        <w:rPr>
          <w:rFonts w:hint="eastAsia"/>
        </w:rPr>
        <w:t>招标形式：公开招标。</w:t>
      </w:r>
    </w:p>
    <w:p w14:paraId="7BDB97B7">
      <w:pPr>
        <w:pStyle w:val="6"/>
        <w:spacing w:line="360" w:lineRule="auto"/>
        <w:rPr>
          <w:rFonts w:ascii="黑体" w:eastAsia="黑体"/>
          <w:b/>
          <w:bCs/>
          <w:sz w:val="28"/>
        </w:rPr>
      </w:pPr>
      <w:r>
        <w:rPr>
          <w:rFonts w:hint="eastAsia" w:ascii="黑体" w:eastAsia="黑体"/>
          <w:b/>
          <w:bCs/>
          <w:sz w:val="28"/>
        </w:rPr>
        <w:t>四、议程安排</w:t>
      </w:r>
    </w:p>
    <w:p w14:paraId="3FCF3E85">
      <w:pPr>
        <w:pStyle w:val="6"/>
        <w:spacing w:line="360" w:lineRule="auto"/>
        <w:ind w:left="840" w:leftChars="200" w:hanging="420" w:hangingChars="200"/>
        <w:rPr>
          <w:highlight w:val="yellow"/>
        </w:rPr>
      </w:pPr>
      <w:r>
        <w:rPr>
          <w:rFonts w:hint="eastAsia"/>
          <w:highlight w:val="yellow"/>
        </w:rPr>
        <w:t>1.公告时间：202</w:t>
      </w:r>
      <w:r>
        <w:rPr>
          <w:rFonts w:hint="eastAsia"/>
          <w:highlight w:val="yellow"/>
          <w:lang w:val="en-US" w:eastAsia="zh-CN"/>
        </w:rPr>
        <w:t>6</w:t>
      </w:r>
      <w:r>
        <w:rPr>
          <w:rFonts w:hint="eastAsia"/>
          <w:highlight w:val="yellow"/>
        </w:rPr>
        <w:t>年</w:t>
      </w:r>
      <w:r>
        <w:rPr>
          <w:rFonts w:hint="eastAsia"/>
          <w:highlight w:val="yellow"/>
          <w:lang w:val="en-US" w:eastAsia="zh-CN"/>
        </w:rPr>
        <w:t>2</w:t>
      </w:r>
      <w:r>
        <w:rPr>
          <w:rFonts w:hint="eastAsia"/>
          <w:highlight w:val="yellow"/>
        </w:rPr>
        <w:t>月</w:t>
      </w:r>
      <w:r>
        <w:rPr>
          <w:rFonts w:hint="eastAsia"/>
          <w:highlight w:val="yellow"/>
          <w:lang w:val="en-US" w:eastAsia="zh-CN"/>
        </w:rPr>
        <w:t>24</w:t>
      </w:r>
      <w:r>
        <w:rPr>
          <w:rFonts w:hint="eastAsia"/>
          <w:highlight w:val="yellow"/>
        </w:rPr>
        <w:t>日。</w:t>
      </w:r>
    </w:p>
    <w:p w14:paraId="5025BE4A">
      <w:pPr>
        <w:pStyle w:val="6"/>
        <w:spacing w:line="360" w:lineRule="auto"/>
        <w:ind w:left="840" w:leftChars="200" w:hanging="420" w:hangingChars="200"/>
        <w:rPr>
          <w:rFonts w:hint="eastAsia"/>
          <w:highlight w:val="none"/>
        </w:rPr>
      </w:pPr>
      <w:r>
        <w:rPr>
          <w:rFonts w:hint="eastAsia"/>
          <w:highlight w:val="none"/>
        </w:rPr>
        <w:t>2.报名及投标招标</w:t>
      </w:r>
      <w:r>
        <w:rPr>
          <w:rFonts w:hint="eastAsia"/>
          <w:highlight w:val="none"/>
          <w:lang w:val="en-US" w:eastAsia="zh-CN"/>
        </w:rPr>
        <w:t>商务及技术</w:t>
      </w:r>
      <w:r>
        <w:rPr>
          <w:rFonts w:hint="eastAsia"/>
          <w:highlight w:val="none"/>
        </w:rPr>
        <w:t>事宜联系人：</w:t>
      </w:r>
    </w:p>
    <w:p w14:paraId="140CD497">
      <w:pPr>
        <w:pStyle w:val="6"/>
        <w:spacing w:line="360" w:lineRule="auto"/>
        <w:ind w:left="840" w:leftChars="200" w:hanging="420" w:hangingChars="200"/>
        <w:rPr>
          <w:rFonts w:hint="default" w:eastAsia="宋体"/>
          <w:highlight w:val="none"/>
          <w:lang w:val="en-US" w:eastAsia="zh-CN"/>
        </w:rPr>
      </w:pPr>
      <w:r>
        <w:rPr>
          <w:rFonts w:hint="eastAsia"/>
          <w:highlight w:val="none"/>
          <w:lang w:val="en-US" w:eastAsia="zh-CN"/>
        </w:rPr>
        <w:t>商务联系人：杨超，联系电话：13011738688。</w:t>
      </w:r>
    </w:p>
    <w:p w14:paraId="3A2DB101">
      <w:pPr>
        <w:pStyle w:val="6"/>
        <w:spacing w:line="360" w:lineRule="auto"/>
        <w:ind w:left="840" w:leftChars="200" w:hanging="420" w:hangingChars="200"/>
        <w:rPr>
          <w:highlight w:val="none"/>
        </w:rPr>
      </w:pPr>
      <w:r>
        <w:rPr>
          <w:rFonts w:hint="eastAsia"/>
          <w:highlight w:val="none"/>
          <w:lang w:val="en-US" w:eastAsia="zh-CN"/>
        </w:rPr>
        <w:t>技术联系人：杨超</w:t>
      </w:r>
      <w:r>
        <w:rPr>
          <w:rFonts w:hint="eastAsia"/>
          <w:highlight w:val="none"/>
          <w:lang w:eastAsia="zh-CN"/>
        </w:rPr>
        <w:t>，</w:t>
      </w:r>
      <w:r>
        <w:rPr>
          <w:rFonts w:hint="eastAsia"/>
          <w:highlight w:val="none"/>
        </w:rPr>
        <w:t>联系电话：</w:t>
      </w:r>
      <w:r>
        <w:rPr>
          <w:rFonts w:hint="eastAsia"/>
          <w:highlight w:val="none"/>
          <w:lang w:val="en-US" w:eastAsia="zh-CN"/>
        </w:rPr>
        <w:t>13011738688</w:t>
      </w:r>
      <w:r>
        <w:rPr>
          <w:rFonts w:hint="eastAsia"/>
          <w:highlight w:val="none"/>
        </w:rPr>
        <w:t>。</w:t>
      </w:r>
    </w:p>
    <w:p w14:paraId="63502099">
      <w:pPr>
        <w:pStyle w:val="6"/>
        <w:spacing w:line="360" w:lineRule="auto"/>
        <w:ind w:left="840" w:leftChars="200" w:hanging="420" w:hangingChars="200"/>
        <w:rPr>
          <w:highlight w:val="yellow"/>
        </w:rPr>
      </w:pPr>
      <w:r>
        <w:rPr>
          <w:rFonts w:hint="eastAsia"/>
          <w:highlight w:val="yellow"/>
        </w:rPr>
        <w:t>3.开标</w:t>
      </w:r>
      <w:r>
        <w:rPr>
          <w:rFonts w:hint="eastAsia"/>
          <w:highlight w:val="yellow"/>
          <w:lang w:val="en-US" w:eastAsia="zh-CN"/>
        </w:rPr>
        <w:t>及投标截止</w:t>
      </w:r>
      <w:r>
        <w:rPr>
          <w:rFonts w:hint="eastAsia"/>
          <w:highlight w:val="yellow"/>
        </w:rPr>
        <w:t>时间：202</w:t>
      </w:r>
      <w:r>
        <w:rPr>
          <w:rFonts w:hint="eastAsia"/>
          <w:highlight w:val="yellow"/>
          <w:lang w:val="en-US" w:eastAsia="zh-CN"/>
        </w:rPr>
        <w:t>6</w:t>
      </w:r>
      <w:r>
        <w:rPr>
          <w:rFonts w:hint="eastAsia"/>
          <w:highlight w:val="yellow"/>
        </w:rPr>
        <w:t>年</w:t>
      </w:r>
      <w:r>
        <w:rPr>
          <w:rFonts w:hint="eastAsia"/>
          <w:highlight w:val="yellow"/>
          <w:lang w:val="en-US" w:eastAsia="zh-CN"/>
        </w:rPr>
        <w:t>3</w:t>
      </w:r>
      <w:r>
        <w:rPr>
          <w:rFonts w:hint="eastAsia"/>
          <w:highlight w:val="yellow"/>
        </w:rPr>
        <w:t>月</w:t>
      </w:r>
      <w:r>
        <w:rPr>
          <w:rFonts w:hint="eastAsia"/>
          <w:highlight w:val="yellow"/>
          <w:lang w:val="en-US" w:eastAsia="zh-CN"/>
        </w:rPr>
        <w:t>2</w:t>
      </w:r>
      <w:r>
        <w:rPr>
          <w:rFonts w:hint="eastAsia"/>
          <w:highlight w:val="yellow"/>
        </w:rPr>
        <w:t>日上午9:</w:t>
      </w:r>
      <w:r>
        <w:rPr>
          <w:rFonts w:hint="eastAsia"/>
          <w:highlight w:val="yellow"/>
          <w:lang w:val="en-US" w:eastAsia="zh-CN"/>
        </w:rPr>
        <w:t>0</w:t>
      </w:r>
      <w:r>
        <w:rPr>
          <w:rFonts w:hint="eastAsia"/>
          <w:highlight w:val="yellow"/>
        </w:rPr>
        <w:t>0 时（</w:t>
      </w:r>
      <w:r>
        <w:rPr>
          <w:rFonts w:hint="eastAsia"/>
          <w:highlight w:val="yellow"/>
          <w:lang w:val="en-US" w:eastAsia="zh-CN"/>
        </w:rPr>
        <w:t>开标时间</w:t>
      </w:r>
      <w:r>
        <w:rPr>
          <w:rFonts w:hint="eastAsia"/>
          <w:highlight w:val="yellow"/>
        </w:rPr>
        <w:t>若有变动另行通知）。</w:t>
      </w:r>
    </w:p>
    <w:p w14:paraId="3635B6BB">
      <w:pPr>
        <w:pStyle w:val="6"/>
        <w:spacing w:line="360" w:lineRule="auto"/>
        <w:ind w:left="840" w:leftChars="200" w:hanging="420" w:hangingChars="200"/>
        <w:rPr>
          <w:rFonts w:hint="default"/>
          <w:highlight w:val="yellow"/>
          <w:lang w:val="en-US" w:eastAsia="zh-CN"/>
        </w:rPr>
      </w:pPr>
      <w:r>
        <w:rPr>
          <w:rFonts w:hint="eastAsia"/>
          <w:highlight w:val="yellow"/>
        </w:rPr>
        <w:t>4.开标地点</w:t>
      </w:r>
      <w:r>
        <w:rPr>
          <w:rFonts w:hint="eastAsia"/>
          <w:highlight w:val="yellow"/>
          <w:lang w:eastAsia="zh-CN"/>
        </w:rPr>
        <w:t>：济南市章丘区世纪大道7777号</w:t>
      </w:r>
      <w:r>
        <w:rPr>
          <w:rFonts w:hint="eastAsia"/>
          <w:highlight w:val="yellow"/>
          <w:lang w:val="en-US" w:eastAsia="zh-CN"/>
        </w:rPr>
        <w:t>发动机厂</w:t>
      </w:r>
      <w:r>
        <w:rPr>
          <w:rFonts w:hint="eastAsia"/>
          <w:highlight w:val="yellow"/>
        </w:rPr>
        <w:t>（若有变动另行通知）。</w:t>
      </w:r>
    </w:p>
    <w:p w14:paraId="681D61EF">
      <w:pPr>
        <w:pStyle w:val="6"/>
        <w:spacing w:line="360" w:lineRule="auto"/>
        <w:rPr>
          <w:rFonts w:ascii="黑体" w:eastAsia="黑体"/>
          <w:b/>
          <w:bCs/>
          <w:sz w:val="28"/>
        </w:rPr>
      </w:pPr>
      <w:r>
        <w:rPr>
          <w:rFonts w:hint="eastAsia" w:ascii="黑体" w:eastAsia="黑体"/>
          <w:b/>
          <w:bCs/>
          <w:sz w:val="28"/>
        </w:rPr>
        <w:t>五、报名方式</w:t>
      </w:r>
    </w:p>
    <w:p w14:paraId="22A858F8">
      <w:pPr>
        <w:pStyle w:val="6"/>
        <w:spacing w:line="360" w:lineRule="auto"/>
        <w:ind w:firstLine="405"/>
        <w:rPr>
          <w:rFonts w:hint="eastAsia"/>
          <w:lang w:eastAsia="zh-CN"/>
        </w:rPr>
      </w:pPr>
      <w:r>
        <w:rPr>
          <w:rFonts w:hint="eastAsia"/>
        </w:rPr>
        <w:t>1.</w:t>
      </w:r>
      <w:r>
        <w:rPr>
          <w:rFonts w:hint="eastAsia"/>
          <w:b/>
          <w:bCs/>
          <w:highlight w:val="yellow"/>
        </w:rPr>
        <w:t>应标截止时间：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2</w:t>
      </w:r>
      <w:r>
        <w:rPr>
          <w:rFonts w:hint="eastAsia"/>
          <w:highlight w:val="yellow"/>
        </w:rPr>
        <w:t>月</w:t>
      </w:r>
      <w:r>
        <w:rPr>
          <w:rFonts w:hint="eastAsia"/>
          <w:highlight w:val="yellow"/>
          <w:lang w:val="en-US" w:eastAsia="zh-CN"/>
        </w:rPr>
        <w:t>28</w:t>
      </w:r>
      <w:bookmarkStart w:id="11" w:name="_GoBack"/>
      <w:bookmarkEnd w:id="11"/>
      <w:r>
        <w:rPr>
          <w:rFonts w:hint="eastAsia"/>
          <w:highlight w:val="yellow"/>
        </w:rPr>
        <w:t>日17点前。</w:t>
      </w:r>
      <w:r>
        <w:rPr>
          <w:rFonts w:hint="eastAsia"/>
          <w:lang w:eastAsia="zh-CN"/>
        </w:rPr>
        <w:t>（</w:t>
      </w:r>
      <w:r>
        <w:rPr>
          <w:rFonts w:hint="eastAsia"/>
        </w:rPr>
        <w:t>注册审核需2-4日</w:t>
      </w:r>
      <w:r>
        <w:rPr>
          <w:rFonts w:hint="eastAsia"/>
          <w:lang w:eastAsia="zh-CN"/>
        </w:rPr>
        <w:t>，</w:t>
      </w:r>
      <w:r>
        <w:rPr>
          <w:rFonts w:hint="eastAsia"/>
          <w:lang w:val="en-US" w:eastAsia="zh-CN"/>
        </w:rPr>
        <w:t>请预留出驳回修改时间</w:t>
      </w:r>
      <w:r>
        <w:rPr>
          <w:rFonts w:hint="eastAsia"/>
        </w:rPr>
        <w:t>，应标截止时间精确到秒，逾期将无法应标。请自行掌握时间，避免无法应标。</w:t>
      </w:r>
      <w:r>
        <w:rPr>
          <w:rFonts w:hint="eastAsia"/>
          <w:lang w:eastAsia="zh-CN"/>
        </w:rPr>
        <w:t>）在中国重汽e采通平台应标成功后，进入“供应商投标”环节，投递盖章扫描版电子标书（包含资质标书、技术标书、商务标书），用“公司名称+文件名称”命名。</w:t>
      </w:r>
      <w:r>
        <w:rPr>
          <w:rFonts w:hint="eastAsia"/>
          <w:highlight w:val="yellow"/>
          <w:lang w:eastAsia="zh-CN"/>
        </w:rPr>
        <w:t>若逾期未在中国重汽e采通平台上传电子标书，即便递交了纸版投标文件，一律视为无效投标。</w:t>
      </w:r>
    </w:p>
    <w:p w14:paraId="5E6C0B1E">
      <w:pPr>
        <w:pStyle w:val="6"/>
        <w:spacing w:line="360" w:lineRule="auto"/>
        <w:ind w:firstLine="405"/>
        <w:rPr>
          <w:rFonts w:hint="eastAsia"/>
        </w:rPr>
      </w:pPr>
      <w:r>
        <w:rPr>
          <w:rFonts w:hint="eastAsia"/>
        </w:rPr>
        <w:t>2.方式：投标人首先对投标报名单位进行资格审</w:t>
      </w:r>
      <w:r>
        <w:rPr>
          <w:rFonts w:hint="eastAsia"/>
          <w:lang w:val="en-US" w:eastAsia="zh-CN"/>
        </w:rPr>
        <w:t>核</w:t>
      </w:r>
      <w:r>
        <w:rPr>
          <w:rFonts w:hint="eastAsia"/>
        </w:rPr>
        <w:t>，对于资质审核通过的供方，获得该本项目招标书电子版，以电子邮件等形式发送至投标方邮箱，招标人不对投标人能否通过电子邮箱正确或及时接收相关邮件负责，招标人邮件发出即视为送达。对于应标的单位，需缴纳投标保证金证明，并在https://ecaitong.sinotruk.com:8012/#/login注册账户。</w:t>
      </w:r>
    </w:p>
    <w:p w14:paraId="3D55B252">
      <w:pPr>
        <w:pStyle w:val="6"/>
        <w:spacing w:line="360" w:lineRule="auto"/>
        <w:ind w:left="0" w:leftChars="0" w:firstLine="420" w:firstLineChars="200"/>
        <w:rPr>
          <w:rFonts w:hint="eastAsia"/>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14:paraId="19970CBC">
      <w:pPr>
        <w:pStyle w:val="6"/>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w:t>
      </w:r>
      <w:r>
        <w:rPr>
          <w:rFonts w:hint="eastAsia"/>
          <w:lang w:val="en-US" w:eastAsia="zh-CN"/>
        </w:rPr>
        <w:t>制造工程部</w:t>
      </w:r>
      <w:r>
        <w:rPr>
          <w:rFonts w:hint="eastAsia"/>
        </w:rPr>
        <w:t>”，类别选择“设备维保”。注册并审核通过后方能参与本项目投标，审核通过后请电话告知招标方联系人。</w:t>
      </w:r>
    </w:p>
    <w:p w14:paraId="49053EC3">
      <w:pPr>
        <w:pStyle w:val="3"/>
        <w:ind w:firstLine="602" w:firstLineChars="300"/>
        <w:rPr>
          <w:rFonts w:hint="default"/>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b/>
          <w:bCs/>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p>
    <w:p w14:paraId="3019B132">
      <w:pPr>
        <w:pStyle w:val="6"/>
        <w:spacing w:line="360" w:lineRule="auto"/>
        <w:rPr>
          <w:rFonts w:ascii="黑体" w:eastAsia="黑体"/>
          <w:b/>
          <w:bCs/>
          <w:sz w:val="28"/>
        </w:rPr>
      </w:pPr>
      <w:r>
        <w:rPr>
          <w:rFonts w:hint="eastAsia" w:ascii="黑体" w:eastAsia="黑体"/>
          <w:b/>
          <w:bCs/>
          <w:sz w:val="28"/>
        </w:rPr>
        <w:t>六、投标须知</w:t>
      </w:r>
    </w:p>
    <w:p w14:paraId="6F91B8CC">
      <w:pPr>
        <w:pStyle w:val="6"/>
        <w:spacing w:line="360" w:lineRule="auto"/>
        <w:ind w:firstLine="422" w:firstLineChars="200"/>
        <w:rPr>
          <w:b/>
        </w:rPr>
      </w:pPr>
      <w:r>
        <w:rPr>
          <w:rFonts w:hint="eastAsia"/>
          <w:b/>
        </w:rPr>
        <w:t>1.合格投标人：</w:t>
      </w:r>
    </w:p>
    <w:p w14:paraId="66B02ACD">
      <w:pPr>
        <w:pStyle w:val="6"/>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6"/>
        <w:spacing w:line="360" w:lineRule="auto"/>
        <w:ind w:firstLine="282" w:firstLineChars="134"/>
        <w:rPr>
          <w:rFonts w:hint="eastAsia"/>
          <w:b/>
          <w:bCs/>
          <w:highlight w:val="yellow"/>
          <w:lang w:eastAsia="zh-CN"/>
        </w:rPr>
      </w:pPr>
      <w:r>
        <w:rPr>
          <w:rFonts w:hint="eastAsia" w:hAnsi="宋体"/>
          <w:b/>
          <w:bCs/>
          <w:highlight w:val="yellow"/>
        </w:rPr>
        <w:t>*⑵</w:t>
      </w:r>
      <w:r>
        <w:rPr>
          <w:rFonts w:hint="eastAsia"/>
          <w:b/>
          <w:bCs/>
          <w:highlight w:val="yellow"/>
        </w:rPr>
        <w:t>公司成立三年以上（以营业执照成立日期到开标当日满三年为准）；注册资金不得低于</w:t>
      </w:r>
      <w:r>
        <w:rPr>
          <w:rFonts w:hint="eastAsia"/>
          <w:b/>
          <w:bCs/>
          <w:highlight w:val="yellow"/>
          <w:lang w:val="en-US" w:eastAsia="zh-CN"/>
        </w:rPr>
        <w:t>500万人民币</w:t>
      </w:r>
      <w:r>
        <w:rPr>
          <w:rFonts w:hint="eastAsia"/>
          <w:b/>
          <w:bCs/>
          <w:highlight w:val="yellow"/>
          <w:lang w:eastAsia="zh-CN"/>
        </w:rPr>
        <w:t>，</w:t>
      </w:r>
      <w:r>
        <w:rPr>
          <w:rFonts w:hint="eastAsia"/>
          <w:b/>
          <w:bCs/>
          <w:highlight w:val="yellow"/>
        </w:rPr>
        <w:t>经营范围满足招标项目需求；经营范围满足招标项目需求，并在人员、设备、资金等方面具有承担本项目的能力；具有</w:t>
      </w:r>
      <w:r>
        <w:rPr>
          <w:rFonts w:hint="eastAsia"/>
          <w:b/>
          <w:bCs/>
          <w:highlight w:val="yellow"/>
          <w:lang w:val="en-US" w:eastAsia="zh-CN"/>
        </w:rPr>
        <w:t>同类</w:t>
      </w:r>
      <w:r>
        <w:rPr>
          <w:rFonts w:hint="eastAsia"/>
          <w:b/>
          <w:bCs/>
          <w:highlight w:val="yellow"/>
          <w:lang w:val="en-US"/>
        </w:rPr>
        <w:t>VOCs</w:t>
      </w:r>
      <w:r>
        <w:rPr>
          <w:rFonts w:hint="eastAsia"/>
          <w:b/>
          <w:bCs/>
          <w:highlight w:val="yellow"/>
          <w:lang w:val="en-US" w:eastAsia="zh-CN"/>
        </w:rPr>
        <w:t>处理</w:t>
      </w:r>
      <w:r>
        <w:rPr>
          <w:rFonts w:hint="eastAsia"/>
          <w:b/>
          <w:bCs/>
          <w:highlight w:val="yellow"/>
        </w:rPr>
        <w:t>设备运营及维</w:t>
      </w:r>
      <w:r>
        <w:rPr>
          <w:rFonts w:hint="eastAsia"/>
          <w:b/>
          <w:bCs/>
          <w:highlight w:val="yellow"/>
          <w:lang w:val="en-US" w:eastAsia="zh-CN"/>
        </w:rPr>
        <w:t>护</w:t>
      </w:r>
      <w:r>
        <w:rPr>
          <w:rFonts w:hint="eastAsia"/>
          <w:b/>
          <w:bCs/>
          <w:highlight w:val="yellow"/>
        </w:rPr>
        <w:t>一年以上经验和成功的类似工程案例</w:t>
      </w:r>
      <w:r>
        <w:rPr>
          <w:rFonts w:hint="eastAsia"/>
          <w:b/>
          <w:bCs/>
          <w:highlight w:val="yellow"/>
          <w:lang w:eastAsia="zh-CN"/>
        </w:rPr>
        <w:t>；</w:t>
      </w:r>
    </w:p>
    <w:p w14:paraId="32AAF298">
      <w:pPr>
        <w:pStyle w:val="6"/>
        <w:spacing w:line="360" w:lineRule="auto"/>
        <w:ind w:firstLine="282" w:firstLineChars="134"/>
        <w:rPr>
          <w:b/>
          <w:bCs/>
          <w:highlight w:val="yellow"/>
        </w:rPr>
      </w:pPr>
      <w:r>
        <w:rPr>
          <w:rFonts w:hint="eastAsia" w:hAnsi="宋体"/>
          <w:b/>
          <w:bCs/>
          <w:highlight w:val="yellow"/>
        </w:rPr>
        <w:t>*</w:t>
      </w:r>
      <w:r>
        <w:rPr>
          <w:rFonts w:hint="eastAsia"/>
          <w:b/>
          <w:bCs/>
          <w:highlight w:val="yellow"/>
        </w:rPr>
        <w:t>⑶投标人须提供具有统一社会信用代码的新版营业执照副本原件及（或）复印件（加盖公章）；</w:t>
      </w:r>
    </w:p>
    <w:p w14:paraId="50059D01">
      <w:pPr>
        <w:pStyle w:val="6"/>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14:paraId="79D405ED">
      <w:pPr>
        <w:pStyle w:val="6"/>
        <w:spacing w:line="360" w:lineRule="auto"/>
        <w:ind w:firstLine="420" w:firstLineChars="200"/>
      </w:pPr>
      <w:r>
        <w:rPr>
          <w:rFonts w:hint="eastAsia" w:hAnsi="宋体"/>
        </w:rPr>
        <w:t>⑸</w:t>
      </w:r>
      <w:r>
        <w:rPr>
          <w:rFonts w:hint="eastAsia"/>
        </w:rPr>
        <w:t>投标人在近三年内在经营活动中无违法记录；</w:t>
      </w:r>
    </w:p>
    <w:p w14:paraId="0FDFE73E">
      <w:pPr>
        <w:pStyle w:val="6"/>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6"/>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spacing w:line="360" w:lineRule="auto"/>
        <w:ind w:firstLine="282" w:firstLineChars="134"/>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6"/>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419A4081">
      <w:pPr>
        <w:pStyle w:val="6"/>
        <w:spacing w:line="360" w:lineRule="auto"/>
        <w:ind w:firstLine="420" w:firstLineChars="200"/>
      </w:pPr>
      <w:r>
        <w:rPr>
          <w:rFonts w:hint="eastAsia" w:hAnsi="宋体"/>
        </w:rPr>
        <w:t>⑾</w:t>
      </w:r>
      <w:r>
        <w:rPr>
          <w:rFonts w:hint="eastAsia"/>
        </w:rPr>
        <w:t>投标人须具有完全履行招标文件的所有要求的能力；</w:t>
      </w:r>
    </w:p>
    <w:p w14:paraId="4A7EAD95">
      <w:pPr>
        <w:pStyle w:val="6"/>
        <w:spacing w:line="360" w:lineRule="auto"/>
        <w:ind w:firstLine="420" w:firstLineChars="200"/>
      </w:pPr>
      <w:r>
        <w:rPr>
          <w:rFonts w:hint="eastAsia" w:hAnsi="宋体"/>
        </w:rPr>
        <w:t>⑿</w:t>
      </w:r>
      <w:r>
        <w:rPr>
          <w:rFonts w:hint="eastAsia"/>
        </w:rPr>
        <w:t>投标人须负责提供合理的便于运输的包装物，并承担相关费用；</w:t>
      </w:r>
    </w:p>
    <w:p w14:paraId="3D466A79">
      <w:pPr>
        <w:pStyle w:val="6"/>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0B2D05D">
      <w:pPr>
        <w:pStyle w:val="6"/>
        <w:spacing w:line="360" w:lineRule="auto"/>
        <w:ind w:firstLine="420" w:firstLineChars="200"/>
      </w:pPr>
      <w:r>
        <w:rPr>
          <w:rFonts w:hint="eastAsia" w:hAnsi="宋体"/>
        </w:rPr>
        <w:t>⒁</w:t>
      </w:r>
      <w:r>
        <w:rPr>
          <w:rFonts w:hint="eastAsia"/>
        </w:rPr>
        <w:t>投标人须认可招标人终止合同后3个月退还履约保证金的招标要求；</w:t>
      </w:r>
    </w:p>
    <w:p w14:paraId="6430F9F0">
      <w:pPr>
        <w:pStyle w:val="6"/>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6"/>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spacing w:line="360" w:lineRule="auto"/>
        <w:ind w:firstLine="422" w:firstLineChars="200"/>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41122561">
      <w:pPr>
        <w:pStyle w:val="6"/>
        <w:spacing w:line="360" w:lineRule="auto"/>
        <w:ind w:firstLine="420" w:firstLineChars="200"/>
        <w:rPr>
          <w:rFonts w:hint="eastAsia" w:hAnsi="宋体"/>
        </w:rPr>
      </w:pPr>
      <w:r>
        <w:rPr>
          <w:rFonts w:hint="eastAsia" w:hAnsi="宋体"/>
          <w:b w:val="0"/>
          <w:bCs w:val="0"/>
          <w:lang w:eastAsia="zh-CN"/>
        </w:rPr>
        <w:t>⒅</w:t>
      </w:r>
      <w:r>
        <w:rPr>
          <w:rFonts w:hint="eastAsia" w:hAnsi="宋体"/>
        </w:rPr>
        <w:t>供方的直接或间接股东、法定代表人、董事、监事、高管非重汽员工及其亲属。</w:t>
      </w:r>
    </w:p>
    <w:p w14:paraId="0B541695">
      <w:pPr>
        <w:pStyle w:val="6"/>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5075C636">
      <w:pPr>
        <w:pStyle w:val="6"/>
        <w:spacing w:line="360" w:lineRule="auto"/>
        <w:ind w:firstLine="422" w:firstLineChars="200"/>
        <w:rPr>
          <w:b/>
        </w:rPr>
      </w:pPr>
      <w:r>
        <w:rPr>
          <w:rFonts w:hint="eastAsia"/>
          <w:b/>
        </w:rPr>
        <w:t>2.投标文件格式组成</w:t>
      </w:r>
    </w:p>
    <w:p w14:paraId="5B35B682">
      <w:pPr>
        <w:pStyle w:val="6"/>
        <w:spacing w:line="360" w:lineRule="auto"/>
        <w:ind w:firstLine="422" w:firstLineChars="200"/>
        <w:rPr>
          <w:b/>
        </w:rPr>
      </w:pPr>
      <w:r>
        <w:rPr>
          <w:rFonts w:hint="eastAsia"/>
          <w:b/>
        </w:rPr>
        <w:t>2.1资质文件（独立封装在一个档案袋，一式两份，一正一副）：</w:t>
      </w:r>
    </w:p>
    <w:p w14:paraId="6F6400DE">
      <w:pPr>
        <w:pStyle w:val="6"/>
        <w:spacing w:line="360" w:lineRule="auto"/>
        <w:ind w:firstLine="422" w:firstLineChars="200"/>
        <w:rPr>
          <w:b/>
        </w:rPr>
      </w:pPr>
      <w:r>
        <w:rPr>
          <w:rFonts w:hint="eastAsia"/>
          <w:b/>
        </w:rPr>
        <w:t>2.1.1</w:t>
      </w:r>
      <w:r>
        <w:rPr>
          <w:rFonts w:hint="eastAsia"/>
          <w:b/>
        </w:rPr>
        <w:tab/>
      </w:r>
      <w:r>
        <w:rPr>
          <w:rFonts w:hint="eastAsia"/>
          <w:b/>
        </w:rPr>
        <w:t>法定代表人身份证明；</w:t>
      </w:r>
    </w:p>
    <w:p w14:paraId="66AE882A">
      <w:pPr>
        <w:pStyle w:val="6"/>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544010A">
      <w:pPr>
        <w:pStyle w:val="6"/>
        <w:spacing w:line="360" w:lineRule="auto"/>
        <w:ind w:firstLine="422" w:firstLineChars="200"/>
        <w:rPr>
          <w:b/>
        </w:rPr>
      </w:pPr>
      <w:r>
        <w:rPr>
          <w:rFonts w:hint="eastAsia"/>
          <w:b/>
        </w:rPr>
        <w:t>2.1.3</w:t>
      </w:r>
      <w:r>
        <w:rPr>
          <w:rFonts w:hint="eastAsia"/>
          <w:b/>
        </w:rPr>
        <w:tab/>
      </w:r>
      <w:r>
        <w:rPr>
          <w:rFonts w:hint="eastAsia"/>
          <w:b/>
        </w:rPr>
        <w:t>营业执照副本复印件；</w:t>
      </w:r>
    </w:p>
    <w:p w14:paraId="1F92A118">
      <w:pPr>
        <w:pStyle w:val="6"/>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7DFD06B8">
      <w:pPr>
        <w:pStyle w:val="6"/>
        <w:spacing w:line="360" w:lineRule="auto"/>
        <w:ind w:firstLine="422" w:firstLineChars="200"/>
        <w:rPr>
          <w:b/>
        </w:rPr>
      </w:pPr>
      <w:r>
        <w:rPr>
          <w:rFonts w:hint="eastAsia"/>
          <w:b/>
        </w:rPr>
        <w:t>2.1.</w:t>
      </w:r>
      <w:r>
        <w:rPr>
          <w:b/>
        </w:rPr>
        <w:t>5</w:t>
      </w:r>
      <w:r>
        <w:rPr>
          <w:rFonts w:hint="eastAsia"/>
          <w:b/>
        </w:rPr>
        <w:tab/>
      </w:r>
      <w:r>
        <w:rPr>
          <w:rFonts w:hint="eastAsia"/>
          <w:b/>
        </w:rPr>
        <w:t xml:space="preserve"> </w:t>
      </w: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2</w:t>
      </w:r>
      <w:r>
        <w:rPr>
          <w:rFonts w:hint="eastAsia"/>
          <w:b/>
          <w:highlight w:val="yellow"/>
        </w:rPr>
        <w:t>年、</w:t>
      </w:r>
      <w:r>
        <w:rPr>
          <w:b/>
          <w:highlight w:val="yellow"/>
        </w:rPr>
        <w:t>202</w:t>
      </w:r>
      <w:r>
        <w:rPr>
          <w:rFonts w:hint="eastAsia"/>
          <w:b/>
          <w:highlight w:val="yellow"/>
          <w:lang w:val="en-US" w:eastAsia="zh-CN"/>
        </w:rPr>
        <w:t>3</w:t>
      </w:r>
      <w:r>
        <w:rPr>
          <w:rFonts w:hint="eastAsia"/>
          <w:b/>
          <w:highlight w:val="yellow"/>
        </w:rPr>
        <w:t>年</w:t>
      </w:r>
      <w:r>
        <w:rPr>
          <w:rFonts w:hint="eastAsia"/>
          <w:b/>
          <w:highlight w:val="yellow"/>
          <w:lang w:eastAsia="zh-CN"/>
        </w:rPr>
        <w:t>、</w:t>
      </w:r>
      <w:r>
        <w:rPr>
          <w:rFonts w:hint="eastAsia"/>
          <w:b/>
          <w:highlight w:val="yellow"/>
          <w:lang w:val="en-US" w:eastAsia="zh-CN"/>
        </w:rPr>
        <w:t>2024年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48A732E1">
      <w:pPr>
        <w:pStyle w:val="6"/>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6"/>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14:paraId="6C58EA94">
      <w:pPr>
        <w:pStyle w:val="6"/>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14:paraId="445F5B21">
      <w:pPr>
        <w:pStyle w:val="6"/>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14:paraId="0E8D9748">
      <w:pPr>
        <w:pStyle w:val="6"/>
        <w:spacing w:line="360" w:lineRule="auto"/>
        <w:ind w:firstLine="422" w:firstLineChars="200"/>
        <w:rPr>
          <w:b/>
        </w:rPr>
      </w:pPr>
      <w:r>
        <w:rPr>
          <w:rFonts w:hint="eastAsia"/>
          <w:b/>
        </w:rPr>
        <w:t>2.2 技术标（独立封装在一个档案袋，一式五份，其中正本一份，副本四份）：</w:t>
      </w:r>
    </w:p>
    <w:p w14:paraId="65A0782D">
      <w:pPr>
        <w:pStyle w:val="6"/>
        <w:spacing w:line="360" w:lineRule="auto"/>
        <w:ind w:firstLine="422" w:firstLineChars="200"/>
        <w:rPr>
          <w:b/>
        </w:rPr>
      </w:pPr>
      <w:r>
        <w:rPr>
          <w:rFonts w:hint="eastAsia"/>
          <w:b/>
        </w:rPr>
        <w:t>2.2.1</w:t>
      </w:r>
      <w:r>
        <w:rPr>
          <w:rFonts w:hint="eastAsia"/>
          <w:b/>
        </w:rPr>
        <w:tab/>
      </w:r>
      <w:r>
        <w:rPr>
          <w:rFonts w:hint="eastAsia"/>
          <w:b/>
        </w:rPr>
        <w:t>技术规格偏离表；</w:t>
      </w:r>
    </w:p>
    <w:p w14:paraId="16AE7B13">
      <w:pPr>
        <w:pStyle w:val="6"/>
        <w:spacing w:line="360" w:lineRule="auto"/>
        <w:ind w:firstLine="422" w:firstLineChars="200"/>
        <w:rPr>
          <w:b/>
        </w:rPr>
      </w:pPr>
      <w:r>
        <w:rPr>
          <w:rFonts w:hint="eastAsia"/>
          <w:b/>
        </w:rPr>
        <w:t>2.2.2</w:t>
      </w:r>
      <w:r>
        <w:rPr>
          <w:rFonts w:hint="eastAsia"/>
          <w:b/>
        </w:rPr>
        <w:tab/>
      </w:r>
      <w:r>
        <w:rPr>
          <w:rFonts w:hint="eastAsia"/>
          <w:b/>
          <w:lang w:val="en-US" w:eastAsia="zh-CN"/>
        </w:rPr>
        <w:t>运行维保</w:t>
      </w:r>
      <w:r>
        <w:rPr>
          <w:rFonts w:hint="eastAsia"/>
          <w:b/>
        </w:rPr>
        <w:t>方案；</w:t>
      </w:r>
    </w:p>
    <w:p w14:paraId="5C76315D">
      <w:pPr>
        <w:pStyle w:val="6"/>
        <w:spacing w:line="360" w:lineRule="auto"/>
        <w:ind w:firstLine="422" w:firstLineChars="200"/>
        <w:rPr>
          <w:b/>
        </w:rPr>
      </w:pPr>
      <w:r>
        <w:rPr>
          <w:rFonts w:hint="eastAsia"/>
          <w:b/>
        </w:rPr>
        <w:t>2.2.3</w:t>
      </w:r>
      <w:r>
        <w:rPr>
          <w:rFonts w:hint="eastAsia"/>
          <w:b/>
        </w:rPr>
        <w:tab/>
      </w:r>
      <w:r>
        <w:rPr>
          <w:rFonts w:hint="eastAsia"/>
          <w:b/>
        </w:rPr>
        <w:t>专用工具及备件清单（如果有）；</w:t>
      </w:r>
    </w:p>
    <w:p w14:paraId="6FE68ED7">
      <w:pPr>
        <w:pStyle w:val="6"/>
        <w:spacing w:line="360" w:lineRule="auto"/>
        <w:ind w:firstLine="422" w:firstLineChars="200"/>
        <w:rPr>
          <w:b/>
        </w:rPr>
      </w:pPr>
      <w:r>
        <w:rPr>
          <w:rFonts w:hint="eastAsia"/>
          <w:b/>
        </w:rPr>
        <w:t>2.2.</w:t>
      </w:r>
      <w:r>
        <w:rPr>
          <w:rFonts w:hint="eastAsia"/>
          <w:b/>
          <w:lang w:val="en-US" w:eastAsia="zh-CN"/>
        </w:rPr>
        <w:t>4</w:t>
      </w:r>
      <w:r>
        <w:rPr>
          <w:rFonts w:hint="eastAsia"/>
          <w:b/>
        </w:rPr>
        <w:t xml:space="preserve">  设备安装、验收计划、现场服务（如果有）；</w:t>
      </w:r>
    </w:p>
    <w:p w14:paraId="341D5D4E">
      <w:pPr>
        <w:pStyle w:val="6"/>
        <w:spacing w:line="360" w:lineRule="auto"/>
        <w:ind w:firstLine="422" w:firstLineChars="200"/>
        <w:rPr>
          <w:b/>
        </w:rPr>
      </w:pPr>
      <w:r>
        <w:rPr>
          <w:rFonts w:hint="eastAsia"/>
          <w:b/>
        </w:rPr>
        <w:t>2.2.</w:t>
      </w:r>
      <w:r>
        <w:rPr>
          <w:rFonts w:hint="eastAsia"/>
          <w:b/>
          <w:lang w:val="en-US" w:eastAsia="zh-CN"/>
        </w:rPr>
        <w:t>5</w:t>
      </w:r>
      <w:r>
        <w:rPr>
          <w:rFonts w:hint="eastAsia"/>
          <w:b/>
        </w:rPr>
        <w:t xml:space="preserve">  产品质量保修和售后服务内容及措施；</w:t>
      </w:r>
    </w:p>
    <w:p w14:paraId="5538FD95">
      <w:pPr>
        <w:pStyle w:val="6"/>
        <w:spacing w:line="360" w:lineRule="auto"/>
        <w:ind w:firstLine="422" w:firstLineChars="200"/>
        <w:rPr>
          <w:b/>
          <w:u w:val="single"/>
        </w:rPr>
      </w:pPr>
      <w:r>
        <w:rPr>
          <w:rFonts w:hint="eastAsia"/>
          <w:b/>
          <w:u w:val="single"/>
        </w:rPr>
        <w:t>2.2.</w:t>
      </w:r>
      <w:r>
        <w:rPr>
          <w:rFonts w:hint="eastAsia"/>
          <w:b/>
          <w:u w:val="single"/>
          <w:lang w:val="en-US" w:eastAsia="zh-CN"/>
        </w:rPr>
        <w:t>6</w:t>
      </w:r>
      <w:r>
        <w:rPr>
          <w:rFonts w:hint="eastAsia"/>
          <w:b/>
          <w:u w:val="single"/>
        </w:rPr>
        <w:t xml:space="preserve">  技术服务支持内容及保证措施；</w:t>
      </w:r>
    </w:p>
    <w:p w14:paraId="7222F62F">
      <w:pPr>
        <w:pStyle w:val="6"/>
        <w:spacing w:line="360" w:lineRule="auto"/>
        <w:ind w:firstLine="422" w:firstLineChars="200"/>
        <w:rPr>
          <w:rFonts w:hint="eastAsia"/>
          <w:b/>
        </w:rPr>
      </w:pPr>
      <w:r>
        <w:rPr>
          <w:rFonts w:hint="eastAsia"/>
          <w:b/>
        </w:rPr>
        <w:t>2.2.</w:t>
      </w:r>
      <w:r>
        <w:rPr>
          <w:rFonts w:hint="eastAsia"/>
          <w:b/>
          <w:lang w:val="en-US" w:eastAsia="zh-CN"/>
        </w:rPr>
        <w:t>7</w:t>
      </w:r>
      <w:r>
        <w:rPr>
          <w:rFonts w:hint="eastAsia"/>
          <w:b/>
        </w:rPr>
        <w:t xml:space="preserve">  维</w:t>
      </w:r>
      <w:r>
        <w:rPr>
          <w:rFonts w:hint="eastAsia"/>
          <w:b/>
          <w:lang w:val="en-US" w:eastAsia="zh-CN"/>
        </w:rPr>
        <w:t>保</w:t>
      </w:r>
      <w:r>
        <w:rPr>
          <w:rFonts w:hint="eastAsia"/>
          <w:b/>
        </w:rPr>
        <w:t>案例。</w:t>
      </w:r>
    </w:p>
    <w:p w14:paraId="11CB0276">
      <w:pPr>
        <w:pStyle w:val="6"/>
        <w:spacing w:line="360" w:lineRule="auto"/>
        <w:ind w:firstLine="422" w:firstLineChars="200"/>
        <w:rPr>
          <w:rFonts w:hint="default" w:eastAsia="宋体"/>
          <w:b/>
          <w:lang w:val="en-US" w:eastAsia="zh-CN"/>
        </w:rPr>
      </w:pPr>
      <w:r>
        <w:rPr>
          <w:rFonts w:hint="eastAsia"/>
          <w:b/>
          <w:lang w:val="en-US" w:eastAsia="zh-CN"/>
        </w:rPr>
        <w:t>2.2.8技术评标过程中需实际展示本单位维保所用的各类设备、人员及工具情况（可展示维保现场视频）</w:t>
      </w:r>
    </w:p>
    <w:p w14:paraId="747AB837">
      <w:pPr>
        <w:pStyle w:val="6"/>
        <w:spacing w:line="360" w:lineRule="auto"/>
        <w:ind w:firstLine="422" w:firstLineChars="200"/>
        <w:rPr>
          <w:b/>
        </w:rPr>
      </w:pPr>
      <w:r>
        <w:rPr>
          <w:rFonts w:hint="eastAsia"/>
          <w:b/>
        </w:rPr>
        <w:t>2.3 商务标（独立封装在一个档案袋，一式两份，一正一副）：</w:t>
      </w:r>
    </w:p>
    <w:p w14:paraId="0A07BCAF">
      <w:pPr>
        <w:pStyle w:val="6"/>
        <w:spacing w:line="360" w:lineRule="auto"/>
        <w:ind w:firstLine="422" w:firstLineChars="200"/>
        <w:rPr>
          <w:b/>
        </w:rPr>
      </w:pPr>
      <w:r>
        <w:rPr>
          <w:rFonts w:hint="eastAsia"/>
          <w:b/>
        </w:rPr>
        <w:t>2.3.1</w:t>
      </w:r>
      <w:r>
        <w:rPr>
          <w:rFonts w:hint="eastAsia"/>
          <w:b/>
        </w:rPr>
        <w:tab/>
      </w:r>
      <w:r>
        <w:rPr>
          <w:rFonts w:hint="eastAsia"/>
          <w:b/>
        </w:rPr>
        <w:t>投标函；</w:t>
      </w:r>
    </w:p>
    <w:p w14:paraId="44CA172A">
      <w:pPr>
        <w:pStyle w:val="6"/>
        <w:spacing w:line="360" w:lineRule="auto"/>
        <w:ind w:firstLine="422" w:firstLineChars="200"/>
        <w:rPr>
          <w:b/>
        </w:rPr>
      </w:pPr>
      <w:r>
        <w:rPr>
          <w:rFonts w:hint="eastAsia"/>
          <w:b/>
        </w:rPr>
        <w:t>2.3.2</w:t>
      </w:r>
      <w:r>
        <w:rPr>
          <w:rFonts w:hint="eastAsia"/>
          <w:b/>
        </w:rPr>
        <w:tab/>
      </w:r>
      <w:r>
        <w:rPr>
          <w:rFonts w:hint="eastAsia"/>
          <w:b/>
        </w:rPr>
        <w:t>开标一览表；</w:t>
      </w:r>
    </w:p>
    <w:p w14:paraId="646B6C25">
      <w:pPr>
        <w:pStyle w:val="6"/>
        <w:spacing w:line="360" w:lineRule="auto"/>
        <w:ind w:firstLine="422" w:firstLineChars="200"/>
        <w:rPr>
          <w:b/>
        </w:rPr>
      </w:pPr>
      <w:r>
        <w:rPr>
          <w:rFonts w:hint="eastAsia"/>
          <w:b/>
        </w:rPr>
        <w:t>2.3.3</w:t>
      </w:r>
      <w:r>
        <w:rPr>
          <w:rFonts w:hint="eastAsia"/>
          <w:b/>
        </w:rPr>
        <w:tab/>
      </w:r>
      <w:r>
        <w:rPr>
          <w:rFonts w:hint="eastAsia"/>
          <w:b/>
        </w:rPr>
        <w:t>投标货物分项报价表；</w:t>
      </w:r>
    </w:p>
    <w:p w14:paraId="2238B5B4">
      <w:pPr>
        <w:pStyle w:val="6"/>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62331964">
      <w:pPr>
        <w:pStyle w:val="6"/>
        <w:spacing w:line="360" w:lineRule="auto"/>
        <w:ind w:firstLine="422" w:firstLineChars="200"/>
        <w:rPr>
          <w:rFonts w:hint="eastAsia"/>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14:paraId="5396CAA3">
      <w:pPr>
        <w:pStyle w:val="6"/>
        <w:numPr>
          <w:ilvl w:val="255"/>
          <w:numId w:val="0"/>
        </w:numPr>
        <w:spacing w:line="360" w:lineRule="auto"/>
        <w:ind w:left="420"/>
        <w:rPr>
          <w:rFonts w:hint="eastAsia"/>
          <w:b/>
        </w:rPr>
      </w:pPr>
      <w:r>
        <w:rPr>
          <w:rFonts w:hint="eastAsia"/>
          <w:b/>
        </w:rPr>
        <w:t>2.</w:t>
      </w:r>
      <w:r>
        <w:rPr>
          <w:rFonts w:hint="eastAsia"/>
          <w:b/>
          <w:lang w:val="en-US" w:eastAsia="zh-CN"/>
        </w:rPr>
        <w:t>5</w:t>
      </w:r>
      <w:r>
        <w:rPr>
          <w:rFonts w:hint="eastAsia"/>
          <w:b/>
        </w:rPr>
        <w:t>电子版投标文件格式</w:t>
      </w:r>
    </w:p>
    <w:p w14:paraId="01587D96">
      <w:pPr>
        <w:pStyle w:val="6"/>
        <w:spacing w:line="360" w:lineRule="auto"/>
        <w:ind w:firstLine="422" w:firstLineChars="200"/>
        <w:rPr>
          <w:b/>
        </w:rPr>
      </w:pPr>
      <w:r>
        <w:rPr>
          <w:rFonts w:hint="eastAsia"/>
          <w:b/>
        </w:rPr>
        <w:t>2.5.1请在U盘中建立文件夹放入以下投标相关资料，文件夹名称为投标单位全称，U盘上交存档，不返还；</w:t>
      </w:r>
    </w:p>
    <w:p w14:paraId="72ED20F9">
      <w:pPr>
        <w:pStyle w:val="6"/>
        <w:numPr>
          <w:ilvl w:val="255"/>
          <w:numId w:val="0"/>
        </w:numPr>
        <w:spacing w:line="360" w:lineRule="auto"/>
        <w:ind w:firstLine="422" w:firstLineChars="200"/>
        <w:rPr>
          <w:b/>
        </w:rPr>
      </w:pPr>
      <w:r>
        <w:rPr>
          <w:rFonts w:hint="eastAsia"/>
          <w:b/>
        </w:rPr>
        <w:t>2.5.2开标一览表，附《分项报价表》；</w:t>
      </w:r>
    </w:p>
    <w:p w14:paraId="2AB77C77">
      <w:pPr>
        <w:pStyle w:val="6"/>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r>
        <w:rPr>
          <w:rFonts w:hint="eastAsia"/>
          <w:b/>
          <w:lang w:eastAsia="zh-CN"/>
        </w:rPr>
        <w:t>，</w:t>
      </w:r>
      <w:r>
        <w:rPr>
          <w:rFonts w:hint="eastAsia"/>
          <w:b/>
          <w:highlight w:val="yellow"/>
          <w:lang w:val="en-US" w:eastAsia="zh-CN"/>
        </w:rPr>
        <w:t>每次报价须在基价基础上同比例调整</w:t>
      </w:r>
      <w:r>
        <w:rPr>
          <w:rFonts w:hint="eastAsia"/>
          <w:b/>
        </w:rPr>
        <w:t>；</w:t>
      </w:r>
    </w:p>
    <w:p w14:paraId="6ACF4F88">
      <w:pPr>
        <w:pStyle w:val="6"/>
        <w:numPr>
          <w:ilvl w:val="255"/>
          <w:numId w:val="0"/>
        </w:numPr>
        <w:spacing w:line="360" w:lineRule="auto"/>
        <w:ind w:left="420"/>
        <w:rPr>
          <w:rFonts w:hint="eastAsia"/>
          <w:b/>
        </w:rPr>
      </w:pPr>
      <w:r>
        <w:rPr>
          <w:rFonts w:hint="eastAsia"/>
          <w:b/>
        </w:rPr>
        <w:t>2.5.4电子版投标文件格式</w:t>
      </w:r>
    </w:p>
    <w:p w14:paraId="7CB40C0F">
      <w:pPr>
        <w:pStyle w:val="6"/>
        <w:numPr>
          <w:ilvl w:val="0"/>
          <w:numId w:val="2"/>
        </w:numPr>
        <w:spacing w:line="360" w:lineRule="auto"/>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文件格式均为Excel表格，且不允许修改格式，若不按此格式进行报价，则视为无效报价。</w:t>
      </w:r>
    </w:p>
    <w:p w14:paraId="01BA50BA">
      <w:pPr>
        <w:pStyle w:val="6"/>
        <w:numPr>
          <w:ilvl w:val="0"/>
          <w:numId w:val="2"/>
        </w:numPr>
        <w:spacing w:line="360" w:lineRule="auto"/>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中条目不允许增删、改动、筛选、隐藏，尤其是“序号”列，若有则视为无效报价。</w:t>
      </w:r>
    </w:p>
    <w:p w14:paraId="532AA030">
      <w:pPr>
        <w:pStyle w:val="6"/>
        <w:numPr>
          <w:ilvl w:val="0"/>
          <w:numId w:val="2"/>
        </w:numPr>
        <w:spacing w:line="360" w:lineRule="auto"/>
        <w:rPr>
          <w:rFonts w:hint="eastAsia"/>
          <w:b/>
        </w:rPr>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Excel表格不要存在数据引用、链接、运算、样式、合并单元格等相关内容。</w:t>
      </w:r>
    </w:p>
    <w:p w14:paraId="16425379">
      <w:pPr>
        <w:pStyle w:val="6"/>
        <w:spacing w:line="360" w:lineRule="auto"/>
        <w:ind w:firstLine="422" w:firstLineChars="200"/>
        <w:rPr>
          <w:b/>
        </w:rPr>
      </w:pPr>
      <w:r>
        <w:rPr>
          <w:rFonts w:hint="eastAsia"/>
          <w:b/>
        </w:rPr>
        <w:t>3.报价：</w:t>
      </w:r>
    </w:p>
    <w:p w14:paraId="19168713">
      <w:pPr>
        <w:pStyle w:val="6"/>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658DFD4E">
      <w:pPr>
        <w:pStyle w:val="6"/>
        <w:spacing w:line="360" w:lineRule="auto"/>
        <w:ind w:firstLine="420" w:firstLineChars="200"/>
        <w:rPr>
          <w:rFonts w:hint="eastAsia"/>
        </w:rPr>
      </w:pPr>
      <w:r>
        <w:rPr>
          <w:rFonts w:hint="eastAsia"/>
        </w:rPr>
        <w:t>详见本招标书之“第二章 投标文件编制”之“三、投标文件格式要求”之“格式3”。</w:t>
      </w:r>
    </w:p>
    <w:p w14:paraId="0684256F">
      <w:pPr>
        <w:pStyle w:val="6"/>
        <w:spacing w:line="360" w:lineRule="auto"/>
        <w:ind w:firstLine="422" w:firstLineChars="200"/>
        <w:rPr>
          <w:rFonts w:hint="eastAsia"/>
          <w:b/>
          <w:bCs/>
          <w:color w:val="auto"/>
          <w:lang w:val="en-US" w:eastAsia="zh-CN"/>
        </w:rPr>
      </w:pPr>
      <w:r>
        <w:rPr>
          <w:rFonts w:hint="eastAsia"/>
          <w:b/>
          <w:bCs/>
          <w:color w:val="auto"/>
          <w:lang w:val="en-US" w:eastAsia="zh-CN"/>
        </w:rPr>
        <w:t>发动机厂涂装VOCs运维固定费用基价1万元/月（含税），浮动费用：发动机台数*XX元/台（含税），产量根据装调部调涂二车间入库产品数量计算（由加工部提供）。</w:t>
      </w:r>
    </w:p>
    <w:p w14:paraId="32E36956">
      <w:pPr>
        <w:pStyle w:val="6"/>
        <w:spacing w:line="360" w:lineRule="auto"/>
        <w:ind w:firstLine="422" w:firstLineChars="200"/>
        <w:rPr>
          <w:rFonts w:hint="eastAsia"/>
          <w:b/>
          <w:bCs/>
          <w:color w:val="auto"/>
          <w:lang w:val="en-US" w:eastAsia="zh-CN"/>
        </w:rPr>
      </w:pPr>
      <w:r>
        <w:rPr>
          <w:rFonts w:hint="eastAsia"/>
          <w:b/>
          <w:bCs/>
          <w:color w:val="auto"/>
          <w:lang w:val="en-US" w:eastAsia="zh-CN"/>
        </w:rPr>
        <w:t>若含固定费用的部分当月生产为0，则不支付当月固定费用。</w:t>
      </w:r>
    </w:p>
    <w:p w14:paraId="612A3628">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color w:val="auto"/>
          <w:highlight w:val="none"/>
        </w:rPr>
        <w:t>税率</w:t>
      </w:r>
      <w:r>
        <w:rPr>
          <w:rFonts w:hint="eastAsia" w:ascii="宋体" w:hAnsi="Courier New"/>
          <w:color w:val="auto"/>
          <w:highlight w:val="none"/>
          <w:lang w:val="en-US" w:eastAsia="zh-CN"/>
        </w:rPr>
        <w:t>6%，报价</w:t>
      </w:r>
      <w:r>
        <w:rPr>
          <w:rFonts w:hint="eastAsia" w:ascii="宋体" w:hAnsi="Courier New"/>
          <w:lang w:val="en-US" w:eastAsia="zh-CN"/>
        </w:rPr>
        <w:t>应包含不含税金额、税率及价税合计金额。</w:t>
      </w:r>
    </w:p>
    <w:p w14:paraId="5F79875D">
      <w:pPr>
        <w:pStyle w:val="6"/>
        <w:spacing w:line="360" w:lineRule="auto"/>
        <w:ind w:firstLine="422" w:firstLineChars="200"/>
        <w:rPr>
          <w:rFonts w:hint="eastAsia"/>
          <w:b/>
          <w:lang w:eastAsia="zh-CN"/>
        </w:rPr>
      </w:pPr>
      <w:r>
        <w:rPr>
          <w:rFonts w:hint="eastAsia"/>
          <w:b/>
          <w:lang w:val="en-US" w:eastAsia="zh-CN"/>
        </w:rPr>
        <w:t>4.</w:t>
      </w:r>
      <w:r>
        <w:rPr>
          <w:rFonts w:hint="eastAsia"/>
          <w:b/>
          <w:lang w:eastAsia="zh-CN"/>
        </w:rPr>
        <w:t>付款方式：</w:t>
      </w:r>
    </w:p>
    <w:p w14:paraId="517A66BC">
      <w:pPr>
        <w:spacing w:line="360" w:lineRule="auto"/>
        <w:ind w:firstLine="420" w:firstLineChars="200"/>
        <w:rPr>
          <w:rFonts w:hint="eastAsia" w:ascii="宋体" w:hAnsi="宋体"/>
          <w:lang w:eastAsia="zh-CN"/>
        </w:rPr>
      </w:pPr>
      <w:r>
        <w:rPr>
          <w:rFonts w:hint="eastAsia" w:ascii="宋体" w:hAnsi="宋体"/>
          <w:lang w:eastAsia="zh-CN"/>
        </w:rPr>
        <w:t>半年期商业汇票（包括银行承兑汇票和商业承兑汇票）</w:t>
      </w:r>
      <w:r>
        <w:rPr>
          <w:rFonts w:hint="eastAsia" w:ascii="宋体" w:hAnsi="宋体"/>
          <w:lang w:val="en-US" w:eastAsia="zh-CN"/>
        </w:rPr>
        <w:t>。</w:t>
      </w:r>
    </w:p>
    <w:p w14:paraId="6F763CB5">
      <w:pPr>
        <w:spacing w:line="360" w:lineRule="auto"/>
        <w:ind w:firstLine="420" w:firstLineChars="200"/>
        <w:rPr>
          <w:rFonts w:hint="eastAsia" w:ascii="宋体" w:hAnsi="宋体"/>
        </w:rPr>
      </w:pPr>
      <w:r>
        <w:rPr>
          <w:rFonts w:hint="eastAsia" w:ascii="宋体" w:hAnsi="宋体"/>
        </w:rPr>
        <w:t>采用挂账付款结算方式，付款账期为</w:t>
      </w:r>
      <w:r>
        <w:rPr>
          <w:rFonts w:hint="eastAsia" w:ascii="宋体" w:hAnsi="宋体"/>
          <w:lang w:val="en-US" w:eastAsia="zh-CN"/>
        </w:rPr>
        <w:t>30</w:t>
      </w:r>
      <w:r>
        <w:rPr>
          <w:rFonts w:hint="eastAsia" w:ascii="宋体" w:hAnsi="宋体"/>
        </w:rPr>
        <w:t>天，付款方式为半年期商业汇票（包括银行承兑汇票和商业承兑汇票）。</w:t>
      </w:r>
    </w:p>
    <w:p w14:paraId="6F15ECA2">
      <w:pPr>
        <w:pStyle w:val="6"/>
        <w:spacing w:line="360" w:lineRule="auto"/>
        <w:ind w:left="630" w:leftChars="200" w:hanging="210" w:hangingChars="100"/>
        <w:rPr>
          <w:rFonts w:hint="eastAsia"/>
          <w:lang w:val="en-US" w:eastAsia="zh-CN"/>
        </w:rPr>
      </w:pPr>
      <w:r>
        <w:rPr>
          <w:rFonts w:hint="eastAsia"/>
          <w:lang w:val="en-US" w:eastAsia="zh-CN"/>
        </w:rPr>
        <w:t>4.1付款节点：</w:t>
      </w:r>
    </w:p>
    <w:p w14:paraId="017BEA10">
      <w:pPr>
        <w:spacing w:line="360" w:lineRule="auto"/>
        <w:ind w:firstLine="420" w:firstLineChars="200"/>
        <w:rPr>
          <w:rFonts w:hint="eastAsia" w:ascii="宋体" w:hAnsi="宋体"/>
          <w:lang w:val="en-US" w:eastAsia="zh-CN"/>
        </w:rPr>
      </w:pPr>
      <w:r>
        <w:rPr>
          <w:rFonts w:hint="eastAsia" w:ascii="宋体" w:hAnsi="宋体"/>
        </w:rPr>
        <w:t>按</w:t>
      </w:r>
      <w:r>
        <w:rPr>
          <w:rFonts w:hint="eastAsia" w:ascii="宋体" w:hAnsi="宋体"/>
          <w:lang w:val="en-US" w:eastAsia="zh-CN"/>
        </w:rPr>
        <w:t>月</w:t>
      </w:r>
      <w:r>
        <w:rPr>
          <w:rFonts w:hint="eastAsia" w:ascii="宋体" w:hAnsi="宋体"/>
        </w:rPr>
        <w:t>（每</w:t>
      </w:r>
      <w:r>
        <w:rPr>
          <w:rFonts w:hint="eastAsia" w:ascii="宋体" w:hAnsi="宋体"/>
          <w:lang w:val="en-US" w:eastAsia="zh-CN"/>
        </w:rPr>
        <w:t>月</w:t>
      </w:r>
      <w:r>
        <w:rPr>
          <w:rFonts w:hint="eastAsia" w:ascii="宋体" w:hAnsi="宋体"/>
        </w:rPr>
        <w:t>按公司结算最后一天为结点）结算上</w:t>
      </w:r>
      <w:r>
        <w:rPr>
          <w:rFonts w:hint="eastAsia" w:ascii="宋体" w:hAnsi="宋体"/>
          <w:lang w:val="en-US" w:eastAsia="zh-CN"/>
        </w:rPr>
        <w:t>个月</w:t>
      </w:r>
      <w:r>
        <w:rPr>
          <w:rFonts w:hint="eastAsia" w:ascii="宋体" w:hAnsi="宋体"/>
        </w:rPr>
        <w:t>外包费用，</w:t>
      </w:r>
      <w:r>
        <w:rPr>
          <w:rFonts w:hint="eastAsia" w:ascii="宋体" w:hAnsi="宋体"/>
          <w:lang w:val="en-US" w:eastAsia="zh-CN"/>
        </w:rPr>
        <w:t>双方认可后,无质量问题,投标方提交金额为合同价款100</w:t>
      </w:r>
      <w:r>
        <w:rPr>
          <w:rFonts w:hint="eastAsia" w:ascii="宋体" w:hAnsi="宋体"/>
        </w:rPr>
        <w:t>%的</w:t>
      </w:r>
      <w:r>
        <w:rPr>
          <w:rFonts w:hint="eastAsia" w:ascii="宋体" w:hAnsi="宋体"/>
          <w:lang w:eastAsia="zh-CN"/>
        </w:rPr>
        <w:t>增值税专用发票</w:t>
      </w:r>
      <w:r>
        <w:rPr>
          <w:rFonts w:hint="eastAsia" w:ascii="宋体" w:hAnsi="宋体"/>
        </w:rPr>
        <w:t>。</w:t>
      </w:r>
      <w:r>
        <w:rPr>
          <w:rFonts w:hint="eastAsia" w:ascii="宋体" w:hAnsi="宋体"/>
          <w:lang w:val="en-US" w:eastAsia="zh-CN"/>
        </w:rPr>
        <w:t>招标方</w:t>
      </w:r>
      <w:r>
        <w:rPr>
          <w:rFonts w:hint="eastAsia" w:ascii="宋体" w:hAnsi="宋体"/>
          <w:lang w:eastAsia="zh-CN"/>
        </w:rPr>
        <w:t>根据财务管理流程，按照规定</w:t>
      </w:r>
      <w:r>
        <w:rPr>
          <w:rFonts w:hint="eastAsia" w:ascii="宋体" w:hAnsi="宋体"/>
        </w:rPr>
        <w:t>挂账后</w:t>
      </w:r>
      <w:r>
        <w:rPr>
          <w:rFonts w:hint="eastAsia" w:ascii="宋体" w:hAnsi="宋体"/>
          <w:lang w:val="en-US" w:eastAsia="zh-CN"/>
        </w:rPr>
        <w:t>30</w:t>
      </w:r>
      <w:r>
        <w:rPr>
          <w:rFonts w:hint="eastAsia" w:ascii="宋体" w:hAnsi="宋体"/>
        </w:rPr>
        <w:t>天账期</w:t>
      </w:r>
      <w:r>
        <w:rPr>
          <w:rFonts w:hint="eastAsia" w:ascii="宋体" w:hAnsi="宋体"/>
          <w:lang w:eastAsia="zh-CN"/>
        </w:rPr>
        <w:t>，</w:t>
      </w:r>
      <w:r>
        <w:rPr>
          <w:rFonts w:hint="eastAsia" w:ascii="宋体" w:hAnsi="宋体"/>
        </w:rPr>
        <w:t>账期满后提交资金计划</w:t>
      </w:r>
      <w:r>
        <w:rPr>
          <w:rFonts w:hint="eastAsia" w:ascii="宋体" w:hAnsi="宋体"/>
          <w:lang w:val="en-US" w:eastAsia="zh-CN"/>
        </w:rPr>
        <w:t>，招标方提交金额为合同含税价款9</w:t>
      </w:r>
      <w:r>
        <w:rPr>
          <w:rFonts w:hint="eastAsia" w:ascii="宋体" w:hAnsi="宋体"/>
        </w:rPr>
        <w:t>0%</w:t>
      </w:r>
      <w:r>
        <w:rPr>
          <w:rFonts w:hint="eastAsia" w:ascii="宋体" w:hAnsi="宋体"/>
          <w:lang w:eastAsia="zh-CN"/>
        </w:rPr>
        <w:t>的收据</w:t>
      </w:r>
      <w:r>
        <w:rPr>
          <w:rFonts w:hint="eastAsia" w:ascii="宋体" w:hAnsi="宋体"/>
          <w:lang w:val="en-US" w:eastAsia="zh-CN"/>
        </w:rPr>
        <w:t>,依照财务流程制度审核无误后次月支付</w:t>
      </w:r>
      <w:r>
        <w:rPr>
          <w:rFonts w:hint="eastAsia" w:ascii="宋体" w:hAnsi="宋体"/>
        </w:rPr>
        <w:t>。</w:t>
      </w:r>
    </w:p>
    <w:p w14:paraId="229EC32B">
      <w:pPr>
        <w:spacing w:line="360" w:lineRule="auto"/>
        <w:ind w:firstLine="420" w:firstLineChars="200"/>
        <w:rPr>
          <w:rFonts w:hint="eastAsia" w:ascii="宋体" w:hAnsi="宋体"/>
          <w:lang w:eastAsia="zh-CN"/>
        </w:rPr>
      </w:pPr>
      <w:r>
        <w:rPr>
          <w:rFonts w:hint="eastAsia" w:ascii="宋体" w:hAnsi="宋体"/>
        </w:rPr>
        <w:t>剩余合同总金额的约10%作为质量保证金，待该合同标的质量保证期</w:t>
      </w:r>
      <w:r>
        <w:rPr>
          <w:rFonts w:hint="eastAsia" w:ascii="宋体" w:hAnsi="宋体"/>
          <w:lang w:eastAsia="zh-CN"/>
        </w:rPr>
        <w:t>（</w:t>
      </w:r>
      <w:r>
        <w:rPr>
          <w:rFonts w:hint="eastAsia" w:ascii="宋体" w:hAnsi="宋体"/>
          <w:lang w:val="en-US" w:eastAsia="zh-CN"/>
        </w:rPr>
        <w:t>3个月</w:t>
      </w:r>
      <w:r>
        <w:rPr>
          <w:rFonts w:hint="eastAsia" w:ascii="宋体" w:hAnsi="宋体"/>
          <w:lang w:eastAsia="zh-CN"/>
        </w:rPr>
        <w:t>）</w:t>
      </w:r>
      <w:r>
        <w:rPr>
          <w:rFonts w:hint="eastAsia" w:ascii="宋体" w:hAnsi="宋体"/>
        </w:rPr>
        <w:t>满，经项目招标单位出具证明和必要的手续，</w:t>
      </w:r>
      <w:r>
        <w:rPr>
          <w:rFonts w:hint="eastAsia" w:ascii="宋体" w:hAnsi="宋体"/>
          <w:lang w:val="en-US" w:eastAsia="zh-CN"/>
        </w:rPr>
        <w:t>招标方</w:t>
      </w:r>
      <w:r>
        <w:rPr>
          <w:rFonts w:hint="eastAsia" w:ascii="宋体" w:hAnsi="宋体"/>
        </w:rPr>
        <w:t>在</w:t>
      </w:r>
      <w:r>
        <w:rPr>
          <w:rFonts w:hint="eastAsia" w:ascii="宋体" w:hAnsi="宋体"/>
          <w:lang w:eastAsia="zh-CN"/>
        </w:rPr>
        <w:t>按照规定账期</w:t>
      </w:r>
      <w:r>
        <w:rPr>
          <w:rFonts w:hint="eastAsia" w:ascii="宋体" w:hAnsi="宋体"/>
        </w:rPr>
        <w:t>内内支付给</w:t>
      </w:r>
      <w:r>
        <w:rPr>
          <w:rFonts w:hint="eastAsia" w:ascii="宋体" w:hAnsi="宋体"/>
          <w:lang w:val="en-US" w:eastAsia="zh-CN"/>
        </w:rPr>
        <w:t>投标</w:t>
      </w:r>
      <w:r>
        <w:rPr>
          <w:rFonts w:hint="eastAsia" w:ascii="宋体" w:hAnsi="宋体"/>
        </w:rPr>
        <w:t>方该合同价格的约10%尾款（如有问题，应扣除相应部分款项）</w:t>
      </w:r>
      <w:r>
        <w:rPr>
          <w:rFonts w:hint="eastAsia" w:ascii="宋体" w:hAnsi="宋体"/>
          <w:lang w:eastAsia="zh-CN"/>
        </w:rPr>
        <w:t>。</w:t>
      </w:r>
    </w:p>
    <w:p w14:paraId="7563DC96">
      <w:pPr>
        <w:spacing w:line="360" w:lineRule="auto"/>
        <w:ind w:firstLine="420" w:firstLineChars="200"/>
        <w:rPr>
          <w:rFonts w:hint="eastAsia" w:ascii="宋体" w:hAnsi="宋体"/>
        </w:rPr>
      </w:pPr>
      <w:r>
        <w:rPr>
          <w:rFonts w:hint="eastAsia" w:ascii="宋体" w:hAnsi="宋体"/>
          <w:lang w:val="en-US" w:eastAsia="zh-CN"/>
        </w:rPr>
        <w:t>以上付款方式和节点</w:t>
      </w:r>
      <w:r>
        <w:rPr>
          <w:rFonts w:hint="eastAsia" w:ascii="宋体" w:hAnsi="宋体"/>
          <w:lang w:eastAsia="zh-CN"/>
        </w:rPr>
        <w:t>具体以双方最终签署的合同为准。</w:t>
      </w:r>
    </w:p>
    <w:p w14:paraId="520EDD9F">
      <w:pPr>
        <w:pStyle w:val="6"/>
        <w:spacing w:line="360" w:lineRule="auto"/>
        <w:ind w:firstLine="422" w:firstLineChars="200"/>
        <w:rPr>
          <w:b/>
        </w:rPr>
      </w:pPr>
      <w:r>
        <w:rPr>
          <w:rFonts w:hint="eastAsia"/>
          <w:b/>
        </w:rPr>
        <w:t>5.技术规范及服务</w:t>
      </w:r>
    </w:p>
    <w:p w14:paraId="20806C6B">
      <w:pPr>
        <w:pStyle w:val="6"/>
        <w:spacing w:line="360" w:lineRule="auto"/>
        <w:ind w:firstLine="420" w:firstLineChars="200"/>
      </w:pPr>
      <w:r>
        <w:rPr>
          <w:rFonts w:hint="eastAsia"/>
        </w:rPr>
        <w:t>⑴投标人应与招标人指派的答疑人员充分沟通，理解认可并接受相关技术规范及服务要求；</w:t>
      </w:r>
    </w:p>
    <w:p w14:paraId="75F49A60">
      <w:pPr>
        <w:pStyle w:val="6"/>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3C9D3388">
      <w:pPr>
        <w:pStyle w:val="6"/>
        <w:spacing w:line="360" w:lineRule="auto"/>
        <w:ind w:firstLine="422" w:firstLineChars="200"/>
        <w:rPr>
          <w:b/>
        </w:rPr>
      </w:pPr>
      <w:r>
        <w:rPr>
          <w:rFonts w:hint="eastAsia"/>
          <w:b/>
        </w:rPr>
        <w:t>6.其他</w:t>
      </w:r>
    </w:p>
    <w:p w14:paraId="74FD2218">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4E065EE7">
      <w:pPr>
        <w:pStyle w:val="6"/>
        <w:spacing w:line="360" w:lineRule="auto"/>
        <w:ind w:firstLine="420" w:firstLineChars="200"/>
      </w:pPr>
      <w:r>
        <w:rPr>
          <w:rFonts w:hint="eastAsia"/>
        </w:rPr>
        <w:t>其余未尽事宜，均按合同约定。</w:t>
      </w:r>
    </w:p>
    <w:p w14:paraId="5CDD6DF0">
      <w:pPr>
        <w:pStyle w:val="6"/>
        <w:spacing w:line="360" w:lineRule="auto"/>
        <w:ind w:firstLine="422" w:firstLineChars="200"/>
        <w:rPr>
          <w:b/>
        </w:rPr>
      </w:pPr>
      <w:r>
        <w:rPr>
          <w:rFonts w:hint="eastAsia"/>
          <w:b/>
        </w:rPr>
        <w:t>7.要求招标人或相关合同签订单位提供的配合，在标书文件中说明。</w:t>
      </w:r>
    </w:p>
    <w:p w14:paraId="3E42CF43">
      <w:pPr>
        <w:pStyle w:val="6"/>
        <w:spacing w:line="360" w:lineRule="auto"/>
        <w:rPr>
          <w:rFonts w:ascii="黑体" w:eastAsia="黑体"/>
          <w:b/>
          <w:bCs/>
          <w:sz w:val="28"/>
        </w:rPr>
      </w:pPr>
      <w:r>
        <w:rPr>
          <w:rFonts w:hint="eastAsia" w:ascii="黑体" w:eastAsia="黑体"/>
          <w:b/>
          <w:bCs/>
          <w:sz w:val="28"/>
        </w:rPr>
        <w:t>七、投标、开标、评标</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5</w:t>
      </w:r>
      <w:r>
        <w:rPr>
          <w:rFonts w:ascii="宋体" w:hAnsi="Courier New"/>
          <w:u w:val="single"/>
        </w:rPr>
        <w:t>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公司名称+项目名称+投标保证金</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接收单位：中国重汽集团济南动力有限公司发动机厂</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2"/>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287" w:type="dxa"/>
            <w:vAlign w:val="center"/>
          </w:tcPr>
          <w:p w14:paraId="53AFBA50">
            <w:pPr>
              <w:pStyle w:val="6"/>
              <w:ind w:firstLine="420" w:firstLineChars="200"/>
              <w:rPr>
                <w:rFonts w:hint="eastAsia" w:ascii="宋体" w:eastAsia="宋体"/>
              </w:rPr>
            </w:pPr>
            <w:r>
              <w:rPr>
                <w:rFonts w:hint="eastAsia" w:ascii="宋体" w:eastAsia="宋体"/>
              </w:rPr>
              <w:t>开户银行：中国银行章丘支行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87" w:type="dxa"/>
            <w:vAlign w:val="center"/>
          </w:tcPr>
          <w:p w14:paraId="305B9CF3">
            <w:pPr>
              <w:pStyle w:val="6"/>
              <w:ind w:firstLine="420" w:firstLineChars="200"/>
              <w:rPr>
                <w:rFonts w:hint="eastAsia" w:ascii="宋体" w:eastAsia="宋体"/>
              </w:rPr>
            </w:pPr>
            <w:r>
              <w:rPr>
                <w:rFonts w:hint="eastAsia" w:ascii="宋体" w:eastAsia="宋体"/>
              </w:rPr>
              <w:t>开户名称：中国重汽集团济南动力有限公司发动机厂</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6"/>
              <w:ind w:firstLine="420" w:firstLineChars="200"/>
              <w:rPr>
                <w:rFonts w:hint="eastAsia" w:ascii="宋体" w:eastAsia="宋体"/>
              </w:rPr>
            </w:pPr>
            <w:r>
              <w:rPr>
                <w:rFonts w:hint="eastAsia" w:ascii="宋体" w:eastAsia="宋体"/>
              </w:rPr>
              <w:t>银行账号：2234 0557 4478</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6"/>
              <w:ind w:firstLine="420" w:firstLineChars="200"/>
              <w:rPr>
                <w:rFonts w:hint="eastAsia" w:ascii="宋体" w:eastAsia="宋体"/>
              </w:rPr>
            </w:pPr>
            <w:r>
              <w:rPr>
                <w:rFonts w:hint="eastAsia" w:ascii="宋体" w:eastAsia="宋体"/>
              </w:rPr>
              <w:t>支付联行号：1044 5104 0689</w:t>
            </w:r>
          </w:p>
        </w:tc>
      </w:tr>
    </w:tbl>
    <w:p w14:paraId="03C0BD58">
      <w:pPr>
        <w:spacing w:line="360" w:lineRule="auto"/>
        <w:ind w:firstLine="420" w:firstLineChars="200"/>
        <w:rPr>
          <w:rFonts w:ascii="宋体" w:hAnsi="Courier New"/>
          <w:highlight w:val="yellow"/>
        </w:rPr>
      </w:pPr>
      <w:r>
        <w:rPr>
          <w:rFonts w:hint="eastAsia" w:ascii="宋体" w:hAnsi="Courier New"/>
          <w:highlight w:val="yellow"/>
        </w:rPr>
        <w:t>⑸保证金截止时间：</w:t>
      </w:r>
      <w:r>
        <w:rPr>
          <w:rFonts w:ascii="宋体" w:hAnsi="Courier New"/>
          <w:highlight w:val="yellow"/>
        </w:rPr>
        <w:t>20</w:t>
      </w:r>
      <w:r>
        <w:rPr>
          <w:rFonts w:hint="eastAsia" w:ascii="宋体" w:hAnsi="Courier New"/>
          <w:highlight w:val="yellow"/>
          <w:lang w:val="en-US" w:eastAsia="zh-CN"/>
        </w:rPr>
        <w:t>26</w:t>
      </w:r>
      <w:r>
        <w:rPr>
          <w:rFonts w:hint="eastAsia" w:ascii="宋体" w:hAnsi="Courier New"/>
          <w:highlight w:val="yellow"/>
        </w:rPr>
        <w:t>年</w:t>
      </w:r>
      <w:r>
        <w:rPr>
          <w:rFonts w:hint="eastAsia" w:ascii="宋体" w:hAnsi="Courier New"/>
          <w:highlight w:val="yellow"/>
          <w:lang w:val="en-US" w:eastAsia="zh-CN"/>
        </w:rPr>
        <w:t>2</w:t>
      </w:r>
      <w:r>
        <w:rPr>
          <w:rFonts w:hint="eastAsia" w:ascii="宋体" w:hAnsi="Courier New"/>
          <w:highlight w:val="yellow"/>
        </w:rPr>
        <w:t>月</w:t>
      </w:r>
      <w:r>
        <w:rPr>
          <w:rFonts w:hint="eastAsia" w:ascii="宋体" w:hAnsi="Courier New"/>
          <w:highlight w:val="yellow"/>
          <w:lang w:val="en-US" w:eastAsia="zh-CN"/>
        </w:rPr>
        <w:t>28</w:t>
      </w:r>
      <w:r>
        <w:rPr>
          <w:rFonts w:hint="eastAsia" w:ascii="宋体" w:hAnsi="Courier New"/>
          <w:highlight w:val="yellow"/>
        </w:rPr>
        <w:t>日</w:t>
      </w:r>
      <w:r>
        <w:rPr>
          <w:rFonts w:ascii="宋体" w:hAnsi="Courier New"/>
          <w:highlight w:val="yellow"/>
        </w:rPr>
        <w:t>17</w:t>
      </w:r>
      <w:r>
        <w:rPr>
          <w:rFonts w:hint="eastAsia" w:ascii="宋体" w:hAnsi="Courier New"/>
          <w:highlight w:val="yellow"/>
        </w:rPr>
        <w:t>时</w:t>
      </w:r>
      <w:r>
        <w:rPr>
          <w:rFonts w:ascii="宋体" w:hAnsi="Courier New"/>
          <w:highlight w:val="yellow"/>
        </w:rPr>
        <w:t>00</w:t>
      </w:r>
      <w:r>
        <w:rPr>
          <w:rFonts w:hint="eastAsia" w:ascii="宋体" w:hAnsi="Courier New"/>
          <w:highlight w:val="yello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(c)发生以下情况时，项目实施单位有权不予返还收保证金：</w:t>
      </w:r>
    </w:p>
    <w:p w14:paraId="427E98BB">
      <w:pPr>
        <w:spacing w:line="360" w:lineRule="auto"/>
        <w:ind w:left="1260" w:leftChars="400" w:hanging="420" w:hangingChars="200"/>
        <w:rPr>
          <w:rFonts w:hint="eastAsia" w:ascii="宋体" w:hAnsi="Courier New"/>
          <w:color w:val="auto"/>
        </w:rPr>
      </w:pPr>
      <w:r>
        <w:rPr>
          <w:rFonts w:hint="eastAsia" w:ascii="宋体" w:hAnsi="Courier New"/>
          <w:color w:val="auto"/>
        </w:rPr>
        <w:t>a）截至开标前3天，投标人无正当理由、未以书面形式向招标人递交说明而在投标截止日不来投标的；</w:t>
      </w:r>
    </w:p>
    <w:p w14:paraId="65BD1F92">
      <w:pPr>
        <w:spacing w:line="360" w:lineRule="auto"/>
        <w:ind w:left="1260" w:leftChars="400" w:hanging="420" w:hangingChars="200"/>
        <w:rPr>
          <w:rFonts w:hint="eastAsia" w:ascii="宋体" w:hAnsi="Courier New"/>
          <w:color w:val="auto"/>
          <w:lang w:eastAsia="zh-CN"/>
        </w:rPr>
      </w:pPr>
      <w:r>
        <w:rPr>
          <w:rFonts w:hint="eastAsia" w:ascii="宋体" w:hAnsi="Courier New"/>
          <w:color w:val="auto"/>
        </w:rPr>
        <w:t>b）</w:t>
      </w:r>
      <w:r>
        <w:rPr>
          <w:rFonts w:hint="eastAsia" w:ascii="宋体" w:hAnsi="Courier New"/>
          <w:color w:val="auto"/>
          <w:lang w:val="en-US" w:eastAsia="zh-CN"/>
        </w:rPr>
        <w:t>投标人</w:t>
      </w:r>
      <w:r>
        <w:rPr>
          <w:rFonts w:hint="eastAsia" w:ascii="宋体" w:hAnsi="Courier New"/>
          <w:color w:val="auto"/>
        </w:rPr>
        <w:t>在提交响应文件截止时间后撤回响应文件的</w:t>
      </w:r>
      <w:r>
        <w:rPr>
          <w:rFonts w:hint="eastAsia" w:ascii="宋体" w:hAnsi="Courier New"/>
          <w:color w:val="auto"/>
          <w:lang w:eastAsia="zh-CN"/>
        </w:rPr>
        <w:t>；</w:t>
      </w:r>
    </w:p>
    <w:p w14:paraId="3DE816F0">
      <w:pPr>
        <w:spacing w:line="360" w:lineRule="auto"/>
        <w:ind w:left="1260" w:leftChars="400" w:hanging="420" w:hangingChars="200"/>
        <w:rPr>
          <w:rFonts w:hint="eastAsia" w:ascii="宋体" w:hAnsi="Courier New"/>
          <w:color w:val="auto"/>
        </w:rPr>
      </w:pPr>
      <w:r>
        <w:rPr>
          <w:rFonts w:hint="eastAsia" w:ascii="宋体" w:hAnsi="Courier New"/>
          <w:color w:val="auto"/>
          <w:lang w:val="en-US" w:eastAsia="zh-CN"/>
        </w:rPr>
        <w:t>c</w:t>
      </w:r>
      <w:r>
        <w:rPr>
          <w:rFonts w:hint="eastAsia" w:ascii="宋体" w:hAnsi="Courier New"/>
          <w:color w:val="auto"/>
        </w:rPr>
        <w:t>）投标人递送投标文件后，无正当理由放弃投标的；</w:t>
      </w:r>
    </w:p>
    <w:p w14:paraId="7AE41A42">
      <w:pPr>
        <w:spacing w:line="360" w:lineRule="auto"/>
        <w:ind w:left="1260" w:leftChars="400" w:hanging="420" w:hangingChars="200"/>
        <w:rPr>
          <w:rFonts w:hint="eastAsia" w:ascii="宋体" w:hAnsi="Courier New"/>
          <w:color w:val="auto"/>
        </w:rPr>
      </w:pPr>
      <w:r>
        <w:rPr>
          <w:rFonts w:hint="eastAsia" w:ascii="宋体" w:hAnsi="Courier New"/>
          <w:color w:val="auto"/>
          <w:lang w:val="en-US" w:eastAsia="zh-CN"/>
        </w:rPr>
        <w:t>d</w:t>
      </w:r>
      <w:r>
        <w:rPr>
          <w:rFonts w:hint="eastAsia" w:ascii="宋体" w:hAnsi="Courier New"/>
          <w:color w:val="auto"/>
        </w:rPr>
        <w:t>)</w:t>
      </w:r>
      <w:r>
        <w:rPr>
          <w:rFonts w:hint="eastAsia" w:ascii="宋体" w:hAnsi="Courier New"/>
          <w:color w:val="auto"/>
          <w:lang w:val="en-US" w:eastAsia="zh-CN"/>
        </w:rPr>
        <w:t>投标人</w:t>
      </w:r>
      <w:r>
        <w:rPr>
          <w:rFonts w:hint="eastAsia" w:ascii="宋体" w:hAnsi="Courier New"/>
          <w:color w:val="auto"/>
        </w:rPr>
        <w:t>在响应文件中提供虚假材料的；</w:t>
      </w:r>
    </w:p>
    <w:p w14:paraId="1613787D">
      <w:pPr>
        <w:spacing w:line="360" w:lineRule="auto"/>
        <w:ind w:left="420" w:leftChars="200" w:firstLine="420" w:firstLineChars="200"/>
        <w:rPr>
          <w:rFonts w:hint="eastAsia" w:ascii="宋体" w:hAnsi="Courier New"/>
          <w:color w:val="auto"/>
        </w:rPr>
      </w:pPr>
      <w:r>
        <w:rPr>
          <w:rFonts w:hint="eastAsia" w:ascii="宋体" w:hAnsi="Courier New"/>
          <w:color w:val="auto"/>
          <w:lang w:val="en-US" w:eastAsia="zh-CN"/>
        </w:rPr>
        <w:t>e</w:t>
      </w:r>
      <w:r>
        <w:rPr>
          <w:rFonts w:hint="eastAsia" w:ascii="宋体" w:hAnsi="Courier New"/>
          <w:color w:val="auto"/>
        </w:rPr>
        <w:t>）自中标通知书发出之日起30日内，除因不可抗力或谈判文件、询价通知书认可的情形以外，中标人无正当理由不签订合同的；</w:t>
      </w:r>
    </w:p>
    <w:p w14:paraId="513CE53B">
      <w:pPr>
        <w:spacing w:line="360" w:lineRule="auto"/>
        <w:ind w:left="840" w:leftChars="400" w:firstLine="0" w:firstLineChars="0"/>
        <w:rPr>
          <w:rFonts w:ascii="宋体" w:hAnsi="Courier New"/>
          <w:color w:val="auto"/>
        </w:rPr>
      </w:pPr>
      <w:r>
        <w:rPr>
          <w:rFonts w:hint="eastAsia" w:ascii="宋体" w:hAnsi="Courier New"/>
          <w:color w:val="auto"/>
          <w:lang w:val="en-US" w:eastAsia="zh-CN"/>
        </w:rPr>
        <w:t>f</w:t>
      </w:r>
      <w:r>
        <w:rPr>
          <w:rFonts w:hint="eastAsia" w:ascii="宋体" w:hAnsi="Courier New"/>
          <w:color w:val="auto"/>
        </w:rPr>
        <w:t>）投标人在投标过程中被查实有串标、围标、陪标等违规违纪行为的；</w:t>
      </w:r>
    </w:p>
    <w:p w14:paraId="7B886FBB">
      <w:pPr>
        <w:spacing w:line="360" w:lineRule="auto"/>
        <w:ind w:left="1050" w:leftChars="400" w:hanging="210" w:hangingChars="100"/>
        <w:rPr>
          <w:rFonts w:hint="eastAsia" w:ascii="宋体" w:hAnsi="Courier New"/>
          <w:color w:val="auto"/>
        </w:rPr>
      </w:pPr>
      <w:r>
        <w:rPr>
          <w:rFonts w:hint="eastAsia" w:ascii="宋体" w:hAnsi="Courier New"/>
          <w:color w:val="auto"/>
          <w:lang w:val="en-US" w:eastAsia="zh-CN"/>
        </w:rPr>
        <w:t>g</w:t>
      </w:r>
      <w:r>
        <w:rPr>
          <w:rFonts w:hint="eastAsia" w:ascii="宋体" w:hAnsi="Courier New"/>
          <w:color w:val="auto"/>
        </w:rPr>
        <w:t>）投标人有违约违规行为或被投诉、举报的，在调查处理期间，保证金暂不退还，待调查处理结束后按有关规定处理。</w:t>
      </w:r>
    </w:p>
    <w:p w14:paraId="3CF43B1F">
      <w:pPr>
        <w:spacing w:line="360" w:lineRule="auto"/>
        <w:ind w:firstLine="420" w:firstLineChars="200"/>
        <w:rPr>
          <w:rFonts w:ascii="宋体" w:hAnsi="Courier New"/>
        </w:rPr>
      </w:pPr>
      <w:r>
        <w:rPr>
          <w:rFonts w:hint="eastAsia" w:ascii="宋体" w:hAnsi="Courier New"/>
        </w:rPr>
        <w:t>2.开标</w:t>
      </w:r>
    </w:p>
    <w:p w14:paraId="36D7A9A2">
      <w:pPr>
        <w:pStyle w:val="6"/>
        <w:spacing w:line="360" w:lineRule="auto"/>
        <w:ind w:firstLine="420" w:firstLineChars="200"/>
        <w:rPr>
          <w:highlight w:val="none"/>
        </w:rPr>
      </w:pPr>
      <w:r>
        <w:rPr>
          <w:rFonts w:hint="eastAsia"/>
        </w:rPr>
        <w:t>（1）本次招标的开标、评标由招标人依</w:t>
      </w:r>
      <w:r>
        <w:rPr>
          <w:rFonts w:hint="eastAsia"/>
          <w:highlight w:val="none"/>
        </w:rPr>
        <w:t>法组织实施，本次招标采用技术标和商务标分级开标的模式。</w:t>
      </w:r>
    </w:p>
    <w:p w14:paraId="15E3BC2B">
      <w:pPr>
        <w:pStyle w:val="6"/>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5483762F">
      <w:pPr>
        <w:pStyle w:val="6"/>
        <w:spacing w:line="360" w:lineRule="auto"/>
        <w:ind w:firstLine="420" w:firstLineChars="200"/>
      </w:pPr>
      <w:r>
        <w:rPr>
          <w:rFonts w:hint="eastAsia"/>
        </w:rPr>
        <w:t>（3）开标程序</w:t>
      </w:r>
    </w:p>
    <w:p w14:paraId="01FCEB13">
      <w:pPr>
        <w:pStyle w:val="6"/>
        <w:spacing w:line="360" w:lineRule="auto"/>
        <w:ind w:firstLine="420" w:firstLineChars="200"/>
      </w:pPr>
      <w:r>
        <w:rPr>
          <w:rFonts w:hint="eastAsia"/>
        </w:rPr>
        <w:t>（a）宣布开标会议开始。</w:t>
      </w:r>
    </w:p>
    <w:p w14:paraId="4B17688D">
      <w:pPr>
        <w:pStyle w:val="6"/>
        <w:spacing w:line="360" w:lineRule="auto"/>
        <w:ind w:firstLine="420" w:firstLineChars="200"/>
      </w:pPr>
      <w:r>
        <w:rPr>
          <w:rFonts w:hint="eastAsia"/>
        </w:rPr>
        <w:t>（b）介绍与会人员。</w:t>
      </w:r>
    </w:p>
    <w:p w14:paraId="155CB46A">
      <w:pPr>
        <w:pStyle w:val="6"/>
        <w:spacing w:line="360" w:lineRule="auto"/>
        <w:ind w:firstLine="420" w:firstLineChars="200"/>
      </w:pPr>
      <w:r>
        <w:rPr>
          <w:rFonts w:hint="eastAsia"/>
        </w:rPr>
        <w:t>（c）核验投标人资格证件。</w:t>
      </w:r>
    </w:p>
    <w:p w14:paraId="34DC2ED6">
      <w:pPr>
        <w:pStyle w:val="6"/>
        <w:spacing w:line="360" w:lineRule="auto"/>
        <w:ind w:firstLine="420" w:firstLineChars="200"/>
      </w:pPr>
      <w:r>
        <w:rPr>
          <w:rFonts w:hint="eastAsia"/>
        </w:rPr>
        <w:t>（d）投标人或投标人推选的代表对投标文件密封情况进行检查（投标人未参加开标会议的，视同认可投标文件密封完好）。</w:t>
      </w:r>
    </w:p>
    <w:p w14:paraId="17B9C456">
      <w:pPr>
        <w:pStyle w:val="6"/>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7B7D0E47">
      <w:pPr>
        <w:pStyle w:val="6"/>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1F6EE113">
      <w:pPr>
        <w:spacing w:line="360" w:lineRule="auto"/>
        <w:ind w:firstLine="422" w:firstLineChars="200"/>
        <w:rPr>
          <w:rFonts w:hint="eastAsia"/>
          <w:b/>
          <w:bCs/>
        </w:rPr>
      </w:pPr>
      <w:r>
        <w:rPr>
          <w:rFonts w:hint="eastAsia"/>
          <w:b/>
          <w:bCs/>
        </w:rPr>
        <w:t>（g）技术标评分带入商务标，按照</w:t>
      </w:r>
      <w:r>
        <w:rPr>
          <w:rFonts w:hint="eastAsia"/>
          <w:b/>
          <w:bCs/>
          <w:lang w:val="en-US" w:eastAsia="zh-CN"/>
        </w:rPr>
        <w:t>综合评标</w:t>
      </w:r>
      <w:r>
        <w:rPr>
          <w:rFonts w:hint="eastAsia"/>
          <w:b/>
          <w:bCs/>
        </w:rPr>
        <w:t>选择中标厂家。</w:t>
      </w:r>
    </w:p>
    <w:p w14:paraId="795D53B2">
      <w:pPr>
        <w:spacing w:line="360" w:lineRule="auto"/>
        <w:ind w:firstLine="420" w:firstLineChars="200"/>
        <w:rPr>
          <w:rFonts w:hint="eastAsia"/>
        </w:rPr>
      </w:pPr>
      <w:r>
        <w:rPr>
          <w:rFonts w:hint="eastAsia"/>
        </w:rPr>
        <w:t>（h）招标人有权根据项目情况，采取多级评标模式，最终确定投标人排序。</w:t>
      </w:r>
    </w:p>
    <w:p w14:paraId="455278D2">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14:paraId="6A8A10E0">
      <w:pPr>
        <w:spacing w:line="360" w:lineRule="auto"/>
        <w:ind w:firstLine="420" w:firstLineChars="200"/>
        <w:rPr>
          <w:rFonts w:hint="eastAsia" w:eastAsia="宋体"/>
          <w:lang w:eastAsia="zh-CN"/>
        </w:rPr>
      </w:pPr>
      <w:r>
        <w:rPr>
          <w:rFonts w:hint="eastAsia"/>
        </w:rPr>
        <w:t>(4)所有报价货币单位均为价货币单位均为：元（人民币，不含税）,税率（</w:t>
      </w:r>
      <w:r>
        <w:rPr>
          <w:rFonts w:hint="eastAsia"/>
          <w:lang w:val="en-US" w:eastAsia="zh-CN"/>
        </w:rPr>
        <w:t>6</w:t>
      </w:r>
      <w:r>
        <w:rPr>
          <w:rFonts w:hint="eastAsia"/>
        </w:rPr>
        <w:t>%），元（人民币，含税）</w:t>
      </w:r>
      <w:r>
        <w:rPr>
          <w:rFonts w:hint="eastAsia"/>
          <w:lang w:eastAsia="zh-CN"/>
        </w:rPr>
        <w:t>。</w:t>
      </w:r>
    </w:p>
    <w:p w14:paraId="28007D7D">
      <w:pPr>
        <w:spacing w:line="360" w:lineRule="auto"/>
        <w:ind w:firstLine="420" w:firstLineChars="200"/>
        <w:rPr>
          <w:rFonts w:ascii="宋体" w:hAnsi="Courier New"/>
        </w:rPr>
      </w:pPr>
      <w:r>
        <w:rPr>
          <w:rFonts w:hint="eastAsia" w:ascii="宋体" w:hAnsi="Courier New"/>
        </w:rPr>
        <w:t>3.评标</w:t>
      </w:r>
    </w:p>
    <w:p w14:paraId="62299AF5">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4417F186">
      <w:pPr>
        <w:spacing w:line="360" w:lineRule="auto"/>
        <w:ind w:firstLine="422" w:firstLineChars="200"/>
      </w:pPr>
      <w:r>
        <w:rPr>
          <w:rFonts w:hint="eastAsia" w:ascii="宋体" w:hAnsi="Courier New" w:eastAsia="宋体" w:cs="Times New Roman"/>
          <w:b/>
          <w:szCs w:val="20"/>
        </w:rPr>
        <w:t>本次评标只产生一名中标人</w:t>
      </w:r>
      <w:r>
        <w:rPr>
          <w:rFonts w:hint="eastAsia" w:ascii="宋体" w:hAnsi="Courier New" w:eastAsia="宋体" w:cs="Times New Roman"/>
          <w:b/>
          <w:szCs w:val="20"/>
          <w:lang w:eastAsia="zh-CN"/>
        </w:rPr>
        <w:t>，</w:t>
      </w:r>
      <w:r>
        <w:rPr>
          <w:rFonts w:hint="eastAsia" w:ascii="宋体" w:hAnsi="Courier New" w:eastAsia="宋体" w:cs="Times New Roman"/>
          <w:b/>
          <w:szCs w:val="20"/>
          <w:lang w:val="en-US" w:eastAsia="zh-CN"/>
        </w:rPr>
        <w:t>项目</w:t>
      </w:r>
      <w:r>
        <w:rPr>
          <w:rFonts w:hint="eastAsia" w:ascii="宋体" w:hAnsi="Courier New" w:cs="Times New Roman"/>
          <w:b/>
          <w:szCs w:val="20"/>
          <w:lang w:val="en-US" w:eastAsia="zh-CN"/>
        </w:rPr>
        <w:t>采用综合评分定标</w:t>
      </w:r>
      <w:r>
        <w:rPr>
          <w:rFonts w:hint="eastAsia" w:ascii="宋体" w:hAnsi="Courier New" w:eastAsia="宋体" w:cs="Times New Roman"/>
          <w:b/>
          <w:szCs w:val="20"/>
        </w:rPr>
        <w:t>。</w:t>
      </w:r>
      <w:r>
        <w:rPr>
          <w:rFonts w:hint="eastAsia" w:ascii="宋体" w:hAnsi="Courier New"/>
          <w:b/>
        </w:rPr>
        <w:br w:type="page"/>
      </w:r>
    </w:p>
    <w:p w14:paraId="7515EBD6">
      <w:pPr>
        <w:pStyle w:val="6"/>
        <w:numPr>
          <w:ilvl w:val="0"/>
          <w:numId w:val="3"/>
        </w:numPr>
        <w:spacing w:line="360" w:lineRule="auto"/>
        <w:ind w:firstLine="420" w:firstLineChars="200"/>
        <w:rPr>
          <w:rFonts w:hAnsi="宋体"/>
          <w:szCs w:val="21"/>
        </w:rPr>
      </w:pPr>
      <w:r>
        <w:rPr>
          <w:rFonts w:hint="eastAsia" w:hAnsi="宋体"/>
          <w:szCs w:val="21"/>
        </w:rPr>
        <w:t>评分标准</w:t>
      </w:r>
    </w:p>
    <w:tbl>
      <w:tblPr>
        <w:tblStyle w:val="12"/>
        <w:tblpPr w:leftFromText="180" w:rightFromText="180" w:vertAnchor="text" w:horzAnchor="page" w:tblpX="1616" w:tblpY="383"/>
        <w:tblOverlap w:val="never"/>
        <w:tblW w:w="4875" w:type="pct"/>
        <w:tblInd w:w="0" w:type="dxa"/>
        <w:tblLayout w:type="fixed"/>
        <w:tblCellMar>
          <w:top w:w="0" w:type="dxa"/>
          <w:left w:w="0" w:type="dxa"/>
          <w:bottom w:w="0" w:type="dxa"/>
          <w:right w:w="0" w:type="dxa"/>
        </w:tblCellMar>
      </w:tblPr>
      <w:tblGrid>
        <w:gridCol w:w="611"/>
        <w:gridCol w:w="495"/>
        <w:gridCol w:w="479"/>
        <w:gridCol w:w="674"/>
        <w:gridCol w:w="6608"/>
      </w:tblGrid>
      <w:tr w14:paraId="00CEC3BB">
        <w:tblPrEx>
          <w:tblCellMar>
            <w:top w:w="0" w:type="dxa"/>
            <w:left w:w="0" w:type="dxa"/>
            <w:bottom w:w="0" w:type="dxa"/>
            <w:right w:w="0" w:type="dxa"/>
          </w:tblCellMar>
        </w:tblPrEx>
        <w:trPr>
          <w:cantSplit/>
          <w:trHeight w:val="79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8930387">
            <w:pPr>
              <w:widowControl/>
              <w:jc w:val="center"/>
              <w:textAlignment w:val="center"/>
              <w:rPr>
                <w:rFonts w:ascii="宋体" w:cs="宋体"/>
                <w:kern w:val="0"/>
                <w:szCs w:val="21"/>
              </w:rPr>
            </w:pPr>
            <w:r>
              <w:rPr>
                <w:rFonts w:hint="eastAsia" w:ascii="宋体" w:cs="宋体"/>
                <w:kern w:val="0"/>
                <w:szCs w:val="21"/>
              </w:rPr>
              <w:t>评标</w:t>
            </w:r>
          </w:p>
          <w:p w14:paraId="68AF9376">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A2DFA16">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FF0411C">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5B4C8EA">
            <w:pPr>
              <w:widowControl/>
              <w:jc w:val="center"/>
              <w:textAlignment w:val="center"/>
              <w:rPr>
                <w:rFonts w:ascii="宋体" w:cs="宋体"/>
                <w:kern w:val="0"/>
                <w:szCs w:val="21"/>
              </w:rPr>
            </w:pPr>
            <w:r>
              <w:rPr>
                <w:rFonts w:hint="eastAsia" w:ascii="宋体" w:cs="宋体"/>
                <w:kern w:val="0"/>
                <w:szCs w:val="21"/>
              </w:rPr>
              <w:t>最高</w:t>
            </w:r>
          </w:p>
          <w:p w14:paraId="7F56878A">
            <w:pPr>
              <w:widowControl/>
              <w:jc w:val="center"/>
              <w:textAlignment w:val="center"/>
              <w:rPr>
                <w:rFonts w:ascii="宋体" w:cs="宋体"/>
                <w:szCs w:val="21"/>
              </w:rPr>
            </w:pPr>
            <w:r>
              <w:rPr>
                <w:rFonts w:hint="eastAsia" w:ascii="宋体" w:cs="宋体"/>
                <w:kern w:val="0"/>
                <w:szCs w:val="21"/>
              </w:rPr>
              <w:t>得分</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16AB652">
            <w:pPr>
              <w:widowControl/>
              <w:jc w:val="center"/>
              <w:textAlignment w:val="center"/>
              <w:rPr>
                <w:rFonts w:ascii="宋体" w:cs="宋体"/>
                <w:szCs w:val="21"/>
              </w:rPr>
            </w:pPr>
            <w:r>
              <w:rPr>
                <w:rFonts w:hint="eastAsia" w:ascii="宋体" w:cs="宋体"/>
                <w:kern w:val="0"/>
                <w:szCs w:val="21"/>
              </w:rPr>
              <w:t>评分标准</w:t>
            </w:r>
          </w:p>
        </w:tc>
      </w:tr>
      <w:tr w14:paraId="12FD3E5A">
        <w:tblPrEx>
          <w:tblCellMar>
            <w:top w:w="0" w:type="dxa"/>
            <w:left w:w="0" w:type="dxa"/>
            <w:bottom w:w="0" w:type="dxa"/>
            <w:right w:w="0" w:type="dxa"/>
          </w:tblCellMar>
        </w:tblPrEx>
        <w:trPr>
          <w:cantSplit/>
          <w:trHeight w:val="2358" w:hRule="atLeast"/>
        </w:trPr>
        <w:tc>
          <w:tcPr>
            <w:tcW w:w="344" w:type="pct"/>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14:paraId="01465863">
            <w:pPr>
              <w:widowControl/>
              <w:jc w:val="center"/>
              <w:textAlignment w:val="center"/>
              <w:rPr>
                <w:rFonts w:ascii="宋体" w:hAnsi="Times New Roman" w:eastAsia="宋体" w:cs="宋体"/>
                <w:kern w:val="0"/>
                <w:sz w:val="21"/>
                <w:szCs w:val="21"/>
                <w:lang w:val="en-US" w:eastAsia="zh-CN" w:bidi="ar-SA"/>
              </w:rPr>
            </w:pPr>
            <w:r>
              <w:rPr>
                <w:rFonts w:hint="eastAsia" w:ascii="宋体" w:cs="宋体"/>
                <w:kern w:val="0"/>
                <w:szCs w:val="21"/>
              </w:rPr>
              <w:t>技术标</w:t>
            </w:r>
          </w:p>
          <w:p w14:paraId="24474EF5">
            <w:pPr>
              <w:widowControl/>
              <w:jc w:val="center"/>
              <w:textAlignment w:val="center"/>
              <w:rPr>
                <w:rFonts w:ascii="宋体" w:cs="宋体"/>
                <w:kern w:val="0"/>
                <w:szCs w:val="21"/>
                <w:highlight w:val="none"/>
              </w:rPr>
            </w:pPr>
          </w:p>
        </w:tc>
        <w:tc>
          <w:tcPr>
            <w:tcW w:w="279" w:type="pct"/>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14:paraId="0F05EBDF">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100</w:t>
            </w:r>
          </w:p>
          <w:p w14:paraId="44D37476">
            <w:pPr>
              <w:jc w:val="center"/>
              <w:rPr>
                <w:rFonts w:ascii="宋体" w:cs="宋体"/>
                <w:szCs w:val="21"/>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B8966B7">
            <w:pPr>
              <w:widowControl/>
              <w:jc w:val="center"/>
              <w:textAlignment w:val="center"/>
              <w:rPr>
                <w:rFonts w:ascii="宋体" w:hAnsi="Times New Roman" w:eastAsia="宋体" w:cs="宋体"/>
                <w:kern w:val="2"/>
                <w:sz w:val="21"/>
                <w:szCs w:val="21"/>
                <w:lang w:val="en-US" w:eastAsia="zh-CN" w:bidi="ar-SA"/>
              </w:rPr>
            </w:pPr>
            <w:r>
              <w:rPr>
                <w:rFonts w:hint="eastAsia" w:ascii="宋体" w:cs="宋体"/>
                <w:kern w:val="0"/>
                <w:szCs w:val="21"/>
              </w:rPr>
              <w:t>技术方案及组织措施</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44901A5">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60</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318C367">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w:t>
            </w:r>
            <w:r>
              <w:rPr>
                <w:rFonts w:hint="eastAsia" w:ascii="宋体" w:hAnsi="宋体" w:cs="宋体"/>
                <w:lang w:eastAsia="zh-CN"/>
              </w:rPr>
              <w:t>、</w:t>
            </w:r>
            <w:r>
              <w:rPr>
                <w:rFonts w:hint="eastAsia" w:ascii="宋体" w:hAnsi="宋体" w:cs="宋体"/>
              </w:rPr>
              <w:t>技术先进，并列出较多具备相关资质与经验的施工人员及维修设备，酌情得</w:t>
            </w:r>
            <w:r>
              <w:rPr>
                <w:rFonts w:hint="eastAsia" w:ascii="宋体" w:hAnsi="宋体" w:cs="宋体"/>
                <w:lang w:val="en-US" w:eastAsia="zh-CN"/>
              </w:rPr>
              <w:t>36-60</w:t>
            </w:r>
            <w:r>
              <w:rPr>
                <w:rFonts w:hint="eastAsia" w:ascii="宋体" w:hAnsi="宋体" w:cs="宋体"/>
              </w:rPr>
              <w:t>分；</w:t>
            </w:r>
          </w:p>
          <w:p w14:paraId="4B6F73C5">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w:t>
            </w:r>
            <w:r>
              <w:rPr>
                <w:rFonts w:hint="eastAsia" w:ascii="宋体" w:hAnsi="宋体" w:cs="宋体"/>
                <w:lang w:eastAsia="zh-CN"/>
              </w:rPr>
              <w:t>、</w:t>
            </w:r>
            <w:r>
              <w:rPr>
                <w:rFonts w:hint="eastAsia" w:ascii="宋体" w:hAnsi="宋体" w:cs="宋体"/>
              </w:rPr>
              <w:t>技术水平一般，施工人员具备一定资质，酌情得</w:t>
            </w:r>
            <w:r>
              <w:rPr>
                <w:rFonts w:hint="eastAsia" w:ascii="宋体" w:hAnsi="宋体" w:cs="宋体"/>
                <w:lang w:val="en-US" w:eastAsia="zh-CN"/>
              </w:rPr>
              <w:t>18-36</w:t>
            </w:r>
            <w:r>
              <w:rPr>
                <w:rFonts w:hint="eastAsia" w:ascii="宋体" w:hAnsi="宋体" w:cs="宋体"/>
              </w:rPr>
              <w:t>分；</w:t>
            </w:r>
          </w:p>
          <w:p w14:paraId="2C52A7B7">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3CFBF136">
            <w:pPr>
              <w:widowControl/>
              <w:jc w:val="left"/>
              <w:textAlignment w:val="center"/>
              <w:rPr>
                <w:rFonts w:ascii="宋体" w:hAnsi="Times New Roman" w:eastAsia="宋体" w:cs="宋体"/>
                <w:kern w:val="2"/>
                <w:sz w:val="21"/>
                <w:szCs w:val="21"/>
                <w:lang w:val="en-US" w:eastAsia="zh-CN" w:bidi="ar-SA"/>
              </w:rPr>
            </w:pPr>
            <w:r>
              <w:rPr>
                <w:rFonts w:hint="eastAsia" w:ascii="宋体" w:hAnsi="宋体" w:cs="宋体"/>
              </w:rPr>
              <w:t>注：资质文件需有相关资质证明，原件或复印件</w:t>
            </w:r>
          </w:p>
        </w:tc>
      </w:tr>
      <w:tr w14:paraId="176E9FB6">
        <w:tblPrEx>
          <w:tblCellMar>
            <w:top w:w="0" w:type="dxa"/>
            <w:left w:w="0" w:type="dxa"/>
            <w:bottom w:w="0" w:type="dxa"/>
            <w:right w:w="0" w:type="dxa"/>
          </w:tblCellMar>
        </w:tblPrEx>
        <w:trPr>
          <w:cantSplit/>
          <w:trHeight w:val="872"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5FD5EDC4">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76AD0BE0">
            <w:pP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A32F489">
            <w:pPr>
              <w:jc w:val="center"/>
              <w:rPr>
                <w:rFonts w:hint="eastAsia" w:ascii="宋体" w:hAnsi="Times New Roman" w:eastAsia="宋体" w:cs="宋体"/>
                <w:kern w:val="2"/>
                <w:sz w:val="21"/>
                <w:szCs w:val="21"/>
                <w:lang w:val="en-US" w:eastAsia="zh-CN" w:bidi="ar-SA"/>
              </w:rPr>
            </w:pPr>
            <w:r>
              <w:rPr>
                <w:rFonts w:hint="eastAsia" w:ascii="宋体" w:hAnsi="宋体" w:cs="宋体"/>
                <w:szCs w:val="21"/>
              </w:rPr>
              <w:t>现场答疑</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229C6D9D">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15</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6DA53E0">
            <w:pPr>
              <w:widowControl/>
              <w:jc w:val="left"/>
              <w:textAlignment w:val="center"/>
              <w:rPr>
                <w:rFonts w:hint="eastAsia" w:ascii="宋体" w:hAnsi="Times New Roman" w:eastAsia="宋体" w:cs="宋体"/>
                <w:kern w:val="2"/>
                <w:sz w:val="21"/>
                <w:szCs w:val="21"/>
                <w:lang w:val="en-US" w:eastAsia="zh-CN" w:bidi="ar-SA"/>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15</w:t>
            </w:r>
            <w:r>
              <w:rPr>
                <w:rFonts w:hint="eastAsia" w:ascii="宋体" w:hAnsi="宋体" w:cs="宋体"/>
                <w:kern w:val="0"/>
                <w:szCs w:val="21"/>
                <w:lang w:bidi="ar"/>
              </w:rPr>
              <w:t xml:space="preserve">分； </w:t>
            </w:r>
          </w:p>
        </w:tc>
      </w:tr>
      <w:tr w14:paraId="299D1674">
        <w:tblPrEx>
          <w:tblCellMar>
            <w:top w:w="0" w:type="dxa"/>
            <w:left w:w="0" w:type="dxa"/>
            <w:bottom w:w="0" w:type="dxa"/>
            <w:right w:w="0" w:type="dxa"/>
          </w:tblCellMar>
        </w:tblPrEx>
        <w:trPr>
          <w:cantSplit/>
          <w:trHeight w:val="631"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0877EA09">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47C2320D">
            <w:pP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5DB01FD6">
            <w:pPr>
              <w:jc w:val="center"/>
              <w:rPr>
                <w:rFonts w:hint="eastAsia" w:ascii="Calibri" w:hAnsi="Calibri" w:eastAsia="宋体" w:cs="Times New Roman"/>
                <w:kern w:val="2"/>
                <w:sz w:val="21"/>
                <w:lang w:val="en-US" w:eastAsia="zh-CN" w:bidi="ar-SA"/>
              </w:rPr>
            </w:pPr>
            <w:r>
              <w:rPr>
                <w:rFonts w:hint="eastAsia" w:ascii="Calibri" w:hAnsi="Calibri"/>
              </w:rPr>
              <w:t>条款响应</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09330AA">
            <w:pPr>
              <w:jc w:val="center"/>
              <w:rPr>
                <w:rFonts w:hint="default" w:ascii="Calibri" w:hAnsi="Calibri" w:eastAsia="宋体" w:cs="Times New Roman"/>
                <w:kern w:val="2"/>
                <w:sz w:val="21"/>
                <w:lang w:val="en-US" w:eastAsia="zh-CN" w:bidi="ar-SA"/>
              </w:rPr>
            </w:pPr>
            <w:r>
              <w:rPr>
                <w:rFonts w:hint="eastAsia" w:ascii="Calibri" w:hAnsi="Calibri"/>
                <w:lang w:val="en-US" w:eastAsia="zh-CN"/>
              </w:rPr>
              <w:t>10</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421DEFF9">
            <w:pPr>
              <w:widowControl/>
              <w:jc w:val="left"/>
              <w:textAlignment w:val="center"/>
              <w:rPr>
                <w:rFonts w:hint="eastAsia" w:ascii="Calibri" w:hAnsi="Calibri" w:eastAsia="宋体" w:cs="Times New Roman"/>
                <w:kern w:val="2"/>
                <w:sz w:val="21"/>
                <w:lang w:val="en-US" w:eastAsia="zh-CN" w:bidi="ar-SA"/>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w:t>
            </w:r>
            <w:r>
              <w:rPr>
                <w:rFonts w:hint="eastAsia" w:ascii="Calibri" w:hAnsi="Calibri"/>
                <w:lang w:val="en-US" w:eastAsia="zh-CN"/>
              </w:rPr>
              <w:t>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r>
              <w:rPr>
                <w:rFonts w:ascii="宋体" w:hAnsi="宋体" w:cs="宋体"/>
                <w:kern w:val="0"/>
                <w:szCs w:val="21"/>
                <w:lang w:bidi="ar"/>
              </w:rPr>
              <w:t xml:space="preserve"> </w:t>
            </w:r>
          </w:p>
        </w:tc>
      </w:tr>
      <w:tr w14:paraId="138B112D">
        <w:tblPrEx>
          <w:tblCellMar>
            <w:top w:w="0" w:type="dxa"/>
            <w:left w:w="0" w:type="dxa"/>
            <w:bottom w:w="0" w:type="dxa"/>
            <w:right w:w="0" w:type="dxa"/>
          </w:tblCellMar>
        </w:tblPrEx>
        <w:trPr>
          <w:cantSplit/>
          <w:trHeight w:val="676"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1A8FBD8A">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161338EF">
            <w:pPr>
              <w:jc w:val="cente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905F253">
            <w:pPr>
              <w:jc w:val="center"/>
              <w:rPr>
                <w:rFonts w:hint="eastAsia" w:ascii="宋体" w:hAnsi="Times New Roman" w:eastAsia="宋体" w:cs="宋体"/>
                <w:kern w:val="2"/>
                <w:sz w:val="21"/>
                <w:szCs w:val="21"/>
                <w:lang w:val="en-US" w:eastAsia="zh-CN" w:bidi="ar-SA"/>
              </w:rPr>
            </w:pPr>
            <w:r>
              <w:rPr>
                <w:rFonts w:hint="eastAsia" w:ascii="宋体" w:hAnsi="宋体" w:cs="宋体"/>
                <w:color w:val="000000"/>
                <w:szCs w:val="21"/>
                <w:shd w:val="clear" w:color="auto" w:fill="FFFFFF"/>
              </w:rPr>
              <w:t>业绩</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70F07FC">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15</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D68C25E">
            <w:pPr>
              <w:widowControl/>
              <w:jc w:val="left"/>
              <w:textAlignment w:val="center"/>
              <w:rPr>
                <w:rFonts w:hint="eastAsia" w:ascii="宋体" w:hAnsi="Times New Roman" w:eastAsia="宋体" w:cs="宋体"/>
                <w:kern w:val="0"/>
                <w:sz w:val="21"/>
                <w:szCs w:val="21"/>
                <w:lang w:val="en-US" w:eastAsia="zh-CN" w:bidi="ar-SA"/>
              </w:rPr>
            </w:pPr>
            <w:r>
              <w:rPr>
                <w:rFonts w:hint="eastAsia" w:ascii="宋体" w:hAnsi="宋体" w:cs="宋体"/>
                <w:bCs/>
                <w:szCs w:val="21"/>
              </w:rPr>
              <w:t>投标人在</w:t>
            </w:r>
            <w:r>
              <w:rPr>
                <w:rFonts w:hint="eastAsia" w:ascii="宋体" w:hAnsi="宋体" w:cs="Calibri"/>
                <w:bCs/>
                <w:szCs w:val="21"/>
              </w:rPr>
              <w:t>20</w:t>
            </w:r>
            <w:r>
              <w:rPr>
                <w:rFonts w:hint="eastAsia" w:ascii="宋体" w:hAnsi="宋体" w:cs="Calibri"/>
                <w:bCs/>
                <w:szCs w:val="21"/>
                <w:lang w:val="en-US" w:eastAsia="zh-CN"/>
              </w:rPr>
              <w:t>22</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3</w:t>
            </w:r>
            <w:r>
              <w:rPr>
                <w:rFonts w:hint="eastAsia" w:ascii="宋体" w:hAnsi="宋体" w:cs="宋体"/>
              </w:rPr>
              <w:t>分，最多得</w:t>
            </w:r>
            <w:r>
              <w:rPr>
                <w:rFonts w:hint="eastAsia" w:ascii="宋体" w:hAnsi="宋体" w:cs="宋体"/>
                <w:lang w:val="en-US" w:eastAsia="zh-CN"/>
              </w:rPr>
              <w:t>15</w:t>
            </w:r>
            <w:r>
              <w:rPr>
                <w:rFonts w:hint="eastAsia" w:ascii="宋体" w:hAnsi="宋体" w:cs="宋体"/>
              </w:rPr>
              <w:t>分(必须提供合同原件,否则不得分)。</w:t>
            </w:r>
          </w:p>
        </w:tc>
      </w:tr>
      <w:tr w14:paraId="6ADE34AF">
        <w:tblPrEx>
          <w:tblCellMar>
            <w:top w:w="0" w:type="dxa"/>
            <w:left w:w="0" w:type="dxa"/>
            <w:bottom w:w="0" w:type="dxa"/>
            <w:right w:w="0" w:type="dxa"/>
          </w:tblCellMar>
        </w:tblPrEx>
        <w:trPr>
          <w:cantSplit/>
          <w:trHeight w:val="2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45F7206">
            <w:pPr>
              <w:rPr>
                <w:rFonts w:ascii="宋体" w:cs="宋体"/>
                <w:szCs w:val="21"/>
                <w:highlight w:val="yellow"/>
              </w:rPr>
            </w:pPr>
            <w:r>
              <w:rPr>
                <w:rFonts w:hint="eastAsia" w:ascii="宋体" w:hAnsi="宋体" w:cs="宋体"/>
                <w:color w:val="000000"/>
                <w:kern w:val="0"/>
                <w:szCs w:val="21"/>
                <w:lang w:bidi="ar"/>
              </w:rPr>
              <w:t>商务部分</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D71CF6F">
            <w:pPr>
              <w:jc w:val="center"/>
              <w:rPr>
                <w:rFonts w:hint="default" w:ascii="宋体" w:eastAsia="宋体" w:cs="宋体"/>
                <w:szCs w:val="21"/>
                <w:highlight w:val="yellow"/>
                <w:lang w:val="en-US" w:eastAsia="zh-CN"/>
              </w:rPr>
            </w:pPr>
            <w:r>
              <w:rPr>
                <w:rFonts w:hint="eastAsia" w:ascii="宋体" w:cs="宋体"/>
                <w:szCs w:val="21"/>
                <w:highlight w:val="none"/>
                <w:lang w:val="en-US" w:eastAsia="zh-CN"/>
              </w:rPr>
              <w:t>100</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1ABAF59">
            <w:pPr>
              <w:jc w:val="center"/>
              <w:rPr>
                <w:rFonts w:hint="default" w:ascii="宋体" w:eastAsia="宋体" w:cs="宋体"/>
                <w:szCs w:val="21"/>
                <w:highlight w:val="yellow"/>
                <w:lang w:val="en-US" w:eastAsia="zh-CN"/>
              </w:rPr>
            </w:pPr>
            <w:r>
              <w:rPr>
                <w:rFonts w:hint="eastAsia" w:ascii="宋体" w:hAnsi="宋体" w:eastAsia="宋体" w:cs="Times New Roman"/>
                <w:bCs/>
                <w:szCs w:val="21"/>
                <w:highlight w:val="none"/>
              </w:rPr>
              <w:t>商务评分计算</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9F1E87C">
            <w:pPr>
              <w:jc w:val="center"/>
              <w:rPr>
                <w:rFonts w:hint="default" w:ascii="宋体" w:eastAsia="宋体" w:cs="宋体"/>
                <w:szCs w:val="21"/>
                <w:highlight w:val="yellow"/>
                <w:lang w:val="en-US" w:eastAsia="zh-CN"/>
              </w:rPr>
            </w:pPr>
            <w:r>
              <w:rPr>
                <w:rFonts w:hint="eastAsia" w:ascii="宋体" w:cs="宋体"/>
                <w:szCs w:val="21"/>
                <w:highlight w:val="none"/>
                <w:lang w:val="en-US" w:eastAsia="zh-CN"/>
              </w:rPr>
              <w:t>100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BA82BE0">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 xml:space="preserve">评标基准价： </w:t>
            </w:r>
          </w:p>
          <w:p w14:paraId="1F2CFA3B">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1、评标基准价为所有合理有效的最终投标报价的最低价。</w:t>
            </w:r>
          </w:p>
          <w:p w14:paraId="201399F9">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2、有效的评标基准价得100分；其他投标人的价格得分按下列公式计算：投标价格得分=100×（评标基准价/投标报价）。</w:t>
            </w:r>
          </w:p>
          <w:p w14:paraId="7BE76E2F">
            <w:pPr>
              <w:widowControl/>
              <w:jc w:val="left"/>
              <w:textAlignment w:val="center"/>
              <w:rPr>
                <w:rFonts w:ascii="宋体" w:cs="宋体"/>
                <w:kern w:val="0"/>
                <w:szCs w:val="21"/>
                <w:highlight w:val="yellow"/>
              </w:rPr>
            </w:pPr>
            <w:r>
              <w:rPr>
                <w:rFonts w:hint="eastAsia" w:ascii="宋体" w:hAnsi="宋体" w:eastAsia="宋体" w:cs="Times New Roman"/>
                <w:bCs/>
                <w:szCs w:val="21"/>
                <w:highlight w:val="none"/>
              </w:rPr>
              <w:t xml:space="preserve">注：得分值取小数点后两位，不足一个百分点的，按照四舍五入法计算。 </w:t>
            </w:r>
          </w:p>
        </w:tc>
      </w:tr>
      <w:tr w14:paraId="249D5A22">
        <w:tblPrEx>
          <w:tblCellMar>
            <w:top w:w="0" w:type="dxa"/>
            <w:left w:w="0" w:type="dxa"/>
            <w:bottom w:w="0" w:type="dxa"/>
            <w:right w:w="0" w:type="dxa"/>
          </w:tblCellMar>
        </w:tblPrEx>
        <w:trPr>
          <w:cantSplit/>
          <w:trHeight w:val="638" w:hRule="atLeast"/>
        </w:trPr>
        <w:tc>
          <w:tcPr>
            <w:tcW w:w="5000" w:type="pct"/>
            <w:gridSpan w:val="5"/>
            <w:tcBorders>
              <w:top w:val="single" w:color="auto" w:sz="4" w:space="0"/>
              <w:left w:val="single" w:color="000000" w:sz="4" w:space="0"/>
              <w:bottom w:val="single" w:color="000000" w:sz="4" w:space="0"/>
              <w:right w:val="single" w:color="auto" w:sz="4" w:space="0"/>
            </w:tcBorders>
            <w:noWrap/>
            <w:tcMar>
              <w:top w:w="12" w:type="dxa"/>
              <w:left w:w="12" w:type="dxa"/>
              <w:right w:w="12" w:type="dxa"/>
            </w:tcMar>
            <w:vAlign w:val="center"/>
          </w:tcPr>
          <w:p w14:paraId="015CB358">
            <w:pPr>
              <w:widowControl/>
              <w:jc w:val="left"/>
            </w:pPr>
            <w:r>
              <w:rPr>
                <w:rFonts w:hint="eastAsia"/>
              </w:rPr>
              <w:t>备注：</w:t>
            </w:r>
          </w:p>
          <w:p w14:paraId="6D103F97">
            <w:pPr>
              <w:widowControl/>
              <w:jc w:val="left"/>
              <w:rPr>
                <w:rFonts w:hint="eastAsia" w:ascii="Times New Roman" w:hAnsi="Times New Roman" w:eastAsia="宋体" w:cs="Times New Roman"/>
                <w:lang w:val="en-US" w:eastAsia="zh-CN"/>
              </w:rPr>
            </w:pPr>
            <w:r>
              <w:rPr>
                <w:rFonts w:hint="eastAsia"/>
              </w:rPr>
              <w:t>1、通过初审者为有效投标。</w:t>
            </w:r>
          </w:p>
          <w:p w14:paraId="60684133">
            <w:pPr>
              <w:widowControl/>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2、投标厂家通过技术标后，采用综合评分，</w:t>
            </w:r>
            <w:r>
              <w:rPr>
                <w:rFonts w:hint="eastAsia" w:ascii="Times New Roman" w:hAnsi="Times New Roman" w:eastAsia="宋体" w:cs="Times New Roman"/>
                <w:b/>
                <w:bCs/>
                <w:lang w:val="en-US" w:eastAsia="zh-CN"/>
              </w:rPr>
              <w:t>综合得分=技术标得分*0.</w:t>
            </w:r>
            <w:r>
              <w:rPr>
                <w:rFonts w:hint="eastAsia" w:cs="Times New Roman"/>
                <w:b/>
                <w:bCs/>
                <w:lang w:val="en-US" w:eastAsia="zh-CN"/>
              </w:rPr>
              <w:t>3</w:t>
            </w:r>
            <w:r>
              <w:rPr>
                <w:rFonts w:hint="eastAsia" w:ascii="Times New Roman" w:hAnsi="Times New Roman" w:eastAsia="宋体" w:cs="Times New Roman"/>
                <w:b/>
                <w:bCs/>
                <w:lang w:val="en-US" w:eastAsia="zh-CN"/>
              </w:rPr>
              <w:t>+商务标得分*0.</w:t>
            </w:r>
            <w:r>
              <w:rPr>
                <w:rFonts w:hint="eastAsia" w:cs="Times New Roman"/>
                <w:b/>
                <w:bCs/>
                <w:lang w:val="en-US" w:eastAsia="zh-CN"/>
              </w:rPr>
              <w:t>7</w:t>
            </w:r>
            <w:r>
              <w:rPr>
                <w:rFonts w:hint="eastAsia" w:ascii="Times New Roman" w:hAnsi="Times New Roman" w:eastAsia="宋体" w:cs="Times New Roman"/>
                <w:b/>
                <w:bCs/>
                <w:lang w:val="en-US" w:eastAsia="zh-CN"/>
              </w:rPr>
              <w:t>。</w:t>
            </w:r>
          </w:p>
          <w:p w14:paraId="228091AB">
            <w:pPr>
              <w:widowControl/>
              <w:jc w:val="left"/>
              <w:rPr>
                <w:rFonts w:hint="default"/>
                <w:lang w:val="en-US"/>
              </w:rPr>
            </w:pPr>
            <w:r>
              <w:rPr>
                <w:rFonts w:hint="eastAsia"/>
                <w:lang w:val="en-US" w:eastAsia="zh-CN"/>
              </w:rPr>
              <w:t>3</w:t>
            </w:r>
            <w:r>
              <w:rPr>
                <w:rFonts w:hint="eastAsia"/>
              </w:rPr>
              <w:t>、投标方提交的投标文件和资料必须真实有效。合同签订前，招标方有权组织联合小组（财务、技术、设备、质量等）到中标候选人实地审核，如发现投标文件和资料有弄虚作假，招标方有权</w:t>
            </w:r>
            <w:r>
              <w:rPr>
                <w:rFonts w:hint="eastAsia" w:ascii="Times New Roman" w:hAnsi="Times New Roman" w:eastAsia="宋体" w:cs="Times New Roman"/>
              </w:rPr>
              <w:t>取消其中标候选人资格。</w:t>
            </w:r>
          </w:p>
        </w:tc>
      </w:tr>
    </w:tbl>
    <w:p w14:paraId="51F9E449">
      <w:pPr>
        <w:pStyle w:val="6"/>
        <w:numPr>
          <w:ilvl w:val="0"/>
          <w:numId w:val="0"/>
        </w:numPr>
        <w:spacing w:line="360" w:lineRule="auto"/>
        <w:rPr>
          <w:rFonts w:hAnsi="宋体"/>
          <w:szCs w:val="21"/>
        </w:rPr>
      </w:pPr>
    </w:p>
    <w:p w14:paraId="7931F4BD">
      <w:pPr>
        <w:pStyle w:val="6"/>
        <w:spacing w:line="360" w:lineRule="auto"/>
        <w:rPr>
          <w:rFonts w:ascii="黑体" w:eastAsia="黑体"/>
          <w:b/>
          <w:bCs/>
          <w:sz w:val="28"/>
        </w:rPr>
      </w:pPr>
      <w:r>
        <w:rPr>
          <w:rFonts w:hint="eastAsia" w:ascii="黑体" w:eastAsia="黑体"/>
          <w:b/>
          <w:bCs/>
          <w:sz w:val="28"/>
        </w:rPr>
        <w:t>八</w:t>
      </w:r>
      <w:r>
        <w:rPr>
          <w:rFonts w:hint="eastAsia" w:ascii="黑体" w:eastAsia="黑体"/>
          <w:b/>
          <w:bCs/>
          <w:sz w:val="28"/>
          <w:lang w:eastAsia="zh-CN"/>
        </w:rPr>
        <w:t>、</w:t>
      </w:r>
      <w:r>
        <w:rPr>
          <w:rFonts w:hint="eastAsia" w:ascii="黑体" w:eastAsia="黑体"/>
          <w:b/>
          <w:bCs/>
          <w:sz w:val="28"/>
        </w:rPr>
        <w:t>合同签订</w:t>
      </w:r>
    </w:p>
    <w:p w14:paraId="1E9B60BE">
      <w:pPr>
        <w:pStyle w:val="6"/>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F9FF012">
      <w:pPr>
        <w:pStyle w:val="6"/>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769B7BBD">
      <w:pPr>
        <w:pStyle w:val="6"/>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7C2B1A35">
      <w:pPr>
        <w:pStyle w:val="6"/>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61314C24">
      <w:pPr>
        <w:pStyle w:val="6"/>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621895B">
      <w:pPr>
        <w:pStyle w:val="6"/>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664B2DB">
      <w:pPr>
        <w:pStyle w:val="6"/>
        <w:spacing w:line="360" w:lineRule="auto"/>
        <w:ind w:firstLine="420" w:firstLineChars="200"/>
        <w:rPr>
          <w:rFonts w:hint="eastAsia"/>
        </w:rPr>
      </w:pPr>
      <w:r>
        <w:rPr>
          <w:rFonts w:hint="eastAsia"/>
        </w:rPr>
        <w:t>7.中标人须认可招标人由于招标人上级集团公司政策变化引起的随时终止项目的要求。</w:t>
      </w:r>
    </w:p>
    <w:p w14:paraId="7FECBD15">
      <w:pPr>
        <w:pStyle w:val="6"/>
        <w:spacing w:line="360" w:lineRule="auto"/>
        <w:ind w:firstLine="420" w:firstLineChars="200"/>
        <w:rPr>
          <w:rFonts w:hint="default" w:eastAsia="宋体"/>
          <w:highlight w:val="none"/>
          <w:lang w:val="en-US" w:eastAsia="zh-CN"/>
        </w:rPr>
      </w:pPr>
      <w:r>
        <w:rPr>
          <w:rFonts w:hint="eastAsia"/>
          <w:highlight w:val="none"/>
          <w:lang w:val="en-US" w:eastAsia="zh-CN"/>
        </w:rPr>
        <w:t>8、合同有效期1年，具体以签订合同为准。</w:t>
      </w:r>
    </w:p>
    <w:p w14:paraId="3FE4BB56">
      <w:pPr>
        <w:pStyle w:val="6"/>
        <w:spacing w:line="360" w:lineRule="auto"/>
        <w:rPr>
          <w:rFonts w:ascii="黑体" w:eastAsia="黑体"/>
          <w:b/>
          <w:bCs/>
          <w:sz w:val="28"/>
        </w:rPr>
      </w:pPr>
      <w:r>
        <w:rPr>
          <w:rFonts w:hint="eastAsia" w:ascii="黑体" w:eastAsia="黑体"/>
          <w:b/>
          <w:bCs/>
          <w:sz w:val="28"/>
        </w:rPr>
        <w:t>九、废标及终止招标</w:t>
      </w:r>
    </w:p>
    <w:p w14:paraId="3E7A272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BAB826E">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12D40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4D5F2EB5">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46A67125">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47EF465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2BF9BF18">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14:paraId="081D424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14:paraId="207C7E33">
      <w:pPr>
        <w:spacing w:line="520" w:lineRule="exact"/>
        <w:ind w:right="2" w:firstLine="420" w:firstLineChars="200"/>
        <w:rPr>
          <w:rFonts w:ascii="宋体" w:hAnsi="Courier New"/>
        </w:rPr>
      </w:pPr>
      <w:bookmarkStart w:id="2" w:name="_Hlk80690793"/>
      <w:r>
        <w:rPr>
          <w:rFonts w:hint="eastAsia" w:ascii="宋体" w:hAnsi="宋体"/>
        </w:rPr>
        <w:t>⑻</w:t>
      </w:r>
      <w:bookmarkEnd w:id="2"/>
      <w:r>
        <w:rPr>
          <w:rFonts w:hint="eastAsia" w:ascii="宋体" w:hAnsi="Courier New"/>
        </w:rPr>
        <w:t>中标人不按规定签订合同；</w:t>
      </w:r>
    </w:p>
    <w:p w14:paraId="196DC719">
      <w:pPr>
        <w:spacing w:line="520" w:lineRule="exact"/>
        <w:ind w:right="2" w:firstLine="420" w:firstLineChars="200"/>
        <w:rPr>
          <w:rFonts w:ascii="宋体" w:hAnsi="Courier New"/>
        </w:rPr>
      </w:pPr>
      <w:r>
        <w:rPr>
          <w:rFonts w:hint="eastAsia" w:ascii="宋体" w:hAnsi="Courier New"/>
        </w:rPr>
        <w:t>⑼法律、法规规定的其他情况。</w:t>
      </w:r>
    </w:p>
    <w:p w14:paraId="34F2C5FC">
      <w:pPr>
        <w:spacing w:line="520" w:lineRule="exact"/>
        <w:ind w:right="2" w:firstLine="420" w:firstLineChars="200"/>
        <w:rPr>
          <w:rFonts w:ascii="宋体" w:hAnsi="Courier New"/>
        </w:rPr>
      </w:pPr>
      <w:r>
        <w:rPr>
          <w:rFonts w:hint="eastAsia" w:ascii="宋体" w:hAnsi="Courier New"/>
        </w:rPr>
        <w:t>⑽投标人被举报、检举，并经招标方查实无误的。</w:t>
      </w:r>
    </w:p>
    <w:p w14:paraId="37AB8633">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46D3A3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2A2C5AB4">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253D7B1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ABCEF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4BACF487">
      <w:pPr>
        <w:spacing w:line="520" w:lineRule="exact"/>
        <w:ind w:right="2" w:firstLine="420" w:firstLineChars="200"/>
        <w:rPr>
          <w:rFonts w:ascii="宋体" w:hAnsi="Courier New"/>
        </w:rPr>
      </w:pPr>
      <w:r>
        <w:rPr>
          <w:rFonts w:hint="eastAsia" w:ascii="宋体" w:hAnsi="Courier New"/>
        </w:rPr>
        <w:t>⑸招标人认为其他应终止招标的情形。</w:t>
      </w:r>
    </w:p>
    <w:p w14:paraId="661B1960">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14:paraId="5C688847">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11D4EDF8">
      <w:pPr>
        <w:pStyle w:val="6"/>
        <w:spacing w:line="360" w:lineRule="auto"/>
        <w:rPr>
          <w:rFonts w:ascii="黑体" w:eastAsia="黑体"/>
          <w:b/>
          <w:bCs/>
          <w:sz w:val="28"/>
        </w:rPr>
      </w:pPr>
      <w:r>
        <w:rPr>
          <w:rFonts w:hint="eastAsia" w:ascii="黑体" w:eastAsia="黑体"/>
          <w:b/>
          <w:bCs/>
          <w:sz w:val="28"/>
        </w:rPr>
        <w:t>十、中标人瑕疵滞后发现的处理原则</w:t>
      </w:r>
    </w:p>
    <w:p w14:paraId="5B147A84">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7F2E0085">
      <w:pPr>
        <w:pStyle w:val="6"/>
        <w:spacing w:line="360" w:lineRule="auto"/>
        <w:rPr>
          <w:rFonts w:ascii="黑体" w:eastAsia="黑体"/>
          <w:b/>
          <w:bCs/>
          <w:sz w:val="28"/>
        </w:rPr>
      </w:pPr>
      <w:r>
        <w:rPr>
          <w:rFonts w:hint="eastAsia" w:ascii="黑体" w:eastAsia="黑体"/>
          <w:b/>
          <w:bCs/>
          <w:sz w:val="28"/>
        </w:rPr>
        <w:t>十一、技术要求</w:t>
      </w:r>
    </w:p>
    <w:p w14:paraId="2A0A13F1">
      <w:pPr>
        <w:pStyle w:val="6"/>
        <w:spacing w:line="360" w:lineRule="auto"/>
        <w:ind w:left="420" w:hanging="420" w:hangingChars="200"/>
      </w:pPr>
      <w:r>
        <w:rPr>
          <w:rFonts w:hint="eastAsia"/>
        </w:rPr>
        <w:t xml:space="preserve">    见本招标文件“第三章 技术协议书”，附后。</w:t>
      </w:r>
    </w:p>
    <w:p w14:paraId="106C1A79">
      <w:pPr>
        <w:pStyle w:val="6"/>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14:paraId="613E3E3E">
      <w:pPr>
        <w:pStyle w:val="6"/>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14:paraId="2076324B">
      <w:pPr>
        <w:pStyle w:val="6"/>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14:paraId="399AEE96">
      <w:pPr>
        <w:pStyle w:val="6"/>
        <w:spacing w:line="360" w:lineRule="auto"/>
        <w:ind w:left="0" w:leftChars="0" w:firstLine="420" w:firstLineChars="200"/>
        <w:rPr>
          <w:rFonts w:hint="eastAsia"/>
        </w:rPr>
      </w:pPr>
    </w:p>
    <w:p w14:paraId="074FF790">
      <w:pPr>
        <w:rPr>
          <w:rFonts w:eastAsia="黑体"/>
          <w:b/>
          <w:bCs/>
          <w:sz w:val="36"/>
          <w:szCs w:val="36"/>
        </w:rPr>
      </w:pPr>
    </w:p>
    <w:p w14:paraId="2F883230">
      <w:pPr>
        <w:pStyle w:val="4"/>
      </w:pPr>
    </w:p>
    <w:p w14:paraId="3A2D4536">
      <w:pPr>
        <w:jc w:val="center"/>
        <w:rPr>
          <w:rFonts w:hint="eastAsia" w:eastAsia="黑体"/>
          <w:b/>
          <w:bCs/>
          <w:sz w:val="36"/>
          <w:szCs w:val="36"/>
        </w:rPr>
      </w:pPr>
    </w:p>
    <w:p w14:paraId="3F91C432">
      <w:pPr>
        <w:jc w:val="center"/>
        <w:rPr>
          <w:rFonts w:hint="eastAsia" w:eastAsia="黑体"/>
          <w:b/>
          <w:bCs/>
          <w:sz w:val="36"/>
          <w:szCs w:val="36"/>
        </w:rPr>
      </w:pPr>
    </w:p>
    <w:p w14:paraId="24EA203F">
      <w:pPr>
        <w:rPr>
          <w:rFonts w:hint="eastAsia" w:eastAsia="黑体"/>
          <w:b/>
          <w:bCs/>
          <w:sz w:val="36"/>
          <w:szCs w:val="36"/>
        </w:rPr>
      </w:pPr>
      <w:r>
        <w:rPr>
          <w:rFonts w:hint="eastAsia" w:eastAsia="黑体"/>
          <w:b/>
          <w:bCs/>
          <w:sz w:val="36"/>
          <w:szCs w:val="36"/>
        </w:rPr>
        <w:br w:type="page"/>
      </w:r>
    </w:p>
    <w:p w14:paraId="016B2FB7">
      <w:pPr>
        <w:pStyle w:val="2"/>
        <w:bidi w:val="0"/>
        <w:jc w:val="center"/>
      </w:pPr>
      <w:bookmarkStart w:id="3" w:name="_Toc17783"/>
      <w:r>
        <w:rPr>
          <w:rFonts w:hint="eastAsia"/>
        </w:rPr>
        <w:t>第二章  投标文件编制</w:t>
      </w:r>
      <w:bookmarkEnd w:id="3"/>
    </w:p>
    <w:p w14:paraId="5E45C386">
      <w:pPr>
        <w:pStyle w:val="6"/>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3CF21CF">
      <w:pPr>
        <w:pStyle w:val="6"/>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9A4B6F2">
      <w:pPr>
        <w:pStyle w:val="6"/>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1FCAEE41">
      <w:pPr>
        <w:pStyle w:val="6"/>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07E181B3">
      <w:pPr>
        <w:pStyle w:val="6"/>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39A3E348">
      <w:pPr>
        <w:pStyle w:val="6"/>
        <w:spacing w:line="360" w:lineRule="auto"/>
        <w:ind w:firstLine="422" w:firstLineChars="200"/>
        <w:rPr>
          <w:rFonts w:hAnsi="宋体"/>
          <w:b/>
        </w:rPr>
      </w:pPr>
      <w:r>
        <w:rPr>
          <w:rFonts w:hint="eastAsia" w:hAnsi="宋体"/>
          <w:b/>
        </w:rPr>
        <w:t>⑴文件名称（商务标或技术标或资质文件）</w:t>
      </w:r>
    </w:p>
    <w:p w14:paraId="2AC3C98C">
      <w:pPr>
        <w:pStyle w:val="6"/>
        <w:spacing w:line="360" w:lineRule="auto"/>
        <w:ind w:firstLine="420" w:firstLineChars="200"/>
        <w:rPr>
          <w:rFonts w:hAnsi="宋体"/>
        </w:rPr>
      </w:pPr>
      <w:r>
        <w:rPr>
          <w:rFonts w:hint="eastAsia" w:hAnsi="宋体"/>
        </w:rPr>
        <w:t>⑵项目名称</w:t>
      </w:r>
    </w:p>
    <w:p w14:paraId="43FFE10A">
      <w:pPr>
        <w:pStyle w:val="6"/>
        <w:spacing w:line="360" w:lineRule="auto"/>
        <w:ind w:firstLine="420" w:firstLineChars="200"/>
        <w:rPr>
          <w:rFonts w:hAnsi="宋体"/>
        </w:rPr>
      </w:pPr>
      <w:r>
        <w:rPr>
          <w:rFonts w:hint="eastAsia" w:hAnsi="宋体"/>
        </w:rPr>
        <w:t>⑶投标人名称（加盖公章）、地址、邮编、电话、传真</w:t>
      </w:r>
    </w:p>
    <w:p w14:paraId="10D5A155">
      <w:pPr>
        <w:pStyle w:val="6"/>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159AA1C5">
      <w:pPr>
        <w:pStyle w:val="6"/>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6B8A92">
      <w:pPr>
        <w:pStyle w:val="6"/>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589378A">
      <w:pPr>
        <w:pStyle w:val="6"/>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48590AF3">
      <w:pPr>
        <w:rPr>
          <w:rFonts w:eastAsia="黑体"/>
          <w:b/>
          <w:bCs/>
          <w:sz w:val="28"/>
        </w:rPr>
      </w:pPr>
    </w:p>
    <w:p w14:paraId="0F8B8B62">
      <w:pPr>
        <w:rPr>
          <w:rFonts w:eastAsia="黑体"/>
          <w:b/>
          <w:bCs/>
          <w:sz w:val="28"/>
        </w:rPr>
      </w:pPr>
    </w:p>
    <w:p w14:paraId="17021042">
      <w:pPr>
        <w:rPr>
          <w:rFonts w:eastAsia="黑体"/>
          <w:b/>
          <w:bCs/>
          <w:sz w:val="28"/>
        </w:rPr>
      </w:pPr>
    </w:p>
    <w:p w14:paraId="2FC75025">
      <w:pPr>
        <w:rPr>
          <w:rFonts w:eastAsia="黑体"/>
          <w:b/>
          <w:bCs/>
          <w:sz w:val="28"/>
        </w:rPr>
      </w:pPr>
    </w:p>
    <w:p w14:paraId="4DE76AB1">
      <w:pPr>
        <w:rPr>
          <w:rFonts w:eastAsia="黑体"/>
          <w:b/>
          <w:bCs/>
          <w:sz w:val="28"/>
        </w:rPr>
      </w:pPr>
    </w:p>
    <w:p w14:paraId="7746B727">
      <w:pPr>
        <w:rPr>
          <w:rFonts w:eastAsia="黑体"/>
          <w:b/>
          <w:bCs/>
          <w:sz w:val="28"/>
        </w:rPr>
      </w:pPr>
    </w:p>
    <w:p w14:paraId="49AB2A27">
      <w:pPr>
        <w:rPr>
          <w:rFonts w:eastAsia="黑体"/>
          <w:b/>
          <w:bCs/>
          <w:sz w:val="28"/>
        </w:rPr>
      </w:pPr>
      <w:r>
        <w:rPr>
          <w:rFonts w:hint="eastAsia" w:eastAsia="黑体"/>
          <w:b/>
          <w:bCs/>
          <w:sz w:val="28"/>
        </w:rPr>
        <w:br w:type="page"/>
      </w:r>
      <w:r>
        <w:rPr>
          <w:rFonts w:hint="eastAsia" w:eastAsia="黑体"/>
          <w:b/>
          <w:bCs/>
          <w:sz w:val="28"/>
        </w:rPr>
        <w:t>格式1</w:t>
      </w:r>
    </w:p>
    <w:p w14:paraId="64965A74">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5"/>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5"/>
        </w:numPr>
        <w:rPr>
          <w:rFonts w:ascii="宋体" w:hAnsi="宋体"/>
        </w:rPr>
      </w:pPr>
      <w:r>
        <w:rPr>
          <w:rFonts w:hint="eastAsia" w:ascii="宋体" w:hAnsi="宋体"/>
        </w:rPr>
        <w:t>投标人将按招标文件的规定履行合同责任和义务。</w:t>
      </w:r>
    </w:p>
    <w:p w14:paraId="3D20D87B">
      <w:pPr>
        <w:numPr>
          <w:ilvl w:val="0"/>
          <w:numId w:val="5"/>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5"/>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5"/>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5"/>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5"/>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16"/>
      </w:pPr>
    </w:p>
    <w:p w14:paraId="11366B84">
      <w:pPr>
        <w:pStyle w:val="16"/>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E826709">
      <w:pPr>
        <w:rPr>
          <w:rFonts w:eastAsia="黑体"/>
          <w:b/>
          <w:bCs/>
          <w:sz w:val="28"/>
        </w:rPr>
      </w:pPr>
      <w:r>
        <w:rPr>
          <w:rFonts w:hint="eastAsia" w:eastAsia="黑体"/>
          <w:b/>
          <w:bCs/>
          <w:sz w:val="28"/>
        </w:rPr>
        <w:t>格式3</w:t>
      </w:r>
    </w:p>
    <w:p w14:paraId="635668EE">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36048841">
      <w:pPr>
        <w:rPr>
          <w:rFonts w:ascii="宋体" w:hAnsi="宋体"/>
          <w:szCs w:val="21"/>
        </w:rPr>
      </w:pPr>
      <w:r>
        <w:rPr>
          <w:rFonts w:hint="eastAsia" w:ascii="宋体" w:hAnsi="宋体"/>
          <w:szCs w:val="21"/>
        </w:rPr>
        <w:t>日期：  年   月   日</w:t>
      </w:r>
    </w:p>
    <w:p w14:paraId="799DC374">
      <w:pPr>
        <w:spacing w:line="400" w:lineRule="exact"/>
        <w:jc w:val="center"/>
        <w:rPr>
          <w:rFonts w:ascii="黑体" w:eastAsia="黑体"/>
          <w:sz w:val="30"/>
        </w:rPr>
      </w:pPr>
      <w:r>
        <w:rPr>
          <w:rFonts w:hint="eastAsia" w:ascii="黑体" w:eastAsia="黑体"/>
          <w:sz w:val="30"/>
        </w:rPr>
        <w:t>开标一览表</w:t>
      </w:r>
    </w:p>
    <w:tbl>
      <w:tblPr>
        <w:tblStyle w:val="12"/>
        <w:tblW w:w="9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845"/>
        <w:gridCol w:w="396"/>
        <w:gridCol w:w="381"/>
        <w:gridCol w:w="1241"/>
        <w:gridCol w:w="1596"/>
        <w:gridCol w:w="1279"/>
        <w:gridCol w:w="1230"/>
        <w:gridCol w:w="1245"/>
        <w:gridCol w:w="975"/>
      </w:tblGrid>
      <w:tr w14:paraId="5CD25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8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7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地点</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E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4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4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运维周期</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FD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开标</w:t>
            </w:r>
            <w:r>
              <w:rPr>
                <w:rFonts w:hint="eastAsia" w:ascii="宋体" w:hAnsi="宋体" w:eastAsia="宋体" w:cs="宋体"/>
                <w:i w:val="0"/>
                <w:iCs w:val="0"/>
                <w:color w:val="000000"/>
                <w:kern w:val="0"/>
                <w:sz w:val="18"/>
                <w:szCs w:val="18"/>
                <w:u w:val="none"/>
                <w:lang w:val="en-US" w:eastAsia="zh-CN" w:bidi="ar"/>
              </w:rPr>
              <w:t>固定费用</w:t>
            </w:r>
            <w:r>
              <w:rPr>
                <w:rFonts w:hint="eastAsia" w:ascii="宋体" w:hAnsi="宋体" w:cs="宋体"/>
                <w:i w:val="0"/>
                <w:iCs w:val="0"/>
                <w:color w:val="000000"/>
                <w:kern w:val="0"/>
                <w:sz w:val="18"/>
                <w:szCs w:val="18"/>
                <w:u w:val="none"/>
                <w:lang w:val="en-US" w:eastAsia="zh-CN" w:bidi="ar"/>
              </w:rPr>
              <w:t>：</w:t>
            </w:r>
          </w:p>
          <w:p w14:paraId="09013ED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元</w:t>
            </w:r>
            <w:r>
              <w:rPr>
                <w:rFonts w:hint="eastAsia" w:ascii="宋体" w:hAnsi="宋体" w:eastAsia="宋体" w:cs="宋体"/>
                <w:i w:val="0"/>
                <w:iCs w:val="0"/>
                <w:color w:val="000000"/>
                <w:kern w:val="0"/>
                <w:sz w:val="18"/>
                <w:szCs w:val="18"/>
                <w:u w:val="none"/>
                <w:lang w:val="en-US" w:eastAsia="zh-CN" w:bidi="ar"/>
              </w:rPr>
              <w:t>/月</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含税</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D7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开标单价：元/台，含税</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83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年度</w:t>
            </w:r>
            <w:r>
              <w:rPr>
                <w:rFonts w:hint="eastAsia" w:ascii="宋体" w:hAnsi="宋体" w:eastAsia="宋体" w:cs="宋体"/>
                <w:i w:val="0"/>
                <w:iCs w:val="0"/>
                <w:color w:val="auto"/>
                <w:kern w:val="0"/>
                <w:sz w:val="18"/>
                <w:szCs w:val="18"/>
                <w:u w:val="none"/>
                <w:lang w:val="en-US" w:eastAsia="zh-CN" w:bidi="ar"/>
              </w:rPr>
              <w:t>计划产量（台）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23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价税合计金额（元，含税）</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2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合计（元，含税），税率</w:t>
            </w:r>
          </w:p>
        </w:tc>
      </w:tr>
      <w:tr w14:paraId="5D5C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8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发动机厂</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2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装调部-调涂二车间</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A5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5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4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lang w:val="en-US" w:eastAsia="zh-CN" w:bidi="ar"/>
              </w:rPr>
              <w:t>2026.3.1- 2027.2.28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8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7030">
            <w:pPr>
              <w:jc w:val="center"/>
              <w:rPr>
                <w:rFonts w:hint="eastAsia" w:ascii="宋体" w:hAnsi="宋体" w:eastAsia="宋体" w:cs="宋体"/>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B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3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=开标</w:t>
            </w:r>
            <w:r>
              <w:rPr>
                <w:rFonts w:hint="eastAsia" w:ascii="宋体" w:hAnsi="宋体" w:eastAsia="宋体" w:cs="宋体"/>
                <w:i w:val="0"/>
                <w:iCs w:val="0"/>
                <w:color w:val="000000"/>
                <w:kern w:val="0"/>
                <w:sz w:val="18"/>
                <w:szCs w:val="18"/>
                <w:u w:val="none"/>
                <w:lang w:val="en-US" w:eastAsia="zh-CN" w:bidi="ar"/>
              </w:rPr>
              <w:t>固定费用*月数+开标单价*计划产量</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B714">
            <w:pPr>
              <w:jc w:val="center"/>
              <w:rPr>
                <w:rFonts w:hint="eastAsia" w:ascii="宋体" w:hAnsi="宋体" w:eastAsia="宋体" w:cs="宋体"/>
                <w:i w:val="0"/>
                <w:iCs w:val="0"/>
                <w:color w:val="000000"/>
                <w:sz w:val="22"/>
                <w:szCs w:val="22"/>
                <w:u w:val="none"/>
              </w:rPr>
            </w:pPr>
          </w:p>
        </w:tc>
      </w:tr>
    </w:tbl>
    <w:p w14:paraId="59B21A66">
      <w:pPr>
        <w:pStyle w:val="4"/>
        <w:spacing w:line="460" w:lineRule="exact"/>
        <w:rPr>
          <w:rFonts w:ascii="宋体" w:hAnsi="宋体"/>
          <w:b/>
          <w:bCs/>
        </w:rPr>
      </w:pPr>
    </w:p>
    <w:p w14:paraId="40BCE191">
      <w:pPr>
        <w:pStyle w:val="4"/>
        <w:spacing w:line="460" w:lineRule="exact"/>
        <w:rPr>
          <w:rFonts w:ascii="宋体" w:hAnsi="宋体"/>
        </w:rPr>
      </w:pPr>
      <w:r>
        <w:rPr>
          <w:rFonts w:hint="eastAsia" w:ascii="宋体" w:hAnsi="宋体"/>
          <w:b/>
          <w:bCs/>
        </w:rPr>
        <w:t>注：</w:t>
      </w:r>
    </w:p>
    <w:p w14:paraId="1EC0A59D">
      <w:pPr>
        <w:spacing w:line="520" w:lineRule="exact"/>
        <w:rPr>
          <w:rFonts w:ascii="宋体" w:hAnsi="宋体"/>
          <w:b/>
          <w:bCs/>
        </w:rPr>
      </w:pPr>
      <w:r>
        <w:rPr>
          <w:rFonts w:hint="eastAsia" w:ascii="宋体" w:hAnsi="宋体"/>
          <w:b/>
          <w:bCs/>
        </w:rPr>
        <w:t>1、此表中的报价必须与相应的报价明细表中的报价一致，分项报价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14:paraId="5D925DC7">
      <w:pPr>
        <w:spacing w:line="360" w:lineRule="auto"/>
        <w:rPr>
          <w:rFonts w:ascii="宋体" w:hAnsi="宋体"/>
          <w:b/>
          <w:bCs/>
        </w:rPr>
      </w:pPr>
      <w:r>
        <w:rPr>
          <w:rFonts w:hint="eastAsia" w:ascii="宋体" w:hAnsi="宋体"/>
          <w:b/>
          <w:bCs/>
        </w:rPr>
        <w:t>2、本表除附在投标文件中外，还应一式贰份单独密封，以便唱标。</w:t>
      </w:r>
    </w:p>
    <w:p w14:paraId="3E45D7D4">
      <w:pPr>
        <w:spacing w:line="360" w:lineRule="auto"/>
        <w:rPr>
          <w:rFonts w:ascii="宋体" w:hAnsi="宋体"/>
          <w:sz w:val="24"/>
        </w:rPr>
      </w:pPr>
      <w:r>
        <w:rPr>
          <w:rFonts w:hint="eastAsia" w:ascii="宋体" w:hAnsi="宋体"/>
          <w:sz w:val="24"/>
        </w:rPr>
        <w:t>投标人：（盖章）</w:t>
      </w:r>
    </w:p>
    <w:p w14:paraId="694A125B">
      <w:pPr>
        <w:spacing w:line="360" w:lineRule="auto"/>
        <w:rPr>
          <w:rFonts w:ascii="宋体" w:hAnsi="宋体"/>
          <w:sz w:val="24"/>
        </w:rPr>
      </w:pPr>
      <w:r>
        <w:rPr>
          <w:rFonts w:hint="eastAsia" w:ascii="宋体" w:hAnsi="宋体"/>
          <w:sz w:val="24"/>
        </w:rPr>
        <w:t>法定代表人（授权代表）：（签字）</w:t>
      </w:r>
    </w:p>
    <w:p w14:paraId="371DBB74">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4C44C5AE">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6"/>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3FB0E95B">
      <w:pPr>
        <w:rPr>
          <w:rFonts w:eastAsia="黑体"/>
          <w:b/>
          <w:bCs/>
          <w:sz w:val="28"/>
        </w:rPr>
      </w:pPr>
      <w:r>
        <w:rPr>
          <w:rFonts w:eastAsia="黑体"/>
          <w:b/>
          <w:bCs/>
          <w:sz w:val="28"/>
        </w:rPr>
        <w:br w:type="page"/>
      </w:r>
      <w:r>
        <w:rPr>
          <w:rFonts w:hint="eastAsia" w:eastAsia="黑体"/>
          <w:b/>
          <w:bCs/>
          <w:sz w:val="28"/>
        </w:rPr>
        <w:t>格式5</w:t>
      </w:r>
      <w:bookmarkStart w:id="4" w:name="_Hlk70069772"/>
    </w:p>
    <w:p w14:paraId="400759C3">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46660644"/>
    <w:p w14:paraId="4984229A">
      <w:pPr>
        <w:rPr>
          <w:rFonts w:ascii="宋体" w:hAnsi="宋体"/>
          <w:szCs w:val="21"/>
        </w:rPr>
      </w:pPr>
      <w:r>
        <w:rPr>
          <w:rFonts w:hint="eastAsia" w:ascii="宋体" w:hAnsi="宋体"/>
          <w:szCs w:val="21"/>
        </w:rPr>
        <w:t>日期：  年   月   日</w:t>
      </w:r>
    </w:p>
    <w:p w14:paraId="69B77C22">
      <w:pPr>
        <w:jc w:val="center"/>
        <w:rPr>
          <w:rFonts w:eastAsia="黑体"/>
          <w:b/>
          <w:bCs/>
          <w:sz w:val="28"/>
        </w:rPr>
      </w:pPr>
    </w:p>
    <w:p w14:paraId="15BBA383">
      <w:pPr>
        <w:jc w:val="center"/>
        <w:rPr>
          <w:rFonts w:eastAsia="黑体"/>
          <w:b/>
          <w:bCs/>
          <w:sz w:val="28"/>
        </w:rPr>
      </w:pPr>
      <w:r>
        <w:rPr>
          <w:rFonts w:hint="eastAsia" w:eastAsia="黑体"/>
          <w:b/>
          <w:bCs/>
          <w:sz w:val="28"/>
        </w:rPr>
        <w:t>相关条款偏离表（含商务偏离及技术偏离）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324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CCA88A5">
            <w:pPr>
              <w:jc w:val="center"/>
              <w:rPr>
                <w:rFonts w:ascii="宋体" w:hAnsi="宋体"/>
                <w:sz w:val="24"/>
              </w:rPr>
            </w:pPr>
            <w:r>
              <w:rPr>
                <w:rFonts w:hint="eastAsia" w:ascii="宋体" w:hAnsi="宋体"/>
                <w:sz w:val="24"/>
              </w:rPr>
              <w:t>序号</w:t>
            </w:r>
          </w:p>
        </w:tc>
        <w:tc>
          <w:tcPr>
            <w:tcW w:w="4140" w:type="dxa"/>
            <w:gridSpan w:val="2"/>
            <w:vAlign w:val="center"/>
          </w:tcPr>
          <w:p w14:paraId="2D7682D6">
            <w:pPr>
              <w:jc w:val="center"/>
              <w:rPr>
                <w:rFonts w:ascii="宋体" w:hAnsi="宋体"/>
                <w:sz w:val="24"/>
              </w:rPr>
            </w:pPr>
            <w:r>
              <w:rPr>
                <w:rFonts w:hint="eastAsia" w:ascii="宋体" w:hAnsi="宋体"/>
                <w:sz w:val="24"/>
              </w:rPr>
              <w:t>招标文件条款</w:t>
            </w:r>
          </w:p>
        </w:tc>
        <w:tc>
          <w:tcPr>
            <w:tcW w:w="3554" w:type="dxa"/>
            <w:vMerge w:val="restart"/>
            <w:vAlign w:val="center"/>
          </w:tcPr>
          <w:p w14:paraId="3F7865A9">
            <w:pPr>
              <w:jc w:val="center"/>
              <w:rPr>
                <w:rFonts w:ascii="宋体" w:hAnsi="宋体"/>
                <w:sz w:val="24"/>
              </w:rPr>
            </w:pPr>
            <w:r>
              <w:rPr>
                <w:rFonts w:hint="eastAsia" w:ascii="宋体" w:hAnsi="宋体"/>
                <w:sz w:val="24"/>
              </w:rPr>
              <w:t>偏离内容</w:t>
            </w:r>
          </w:p>
        </w:tc>
      </w:tr>
      <w:tr w14:paraId="2D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8E5B19">
            <w:pPr>
              <w:rPr>
                <w:rFonts w:ascii="宋体" w:hAnsi="宋体"/>
                <w:sz w:val="24"/>
              </w:rPr>
            </w:pPr>
          </w:p>
        </w:tc>
        <w:tc>
          <w:tcPr>
            <w:tcW w:w="1080" w:type="dxa"/>
            <w:vAlign w:val="center"/>
          </w:tcPr>
          <w:p w14:paraId="4687260C">
            <w:pPr>
              <w:jc w:val="center"/>
              <w:rPr>
                <w:rFonts w:ascii="宋体" w:hAnsi="宋体"/>
                <w:sz w:val="24"/>
              </w:rPr>
            </w:pPr>
            <w:r>
              <w:rPr>
                <w:rFonts w:hint="eastAsia" w:ascii="宋体" w:hAnsi="宋体"/>
                <w:sz w:val="24"/>
              </w:rPr>
              <w:t>条款号</w:t>
            </w:r>
          </w:p>
        </w:tc>
        <w:tc>
          <w:tcPr>
            <w:tcW w:w="3060" w:type="dxa"/>
            <w:vAlign w:val="center"/>
          </w:tcPr>
          <w:p w14:paraId="648C9BC1">
            <w:pPr>
              <w:jc w:val="center"/>
              <w:rPr>
                <w:rFonts w:ascii="宋体" w:hAnsi="宋体"/>
                <w:sz w:val="24"/>
              </w:rPr>
            </w:pPr>
            <w:r>
              <w:rPr>
                <w:rFonts w:hint="eastAsia" w:ascii="宋体" w:hAnsi="宋体"/>
                <w:sz w:val="24"/>
              </w:rPr>
              <w:t>条款要求</w:t>
            </w:r>
          </w:p>
        </w:tc>
        <w:tc>
          <w:tcPr>
            <w:tcW w:w="3554" w:type="dxa"/>
            <w:vMerge w:val="continue"/>
            <w:vAlign w:val="center"/>
          </w:tcPr>
          <w:p w14:paraId="39D3E599">
            <w:pPr>
              <w:jc w:val="center"/>
              <w:rPr>
                <w:rFonts w:ascii="宋体" w:hAnsi="宋体"/>
                <w:sz w:val="24"/>
              </w:rPr>
            </w:pPr>
          </w:p>
        </w:tc>
      </w:tr>
      <w:tr w14:paraId="51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BF647A">
            <w:pPr>
              <w:jc w:val="center"/>
              <w:rPr>
                <w:rFonts w:ascii="宋体" w:hAnsi="宋体"/>
                <w:sz w:val="24"/>
              </w:rPr>
            </w:pPr>
            <w:r>
              <w:rPr>
                <w:rFonts w:hint="eastAsia" w:ascii="宋体" w:hAnsi="宋体"/>
                <w:sz w:val="24"/>
              </w:rPr>
              <w:t>1</w:t>
            </w:r>
          </w:p>
        </w:tc>
        <w:tc>
          <w:tcPr>
            <w:tcW w:w="1080" w:type="dxa"/>
            <w:vAlign w:val="center"/>
          </w:tcPr>
          <w:p w14:paraId="72ED9B63">
            <w:pPr>
              <w:rPr>
                <w:rFonts w:ascii="宋体" w:hAnsi="宋体"/>
                <w:sz w:val="24"/>
              </w:rPr>
            </w:pPr>
          </w:p>
        </w:tc>
        <w:tc>
          <w:tcPr>
            <w:tcW w:w="3060" w:type="dxa"/>
            <w:vAlign w:val="center"/>
          </w:tcPr>
          <w:p w14:paraId="28BFE91D">
            <w:pPr>
              <w:rPr>
                <w:rFonts w:ascii="宋体" w:hAnsi="宋体"/>
                <w:sz w:val="24"/>
              </w:rPr>
            </w:pPr>
          </w:p>
        </w:tc>
        <w:tc>
          <w:tcPr>
            <w:tcW w:w="3554" w:type="dxa"/>
            <w:vAlign w:val="center"/>
          </w:tcPr>
          <w:p w14:paraId="76E5E8C7">
            <w:pPr>
              <w:rPr>
                <w:rFonts w:ascii="宋体" w:hAnsi="宋体"/>
                <w:sz w:val="24"/>
              </w:rPr>
            </w:pPr>
          </w:p>
        </w:tc>
      </w:tr>
      <w:tr w14:paraId="379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0FB2B">
            <w:pPr>
              <w:jc w:val="center"/>
              <w:rPr>
                <w:rFonts w:ascii="宋体" w:hAnsi="宋体"/>
                <w:sz w:val="24"/>
              </w:rPr>
            </w:pPr>
            <w:r>
              <w:rPr>
                <w:rFonts w:hint="eastAsia" w:ascii="宋体" w:hAnsi="宋体"/>
                <w:sz w:val="24"/>
              </w:rPr>
              <w:t>2</w:t>
            </w:r>
          </w:p>
        </w:tc>
        <w:tc>
          <w:tcPr>
            <w:tcW w:w="1080" w:type="dxa"/>
            <w:vAlign w:val="center"/>
          </w:tcPr>
          <w:p w14:paraId="1824EF4C">
            <w:pPr>
              <w:rPr>
                <w:rFonts w:ascii="宋体" w:hAnsi="宋体"/>
                <w:sz w:val="24"/>
              </w:rPr>
            </w:pPr>
          </w:p>
        </w:tc>
        <w:tc>
          <w:tcPr>
            <w:tcW w:w="3060" w:type="dxa"/>
            <w:vAlign w:val="center"/>
          </w:tcPr>
          <w:p w14:paraId="681D792E">
            <w:pPr>
              <w:rPr>
                <w:rFonts w:ascii="宋体" w:hAnsi="宋体"/>
                <w:sz w:val="24"/>
              </w:rPr>
            </w:pPr>
          </w:p>
        </w:tc>
        <w:tc>
          <w:tcPr>
            <w:tcW w:w="3554" w:type="dxa"/>
            <w:vAlign w:val="center"/>
          </w:tcPr>
          <w:p w14:paraId="0F7981C0">
            <w:pPr>
              <w:rPr>
                <w:rFonts w:ascii="宋体" w:hAnsi="宋体"/>
                <w:sz w:val="24"/>
              </w:rPr>
            </w:pPr>
          </w:p>
        </w:tc>
      </w:tr>
      <w:tr w14:paraId="0F2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DA7F50">
            <w:pPr>
              <w:jc w:val="center"/>
              <w:rPr>
                <w:rFonts w:ascii="宋体" w:hAnsi="宋体"/>
                <w:sz w:val="24"/>
              </w:rPr>
            </w:pPr>
            <w:r>
              <w:rPr>
                <w:rFonts w:hint="eastAsia" w:ascii="宋体" w:hAnsi="宋体"/>
                <w:sz w:val="24"/>
              </w:rPr>
              <w:t>3</w:t>
            </w:r>
          </w:p>
        </w:tc>
        <w:tc>
          <w:tcPr>
            <w:tcW w:w="1080" w:type="dxa"/>
            <w:vAlign w:val="center"/>
          </w:tcPr>
          <w:p w14:paraId="2010670F">
            <w:pPr>
              <w:rPr>
                <w:rFonts w:ascii="宋体" w:hAnsi="宋体"/>
                <w:sz w:val="24"/>
              </w:rPr>
            </w:pPr>
          </w:p>
        </w:tc>
        <w:tc>
          <w:tcPr>
            <w:tcW w:w="3060" w:type="dxa"/>
            <w:vAlign w:val="center"/>
          </w:tcPr>
          <w:p w14:paraId="6AE6B1B7">
            <w:pPr>
              <w:rPr>
                <w:rFonts w:ascii="宋体" w:hAnsi="宋体"/>
                <w:sz w:val="24"/>
              </w:rPr>
            </w:pPr>
          </w:p>
        </w:tc>
        <w:tc>
          <w:tcPr>
            <w:tcW w:w="3554" w:type="dxa"/>
            <w:vAlign w:val="center"/>
          </w:tcPr>
          <w:p w14:paraId="4C2FD0D2">
            <w:pPr>
              <w:rPr>
                <w:rFonts w:ascii="宋体" w:hAnsi="宋体"/>
                <w:sz w:val="24"/>
              </w:rPr>
            </w:pPr>
          </w:p>
        </w:tc>
      </w:tr>
      <w:tr w14:paraId="18F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FC9B52">
            <w:pPr>
              <w:jc w:val="center"/>
              <w:rPr>
                <w:rFonts w:ascii="宋体" w:hAnsi="宋体"/>
                <w:sz w:val="24"/>
              </w:rPr>
            </w:pPr>
            <w:r>
              <w:rPr>
                <w:rFonts w:hint="eastAsia" w:ascii="宋体" w:hAnsi="宋体"/>
                <w:sz w:val="24"/>
              </w:rPr>
              <w:t>4</w:t>
            </w:r>
          </w:p>
        </w:tc>
        <w:tc>
          <w:tcPr>
            <w:tcW w:w="1080" w:type="dxa"/>
            <w:vAlign w:val="center"/>
          </w:tcPr>
          <w:p w14:paraId="78B24EF7">
            <w:pPr>
              <w:rPr>
                <w:rFonts w:ascii="宋体" w:hAnsi="宋体"/>
                <w:sz w:val="24"/>
              </w:rPr>
            </w:pPr>
          </w:p>
        </w:tc>
        <w:tc>
          <w:tcPr>
            <w:tcW w:w="3060" w:type="dxa"/>
            <w:vAlign w:val="center"/>
          </w:tcPr>
          <w:p w14:paraId="2749DABC">
            <w:pPr>
              <w:rPr>
                <w:rFonts w:ascii="宋体" w:hAnsi="宋体"/>
                <w:sz w:val="24"/>
              </w:rPr>
            </w:pPr>
          </w:p>
        </w:tc>
        <w:tc>
          <w:tcPr>
            <w:tcW w:w="3554" w:type="dxa"/>
            <w:vAlign w:val="center"/>
          </w:tcPr>
          <w:p w14:paraId="2CA099B7">
            <w:pPr>
              <w:rPr>
                <w:rFonts w:ascii="宋体" w:hAnsi="宋体"/>
                <w:sz w:val="24"/>
              </w:rPr>
            </w:pPr>
          </w:p>
        </w:tc>
      </w:tr>
      <w:tr w14:paraId="1B0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96E05">
            <w:pPr>
              <w:jc w:val="center"/>
              <w:rPr>
                <w:rFonts w:ascii="宋体" w:hAnsi="宋体"/>
                <w:sz w:val="24"/>
              </w:rPr>
            </w:pPr>
            <w:r>
              <w:rPr>
                <w:rFonts w:hint="eastAsia" w:ascii="宋体" w:hAnsi="宋体"/>
                <w:sz w:val="24"/>
              </w:rPr>
              <w:t>5</w:t>
            </w:r>
          </w:p>
        </w:tc>
        <w:tc>
          <w:tcPr>
            <w:tcW w:w="1080" w:type="dxa"/>
            <w:vAlign w:val="center"/>
          </w:tcPr>
          <w:p w14:paraId="133D5189">
            <w:pPr>
              <w:rPr>
                <w:rFonts w:ascii="宋体" w:hAnsi="宋体"/>
                <w:sz w:val="24"/>
              </w:rPr>
            </w:pPr>
          </w:p>
        </w:tc>
        <w:tc>
          <w:tcPr>
            <w:tcW w:w="3060" w:type="dxa"/>
            <w:vAlign w:val="center"/>
          </w:tcPr>
          <w:p w14:paraId="7BDC078A">
            <w:pPr>
              <w:rPr>
                <w:rFonts w:ascii="宋体" w:hAnsi="宋体"/>
                <w:sz w:val="24"/>
              </w:rPr>
            </w:pPr>
          </w:p>
        </w:tc>
        <w:tc>
          <w:tcPr>
            <w:tcW w:w="3554" w:type="dxa"/>
            <w:vAlign w:val="center"/>
          </w:tcPr>
          <w:p w14:paraId="41511AB9">
            <w:pPr>
              <w:rPr>
                <w:rFonts w:ascii="宋体" w:hAnsi="宋体"/>
                <w:sz w:val="24"/>
              </w:rPr>
            </w:pPr>
          </w:p>
        </w:tc>
      </w:tr>
      <w:tr w14:paraId="26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DC226">
            <w:pPr>
              <w:jc w:val="center"/>
              <w:rPr>
                <w:rFonts w:ascii="宋体" w:hAnsi="宋体"/>
                <w:sz w:val="24"/>
              </w:rPr>
            </w:pPr>
            <w:r>
              <w:rPr>
                <w:rFonts w:hint="eastAsia" w:ascii="宋体" w:hAnsi="宋体"/>
                <w:sz w:val="24"/>
              </w:rPr>
              <w:t>6</w:t>
            </w:r>
          </w:p>
        </w:tc>
        <w:tc>
          <w:tcPr>
            <w:tcW w:w="1080" w:type="dxa"/>
            <w:vAlign w:val="center"/>
          </w:tcPr>
          <w:p w14:paraId="73CEACBD">
            <w:pPr>
              <w:rPr>
                <w:rFonts w:ascii="宋体" w:hAnsi="宋体"/>
                <w:sz w:val="24"/>
              </w:rPr>
            </w:pPr>
          </w:p>
        </w:tc>
        <w:tc>
          <w:tcPr>
            <w:tcW w:w="3060" w:type="dxa"/>
            <w:vAlign w:val="center"/>
          </w:tcPr>
          <w:p w14:paraId="4FBAE60A">
            <w:pPr>
              <w:rPr>
                <w:rFonts w:ascii="宋体" w:hAnsi="宋体"/>
                <w:sz w:val="24"/>
              </w:rPr>
            </w:pPr>
          </w:p>
        </w:tc>
        <w:tc>
          <w:tcPr>
            <w:tcW w:w="3554" w:type="dxa"/>
            <w:vAlign w:val="center"/>
          </w:tcPr>
          <w:p w14:paraId="41F81B70">
            <w:pPr>
              <w:rPr>
                <w:rFonts w:ascii="宋体" w:hAnsi="宋体"/>
                <w:sz w:val="24"/>
              </w:rPr>
            </w:pPr>
          </w:p>
        </w:tc>
      </w:tr>
      <w:tr w14:paraId="2D1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A458AC">
            <w:pPr>
              <w:jc w:val="center"/>
              <w:rPr>
                <w:rFonts w:ascii="宋体" w:hAnsi="宋体"/>
                <w:sz w:val="24"/>
              </w:rPr>
            </w:pPr>
            <w:r>
              <w:rPr>
                <w:rFonts w:hint="eastAsia" w:ascii="宋体" w:hAnsi="宋体"/>
                <w:sz w:val="24"/>
              </w:rPr>
              <w:t>7</w:t>
            </w:r>
          </w:p>
        </w:tc>
        <w:tc>
          <w:tcPr>
            <w:tcW w:w="1080" w:type="dxa"/>
            <w:vAlign w:val="center"/>
          </w:tcPr>
          <w:p w14:paraId="00A27BCC">
            <w:pPr>
              <w:rPr>
                <w:rFonts w:ascii="宋体" w:hAnsi="宋体"/>
                <w:sz w:val="24"/>
              </w:rPr>
            </w:pPr>
          </w:p>
        </w:tc>
        <w:tc>
          <w:tcPr>
            <w:tcW w:w="3060" w:type="dxa"/>
            <w:vAlign w:val="center"/>
          </w:tcPr>
          <w:p w14:paraId="7CE7050C">
            <w:pPr>
              <w:rPr>
                <w:rFonts w:ascii="宋体" w:hAnsi="宋体"/>
                <w:sz w:val="24"/>
              </w:rPr>
            </w:pPr>
          </w:p>
        </w:tc>
        <w:tc>
          <w:tcPr>
            <w:tcW w:w="3554" w:type="dxa"/>
            <w:vAlign w:val="center"/>
          </w:tcPr>
          <w:p w14:paraId="453363E3">
            <w:pPr>
              <w:rPr>
                <w:rFonts w:ascii="宋体" w:hAnsi="宋体"/>
                <w:sz w:val="24"/>
              </w:rPr>
            </w:pPr>
          </w:p>
        </w:tc>
      </w:tr>
      <w:tr w14:paraId="379B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13F5C">
            <w:pPr>
              <w:jc w:val="center"/>
              <w:rPr>
                <w:rFonts w:ascii="宋体" w:hAnsi="宋体"/>
                <w:sz w:val="24"/>
              </w:rPr>
            </w:pPr>
            <w:r>
              <w:rPr>
                <w:rFonts w:hint="eastAsia" w:ascii="宋体" w:hAnsi="宋体"/>
                <w:sz w:val="24"/>
              </w:rPr>
              <w:t>8</w:t>
            </w:r>
          </w:p>
        </w:tc>
        <w:tc>
          <w:tcPr>
            <w:tcW w:w="1080" w:type="dxa"/>
            <w:vAlign w:val="center"/>
          </w:tcPr>
          <w:p w14:paraId="6A972994">
            <w:pPr>
              <w:rPr>
                <w:rFonts w:ascii="宋体" w:hAnsi="宋体"/>
                <w:sz w:val="24"/>
              </w:rPr>
            </w:pPr>
          </w:p>
        </w:tc>
        <w:tc>
          <w:tcPr>
            <w:tcW w:w="3060" w:type="dxa"/>
            <w:vAlign w:val="center"/>
          </w:tcPr>
          <w:p w14:paraId="3FBB8B7F">
            <w:pPr>
              <w:rPr>
                <w:rFonts w:ascii="宋体" w:hAnsi="宋体"/>
                <w:sz w:val="24"/>
              </w:rPr>
            </w:pPr>
          </w:p>
        </w:tc>
        <w:tc>
          <w:tcPr>
            <w:tcW w:w="3554" w:type="dxa"/>
            <w:vAlign w:val="center"/>
          </w:tcPr>
          <w:p w14:paraId="79FD1416">
            <w:pPr>
              <w:rPr>
                <w:rFonts w:ascii="宋体" w:hAnsi="宋体"/>
                <w:sz w:val="24"/>
              </w:rPr>
            </w:pPr>
          </w:p>
        </w:tc>
      </w:tr>
      <w:tr w14:paraId="25A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91F9DA">
            <w:pPr>
              <w:jc w:val="center"/>
              <w:rPr>
                <w:rFonts w:ascii="宋体" w:hAnsi="宋体"/>
                <w:sz w:val="24"/>
              </w:rPr>
            </w:pPr>
            <w:r>
              <w:rPr>
                <w:rFonts w:hint="eastAsia" w:ascii="宋体" w:hAnsi="宋体"/>
                <w:sz w:val="24"/>
              </w:rPr>
              <w:t>9</w:t>
            </w:r>
          </w:p>
        </w:tc>
        <w:tc>
          <w:tcPr>
            <w:tcW w:w="1080" w:type="dxa"/>
            <w:vAlign w:val="center"/>
          </w:tcPr>
          <w:p w14:paraId="36F89A25">
            <w:pPr>
              <w:rPr>
                <w:rFonts w:ascii="宋体" w:hAnsi="宋体"/>
                <w:sz w:val="24"/>
              </w:rPr>
            </w:pPr>
          </w:p>
        </w:tc>
        <w:tc>
          <w:tcPr>
            <w:tcW w:w="3060" w:type="dxa"/>
            <w:vAlign w:val="center"/>
          </w:tcPr>
          <w:p w14:paraId="19A64A5E">
            <w:pPr>
              <w:rPr>
                <w:rFonts w:ascii="宋体" w:hAnsi="宋体"/>
                <w:sz w:val="24"/>
              </w:rPr>
            </w:pPr>
          </w:p>
        </w:tc>
        <w:tc>
          <w:tcPr>
            <w:tcW w:w="3554" w:type="dxa"/>
            <w:vAlign w:val="center"/>
          </w:tcPr>
          <w:p w14:paraId="0725EF09">
            <w:pPr>
              <w:rPr>
                <w:rFonts w:ascii="宋体" w:hAnsi="宋体"/>
                <w:sz w:val="24"/>
              </w:rPr>
            </w:pPr>
          </w:p>
        </w:tc>
      </w:tr>
      <w:tr w14:paraId="007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C97529">
            <w:pPr>
              <w:jc w:val="center"/>
              <w:rPr>
                <w:rFonts w:ascii="宋体" w:hAnsi="宋体"/>
                <w:sz w:val="24"/>
              </w:rPr>
            </w:pPr>
            <w:r>
              <w:rPr>
                <w:rFonts w:hint="eastAsia" w:ascii="宋体" w:hAnsi="宋体"/>
                <w:sz w:val="24"/>
              </w:rPr>
              <w:t>10</w:t>
            </w:r>
          </w:p>
        </w:tc>
        <w:tc>
          <w:tcPr>
            <w:tcW w:w="1080" w:type="dxa"/>
            <w:vAlign w:val="center"/>
          </w:tcPr>
          <w:p w14:paraId="442A1958">
            <w:pPr>
              <w:rPr>
                <w:rFonts w:ascii="宋体" w:hAnsi="宋体"/>
                <w:sz w:val="24"/>
              </w:rPr>
            </w:pPr>
          </w:p>
        </w:tc>
        <w:tc>
          <w:tcPr>
            <w:tcW w:w="3060" w:type="dxa"/>
            <w:vAlign w:val="center"/>
          </w:tcPr>
          <w:p w14:paraId="2A663E6C">
            <w:pPr>
              <w:rPr>
                <w:rFonts w:ascii="宋体" w:hAnsi="宋体"/>
                <w:sz w:val="24"/>
              </w:rPr>
            </w:pPr>
          </w:p>
        </w:tc>
        <w:tc>
          <w:tcPr>
            <w:tcW w:w="3554" w:type="dxa"/>
            <w:vAlign w:val="center"/>
          </w:tcPr>
          <w:p w14:paraId="2F108909">
            <w:pPr>
              <w:rPr>
                <w:rFonts w:ascii="宋体" w:hAnsi="宋体"/>
                <w:sz w:val="24"/>
              </w:rPr>
            </w:pPr>
          </w:p>
        </w:tc>
      </w:tr>
    </w:tbl>
    <w:p w14:paraId="6794DDDE">
      <w:pPr>
        <w:rPr>
          <w:rFonts w:ascii="宋体" w:hAnsi="宋体"/>
          <w:sz w:val="24"/>
        </w:rPr>
      </w:pPr>
    </w:p>
    <w:p w14:paraId="44B2CD4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1F57B82">
      <w:pPr>
        <w:rPr>
          <w:rFonts w:ascii="宋体" w:hAnsi="宋体"/>
          <w:sz w:val="24"/>
        </w:rPr>
      </w:pPr>
    </w:p>
    <w:p w14:paraId="25A5C9F4">
      <w:pPr>
        <w:rPr>
          <w:rFonts w:ascii="宋体" w:hAnsi="宋体"/>
          <w:sz w:val="24"/>
        </w:rPr>
      </w:pPr>
    </w:p>
    <w:p w14:paraId="66B5F13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4CD79">
      <w:pPr>
        <w:rPr>
          <w:rFonts w:ascii="宋体" w:hAnsi="宋体"/>
          <w:sz w:val="24"/>
        </w:rPr>
      </w:pPr>
    </w:p>
    <w:bookmarkEnd w:id="4"/>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 xml:space="preserve">格式6 </w:t>
      </w:r>
    </w:p>
    <w:p w14:paraId="7367BF68">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77E0BBCA">
      <w:pPr>
        <w:pStyle w:val="6"/>
        <w:spacing w:line="360" w:lineRule="auto"/>
        <w:ind w:left="885"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6"/>
        <w:spacing w:line="360" w:lineRule="auto"/>
        <w:ind w:firstLine="240" w:firstLineChars="100"/>
        <w:rPr>
          <w:rFonts w:ascii="仿宋_GB2312" w:hAnsi="宋体" w:eastAsia="仿宋_GB2312"/>
          <w:sz w:val="24"/>
        </w:rPr>
      </w:pPr>
    </w:p>
    <w:p w14:paraId="69D1ED43">
      <w:pPr>
        <w:pStyle w:val="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6"/>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6"/>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4340EF27">
      <w:pPr>
        <w:rPr>
          <w:rFonts w:hint="eastAsia" w:eastAsia="黑体"/>
          <w:b/>
          <w:bCs/>
          <w:sz w:val="28"/>
        </w:rPr>
      </w:pPr>
    </w:p>
    <w:p w14:paraId="501718C3">
      <w:pPr>
        <w:rPr>
          <w:rFonts w:eastAsia="黑体"/>
          <w:b/>
          <w:bCs/>
          <w:sz w:val="28"/>
        </w:rPr>
      </w:pPr>
      <w:r>
        <w:rPr>
          <w:rFonts w:hint="eastAsia" w:eastAsia="黑体"/>
          <w:b/>
          <w:bCs/>
          <w:sz w:val="28"/>
        </w:rPr>
        <w:t>格式7</w:t>
      </w:r>
    </w:p>
    <w:p w14:paraId="1029FF00">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42C60B5C">
      <w:pPr>
        <w:pStyle w:val="6"/>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6"/>
        <w:spacing w:line="360" w:lineRule="auto"/>
        <w:rPr>
          <w:rFonts w:hAnsi="宋体"/>
          <w:b/>
          <w:sz w:val="24"/>
          <w:szCs w:val="24"/>
        </w:rPr>
      </w:pPr>
    </w:p>
    <w:p w14:paraId="79299EA5">
      <w:pPr>
        <w:pStyle w:val="6"/>
        <w:spacing w:line="360" w:lineRule="auto"/>
        <w:rPr>
          <w:rFonts w:hAnsi="宋体"/>
          <w:b/>
          <w:sz w:val="24"/>
          <w:szCs w:val="24"/>
        </w:rPr>
      </w:pPr>
    </w:p>
    <w:p w14:paraId="49CBE36B">
      <w:pPr>
        <w:pStyle w:val="6"/>
        <w:spacing w:line="360" w:lineRule="auto"/>
        <w:rPr>
          <w:rFonts w:hAnsi="宋体"/>
          <w:b/>
          <w:sz w:val="24"/>
          <w:szCs w:val="24"/>
        </w:rPr>
      </w:pPr>
    </w:p>
    <w:p w14:paraId="5194BA03">
      <w:pPr>
        <w:pStyle w:val="6"/>
        <w:spacing w:line="360" w:lineRule="auto"/>
        <w:rPr>
          <w:rFonts w:hAnsi="宋体"/>
          <w:b/>
          <w:sz w:val="24"/>
          <w:szCs w:val="24"/>
        </w:rPr>
      </w:pPr>
    </w:p>
    <w:p w14:paraId="51F7DE64">
      <w:pPr>
        <w:pStyle w:val="6"/>
        <w:spacing w:line="360" w:lineRule="auto"/>
        <w:rPr>
          <w:rFonts w:hAnsi="宋体"/>
          <w:b/>
          <w:sz w:val="24"/>
          <w:szCs w:val="24"/>
        </w:rPr>
      </w:pPr>
    </w:p>
    <w:p w14:paraId="0C6BDD1D">
      <w:pPr>
        <w:rPr>
          <w:rFonts w:hint="eastAsia" w:eastAsia="黑体"/>
          <w:b/>
          <w:bCs/>
          <w:sz w:val="28"/>
        </w:rPr>
      </w:pPr>
    </w:p>
    <w:p w14:paraId="4AF4DA11">
      <w:pPr>
        <w:rPr>
          <w:rFonts w:eastAsia="黑体"/>
          <w:b/>
          <w:bCs/>
          <w:sz w:val="28"/>
        </w:rPr>
      </w:pPr>
      <w:r>
        <w:rPr>
          <w:rFonts w:hint="eastAsia" w:eastAsia="黑体"/>
          <w:b/>
          <w:bCs/>
          <w:sz w:val="28"/>
        </w:rPr>
        <w:t>格式8</w:t>
      </w:r>
    </w:p>
    <w:p w14:paraId="0817C7B0">
      <w:pPr>
        <w:rPr>
          <w:rFonts w:ascii="宋体" w:hAnsi="宋体"/>
        </w:rPr>
      </w:pPr>
      <w:r>
        <w:rPr>
          <w:rFonts w:hint="eastAsia" w:ascii="宋体" w:hAnsi="宋体"/>
        </w:rPr>
        <w:t>项目名称：</w:t>
      </w:r>
      <w:r>
        <w:rPr>
          <w:rFonts w:hint="eastAsia"/>
          <w:lang w:val="en-US" w:eastAsia="zh-CN"/>
        </w:rPr>
        <w:t>济南发动机厂</w:t>
      </w:r>
      <w:r>
        <w:rPr>
          <w:rFonts w:hint="eastAsia"/>
        </w:rPr>
        <w:t>VOC</w:t>
      </w:r>
      <w:r>
        <w:rPr>
          <w:rFonts w:hint="eastAsia"/>
          <w:lang w:val="en-US" w:eastAsia="zh-CN"/>
        </w:rPr>
        <w:t>s</w:t>
      </w:r>
      <w:r>
        <w:rPr>
          <w:rFonts w:hint="eastAsia"/>
        </w:rPr>
        <w:t>废气处理设备外委运维项目</w:t>
      </w:r>
    </w:p>
    <w:p w14:paraId="7E4A4DB5">
      <w:pPr>
        <w:pStyle w:val="6"/>
        <w:spacing w:line="360" w:lineRule="auto"/>
        <w:ind w:left="885"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F85090">
            <w:pPr>
              <w:pStyle w:val="6"/>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6"/>
              <w:spacing w:line="360" w:lineRule="auto"/>
            </w:pPr>
            <w:r>
              <w:rPr>
                <w:rFonts w:hint="eastAsia"/>
              </w:rPr>
              <w:t>开户银行：</w:t>
            </w:r>
          </w:p>
        </w:tc>
      </w:tr>
      <w:tr w14:paraId="716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2272CB">
            <w:pPr>
              <w:pStyle w:val="6"/>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6"/>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6"/>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6"/>
              <w:spacing w:line="360" w:lineRule="auto"/>
            </w:pPr>
            <w:r>
              <w:rPr>
                <w:rFonts w:hint="eastAsia"/>
              </w:rPr>
              <w:t>纳税人识别号：</w:t>
            </w:r>
          </w:p>
        </w:tc>
      </w:tr>
    </w:tbl>
    <w:p w14:paraId="7CAD32F2">
      <w:pPr>
        <w:pStyle w:val="6"/>
        <w:spacing w:line="360" w:lineRule="auto"/>
        <w:ind w:firstLine="240" w:firstLineChars="100"/>
        <w:rPr>
          <w:rFonts w:ascii="仿宋_GB2312" w:hAnsi="宋体" w:eastAsia="仿宋_GB2312"/>
          <w:color w:val="000000"/>
          <w:sz w:val="24"/>
        </w:rPr>
      </w:pPr>
    </w:p>
    <w:p w14:paraId="7F856A90">
      <w:pPr>
        <w:pStyle w:val="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6"/>
        <w:spacing w:line="360" w:lineRule="auto"/>
        <w:rPr>
          <w:rFonts w:hAnsi="宋体"/>
          <w:b/>
          <w:sz w:val="24"/>
          <w:szCs w:val="24"/>
        </w:rPr>
      </w:pPr>
    </w:p>
    <w:p w14:paraId="2673C8A5">
      <w:pPr>
        <w:pStyle w:val="6"/>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eastAsia="黑体"/>
          <w:b/>
          <w:bCs/>
          <w:sz w:val="28"/>
        </w:rPr>
      </w:pPr>
      <w:r>
        <w:rPr>
          <w:rFonts w:hint="eastAsia" w:eastAsia="黑体"/>
          <w:b/>
          <w:bCs/>
          <w:sz w:val="28"/>
        </w:rPr>
        <w:t>格式9</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eastAsia="黑体"/>
          <w:b/>
          <w:bCs/>
          <w:sz w:val="28"/>
        </w:rPr>
      </w:pPr>
      <w:r>
        <w:rPr>
          <w:rFonts w:hint="eastAsia" w:eastAsia="黑体"/>
          <w:b/>
          <w:bCs/>
          <w:sz w:val="28"/>
        </w:rPr>
        <w:t>格式10</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6"/>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6"/>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7"/>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eastAsia="黑体"/>
          <w:b/>
          <w:bCs/>
          <w:sz w:val="28"/>
        </w:rPr>
      </w:pPr>
      <w:r>
        <w:rPr>
          <w:rFonts w:hint="eastAsia" w:eastAsia="黑体"/>
          <w:b/>
          <w:bCs/>
          <w:sz w:val="28"/>
        </w:rPr>
        <w:t>格式12</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8"/>
        </w:numPr>
        <w:spacing w:line="360" w:lineRule="auto"/>
        <w:rPr>
          <w:rFonts w:ascii="宋体" w:hAnsi="宋体"/>
          <w:sz w:val="24"/>
        </w:rPr>
      </w:pPr>
      <w:r>
        <w:rPr>
          <w:rFonts w:hint="eastAsia" w:ascii="宋体" w:hAnsi="宋体"/>
          <w:sz w:val="24"/>
        </w:rPr>
        <w:t>我单位针对本项目提供的其他质量承诺。</w:t>
      </w:r>
    </w:p>
    <w:p w14:paraId="7D537848">
      <w:pPr>
        <w:spacing w:line="360" w:lineRule="auto"/>
        <w:ind w:left="480"/>
        <w:rPr>
          <w:rFonts w:ascii="宋体" w:hAnsi="宋体"/>
          <w:sz w:val="24"/>
        </w:rPr>
      </w:pPr>
    </w:p>
    <w:p w14:paraId="07F86707">
      <w:pPr>
        <w:spacing w:line="360" w:lineRule="auto"/>
        <w:ind w:firstLine="4320" w:firstLineChars="1800"/>
        <w:rPr>
          <w:rFonts w:ascii="宋体" w:hAnsi="宋体"/>
          <w:sz w:val="24"/>
        </w:rPr>
      </w:pPr>
      <w:r>
        <w:rPr>
          <w:rFonts w:hint="eastAsia" w:ascii="宋体" w:hAnsi="宋体"/>
          <w:sz w:val="24"/>
        </w:rPr>
        <w:t xml:space="preserve">投标人名称（公章）： </w:t>
      </w:r>
    </w:p>
    <w:p w14:paraId="6BD369F4">
      <w:pPr>
        <w:spacing w:line="360" w:lineRule="auto"/>
        <w:ind w:left="480"/>
        <w:jc w:val="left"/>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法定代表人或授权代理人签字：                </w:t>
      </w:r>
    </w:p>
    <w:p w14:paraId="40CEA6F3">
      <w:pPr>
        <w:spacing w:line="360" w:lineRule="auto"/>
        <w:ind w:left="480" w:firstLine="5040" w:firstLineChars="2100"/>
        <w:jc w:val="left"/>
        <w:rPr>
          <w:rFonts w:ascii="宋体" w:hAnsi="宋体"/>
          <w:sz w:val="24"/>
        </w:rPr>
      </w:pPr>
      <w:r>
        <w:rPr>
          <w:rFonts w:hint="eastAsia" w:ascii="宋体" w:hAnsi="宋体"/>
          <w:sz w:val="24"/>
        </w:rPr>
        <w:t>日    期：</w:t>
      </w:r>
    </w:p>
    <w:p w14:paraId="65711A4D">
      <w:pPr>
        <w:rPr>
          <w:rFonts w:ascii="宋体" w:hAnsi="宋体"/>
          <w:sz w:val="24"/>
        </w:rPr>
      </w:pPr>
      <w:r>
        <w:rPr>
          <w:rFonts w:hint="eastAsia" w:ascii="宋体" w:hAnsi="宋体"/>
          <w:sz w:val="24"/>
        </w:rPr>
        <w:br w:type="page"/>
      </w:r>
    </w:p>
    <w:p w14:paraId="229A285F">
      <w:pPr>
        <w:pStyle w:val="2"/>
        <w:bidi w:val="0"/>
        <w:jc w:val="center"/>
        <w:rPr>
          <w:rFonts w:hint="eastAsia" w:eastAsia="黑体"/>
          <w:lang w:eastAsia="zh-CN"/>
        </w:rPr>
      </w:pPr>
      <w:bookmarkStart w:id="5" w:name="_Toc27766"/>
      <w:r>
        <w:rPr>
          <w:rFonts w:hint="eastAsia"/>
        </w:rPr>
        <w:t xml:space="preserve">第三章  </w:t>
      </w:r>
      <w:r>
        <w:t>技术</w:t>
      </w:r>
      <w:bookmarkEnd w:id="5"/>
      <w:r>
        <w:rPr>
          <w:rFonts w:hint="eastAsia"/>
          <w:lang w:val="en-US" w:eastAsia="zh-CN"/>
        </w:rPr>
        <w:t>要求</w:t>
      </w:r>
    </w:p>
    <w:p w14:paraId="4F7BF660">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黑体" w:hAnsi="宋体" w:eastAsia="黑体" w:cs="Times New Roman"/>
          <w:b/>
          <w:bCs/>
          <w:sz w:val="28"/>
          <w:szCs w:val="28"/>
        </w:rPr>
      </w:pPr>
      <w:r>
        <w:rPr>
          <w:rFonts w:hint="eastAsia" w:ascii="黑体" w:hAnsi="宋体" w:eastAsia="黑体" w:cs="Times New Roman"/>
          <w:b/>
          <w:bCs/>
          <w:sz w:val="28"/>
          <w:szCs w:val="28"/>
          <w:lang w:val="en-US" w:eastAsia="zh-CN"/>
        </w:rPr>
        <w:t>1、</w:t>
      </w:r>
      <w:r>
        <w:rPr>
          <w:rFonts w:hint="eastAsia" w:ascii="黑体" w:hAnsi="宋体" w:eastAsia="黑体" w:cs="Times New Roman"/>
          <w:b/>
          <w:bCs/>
          <w:sz w:val="28"/>
          <w:szCs w:val="28"/>
        </w:rPr>
        <w:t>项目范围</w:t>
      </w:r>
    </w:p>
    <w:tbl>
      <w:tblPr>
        <w:tblStyle w:val="12"/>
        <w:tblW w:w="89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9"/>
        <w:gridCol w:w="2004"/>
        <w:gridCol w:w="1860"/>
        <w:gridCol w:w="687"/>
        <w:gridCol w:w="749"/>
        <w:gridCol w:w="1417"/>
        <w:gridCol w:w="1150"/>
      </w:tblGrid>
      <w:tr w14:paraId="3CCAA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59" w:type="dxa"/>
            <w:tcBorders>
              <w:top w:val="single" w:color="000000" w:sz="8" w:space="0"/>
              <w:left w:val="single" w:color="000000" w:sz="8" w:space="0"/>
              <w:bottom w:val="single" w:color="000000" w:sz="8" w:space="0"/>
              <w:right w:val="single" w:color="000000" w:sz="8" w:space="0"/>
            </w:tcBorders>
            <w:noWrap w:val="0"/>
            <w:vAlign w:val="center"/>
          </w:tcPr>
          <w:p w14:paraId="52F40CA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2004" w:type="dxa"/>
            <w:tcBorders>
              <w:top w:val="single" w:color="000000" w:sz="8" w:space="0"/>
              <w:left w:val="nil"/>
              <w:bottom w:val="single" w:color="000000" w:sz="8" w:space="0"/>
              <w:right w:val="single" w:color="000000" w:sz="8" w:space="0"/>
            </w:tcBorders>
            <w:noWrap w:val="0"/>
            <w:vAlign w:val="center"/>
          </w:tcPr>
          <w:p w14:paraId="4B933D6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地点</w:t>
            </w:r>
          </w:p>
        </w:tc>
        <w:tc>
          <w:tcPr>
            <w:tcW w:w="1860" w:type="dxa"/>
            <w:tcBorders>
              <w:top w:val="single" w:color="000000" w:sz="8" w:space="0"/>
              <w:left w:val="nil"/>
              <w:bottom w:val="single" w:color="000000" w:sz="8" w:space="0"/>
              <w:right w:val="single" w:color="000000" w:sz="8" w:space="0"/>
            </w:tcBorders>
            <w:noWrap w:val="0"/>
            <w:vAlign w:val="center"/>
          </w:tcPr>
          <w:p w14:paraId="69DE114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工艺方式</w:t>
            </w:r>
          </w:p>
        </w:tc>
        <w:tc>
          <w:tcPr>
            <w:tcW w:w="687" w:type="dxa"/>
            <w:tcBorders>
              <w:top w:val="single" w:color="000000" w:sz="8" w:space="0"/>
              <w:left w:val="nil"/>
              <w:bottom w:val="single" w:color="000000" w:sz="8" w:space="0"/>
              <w:right w:val="single" w:color="000000" w:sz="8" w:space="0"/>
            </w:tcBorders>
            <w:noWrap w:val="0"/>
            <w:vAlign w:val="center"/>
          </w:tcPr>
          <w:p w14:paraId="244F179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49" w:type="dxa"/>
            <w:tcBorders>
              <w:top w:val="single" w:color="000000" w:sz="8" w:space="0"/>
              <w:left w:val="nil"/>
              <w:bottom w:val="single" w:color="000000" w:sz="8" w:space="0"/>
              <w:right w:val="single" w:color="000000" w:sz="8" w:space="0"/>
            </w:tcBorders>
            <w:noWrap w:val="0"/>
            <w:vAlign w:val="center"/>
          </w:tcPr>
          <w:p w14:paraId="393652B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417" w:type="dxa"/>
            <w:tcBorders>
              <w:top w:val="single" w:color="000000" w:sz="8" w:space="0"/>
              <w:left w:val="nil"/>
              <w:bottom w:val="single" w:color="000000" w:sz="8" w:space="0"/>
              <w:right w:val="single" w:color="000000" w:sz="8" w:space="0"/>
            </w:tcBorders>
            <w:noWrap w:val="0"/>
            <w:vAlign w:val="center"/>
          </w:tcPr>
          <w:p w14:paraId="52F4EC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运维周期</w:t>
            </w:r>
          </w:p>
        </w:tc>
        <w:tc>
          <w:tcPr>
            <w:tcW w:w="1150" w:type="dxa"/>
            <w:tcBorders>
              <w:top w:val="single" w:color="000000" w:sz="8" w:space="0"/>
              <w:left w:val="nil"/>
              <w:bottom w:val="single" w:color="000000" w:sz="8" w:space="0"/>
              <w:right w:val="single" w:color="000000" w:sz="8" w:space="0"/>
            </w:tcBorders>
            <w:noWrap w:val="0"/>
            <w:vAlign w:val="center"/>
          </w:tcPr>
          <w:p w14:paraId="33131EF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4B887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59" w:type="dxa"/>
            <w:tcBorders>
              <w:top w:val="nil"/>
              <w:left w:val="single" w:color="000000" w:sz="8" w:space="0"/>
              <w:bottom w:val="single" w:color="000000" w:sz="8" w:space="0"/>
              <w:right w:val="single" w:color="000000" w:sz="8" w:space="0"/>
            </w:tcBorders>
            <w:noWrap w:val="0"/>
            <w:vAlign w:val="center"/>
          </w:tcPr>
          <w:p w14:paraId="12A8F1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济南发动机厂</w:t>
            </w:r>
          </w:p>
        </w:tc>
        <w:tc>
          <w:tcPr>
            <w:tcW w:w="2004" w:type="dxa"/>
            <w:tcBorders>
              <w:top w:val="nil"/>
              <w:left w:val="nil"/>
              <w:bottom w:val="single" w:color="000000" w:sz="8" w:space="0"/>
              <w:right w:val="single" w:color="000000" w:sz="8" w:space="0"/>
            </w:tcBorders>
            <w:noWrap w:val="0"/>
            <w:vAlign w:val="center"/>
          </w:tcPr>
          <w:p w14:paraId="198C9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装调部-调涂二车间</w:t>
            </w:r>
          </w:p>
        </w:tc>
        <w:tc>
          <w:tcPr>
            <w:tcW w:w="1860" w:type="dxa"/>
            <w:tcBorders>
              <w:top w:val="nil"/>
              <w:left w:val="nil"/>
              <w:bottom w:val="single" w:color="000000" w:sz="8" w:space="0"/>
              <w:right w:val="single" w:color="000000" w:sz="8" w:space="0"/>
            </w:tcBorders>
            <w:noWrap w:val="0"/>
            <w:vAlign w:val="center"/>
          </w:tcPr>
          <w:p w14:paraId="55CD3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预处理+活性炭吸附+催化燃烧</w:t>
            </w:r>
          </w:p>
        </w:tc>
        <w:tc>
          <w:tcPr>
            <w:tcW w:w="687" w:type="dxa"/>
            <w:tcBorders>
              <w:top w:val="nil"/>
              <w:left w:val="nil"/>
              <w:bottom w:val="single" w:color="000000" w:sz="8" w:space="0"/>
              <w:right w:val="single" w:color="000000" w:sz="8" w:space="0"/>
            </w:tcBorders>
            <w:noWrap w:val="0"/>
            <w:vAlign w:val="center"/>
          </w:tcPr>
          <w:p w14:paraId="3A6F8D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49" w:type="dxa"/>
            <w:tcBorders>
              <w:top w:val="nil"/>
              <w:left w:val="nil"/>
              <w:bottom w:val="single" w:color="000000" w:sz="8" w:space="0"/>
              <w:right w:val="single" w:color="000000" w:sz="8" w:space="0"/>
            </w:tcBorders>
            <w:noWrap w:val="0"/>
            <w:vAlign w:val="center"/>
          </w:tcPr>
          <w:p w14:paraId="013FE6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17" w:type="dxa"/>
            <w:tcBorders>
              <w:top w:val="nil"/>
              <w:left w:val="nil"/>
              <w:bottom w:val="single" w:color="000000" w:sz="8" w:space="0"/>
              <w:right w:val="single" w:color="000000" w:sz="8" w:space="0"/>
            </w:tcBorders>
            <w:noWrap w:val="0"/>
            <w:vAlign w:val="center"/>
          </w:tcPr>
          <w:p w14:paraId="11B06E5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2026.3.1- 2027.2.28</w:t>
            </w:r>
          </w:p>
        </w:tc>
        <w:tc>
          <w:tcPr>
            <w:tcW w:w="1150" w:type="dxa"/>
            <w:tcBorders>
              <w:top w:val="nil"/>
              <w:left w:val="nil"/>
              <w:bottom w:val="single" w:color="000000" w:sz="8" w:space="0"/>
              <w:right w:val="single" w:color="000000" w:sz="8" w:space="0"/>
            </w:tcBorders>
            <w:noWrap w:val="0"/>
            <w:vAlign w:val="center"/>
          </w:tcPr>
          <w:p w14:paraId="1B82EB00">
            <w:pPr>
              <w:rPr>
                <w:rFonts w:hint="eastAsia" w:ascii="宋体" w:hAnsi="宋体" w:eastAsia="宋体" w:cs="宋体"/>
                <w:i w:val="0"/>
                <w:iCs w:val="0"/>
                <w:color w:val="000000"/>
                <w:sz w:val="22"/>
                <w:szCs w:val="22"/>
                <w:u w:val="none"/>
              </w:rPr>
            </w:pPr>
          </w:p>
        </w:tc>
      </w:tr>
    </w:tbl>
    <w:p w14:paraId="3C3DEBE7">
      <w:pPr>
        <w:spacing w:line="480" w:lineRule="exact"/>
        <w:jc w:val="left"/>
        <w:rPr>
          <w:rFonts w:hint="default" w:ascii="宋体" w:hAnsi="宋体"/>
          <w:b w:val="0"/>
          <w:bCs w:val="0"/>
          <w:lang w:val="en-US" w:eastAsia="zh-CN"/>
        </w:rPr>
      </w:pPr>
      <w:r>
        <w:rPr>
          <w:rFonts w:hint="eastAsia" w:ascii="宋体" w:hAnsi="宋体"/>
          <w:b w:val="0"/>
          <w:bCs w:val="0"/>
          <w:lang w:val="en-US" w:eastAsia="zh-CN"/>
        </w:rPr>
        <w:t>备注：具体运维日期以合同签订日期为准。</w:t>
      </w:r>
    </w:p>
    <w:p w14:paraId="5276A2BB">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2、基本要求</w:t>
      </w:r>
    </w:p>
    <w:p w14:paraId="70403044">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eastAsia="zh-CN"/>
        </w:rPr>
        <w:t>投标</w:t>
      </w:r>
      <w:r>
        <w:rPr>
          <w:rFonts w:hint="eastAsia" w:ascii="宋体" w:hAnsi="宋体" w:eastAsia="宋体" w:cs="宋体"/>
          <w:sz w:val="24"/>
          <w:szCs w:val="24"/>
        </w:rPr>
        <w:t>方所供项目标的，必须符合中国最新版的法律、法规和相关标准、规范的要求，符合项目所在地政府有关特殊要求；</w:t>
      </w:r>
    </w:p>
    <w:p w14:paraId="62B7AF14">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eastAsia="zh-CN"/>
        </w:rPr>
        <w:t>投标方</w:t>
      </w:r>
      <w:r>
        <w:rPr>
          <w:rFonts w:hint="eastAsia" w:ascii="宋体" w:hAnsi="宋体" w:eastAsia="宋体" w:cs="宋体"/>
          <w:sz w:val="24"/>
          <w:szCs w:val="24"/>
        </w:rPr>
        <w:t>应对委托方提出的各项技术要求同意进行技术（担保）承诺，并保证委托方不因此受到任何侵权指控和实际损失；</w:t>
      </w:r>
    </w:p>
    <w:p w14:paraId="45A385E6">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3、</w:t>
      </w:r>
      <w:r>
        <w:rPr>
          <w:rFonts w:hint="eastAsia" w:ascii="宋体" w:hAnsi="宋体" w:eastAsia="宋体" w:cs="宋体"/>
          <w:sz w:val="24"/>
          <w:szCs w:val="24"/>
          <w:lang w:eastAsia="zh-CN"/>
        </w:rPr>
        <w:t>投标方</w:t>
      </w:r>
      <w:r>
        <w:rPr>
          <w:rFonts w:hint="eastAsia" w:ascii="宋体" w:hAnsi="宋体" w:eastAsia="宋体" w:cs="宋体"/>
          <w:sz w:val="24"/>
          <w:szCs w:val="24"/>
        </w:rPr>
        <w:t>应保证所供服务或技术的先进性、可靠性、经济性和实用性；</w:t>
      </w:r>
    </w:p>
    <w:p w14:paraId="06DB21B7">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u w:val="none"/>
        </w:rPr>
        <w:t>招标方提供的</w:t>
      </w:r>
      <w:r>
        <w:rPr>
          <w:rFonts w:hint="eastAsia" w:ascii="宋体" w:hAnsi="宋体" w:eastAsia="宋体" w:cs="宋体"/>
          <w:color w:val="auto"/>
          <w:sz w:val="24"/>
          <w:szCs w:val="24"/>
          <w:u w:val="none"/>
          <w:lang w:val="en-US" w:eastAsia="zh-CN"/>
        </w:rPr>
        <w:t>现行运维</w:t>
      </w:r>
      <w:r>
        <w:rPr>
          <w:rFonts w:hint="eastAsia" w:ascii="宋体" w:hAnsi="宋体" w:eastAsia="宋体" w:cs="宋体"/>
          <w:color w:val="auto"/>
          <w:sz w:val="24"/>
          <w:szCs w:val="24"/>
          <w:u w:val="none"/>
        </w:rPr>
        <w:t>数据仅供参考，实际数据请投标方实地查勘；</w:t>
      </w:r>
    </w:p>
    <w:p w14:paraId="63490CF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color w:val="auto"/>
          <w:sz w:val="24"/>
          <w:szCs w:val="24"/>
          <w:u w:val="none"/>
          <w:lang w:val="en-US" w:eastAsia="zh-CN"/>
        </w:rPr>
        <w:t xml:space="preserve">   2.5</w:t>
      </w:r>
      <w:r>
        <w:rPr>
          <w:rFonts w:hint="eastAsia" w:ascii="宋体" w:hAnsi="宋体" w:eastAsia="宋体" w:cs="宋体"/>
          <w:color w:val="auto"/>
          <w:sz w:val="24"/>
          <w:szCs w:val="24"/>
          <w:lang w:val="en-US" w:eastAsia="zh-CN"/>
        </w:rPr>
        <w:t>、</w:t>
      </w:r>
      <w:r>
        <w:rPr>
          <w:rFonts w:hint="eastAsia" w:ascii="宋体" w:hAnsi="宋体" w:eastAsia="宋体" w:cs="宋体"/>
          <w:b w:val="0"/>
          <w:bCs/>
          <w:color w:val="auto"/>
          <w:sz w:val="24"/>
          <w:szCs w:val="24"/>
          <w:lang w:val="en-US" w:eastAsia="zh-CN"/>
        </w:rPr>
        <w:t>投标方应清晰该设备的</w:t>
      </w:r>
      <w:r>
        <w:rPr>
          <w:rFonts w:hint="eastAsia" w:ascii="宋体" w:hAnsi="宋体" w:eastAsia="宋体" w:cs="宋体"/>
          <w:b w:val="0"/>
          <w:bCs/>
          <w:color w:val="auto"/>
          <w:sz w:val="24"/>
          <w:szCs w:val="24"/>
        </w:rPr>
        <w:t>前处理系统</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活性炭系统、催化燃烧系统等的组成、</w:t>
      </w:r>
      <w:r>
        <w:rPr>
          <w:rFonts w:hint="eastAsia" w:ascii="宋体" w:hAnsi="宋体" w:eastAsia="宋体" w:cs="宋体"/>
          <w:b w:val="0"/>
          <w:bCs/>
          <w:color w:val="auto"/>
          <w:sz w:val="24"/>
          <w:szCs w:val="24"/>
        </w:rPr>
        <w:t>工作原理及基本结构</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要清晰</w:t>
      </w:r>
      <w:r>
        <w:rPr>
          <w:rFonts w:hint="eastAsia" w:ascii="宋体" w:hAnsi="宋体" w:eastAsia="宋体" w:cs="宋体"/>
          <w:b w:val="0"/>
          <w:bCs/>
          <w:color w:val="auto"/>
          <w:sz w:val="24"/>
          <w:szCs w:val="24"/>
        </w:rPr>
        <w:t>治理装置主要设备流程</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包括</w:t>
      </w:r>
      <w:r>
        <w:rPr>
          <w:rFonts w:hint="eastAsia" w:ascii="宋体" w:hAnsi="宋体" w:eastAsia="宋体" w:cs="宋体"/>
          <w:b w:val="0"/>
          <w:bCs/>
          <w:color w:val="auto"/>
          <w:sz w:val="24"/>
          <w:szCs w:val="24"/>
        </w:rPr>
        <w:t>过滤系统</w:t>
      </w:r>
      <w:r>
        <w:rPr>
          <w:rFonts w:hint="eastAsia" w:ascii="宋体" w:hAnsi="宋体" w:eastAsia="宋体" w:cs="宋体"/>
          <w:b w:val="0"/>
          <w:bCs/>
          <w:color w:val="auto"/>
          <w:sz w:val="24"/>
          <w:szCs w:val="24"/>
          <w:lang w:val="en-US" w:eastAsia="zh-CN"/>
        </w:rPr>
        <w:t>维保标准</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脱附废气预热系统</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废气</w:t>
      </w:r>
      <w:r>
        <w:rPr>
          <w:rFonts w:hint="eastAsia" w:ascii="宋体" w:hAnsi="宋体" w:eastAsia="宋体" w:cs="宋体"/>
          <w:b w:val="0"/>
          <w:bCs/>
          <w:color w:val="auto"/>
          <w:sz w:val="24"/>
          <w:szCs w:val="24"/>
          <w:lang w:val="en-US" w:eastAsia="zh-CN"/>
        </w:rPr>
        <w:t>催化燃烧</w:t>
      </w:r>
      <w:r>
        <w:rPr>
          <w:rFonts w:hint="eastAsia" w:ascii="宋体" w:hAnsi="宋体" w:eastAsia="宋体" w:cs="宋体"/>
          <w:b w:val="0"/>
          <w:bCs/>
          <w:color w:val="auto"/>
          <w:sz w:val="24"/>
          <w:szCs w:val="24"/>
        </w:rPr>
        <w:t>系统</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变频风机</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连接风管</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治理装置控制系统</w:t>
      </w:r>
      <w:r>
        <w:rPr>
          <w:rFonts w:hint="eastAsia" w:ascii="宋体" w:hAnsi="宋体" w:eastAsia="宋体" w:cs="宋体"/>
          <w:b w:val="0"/>
          <w:bCs/>
          <w:color w:val="auto"/>
          <w:sz w:val="24"/>
          <w:szCs w:val="24"/>
          <w:lang w:val="en-US" w:eastAsia="zh-CN"/>
        </w:rPr>
        <w:t>等的维保指标等。</w:t>
      </w:r>
    </w:p>
    <w:p w14:paraId="2230863E">
      <w:pPr>
        <w:keepNext w:val="0"/>
        <w:keepLines w:val="0"/>
        <w:pageBreakBefore w:val="0"/>
        <w:widowControl w:val="0"/>
        <w:kinsoku/>
        <w:wordWrap/>
        <w:overflowPunct/>
        <w:topLinePunct w:val="0"/>
        <w:autoSpaceDE/>
        <w:autoSpaceDN/>
        <w:bidi w:val="0"/>
        <w:spacing w:line="360" w:lineRule="auto"/>
        <w:ind w:firstLine="240" w:firstLineChars="1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2.6、</w:t>
      </w:r>
      <w:r>
        <w:rPr>
          <w:rFonts w:hint="eastAsia" w:ascii="宋体" w:hAnsi="宋体" w:eastAsia="宋体" w:cs="宋体"/>
          <w:color w:val="auto"/>
          <w:sz w:val="24"/>
          <w:szCs w:val="24"/>
        </w:rPr>
        <w:t xml:space="preserve"> 投标单位投标时，须对招标方现有</w:t>
      </w:r>
      <w:r>
        <w:rPr>
          <w:rFonts w:hint="eastAsia" w:ascii="宋体" w:hAnsi="宋体" w:eastAsia="宋体" w:cs="宋体"/>
          <w:color w:val="auto"/>
          <w:sz w:val="24"/>
          <w:szCs w:val="24"/>
          <w:lang w:val="en-US" w:eastAsia="zh-CN"/>
        </w:rPr>
        <w:t>处理设施的</w:t>
      </w:r>
      <w:r>
        <w:rPr>
          <w:rFonts w:hint="eastAsia" w:ascii="宋体" w:hAnsi="宋体" w:eastAsia="宋体" w:cs="宋体"/>
          <w:color w:val="auto"/>
          <w:sz w:val="24"/>
          <w:szCs w:val="24"/>
        </w:rPr>
        <w:t>VOC浓度，废气排放系统进行详细核算，并提供</w:t>
      </w:r>
      <w:r>
        <w:rPr>
          <w:rFonts w:hint="eastAsia" w:ascii="宋体" w:hAnsi="宋体" w:eastAsia="宋体" w:cs="宋体"/>
          <w:color w:val="auto"/>
          <w:sz w:val="24"/>
          <w:szCs w:val="24"/>
          <w:lang w:val="en-US" w:eastAsia="zh-CN"/>
        </w:rPr>
        <w:t>维保技术</w:t>
      </w:r>
      <w:r>
        <w:rPr>
          <w:rFonts w:hint="eastAsia" w:ascii="宋体" w:hAnsi="宋体" w:eastAsia="宋体" w:cs="宋体"/>
          <w:color w:val="auto"/>
          <w:sz w:val="24"/>
          <w:szCs w:val="24"/>
        </w:rPr>
        <w:t>方案</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包含</w:t>
      </w:r>
      <w:r>
        <w:rPr>
          <w:rFonts w:hint="eastAsia" w:ascii="宋体" w:hAnsi="宋体" w:eastAsia="宋体" w:cs="宋体"/>
          <w:color w:val="auto"/>
          <w:sz w:val="24"/>
          <w:szCs w:val="24"/>
          <w:lang w:val="en-US" w:eastAsia="zh-CN"/>
        </w:rPr>
        <w:t>人员配置表</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联系人员、电话</w:t>
      </w:r>
      <w:r>
        <w:rPr>
          <w:rFonts w:hint="eastAsia" w:ascii="宋体" w:hAnsi="宋体" w:eastAsia="宋体" w:cs="宋体"/>
          <w:color w:val="auto"/>
          <w:sz w:val="24"/>
          <w:szCs w:val="24"/>
        </w:rPr>
        <w:t>明细表、其它相关技术说明等</w:t>
      </w:r>
      <w:r>
        <w:rPr>
          <w:rFonts w:hint="eastAsia" w:ascii="宋体" w:hAnsi="宋体" w:eastAsia="宋体" w:cs="宋体"/>
          <w:color w:val="auto"/>
          <w:sz w:val="24"/>
          <w:szCs w:val="24"/>
          <w:lang w:eastAsia="zh-CN"/>
        </w:rPr>
        <w:t>。</w:t>
      </w:r>
    </w:p>
    <w:p w14:paraId="366285BA">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3、执行标准</w:t>
      </w:r>
    </w:p>
    <w:tbl>
      <w:tblPr>
        <w:tblStyle w:val="12"/>
        <w:tblW w:w="89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7"/>
        <w:gridCol w:w="4830"/>
        <w:gridCol w:w="3330"/>
      </w:tblGrid>
      <w:tr w14:paraId="28BB4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77" w:type="dxa"/>
            <w:tcBorders>
              <w:top w:val="single" w:color="000000" w:sz="8" w:space="0"/>
              <w:left w:val="single" w:color="000000" w:sz="8" w:space="0"/>
              <w:bottom w:val="single" w:color="000000" w:sz="8" w:space="0"/>
              <w:right w:val="single" w:color="000000" w:sz="8" w:space="0"/>
            </w:tcBorders>
            <w:noWrap w:val="0"/>
            <w:vAlign w:val="center"/>
          </w:tcPr>
          <w:p w14:paraId="384BF58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830" w:type="dxa"/>
            <w:tcBorders>
              <w:top w:val="single" w:color="000000" w:sz="8" w:space="0"/>
              <w:left w:val="single" w:color="000000" w:sz="8" w:space="0"/>
              <w:bottom w:val="single" w:color="000000" w:sz="8" w:space="0"/>
              <w:right w:val="single" w:color="000000" w:sz="8" w:space="0"/>
            </w:tcBorders>
            <w:noWrap w:val="0"/>
            <w:vAlign w:val="center"/>
          </w:tcPr>
          <w:p w14:paraId="510CA34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标准名称</w:t>
            </w:r>
          </w:p>
        </w:tc>
        <w:tc>
          <w:tcPr>
            <w:tcW w:w="3330" w:type="dxa"/>
            <w:tcBorders>
              <w:top w:val="single" w:color="000000" w:sz="8" w:space="0"/>
              <w:left w:val="single" w:color="000000" w:sz="8" w:space="0"/>
              <w:bottom w:val="single" w:color="000000" w:sz="8" w:space="0"/>
              <w:right w:val="single" w:color="000000" w:sz="8" w:space="0"/>
            </w:tcBorders>
            <w:noWrap w:val="0"/>
            <w:vAlign w:val="center"/>
          </w:tcPr>
          <w:p w14:paraId="6460C06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标准编号</w:t>
            </w:r>
          </w:p>
        </w:tc>
      </w:tr>
      <w:tr w14:paraId="18CED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77" w:type="dxa"/>
            <w:tcBorders>
              <w:top w:val="nil"/>
              <w:left w:val="single" w:color="000000" w:sz="8" w:space="0"/>
              <w:bottom w:val="single" w:color="000000" w:sz="8" w:space="0"/>
              <w:right w:val="single" w:color="000000" w:sz="8" w:space="0"/>
            </w:tcBorders>
            <w:noWrap w:val="0"/>
            <w:vAlign w:val="center"/>
          </w:tcPr>
          <w:p w14:paraId="524F1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30" w:type="dxa"/>
            <w:tcBorders>
              <w:top w:val="nil"/>
              <w:left w:val="single" w:color="000000" w:sz="8" w:space="0"/>
              <w:bottom w:val="single" w:color="000000" w:sz="8" w:space="0"/>
              <w:right w:val="single" w:color="000000" w:sz="8" w:space="0"/>
            </w:tcBorders>
            <w:noWrap w:val="0"/>
            <w:vAlign w:val="center"/>
          </w:tcPr>
          <w:p w14:paraId="07901B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机械安全防护装置固定式和活动式防护装置设计与制造一般要求</w:t>
            </w:r>
          </w:p>
        </w:tc>
        <w:tc>
          <w:tcPr>
            <w:tcW w:w="3330" w:type="dxa"/>
            <w:tcBorders>
              <w:top w:val="nil"/>
              <w:left w:val="single" w:color="000000" w:sz="8" w:space="0"/>
              <w:bottom w:val="single" w:color="000000" w:sz="8" w:space="0"/>
              <w:right w:val="single" w:color="000000" w:sz="8" w:space="0"/>
            </w:tcBorders>
            <w:noWrap w:val="0"/>
            <w:vAlign w:val="center"/>
          </w:tcPr>
          <w:p w14:paraId="5B0AF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8196-2003</w:t>
            </w:r>
          </w:p>
        </w:tc>
      </w:tr>
      <w:tr w14:paraId="5DBAF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66F40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30" w:type="dxa"/>
            <w:tcBorders>
              <w:top w:val="nil"/>
              <w:left w:val="single" w:color="000000" w:sz="8" w:space="0"/>
              <w:bottom w:val="single" w:color="000000" w:sz="8" w:space="0"/>
              <w:right w:val="single" w:color="000000" w:sz="8" w:space="0"/>
            </w:tcBorders>
            <w:noWrap w:val="0"/>
            <w:vAlign w:val="center"/>
          </w:tcPr>
          <w:p w14:paraId="129DA8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通用机械设备安装工程质量检验评定标准</w:t>
            </w:r>
          </w:p>
        </w:tc>
        <w:tc>
          <w:tcPr>
            <w:tcW w:w="3330" w:type="dxa"/>
            <w:tcBorders>
              <w:top w:val="nil"/>
              <w:left w:val="single" w:color="000000" w:sz="8" w:space="0"/>
              <w:bottom w:val="single" w:color="000000" w:sz="8" w:space="0"/>
              <w:right w:val="single" w:color="000000" w:sz="8" w:space="0"/>
            </w:tcBorders>
            <w:noWrap w:val="0"/>
            <w:vAlign w:val="center"/>
          </w:tcPr>
          <w:p w14:paraId="71305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TJ305-75</w:t>
            </w:r>
          </w:p>
        </w:tc>
      </w:tr>
      <w:tr w14:paraId="1880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40C33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30" w:type="dxa"/>
            <w:tcBorders>
              <w:top w:val="nil"/>
              <w:left w:val="single" w:color="000000" w:sz="8" w:space="0"/>
              <w:bottom w:val="single" w:color="000000" w:sz="8" w:space="0"/>
              <w:right w:val="single" w:color="000000" w:sz="8" w:space="0"/>
            </w:tcBorders>
            <w:noWrap w:val="0"/>
            <w:vAlign w:val="center"/>
          </w:tcPr>
          <w:p w14:paraId="164BE1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机械设备安装工程施工及验收通用规范</w:t>
            </w:r>
          </w:p>
        </w:tc>
        <w:tc>
          <w:tcPr>
            <w:tcW w:w="3330" w:type="dxa"/>
            <w:tcBorders>
              <w:top w:val="nil"/>
              <w:left w:val="single" w:color="000000" w:sz="8" w:space="0"/>
              <w:bottom w:val="single" w:color="000000" w:sz="8" w:space="0"/>
              <w:right w:val="single" w:color="000000" w:sz="8" w:space="0"/>
            </w:tcBorders>
            <w:noWrap w:val="0"/>
            <w:vAlign w:val="center"/>
          </w:tcPr>
          <w:p w14:paraId="0DDE05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GB50231-2009</w:t>
            </w:r>
          </w:p>
        </w:tc>
      </w:tr>
      <w:tr w14:paraId="76589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3F1E2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30" w:type="dxa"/>
            <w:tcBorders>
              <w:top w:val="nil"/>
              <w:left w:val="single" w:color="000000" w:sz="8" w:space="0"/>
              <w:bottom w:val="single" w:color="000000" w:sz="8" w:space="0"/>
              <w:right w:val="single" w:color="000000" w:sz="8" w:space="0"/>
            </w:tcBorders>
            <w:noWrap w:val="0"/>
            <w:vAlign w:val="center"/>
          </w:tcPr>
          <w:p w14:paraId="2BF916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施工现场临时用电安全技术规范</w:t>
            </w:r>
          </w:p>
        </w:tc>
        <w:tc>
          <w:tcPr>
            <w:tcW w:w="3330" w:type="dxa"/>
            <w:tcBorders>
              <w:top w:val="nil"/>
              <w:left w:val="single" w:color="000000" w:sz="8" w:space="0"/>
              <w:bottom w:val="single" w:color="000000" w:sz="8" w:space="0"/>
              <w:right w:val="single" w:color="000000" w:sz="8" w:space="0"/>
            </w:tcBorders>
            <w:noWrap w:val="0"/>
            <w:vAlign w:val="center"/>
          </w:tcPr>
          <w:p w14:paraId="727DD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JGJ 46-2005</w:t>
            </w:r>
          </w:p>
        </w:tc>
      </w:tr>
      <w:tr w14:paraId="199A0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50BCD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30" w:type="dxa"/>
            <w:tcBorders>
              <w:top w:val="nil"/>
              <w:left w:val="single" w:color="000000" w:sz="8" w:space="0"/>
              <w:bottom w:val="single" w:color="000000" w:sz="8" w:space="0"/>
              <w:right w:val="single" w:color="000000" w:sz="8" w:space="0"/>
            </w:tcBorders>
            <w:noWrap w:val="0"/>
            <w:vAlign w:val="center"/>
          </w:tcPr>
          <w:p w14:paraId="2B6D46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机械工业职业安全卫生设计规范</w:t>
            </w:r>
          </w:p>
        </w:tc>
        <w:tc>
          <w:tcPr>
            <w:tcW w:w="3330" w:type="dxa"/>
            <w:tcBorders>
              <w:top w:val="nil"/>
              <w:left w:val="single" w:color="000000" w:sz="8" w:space="0"/>
              <w:bottom w:val="single" w:color="000000" w:sz="8" w:space="0"/>
              <w:right w:val="single" w:color="000000" w:sz="8" w:space="0"/>
            </w:tcBorders>
            <w:noWrap w:val="0"/>
            <w:vAlign w:val="center"/>
          </w:tcPr>
          <w:p w14:paraId="3E1F7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JBJ 18-2000</w:t>
            </w:r>
          </w:p>
        </w:tc>
      </w:tr>
      <w:tr w14:paraId="6B32C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68D030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830" w:type="dxa"/>
            <w:tcBorders>
              <w:top w:val="nil"/>
              <w:left w:val="single" w:color="000000" w:sz="8" w:space="0"/>
              <w:bottom w:val="single" w:color="000000" w:sz="8" w:space="0"/>
              <w:right w:val="single" w:color="000000" w:sz="8" w:space="0"/>
            </w:tcBorders>
            <w:noWrap w:val="0"/>
            <w:vAlign w:val="center"/>
          </w:tcPr>
          <w:p w14:paraId="68E4E9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机械工业环境保护设计规范</w:t>
            </w:r>
          </w:p>
        </w:tc>
        <w:tc>
          <w:tcPr>
            <w:tcW w:w="3330" w:type="dxa"/>
            <w:tcBorders>
              <w:top w:val="nil"/>
              <w:left w:val="single" w:color="000000" w:sz="8" w:space="0"/>
              <w:bottom w:val="single" w:color="000000" w:sz="8" w:space="0"/>
              <w:right w:val="single" w:color="000000" w:sz="8" w:space="0"/>
            </w:tcBorders>
            <w:noWrap w:val="0"/>
            <w:vAlign w:val="center"/>
          </w:tcPr>
          <w:p w14:paraId="5376E7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50894-2013</w:t>
            </w:r>
          </w:p>
        </w:tc>
      </w:tr>
      <w:tr w14:paraId="402FE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15A52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830" w:type="dxa"/>
            <w:tcBorders>
              <w:top w:val="nil"/>
              <w:left w:val="single" w:color="000000" w:sz="8" w:space="0"/>
              <w:bottom w:val="single" w:color="000000" w:sz="8" w:space="0"/>
              <w:right w:val="single" w:color="000000" w:sz="8" w:space="0"/>
            </w:tcBorders>
            <w:noWrap w:val="0"/>
            <w:vAlign w:val="center"/>
          </w:tcPr>
          <w:p w14:paraId="2F528A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工业企业噪声控制设计规范</w:t>
            </w:r>
          </w:p>
        </w:tc>
        <w:tc>
          <w:tcPr>
            <w:tcW w:w="3330" w:type="dxa"/>
            <w:tcBorders>
              <w:top w:val="nil"/>
              <w:left w:val="single" w:color="000000" w:sz="8" w:space="0"/>
              <w:bottom w:val="single" w:color="000000" w:sz="8" w:space="0"/>
              <w:right w:val="single" w:color="000000" w:sz="8" w:space="0"/>
            </w:tcBorders>
            <w:noWrap w:val="0"/>
            <w:vAlign w:val="center"/>
          </w:tcPr>
          <w:p w14:paraId="4D693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"https://ziliao.co188.com/p62313137.html" \o "https://ziliao.co188.com/p62313137.html"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GB/T 50087-2013</w:t>
            </w:r>
            <w:r>
              <w:rPr>
                <w:rFonts w:hint="eastAsia" w:ascii="宋体" w:hAnsi="宋体" w:eastAsia="宋体" w:cs="宋体"/>
                <w:i w:val="0"/>
                <w:iCs w:val="0"/>
                <w:color w:val="000000"/>
                <w:kern w:val="0"/>
                <w:sz w:val="22"/>
                <w:szCs w:val="22"/>
                <w:u w:val="none"/>
                <w:lang w:val="en-US" w:eastAsia="zh-CN" w:bidi="ar"/>
              </w:rPr>
              <w:fldChar w:fldCharType="end"/>
            </w:r>
          </w:p>
        </w:tc>
      </w:tr>
      <w:tr w14:paraId="07E01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539D3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830" w:type="dxa"/>
            <w:tcBorders>
              <w:top w:val="nil"/>
              <w:left w:val="single" w:color="000000" w:sz="8" w:space="0"/>
              <w:bottom w:val="single" w:color="000000" w:sz="8" w:space="0"/>
              <w:right w:val="single" w:color="000000" w:sz="8" w:space="0"/>
            </w:tcBorders>
            <w:noWrap w:val="0"/>
            <w:vAlign w:val="center"/>
          </w:tcPr>
          <w:p w14:paraId="09211B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电气装置安装工程接地装置施工及验收规范</w:t>
            </w:r>
          </w:p>
        </w:tc>
        <w:tc>
          <w:tcPr>
            <w:tcW w:w="3330" w:type="dxa"/>
            <w:tcBorders>
              <w:top w:val="nil"/>
              <w:left w:val="single" w:color="000000" w:sz="8" w:space="0"/>
              <w:bottom w:val="single" w:color="000000" w:sz="8" w:space="0"/>
              <w:right w:val="single" w:color="000000" w:sz="8" w:space="0"/>
            </w:tcBorders>
            <w:noWrap w:val="0"/>
            <w:vAlign w:val="center"/>
          </w:tcPr>
          <w:p w14:paraId="6FE8A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50169-2016</w:t>
            </w:r>
          </w:p>
        </w:tc>
      </w:tr>
      <w:tr w14:paraId="740D3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2AB9E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830" w:type="dxa"/>
            <w:tcBorders>
              <w:top w:val="nil"/>
              <w:left w:val="single" w:color="000000" w:sz="8" w:space="0"/>
              <w:bottom w:val="single" w:color="000000" w:sz="8" w:space="0"/>
              <w:right w:val="single" w:color="000000" w:sz="8" w:space="0"/>
            </w:tcBorders>
            <w:noWrap w:val="0"/>
            <w:vAlign w:val="center"/>
          </w:tcPr>
          <w:p w14:paraId="54D2F6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电气装置安装工程电缆线路施工及验收规范 </w:t>
            </w:r>
          </w:p>
        </w:tc>
        <w:tc>
          <w:tcPr>
            <w:tcW w:w="3330" w:type="dxa"/>
            <w:tcBorders>
              <w:top w:val="nil"/>
              <w:left w:val="single" w:color="000000" w:sz="8" w:space="0"/>
              <w:bottom w:val="single" w:color="000000" w:sz="8" w:space="0"/>
              <w:right w:val="single" w:color="000000" w:sz="8" w:space="0"/>
            </w:tcBorders>
            <w:noWrap w:val="0"/>
            <w:vAlign w:val="center"/>
          </w:tcPr>
          <w:p w14:paraId="7EE3B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50168-2006</w:t>
            </w:r>
          </w:p>
        </w:tc>
      </w:tr>
      <w:tr w14:paraId="124D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77" w:type="dxa"/>
            <w:tcBorders>
              <w:top w:val="nil"/>
              <w:left w:val="single" w:color="000000" w:sz="8" w:space="0"/>
              <w:bottom w:val="single" w:color="000000" w:sz="8" w:space="0"/>
              <w:right w:val="single" w:color="000000" w:sz="8" w:space="0"/>
            </w:tcBorders>
            <w:noWrap w:val="0"/>
            <w:vAlign w:val="center"/>
          </w:tcPr>
          <w:p w14:paraId="36F7B2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830" w:type="dxa"/>
            <w:tcBorders>
              <w:top w:val="nil"/>
              <w:left w:val="single" w:color="000000" w:sz="8" w:space="0"/>
              <w:bottom w:val="single" w:color="000000" w:sz="8" w:space="0"/>
              <w:right w:val="single" w:color="000000" w:sz="8" w:space="0"/>
            </w:tcBorders>
            <w:noWrap w:val="0"/>
            <w:vAlign w:val="center"/>
          </w:tcPr>
          <w:p w14:paraId="188CE9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电气装置安装工程 盘、柜及二次回路接线施工及验收规范</w:t>
            </w:r>
          </w:p>
        </w:tc>
        <w:tc>
          <w:tcPr>
            <w:tcW w:w="3330" w:type="dxa"/>
            <w:tcBorders>
              <w:top w:val="nil"/>
              <w:left w:val="single" w:color="000000" w:sz="8" w:space="0"/>
              <w:bottom w:val="single" w:color="000000" w:sz="8" w:space="0"/>
              <w:right w:val="single" w:color="000000" w:sz="8" w:space="0"/>
            </w:tcBorders>
            <w:noWrap w:val="0"/>
            <w:vAlign w:val="center"/>
          </w:tcPr>
          <w:p w14:paraId="3A542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50171-2012</w:t>
            </w:r>
          </w:p>
        </w:tc>
      </w:tr>
      <w:tr w14:paraId="1D81C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22C60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830" w:type="dxa"/>
            <w:tcBorders>
              <w:top w:val="nil"/>
              <w:left w:val="single" w:color="000000" w:sz="8" w:space="0"/>
              <w:bottom w:val="single" w:color="000000" w:sz="8" w:space="0"/>
              <w:right w:val="single" w:color="000000" w:sz="8" w:space="0"/>
            </w:tcBorders>
            <w:noWrap w:val="0"/>
            <w:vAlign w:val="center"/>
          </w:tcPr>
          <w:p w14:paraId="7E711F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电气安装工程质量检验、评定标准</w:t>
            </w:r>
          </w:p>
        </w:tc>
        <w:tc>
          <w:tcPr>
            <w:tcW w:w="3330" w:type="dxa"/>
            <w:tcBorders>
              <w:top w:val="nil"/>
              <w:left w:val="single" w:color="000000" w:sz="8" w:space="0"/>
              <w:bottom w:val="single" w:color="000000" w:sz="8" w:space="0"/>
              <w:right w:val="single" w:color="000000" w:sz="8" w:space="0"/>
            </w:tcBorders>
            <w:noWrap w:val="0"/>
            <w:vAlign w:val="center"/>
          </w:tcPr>
          <w:p w14:paraId="33AEC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GBJ303-88</w:t>
            </w:r>
          </w:p>
        </w:tc>
      </w:tr>
      <w:tr w14:paraId="217A9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42CC3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830" w:type="dxa"/>
            <w:tcBorders>
              <w:top w:val="nil"/>
              <w:left w:val="single" w:color="000000" w:sz="8" w:space="0"/>
              <w:bottom w:val="single" w:color="000000" w:sz="8" w:space="0"/>
              <w:right w:val="single" w:color="000000" w:sz="8" w:space="0"/>
            </w:tcBorders>
            <w:noWrap w:val="0"/>
            <w:vAlign w:val="center"/>
          </w:tcPr>
          <w:p w14:paraId="3692D0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电气装置安装工低压电器施工及验收规范</w:t>
            </w:r>
          </w:p>
        </w:tc>
        <w:tc>
          <w:tcPr>
            <w:tcW w:w="3330" w:type="dxa"/>
            <w:tcBorders>
              <w:top w:val="nil"/>
              <w:left w:val="single" w:color="000000" w:sz="8" w:space="0"/>
              <w:bottom w:val="single" w:color="000000" w:sz="8" w:space="0"/>
              <w:right w:val="single" w:color="000000" w:sz="8" w:space="0"/>
            </w:tcBorders>
            <w:noWrap w:val="0"/>
            <w:vAlign w:val="center"/>
          </w:tcPr>
          <w:p w14:paraId="41C2D0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50254-2014</w:t>
            </w:r>
          </w:p>
        </w:tc>
      </w:tr>
      <w:tr w14:paraId="08211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7FE5A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830" w:type="dxa"/>
            <w:tcBorders>
              <w:top w:val="nil"/>
              <w:left w:val="single" w:color="000000" w:sz="8" w:space="0"/>
              <w:bottom w:val="single" w:color="000000" w:sz="8" w:space="0"/>
              <w:right w:val="single" w:color="000000" w:sz="8" w:space="0"/>
            </w:tcBorders>
            <w:noWrap w:val="0"/>
            <w:vAlign w:val="top"/>
          </w:tcPr>
          <w:p w14:paraId="4AD52BF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《挥发性有机物排放标准第1部分：汽车制造业》</w:t>
            </w:r>
          </w:p>
        </w:tc>
        <w:tc>
          <w:tcPr>
            <w:tcW w:w="3330" w:type="dxa"/>
            <w:tcBorders>
              <w:top w:val="nil"/>
              <w:left w:val="single" w:color="000000" w:sz="8" w:space="0"/>
              <w:bottom w:val="single" w:color="000000" w:sz="8" w:space="0"/>
              <w:right w:val="single" w:color="000000" w:sz="8" w:space="0"/>
            </w:tcBorders>
            <w:noWrap w:val="0"/>
            <w:vAlign w:val="top"/>
          </w:tcPr>
          <w:p w14:paraId="63F8DED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DB37/2801.1-2016</w:t>
            </w:r>
          </w:p>
        </w:tc>
      </w:tr>
      <w:tr w14:paraId="0DA31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77" w:type="dxa"/>
            <w:tcBorders>
              <w:top w:val="nil"/>
              <w:left w:val="single" w:color="000000" w:sz="8" w:space="0"/>
              <w:bottom w:val="single" w:color="000000" w:sz="8" w:space="0"/>
              <w:right w:val="single" w:color="000000" w:sz="8" w:space="0"/>
            </w:tcBorders>
            <w:noWrap w:val="0"/>
            <w:vAlign w:val="center"/>
          </w:tcPr>
          <w:p w14:paraId="01A05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830" w:type="dxa"/>
            <w:tcBorders>
              <w:top w:val="nil"/>
              <w:left w:val="single" w:color="000000" w:sz="8" w:space="0"/>
              <w:bottom w:val="single" w:color="000000" w:sz="8" w:space="0"/>
              <w:right w:val="single" w:color="000000" w:sz="8" w:space="0"/>
            </w:tcBorders>
            <w:noWrap w:val="0"/>
            <w:vAlign w:val="center"/>
          </w:tcPr>
          <w:p w14:paraId="194E57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《中华人民共和国国家职业卫生标准》-工作场所有害因素职业接触限值（第一部分）</w:t>
            </w:r>
          </w:p>
        </w:tc>
        <w:tc>
          <w:tcPr>
            <w:tcW w:w="3330" w:type="dxa"/>
            <w:tcBorders>
              <w:top w:val="nil"/>
              <w:left w:val="single" w:color="000000" w:sz="8" w:space="0"/>
              <w:bottom w:val="single" w:color="000000" w:sz="8" w:space="0"/>
              <w:right w:val="single" w:color="000000" w:sz="8" w:space="0"/>
            </w:tcBorders>
            <w:noWrap w:val="0"/>
            <w:vAlign w:val="center"/>
          </w:tcPr>
          <w:p w14:paraId="51335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GBZ2.1-2019</w:t>
            </w:r>
          </w:p>
        </w:tc>
      </w:tr>
      <w:tr w14:paraId="0997F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1000E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830" w:type="dxa"/>
            <w:tcBorders>
              <w:top w:val="nil"/>
              <w:left w:val="single" w:color="000000" w:sz="8" w:space="0"/>
              <w:bottom w:val="single" w:color="000000" w:sz="8" w:space="0"/>
              <w:right w:val="single" w:color="000000" w:sz="8" w:space="0"/>
            </w:tcBorders>
            <w:noWrap w:val="0"/>
            <w:vAlign w:val="center"/>
          </w:tcPr>
          <w:p w14:paraId="0665F3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《工业企业设计卫生标准》</w:t>
            </w:r>
          </w:p>
        </w:tc>
        <w:tc>
          <w:tcPr>
            <w:tcW w:w="3330" w:type="dxa"/>
            <w:tcBorders>
              <w:top w:val="nil"/>
              <w:left w:val="single" w:color="000000" w:sz="8" w:space="0"/>
              <w:bottom w:val="single" w:color="000000" w:sz="8" w:space="0"/>
              <w:right w:val="single" w:color="000000" w:sz="8" w:space="0"/>
            </w:tcBorders>
            <w:noWrap w:val="0"/>
            <w:vAlign w:val="center"/>
          </w:tcPr>
          <w:p w14:paraId="5EA6C3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GBZ1-2010</w:t>
            </w:r>
          </w:p>
        </w:tc>
      </w:tr>
      <w:tr w14:paraId="196F4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2614D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830" w:type="dxa"/>
            <w:tcBorders>
              <w:top w:val="nil"/>
              <w:left w:val="single" w:color="000000" w:sz="8" w:space="0"/>
              <w:bottom w:val="single" w:color="000000" w:sz="8" w:space="0"/>
              <w:right w:val="single" w:color="000000" w:sz="8" w:space="0"/>
            </w:tcBorders>
            <w:noWrap w:val="0"/>
            <w:vAlign w:val="center"/>
          </w:tcPr>
          <w:p w14:paraId="57D642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《大气环境质量标准》</w:t>
            </w:r>
          </w:p>
        </w:tc>
        <w:tc>
          <w:tcPr>
            <w:tcW w:w="3330" w:type="dxa"/>
            <w:tcBorders>
              <w:top w:val="nil"/>
              <w:left w:val="single" w:color="000000" w:sz="8" w:space="0"/>
              <w:bottom w:val="single" w:color="000000" w:sz="8" w:space="0"/>
              <w:right w:val="single" w:color="000000" w:sz="8" w:space="0"/>
            </w:tcBorders>
            <w:noWrap w:val="0"/>
            <w:vAlign w:val="center"/>
          </w:tcPr>
          <w:p w14:paraId="0FDFA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GB3095-2012</w:t>
            </w:r>
          </w:p>
        </w:tc>
      </w:tr>
      <w:tr w14:paraId="1AB4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63984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830" w:type="dxa"/>
            <w:tcBorders>
              <w:top w:val="nil"/>
              <w:left w:val="single" w:color="000000" w:sz="8" w:space="0"/>
              <w:bottom w:val="single" w:color="000000" w:sz="8" w:space="0"/>
              <w:right w:val="single" w:color="000000" w:sz="8" w:space="0"/>
            </w:tcBorders>
            <w:noWrap w:val="0"/>
            <w:vAlign w:val="center"/>
          </w:tcPr>
          <w:p w14:paraId="314A5C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《吸附法工业有机废气治理工程技术规范》</w:t>
            </w:r>
          </w:p>
        </w:tc>
        <w:tc>
          <w:tcPr>
            <w:tcW w:w="3330" w:type="dxa"/>
            <w:tcBorders>
              <w:top w:val="nil"/>
              <w:left w:val="single" w:color="000000" w:sz="8" w:space="0"/>
              <w:bottom w:val="single" w:color="000000" w:sz="8" w:space="0"/>
              <w:right w:val="single" w:color="000000" w:sz="8" w:space="0"/>
            </w:tcBorders>
            <w:noWrap w:val="0"/>
            <w:vAlign w:val="center"/>
          </w:tcPr>
          <w:p w14:paraId="09F43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HJ2026-2013</w:t>
            </w:r>
          </w:p>
        </w:tc>
      </w:tr>
      <w:tr w14:paraId="65B52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314BA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830" w:type="dxa"/>
            <w:tcBorders>
              <w:top w:val="nil"/>
              <w:left w:val="single" w:color="000000" w:sz="8" w:space="0"/>
              <w:bottom w:val="single" w:color="000000" w:sz="8" w:space="0"/>
              <w:right w:val="single" w:color="000000" w:sz="8" w:space="0"/>
            </w:tcBorders>
            <w:noWrap w:val="0"/>
            <w:vAlign w:val="center"/>
          </w:tcPr>
          <w:p w14:paraId="06725E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《山东省区域性大气污染物综合排放标准》</w:t>
            </w:r>
          </w:p>
        </w:tc>
        <w:tc>
          <w:tcPr>
            <w:tcW w:w="3330" w:type="dxa"/>
            <w:tcBorders>
              <w:top w:val="nil"/>
              <w:left w:val="single" w:color="000000" w:sz="8" w:space="0"/>
              <w:bottom w:val="single" w:color="000000" w:sz="8" w:space="0"/>
              <w:right w:val="single" w:color="000000" w:sz="8" w:space="0"/>
            </w:tcBorders>
            <w:noWrap w:val="0"/>
            <w:vAlign w:val="center"/>
          </w:tcPr>
          <w:p w14:paraId="42DE52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DB37/2376-2019</w:t>
            </w:r>
          </w:p>
        </w:tc>
      </w:tr>
      <w:tr w14:paraId="6A797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26928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830" w:type="dxa"/>
            <w:tcBorders>
              <w:top w:val="nil"/>
              <w:left w:val="single" w:color="000000" w:sz="8" w:space="0"/>
              <w:bottom w:val="single" w:color="000000" w:sz="8" w:space="0"/>
              <w:right w:val="single" w:color="000000" w:sz="8" w:space="0"/>
            </w:tcBorders>
            <w:noWrap w:val="0"/>
            <w:vAlign w:val="center"/>
          </w:tcPr>
          <w:p w14:paraId="670818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《建筑物防雷设计规范》</w:t>
            </w:r>
          </w:p>
        </w:tc>
        <w:tc>
          <w:tcPr>
            <w:tcW w:w="3330" w:type="dxa"/>
            <w:tcBorders>
              <w:top w:val="nil"/>
              <w:left w:val="single" w:color="000000" w:sz="8" w:space="0"/>
              <w:bottom w:val="single" w:color="000000" w:sz="8" w:space="0"/>
              <w:right w:val="single" w:color="000000" w:sz="8" w:space="0"/>
            </w:tcBorders>
            <w:noWrap w:val="0"/>
            <w:vAlign w:val="center"/>
          </w:tcPr>
          <w:p w14:paraId="4A9F7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GB50057-2010</w:t>
            </w:r>
          </w:p>
        </w:tc>
      </w:tr>
      <w:tr w14:paraId="4B211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2E9D0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830" w:type="dxa"/>
            <w:tcBorders>
              <w:top w:val="nil"/>
              <w:left w:val="single" w:color="000000" w:sz="8" w:space="0"/>
              <w:bottom w:val="single" w:color="000000" w:sz="8" w:space="0"/>
              <w:right w:val="single" w:color="000000" w:sz="8" w:space="0"/>
            </w:tcBorders>
            <w:noWrap w:val="0"/>
            <w:vAlign w:val="center"/>
          </w:tcPr>
          <w:p w14:paraId="1DD10D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蓄热燃烧法工业有机废气治理工程技术规范</w:t>
            </w:r>
          </w:p>
        </w:tc>
        <w:tc>
          <w:tcPr>
            <w:tcW w:w="3330" w:type="dxa"/>
            <w:tcBorders>
              <w:top w:val="nil"/>
              <w:left w:val="single" w:color="000000" w:sz="8" w:space="0"/>
              <w:bottom w:val="single" w:color="000000" w:sz="8" w:space="0"/>
              <w:right w:val="single" w:color="000000" w:sz="8" w:space="0"/>
            </w:tcBorders>
            <w:noWrap w:val="0"/>
            <w:vAlign w:val="center"/>
          </w:tcPr>
          <w:p w14:paraId="67FC8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HJ1093-2020</w:t>
            </w:r>
          </w:p>
        </w:tc>
      </w:tr>
      <w:tr w14:paraId="527B7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7" w:type="dxa"/>
            <w:tcBorders>
              <w:top w:val="nil"/>
              <w:left w:val="single" w:color="000000" w:sz="8" w:space="0"/>
              <w:bottom w:val="single" w:color="000000" w:sz="8" w:space="0"/>
              <w:right w:val="single" w:color="000000" w:sz="8" w:space="0"/>
            </w:tcBorders>
            <w:noWrap w:val="0"/>
            <w:vAlign w:val="center"/>
          </w:tcPr>
          <w:p w14:paraId="6B692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830" w:type="dxa"/>
            <w:tcBorders>
              <w:top w:val="nil"/>
              <w:left w:val="single" w:color="000000" w:sz="8" w:space="0"/>
              <w:bottom w:val="single" w:color="000000" w:sz="8" w:space="0"/>
              <w:right w:val="single" w:color="000000" w:sz="8" w:space="0"/>
            </w:tcBorders>
            <w:noWrap w:val="0"/>
            <w:vAlign w:val="center"/>
          </w:tcPr>
          <w:p w14:paraId="20D55E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涂装作业安全规程 有机废气净化装置安全技术</w:t>
            </w:r>
          </w:p>
        </w:tc>
        <w:tc>
          <w:tcPr>
            <w:tcW w:w="3330" w:type="dxa"/>
            <w:tcBorders>
              <w:top w:val="nil"/>
              <w:left w:val="single" w:color="000000" w:sz="8" w:space="0"/>
              <w:bottom w:val="single" w:color="000000" w:sz="8" w:space="0"/>
              <w:right w:val="single" w:color="000000" w:sz="8" w:space="0"/>
            </w:tcBorders>
            <w:noWrap w:val="0"/>
            <w:vAlign w:val="center"/>
          </w:tcPr>
          <w:p w14:paraId="7F890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GB20101-2006</w:t>
            </w:r>
          </w:p>
        </w:tc>
      </w:tr>
    </w:tbl>
    <w:p w14:paraId="254A677D">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default"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4、</w:t>
      </w:r>
      <w:r>
        <w:rPr>
          <w:rFonts w:hint="default" w:ascii="黑体" w:hAnsi="宋体" w:eastAsia="黑体" w:cs="Times New Roman"/>
          <w:b/>
          <w:bCs/>
          <w:sz w:val="28"/>
          <w:szCs w:val="28"/>
          <w:lang w:val="en-US" w:eastAsia="zh-CN"/>
        </w:rPr>
        <w:t>维保期内安全施工要求;</w:t>
      </w:r>
    </w:p>
    <w:p w14:paraId="5751EB3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4.1 维保前进入现场，需按要求办理出入证件，招标方协助相关证件的办理；须提供安全施工技术方案；（含危险源辨识与风险控制措施内容）</w:t>
      </w:r>
    </w:p>
    <w:p w14:paraId="2FE99D6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4.2 投标单位施工前须提供详细的安全施工措施并经招标方认可，签订</w:t>
      </w:r>
      <w:r>
        <w:rPr>
          <w:rFonts w:hint="eastAsia" w:ascii="宋体" w:hAnsi="宋体" w:eastAsia="宋体" w:cs="宋体"/>
          <w:b w:val="0"/>
          <w:bCs w:val="0"/>
          <w:color w:val="auto"/>
          <w:sz w:val="24"/>
          <w:szCs w:val="24"/>
          <w:highlight w:val="none"/>
          <w:lang w:val="en-US" w:eastAsia="zh-CN"/>
        </w:rPr>
        <w:t>《</w:t>
      </w:r>
      <w:r>
        <w:rPr>
          <w:rFonts w:hint="eastAsia" w:hAnsi="宋体" w:eastAsia="宋体" w:cs="宋体"/>
          <w:b w:val="0"/>
          <w:bCs w:val="0"/>
          <w:color w:val="auto"/>
          <w:sz w:val="24"/>
          <w:szCs w:val="24"/>
          <w:highlight w:val="none"/>
          <w:lang w:val="en-US" w:eastAsia="zh-CN"/>
        </w:rPr>
        <w:t>相关方</w:t>
      </w:r>
      <w:r>
        <w:rPr>
          <w:rFonts w:hint="eastAsia" w:ascii="宋体" w:hAnsi="宋体" w:eastAsia="宋体" w:cs="宋体"/>
          <w:b w:val="0"/>
          <w:bCs w:val="0"/>
          <w:color w:val="auto"/>
          <w:sz w:val="24"/>
          <w:szCs w:val="24"/>
          <w:highlight w:val="none"/>
          <w:lang w:val="en-US" w:eastAsia="zh-CN"/>
        </w:rPr>
        <w:t>安全协议》</w:t>
      </w:r>
      <w:r>
        <w:rPr>
          <w:rFonts w:hint="eastAsia" w:ascii="宋体" w:hAnsi="宋体" w:eastAsia="宋体" w:cs="宋体"/>
          <w:b w:val="0"/>
          <w:bCs w:val="0"/>
          <w:sz w:val="24"/>
          <w:szCs w:val="24"/>
          <w:highlight w:val="none"/>
          <w:lang w:val="en-US" w:eastAsia="zh-CN"/>
        </w:rPr>
        <w:t>；</w:t>
      </w:r>
    </w:p>
    <w:p w14:paraId="7BA1DAE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4.3 投标单位对治理装置系统的</w:t>
      </w:r>
      <w:r>
        <w:rPr>
          <w:rFonts w:hint="eastAsia" w:ascii="宋体" w:hAnsi="宋体" w:eastAsia="宋体" w:cs="宋体"/>
          <w:b w:val="0"/>
          <w:bCs w:val="0"/>
          <w:color w:val="auto"/>
          <w:sz w:val="24"/>
          <w:szCs w:val="24"/>
          <w:highlight w:val="none"/>
          <w:lang w:val="en-US" w:eastAsia="zh-CN"/>
        </w:rPr>
        <w:t>设计、制造和安装</w:t>
      </w:r>
      <w:r>
        <w:rPr>
          <w:rFonts w:hint="eastAsia" w:ascii="宋体" w:hAnsi="宋体" w:eastAsia="宋体" w:cs="宋体"/>
          <w:b w:val="0"/>
          <w:bCs w:val="0"/>
          <w:sz w:val="24"/>
          <w:szCs w:val="24"/>
          <w:highlight w:val="none"/>
          <w:lang w:val="en-US" w:eastAsia="zh-CN"/>
        </w:rPr>
        <w:t>必须严格遵循或高于所涉及的中国国家标准、行业标准执行及招标方相关规范和企业标准；</w:t>
      </w:r>
    </w:p>
    <w:p w14:paraId="57DCD444">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4.4 投标单位在整个项目过程中必须严格执行招标方及国家相关安全、消防等法律、法规；</w:t>
      </w:r>
    </w:p>
    <w:p w14:paraId="429B119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进入现场所有的特种工必须持有操作资格证（如电工、焊工、高空作业证、有限空间作业证等）；需要进行有限空间作业及危险作业需提前报送济南发动机厂安全环保部和装调部进行备案审批，同意后方可进行施工。</w:t>
      </w:r>
    </w:p>
    <w:p w14:paraId="49891D9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4.5 维修及维保为保证生产及安全，需采用隔栏或围墙的形式将施工区域与生产区域隔开，不能影响生产；</w:t>
      </w:r>
    </w:p>
    <w:p w14:paraId="2A9EEC17">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4.6 所有用于清洁处理的化学品使用前必须经过招标方确认；在没有正式的书面批准和现场的化学制品核准，所有的化学制品不允许进入施工现场，现场不允许储藏化学制品、油漆、燃料等，严禁投标单位带过量的气瓶（氧气/乙炔）到现场，替换钢瓶前，投标单位必须搬出空瓶；</w:t>
      </w:r>
    </w:p>
    <w:p w14:paraId="35E68DBD">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4.7 设备的主机、附件及附属设施应具有安全防护措施，以避免操作者身体与设备的危险区域接触；</w:t>
      </w:r>
    </w:p>
    <w:p w14:paraId="64A28DE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4.8 所有进入现场的人员必须穿戴合适的劳保用品，例如劳保鞋、安全帽、带侧面保护的眼镜、红马甲等，并对现场施工做安全标识、警示标识；</w:t>
      </w:r>
    </w:p>
    <w:p w14:paraId="178993F0">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4.9 高处作业施工人员，严禁投掷物料，并做安全标识，做好防高处坠落、物体打击、防触电、防机械伤害的各项安全防护工作；</w:t>
      </w:r>
    </w:p>
    <w:p w14:paraId="5D8335D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4.10 现场的各种安全防护设施，未经招标方批准，任何人不准随意拆改；</w:t>
      </w:r>
    </w:p>
    <w:p w14:paraId="1859708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4.11 设备的安全与环保要求必须符合国家标准，在运转过程中应保证安全、可靠，无漏电、漏气现象；</w:t>
      </w:r>
    </w:p>
    <w:p w14:paraId="0ADE15A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4.12 现场施工时，必须严格遵守招标方制定的安全、防火规定和其它规章制度，遵守国家各项安全制度，并制订安全预案，文明施工，如因投标单位施工不遵守规章制度而造成的各种损失由投标单位负全责；</w:t>
      </w:r>
    </w:p>
    <w:p w14:paraId="03E3FDD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4.13 在进入厂房前，所有的车辆，包括起重机、叉车、运营车、运输车辆等达到安全使用标准，须听从招标方指挥。</w:t>
      </w:r>
    </w:p>
    <w:p w14:paraId="08C359AB">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default"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5</w:t>
      </w:r>
      <w:r>
        <w:rPr>
          <w:rFonts w:hint="default" w:ascii="黑体" w:hAnsi="宋体" w:eastAsia="黑体" w:cs="Times New Roman"/>
          <w:b/>
          <w:bCs/>
          <w:sz w:val="28"/>
          <w:szCs w:val="28"/>
          <w:lang w:val="en-US" w:eastAsia="zh-CN"/>
        </w:rPr>
        <w:t>、</w:t>
      </w:r>
      <w:r>
        <w:rPr>
          <w:rFonts w:hint="eastAsia" w:ascii="黑体" w:hAnsi="宋体" w:eastAsia="黑体" w:cs="Times New Roman"/>
          <w:b/>
          <w:bCs/>
          <w:sz w:val="28"/>
          <w:szCs w:val="28"/>
          <w:lang w:val="en-US" w:eastAsia="zh-CN"/>
        </w:rPr>
        <w:t>排放检测要求</w:t>
      </w:r>
    </w:p>
    <w:p w14:paraId="5F6809B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5.1 服务满足招标方的要求，处理废气必须确保达标排放，排放标准符合国家和山东省地方相关法律法规规定。</w:t>
      </w:r>
    </w:p>
    <w:p w14:paraId="0C62A11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5.2 设备产生的危废按照</w:t>
      </w:r>
      <w:r>
        <w:rPr>
          <w:rFonts w:hint="eastAsia" w:hAnsi="宋体" w:eastAsia="宋体" w:cs="宋体"/>
          <w:b w:val="0"/>
          <w:bCs w:val="0"/>
          <w:sz w:val="24"/>
          <w:szCs w:val="24"/>
          <w:highlight w:val="none"/>
          <w:lang w:val="en-US" w:eastAsia="zh-CN"/>
        </w:rPr>
        <w:t>招标方</w:t>
      </w:r>
      <w:r>
        <w:rPr>
          <w:rFonts w:hint="eastAsia" w:ascii="宋体" w:hAnsi="宋体" w:eastAsia="宋体" w:cs="宋体"/>
          <w:b w:val="0"/>
          <w:bCs w:val="0"/>
          <w:sz w:val="24"/>
          <w:szCs w:val="24"/>
          <w:highlight w:val="none"/>
          <w:lang w:val="en-US" w:eastAsia="zh-CN"/>
        </w:rPr>
        <w:t>的要求进行合规存放</w:t>
      </w:r>
      <w:r>
        <w:rPr>
          <w:rFonts w:hint="eastAsia"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lang w:val="en-US" w:eastAsia="zh-CN"/>
        </w:rPr>
        <w:t>危废由招标方处理。</w:t>
      </w:r>
    </w:p>
    <w:p w14:paraId="1E7EEF7C">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5.3 投标方配合招标方完成仪器、仪表的检验。</w:t>
      </w:r>
    </w:p>
    <w:p w14:paraId="1F92CB9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5.4环保检测费用由招标单位承担。</w:t>
      </w:r>
    </w:p>
    <w:p w14:paraId="1926349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5.5 投标</w:t>
      </w:r>
      <w:r>
        <w:rPr>
          <w:rFonts w:hint="eastAsia" w:hAnsi="宋体" w:eastAsia="宋体" w:cs="宋体"/>
          <w:b w:val="0"/>
          <w:bCs w:val="0"/>
          <w:sz w:val="24"/>
          <w:szCs w:val="24"/>
          <w:highlight w:val="none"/>
          <w:lang w:val="en-US" w:eastAsia="zh-CN"/>
        </w:rPr>
        <w:t>方</w:t>
      </w:r>
      <w:r>
        <w:rPr>
          <w:rFonts w:hint="eastAsia" w:ascii="宋体" w:hAnsi="宋体" w:eastAsia="宋体" w:cs="宋体"/>
          <w:b w:val="0"/>
          <w:bCs w:val="0"/>
          <w:sz w:val="24"/>
          <w:szCs w:val="24"/>
          <w:highlight w:val="none"/>
          <w:lang w:val="en-US" w:eastAsia="zh-CN"/>
        </w:rPr>
        <w:t>协助招标方提供环保报审方案。协助</w:t>
      </w:r>
      <w:r>
        <w:rPr>
          <w:rFonts w:hint="eastAsia" w:hAnsi="宋体" w:eastAsia="宋体" w:cs="宋体"/>
          <w:b w:val="0"/>
          <w:bCs w:val="0"/>
          <w:sz w:val="24"/>
          <w:szCs w:val="24"/>
          <w:highlight w:val="none"/>
          <w:lang w:val="en-US" w:eastAsia="zh-CN"/>
        </w:rPr>
        <w:t>招标方</w:t>
      </w:r>
      <w:r>
        <w:rPr>
          <w:rFonts w:hint="eastAsia" w:ascii="宋体" w:hAnsi="宋体" w:eastAsia="宋体" w:cs="宋体"/>
          <w:b w:val="0"/>
          <w:bCs w:val="0"/>
          <w:sz w:val="24"/>
          <w:szCs w:val="24"/>
          <w:highlight w:val="none"/>
          <w:lang w:val="en-US" w:eastAsia="zh-CN"/>
        </w:rPr>
        <w:t>完成各级单位的安全、环保检查，并达到标准及要求</w:t>
      </w:r>
      <w:r>
        <w:rPr>
          <w:rFonts w:hint="eastAsia" w:ascii="宋体" w:hAnsi="宋体" w:eastAsia="宋体" w:cs="宋体"/>
          <w:b w:val="0"/>
          <w:bCs w:val="0"/>
          <w:color w:val="auto"/>
          <w:sz w:val="24"/>
          <w:szCs w:val="24"/>
          <w:highlight w:val="none"/>
          <w:lang w:val="en-US" w:eastAsia="zh-CN"/>
        </w:rPr>
        <w:t>。</w:t>
      </w:r>
    </w:p>
    <w:p w14:paraId="471E84F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5.6 保证废气收集效率达到90%以上，处理效率达到90%以上。</w:t>
      </w:r>
    </w:p>
    <w:p w14:paraId="1DBC49F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5.7外排在线检测数据，满足山东环保法规达标的要求，如下表:山东省排放标准</w:t>
      </w:r>
    </w:p>
    <w:tbl>
      <w:tblPr>
        <w:tblStyle w:val="12"/>
        <w:tblW w:w="76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0"/>
        <w:gridCol w:w="3082"/>
        <w:gridCol w:w="2741"/>
      </w:tblGrid>
      <w:tr w14:paraId="3C62F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70" w:type="dxa"/>
            <w:vMerge w:val="restart"/>
            <w:tcBorders>
              <w:top w:val="single" w:color="000000" w:sz="8" w:space="0"/>
              <w:left w:val="single" w:color="000000" w:sz="8" w:space="0"/>
              <w:bottom w:val="single" w:color="000000" w:sz="8" w:space="0"/>
              <w:right w:val="single" w:color="000000" w:sz="8" w:space="0"/>
            </w:tcBorders>
            <w:noWrap w:val="0"/>
            <w:vAlign w:val="center"/>
          </w:tcPr>
          <w:p w14:paraId="679D4D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w:t>
            </w:r>
          </w:p>
        </w:tc>
        <w:tc>
          <w:tcPr>
            <w:tcW w:w="3082" w:type="dxa"/>
            <w:tcBorders>
              <w:top w:val="single" w:color="000000" w:sz="8" w:space="0"/>
              <w:left w:val="single" w:color="000000" w:sz="8" w:space="0"/>
              <w:bottom w:val="nil"/>
              <w:right w:val="single" w:color="000000" w:sz="8" w:space="0"/>
            </w:tcBorders>
            <w:noWrap w:val="0"/>
            <w:vAlign w:val="center"/>
          </w:tcPr>
          <w:p w14:paraId="2E995E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最高允许排放浓度限值</w:t>
            </w:r>
          </w:p>
        </w:tc>
        <w:tc>
          <w:tcPr>
            <w:tcW w:w="2741" w:type="dxa"/>
            <w:tcBorders>
              <w:top w:val="single" w:color="000000" w:sz="8" w:space="0"/>
              <w:left w:val="single" w:color="000000" w:sz="8" w:space="0"/>
              <w:bottom w:val="nil"/>
              <w:right w:val="single" w:color="000000" w:sz="8" w:space="0"/>
            </w:tcBorders>
            <w:noWrap w:val="0"/>
            <w:vAlign w:val="center"/>
          </w:tcPr>
          <w:p w14:paraId="5890C2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最高允许排放速率限值</w:t>
            </w:r>
          </w:p>
        </w:tc>
      </w:tr>
      <w:tr w14:paraId="5CED1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870" w:type="dxa"/>
            <w:vMerge w:val="continue"/>
            <w:tcBorders>
              <w:top w:val="single" w:color="000000" w:sz="8" w:space="0"/>
              <w:left w:val="single" w:color="000000" w:sz="8" w:space="0"/>
              <w:bottom w:val="single" w:color="000000" w:sz="8" w:space="0"/>
              <w:right w:val="single" w:color="000000" w:sz="8" w:space="0"/>
            </w:tcBorders>
            <w:noWrap w:val="0"/>
            <w:vAlign w:val="center"/>
          </w:tcPr>
          <w:p w14:paraId="0E9DE5EF">
            <w:pPr>
              <w:jc w:val="center"/>
              <w:rPr>
                <w:rFonts w:hint="eastAsia" w:ascii="宋体" w:hAnsi="宋体" w:eastAsia="宋体" w:cs="宋体"/>
                <w:i w:val="0"/>
                <w:iCs w:val="0"/>
                <w:color w:val="000000"/>
                <w:sz w:val="21"/>
                <w:szCs w:val="21"/>
                <w:u w:val="none"/>
              </w:rPr>
            </w:pPr>
          </w:p>
        </w:tc>
        <w:tc>
          <w:tcPr>
            <w:tcW w:w="3082" w:type="dxa"/>
            <w:tcBorders>
              <w:top w:val="nil"/>
              <w:left w:val="single" w:color="000000" w:sz="8" w:space="0"/>
              <w:bottom w:val="single" w:color="000000" w:sz="8" w:space="0"/>
              <w:right w:val="single" w:color="000000" w:sz="8" w:space="0"/>
            </w:tcBorders>
            <w:noWrap w:val="0"/>
            <w:vAlign w:val="center"/>
          </w:tcPr>
          <w:p w14:paraId="44D198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单位：mg/m³</w:t>
            </w:r>
          </w:p>
        </w:tc>
        <w:tc>
          <w:tcPr>
            <w:tcW w:w="2741" w:type="dxa"/>
            <w:tcBorders>
              <w:top w:val="nil"/>
              <w:left w:val="single" w:color="000000" w:sz="8" w:space="0"/>
              <w:bottom w:val="single" w:color="000000" w:sz="8" w:space="0"/>
              <w:right w:val="single" w:color="000000" w:sz="8" w:space="0"/>
            </w:tcBorders>
            <w:noWrap w:val="0"/>
            <w:vAlign w:val="center"/>
          </w:tcPr>
          <w:p w14:paraId="374FD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单位：kg/h</w:t>
            </w:r>
          </w:p>
        </w:tc>
      </w:tr>
      <w:tr w14:paraId="6EC13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870" w:type="dxa"/>
            <w:tcBorders>
              <w:top w:val="nil"/>
              <w:left w:val="single" w:color="000000" w:sz="8" w:space="0"/>
              <w:bottom w:val="single" w:color="000000" w:sz="8" w:space="0"/>
              <w:right w:val="single" w:color="000000" w:sz="8" w:space="0"/>
            </w:tcBorders>
            <w:noWrap w:val="0"/>
            <w:vAlign w:val="center"/>
          </w:tcPr>
          <w:p w14:paraId="7F14E0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3082" w:type="dxa"/>
            <w:tcBorders>
              <w:top w:val="nil"/>
              <w:left w:val="single" w:color="000000" w:sz="8" w:space="0"/>
              <w:bottom w:val="single" w:color="000000" w:sz="8" w:space="0"/>
              <w:right w:val="single" w:color="000000" w:sz="8" w:space="0"/>
            </w:tcBorders>
            <w:noWrap w:val="0"/>
            <w:vAlign w:val="center"/>
          </w:tcPr>
          <w:p w14:paraId="3B1C82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2741" w:type="dxa"/>
            <w:tcBorders>
              <w:top w:val="nil"/>
              <w:left w:val="single" w:color="000000" w:sz="8" w:space="0"/>
              <w:bottom w:val="single" w:color="000000" w:sz="8" w:space="0"/>
              <w:right w:val="single" w:color="000000" w:sz="8" w:space="0"/>
            </w:tcBorders>
            <w:noWrap w:val="0"/>
            <w:vAlign w:val="center"/>
          </w:tcPr>
          <w:p w14:paraId="19C9E8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r>
      <w:tr w14:paraId="7AAA1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870" w:type="dxa"/>
            <w:tcBorders>
              <w:top w:val="nil"/>
              <w:left w:val="single" w:color="000000" w:sz="8" w:space="0"/>
              <w:bottom w:val="single" w:color="000000" w:sz="8" w:space="0"/>
              <w:right w:val="single" w:color="000000" w:sz="8" w:space="0"/>
            </w:tcBorders>
            <w:noWrap w:val="0"/>
            <w:vAlign w:val="center"/>
          </w:tcPr>
          <w:p w14:paraId="36DD95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w:t>
            </w:r>
          </w:p>
        </w:tc>
        <w:tc>
          <w:tcPr>
            <w:tcW w:w="3082" w:type="dxa"/>
            <w:tcBorders>
              <w:top w:val="nil"/>
              <w:left w:val="single" w:color="000000" w:sz="8" w:space="0"/>
              <w:bottom w:val="single" w:color="000000" w:sz="8" w:space="0"/>
              <w:right w:val="single" w:color="000000" w:sz="8" w:space="0"/>
            </w:tcBorders>
            <w:noWrap w:val="0"/>
            <w:vAlign w:val="center"/>
          </w:tcPr>
          <w:p w14:paraId="5B8518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741" w:type="dxa"/>
            <w:tcBorders>
              <w:top w:val="nil"/>
              <w:left w:val="single" w:color="000000" w:sz="8" w:space="0"/>
              <w:bottom w:val="single" w:color="000000" w:sz="8" w:space="0"/>
              <w:right w:val="single" w:color="000000" w:sz="8" w:space="0"/>
            </w:tcBorders>
            <w:noWrap w:val="0"/>
            <w:vAlign w:val="center"/>
          </w:tcPr>
          <w:p w14:paraId="00326A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w:t>
            </w:r>
          </w:p>
        </w:tc>
      </w:tr>
      <w:tr w14:paraId="6CBED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1870" w:type="dxa"/>
            <w:tcBorders>
              <w:top w:val="nil"/>
              <w:left w:val="single" w:color="000000" w:sz="8" w:space="0"/>
              <w:bottom w:val="single" w:color="000000" w:sz="8" w:space="0"/>
              <w:right w:val="single" w:color="000000" w:sz="8" w:space="0"/>
            </w:tcBorders>
            <w:noWrap w:val="0"/>
            <w:vAlign w:val="center"/>
          </w:tcPr>
          <w:p w14:paraId="289657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3082" w:type="dxa"/>
            <w:tcBorders>
              <w:top w:val="nil"/>
              <w:left w:val="single" w:color="000000" w:sz="8" w:space="0"/>
              <w:bottom w:val="single" w:color="000000" w:sz="8" w:space="0"/>
              <w:right w:val="single" w:color="000000" w:sz="8" w:space="0"/>
            </w:tcBorders>
            <w:noWrap w:val="0"/>
            <w:vAlign w:val="center"/>
          </w:tcPr>
          <w:p w14:paraId="5FB5D1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741" w:type="dxa"/>
            <w:tcBorders>
              <w:top w:val="nil"/>
              <w:left w:val="single" w:color="000000" w:sz="8" w:space="0"/>
              <w:bottom w:val="single" w:color="000000" w:sz="8" w:space="0"/>
              <w:right w:val="single" w:color="000000" w:sz="8" w:space="0"/>
            </w:tcBorders>
            <w:noWrap w:val="0"/>
            <w:vAlign w:val="center"/>
          </w:tcPr>
          <w:p w14:paraId="14C864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r>
      <w:tr w14:paraId="66D01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1870" w:type="dxa"/>
            <w:tcBorders>
              <w:top w:val="nil"/>
              <w:left w:val="single" w:color="000000" w:sz="8" w:space="0"/>
              <w:bottom w:val="single" w:color="000000" w:sz="8" w:space="0"/>
              <w:right w:val="single" w:color="000000" w:sz="8" w:space="0"/>
            </w:tcBorders>
            <w:noWrap w:val="0"/>
            <w:vAlign w:val="center"/>
          </w:tcPr>
          <w:p w14:paraId="6B3DB8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VOCs</w:t>
            </w:r>
          </w:p>
        </w:tc>
        <w:tc>
          <w:tcPr>
            <w:tcW w:w="3082" w:type="dxa"/>
            <w:tcBorders>
              <w:top w:val="nil"/>
              <w:left w:val="single" w:color="000000" w:sz="8" w:space="0"/>
              <w:bottom w:val="single" w:color="000000" w:sz="8" w:space="0"/>
              <w:right w:val="single" w:color="000000" w:sz="8" w:space="0"/>
            </w:tcBorders>
            <w:noWrap w:val="0"/>
            <w:vAlign w:val="center"/>
          </w:tcPr>
          <w:p w14:paraId="194883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741" w:type="dxa"/>
            <w:tcBorders>
              <w:top w:val="nil"/>
              <w:left w:val="single" w:color="000000" w:sz="8" w:space="0"/>
              <w:bottom w:val="single" w:color="000000" w:sz="8" w:space="0"/>
              <w:right w:val="single" w:color="000000" w:sz="8" w:space="0"/>
            </w:tcBorders>
            <w:noWrap w:val="0"/>
            <w:vAlign w:val="center"/>
          </w:tcPr>
          <w:p w14:paraId="0BE7D9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bl>
    <w:p w14:paraId="39DDBFCD">
      <w:pPr>
        <w:pStyle w:val="6"/>
        <w:numPr>
          <w:ilvl w:val="0"/>
          <w:numId w:val="0"/>
        </w:numPr>
        <w:spacing w:line="360" w:lineRule="auto"/>
        <w:ind w:leftChars="0"/>
        <w:rPr>
          <w:rFonts w:hint="default"/>
          <w:b w:val="0"/>
          <w:bCs w:val="0"/>
          <w:sz w:val="24"/>
          <w:szCs w:val="22"/>
          <w:lang w:val="en-US" w:eastAsia="zh-CN"/>
        </w:rPr>
      </w:pPr>
      <w:r>
        <w:rPr>
          <w:rFonts w:hint="default"/>
          <w:b w:val="0"/>
          <w:bCs w:val="0"/>
          <w:sz w:val="24"/>
          <w:szCs w:val="22"/>
          <w:lang w:val="en-US" w:eastAsia="zh-CN"/>
        </w:rPr>
        <w:t>各投标单位的投标文件，应确保设备服务期内长期稳定达标排放</w:t>
      </w:r>
      <w:r>
        <w:rPr>
          <w:rFonts w:hint="eastAsia"/>
          <w:b w:val="0"/>
          <w:bCs w:val="0"/>
          <w:sz w:val="24"/>
          <w:szCs w:val="22"/>
          <w:lang w:val="en-US" w:eastAsia="zh-CN"/>
        </w:rPr>
        <w:t>。</w:t>
      </w:r>
    </w:p>
    <w:p w14:paraId="4BBFCA4F">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default"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6、项目维保具体要求：</w:t>
      </w:r>
    </w:p>
    <w:p w14:paraId="02188DAB">
      <w:pPr>
        <w:pStyle w:val="6"/>
        <w:numPr>
          <w:ilvl w:val="0"/>
          <w:numId w:val="0"/>
        </w:numPr>
        <w:spacing w:line="360" w:lineRule="auto"/>
        <w:ind w:leftChars="0"/>
        <w:jc w:val="left"/>
        <w:rPr>
          <w:rFonts w:hint="default" w:ascii="黑体" w:eastAsia="黑体"/>
          <w:b/>
          <w:bCs/>
          <w:sz w:val="24"/>
          <w:szCs w:val="24"/>
          <w:lang w:val="en-US"/>
        </w:rPr>
      </w:pPr>
      <w:bookmarkStart w:id="6" w:name="_Toc44077636"/>
      <w:bookmarkStart w:id="7" w:name="_Toc44077687"/>
      <w:bookmarkStart w:id="8" w:name="_Toc47031006"/>
      <w:r>
        <w:rPr>
          <w:rFonts w:hint="eastAsia" w:ascii="宋体" w:hAnsi="Courier New" w:eastAsia="宋体" w:cs="Times New Roman"/>
          <w:b w:val="0"/>
          <w:bCs w:val="0"/>
          <w:sz w:val="24"/>
          <w:szCs w:val="24"/>
          <w:lang w:val="en-US" w:eastAsia="zh-CN"/>
        </w:rPr>
        <w:t>6.1设备简介</w:t>
      </w:r>
      <w:bookmarkEnd w:id="6"/>
      <w:bookmarkEnd w:id="7"/>
      <w:bookmarkEnd w:id="8"/>
      <w:r>
        <w:rPr>
          <w:rFonts w:hint="eastAsia" w:ascii="宋体" w:hAnsi="Courier New" w:eastAsia="宋体" w:cs="Times New Roman"/>
          <w:b w:val="0"/>
          <w:bCs w:val="0"/>
          <w:sz w:val="24"/>
          <w:szCs w:val="24"/>
          <w:lang w:val="en-US" w:eastAsia="zh-CN"/>
        </w:rPr>
        <w:t>及维保范围</w:t>
      </w:r>
    </w:p>
    <w:tbl>
      <w:tblPr>
        <w:tblStyle w:val="12"/>
        <w:tblW w:w="100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6"/>
        <w:gridCol w:w="1213"/>
        <w:gridCol w:w="1331"/>
        <w:gridCol w:w="1441"/>
        <w:gridCol w:w="2250"/>
        <w:gridCol w:w="2768"/>
      </w:tblGrid>
      <w:tr w14:paraId="26DA6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6" w:type="dxa"/>
            <w:tcBorders>
              <w:top w:val="single" w:color="000000" w:sz="4" w:space="0"/>
              <w:left w:val="single" w:color="000000" w:sz="4" w:space="0"/>
              <w:bottom w:val="single" w:color="000000" w:sz="4" w:space="0"/>
              <w:right w:val="single" w:color="000000" w:sz="4" w:space="0"/>
            </w:tcBorders>
            <w:noWrap/>
            <w:vAlign w:val="center"/>
          </w:tcPr>
          <w:p w14:paraId="46B44F9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213" w:type="dxa"/>
            <w:tcBorders>
              <w:top w:val="single" w:color="000000" w:sz="4" w:space="0"/>
              <w:left w:val="single" w:color="000000" w:sz="4" w:space="0"/>
              <w:bottom w:val="single" w:color="000000" w:sz="4" w:space="0"/>
              <w:right w:val="single" w:color="000000" w:sz="4" w:space="0"/>
            </w:tcBorders>
            <w:noWrap/>
            <w:vAlign w:val="center"/>
          </w:tcPr>
          <w:p w14:paraId="5A2D665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地点</w:t>
            </w:r>
          </w:p>
        </w:tc>
        <w:tc>
          <w:tcPr>
            <w:tcW w:w="1331" w:type="dxa"/>
            <w:tcBorders>
              <w:top w:val="single" w:color="000000" w:sz="4" w:space="0"/>
              <w:left w:val="single" w:color="000000" w:sz="4" w:space="0"/>
              <w:bottom w:val="single" w:color="000000" w:sz="4" w:space="0"/>
              <w:right w:val="single" w:color="000000" w:sz="4" w:space="0"/>
            </w:tcBorders>
            <w:noWrap/>
            <w:vAlign w:val="center"/>
          </w:tcPr>
          <w:p w14:paraId="1AF4DF2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工艺方式</w:t>
            </w:r>
          </w:p>
        </w:tc>
        <w:tc>
          <w:tcPr>
            <w:tcW w:w="1441" w:type="dxa"/>
            <w:tcBorders>
              <w:top w:val="single" w:color="000000" w:sz="4" w:space="0"/>
              <w:left w:val="single" w:color="000000" w:sz="4" w:space="0"/>
              <w:bottom w:val="single" w:color="000000" w:sz="4" w:space="0"/>
              <w:right w:val="single" w:color="000000" w:sz="4" w:space="0"/>
            </w:tcBorders>
            <w:noWrap/>
            <w:vAlign w:val="center"/>
          </w:tcPr>
          <w:p w14:paraId="2CC7BF6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人员要求</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73D41CE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设备简介</w:t>
            </w:r>
          </w:p>
        </w:tc>
        <w:tc>
          <w:tcPr>
            <w:tcW w:w="2768" w:type="dxa"/>
            <w:tcBorders>
              <w:top w:val="single" w:color="000000" w:sz="4" w:space="0"/>
              <w:left w:val="single" w:color="000000" w:sz="4" w:space="0"/>
              <w:bottom w:val="single" w:color="000000" w:sz="4" w:space="0"/>
              <w:right w:val="single" w:color="000000" w:sz="4" w:space="0"/>
            </w:tcBorders>
            <w:noWrap/>
            <w:vAlign w:val="center"/>
          </w:tcPr>
          <w:p w14:paraId="7BFACC3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维保范围</w:t>
            </w:r>
          </w:p>
        </w:tc>
      </w:tr>
      <w:tr w14:paraId="7AA29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096" w:type="dxa"/>
            <w:tcBorders>
              <w:top w:val="single" w:color="000000" w:sz="4" w:space="0"/>
              <w:left w:val="single" w:color="000000" w:sz="4" w:space="0"/>
              <w:bottom w:val="single" w:color="000000" w:sz="4" w:space="0"/>
              <w:right w:val="single" w:color="000000" w:sz="4" w:space="0"/>
            </w:tcBorders>
            <w:noWrap/>
            <w:vAlign w:val="center"/>
          </w:tcPr>
          <w:p w14:paraId="788BF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发动机厂</w:t>
            </w:r>
          </w:p>
        </w:tc>
        <w:tc>
          <w:tcPr>
            <w:tcW w:w="1213" w:type="dxa"/>
            <w:tcBorders>
              <w:top w:val="single" w:color="000000" w:sz="4" w:space="0"/>
              <w:left w:val="single" w:color="000000" w:sz="4" w:space="0"/>
              <w:bottom w:val="single" w:color="000000" w:sz="4" w:space="0"/>
              <w:right w:val="single" w:color="000000" w:sz="4" w:space="0"/>
            </w:tcBorders>
            <w:noWrap w:val="0"/>
            <w:vAlign w:val="center"/>
          </w:tcPr>
          <w:p w14:paraId="26F4A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装调部-调涂二车间</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30B62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预处理+活性炭吸附+催化燃烧</w:t>
            </w:r>
          </w:p>
        </w:tc>
        <w:tc>
          <w:tcPr>
            <w:tcW w:w="1441" w:type="dxa"/>
            <w:tcBorders>
              <w:top w:val="single" w:color="000000" w:sz="4" w:space="0"/>
              <w:left w:val="single" w:color="000000" w:sz="4" w:space="0"/>
              <w:bottom w:val="single" w:color="000000" w:sz="4" w:space="0"/>
              <w:right w:val="single" w:color="000000" w:sz="4" w:space="0"/>
            </w:tcBorders>
            <w:noWrap w:val="0"/>
            <w:vAlign w:val="center"/>
          </w:tcPr>
          <w:p w14:paraId="67774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2人值守</w:t>
            </w: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60775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风量：120000m³/h，吸附箱5个，氮气产生、存储及工作系统，催化燃烧设备1套，电气系统一套</w:t>
            </w:r>
          </w:p>
        </w:tc>
        <w:tc>
          <w:tcPr>
            <w:tcW w:w="2768" w:type="dxa"/>
            <w:tcBorders>
              <w:top w:val="single" w:color="000000" w:sz="4" w:space="0"/>
              <w:left w:val="single" w:color="000000" w:sz="4" w:space="0"/>
              <w:bottom w:val="single" w:color="000000" w:sz="4" w:space="0"/>
              <w:right w:val="single" w:color="000000" w:sz="4" w:space="0"/>
            </w:tcBorders>
            <w:noWrap w:val="0"/>
            <w:vAlign w:val="center"/>
          </w:tcPr>
          <w:p w14:paraId="2C757E6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整套设备的日常操作、周期检查、日常巡检、维护保养，故障隐患的排查与故障维修、设备清洁、设备正常启停，按期更换过滤棉等耗材，包含活性炭</w:t>
            </w:r>
          </w:p>
        </w:tc>
      </w:tr>
    </w:tbl>
    <w:p w14:paraId="01CF36F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6.2 其他运维要求</w:t>
      </w:r>
    </w:p>
    <w:p w14:paraId="525EF0E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6.2.1招标方负责危险废物的处理、能源消耗（水、电、气）、易损件和设备零部件（含引风机用机油、高速黄油、风机皮带、吨包袋、气缸、阀门）的采购。投标方负责设备日常维护，小、中检修维护、消耗品的更换、脱附再生运行等</w:t>
      </w:r>
      <w:r>
        <w:rPr>
          <w:rFonts w:hint="eastAsia" w:hAnsi="宋体" w:eastAsia="宋体" w:cs="宋体"/>
          <w:b w:val="0"/>
          <w:bCs w:val="0"/>
          <w:sz w:val="24"/>
          <w:szCs w:val="24"/>
          <w:highlight w:val="none"/>
          <w:lang w:val="en-US" w:eastAsia="zh-CN"/>
        </w:rPr>
        <w:t>工作</w:t>
      </w:r>
      <w:r>
        <w:rPr>
          <w:rFonts w:hint="eastAsia" w:ascii="宋体" w:hAnsi="宋体" w:eastAsia="宋体" w:cs="宋体"/>
          <w:b w:val="0"/>
          <w:bCs w:val="0"/>
          <w:sz w:val="24"/>
          <w:szCs w:val="24"/>
          <w:highlight w:val="none"/>
          <w:lang w:val="en-US" w:eastAsia="zh-CN"/>
        </w:rPr>
        <w:t>，对运行系统的达标排放负责，保证其运行可靠，每日进行巡回检查，做好运行和自检测记录，所有耗材包含活性炭材料由招标方提供，投标方负责施工。</w:t>
      </w:r>
    </w:p>
    <w:p w14:paraId="1DCD16BE">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6.2.2 VOCs废气处理系统操作人员须经过培训合格后方可上岗，且必须严格遵守操作规程；非经授权，任何人不得随意更改控制运行参数，每小时进行巡回检查，确保设备安全有序运行，并做好运行和自检测记录，非操作人员严禁操作本系统。</w:t>
      </w:r>
    </w:p>
    <w:p w14:paraId="7F0FDC54">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6.2.3 完善VOCs设备关键部位备件的储备，由投标方根据设备运行状态需求提供备件储备建议，</w:t>
      </w:r>
      <w:r>
        <w:rPr>
          <w:rFonts w:hint="eastAsia" w:hAnsi="宋体" w:eastAsia="宋体" w:cs="宋体"/>
          <w:b w:val="0"/>
          <w:bCs w:val="0"/>
          <w:sz w:val="24"/>
          <w:szCs w:val="24"/>
          <w:highlight w:val="none"/>
          <w:lang w:val="en-US" w:eastAsia="zh-CN"/>
        </w:rPr>
        <w:t>招标方</w:t>
      </w:r>
      <w:r>
        <w:rPr>
          <w:rFonts w:hint="eastAsia" w:ascii="宋体" w:hAnsi="宋体" w:eastAsia="宋体" w:cs="宋体"/>
          <w:b w:val="0"/>
          <w:bCs w:val="0"/>
          <w:sz w:val="24"/>
          <w:szCs w:val="24"/>
          <w:highlight w:val="none"/>
          <w:lang w:val="en-US" w:eastAsia="zh-CN"/>
        </w:rPr>
        <w:t>确认后提交流程购买储备，投标方免费更换。</w:t>
      </w:r>
    </w:p>
    <w:p w14:paraId="2BCD4609">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6.2.4严格避免急停操作，无重大事故情况应避免使用急停操作，不要频繁启动和停机，要精心保护人机界面，不得用指甲或其它尖锐的硬物触碰，以免划伤表面，严禁非操作人员开启电控柜门，以免出现意外。</w:t>
      </w:r>
    </w:p>
    <w:p w14:paraId="22B3891F">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6.2.5 投标方维护期间应记录好设备维保（维修）数据，每次维保（维修）前需要做报备工作（设备开机、关机状态提前上报</w:t>
      </w:r>
      <w:r>
        <w:rPr>
          <w:rFonts w:hint="eastAsia" w:hAnsi="宋体" w:eastAsia="宋体" w:cs="宋体"/>
          <w:b w:val="0"/>
          <w:bCs w:val="0"/>
          <w:sz w:val="24"/>
          <w:szCs w:val="24"/>
          <w:highlight w:val="none"/>
          <w:lang w:val="en-US" w:eastAsia="zh-CN"/>
        </w:rPr>
        <w:t>招标方</w:t>
      </w:r>
      <w:r>
        <w:rPr>
          <w:rFonts w:hint="eastAsia" w:ascii="宋体" w:hAnsi="宋体" w:eastAsia="宋体" w:cs="宋体"/>
          <w:b w:val="0"/>
          <w:bCs w:val="0"/>
          <w:sz w:val="24"/>
          <w:szCs w:val="24"/>
          <w:highlight w:val="none"/>
          <w:lang w:val="en-US" w:eastAsia="zh-CN"/>
        </w:rPr>
        <w:t>）。</w:t>
      </w:r>
    </w:p>
    <w:p w14:paraId="67635C7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6.2.6 每台设备维保内容及明细：需要每月向</w:t>
      </w:r>
      <w:r>
        <w:rPr>
          <w:rFonts w:hint="eastAsia" w:hAnsi="宋体" w:eastAsia="宋体" w:cs="宋体"/>
          <w:b w:val="0"/>
          <w:bCs w:val="0"/>
          <w:sz w:val="24"/>
          <w:szCs w:val="24"/>
          <w:highlight w:val="none"/>
          <w:lang w:val="en-US" w:eastAsia="zh-CN"/>
        </w:rPr>
        <w:t>招标方</w:t>
      </w:r>
      <w:r>
        <w:rPr>
          <w:rFonts w:hint="eastAsia" w:ascii="宋体" w:hAnsi="宋体" w:eastAsia="宋体" w:cs="宋体"/>
          <w:b w:val="0"/>
          <w:bCs w:val="0"/>
          <w:sz w:val="24"/>
          <w:szCs w:val="24"/>
          <w:highlight w:val="none"/>
          <w:lang w:val="en-US" w:eastAsia="zh-CN"/>
        </w:rPr>
        <w:t>提供维保明细报表及月度报告，并注明异常情况处理及维修（驻厂故障处理人员5分钟到达，非驻厂故障处理人员</w:t>
      </w:r>
      <w:r>
        <w:rPr>
          <w:rFonts w:hint="eastAsia" w:hAnsi="宋体" w:eastAsia="宋体" w:cs="宋体"/>
          <w:b w:val="0"/>
          <w:bCs w:val="0"/>
          <w:sz w:val="24"/>
          <w:szCs w:val="24"/>
          <w:highlight w:val="none"/>
          <w:lang w:val="en-US" w:eastAsia="zh-CN"/>
        </w:rPr>
        <w:t>24小时</w:t>
      </w:r>
      <w:r>
        <w:rPr>
          <w:rFonts w:hint="eastAsia" w:ascii="宋体" w:hAnsi="宋体" w:eastAsia="宋体" w:cs="宋体"/>
          <w:b w:val="0"/>
          <w:bCs w:val="0"/>
          <w:sz w:val="24"/>
          <w:szCs w:val="24"/>
          <w:highlight w:val="none"/>
          <w:lang w:val="en-US" w:eastAsia="zh-CN"/>
        </w:rPr>
        <w:t>内到厂）、维保内容、异常处理情况建议等。</w:t>
      </w:r>
      <w:r>
        <w:rPr>
          <w:rFonts w:hint="eastAsia" w:ascii="宋体" w:hAnsi="宋体" w:eastAsia="宋体" w:cs="宋体"/>
          <w:b w:val="0"/>
          <w:bCs w:val="0"/>
          <w:color w:val="auto"/>
          <w:sz w:val="24"/>
          <w:szCs w:val="24"/>
          <w:highlight w:val="none"/>
          <w:lang w:val="en-US" w:eastAsia="zh-CN"/>
        </w:rPr>
        <w:t>提供VOCs设备排放污染物达标数据，做为验收标准。</w:t>
      </w:r>
    </w:p>
    <w:p w14:paraId="40435670">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6.2.7 </w:t>
      </w:r>
      <w:r>
        <w:rPr>
          <w:rFonts w:hint="eastAsia" w:hAnsi="宋体" w:eastAsia="宋体" w:cs="宋体"/>
          <w:b w:val="0"/>
          <w:bCs w:val="0"/>
          <w:sz w:val="24"/>
          <w:szCs w:val="24"/>
          <w:lang w:val="en-US" w:eastAsia="zh-CN"/>
        </w:rPr>
        <w:t>投标方应按招标方</w:t>
      </w:r>
      <w:r>
        <w:rPr>
          <w:rFonts w:hint="eastAsia" w:ascii="宋体" w:hAnsi="宋体" w:eastAsia="宋体" w:cs="宋体"/>
          <w:b w:val="0"/>
          <w:bCs w:val="0"/>
          <w:sz w:val="24"/>
          <w:szCs w:val="24"/>
          <w:lang w:val="en-US" w:eastAsia="zh-CN"/>
        </w:rPr>
        <w:t>停电预通知</w:t>
      </w:r>
      <w:r>
        <w:rPr>
          <w:rFonts w:hint="eastAsia" w:hAnsi="宋体" w:eastAsia="宋体" w:cs="宋体"/>
          <w:b w:val="0"/>
          <w:bCs w:val="0"/>
          <w:sz w:val="24"/>
          <w:szCs w:val="24"/>
          <w:lang w:val="en-US" w:eastAsia="zh-CN"/>
        </w:rPr>
        <w:t>执行</w:t>
      </w:r>
      <w:r>
        <w:rPr>
          <w:rFonts w:hint="eastAsia" w:ascii="宋体" w:hAnsi="宋体" w:eastAsia="宋体" w:cs="宋体"/>
          <w:b w:val="0"/>
          <w:bCs w:val="0"/>
          <w:sz w:val="24"/>
          <w:szCs w:val="24"/>
          <w:lang w:val="en-US" w:eastAsia="zh-CN"/>
        </w:rPr>
        <w:t>。操作人员得到停电通知后，不能启动VOC设备，若已经启动则立即停机，争取在停电前将催化燃烧装置温度降至安全水平以下。如遇突发性停电，</w:t>
      </w:r>
      <w:r>
        <w:rPr>
          <w:rFonts w:hint="eastAsia" w:hAnsi="宋体" w:eastAsia="宋体" w:cs="宋体"/>
          <w:b w:val="0"/>
          <w:bCs w:val="0"/>
          <w:sz w:val="24"/>
          <w:szCs w:val="24"/>
          <w:lang w:val="en-US" w:eastAsia="zh-CN"/>
        </w:rPr>
        <w:t>应按照招标方要求</w:t>
      </w:r>
      <w:r>
        <w:rPr>
          <w:rFonts w:hint="eastAsia" w:ascii="宋体" w:hAnsi="宋体" w:eastAsia="宋体" w:cs="宋体"/>
          <w:b w:val="0"/>
          <w:bCs w:val="0"/>
          <w:sz w:val="24"/>
          <w:szCs w:val="24"/>
          <w:lang w:val="en-US" w:eastAsia="zh-CN"/>
        </w:rPr>
        <w:t>尽快</w:t>
      </w:r>
      <w:r>
        <w:rPr>
          <w:rFonts w:hint="eastAsia" w:hAnsi="宋体" w:eastAsia="宋体" w:cs="宋体"/>
          <w:b w:val="0"/>
          <w:bCs w:val="0"/>
          <w:sz w:val="24"/>
          <w:szCs w:val="24"/>
          <w:lang w:val="en-US" w:eastAsia="zh-CN"/>
        </w:rPr>
        <w:t>恢复</w:t>
      </w:r>
      <w:r>
        <w:rPr>
          <w:rFonts w:hint="eastAsia" w:ascii="宋体" w:hAnsi="宋体" w:eastAsia="宋体" w:cs="宋体"/>
          <w:b w:val="0"/>
          <w:bCs w:val="0"/>
          <w:sz w:val="24"/>
          <w:szCs w:val="24"/>
          <w:lang w:val="en-US" w:eastAsia="zh-CN"/>
        </w:rPr>
        <w:t>VOC设备</w:t>
      </w:r>
      <w:r>
        <w:rPr>
          <w:rFonts w:hint="eastAsia" w:hAnsi="宋体" w:eastAsia="宋体" w:cs="宋体"/>
          <w:b w:val="0"/>
          <w:bCs w:val="0"/>
          <w:sz w:val="24"/>
          <w:szCs w:val="24"/>
          <w:lang w:val="en-US" w:eastAsia="zh-CN"/>
        </w:rPr>
        <w:t>正常运行</w:t>
      </w:r>
      <w:r>
        <w:rPr>
          <w:rFonts w:hint="eastAsia" w:ascii="宋体" w:hAnsi="宋体" w:eastAsia="宋体" w:cs="宋体"/>
          <w:b w:val="0"/>
          <w:bCs w:val="0"/>
          <w:sz w:val="24"/>
          <w:szCs w:val="24"/>
          <w:lang w:val="en-US" w:eastAsia="zh-CN"/>
        </w:rPr>
        <w:t>。</w:t>
      </w:r>
    </w:p>
    <w:p w14:paraId="2E34462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6.2.8 投标方根据环保要求协助做好每季度环保检测工作。</w:t>
      </w:r>
    </w:p>
    <w:p w14:paraId="6F9B810E">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6.2.9针对日常维保明细</w:t>
      </w:r>
      <w:r>
        <w:rPr>
          <w:rFonts w:hint="eastAsia" w:hAnsi="宋体" w:eastAsia="宋体" w:cs="宋体"/>
          <w:b/>
          <w:bCs/>
          <w:sz w:val="24"/>
          <w:szCs w:val="24"/>
          <w:lang w:val="en-US" w:eastAsia="zh-CN"/>
        </w:rPr>
        <w:t>，</w:t>
      </w:r>
      <w:r>
        <w:rPr>
          <w:rFonts w:hint="eastAsia" w:ascii="宋体" w:hAnsi="宋体" w:eastAsia="宋体" w:cs="宋体"/>
          <w:b/>
          <w:bCs/>
          <w:sz w:val="24"/>
          <w:szCs w:val="24"/>
          <w:lang w:val="en-US" w:eastAsia="zh-CN"/>
        </w:rPr>
        <w:t>每年</w:t>
      </w:r>
      <w:r>
        <w:rPr>
          <w:rFonts w:hint="eastAsia" w:hAnsi="宋体" w:eastAsia="宋体" w:cs="宋体"/>
          <w:b/>
          <w:bCs/>
          <w:sz w:val="24"/>
          <w:szCs w:val="24"/>
          <w:lang w:val="en-US" w:eastAsia="zh-CN"/>
        </w:rPr>
        <w:t>4月、10月份投标方要</w:t>
      </w:r>
      <w:r>
        <w:rPr>
          <w:rFonts w:hint="eastAsia" w:ascii="宋体" w:hAnsi="宋体" w:eastAsia="宋体" w:cs="宋体"/>
          <w:b/>
          <w:bCs/>
          <w:sz w:val="24"/>
          <w:szCs w:val="24"/>
          <w:lang w:val="en-US" w:eastAsia="zh-CN"/>
        </w:rPr>
        <w:t>对VOCs设备</w:t>
      </w:r>
      <w:r>
        <w:rPr>
          <w:rFonts w:hint="eastAsia" w:hAnsi="宋体" w:eastAsia="宋体" w:cs="宋体"/>
          <w:b/>
          <w:bCs/>
          <w:sz w:val="24"/>
          <w:szCs w:val="24"/>
          <w:lang w:val="en-US" w:eastAsia="zh-CN"/>
        </w:rPr>
        <w:t>各</w:t>
      </w:r>
      <w:r>
        <w:rPr>
          <w:rFonts w:hint="eastAsia" w:ascii="宋体" w:hAnsi="宋体" w:eastAsia="宋体" w:cs="宋体"/>
          <w:b/>
          <w:bCs/>
          <w:sz w:val="24"/>
          <w:szCs w:val="24"/>
          <w:lang w:val="en-US" w:eastAsia="zh-CN"/>
        </w:rPr>
        <w:t>进行一次系统性维护，</w:t>
      </w:r>
      <w:r>
        <w:rPr>
          <w:rFonts w:hint="eastAsia" w:hAnsi="宋体" w:eastAsia="宋体" w:cs="宋体"/>
          <w:b/>
          <w:bCs/>
          <w:sz w:val="24"/>
          <w:szCs w:val="24"/>
          <w:lang w:val="en-US" w:eastAsia="zh-CN"/>
        </w:rPr>
        <w:t>并对VOCs内部管道及风道进行专项清理，</w:t>
      </w:r>
      <w:r>
        <w:rPr>
          <w:rFonts w:hint="eastAsia" w:ascii="宋体" w:hAnsi="宋体" w:eastAsia="宋体" w:cs="宋体"/>
          <w:b/>
          <w:bCs/>
          <w:sz w:val="24"/>
          <w:szCs w:val="24"/>
          <w:lang w:val="en-US" w:eastAsia="zh-CN"/>
        </w:rPr>
        <w:t>参照维保明细提出设备状态报告。</w:t>
      </w:r>
    </w:p>
    <w:p w14:paraId="7183162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val="en-US" w:eastAsia="zh-CN"/>
        </w:rPr>
        <w:t>6.2.10 VOCs设备（活性炭）日常点检、维保见下表：</w:t>
      </w:r>
    </w:p>
    <w:tbl>
      <w:tblPr>
        <w:tblStyle w:val="12"/>
        <w:tblW w:w="10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3"/>
        <w:gridCol w:w="1472"/>
        <w:gridCol w:w="1216"/>
        <w:gridCol w:w="3580"/>
        <w:gridCol w:w="899"/>
        <w:gridCol w:w="525"/>
        <w:gridCol w:w="1175"/>
        <w:gridCol w:w="645"/>
      </w:tblGrid>
      <w:tr w14:paraId="4D91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C30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29F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维保内容</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446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检查项目</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924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具体内容</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62F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周期单位</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DB3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周期</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135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检查模式</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BFA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7269F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BF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098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过滤系统</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1A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过滤箱体压差值</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DF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根据现场使用情况</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0B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75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63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E2617">
            <w:pPr>
              <w:jc w:val="center"/>
              <w:rPr>
                <w:rFonts w:hint="eastAsia" w:ascii="宋体" w:hAnsi="宋体" w:eastAsia="宋体" w:cs="宋体"/>
                <w:i w:val="0"/>
                <w:iCs w:val="0"/>
                <w:color w:val="000000"/>
                <w:sz w:val="20"/>
                <w:szCs w:val="20"/>
                <w:u w:val="none"/>
              </w:rPr>
            </w:pPr>
          </w:p>
        </w:tc>
      </w:tr>
      <w:tr w14:paraId="16A3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31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0C7B19">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D2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过滤箱体压差表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47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压差表完好、管路无破损通畅</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2F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A7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5E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3D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5BE61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99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6DED2">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1D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过滤箱内外部框架</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F5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内外部框架结构及密封无变形、漏雨、漏风</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40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60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CB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3BF51">
            <w:pPr>
              <w:jc w:val="center"/>
              <w:rPr>
                <w:rFonts w:hint="eastAsia" w:ascii="宋体" w:hAnsi="宋体" w:eastAsia="宋体" w:cs="宋体"/>
                <w:i w:val="0"/>
                <w:iCs w:val="0"/>
                <w:color w:val="000000"/>
                <w:sz w:val="20"/>
                <w:szCs w:val="20"/>
                <w:u w:val="none"/>
              </w:rPr>
            </w:pPr>
          </w:p>
        </w:tc>
      </w:tr>
      <w:tr w14:paraId="1EB8B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E7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0FCB9C">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2E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过滤箱体外部部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10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过滤箱体外部无油污、积尘</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2A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71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3F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1B9AC">
            <w:pPr>
              <w:jc w:val="center"/>
              <w:rPr>
                <w:rFonts w:hint="eastAsia" w:ascii="宋体" w:hAnsi="宋体" w:eastAsia="宋体" w:cs="宋体"/>
                <w:i w:val="0"/>
                <w:iCs w:val="0"/>
                <w:color w:val="000000"/>
                <w:sz w:val="20"/>
                <w:szCs w:val="20"/>
                <w:u w:val="none"/>
              </w:rPr>
            </w:pPr>
          </w:p>
        </w:tc>
      </w:tr>
      <w:tr w14:paraId="6C52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7E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DA601">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98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过滤箱体内部部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BD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过滤箱体内部清理，确保无漆渣堆积，无积水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3F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F0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24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DEF44">
            <w:pPr>
              <w:jc w:val="center"/>
              <w:rPr>
                <w:rFonts w:hint="eastAsia" w:ascii="宋体" w:hAnsi="宋体" w:eastAsia="宋体" w:cs="宋体"/>
                <w:i w:val="0"/>
                <w:iCs w:val="0"/>
                <w:color w:val="000000"/>
                <w:sz w:val="20"/>
                <w:szCs w:val="20"/>
                <w:u w:val="none"/>
              </w:rPr>
            </w:pPr>
          </w:p>
        </w:tc>
      </w:tr>
      <w:tr w14:paraId="35114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A8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BD2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吸附系统</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9A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外观</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2A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检查每个吸附箱门把是否损坏，门是否关紧密封。</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52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BA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8C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4B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3FB1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09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E753D4">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9A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进出气阀</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B2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进出气阀密封、轴承完好，阀轴无磨损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0B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6C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EF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F33E2">
            <w:pPr>
              <w:jc w:val="center"/>
              <w:rPr>
                <w:rFonts w:hint="eastAsia" w:ascii="宋体" w:hAnsi="宋体" w:eastAsia="宋体" w:cs="宋体"/>
                <w:i w:val="0"/>
                <w:iCs w:val="0"/>
                <w:color w:val="000000"/>
                <w:sz w:val="20"/>
                <w:szCs w:val="20"/>
                <w:u w:val="none"/>
              </w:rPr>
            </w:pPr>
          </w:p>
        </w:tc>
      </w:tr>
      <w:tr w14:paraId="63481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9D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1DE831">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3A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阀组电子执行器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3A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阀组电动执行器无卡顿、异响。</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31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F2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1D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7DCA4">
            <w:pPr>
              <w:jc w:val="center"/>
              <w:rPr>
                <w:rFonts w:hint="eastAsia" w:ascii="宋体" w:hAnsi="宋体" w:eastAsia="宋体" w:cs="宋体"/>
                <w:i w:val="0"/>
                <w:iCs w:val="0"/>
                <w:color w:val="000000"/>
                <w:sz w:val="20"/>
                <w:szCs w:val="20"/>
                <w:u w:val="none"/>
              </w:rPr>
            </w:pPr>
          </w:p>
        </w:tc>
      </w:tr>
      <w:tr w14:paraId="06DF7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77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0ABCEE">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A2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阀组二联体</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0B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压力表完好，无漏气，二联体润滑油位不低于最低界限</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7E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F8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11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21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7957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73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B7A1A">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93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活性炭箱</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57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检查活性碳摆放是否整齐</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2D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2B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7A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CDE81">
            <w:pPr>
              <w:jc w:val="center"/>
              <w:rPr>
                <w:rFonts w:hint="eastAsia" w:ascii="宋体" w:hAnsi="宋体" w:eastAsia="宋体" w:cs="宋体"/>
                <w:i w:val="0"/>
                <w:iCs w:val="0"/>
                <w:color w:val="000000"/>
                <w:sz w:val="20"/>
                <w:szCs w:val="20"/>
                <w:u w:val="none"/>
              </w:rPr>
            </w:pPr>
          </w:p>
        </w:tc>
      </w:tr>
      <w:tr w14:paraId="6A863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333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4367F">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C2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氮气</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2B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检查氮气压力表完好，压力在规定范围内</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46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01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05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32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定量</w:t>
            </w:r>
          </w:p>
        </w:tc>
      </w:tr>
      <w:tr w14:paraId="656CB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A2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76DC7">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00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消防栓、灭火器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21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消防栓功能、部件完好，灭火器压力在绿色范围内</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4C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04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64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1DC87">
            <w:pPr>
              <w:jc w:val="center"/>
              <w:rPr>
                <w:rFonts w:hint="eastAsia" w:ascii="宋体" w:hAnsi="宋体" w:eastAsia="宋体" w:cs="宋体"/>
                <w:i w:val="0"/>
                <w:iCs w:val="0"/>
                <w:color w:val="000000"/>
                <w:sz w:val="20"/>
                <w:szCs w:val="20"/>
                <w:u w:val="none"/>
              </w:rPr>
            </w:pPr>
          </w:p>
        </w:tc>
      </w:tr>
      <w:tr w14:paraId="436D6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61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228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co系统</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18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CO系统催化燃烧器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63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查看催化燃烧器电加热器，热电偶接线是否牢固，线路绝缘是否有损伤。</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D0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6B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8B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7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5ED3B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54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1BCC69">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89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co系统燃烧室温度</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4C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屏幕显示燃烧室温度是否在范围之内</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8E1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70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F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4E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班中</w:t>
            </w:r>
          </w:p>
        </w:tc>
      </w:tr>
      <w:tr w14:paraId="57AD1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58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5DE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吸附风机，助燃风机、脱附风机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41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40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检查并确认电机、减速机固定螺栓无松动，减速机油位正常，减震垫无破损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056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B5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7A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D046F">
            <w:pPr>
              <w:jc w:val="center"/>
              <w:rPr>
                <w:rFonts w:hint="eastAsia" w:ascii="宋体" w:hAnsi="宋体" w:eastAsia="宋体" w:cs="宋体"/>
                <w:i w:val="0"/>
                <w:iCs w:val="0"/>
                <w:color w:val="000000"/>
                <w:sz w:val="20"/>
                <w:szCs w:val="20"/>
                <w:u w:val="none"/>
              </w:rPr>
            </w:pPr>
          </w:p>
        </w:tc>
      </w:tr>
      <w:tr w14:paraId="7339B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5C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AE45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29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FE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吸附风机电机两端轴承油嘴注油</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FF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E3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4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F50CE">
            <w:pPr>
              <w:jc w:val="center"/>
              <w:rPr>
                <w:rFonts w:hint="eastAsia" w:ascii="宋体" w:hAnsi="宋体" w:eastAsia="宋体" w:cs="宋体"/>
                <w:i w:val="0"/>
                <w:iCs w:val="0"/>
                <w:color w:val="000000"/>
                <w:sz w:val="20"/>
                <w:szCs w:val="20"/>
                <w:u w:val="none"/>
              </w:rPr>
            </w:pPr>
          </w:p>
        </w:tc>
      </w:tr>
      <w:tr w14:paraId="1A636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74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DE12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99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5C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检查风机有无异响、异常振动，测量风机振动值不高于7.1mm/s</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4D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B7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19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00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定量</w:t>
            </w:r>
          </w:p>
        </w:tc>
      </w:tr>
      <w:tr w14:paraId="7EBD7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34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739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68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50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检查电机有无异响、异常振动，测量电机振动值不高于7.1mm/s</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B7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37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09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D0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定量</w:t>
            </w:r>
          </w:p>
        </w:tc>
      </w:tr>
      <w:tr w14:paraId="29714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E9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67A9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BE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7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检查风机电机的两端温度值，运行温度不高于80℃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01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7F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C7B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7C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定量</w:t>
            </w:r>
          </w:p>
        </w:tc>
      </w:tr>
      <w:tr w14:paraId="01DF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3A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6E6E1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C2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FB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检查风机、电机有无异响、异常振动，测量风机、电机振动值不高于7.1mm/s</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1C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3D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A6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64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定量</w:t>
            </w:r>
          </w:p>
        </w:tc>
      </w:tr>
      <w:tr w14:paraId="12DB2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DB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1A0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5B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脱附风机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4F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脱附风机电机两端轴承油嘴注油</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FD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3D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D5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90B8E">
            <w:pPr>
              <w:jc w:val="center"/>
              <w:rPr>
                <w:rFonts w:hint="eastAsia" w:ascii="宋体" w:hAnsi="宋体" w:eastAsia="宋体" w:cs="宋体"/>
                <w:i w:val="0"/>
                <w:iCs w:val="0"/>
                <w:color w:val="000000"/>
                <w:sz w:val="20"/>
                <w:szCs w:val="20"/>
                <w:u w:val="none"/>
              </w:rPr>
            </w:pPr>
          </w:p>
        </w:tc>
      </w:tr>
      <w:tr w14:paraId="03D85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6D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A4A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48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71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检查风机有无异响、异常振动。检查电机有无异响、异常振动。</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4C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ED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F1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339FE">
            <w:pPr>
              <w:jc w:val="center"/>
              <w:rPr>
                <w:rFonts w:hint="eastAsia" w:ascii="宋体" w:hAnsi="宋体" w:eastAsia="宋体" w:cs="宋体"/>
                <w:i w:val="0"/>
                <w:iCs w:val="0"/>
                <w:color w:val="000000"/>
                <w:sz w:val="20"/>
                <w:szCs w:val="20"/>
                <w:u w:val="none"/>
              </w:rPr>
            </w:pPr>
          </w:p>
        </w:tc>
      </w:tr>
      <w:tr w14:paraId="6F12E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0F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1A1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26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冷却风机</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80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清洗更换进风口过滤棉</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6E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73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C2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61F1D">
            <w:pPr>
              <w:jc w:val="center"/>
              <w:rPr>
                <w:rFonts w:hint="eastAsia" w:ascii="宋体" w:hAnsi="宋体" w:eastAsia="宋体" w:cs="宋体"/>
                <w:i w:val="0"/>
                <w:iCs w:val="0"/>
                <w:color w:val="000000"/>
                <w:sz w:val="20"/>
                <w:szCs w:val="20"/>
                <w:u w:val="none"/>
              </w:rPr>
            </w:pPr>
          </w:p>
        </w:tc>
      </w:tr>
      <w:tr w14:paraId="6787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88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C61AE">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0B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风机皮带</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E1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检查风机皮带表面有无裂纹，运行中是否抖动</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B9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96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D4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D647A">
            <w:pPr>
              <w:jc w:val="center"/>
              <w:rPr>
                <w:rFonts w:hint="eastAsia" w:ascii="宋体" w:hAnsi="宋体" w:eastAsia="宋体" w:cs="宋体"/>
                <w:i w:val="0"/>
                <w:iCs w:val="0"/>
                <w:color w:val="000000"/>
                <w:sz w:val="20"/>
                <w:szCs w:val="20"/>
                <w:u w:val="none"/>
              </w:rPr>
            </w:pPr>
          </w:p>
        </w:tc>
      </w:tr>
      <w:tr w14:paraId="7C0C0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88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D83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电气控制部分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7A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变频器</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20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检查变频器无异常，绿灯常亮，风扇运行正常</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8A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14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0B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E5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68F1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BE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AC1A86">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D8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配电室</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EF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保持配电室内清洁无杂物</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0E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78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64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60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班后</w:t>
            </w:r>
          </w:p>
        </w:tc>
      </w:tr>
      <w:tr w14:paraId="37D63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20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4AB14">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90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电控柜</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5D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检查电控柜散热风扇或空调运行正常，无异味</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90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4E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CD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1E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08221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C6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5F5B28">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7E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程序</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64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程序备份一次，运行数据并保存拷贝</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5B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28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D3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584F7">
            <w:pPr>
              <w:jc w:val="center"/>
              <w:rPr>
                <w:rFonts w:hint="eastAsia" w:ascii="宋体" w:hAnsi="宋体" w:eastAsia="宋体" w:cs="宋体"/>
                <w:i w:val="0"/>
                <w:iCs w:val="0"/>
                <w:color w:val="000000"/>
                <w:sz w:val="20"/>
                <w:szCs w:val="20"/>
                <w:u w:val="none"/>
              </w:rPr>
            </w:pPr>
          </w:p>
        </w:tc>
      </w:tr>
      <w:tr w14:paraId="51B74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59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6282E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27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控制显示屏</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67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检查显示屏界面无异常报警，触摸灵活无死机情况。</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ED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04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5C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E6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38C6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D5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7BD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49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B1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线缆无破损，护线套无开裂、脱落</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5F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FE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97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日常点检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42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w:t>
            </w:r>
          </w:p>
        </w:tc>
      </w:tr>
      <w:tr w14:paraId="13FBB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2B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449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A9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设备主体风道</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FC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检查支架牢固无变形，风道连接密封处无漏点，风道无变形破损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2A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78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7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70A86">
            <w:pPr>
              <w:jc w:val="center"/>
              <w:rPr>
                <w:rFonts w:hint="eastAsia" w:ascii="宋体" w:hAnsi="宋体" w:eastAsia="宋体" w:cs="宋体"/>
                <w:i w:val="0"/>
                <w:iCs w:val="0"/>
                <w:color w:val="000000"/>
                <w:sz w:val="20"/>
                <w:szCs w:val="20"/>
                <w:u w:val="none"/>
              </w:rPr>
            </w:pPr>
          </w:p>
        </w:tc>
      </w:tr>
      <w:tr w14:paraId="4C909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6B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A1E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1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8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定期对消防相关设施进行有效性测试</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F2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60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C3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周期性维护</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69437">
            <w:pPr>
              <w:jc w:val="center"/>
              <w:rPr>
                <w:rFonts w:hint="eastAsia" w:ascii="宋体" w:hAnsi="宋体" w:eastAsia="宋体" w:cs="宋体"/>
                <w:i w:val="0"/>
                <w:iCs w:val="0"/>
                <w:color w:val="000000"/>
                <w:sz w:val="20"/>
                <w:szCs w:val="20"/>
                <w:u w:val="none"/>
              </w:rPr>
            </w:pPr>
          </w:p>
        </w:tc>
      </w:tr>
    </w:tbl>
    <w:p w14:paraId="4FB75AD0">
      <w:pPr>
        <w:pStyle w:val="6"/>
        <w:numPr>
          <w:ilvl w:val="0"/>
          <w:numId w:val="0"/>
        </w:numPr>
        <w:spacing w:line="360" w:lineRule="auto"/>
        <w:ind w:leftChars="0"/>
        <w:rPr>
          <w:rFonts w:hint="eastAsia" w:ascii="宋体" w:hAnsi="宋体" w:eastAsia="宋体" w:cs="宋体"/>
          <w:b w:val="0"/>
          <w:bCs w:val="0"/>
          <w:lang w:val="en-US" w:eastAsia="zh-CN"/>
        </w:rPr>
      </w:pPr>
      <w:r>
        <w:rPr>
          <w:rFonts w:hint="eastAsia" w:ascii="宋体" w:hAnsi="宋体" w:eastAsia="宋体" w:cs="宋体"/>
          <w:b w:val="0"/>
          <w:bCs w:val="0"/>
          <w:lang w:val="en-US" w:eastAsia="zh-CN"/>
        </w:rPr>
        <w:t>注：上表维护要求未明确说明的，涉及VOCs废气处理包含所有设备、设施的操作、维修、维护其他事项，由招标方与投标方沟通确定维保要求，投标方负责实施。</w:t>
      </w:r>
    </w:p>
    <w:p w14:paraId="14336AE2">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7、维保后性能要求</w:t>
      </w:r>
    </w:p>
    <w:p w14:paraId="44E04D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保证</w:t>
      </w:r>
      <w:r>
        <w:rPr>
          <w:rFonts w:hint="eastAsia" w:ascii="宋体" w:hAnsi="宋体" w:eastAsia="宋体" w:cs="宋体"/>
          <w:color w:val="auto"/>
          <w:sz w:val="24"/>
          <w:szCs w:val="24"/>
          <w:highlight w:val="none"/>
          <w:lang w:val="en-US"/>
        </w:rPr>
        <w:t>VOCs</w:t>
      </w:r>
      <w:r>
        <w:rPr>
          <w:rFonts w:hint="eastAsia" w:ascii="宋体" w:hAnsi="宋体" w:eastAsia="宋体" w:cs="宋体"/>
          <w:color w:val="auto"/>
          <w:sz w:val="24"/>
          <w:szCs w:val="24"/>
          <w:highlight w:val="none"/>
        </w:rPr>
        <w:t>废气处理设备安全运行达标排放。</w:t>
      </w:r>
    </w:p>
    <w:p w14:paraId="45D858E4">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各部位阀体、气缸运行灵敏到位。</w:t>
      </w:r>
    </w:p>
    <w:p w14:paraId="065962D1">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室体及管道无废气泄露，符合环保要求。</w:t>
      </w:r>
    </w:p>
    <w:p w14:paraId="6A0D4522">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保证</w:t>
      </w:r>
      <w:r>
        <w:rPr>
          <w:rFonts w:hint="eastAsia" w:ascii="宋体" w:hAnsi="宋体" w:eastAsia="宋体" w:cs="宋体"/>
          <w:color w:val="auto"/>
          <w:sz w:val="24"/>
          <w:szCs w:val="24"/>
          <w:highlight w:val="none"/>
          <w:lang w:val="en-US" w:eastAsia="zh-CN"/>
        </w:rPr>
        <w:t>预处理箱、活性炭箱</w:t>
      </w:r>
      <w:r>
        <w:rPr>
          <w:rFonts w:hint="eastAsia" w:ascii="宋体" w:hAnsi="宋体" w:eastAsia="宋体" w:cs="宋体"/>
          <w:color w:val="auto"/>
          <w:sz w:val="24"/>
          <w:szCs w:val="24"/>
          <w:highlight w:val="none"/>
        </w:rPr>
        <w:t>等关键部位的运行温度不能出现超温</w:t>
      </w:r>
      <w:r>
        <w:rPr>
          <w:rFonts w:hint="eastAsia" w:ascii="宋体" w:hAnsi="宋体" w:eastAsia="宋体" w:cs="宋体"/>
          <w:color w:val="auto"/>
          <w:sz w:val="24"/>
          <w:szCs w:val="24"/>
          <w:highlight w:val="none"/>
          <w:lang w:val="en-US" w:eastAsia="zh-CN"/>
        </w:rPr>
        <w:t>损坏</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因运行维护不到位造成的设备损坏由投标方全额赔偿</w:t>
      </w:r>
      <w:r>
        <w:rPr>
          <w:rFonts w:hint="eastAsia" w:ascii="宋体" w:hAnsi="宋体" w:eastAsia="宋体" w:cs="宋体"/>
          <w:color w:val="auto"/>
          <w:sz w:val="24"/>
          <w:szCs w:val="24"/>
          <w:highlight w:val="none"/>
        </w:rPr>
        <w:t>。</w:t>
      </w:r>
    </w:p>
    <w:p w14:paraId="0D0F6449">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5</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风道及钢结构无锈蚀和变形。</w:t>
      </w:r>
    </w:p>
    <w:p w14:paraId="09956208">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6</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电机、风机等各部位润滑点无振动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w:t>
      </w:r>
      <w:r>
        <w:rPr>
          <w:rFonts w:hint="eastAsia" w:ascii="宋体" w:hAnsi="宋体" w:eastAsia="宋体" w:cs="宋体"/>
          <w:color w:val="auto"/>
          <w:sz w:val="24"/>
          <w:szCs w:val="24"/>
          <w:highlight w:val="none"/>
          <w:lang w:val="en-US" w:eastAsia="zh-CN"/>
        </w:rPr>
        <w:t>异常噪声</w:t>
      </w:r>
      <w:r>
        <w:rPr>
          <w:rFonts w:hint="eastAsia" w:ascii="宋体" w:hAnsi="宋体" w:eastAsia="宋体" w:cs="宋体"/>
          <w:color w:val="auto"/>
          <w:sz w:val="24"/>
          <w:szCs w:val="24"/>
          <w:highlight w:val="none"/>
        </w:rPr>
        <w:t>。</w:t>
      </w:r>
    </w:p>
    <w:p w14:paraId="4B3D1BFB">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保证</w:t>
      </w:r>
      <w:r>
        <w:rPr>
          <w:rFonts w:hint="eastAsia" w:ascii="宋体" w:hAnsi="宋体" w:eastAsia="宋体" w:cs="宋体"/>
          <w:color w:val="auto"/>
          <w:sz w:val="24"/>
          <w:szCs w:val="24"/>
          <w:highlight w:val="none"/>
          <w:lang w:val="en-US"/>
        </w:rPr>
        <w:t>VOCs</w:t>
      </w:r>
      <w:r>
        <w:rPr>
          <w:rFonts w:hint="eastAsia" w:ascii="宋体" w:hAnsi="宋体" w:eastAsia="宋体" w:cs="宋体"/>
          <w:color w:val="auto"/>
          <w:sz w:val="24"/>
          <w:szCs w:val="24"/>
          <w:highlight w:val="none"/>
        </w:rPr>
        <w:t>设备运行状态，因</w:t>
      </w:r>
      <w:r>
        <w:rPr>
          <w:rFonts w:hint="eastAsia" w:ascii="宋体" w:hAnsi="宋体" w:eastAsia="宋体" w:cs="宋体"/>
          <w:color w:val="auto"/>
          <w:sz w:val="24"/>
          <w:szCs w:val="24"/>
          <w:highlight w:val="none"/>
          <w:lang w:val="en-US"/>
        </w:rPr>
        <w:t>VOCs</w:t>
      </w:r>
      <w:r>
        <w:rPr>
          <w:rFonts w:hint="eastAsia" w:ascii="宋体" w:hAnsi="宋体" w:eastAsia="宋体" w:cs="宋体"/>
          <w:color w:val="auto"/>
          <w:sz w:val="24"/>
          <w:szCs w:val="24"/>
          <w:highlight w:val="none"/>
        </w:rPr>
        <w:t>设备故障对生产造成的影响，</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方承担相应的责任。</w:t>
      </w:r>
    </w:p>
    <w:p w14:paraId="621657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7.8 达到招标方及相关执法部门的安全、环保、质量的各级验收标准。</w:t>
      </w:r>
    </w:p>
    <w:p w14:paraId="0B5914E0">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7.9 承包期满，厂房和设备设施必须保持原状，损失或遗失的按交接时的实际价值由投标方全额赔偿。投标方对招标方的资产负有妥善保管责任；投标方对租赁物可能出现的各种故障和危险应及时清除，由于投标方管理不善造成租赁物损坏、丢失的，投标方应承担赔偿责任。由于投标方责任造成招标方财产损失由投标方承担。</w:t>
      </w:r>
    </w:p>
    <w:p w14:paraId="2AF01F22">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8、售后服务</w:t>
      </w:r>
    </w:p>
    <w:p w14:paraId="74D738D5">
      <w:pPr>
        <w:pStyle w:val="4"/>
        <w:rPr>
          <w:rFonts w:hint="eastAsia" w:eastAsia="宋体"/>
          <w:sz w:val="24"/>
          <w:szCs w:val="24"/>
          <w:lang w:val="en-US" w:eastAsia="zh-CN"/>
        </w:rPr>
      </w:pPr>
      <w:r>
        <w:rPr>
          <w:rFonts w:hint="eastAsia" w:ascii="宋体" w:hAnsi="宋体" w:eastAsia="宋体" w:cs="宋体"/>
          <w:bCs/>
          <w:sz w:val="24"/>
          <w:szCs w:val="24"/>
          <w:lang w:val="en-US" w:eastAsia="zh-CN"/>
        </w:rPr>
        <w:t>8.1 质保期：投标方所提供承揽服务，均自终验收签字生效之日起，不低于 3个月。</w:t>
      </w:r>
    </w:p>
    <w:p w14:paraId="681692C1">
      <w:pPr>
        <w:adjustRightInd w:val="0"/>
        <w:snapToGrid w:val="0"/>
        <w:spacing w:line="46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8.2 </w:t>
      </w:r>
      <w:r>
        <w:rPr>
          <w:rFonts w:hint="eastAsia" w:ascii="宋体" w:hAnsi="宋体" w:eastAsia="宋体" w:cs="宋体"/>
          <w:sz w:val="24"/>
          <w:szCs w:val="24"/>
        </w:rPr>
        <w:t>所有的售后服务均由</w:t>
      </w:r>
      <w:r>
        <w:rPr>
          <w:rFonts w:hint="eastAsia" w:ascii="宋体" w:hAnsi="宋体" w:eastAsia="宋体" w:cs="宋体"/>
          <w:sz w:val="24"/>
          <w:szCs w:val="24"/>
          <w:lang w:val="en-US" w:eastAsia="zh-CN"/>
        </w:rPr>
        <w:t>招标方</w:t>
      </w:r>
      <w:r>
        <w:rPr>
          <w:rFonts w:hint="eastAsia" w:ascii="宋体" w:hAnsi="宋体" w:eastAsia="宋体" w:cs="宋体"/>
          <w:sz w:val="24"/>
          <w:szCs w:val="24"/>
        </w:rPr>
        <w:t>受理。如果发生问题并且收到报告，应当在2小时内予以答复</w:t>
      </w:r>
      <w:r>
        <w:rPr>
          <w:rFonts w:hint="eastAsia" w:ascii="宋体" w:hAnsi="宋体" w:eastAsia="宋体" w:cs="宋体"/>
          <w:sz w:val="24"/>
          <w:szCs w:val="24"/>
          <w:lang w:eastAsia="zh-CN"/>
        </w:rPr>
        <w:t>。</w:t>
      </w:r>
    </w:p>
    <w:p w14:paraId="3A9384C6">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黑体" w:hAnsi="宋体" w:eastAsia="黑体" w:cs="Times New Roman"/>
          <w:b/>
          <w:bCs/>
          <w:sz w:val="28"/>
          <w:szCs w:val="28"/>
          <w:lang w:val="en-US" w:eastAsia="zh-CN"/>
        </w:rPr>
      </w:pPr>
      <w:r>
        <w:rPr>
          <w:rFonts w:hint="eastAsia" w:ascii="黑体" w:hAnsi="宋体" w:eastAsia="黑体" w:cs="Times New Roman"/>
          <w:b/>
          <w:bCs/>
          <w:sz w:val="28"/>
          <w:szCs w:val="28"/>
          <w:lang w:val="en-US" w:eastAsia="zh-CN"/>
        </w:rPr>
        <w:t>9、其他</w:t>
      </w:r>
    </w:p>
    <w:p w14:paraId="16F8351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9.1 </w:t>
      </w:r>
      <w:r>
        <w:rPr>
          <w:rFonts w:hint="eastAsia" w:ascii="宋体" w:hAnsi="宋体" w:eastAsia="宋体" w:cs="宋体"/>
          <w:sz w:val="24"/>
          <w:szCs w:val="24"/>
        </w:rPr>
        <w:t>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14:paraId="378A943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9.2 </w:t>
      </w:r>
      <w:r>
        <w:rPr>
          <w:rFonts w:hint="eastAsia" w:ascii="宋体" w:hAnsi="宋体" w:eastAsia="宋体" w:cs="宋体"/>
          <w:sz w:val="24"/>
          <w:szCs w:val="24"/>
        </w:rPr>
        <w:t>投标方员工在招标方厂区工作期间，需奉公守法，如有违反招标方管理规定或触犯国家法律法规的，投标方应当予以辞退。</w:t>
      </w:r>
    </w:p>
    <w:p w14:paraId="0ACDE99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9.3 </w:t>
      </w:r>
      <w:r>
        <w:rPr>
          <w:rFonts w:hint="eastAsia" w:ascii="宋体" w:hAnsi="宋体" w:eastAsia="宋体" w:cs="宋体"/>
          <w:sz w:val="24"/>
          <w:szCs w:val="24"/>
        </w:rPr>
        <w:t>招标方有权对投标方的生产环境、劳动保护等相关管理情况进行监督，招标方发现投标方有违规行为，有权终止合同或给予经济处罚</w:t>
      </w:r>
      <w:r>
        <w:rPr>
          <w:rFonts w:hint="eastAsia" w:ascii="宋体" w:hAnsi="宋体" w:eastAsia="宋体" w:cs="宋体"/>
          <w:sz w:val="24"/>
          <w:szCs w:val="24"/>
          <w:lang w:eastAsia="zh-CN"/>
        </w:rPr>
        <w:t>。</w:t>
      </w:r>
    </w:p>
    <w:p w14:paraId="77489FF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9.4 </w:t>
      </w:r>
      <w:r>
        <w:rPr>
          <w:rFonts w:hint="eastAsia" w:ascii="宋体" w:hAnsi="宋体" w:eastAsia="宋体" w:cs="宋体"/>
          <w:sz w:val="24"/>
          <w:szCs w:val="24"/>
        </w:rPr>
        <w:t>因投标方外包业务出现问题，造成招标方生产停线，视原因不同由投标方承担相应程度的违约责任</w:t>
      </w:r>
      <w:r>
        <w:rPr>
          <w:rFonts w:hint="eastAsia" w:ascii="宋体" w:hAnsi="宋体" w:eastAsia="宋体" w:cs="宋体"/>
          <w:sz w:val="24"/>
          <w:szCs w:val="24"/>
          <w:lang w:eastAsia="zh-CN"/>
        </w:rPr>
        <w:t>。</w:t>
      </w:r>
    </w:p>
    <w:p w14:paraId="4E5AEFEE">
      <w:pPr>
        <w:pStyle w:val="4"/>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9.5 本次招标内容不包含任何设备用耗材。</w:t>
      </w:r>
    </w:p>
    <w:p w14:paraId="332DC3E7">
      <w:pPr>
        <w:pStyle w:val="21"/>
        <w:rPr>
          <w:rFonts w:hint="eastAsia"/>
          <w:lang w:val="en-US" w:eastAsia="zh-CN"/>
        </w:rPr>
      </w:pPr>
    </w:p>
    <w:p w14:paraId="33FF8810">
      <w:pPr>
        <w:pStyle w:val="21"/>
        <w:rPr>
          <w:rFonts w:hint="eastAsia"/>
          <w:lang w:val="en-US" w:eastAsia="zh-CN"/>
        </w:rPr>
      </w:pPr>
    </w:p>
    <w:p w14:paraId="3842862D">
      <w:pPr>
        <w:rPr>
          <w:rFonts w:hint="eastAsia"/>
          <w:lang w:val="en-US" w:eastAsia="zh-CN"/>
        </w:rPr>
      </w:pPr>
      <w:r>
        <w:rPr>
          <w:rFonts w:hint="eastAsia"/>
          <w:lang w:val="en-US" w:eastAsia="zh-CN"/>
        </w:rPr>
        <w:br w:type="page"/>
      </w:r>
    </w:p>
    <w:p w14:paraId="0EB8BBEB">
      <w:pPr>
        <w:pStyle w:val="6"/>
        <w:bidi w:val="0"/>
        <w:jc w:val="center"/>
        <w:rPr>
          <w:rFonts w:hint="default"/>
          <w:b/>
          <w:bCs/>
          <w:sz w:val="40"/>
          <w:szCs w:val="44"/>
          <w:lang w:val="en-US" w:eastAsia="zh-CN"/>
        </w:rPr>
      </w:pPr>
      <w:r>
        <w:rPr>
          <w:rFonts w:hint="eastAsia"/>
          <w:b/>
          <w:bCs/>
          <w:sz w:val="40"/>
          <w:szCs w:val="44"/>
          <w:lang w:val="en-US" w:eastAsia="zh-CN"/>
        </w:rPr>
        <w:t>E采通操作说明</w:t>
      </w:r>
    </w:p>
    <w:p w14:paraId="7F7233A4">
      <w:pPr>
        <w:pStyle w:val="6"/>
        <w:outlineLvl w:val="2"/>
        <w:rPr>
          <w:rFonts w:hAnsi="宋体" w:eastAsia="宋体" w:cs="宋体"/>
          <w:b/>
          <w:bCs/>
          <w:color w:val="000000"/>
          <w:sz w:val="24"/>
          <w:szCs w:val="24"/>
        </w:rPr>
      </w:pPr>
      <w:bookmarkStart w:id="9" w:name="_Toc4225"/>
      <w:bookmarkStart w:id="10"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9"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2" cstate="print"/>
                    <a:srcRect/>
                    <a:stretch>
                      <a:fillRect/>
                    </a:stretch>
                  </pic:blipFill>
                  <pic:spPr>
                    <a:xfrm>
                      <a:off x="0" y="0"/>
                      <a:ext cx="5760085" cy="2853055"/>
                    </a:xfrm>
                    <a:prstGeom prst="rect">
                      <a:avLst/>
                    </a:prstGeom>
                  </pic:spPr>
                </pic:pic>
              </a:graphicData>
            </a:graphic>
          </wp:inline>
        </w:drawing>
      </w:r>
    </w:p>
    <w:p w14:paraId="17346439">
      <w:pPr>
        <w:numPr>
          <w:ilvl w:val="0"/>
          <w:numId w:val="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5F803865">
      <w:pPr>
        <w:pStyle w:val="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4" cstate="print"/>
                    <a:srcRect/>
                    <a:stretch>
                      <a:fillRect/>
                    </a:stretch>
                  </pic:blipFill>
                  <pic:spPr>
                    <a:xfrm>
                      <a:off x="0" y="0"/>
                      <a:ext cx="5760085" cy="2820035"/>
                    </a:xfrm>
                    <a:prstGeom prst="rect">
                      <a:avLst/>
                    </a:prstGeom>
                  </pic:spPr>
                </pic:pic>
              </a:graphicData>
            </a:graphic>
          </wp:inline>
        </w:drawing>
      </w:r>
    </w:p>
    <w:p w14:paraId="1B088E0A">
      <w:pPr>
        <w:pStyle w:val="6"/>
      </w:pPr>
    </w:p>
    <w:p w14:paraId="7AAAB53F">
      <w:pPr>
        <w:pStyle w:val="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6"/>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6AE9D041">
      <w:pPr>
        <w:pStyle w:val="6"/>
        <w:sectPr>
          <w:footerReference r:id="rId4" w:type="first"/>
          <w:footerReference r:id="rId3" w:type="default"/>
          <w:pgSz w:w="11906" w:h="16838"/>
          <w:pgMar w:top="1588" w:right="1418" w:bottom="1134" w:left="1418" w:header="851" w:footer="992" w:gutter="0"/>
          <w:pgNumType w:fmt="numberInDash" w:start="1"/>
          <w:cols w:space="720" w:num="1"/>
          <w:titlePg/>
          <w:docGrid w:type="lines" w:linePitch="312" w:charSpace="0"/>
        </w:sectPr>
      </w:pPr>
    </w:p>
    <w:p w14:paraId="75321FE7">
      <w:pPr>
        <w:pStyle w:val="6"/>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w:t>
      </w:r>
      <w:r>
        <w:rPr>
          <w:rStyle w:val="15"/>
          <w:rFonts w:hint="eastAsia" w:ascii="宋体" w:hAnsi="宋体" w:eastAsia="宋体" w:cs="宋体"/>
          <w:sz w:val="24"/>
          <w:szCs w:val="24"/>
          <w:lang w:val="en-US" w:eastAsia="zh-CN"/>
        </w:rPr>
        <w:t>s</w:t>
      </w:r>
      <w:r>
        <w:rPr>
          <w:rStyle w:val="15"/>
          <w:rFonts w:hint="eastAsia" w:ascii="宋体" w:hAnsi="宋体" w:eastAsia="宋体" w:cs="宋体"/>
          <w:sz w:val="24"/>
          <w:szCs w:val="24"/>
        </w:rPr>
        <w:t>://ecaitong.sinotruk.com:8012/</w:t>
      </w:r>
      <w:r>
        <w:rPr>
          <w:rStyle w:val="15"/>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6"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7"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8"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9"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0" cstate="print"/>
                    <a:srcRect/>
                    <a:stretch>
                      <a:fillRect/>
                    </a:stretch>
                  </pic:blipFill>
                  <pic:spPr>
                    <a:xfrm>
                      <a:off x="0" y="0"/>
                      <a:ext cx="5760085" cy="1956435"/>
                    </a:xfrm>
                    <a:prstGeom prst="rect">
                      <a:avLst/>
                    </a:prstGeom>
                  </pic:spPr>
                </pic:pic>
              </a:graphicData>
            </a:graphic>
          </wp:inline>
        </w:drawing>
      </w:r>
    </w:p>
    <w:p w14:paraId="1BA320C9">
      <w:pPr>
        <w:pStyle w:val="6"/>
        <w:rPr>
          <w:rFonts w:hAnsi="宋体" w:eastAsia="宋体" w:cs="Times New Roman"/>
          <w:b/>
          <w:color w:val="000000"/>
          <w:sz w:val="24"/>
          <w:szCs w:val="24"/>
        </w:rPr>
      </w:pPr>
    </w:p>
    <w:p w14:paraId="380218D1">
      <w:pPr>
        <w:pStyle w:val="6"/>
        <w:rPr>
          <w:rFonts w:hAnsi="宋体" w:eastAsia="宋体" w:cs="Times New Roman"/>
          <w:b/>
          <w:color w:val="000000"/>
          <w:sz w:val="24"/>
          <w:szCs w:val="24"/>
        </w:rPr>
      </w:pPr>
    </w:p>
    <w:p w14:paraId="66308F9E">
      <w:pPr>
        <w:pStyle w:val="22"/>
        <w:rPr>
          <w:rFonts w:hint="default" w:hAnsi="宋体"/>
          <w:sz w:val="24"/>
          <w:lang w:val="en-US"/>
        </w:rPr>
      </w:pPr>
    </w:p>
    <w:bookmarkEnd w:id="9"/>
    <w:bookmarkEnd w:id="10"/>
    <w:p w14:paraId="23E75332">
      <w:pPr>
        <w:pStyle w:val="22"/>
        <w:rPr>
          <w:rFonts w:hint="default" w:hAnsi="宋体"/>
          <w:sz w:val="24"/>
          <w:lang w:val="en-US"/>
        </w:rPr>
      </w:pPr>
    </w:p>
    <w:p w14:paraId="76C88292"/>
    <w:p w14:paraId="7F24C832"/>
    <w:p w14:paraId="0C2ACAFB">
      <w:pPr>
        <w:pStyle w:val="3"/>
      </w:pPr>
    </w:p>
    <w:sectPr>
      <w:headerReference r:id="rId5" w:type="default"/>
      <w:footerReference r:id="rId6" w:type="default"/>
      <w:footerReference r:id="rId7" w:type="even"/>
      <w:pgSz w:w="11906" w:h="16838"/>
      <w:pgMar w:top="1701" w:right="1418" w:bottom="1134" w:left="1418" w:header="851" w:footer="896"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37D75">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3D096">
                          <w:pPr>
                            <w:pStyle w:val="7"/>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63D096">
                    <w:pPr>
                      <w:pStyle w:val="7"/>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DED1B">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90207">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290207">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821CE">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ECDF">
                          <w:pPr>
                            <w:pStyle w:val="7"/>
                            <w:rPr>
                              <w:rStyle w:val="14"/>
                            </w:rPr>
                          </w:pPr>
                          <w:r>
                            <w:fldChar w:fldCharType="begin"/>
                          </w:r>
                          <w:r>
                            <w:rPr>
                              <w:rStyle w:val="14"/>
                            </w:rPr>
                            <w:instrText xml:space="preserve">PAGE  </w:instrText>
                          </w:r>
                          <w:r>
                            <w:fldChar w:fldCharType="separate"/>
                          </w:r>
                          <w:r>
                            <w:rPr>
                              <w:rStyle w:val="14"/>
                            </w:rPr>
                            <w:t>- 22 -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07ECDF">
                    <w:pPr>
                      <w:pStyle w:val="7"/>
                      <w:rPr>
                        <w:rStyle w:val="14"/>
                      </w:rPr>
                    </w:pPr>
                    <w:r>
                      <w:fldChar w:fldCharType="begin"/>
                    </w:r>
                    <w:r>
                      <w:rPr>
                        <w:rStyle w:val="14"/>
                      </w:rPr>
                      <w:instrText xml:space="preserve">PAGE  </w:instrText>
                    </w:r>
                    <w:r>
                      <w:fldChar w:fldCharType="separate"/>
                    </w:r>
                    <w:r>
                      <w:rPr>
                        <w:rStyle w:val="14"/>
                      </w:rPr>
                      <w:t>- 22 -</w:t>
                    </w:r>
                    <w:r>
                      <w:fldChar w:fldCharType="end"/>
                    </w:r>
                  </w:p>
                </w:txbxContent>
              </v:textbox>
            </v:shape>
          </w:pict>
        </mc:Fallback>
      </mc:AlternateContent>
    </w:r>
  </w:p>
  <w:p w14:paraId="770854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70E1">
    <w:pPr>
      <w:pStyle w:val="7"/>
      <w:framePr w:wrap="around" w:vAnchor="text" w:hAnchor="margin" w:xAlign="center" w:y="1"/>
      <w:rPr>
        <w:rStyle w:val="14"/>
      </w:rPr>
    </w:pPr>
    <w:r>
      <w:fldChar w:fldCharType="begin"/>
    </w:r>
    <w:r>
      <w:rPr>
        <w:rStyle w:val="14"/>
      </w:rPr>
      <w:instrText xml:space="preserve">PAGE  </w:instrText>
    </w:r>
    <w:r>
      <w:fldChar w:fldCharType="end"/>
    </w:r>
  </w:p>
  <w:p w14:paraId="217BF3CE">
    <w:pPr>
      <w:pStyle w:val="7"/>
    </w:pPr>
  </w:p>
  <w:p w14:paraId="4EC52F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CFCE">
    <w:pPr>
      <w:pStyle w:val="8"/>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5EF591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FD78AE24"/>
    <w:multiLevelType w:val="singleLevel"/>
    <w:tmpl w:val="FD78AE24"/>
    <w:lvl w:ilvl="0" w:tentative="0">
      <w:start w:val="4"/>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8"/>
  </w:num>
  <w:num w:numId="3">
    <w:abstractNumId w:val="1"/>
  </w:num>
  <w:num w:numId="4">
    <w:abstractNumId w:val="0"/>
  </w:num>
  <w:num w:numId="5">
    <w:abstractNumId w:val="5"/>
  </w:num>
  <w:num w:numId="6">
    <w:abstractNumId w:val="6"/>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B35C0"/>
    <w:rsid w:val="00AC7076"/>
    <w:rsid w:val="00AD5932"/>
    <w:rsid w:val="00AE6CD8"/>
    <w:rsid w:val="00B673F8"/>
    <w:rsid w:val="00D343AF"/>
    <w:rsid w:val="00D77B67"/>
    <w:rsid w:val="00DD1992"/>
    <w:rsid w:val="00E253B0"/>
    <w:rsid w:val="00EA336C"/>
    <w:rsid w:val="00EF7950"/>
    <w:rsid w:val="00F402CD"/>
    <w:rsid w:val="00F41FC8"/>
    <w:rsid w:val="00FD659B"/>
    <w:rsid w:val="01655E65"/>
    <w:rsid w:val="023768D0"/>
    <w:rsid w:val="031E276F"/>
    <w:rsid w:val="04FD0162"/>
    <w:rsid w:val="05037CFB"/>
    <w:rsid w:val="05997E8B"/>
    <w:rsid w:val="097053A7"/>
    <w:rsid w:val="09D75426"/>
    <w:rsid w:val="09FA2770"/>
    <w:rsid w:val="0A282638"/>
    <w:rsid w:val="0ADA51CD"/>
    <w:rsid w:val="0ADF2851"/>
    <w:rsid w:val="0AEC6126"/>
    <w:rsid w:val="0B61144B"/>
    <w:rsid w:val="0C4E7DBD"/>
    <w:rsid w:val="0E567261"/>
    <w:rsid w:val="0F7F00F1"/>
    <w:rsid w:val="0F854E17"/>
    <w:rsid w:val="0FF13BCE"/>
    <w:rsid w:val="105F7F23"/>
    <w:rsid w:val="117A14B8"/>
    <w:rsid w:val="11FF19BD"/>
    <w:rsid w:val="122B4561"/>
    <w:rsid w:val="12A06CFD"/>
    <w:rsid w:val="12B5665E"/>
    <w:rsid w:val="12F708E7"/>
    <w:rsid w:val="132711CC"/>
    <w:rsid w:val="138A52B7"/>
    <w:rsid w:val="13D209AD"/>
    <w:rsid w:val="1444190A"/>
    <w:rsid w:val="14632D00"/>
    <w:rsid w:val="15AB77B5"/>
    <w:rsid w:val="15DE2CF4"/>
    <w:rsid w:val="164A498D"/>
    <w:rsid w:val="16E3365C"/>
    <w:rsid w:val="17880C04"/>
    <w:rsid w:val="17CE1006"/>
    <w:rsid w:val="1811250D"/>
    <w:rsid w:val="182B61A1"/>
    <w:rsid w:val="18F869E3"/>
    <w:rsid w:val="1A750A6F"/>
    <w:rsid w:val="1B8A22F8"/>
    <w:rsid w:val="1BB455C7"/>
    <w:rsid w:val="1D552DD9"/>
    <w:rsid w:val="1DD261D8"/>
    <w:rsid w:val="1E9C2349"/>
    <w:rsid w:val="1EFA6067"/>
    <w:rsid w:val="1F3C1B5B"/>
    <w:rsid w:val="20124FB2"/>
    <w:rsid w:val="20A21E92"/>
    <w:rsid w:val="21613AFB"/>
    <w:rsid w:val="22360451"/>
    <w:rsid w:val="22922C15"/>
    <w:rsid w:val="22D31612"/>
    <w:rsid w:val="23957A8C"/>
    <w:rsid w:val="23BF68F6"/>
    <w:rsid w:val="23D5432C"/>
    <w:rsid w:val="2435301D"/>
    <w:rsid w:val="24696B33"/>
    <w:rsid w:val="26AB75C6"/>
    <w:rsid w:val="27315D1D"/>
    <w:rsid w:val="27DF39CB"/>
    <w:rsid w:val="2A3E70CF"/>
    <w:rsid w:val="2CB82A3D"/>
    <w:rsid w:val="2D0F08AF"/>
    <w:rsid w:val="2E605140"/>
    <w:rsid w:val="2EFE0BDB"/>
    <w:rsid w:val="30B524E5"/>
    <w:rsid w:val="30DA5678"/>
    <w:rsid w:val="31905FC0"/>
    <w:rsid w:val="329465AC"/>
    <w:rsid w:val="33D60F07"/>
    <w:rsid w:val="33F12316"/>
    <w:rsid w:val="341E3ACD"/>
    <w:rsid w:val="34D57613"/>
    <w:rsid w:val="35210B49"/>
    <w:rsid w:val="35DA1C76"/>
    <w:rsid w:val="36407D2B"/>
    <w:rsid w:val="371B7CF7"/>
    <w:rsid w:val="3724764D"/>
    <w:rsid w:val="37812E1A"/>
    <w:rsid w:val="39396CB4"/>
    <w:rsid w:val="398C14D9"/>
    <w:rsid w:val="3995038E"/>
    <w:rsid w:val="3B821506"/>
    <w:rsid w:val="3BC35686"/>
    <w:rsid w:val="3C221C81"/>
    <w:rsid w:val="3C7D42C9"/>
    <w:rsid w:val="3CA32DC2"/>
    <w:rsid w:val="3D0F66A9"/>
    <w:rsid w:val="3E9F1815"/>
    <w:rsid w:val="3EB05C6A"/>
    <w:rsid w:val="3EC86B10"/>
    <w:rsid w:val="3ECF3EDA"/>
    <w:rsid w:val="3F4F0196"/>
    <w:rsid w:val="3F6A0ECB"/>
    <w:rsid w:val="3FC6532D"/>
    <w:rsid w:val="400C6ED0"/>
    <w:rsid w:val="40AE0B6C"/>
    <w:rsid w:val="414323CD"/>
    <w:rsid w:val="42C972FA"/>
    <w:rsid w:val="430976F7"/>
    <w:rsid w:val="437C611B"/>
    <w:rsid w:val="43B9736F"/>
    <w:rsid w:val="44254EEE"/>
    <w:rsid w:val="44A2785B"/>
    <w:rsid w:val="459632C3"/>
    <w:rsid w:val="45EA4B12"/>
    <w:rsid w:val="46990162"/>
    <w:rsid w:val="491A265E"/>
    <w:rsid w:val="491E503B"/>
    <w:rsid w:val="49643FC0"/>
    <w:rsid w:val="498F5423"/>
    <w:rsid w:val="4A4F4589"/>
    <w:rsid w:val="4AE6599B"/>
    <w:rsid w:val="4B7778F3"/>
    <w:rsid w:val="4D12478B"/>
    <w:rsid w:val="4E704ACE"/>
    <w:rsid w:val="51877022"/>
    <w:rsid w:val="52615C47"/>
    <w:rsid w:val="56F444EE"/>
    <w:rsid w:val="57143CEB"/>
    <w:rsid w:val="580E15DF"/>
    <w:rsid w:val="58EE31BF"/>
    <w:rsid w:val="59CF1242"/>
    <w:rsid w:val="5A0A5DD6"/>
    <w:rsid w:val="5B1D1BB1"/>
    <w:rsid w:val="5C427AAA"/>
    <w:rsid w:val="5C531CB7"/>
    <w:rsid w:val="5D884F8A"/>
    <w:rsid w:val="5D993D9B"/>
    <w:rsid w:val="5E3C3929"/>
    <w:rsid w:val="5E652175"/>
    <w:rsid w:val="60DC2F35"/>
    <w:rsid w:val="610712C2"/>
    <w:rsid w:val="62AD7C47"/>
    <w:rsid w:val="62D358FF"/>
    <w:rsid w:val="63224191"/>
    <w:rsid w:val="640C0830"/>
    <w:rsid w:val="641C6E32"/>
    <w:rsid w:val="64586C8D"/>
    <w:rsid w:val="6486074F"/>
    <w:rsid w:val="65000502"/>
    <w:rsid w:val="66915BCA"/>
    <w:rsid w:val="66B00EA9"/>
    <w:rsid w:val="670D5158"/>
    <w:rsid w:val="677A27ED"/>
    <w:rsid w:val="6A3C01E7"/>
    <w:rsid w:val="6A554E4C"/>
    <w:rsid w:val="6A8B1515"/>
    <w:rsid w:val="6BC4672D"/>
    <w:rsid w:val="6C2076DB"/>
    <w:rsid w:val="6D154D66"/>
    <w:rsid w:val="6D394EF9"/>
    <w:rsid w:val="6D513FF0"/>
    <w:rsid w:val="6E607B7F"/>
    <w:rsid w:val="6E6E0DBB"/>
    <w:rsid w:val="6EC34E26"/>
    <w:rsid w:val="6F20011E"/>
    <w:rsid w:val="6F810491"/>
    <w:rsid w:val="6FCE7B7A"/>
    <w:rsid w:val="6FFE5F86"/>
    <w:rsid w:val="7035211A"/>
    <w:rsid w:val="705160B5"/>
    <w:rsid w:val="710E3901"/>
    <w:rsid w:val="73797DFD"/>
    <w:rsid w:val="73B057E9"/>
    <w:rsid w:val="741E7C2F"/>
    <w:rsid w:val="74285467"/>
    <w:rsid w:val="75320004"/>
    <w:rsid w:val="75656F9B"/>
    <w:rsid w:val="76823224"/>
    <w:rsid w:val="76CE66B2"/>
    <w:rsid w:val="773D3837"/>
    <w:rsid w:val="77F47401"/>
    <w:rsid w:val="78D67AA0"/>
    <w:rsid w:val="7A5977C7"/>
    <w:rsid w:val="7A961499"/>
    <w:rsid w:val="7AF124C5"/>
    <w:rsid w:val="7C7D6DD2"/>
    <w:rsid w:val="7CF575CC"/>
    <w:rsid w:val="7CF95B0B"/>
    <w:rsid w:val="7D9615AC"/>
    <w:rsid w:val="7E0266E4"/>
    <w:rsid w:val="7EA36676"/>
    <w:rsid w:val="7F037115"/>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index 6"/>
    <w:basedOn w:val="1"/>
    <w:next w:val="1"/>
    <w:qFormat/>
    <w:uiPriority w:val="0"/>
    <w:rPr>
      <w:rFonts w:ascii="宋体" w:hAnsi="宋体"/>
      <w:color w:val="000000"/>
      <w:sz w:val="20"/>
      <w:szCs w:val="20"/>
    </w:r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6">
    <w:name w:val="Plain Text"/>
    <w:basedOn w:val="1"/>
    <w:qFormat/>
    <w:uiPriority w:val="0"/>
    <w:rPr>
      <w:rFonts w:ascii="宋体" w:hAnsi="Courier New" w:cstheme="minorBidi"/>
      <w:szCs w:val="22"/>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0">
    <w:name w:val="toc 2"/>
    <w:basedOn w:val="1"/>
    <w:next w:val="1"/>
    <w:qFormat/>
    <w:uiPriority w:val="0"/>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Hyperlink"/>
    <w:basedOn w:val="13"/>
    <w:semiHidden/>
    <w:qFormat/>
    <w:uiPriority w:val="99"/>
    <w:rPr>
      <w:rFonts w:cs="Times New Roman"/>
      <w:color w:val="1F4F88"/>
      <w:u w:val="none"/>
    </w:rPr>
  </w:style>
  <w:style w:type="paragraph" w:customStyle="1" w:styleId="16">
    <w:name w:val="首行缩进"/>
    <w:basedOn w:val="1"/>
    <w:qFormat/>
    <w:uiPriority w:val="0"/>
    <w:pPr>
      <w:spacing w:line="360" w:lineRule="auto"/>
      <w:ind w:firstLine="480" w:firstLineChars="200"/>
    </w:pPr>
    <w:rPr>
      <w:rFonts w:ascii="宋体" w:hAnsi="宋体" w:cs="宋体"/>
      <w:kern w:val="0"/>
      <w:sz w:val="24"/>
    </w:rPr>
  </w:style>
  <w:style w:type="character" w:customStyle="1" w:styleId="17">
    <w:name w:val="font11"/>
    <w:basedOn w:val="13"/>
    <w:qFormat/>
    <w:uiPriority w:val="0"/>
    <w:rPr>
      <w:rFonts w:hint="eastAsia" w:ascii="宋体" w:hAnsi="宋体" w:eastAsia="宋体" w:cs="宋体"/>
      <w:color w:val="000000"/>
      <w:sz w:val="24"/>
      <w:szCs w:val="24"/>
      <w:u w:val="single"/>
    </w:rPr>
  </w:style>
  <w:style w:type="character" w:customStyle="1" w:styleId="18">
    <w:name w:val="font21"/>
    <w:basedOn w:val="13"/>
    <w:qFormat/>
    <w:uiPriority w:val="0"/>
    <w:rPr>
      <w:rFonts w:hint="eastAsia" w:ascii="宋体" w:hAnsi="宋体" w:eastAsia="宋体" w:cs="宋体"/>
      <w:color w:val="000000"/>
      <w:sz w:val="24"/>
      <w:szCs w:val="24"/>
      <w:u w:val="none"/>
    </w:rPr>
  </w:style>
  <w:style w:type="paragraph" w:customStyle="1" w:styleId="19">
    <w:name w:val="一级标题"/>
    <w:basedOn w:val="6"/>
    <w:qFormat/>
    <w:uiPriority w:val="1"/>
    <w:pPr>
      <w:numPr>
        <w:ilvl w:val="0"/>
        <w:numId w:val="1"/>
      </w:numPr>
      <w:spacing w:line="360" w:lineRule="auto"/>
      <w:ind w:left="420"/>
      <w:outlineLvl w:val="1"/>
    </w:pPr>
    <w:rPr>
      <w:rFonts w:ascii="黑体" w:eastAsia="黑体"/>
      <w:b/>
      <w:bCs/>
      <w:sz w:val="28"/>
    </w:rPr>
  </w:style>
  <w:style w:type="paragraph" w:styleId="20">
    <w:name w:val="List Paragraph"/>
    <w:basedOn w:val="1"/>
    <w:semiHidden/>
    <w:qFormat/>
    <w:uiPriority w:val="98"/>
    <w:pPr>
      <w:ind w:firstLine="420" w:firstLineChars="200"/>
    </w:pPr>
    <w:rPr>
      <w:rFonts w:ascii="Calibri" w:hAnsi="Calibri"/>
      <w:szCs w:val="22"/>
    </w:rPr>
  </w:style>
  <w:style w:type="paragraph" w:customStyle="1" w:styleId="21">
    <w:name w:val="章节"/>
    <w:basedOn w:val="6"/>
    <w:qFormat/>
    <w:uiPriority w:val="0"/>
    <w:pPr>
      <w:spacing w:line="360" w:lineRule="auto"/>
      <w:jc w:val="center"/>
      <w:outlineLvl w:val="0"/>
    </w:pPr>
    <w:rPr>
      <w:rFonts w:ascii="黑体" w:eastAsia="黑体"/>
      <w:b/>
      <w:bCs/>
      <w:sz w:val="36"/>
      <w:szCs w:val="36"/>
    </w:rPr>
  </w:style>
  <w:style w:type="paragraph" w:customStyle="1" w:styleId="22">
    <w:name w:val="标书正文"/>
    <w:basedOn w:val="6"/>
    <w:qFormat/>
    <w:uiPriority w:val="9"/>
    <w:pPr>
      <w:spacing w:line="360" w:lineRule="auto"/>
      <w:jc w:val="left"/>
    </w:pPr>
  </w:style>
  <w:style w:type="character" w:customStyle="1" w:styleId="23">
    <w:name w:val="font41"/>
    <w:basedOn w:val="13"/>
    <w:qFormat/>
    <w:uiPriority w:val="0"/>
    <w:rPr>
      <w:rFonts w:hint="eastAsia" w:ascii="宋体" w:hAnsi="宋体" w:eastAsia="宋体" w:cs="宋体"/>
      <w:color w:val="0000FF"/>
      <w:sz w:val="18"/>
      <w:szCs w:val="18"/>
      <w:u w:val="none"/>
    </w:rPr>
  </w:style>
  <w:style w:type="character" w:customStyle="1" w:styleId="24">
    <w:name w:val="font31"/>
    <w:basedOn w:val="1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14652</Words>
  <Characters>15377</Characters>
  <Lines>120</Lines>
  <Paragraphs>33</Paragraphs>
  <TotalTime>8</TotalTime>
  <ScaleCrop>false</ScaleCrop>
  <LinksUpToDate>false</LinksUpToDate>
  <CharactersWithSpaces>16908</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Administrator</cp:lastModifiedBy>
  <dcterms:modified xsi:type="dcterms:W3CDTF">2026-02-23T06:52:13Z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ICV">
    <vt:lpwstr>03647FD33AD74B0780529CEBBE26A804</vt:lpwstr>
  </property>
  <property fmtid="{D5CDD505-2E9C-101B-9397-08002B2CF9AE}" pid="4" name="KSOTemplateDocerSaveRecord">
    <vt:lpwstr>eyJoZGlkIjoiZWQxZjNmOWI4MjYxMjE3YWYxMWY4NzIzOWZkNTY1ZGEiLCJ1c2VySWQiOiI4MjkwNzMwMzkifQ==</vt:lpwstr>
  </property>
</Properties>
</file>