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4C63E0">
      <w:pPr>
        <w:spacing w:line="320" w:lineRule="exact"/>
        <w:ind w:right="34" w:rightChars="16"/>
        <w:jc w:val="left"/>
        <w:rPr>
          <w:rFonts w:hint="eastAsia"/>
          <w:b/>
          <w:bCs w:val="0"/>
          <w:sz w:val="22"/>
          <w:szCs w:val="21"/>
        </w:rPr>
      </w:pPr>
      <w:r>
        <w:rPr>
          <w:rFonts w:hint="eastAsia" w:ascii="仿宋_GB2312" w:hAnsi="仿宋_GB2312" w:cs="仿宋_GB2312"/>
          <w:b/>
          <w:bCs w:val="0"/>
          <w:sz w:val="22"/>
          <w:szCs w:val="21"/>
        </w:rPr>
        <w:t>评标</w:t>
      </w:r>
      <w:r>
        <w:rPr>
          <w:rFonts w:hint="eastAsia" w:ascii="仿宋_GB2312" w:hAnsi="仿宋_GB2312" w:cs="仿宋_GB2312"/>
          <w:b/>
          <w:bCs w:val="0"/>
          <w:sz w:val="22"/>
          <w:szCs w:val="21"/>
          <w:lang w:val="en-US" w:eastAsia="zh-CN"/>
        </w:rPr>
        <w:t>标准</w:t>
      </w:r>
      <w:r>
        <w:rPr>
          <w:rFonts w:hint="eastAsia" w:ascii="仿宋_GB2312" w:hAnsi="仿宋_GB2312" w:cs="仿宋_GB2312"/>
          <w:b/>
          <w:bCs w:val="0"/>
          <w:sz w:val="22"/>
          <w:szCs w:val="21"/>
        </w:rPr>
        <w:t>：综合评标</w:t>
      </w:r>
      <w:r>
        <w:rPr>
          <w:rFonts w:hint="eastAsia" w:ascii="仿宋_GB2312" w:hAnsi="仿宋_GB2312" w:cs="仿宋_GB2312"/>
          <w:b/>
          <w:bCs w:val="0"/>
          <w:sz w:val="22"/>
          <w:szCs w:val="21"/>
          <w:lang w:eastAsia="zh-CN"/>
        </w:rPr>
        <w:t>，</w:t>
      </w:r>
      <w:r>
        <w:rPr>
          <w:rFonts w:hint="eastAsia" w:ascii="仿宋_GB2312" w:hAnsi="仿宋_GB2312" w:cs="仿宋_GB2312"/>
          <w:b/>
          <w:bCs w:val="0"/>
          <w:sz w:val="22"/>
          <w:szCs w:val="21"/>
          <w:highlight w:val="yellow"/>
        </w:rPr>
        <w:t>技术部分占比</w:t>
      </w:r>
      <w:r>
        <w:rPr>
          <w:rFonts w:ascii="仿宋_GB2312" w:hAnsi="仿宋_GB2312" w:cs="仿宋_GB2312"/>
          <w:b/>
          <w:bCs w:val="0"/>
          <w:sz w:val="22"/>
          <w:szCs w:val="21"/>
          <w:highlight w:val="yellow"/>
        </w:rPr>
        <w:t>7</w:t>
      </w:r>
      <w:r>
        <w:rPr>
          <w:rFonts w:hint="eastAsia" w:ascii="仿宋_GB2312" w:hAnsi="仿宋_GB2312" w:cs="仿宋_GB2312"/>
          <w:b/>
          <w:bCs w:val="0"/>
          <w:sz w:val="22"/>
          <w:szCs w:val="21"/>
          <w:highlight w:val="yellow"/>
        </w:rPr>
        <w:t>0%，商务部分占比</w:t>
      </w:r>
      <w:r>
        <w:rPr>
          <w:rFonts w:ascii="仿宋_GB2312" w:hAnsi="仿宋_GB2312" w:cs="仿宋_GB2312"/>
          <w:b/>
          <w:bCs w:val="0"/>
          <w:sz w:val="22"/>
          <w:szCs w:val="21"/>
          <w:highlight w:val="yellow"/>
        </w:rPr>
        <w:t>3</w:t>
      </w:r>
      <w:r>
        <w:rPr>
          <w:rFonts w:hint="eastAsia" w:ascii="仿宋_GB2312" w:hAnsi="仿宋_GB2312" w:cs="仿宋_GB2312"/>
          <w:b/>
          <w:bCs w:val="0"/>
          <w:sz w:val="22"/>
          <w:szCs w:val="21"/>
          <w:highlight w:val="yellow"/>
        </w:rPr>
        <w:t>0%。</w:t>
      </w:r>
    </w:p>
    <w:tbl>
      <w:tblPr>
        <w:tblStyle w:val="2"/>
        <w:tblW w:w="913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845"/>
        <w:gridCol w:w="520"/>
        <w:gridCol w:w="970"/>
        <w:gridCol w:w="650"/>
        <w:gridCol w:w="6153"/>
      </w:tblGrid>
      <w:tr w14:paraId="7851E2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43"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14:paraId="6EDD4FD9">
            <w:pPr>
              <w:spacing w:line="320" w:lineRule="exact"/>
              <w:ind w:right="34" w:rightChars="16"/>
              <w:jc w:val="center"/>
              <w:rPr>
                <w:b/>
                <w:szCs w:val="21"/>
              </w:rPr>
            </w:pPr>
            <w:r>
              <w:rPr>
                <w:rFonts w:hint="eastAsia"/>
                <w:b/>
              </w:rPr>
              <w:t>评标因素</w:t>
            </w:r>
          </w:p>
        </w:tc>
        <w:tc>
          <w:tcPr>
            <w:tcW w:w="520" w:type="dxa"/>
            <w:tcBorders>
              <w:top w:val="single" w:color="auto" w:sz="4" w:space="0"/>
              <w:left w:val="single" w:color="auto" w:sz="4" w:space="0"/>
              <w:bottom w:val="single" w:color="auto" w:sz="4" w:space="0"/>
              <w:right w:val="single" w:color="auto" w:sz="4" w:space="0"/>
            </w:tcBorders>
            <w:vAlign w:val="center"/>
          </w:tcPr>
          <w:p w14:paraId="3B4D3CD5">
            <w:pPr>
              <w:spacing w:line="320" w:lineRule="exact"/>
              <w:ind w:right="34" w:rightChars="16"/>
              <w:jc w:val="center"/>
              <w:rPr>
                <w:b/>
                <w:szCs w:val="21"/>
              </w:rPr>
            </w:pPr>
            <w:r>
              <w:rPr>
                <w:rFonts w:hint="eastAsia"/>
                <w:b/>
              </w:rPr>
              <w:t>总分</w:t>
            </w:r>
          </w:p>
        </w:tc>
        <w:tc>
          <w:tcPr>
            <w:tcW w:w="970" w:type="dxa"/>
            <w:tcBorders>
              <w:top w:val="single" w:color="auto" w:sz="4" w:space="0"/>
              <w:left w:val="single" w:color="auto" w:sz="4" w:space="0"/>
              <w:bottom w:val="single" w:color="auto" w:sz="4" w:space="0"/>
              <w:right w:val="single" w:color="auto" w:sz="4" w:space="0"/>
            </w:tcBorders>
            <w:vAlign w:val="center"/>
          </w:tcPr>
          <w:p w14:paraId="1D237ABE">
            <w:pPr>
              <w:spacing w:line="320" w:lineRule="exact"/>
              <w:ind w:right="34" w:rightChars="16"/>
              <w:jc w:val="center"/>
              <w:rPr>
                <w:rFonts w:hint="eastAsia" w:eastAsia="宋体"/>
                <w:b/>
                <w:szCs w:val="21"/>
                <w:lang w:eastAsia="zh-CN"/>
              </w:rPr>
            </w:pPr>
            <w:r>
              <w:rPr>
                <w:rFonts w:hint="eastAsia"/>
                <w:b/>
              </w:rPr>
              <w:t>评审内容</w:t>
            </w:r>
          </w:p>
        </w:tc>
        <w:tc>
          <w:tcPr>
            <w:tcW w:w="650" w:type="dxa"/>
            <w:tcBorders>
              <w:top w:val="single" w:color="auto" w:sz="4" w:space="0"/>
              <w:left w:val="single" w:color="auto" w:sz="4" w:space="0"/>
              <w:bottom w:val="single" w:color="auto" w:sz="4" w:space="0"/>
              <w:right w:val="single" w:color="auto" w:sz="4" w:space="0"/>
            </w:tcBorders>
            <w:vAlign w:val="center"/>
          </w:tcPr>
          <w:p w14:paraId="752889CF">
            <w:pPr>
              <w:spacing w:line="320" w:lineRule="exact"/>
              <w:ind w:right="34" w:rightChars="16"/>
              <w:jc w:val="center"/>
              <w:rPr>
                <w:b/>
                <w:szCs w:val="21"/>
              </w:rPr>
            </w:pPr>
            <w:r>
              <w:rPr>
                <w:rFonts w:hint="eastAsia"/>
                <w:b/>
              </w:rPr>
              <w:t>最高</w:t>
            </w:r>
          </w:p>
          <w:p w14:paraId="2F3BD2A5">
            <w:pPr>
              <w:spacing w:line="320" w:lineRule="exact"/>
              <w:ind w:right="34" w:rightChars="16"/>
              <w:jc w:val="center"/>
              <w:rPr>
                <w:b/>
                <w:szCs w:val="21"/>
              </w:rPr>
            </w:pPr>
            <w:r>
              <w:rPr>
                <w:rFonts w:hint="eastAsia"/>
                <w:b/>
              </w:rPr>
              <w:t>得分</w:t>
            </w:r>
          </w:p>
        </w:tc>
        <w:tc>
          <w:tcPr>
            <w:tcW w:w="6153" w:type="dxa"/>
            <w:tcBorders>
              <w:top w:val="single" w:color="auto" w:sz="4" w:space="0"/>
              <w:left w:val="single" w:color="auto" w:sz="4" w:space="0"/>
              <w:bottom w:val="single" w:color="auto" w:sz="4" w:space="0"/>
              <w:right w:val="single" w:color="auto" w:sz="4" w:space="0"/>
            </w:tcBorders>
            <w:vAlign w:val="center"/>
          </w:tcPr>
          <w:p w14:paraId="250CD4F1">
            <w:pPr>
              <w:spacing w:line="320" w:lineRule="exact"/>
              <w:ind w:right="34" w:rightChars="16"/>
              <w:jc w:val="center"/>
              <w:rPr>
                <w:b/>
                <w:szCs w:val="21"/>
              </w:rPr>
            </w:pPr>
            <w:r>
              <w:rPr>
                <w:rFonts w:hint="eastAsia"/>
                <w:b/>
              </w:rPr>
              <w:t>评分标准</w:t>
            </w:r>
          </w:p>
        </w:tc>
      </w:tr>
      <w:tr w14:paraId="392289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178" w:hRule="atLeast"/>
          <w:jc w:val="center"/>
        </w:trPr>
        <w:tc>
          <w:tcPr>
            <w:tcW w:w="845" w:type="dxa"/>
            <w:vMerge w:val="restart"/>
            <w:tcBorders>
              <w:top w:val="single" w:color="auto" w:sz="4" w:space="0"/>
              <w:left w:val="single" w:color="auto" w:sz="4" w:space="0"/>
              <w:right w:val="single" w:color="auto" w:sz="4" w:space="0"/>
            </w:tcBorders>
            <w:vAlign w:val="center"/>
          </w:tcPr>
          <w:p w14:paraId="786E87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eastAsia="宋体"/>
                <w:lang w:eastAsia="zh-CN"/>
              </w:rPr>
            </w:pPr>
            <w:r>
              <w:rPr>
                <w:rFonts w:hint="eastAsia" w:ascii="宋体"/>
              </w:rPr>
              <w:t>技术标</w:t>
            </w:r>
          </w:p>
        </w:tc>
        <w:tc>
          <w:tcPr>
            <w:tcW w:w="520" w:type="dxa"/>
            <w:vMerge w:val="restart"/>
            <w:tcBorders>
              <w:top w:val="single" w:color="auto" w:sz="4" w:space="0"/>
              <w:left w:val="single" w:color="auto" w:sz="4" w:space="0"/>
              <w:right w:val="single" w:color="auto" w:sz="4" w:space="0"/>
            </w:tcBorders>
            <w:vAlign w:val="center"/>
          </w:tcPr>
          <w:p w14:paraId="435CD8A8">
            <w:pPr>
              <w:spacing w:line="440" w:lineRule="exact"/>
              <w:jc w:val="center"/>
              <w:rPr>
                <w:rFonts w:hint="default" w:ascii="宋体" w:eastAsia="宋体"/>
                <w:lang w:val="en-US" w:eastAsia="zh-CN"/>
              </w:rPr>
            </w:pPr>
            <w:r>
              <w:rPr>
                <w:rFonts w:hint="eastAsia" w:ascii="宋体"/>
                <w:lang w:val="en-US" w:eastAsia="zh-CN"/>
              </w:rPr>
              <w:t>100</w:t>
            </w:r>
          </w:p>
        </w:tc>
        <w:tc>
          <w:tcPr>
            <w:tcW w:w="970" w:type="dxa"/>
            <w:tcBorders>
              <w:top w:val="single" w:color="auto" w:sz="4" w:space="0"/>
              <w:left w:val="single" w:color="auto" w:sz="4" w:space="0"/>
              <w:right w:val="single" w:color="auto" w:sz="4" w:space="0"/>
            </w:tcBorders>
            <w:vAlign w:val="center"/>
          </w:tcPr>
          <w:p w14:paraId="3698427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工艺水平及主要技术参数</w:t>
            </w:r>
          </w:p>
        </w:tc>
        <w:tc>
          <w:tcPr>
            <w:tcW w:w="650" w:type="dxa"/>
            <w:tcBorders>
              <w:top w:val="single" w:color="auto" w:sz="4" w:space="0"/>
              <w:left w:val="single" w:color="auto" w:sz="4" w:space="0"/>
              <w:bottom w:val="single" w:color="auto" w:sz="4" w:space="0"/>
              <w:right w:val="single" w:color="auto" w:sz="4" w:space="0"/>
            </w:tcBorders>
            <w:vAlign w:val="center"/>
          </w:tcPr>
          <w:p w14:paraId="323A99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lang w:val="en-US" w:eastAsia="zh-CN"/>
              </w:rPr>
            </w:pPr>
            <w:r>
              <w:rPr>
                <w:rFonts w:hint="eastAsia" w:ascii="宋体"/>
              </w:rPr>
              <w:t>34分</w:t>
            </w:r>
          </w:p>
        </w:tc>
        <w:tc>
          <w:tcPr>
            <w:tcW w:w="6153" w:type="dxa"/>
            <w:tcBorders>
              <w:top w:val="single" w:color="auto" w:sz="4" w:space="0"/>
              <w:left w:val="single" w:color="auto" w:sz="4" w:space="0"/>
              <w:bottom w:val="single" w:color="auto" w:sz="4" w:space="0"/>
              <w:right w:val="single" w:color="auto" w:sz="4" w:space="0"/>
            </w:tcBorders>
            <w:vAlign w:val="center"/>
          </w:tcPr>
          <w:p w14:paraId="4285E71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1.1能提供证明其工艺水平及制造保障能力证明材料(如自有主要加工设备、若有外协配套厂家的相关资料等）的视其实际情况得1-12分，未提供不得分；</w:t>
            </w:r>
          </w:p>
          <w:p w14:paraId="1A41A18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1.2主要技术参数</w:t>
            </w:r>
          </w:p>
          <w:p w14:paraId="5AB3696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所报产品的技术参数满足招标文件要求得12分，每一项技术参数优于招标文件的加1分，最高加10分；每一项技术参数低于招标文件的减1分，减完为止。</w:t>
            </w:r>
          </w:p>
        </w:tc>
      </w:tr>
      <w:tr w14:paraId="355F53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845" w:type="dxa"/>
            <w:vMerge w:val="continue"/>
            <w:tcBorders>
              <w:left w:val="single" w:color="auto" w:sz="4" w:space="0"/>
              <w:right w:val="single" w:color="auto" w:sz="4" w:space="0"/>
            </w:tcBorders>
            <w:vAlign w:val="center"/>
          </w:tcPr>
          <w:p w14:paraId="420C60BA">
            <w:pPr>
              <w:widowControl/>
              <w:jc w:val="center"/>
              <w:rPr>
                <w:rFonts w:ascii="宋体"/>
              </w:rPr>
            </w:pPr>
          </w:p>
        </w:tc>
        <w:tc>
          <w:tcPr>
            <w:tcW w:w="520" w:type="dxa"/>
            <w:vMerge w:val="continue"/>
            <w:tcBorders>
              <w:left w:val="single" w:color="auto" w:sz="4" w:space="0"/>
              <w:right w:val="single" w:color="auto" w:sz="4" w:space="0"/>
            </w:tcBorders>
            <w:vAlign w:val="center"/>
          </w:tcPr>
          <w:p w14:paraId="6FE7A64B">
            <w:pPr>
              <w:widowControl/>
              <w:jc w:val="center"/>
              <w:rPr>
                <w:rFonts w:ascii="宋体"/>
              </w:rPr>
            </w:pPr>
          </w:p>
        </w:tc>
        <w:tc>
          <w:tcPr>
            <w:tcW w:w="970" w:type="dxa"/>
            <w:tcBorders>
              <w:top w:val="single" w:color="auto" w:sz="4" w:space="0"/>
              <w:left w:val="single" w:color="auto" w:sz="4" w:space="0"/>
              <w:bottom w:val="single" w:color="auto" w:sz="4" w:space="0"/>
              <w:right w:val="single" w:color="auto" w:sz="4" w:space="0"/>
            </w:tcBorders>
            <w:vAlign w:val="center"/>
          </w:tcPr>
          <w:p w14:paraId="349ABE45">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配置方案</w:t>
            </w:r>
          </w:p>
        </w:tc>
        <w:tc>
          <w:tcPr>
            <w:tcW w:w="650" w:type="dxa"/>
            <w:tcBorders>
              <w:top w:val="single" w:color="auto" w:sz="4" w:space="0"/>
              <w:left w:val="single" w:color="auto" w:sz="4" w:space="0"/>
              <w:bottom w:val="nil"/>
              <w:right w:val="single" w:color="auto" w:sz="4" w:space="0"/>
            </w:tcBorders>
            <w:vAlign w:val="center"/>
          </w:tcPr>
          <w:p w14:paraId="4894AA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rPr>
            </w:pPr>
            <w:r>
              <w:rPr>
                <w:rFonts w:hint="eastAsia" w:ascii="宋体"/>
              </w:rPr>
              <w:t>34分</w:t>
            </w:r>
          </w:p>
        </w:tc>
        <w:tc>
          <w:tcPr>
            <w:tcW w:w="6153" w:type="dxa"/>
            <w:tcBorders>
              <w:top w:val="single" w:color="auto" w:sz="4" w:space="0"/>
              <w:left w:val="single" w:color="auto" w:sz="4" w:space="0"/>
              <w:bottom w:val="nil"/>
              <w:right w:val="single" w:color="auto" w:sz="4" w:space="0"/>
            </w:tcBorders>
            <w:vAlign w:val="center"/>
          </w:tcPr>
          <w:p w14:paraId="0A63E54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能够提供最佳设备配置方案（满足设计参数前提下的主要配件、材料设计配置），系统设计方案完善且可行，符合本次供货任务实际情况，根据以上综合配置高低得1-34分。</w:t>
            </w:r>
          </w:p>
        </w:tc>
      </w:tr>
      <w:tr w14:paraId="45D17A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28" w:hRule="atLeast"/>
          <w:jc w:val="center"/>
        </w:trPr>
        <w:tc>
          <w:tcPr>
            <w:tcW w:w="845" w:type="dxa"/>
            <w:vMerge w:val="continue"/>
            <w:tcBorders>
              <w:left w:val="single" w:color="auto" w:sz="4" w:space="0"/>
              <w:right w:val="single" w:color="auto" w:sz="4" w:space="0"/>
            </w:tcBorders>
            <w:vAlign w:val="center"/>
          </w:tcPr>
          <w:p w14:paraId="2519AB87">
            <w:pPr>
              <w:widowControl/>
              <w:jc w:val="center"/>
              <w:rPr>
                <w:rFonts w:ascii="宋体"/>
              </w:rPr>
            </w:pPr>
          </w:p>
        </w:tc>
        <w:tc>
          <w:tcPr>
            <w:tcW w:w="520" w:type="dxa"/>
            <w:vMerge w:val="continue"/>
            <w:tcBorders>
              <w:left w:val="single" w:color="auto" w:sz="4" w:space="0"/>
              <w:right w:val="single" w:color="auto" w:sz="4" w:space="0"/>
            </w:tcBorders>
            <w:vAlign w:val="center"/>
          </w:tcPr>
          <w:p w14:paraId="64D61CCD">
            <w:pPr>
              <w:widowControl/>
              <w:jc w:val="center"/>
              <w:rPr>
                <w:rFonts w:ascii="宋体"/>
              </w:rPr>
            </w:pPr>
          </w:p>
        </w:tc>
        <w:tc>
          <w:tcPr>
            <w:tcW w:w="970" w:type="dxa"/>
            <w:tcBorders>
              <w:top w:val="single" w:color="auto" w:sz="4" w:space="0"/>
              <w:left w:val="single" w:color="auto" w:sz="4" w:space="0"/>
              <w:bottom w:val="single" w:color="auto" w:sz="4" w:space="0"/>
              <w:right w:val="single" w:color="auto" w:sz="4" w:space="0"/>
            </w:tcBorders>
            <w:vAlign w:val="center"/>
          </w:tcPr>
          <w:p w14:paraId="40390B3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产品质量及保证措施</w:t>
            </w:r>
          </w:p>
        </w:tc>
        <w:tc>
          <w:tcPr>
            <w:tcW w:w="650" w:type="dxa"/>
            <w:tcBorders>
              <w:top w:val="single" w:color="auto" w:sz="4" w:space="0"/>
              <w:left w:val="single" w:color="auto" w:sz="4" w:space="0"/>
              <w:bottom w:val="nil"/>
              <w:right w:val="single" w:color="auto" w:sz="4" w:space="0"/>
            </w:tcBorders>
            <w:vAlign w:val="center"/>
          </w:tcPr>
          <w:p w14:paraId="1937BC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rPr>
            </w:pPr>
            <w:r>
              <w:rPr>
                <w:rFonts w:hint="eastAsia" w:ascii="宋体"/>
              </w:rPr>
              <w:t>6分</w:t>
            </w:r>
          </w:p>
        </w:tc>
        <w:tc>
          <w:tcPr>
            <w:tcW w:w="6153" w:type="dxa"/>
            <w:tcBorders>
              <w:top w:val="single" w:color="auto" w:sz="4" w:space="0"/>
              <w:left w:val="single" w:color="auto" w:sz="4" w:space="0"/>
              <w:bottom w:val="nil"/>
              <w:right w:val="single" w:color="auto" w:sz="4" w:space="0"/>
            </w:tcBorders>
            <w:vAlign w:val="center"/>
          </w:tcPr>
          <w:p w14:paraId="0A5A509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产品质量、性能稳定可靠，品牌市场认可度较高，使用寿命长且有完善的生产保证措施及质量保证体系的酌情得1-6分。</w:t>
            </w:r>
          </w:p>
        </w:tc>
      </w:tr>
      <w:tr w14:paraId="3E2702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19" w:hRule="atLeast"/>
          <w:jc w:val="center"/>
        </w:trPr>
        <w:tc>
          <w:tcPr>
            <w:tcW w:w="845" w:type="dxa"/>
            <w:vMerge w:val="continue"/>
            <w:tcBorders>
              <w:left w:val="single" w:color="auto" w:sz="4" w:space="0"/>
              <w:right w:val="single" w:color="auto" w:sz="4" w:space="0"/>
            </w:tcBorders>
            <w:vAlign w:val="center"/>
          </w:tcPr>
          <w:p w14:paraId="1057760D">
            <w:pPr>
              <w:widowControl/>
              <w:jc w:val="center"/>
              <w:rPr>
                <w:rFonts w:ascii="宋体"/>
              </w:rPr>
            </w:pPr>
          </w:p>
        </w:tc>
        <w:tc>
          <w:tcPr>
            <w:tcW w:w="520" w:type="dxa"/>
            <w:vMerge w:val="continue"/>
            <w:tcBorders>
              <w:left w:val="single" w:color="auto" w:sz="4" w:space="0"/>
              <w:right w:val="single" w:color="auto" w:sz="4" w:space="0"/>
            </w:tcBorders>
            <w:vAlign w:val="center"/>
          </w:tcPr>
          <w:p w14:paraId="065889BF">
            <w:pPr>
              <w:widowControl/>
              <w:jc w:val="center"/>
              <w:rPr>
                <w:rFonts w:ascii="宋体"/>
              </w:rPr>
            </w:pPr>
          </w:p>
        </w:tc>
        <w:tc>
          <w:tcPr>
            <w:tcW w:w="970" w:type="dxa"/>
            <w:tcBorders>
              <w:top w:val="single" w:color="auto" w:sz="4" w:space="0"/>
              <w:left w:val="single" w:color="auto" w:sz="4" w:space="0"/>
              <w:bottom w:val="single" w:color="auto" w:sz="4" w:space="0"/>
              <w:right w:val="single" w:color="auto" w:sz="4" w:space="0"/>
            </w:tcBorders>
            <w:vAlign w:val="center"/>
          </w:tcPr>
          <w:p w14:paraId="701584CB">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供货周期</w:t>
            </w:r>
          </w:p>
        </w:tc>
        <w:tc>
          <w:tcPr>
            <w:tcW w:w="650" w:type="dxa"/>
            <w:tcBorders>
              <w:top w:val="single" w:color="auto" w:sz="4" w:space="0"/>
              <w:left w:val="single" w:color="auto" w:sz="4" w:space="0"/>
              <w:bottom w:val="nil"/>
              <w:right w:val="single" w:color="auto" w:sz="4" w:space="0"/>
            </w:tcBorders>
            <w:vAlign w:val="center"/>
          </w:tcPr>
          <w:p w14:paraId="2C559B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rPr>
            </w:pPr>
            <w:r>
              <w:rPr>
                <w:rFonts w:hint="eastAsia" w:ascii="宋体"/>
              </w:rPr>
              <w:t>6分</w:t>
            </w:r>
          </w:p>
        </w:tc>
        <w:tc>
          <w:tcPr>
            <w:tcW w:w="6153" w:type="dxa"/>
            <w:tcBorders>
              <w:top w:val="single" w:color="auto" w:sz="4" w:space="0"/>
              <w:left w:val="single" w:color="auto" w:sz="4" w:space="0"/>
              <w:bottom w:val="nil"/>
              <w:right w:val="single" w:color="auto" w:sz="4" w:space="0"/>
            </w:tcBorders>
            <w:vAlign w:val="center"/>
          </w:tcPr>
          <w:p w14:paraId="6C6D2D6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响应供货期基本要求得基本分2分，</w:t>
            </w:r>
          </w:p>
          <w:p w14:paraId="147F130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能提供详细的供货计划或生产加工计划，有详细的确保满足供货期基本要求或能在保证质量的前提下提前交货措施的说明及证明材料，根据实际情况酌情得1-4分；</w:t>
            </w:r>
          </w:p>
        </w:tc>
      </w:tr>
      <w:tr w14:paraId="082C71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19" w:hRule="atLeast"/>
          <w:jc w:val="center"/>
        </w:trPr>
        <w:tc>
          <w:tcPr>
            <w:tcW w:w="845" w:type="dxa"/>
            <w:vMerge w:val="continue"/>
            <w:tcBorders>
              <w:left w:val="single" w:color="auto" w:sz="4" w:space="0"/>
              <w:bottom w:val="single" w:color="auto" w:sz="4" w:space="0"/>
              <w:right w:val="single" w:color="auto" w:sz="4" w:space="0"/>
            </w:tcBorders>
            <w:vAlign w:val="center"/>
          </w:tcPr>
          <w:p w14:paraId="4B0C62D6">
            <w:pPr>
              <w:widowControl/>
              <w:jc w:val="center"/>
              <w:rPr>
                <w:rFonts w:ascii="宋体"/>
              </w:rPr>
            </w:pPr>
          </w:p>
        </w:tc>
        <w:tc>
          <w:tcPr>
            <w:tcW w:w="520" w:type="dxa"/>
            <w:vMerge w:val="continue"/>
            <w:tcBorders>
              <w:left w:val="single" w:color="auto" w:sz="4" w:space="0"/>
              <w:bottom w:val="single" w:color="auto" w:sz="4" w:space="0"/>
              <w:right w:val="single" w:color="auto" w:sz="4" w:space="0"/>
            </w:tcBorders>
            <w:vAlign w:val="center"/>
          </w:tcPr>
          <w:p w14:paraId="77855678">
            <w:pPr>
              <w:widowControl/>
              <w:jc w:val="center"/>
              <w:rPr>
                <w:rFonts w:ascii="宋体"/>
              </w:rPr>
            </w:pPr>
          </w:p>
        </w:tc>
        <w:tc>
          <w:tcPr>
            <w:tcW w:w="970" w:type="dxa"/>
            <w:tcBorders>
              <w:top w:val="single" w:color="auto" w:sz="4" w:space="0"/>
              <w:left w:val="single" w:color="auto" w:sz="4" w:space="0"/>
              <w:bottom w:val="single" w:color="auto" w:sz="4" w:space="0"/>
              <w:right w:val="single" w:color="auto" w:sz="4" w:space="0"/>
            </w:tcBorders>
            <w:vAlign w:val="center"/>
          </w:tcPr>
          <w:p w14:paraId="6037C54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lang w:val="en-US" w:eastAsia="zh-CN"/>
              </w:rPr>
            </w:pPr>
            <w:r>
              <w:rPr>
                <w:rFonts w:hint="eastAsia" w:ascii="宋体"/>
              </w:rPr>
              <w:t>类似业绩</w:t>
            </w:r>
          </w:p>
        </w:tc>
        <w:tc>
          <w:tcPr>
            <w:tcW w:w="650" w:type="dxa"/>
            <w:tcBorders>
              <w:top w:val="single" w:color="auto" w:sz="4" w:space="0"/>
              <w:left w:val="single" w:color="auto" w:sz="4" w:space="0"/>
              <w:bottom w:val="nil"/>
              <w:right w:val="single" w:color="auto" w:sz="4" w:space="0"/>
            </w:tcBorders>
            <w:vAlign w:val="center"/>
          </w:tcPr>
          <w:p w14:paraId="0D951F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lang w:val="en-US" w:eastAsia="zh-CN"/>
              </w:rPr>
            </w:pPr>
            <w:r>
              <w:rPr>
                <w:rFonts w:hint="eastAsia" w:ascii="宋体"/>
              </w:rPr>
              <w:t>6分</w:t>
            </w:r>
          </w:p>
        </w:tc>
        <w:tc>
          <w:tcPr>
            <w:tcW w:w="6153" w:type="dxa"/>
            <w:tcBorders>
              <w:top w:val="single" w:color="auto" w:sz="4" w:space="0"/>
              <w:left w:val="single" w:color="auto" w:sz="4" w:space="0"/>
              <w:bottom w:val="nil"/>
              <w:right w:val="single" w:color="auto" w:sz="4" w:space="0"/>
            </w:tcBorders>
            <w:vAlign w:val="center"/>
          </w:tcPr>
          <w:p w14:paraId="67780B3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投标人每有一项类似业绩（签订日期为2020年1月1日至今），根据类似程度，酌情得1-6分 (必须提供合同原件,否则不得分)。</w:t>
            </w:r>
          </w:p>
        </w:tc>
      </w:tr>
      <w:tr w14:paraId="0A07A9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19" w:hRule="atLeast"/>
          <w:jc w:val="center"/>
        </w:trPr>
        <w:tc>
          <w:tcPr>
            <w:tcW w:w="845" w:type="dxa"/>
            <w:vMerge w:val="continue"/>
            <w:tcBorders>
              <w:left w:val="single" w:color="auto" w:sz="4" w:space="0"/>
              <w:bottom w:val="single" w:color="auto" w:sz="4" w:space="0"/>
              <w:right w:val="single" w:color="auto" w:sz="4" w:space="0"/>
            </w:tcBorders>
            <w:vAlign w:val="center"/>
          </w:tcPr>
          <w:p w14:paraId="4DE242AF">
            <w:pPr>
              <w:widowControl/>
              <w:jc w:val="center"/>
              <w:rPr>
                <w:rFonts w:ascii="宋体"/>
              </w:rPr>
            </w:pPr>
          </w:p>
        </w:tc>
        <w:tc>
          <w:tcPr>
            <w:tcW w:w="520" w:type="dxa"/>
            <w:vMerge w:val="continue"/>
            <w:tcBorders>
              <w:left w:val="single" w:color="auto" w:sz="4" w:space="0"/>
              <w:bottom w:val="single" w:color="auto" w:sz="4" w:space="0"/>
              <w:right w:val="single" w:color="auto" w:sz="4" w:space="0"/>
            </w:tcBorders>
            <w:vAlign w:val="center"/>
          </w:tcPr>
          <w:p w14:paraId="33269B14">
            <w:pPr>
              <w:widowControl/>
              <w:jc w:val="center"/>
              <w:rPr>
                <w:rFonts w:ascii="宋体"/>
              </w:rPr>
            </w:pPr>
          </w:p>
        </w:tc>
        <w:tc>
          <w:tcPr>
            <w:tcW w:w="970" w:type="dxa"/>
            <w:tcBorders>
              <w:top w:val="single" w:color="auto" w:sz="4" w:space="0"/>
              <w:left w:val="single" w:color="auto" w:sz="4" w:space="0"/>
              <w:bottom w:val="single" w:color="auto" w:sz="4" w:space="0"/>
              <w:right w:val="single" w:color="auto" w:sz="4" w:space="0"/>
            </w:tcBorders>
            <w:vAlign w:val="center"/>
          </w:tcPr>
          <w:p w14:paraId="2E31BC49">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lang w:val="en-US" w:eastAsia="zh-CN"/>
              </w:rPr>
            </w:pPr>
            <w:r>
              <w:rPr>
                <w:rFonts w:hint="eastAsia" w:ascii="宋体"/>
              </w:rPr>
              <w:t>注册资本金及近三年营收情况等</w:t>
            </w:r>
          </w:p>
        </w:tc>
        <w:tc>
          <w:tcPr>
            <w:tcW w:w="650" w:type="dxa"/>
            <w:tcBorders>
              <w:top w:val="single" w:color="auto" w:sz="4" w:space="0"/>
              <w:left w:val="single" w:color="auto" w:sz="4" w:space="0"/>
              <w:bottom w:val="nil"/>
              <w:right w:val="single" w:color="auto" w:sz="4" w:space="0"/>
            </w:tcBorders>
            <w:vAlign w:val="center"/>
          </w:tcPr>
          <w:p w14:paraId="2FED8E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lang w:val="en-US" w:eastAsia="zh-CN"/>
              </w:rPr>
            </w:pPr>
            <w:r>
              <w:rPr>
                <w:rFonts w:hint="eastAsia" w:ascii="宋体"/>
              </w:rPr>
              <w:t>6分</w:t>
            </w:r>
          </w:p>
        </w:tc>
        <w:tc>
          <w:tcPr>
            <w:tcW w:w="6153" w:type="dxa"/>
            <w:tcBorders>
              <w:top w:val="single" w:color="auto" w:sz="4" w:space="0"/>
              <w:left w:val="single" w:color="auto" w:sz="4" w:space="0"/>
              <w:bottom w:val="nil"/>
              <w:right w:val="single" w:color="auto" w:sz="4" w:space="0"/>
            </w:tcBorders>
            <w:vAlign w:val="center"/>
          </w:tcPr>
          <w:p w14:paraId="052B5E7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1.1企业注册资本金达到200万元得1分，每增加500万加0.5分，最多加3分；</w:t>
            </w:r>
          </w:p>
          <w:p w14:paraId="66A7F057">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1.2近三年营收情况等内容，根据财务报表情况，酌情得分，最多得2分。</w:t>
            </w:r>
          </w:p>
        </w:tc>
      </w:tr>
      <w:tr w14:paraId="199741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19" w:hRule="atLeast"/>
          <w:jc w:val="center"/>
        </w:trPr>
        <w:tc>
          <w:tcPr>
            <w:tcW w:w="845" w:type="dxa"/>
            <w:vMerge w:val="continue"/>
            <w:tcBorders>
              <w:left w:val="single" w:color="auto" w:sz="4" w:space="0"/>
              <w:bottom w:val="single" w:color="auto" w:sz="4" w:space="0"/>
              <w:right w:val="single" w:color="auto" w:sz="4" w:space="0"/>
            </w:tcBorders>
            <w:vAlign w:val="center"/>
          </w:tcPr>
          <w:p w14:paraId="1176C2ED">
            <w:pPr>
              <w:widowControl/>
              <w:jc w:val="center"/>
              <w:rPr>
                <w:rFonts w:ascii="宋体"/>
              </w:rPr>
            </w:pPr>
          </w:p>
        </w:tc>
        <w:tc>
          <w:tcPr>
            <w:tcW w:w="520" w:type="dxa"/>
            <w:vMerge w:val="continue"/>
            <w:tcBorders>
              <w:left w:val="single" w:color="auto" w:sz="4" w:space="0"/>
              <w:bottom w:val="single" w:color="auto" w:sz="4" w:space="0"/>
              <w:right w:val="single" w:color="auto" w:sz="4" w:space="0"/>
            </w:tcBorders>
            <w:vAlign w:val="center"/>
          </w:tcPr>
          <w:p w14:paraId="373C622E">
            <w:pPr>
              <w:widowControl/>
              <w:jc w:val="center"/>
              <w:rPr>
                <w:rFonts w:ascii="宋体"/>
              </w:rPr>
            </w:pPr>
          </w:p>
        </w:tc>
        <w:tc>
          <w:tcPr>
            <w:tcW w:w="970" w:type="dxa"/>
            <w:tcBorders>
              <w:top w:val="single" w:color="auto" w:sz="4" w:space="0"/>
              <w:left w:val="single" w:color="auto" w:sz="4" w:space="0"/>
              <w:bottom w:val="single" w:color="auto" w:sz="4" w:space="0"/>
              <w:right w:val="single" w:color="auto" w:sz="4" w:space="0"/>
            </w:tcBorders>
            <w:vAlign w:val="center"/>
          </w:tcPr>
          <w:p w14:paraId="51F8B2F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lang w:val="en-US" w:eastAsia="zh-CN"/>
              </w:rPr>
            </w:pPr>
            <w:r>
              <w:rPr>
                <w:rFonts w:hint="eastAsia" w:ascii="宋体"/>
              </w:rPr>
              <w:t>履约能力</w:t>
            </w:r>
          </w:p>
        </w:tc>
        <w:tc>
          <w:tcPr>
            <w:tcW w:w="650" w:type="dxa"/>
            <w:tcBorders>
              <w:top w:val="single" w:color="auto" w:sz="4" w:space="0"/>
              <w:left w:val="single" w:color="auto" w:sz="4" w:space="0"/>
              <w:bottom w:val="nil"/>
              <w:right w:val="single" w:color="auto" w:sz="4" w:space="0"/>
            </w:tcBorders>
            <w:vAlign w:val="center"/>
          </w:tcPr>
          <w:p w14:paraId="09D131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lang w:val="en-US" w:eastAsia="zh-CN"/>
              </w:rPr>
            </w:pPr>
            <w:r>
              <w:rPr>
                <w:rFonts w:hint="eastAsia" w:ascii="宋体"/>
              </w:rPr>
              <w:t>4分</w:t>
            </w:r>
          </w:p>
        </w:tc>
        <w:tc>
          <w:tcPr>
            <w:tcW w:w="6153" w:type="dxa"/>
            <w:tcBorders>
              <w:top w:val="single" w:color="auto" w:sz="4" w:space="0"/>
              <w:left w:val="single" w:color="auto" w:sz="4" w:space="0"/>
              <w:bottom w:val="nil"/>
              <w:right w:val="single" w:color="auto" w:sz="4" w:space="0"/>
            </w:tcBorders>
            <w:vAlign w:val="center"/>
          </w:tcPr>
          <w:p w14:paraId="438DE35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视投标人的综合实力、品牌影响力、市场占有率、财务状况履约能力、安全、环保、节能认证等综合情况酌情得1-4分。</w:t>
            </w:r>
          </w:p>
        </w:tc>
      </w:tr>
      <w:tr w14:paraId="526F8D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19" w:hRule="atLeast"/>
          <w:jc w:val="center"/>
        </w:trPr>
        <w:tc>
          <w:tcPr>
            <w:tcW w:w="845" w:type="dxa"/>
            <w:vMerge w:val="continue"/>
            <w:tcBorders>
              <w:left w:val="single" w:color="auto" w:sz="4" w:space="0"/>
              <w:bottom w:val="single" w:color="auto" w:sz="4" w:space="0"/>
              <w:right w:val="single" w:color="auto" w:sz="4" w:space="0"/>
            </w:tcBorders>
            <w:vAlign w:val="center"/>
          </w:tcPr>
          <w:p w14:paraId="6E26B301">
            <w:pPr>
              <w:widowControl/>
              <w:jc w:val="center"/>
              <w:rPr>
                <w:rFonts w:ascii="宋体"/>
              </w:rPr>
            </w:pPr>
          </w:p>
        </w:tc>
        <w:tc>
          <w:tcPr>
            <w:tcW w:w="520" w:type="dxa"/>
            <w:vMerge w:val="continue"/>
            <w:tcBorders>
              <w:left w:val="single" w:color="auto" w:sz="4" w:space="0"/>
              <w:bottom w:val="single" w:color="auto" w:sz="4" w:space="0"/>
              <w:right w:val="single" w:color="auto" w:sz="4" w:space="0"/>
            </w:tcBorders>
            <w:vAlign w:val="center"/>
          </w:tcPr>
          <w:p w14:paraId="5B9484CC">
            <w:pPr>
              <w:widowControl/>
              <w:jc w:val="center"/>
              <w:rPr>
                <w:rFonts w:ascii="宋体"/>
              </w:rPr>
            </w:pPr>
          </w:p>
        </w:tc>
        <w:tc>
          <w:tcPr>
            <w:tcW w:w="970" w:type="dxa"/>
            <w:tcBorders>
              <w:top w:val="single" w:color="auto" w:sz="4" w:space="0"/>
              <w:left w:val="single" w:color="auto" w:sz="4" w:space="0"/>
              <w:bottom w:val="single" w:color="auto" w:sz="4" w:space="0"/>
              <w:right w:val="single" w:color="auto" w:sz="4" w:space="0"/>
            </w:tcBorders>
            <w:vAlign w:val="center"/>
          </w:tcPr>
          <w:p w14:paraId="698EA241">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lang w:val="en-US" w:eastAsia="zh-CN"/>
              </w:rPr>
            </w:pPr>
            <w:r>
              <w:rPr>
                <w:rFonts w:hint="eastAsia" w:ascii="宋体"/>
              </w:rPr>
              <w:t>质保期及售后服务</w:t>
            </w:r>
          </w:p>
        </w:tc>
        <w:tc>
          <w:tcPr>
            <w:tcW w:w="650" w:type="dxa"/>
            <w:tcBorders>
              <w:top w:val="single" w:color="auto" w:sz="4" w:space="0"/>
              <w:left w:val="single" w:color="auto" w:sz="4" w:space="0"/>
              <w:bottom w:val="nil"/>
              <w:right w:val="single" w:color="auto" w:sz="4" w:space="0"/>
            </w:tcBorders>
            <w:vAlign w:val="center"/>
          </w:tcPr>
          <w:p w14:paraId="097279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lang w:val="en-US" w:eastAsia="zh-CN"/>
              </w:rPr>
            </w:pPr>
            <w:r>
              <w:rPr>
                <w:rFonts w:hint="eastAsia" w:ascii="宋体"/>
              </w:rPr>
              <w:t>4分</w:t>
            </w:r>
          </w:p>
        </w:tc>
        <w:tc>
          <w:tcPr>
            <w:tcW w:w="6153" w:type="dxa"/>
            <w:tcBorders>
              <w:top w:val="single" w:color="auto" w:sz="4" w:space="0"/>
              <w:left w:val="single" w:color="auto" w:sz="4" w:space="0"/>
              <w:bottom w:val="nil"/>
              <w:right w:val="single" w:color="auto" w:sz="4" w:space="0"/>
            </w:tcBorders>
            <w:vAlign w:val="center"/>
          </w:tcPr>
          <w:p w14:paraId="79577B6E">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rPr>
            </w:pPr>
            <w:r>
              <w:rPr>
                <w:rFonts w:hint="eastAsia" w:ascii="宋体"/>
              </w:rPr>
              <w:t>质保期满足或优于招标文件要求，售后服务措施得当，体系完整，项目所在地有相应的的售后服务能力酌情得1-4分。</w:t>
            </w:r>
          </w:p>
        </w:tc>
      </w:tr>
      <w:tr w14:paraId="21AA40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110" w:hRule="atLeast"/>
          <w:jc w:val="center"/>
        </w:trPr>
        <w:tc>
          <w:tcPr>
            <w:tcW w:w="845" w:type="dxa"/>
            <w:tcBorders>
              <w:top w:val="single" w:color="auto" w:sz="4" w:space="0"/>
              <w:left w:val="single" w:color="auto" w:sz="4" w:space="0"/>
              <w:bottom w:val="single" w:color="auto" w:sz="4" w:space="0"/>
              <w:right w:val="single" w:color="auto" w:sz="4" w:space="0"/>
            </w:tcBorders>
            <w:vAlign w:val="center"/>
          </w:tcPr>
          <w:p w14:paraId="799D235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eastAsia="宋体"/>
                <w:szCs w:val="21"/>
                <w:highlight w:val="none"/>
                <w:lang w:eastAsia="zh-CN"/>
              </w:rPr>
            </w:pPr>
            <w:r>
              <w:rPr>
                <w:rFonts w:hint="eastAsia" w:ascii="宋体"/>
                <w:szCs w:val="21"/>
                <w:highlight w:val="none"/>
              </w:rPr>
              <w:t>商务标</w:t>
            </w:r>
          </w:p>
        </w:tc>
        <w:tc>
          <w:tcPr>
            <w:tcW w:w="520" w:type="dxa"/>
            <w:tcBorders>
              <w:top w:val="single" w:color="auto" w:sz="4" w:space="0"/>
              <w:left w:val="single" w:color="auto" w:sz="4" w:space="0"/>
              <w:bottom w:val="single" w:color="auto" w:sz="4" w:space="0"/>
              <w:right w:val="single" w:color="auto" w:sz="4" w:space="0"/>
            </w:tcBorders>
            <w:vAlign w:val="center"/>
          </w:tcPr>
          <w:p w14:paraId="1C62CC87">
            <w:pPr>
              <w:jc w:val="center"/>
              <w:rPr>
                <w:rFonts w:ascii="宋体"/>
                <w:b/>
                <w:szCs w:val="21"/>
                <w:highlight w:val="none"/>
              </w:rPr>
            </w:pPr>
            <w:r>
              <w:rPr>
                <w:rFonts w:hint="eastAsia" w:ascii="宋体"/>
                <w:lang w:val="en-US" w:eastAsia="zh-CN"/>
              </w:rPr>
              <w:t>100</w:t>
            </w:r>
          </w:p>
        </w:tc>
        <w:tc>
          <w:tcPr>
            <w:tcW w:w="970" w:type="dxa"/>
            <w:tcBorders>
              <w:top w:val="single" w:color="auto" w:sz="4" w:space="0"/>
              <w:left w:val="single" w:color="auto" w:sz="4" w:space="0"/>
              <w:bottom w:val="single" w:color="auto" w:sz="4" w:space="0"/>
              <w:right w:val="single" w:color="auto" w:sz="4" w:space="0"/>
            </w:tcBorders>
            <w:vAlign w:val="center"/>
          </w:tcPr>
          <w:p w14:paraId="154D28CB">
            <w:pPr>
              <w:jc w:val="center"/>
              <w:rPr>
                <w:rFonts w:ascii="宋体"/>
                <w:b/>
                <w:szCs w:val="21"/>
                <w:highlight w:val="none"/>
              </w:rPr>
            </w:pPr>
            <w:r>
              <w:rPr>
                <w:rFonts w:hint="eastAsia" w:ascii="宋体" w:hAnsi="宋体"/>
                <w:highlight w:val="none"/>
              </w:rPr>
              <w:t>投标报价</w:t>
            </w:r>
          </w:p>
        </w:tc>
        <w:tc>
          <w:tcPr>
            <w:tcW w:w="650" w:type="dxa"/>
            <w:tcBorders>
              <w:top w:val="single" w:color="auto" w:sz="4" w:space="0"/>
              <w:left w:val="single" w:color="auto" w:sz="4" w:space="0"/>
              <w:bottom w:val="nil"/>
              <w:right w:val="single" w:color="auto" w:sz="4" w:space="0"/>
            </w:tcBorders>
            <w:vAlign w:val="center"/>
          </w:tcPr>
          <w:p w14:paraId="4C22ADBD">
            <w:pPr>
              <w:spacing w:line="440" w:lineRule="exact"/>
              <w:jc w:val="center"/>
              <w:rPr>
                <w:rFonts w:hint="default" w:ascii="宋体" w:hAnsi="宋体" w:eastAsia="宋体"/>
                <w:highlight w:val="none"/>
                <w:lang w:val="en-US" w:eastAsia="zh-CN"/>
              </w:rPr>
            </w:pPr>
            <w:r>
              <w:rPr>
                <w:rFonts w:hint="eastAsia" w:ascii="宋体"/>
                <w:lang w:val="en-US" w:eastAsia="zh-CN"/>
              </w:rPr>
              <w:t>10</w:t>
            </w:r>
            <w:bookmarkStart w:id="0" w:name="_GoBack"/>
            <w:bookmarkEnd w:id="0"/>
            <w:r>
              <w:rPr>
                <w:rFonts w:hint="eastAsia" w:ascii="宋体"/>
                <w:lang w:val="en-US" w:eastAsia="zh-CN"/>
              </w:rPr>
              <w:t>0</w:t>
            </w:r>
          </w:p>
        </w:tc>
        <w:tc>
          <w:tcPr>
            <w:tcW w:w="6153" w:type="dxa"/>
            <w:tcBorders>
              <w:top w:val="single" w:color="auto" w:sz="4" w:space="0"/>
              <w:left w:val="single" w:color="auto" w:sz="4" w:space="0"/>
              <w:bottom w:val="nil"/>
              <w:right w:val="single" w:color="auto" w:sz="4" w:space="0"/>
            </w:tcBorders>
            <w:vAlign w:val="center"/>
          </w:tcPr>
          <w:p w14:paraId="6D1D8CAA">
            <w:pPr>
              <w:tabs>
                <w:tab w:val="left" w:pos="7854"/>
              </w:tabs>
              <w:spacing w:line="280" w:lineRule="exact"/>
              <w:rPr>
                <w:highlight w:val="yellow"/>
              </w:rPr>
            </w:pPr>
            <w:r>
              <w:rPr>
                <w:rFonts w:hint="eastAsia" w:ascii="仿宋_GB2312" w:hAnsi="仿宋_GB2312" w:cs="仿宋_GB2312"/>
                <w:color w:val="000000"/>
                <w:szCs w:val="28"/>
              </w:rPr>
              <w:t>商</w:t>
            </w:r>
            <w:r>
              <w:rPr>
                <w:rFonts w:hint="eastAsia" w:ascii="仿宋_GB2312" w:hAnsi="仿宋_GB2312" w:cs="仿宋_GB2312"/>
                <w:bCs/>
              </w:rPr>
              <w:t>务标得分=当前轮次最低价/供方投标价×商务标总分。</w:t>
            </w:r>
          </w:p>
        </w:tc>
      </w:tr>
      <w:tr w14:paraId="70D663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797" w:hRule="atLeast"/>
          <w:jc w:val="center"/>
        </w:trPr>
        <w:tc>
          <w:tcPr>
            <w:tcW w:w="9138" w:type="dxa"/>
            <w:gridSpan w:val="5"/>
            <w:tcBorders>
              <w:top w:val="single" w:color="auto" w:sz="4" w:space="0"/>
              <w:left w:val="single" w:color="auto" w:sz="4" w:space="0"/>
              <w:bottom w:val="single" w:color="auto" w:sz="4" w:space="0"/>
              <w:right w:val="single" w:color="auto" w:sz="4" w:space="0"/>
            </w:tcBorders>
            <w:vAlign w:val="center"/>
          </w:tcPr>
          <w:p w14:paraId="1B6935E1">
            <w:pPr>
              <w:rPr>
                <w:rFonts w:ascii="宋体"/>
                <w:szCs w:val="21"/>
              </w:rPr>
            </w:pPr>
            <w:r>
              <w:rPr>
                <w:rFonts w:hint="eastAsia" w:ascii="宋体" w:hAnsi="宋体"/>
              </w:rPr>
              <w:t>备注：</w:t>
            </w:r>
          </w:p>
          <w:p w14:paraId="2E44C0D2">
            <w:pPr>
              <w:rPr>
                <w:rFonts w:ascii="宋体"/>
              </w:rPr>
            </w:pPr>
            <w:r>
              <w:rPr>
                <w:rFonts w:hint="eastAsia" w:ascii="宋体" w:hAnsi="宋体"/>
              </w:rPr>
              <w:t>1、通过初审者为有效投标。</w:t>
            </w:r>
          </w:p>
          <w:p w14:paraId="1EA60817">
            <w:pPr>
              <w:rPr>
                <w:rFonts w:hint="eastAsia" w:ascii="宋体" w:eastAsia="宋体"/>
                <w:b/>
                <w:bCs/>
                <w:color w:val="FF0000"/>
                <w:sz w:val="18"/>
                <w:szCs w:val="18"/>
                <w:lang w:eastAsia="zh-CN"/>
              </w:rPr>
            </w:pPr>
            <w:r>
              <w:rPr>
                <w:rFonts w:hint="eastAsia" w:ascii="宋体" w:hAnsi="宋体"/>
              </w:rPr>
              <w:t>2、</w:t>
            </w:r>
            <w:r>
              <w:rPr>
                <w:rFonts w:hint="eastAsia" w:ascii="??" w:hAnsi="??"/>
              </w:rPr>
              <w:t>综合评价值相同的，依照价格、技术、商务、服务及其他评价内容的优先次序，根据分项评价值进行排名。</w:t>
            </w:r>
            <w:r>
              <w:rPr>
                <w:rFonts w:hint="eastAsia" w:ascii="宋体" w:hAnsi="宋体"/>
              </w:rPr>
              <w:t>若上述排名皆相同的，则由全体评委成员无记名投票，得票高者排序在前。</w:t>
            </w:r>
          </w:p>
          <w:p w14:paraId="1A30FA18">
            <w:pPr>
              <w:rPr>
                <w:rFonts w:hint="eastAsia" w:ascii="宋体" w:hAnsi="宋体"/>
              </w:rPr>
            </w:pPr>
            <w:r>
              <w:rPr>
                <w:rFonts w:hint="eastAsia" w:ascii="宋体" w:hAnsi="宋体"/>
              </w:rPr>
              <w:t>3、评委打分超过得分界限或未按本方法赋分时，该评委的打分按废票处理。</w:t>
            </w:r>
          </w:p>
          <w:p w14:paraId="5A306CDC">
            <w:pPr>
              <w:rPr>
                <w:rFonts w:hint="eastAsia" w:ascii="宋体" w:hAnsi="宋体"/>
              </w:rPr>
            </w:pPr>
            <w:r>
              <w:rPr>
                <w:rFonts w:hint="eastAsia" w:ascii="宋体" w:hAnsi="宋体"/>
              </w:rPr>
              <w:t>4、投标人提交的投标文件和资料必须真实有效。合同签订前，招标人有权组织联合小组（财务、技术、设备、质量等）到中标候选人实地审核，如发现投标文件和资料有弄虚作假，招标人有权取消其中标候选人资格，同时招标人有权扣留其投标保证金。</w:t>
            </w:r>
          </w:p>
        </w:tc>
      </w:tr>
    </w:tbl>
    <w:p w14:paraId="0128AB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B4BAC"/>
    <w:rsid w:val="10157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98"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8"/>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2026-01-20T09:24:37Z</dcterms:created>
  <dc:creator>我的电脑</dc:creator>
  <cp:lastModifiedBy>张志新</cp:lastModifiedBy>
  <dcterms:modified xsi:type="dcterms:W3CDTF">2026-01-20T09:27:08Z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eyJoZGlkIjoiZWZkNzY5MTkwZDRkZTAzNmI1YmZiMjMzNTQ3ZWY3ZjMiLCJ1c2VySWQiOiI3MTI1MTQ5NjkifQ==</vt:lpwstr>
  </property>
  <property fmtid="{D5CDD505-2E9C-101B-9397-08002B2CF9AE}" pid="4" name="ICV">
    <vt:lpwstr>CBC206DBA05C4D9B8DDE477961A163F0_12</vt:lpwstr>
  </property>
</Properties>
</file>