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37DD4">
      <w:pPr>
        <w:pStyle w:val="2"/>
        <w:numPr>
          <w:ilvl w:val="0"/>
          <w:numId w:val="0"/>
        </w:numPr>
        <w:shd w:val="clear"/>
        <w:spacing w:line="360" w:lineRule="auto"/>
        <w:jc w:val="center"/>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评分标准</w:t>
      </w:r>
    </w:p>
    <w:tbl>
      <w:tblPr>
        <w:tblStyle w:val="3"/>
        <w:tblW w:w="4875" w:type="pct"/>
        <w:jc w:val="center"/>
        <w:tblLayout w:type="fixed"/>
        <w:tblCellMar>
          <w:top w:w="0" w:type="dxa"/>
          <w:left w:w="0" w:type="dxa"/>
          <w:bottom w:w="0" w:type="dxa"/>
          <w:right w:w="0" w:type="dxa"/>
        </w:tblCellMar>
      </w:tblPr>
      <w:tblGrid>
        <w:gridCol w:w="610"/>
        <w:gridCol w:w="493"/>
        <w:gridCol w:w="707"/>
        <w:gridCol w:w="613"/>
        <w:gridCol w:w="6444"/>
      </w:tblGrid>
      <w:tr w14:paraId="7670BA77">
        <w:tblPrEx>
          <w:tblCellMar>
            <w:top w:w="0" w:type="dxa"/>
            <w:left w:w="0" w:type="dxa"/>
            <w:bottom w:w="0" w:type="dxa"/>
            <w:right w:w="0" w:type="dxa"/>
          </w:tblCellMar>
        </w:tblPrEx>
        <w:trPr>
          <w:cantSplit/>
          <w:trHeight w:val="793" w:hRule="atLeast"/>
          <w:jc w:val="center"/>
        </w:trPr>
        <w:tc>
          <w:tcPr>
            <w:tcW w:w="610" w:type="dxa"/>
            <w:tcBorders>
              <w:top w:val="single" w:color="000000" w:sz="4" w:space="0"/>
              <w:left w:val="single" w:color="000000" w:sz="4" w:space="0"/>
              <w:bottom w:val="single" w:color="auto" w:sz="4" w:space="0"/>
              <w:right w:val="single" w:color="000000" w:sz="4" w:space="0"/>
            </w:tcBorders>
            <w:noWrap/>
            <w:tcMar>
              <w:top w:w="12" w:type="dxa"/>
              <w:left w:w="12" w:type="dxa"/>
              <w:right w:w="12" w:type="dxa"/>
            </w:tcMar>
            <w:vAlign w:val="center"/>
          </w:tcPr>
          <w:p w14:paraId="32644583">
            <w:pPr>
              <w:widowControl/>
              <w:jc w:val="center"/>
              <w:textAlignment w:val="center"/>
              <w:rPr>
                <w:rFonts w:ascii="宋体" w:cs="宋体"/>
                <w:kern w:val="0"/>
                <w:szCs w:val="21"/>
              </w:rPr>
            </w:pPr>
            <w:r>
              <w:rPr>
                <w:rFonts w:hint="eastAsia" w:ascii="宋体" w:cs="宋体"/>
                <w:kern w:val="0"/>
                <w:szCs w:val="21"/>
              </w:rPr>
              <w:t>评标</w:t>
            </w:r>
          </w:p>
          <w:p w14:paraId="55015099">
            <w:pPr>
              <w:widowControl/>
              <w:jc w:val="center"/>
              <w:textAlignment w:val="center"/>
              <w:rPr>
                <w:rFonts w:ascii="宋体" w:cs="宋体"/>
                <w:szCs w:val="21"/>
              </w:rPr>
            </w:pPr>
            <w:r>
              <w:rPr>
                <w:rFonts w:hint="eastAsia" w:ascii="宋体" w:cs="宋体"/>
                <w:kern w:val="0"/>
                <w:szCs w:val="21"/>
              </w:rPr>
              <w:t>因素</w:t>
            </w:r>
          </w:p>
        </w:tc>
        <w:tc>
          <w:tcPr>
            <w:tcW w:w="493" w:type="dxa"/>
            <w:tcBorders>
              <w:top w:val="single" w:color="000000" w:sz="4" w:space="0"/>
              <w:left w:val="single" w:color="000000" w:sz="4" w:space="0"/>
              <w:bottom w:val="single" w:color="auto" w:sz="4" w:space="0"/>
              <w:right w:val="single" w:color="000000" w:sz="4" w:space="0"/>
            </w:tcBorders>
            <w:noWrap/>
            <w:tcMar>
              <w:top w:w="12" w:type="dxa"/>
              <w:left w:w="12" w:type="dxa"/>
              <w:right w:w="12" w:type="dxa"/>
            </w:tcMar>
            <w:vAlign w:val="center"/>
          </w:tcPr>
          <w:p w14:paraId="535C6375">
            <w:pPr>
              <w:widowControl/>
              <w:jc w:val="center"/>
              <w:textAlignment w:val="center"/>
              <w:rPr>
                <w:rFonts w:ascii="宋体" w:cs="宋体"/>
                <w:szCs w:val="21"/>
              </w:rPr>
            </w:pPr>
            <w:r>
              <w:rPr>
                <w:rFonts w:hint="eastAsia" w:ascii="宋体" w:cs="宋体"/>
                <w:kern w:val="0"/>
                <w:szCs w:val="21"/>
              </w:rPr>
              <w:t>总分</w:t>
            </w:r>
          </w:p>
        </w:tc>
        <w:tc>
          <w:tcPr>
            <w:tcW w:w="707"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44027B">
            <w:pPr>
              <w:widowControl/>
              <w:jc w:val="center"/>
              <w:textAlignment w:val="center"/>
              <w:rPr>
                <w:rFonts w:ascii="宋体" w:cs="宋体"/>
                <w:szCs w:val="21"/>
              </w:rPr>
            </w:pPr>
            <w:r>
              <w:rPr>
                <w:rFonts w:hint="eastAsia" w:ascii="宋体" w:cs="宋体"/>
                <w:kern w:val="0"/>
                <w:szCs w:val="21"/>
              </w:rPr>
              <w:t>评价内容</w:t>
            </w:r>
          </w:p>
        </w:tc>
        <w:tc>
          <w:tcPr>
            <w:tcW w:w="6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DC9D963">
            <w:pPr>
              <w:widowControl/>
              <w:jc w:val="center"/>
              <w:textAlignment w:val="center"/>
              <w:rPr>
                <w:rFonts w:ascii="宋体" w:cs="宋体"/>
                <w:kern w:val="0"/>
                <w:szCs w:val="21"/>
              </w:rPr>
            </w:pPr>
            <w:r>
              <w:rPr>
                <w:rFonts w:hint="eastAsia" w:ascii="宋体" w:cs="宋体"/>
                <w:kern w:val="0"/>
                <w:szCs w:val="21"/>
              </w:rPr>
              <w:t>最高</w:t>
            </w:r>
          </w:p>
          <w:p w14:paraId="3565C85C">
            <w:pPr>
              <w:widowControl/>
              <w:jc w:val="center"/>
              <w:textAlignment w:val="center"/>
              <w:rPr>
                <w:rFonts w:ascii="宋体" w:cs="宋体"/>
                <w:szCs w:val="21"/>
              </w:rPr>
            </w:pPr>
            <w:r>
              <w:rPr>
                <w:rFonts w:hint="eastAsia" w:ascii="宋体" w:cs="宋体"/>
                <w:kern w:val="0"/>
                <w:szCs w:val="21"/>
              </w:rPr>
              <w:t>得分</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5008425">
            <w:pPr>
              <w:widowControl/>
              <w:jc w:val="center"/>
              <w:textAlignment w:val="center"/>
              <w:rPr>
                <w:rFonts w:ascii="宋体" w:cs="宋体"/>
                <w:szCs w:val="21"/>
              </w:rPr>
            </w:pPr>
            <w:r>
              <w:rPr>
                <w:rFonts w:hint="eastAsia" w:ascii="宋体" w:cs="宋体"/>
                <w:kern w:val="0"/>
                <w:szCs w:val="21"/>
              </w:rPr>
              <w:t>评分标准</w:t>
            </w:r>
          </w:p>
        </w:tc>
      </w:tr>
      <w:tr w14:paraId="1673A9E3">
        <w:tblPrEx>
          <w:tblCellMar>
            <w:top w:w="0" w:type="dxa"/>
            <w:left w:w="0" w:type="dxa"/>
            <w:bottom w:w="0" w:type="dxa"/>
            <w:right w:w="0" w:type="dxa"/>
          </w:tblCellMar>
        </w:tblPrEx>
        <w:trPr>
          <w:cantSplit/>
          <w:trHeight w:val="1894" w:hRule="atLeast"/>
          <w:jc w:val="center"/>
        </w:trPr>
        <w:tc>
          <w:tcPr>
            <w:tcW w:w="610" w:type="dxa"/>
            <w:vMerge w:val="restart"/>
            <w:tcBorders>
              <w:top w:val="single" w:color="auto" w:sz="4" w:space="0"/>
              <w:left w:val="single" w:color="auto" w:sz="4" w:space="0"/>
              <w:right w:val="single" w:color="auto" w:sz="4" w:space="0"/>
            </w:tcBorders>
            <w:noWrap/>
            <w:tcMar>
              <w:top w:w="12" w:type="dxa"/>
              <w:left w:w="12" w:type="dxa"/>
              <w:right w:w="12" w:type="dxa"/>
            </w:tcMar>
            <w:vAlign w:val="center"/>
          </w:tcPr>
          <w:p w14:paraId="62E7F4C5">
            <w:pPr>
              <w:widowControl/>
              <w:jc w:val="center"/>
              <w:textAlignment w:val="center"/>
              <w:rPr>
                <w:rFonts w:ascii="宋体" w:cs="宋体"/>
                <w:kern w:val="0"/>
                <w:szCs w:val="21"/>
              </w:rPr>
            </w:pPr>
            <w:r>
              <w:rPr>
                <w:rFonts w:hint="eastAsia" w:ascii="宋体" w:cs="宋体"/>
                <w:kern w:val="0"/>
                <w:szCs w:val="21"/>
              </w:rPr>
              <w:t>技术标</w:t>
            </w:r>
          </w:p>
        </w:tc>
        <w:tc>
          <w:tcPr>
            <w:tcW w:w="493" w:type="dxa"/>
            <w:vMerge w:val="restart"/>
            <w:tcBorders>
              <w:top w:val="single" w:color="auto" w:sz="4" w:space="0"/>
              <w:left w:val="single" w:color="auto" w:sz="4" w:space="0"/>
              <w:right w:val="single" w:color="auto" w:sz="4" w:space="0"/>
            </w:tcBorders>
            <w:noWrap/>
            <w:tcMar>
              <w:top w:w="12" w:type="dxa"/>
              <w:left w:w="12" w:type="dxa"/>
              <w:right w:w="12" w:type="dxa"/>
            </w:tcMar>
            <w:vAlign w:val="center"/>
          </w:tcPr>
          <w:p w14:paraId="42DCB260">
            <w:pPr>
              <w:jc w:val="center"/>
              <w:rPr>
                <w:rFonts w:hint="default" w:ascii="宋体" w:cs="宋体"/>
                <w:szCs w:val="21"/>
                <w:lang w:val="en-US"/>
              </w:rPr>
            </w:pPr>
            <w:r>
              <w:rPr>
                <w:rFonts w:hint="eastAsia" w:ascii="宋体" w:cs="宋体"/>
                <w:szCs w:val="21"/>
                <w:lang w:val="en-US" w:eastAsia="zh-CN"/>
              </w:rPr>
              <w:t>60</w:t>
            </w:r>
          </w:p>
        </w:tc>
        <w:tc>
          <w:tcPr>
            <w:tcW w:w="707" w:type="dxa"/>
            <w:tcBorders>
              <w:top w:val="single" w:color="000000" w:sz="4" w:space="0"/>
              <w:left w:val="single" w:color="auto" w:sz="4" w:space="0"/>
              <w:right w:val="single" w:color="000000" w:sz="4" w:space="0"/>
            </w:tcBorders>
            <w:noWrap/>
            <w:tcMar>
              <w:top w:w="12" w:type="dxa"/>
              <w:left w:w="12" w:type="dxa"/>
              <w:right w:w="12" w:type="dxa"/>
            </w:tcMar>
            <w:vAlign w:val="center"/>
          </w:tcPr>
          <w:p w14:paraId="75502B3F">
            <w:pPr>
              <w:widowControl/>
              <w:jc w:val="center"/>
              <w:textAlignment w:val="center"/>
              <w:rPr>
                <w:rFonts w:ascii="宋体" w:cs="宋体"/>
                <w:szCs w:val="21"/>
              </w:rPr>
            </w:pPr>
            <w:r>
              <w:rPr>
                <w:rFonts w:hint="eastAsia" w:ascii="宋体" w:cs="宋体"/>
                <w:kern w:val="0"/>
                <w:szCs w:val="21"/>
              </w:rPr>
              <w:t>技术方案及组织措施</w:t>
            </w:r>
          </w:p>
        </w:tc>
        <w:tc>
          <w:tcPr>
            <w:tcW w:w="613"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12DE927F">
            <w:pPr>
              <w:jc w:val="center"/>
              <w:rPr>
                <w:rFonts w:hint="default" w:ascii="宋体" w:eastAsia="宋体" w:cs="宋体"/>
                <w:szCs w:val="21"/>
                <w:lang w:val="en-US" w:eastAsia="zh-CN"/>
              </w:rPr>
            </w:pPr>
            <w:r>
              <w:rPr>
                <w:rFonts w:hint="eastAsia" w:ascii="宋体" w:cs="宋体"/>
                <w:szCs w:val="21"/>
                <w:lang w:val="en-US" w:eastAsia="zh-CN"/>
              </w:rPr>
              <w:t>40</w:t>
            </w:r>
          </w:p>
        </w:tc>
        <w:tc>
          <w:tcPr>
            <w:tcW w:w="6444"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43B8CB82">
            <w:pPr>
              <w:widowControl/>
              <w:numPr>
                <w:ilvl w:val="0"/>
                <w:numId w:val="1"/>
              </w:numPr>
              <w:shd w:val="clear" w:color="auto" w:fill="FFFFFF"/>
              <w:spacing w:line="300" w:lineRule="exact"/>
              <w:jc w:val="left"/>
              <w:rPr>
                <w:rFonts w:ascii="宋体" w:hAnsi="宋体" w:cs="宋体"/>
              </w:rPr>
            </w:pPr>
            <w:r>
              <w:rPr>
                <w:rFonts w:hint="eastAsia" w:ascii="宋体" w:hAnsi="宋体" w:cs="宋体"/>
              </w:rPr>
              <w:t>投标人对项目中各类施工项目编写技术方案及组织措施具体，技术先进，并列出较多具备相关资质与经验的施工人员，酌情得</w:t>
            </w:r>
            <w:r>
              <w:rPr>
                <w:rFonts w:hint="eastAsia" w:ascii="宋体" w:hAnsi="宋体" w:cs="宋体"/>
                <w:lang w:val="en-US" w:eastAsia="zh-CN"/>
              </w:rPr>
              <w:t>24-40</w:t>
            </w:r>
            <w:r>
              <w:rPr>
                <w:rFonts w:hint="eastAsia" w:ascii="宋体" w:hAnsi="宋体" w:cs="宋体"/>
              </w:rPr>
              <w:t>分；</w:t>
            </w:r>
          </w:p>
          <w:p w14:paraId="077752EA">
            <w:pPr>
              <w:widowControl/>
              <w:shd w:val="clear" w:color="auto" w:fill="FFFFFF"/>
              <w:spacing w:line="300" w:lineRule="exact"/>
              <w:jc w:val="left"/>
              <w:rPr>
                <w:rFonts w:ascii="宋体" w:hAnsi="宋体" w:cs="宋体"/>
              </w:rPr>
            </w:pPr>
            <w:r>
              <w:rPr>
                <w:rFonts w:hint="eastAsia" w:ascii="宋体" w:hAnsi="宋体" w:cs="宋体"/>
              </w:rPr>
              <w:t>2、投标人对项目中各项技术方案及组织措施不详细，技术水平一般，施工人员具备一定资质，酌情得</w:t>
            </w:r>
            <w:r>
              <w:rPr>
                <w:rFonts w:hint="eastAsia" w:ascii="宋体" w:hAnsi="宋体" w:cs="宋体"/>
                <w:lang w:val="en-US" w:eastAsia="zh-CN"/>
              </w:rPr>
              <w:t>12-24</w:t>
            </w:r>
            <w:r>
              <w:rPr>
                <w:rFonts w:hint="eastAsia" w:ascii="宋体" w:hAnsi="宋体" w:cs="宋体"/>
              </w:rPr>
              <w:t>分；</w:t>
            </w:r>
          </w:p>
          <w:p w14:paraId="74FE36A9">
            <w:pPr>
              <w:widowControl/>
              <w:jc w:val="left"/>
              <w:textAlignment w:val="center"/>
              <w:rPr>
                <w:rFonts w:ascii="宋体" w:hAnsi="宋体" w:cs="宋体"/>
              </w:rPr>
            </w:pPr>
            <w:r>
              <w:rPr>
                <w:rFonts w:hint="eastAsia" w:ascii="宋体" w:hAnsi="宋体" w:cs="宋体"/>
              </w:rPr>
              <w:t>3、投标人在投标文件中没有列出技术方案及组织措施，没有相关资质的施工人员得0分。</w:t>
            </w:r>
          </w:p>
          <w:p w14:paraId="47B16EDF">
            <w:pPr>
              <w:widowControl/>
              <w:jc w:val="left"/>
              <w:textAlignment w:val="center"/>
              <w:rPr>
                <w:rFonts w:ascii="宋体" w:hAnsi="宋体" w:cs="宋体"/>
              </w:rPr>
            </w:pPr>
            <w:r>
              <w:rPr>
                <w:rFonts w:hint="eastAsia" w:ascii="宋体" w:hAnsi="宋体" w:cs="宋体"/>
              </w:rPr>
              <w:t>注：资质文件需有相关资质证明，原件或复印件</w:t>
            </w:r>
          </w:p>
        </w:tc>
      </w:tr>
      <w:tr w14:paraId="1279FD80">
        <w:tblPrEx>
          <w:tblCellMar>
            <w:top w:w="0" w:type="dxa"/>
            <w:left w:w="0" w:type="dxa"/>
            <w:bottom w:w="0" w:type="dxa"/>
            <w:right w:w="0" w:type="dxa"/>
          </w:tblCellMar>
        </w:tblPrEx>
        <w:trPr>
          <w:cantSplit/>
          <w:trHeight w:val="23" w:hRule="atLeast"/>
          <w:jc w:val="center"/>
        </w:trPr>
        <w:tc>
          <w:tcPr>
            <w:tcW w:w="610" w:type="dxa"/>
            <w:vMerge w:val="continue"/>
            <w:tcBorders>
              <w:left w:val="single" w:color="auto" w:sz="4" w:space="0"/>
              <w:right w:val="single" w:color="auto" w:sz="4" w:space="0"/>
            </w:tcBorders>
            <w:noWrap/>
            <w:tcMar>
              <w:top w:w="12" w:type="dxa"/>
              <w:left w:w="12" w:type="dxa"/>
              <w:right w:w="12" w:type="dxa"/>
            </w:tcMar>
            <w:vAlign w:val="center"/>
          </w:tcPr>
          <w:p w14:paraId="5EFEC939"/>
        </w:tc>
        <w:tc>
          <w:tcPr>
            <w:tcW w:w="493" w:type="dxa"/>
            <w:vMerge w:val="continue"/>
            <w:tcBorders>
              <w:left w:val="single" w:color="auto" w:sz="4" w:space="0"/>
              <w:right w:val="single" w:color="auto" w:sz="4" w:space="0"/>
            </w:tcBorders>
            <w:noWrap/>
            <w:tcMar>
              <w:top w:w="12" w:type="dxa"/>
              <w:left w:w="12" w:type="dxa"/>
              <w:right w:w="12" w:type="dxa"/>
            </w:tcMar>
            <w:vAlign w:val="center"/>
          </w:tcPr>
          <w:p w14:paraId="033FDB27"/>
        </w:tc>
        <w:tc>
          <w:tcPr>
            <w:tcW w:w="707"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14:paraId="75734ADE">
            <w:pPr>
              <w:jc w:val="center"/>
              <w:rPr>
                <w:rFonts w:ascii="宋体" w:cs="宋体"/>
                <w:szCs w:val="21"/>
              </w:rPr>
            </w:pPr>
            <w:r>
              <w:rPr>
                <w:rFonts w:hint="eastAsia" w:ascii="宋体" w:hAnsi="宋体" w:cs="宋体"/>
                <w:szCs w:val="21"/>
              </w:rPr>
              <w:t>现场答疑</w:t>
            </w:r>
          </w:p>
        </w:tc>
        <w:tc>
          <w:tcPr>
            <w:tcW w:w="6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78937DD">
            <w:pPr>
              <w:jc w:val="center"/>
              <w:rPr>
                <w:rFonts w:ascii="宋体" w:cs="宋体"/>
                <w:szCs w:val="21"/>
              </w:rPr>
            </w:pPr>
            <w:r>
              <w:rPr>
                <w:rFonts w:hint="eastAsia" w:ascii="宋体" w:cs="宋体"/>
                <w:szCs w:val="21"/>
                <w:lang w:val="en-US" w:eastAsia="zh-CN"/>
              </w:rPr>
              <w:t>5</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89A7B3">
            <w:pPr>
              <w:widowControl/>
              <w:jc w:val="left"/>
              <w:textAlignment w:val="center"/>
              <w:rPr>
                <w:rFonts w:ascii="宋体" w:cs="宋体"/>
                <w:szCs w:val="21"/>
              </w:rPr>
            </w:pPr>
            <w:r>
              <w:rPr>
                <w:rFonts w:hint="eastAsia" w:ascii="宋体" w:hAnsi="宋体" w:cs="宋体"/>
                <w:kern w:val="0"/>
                <w:szCs w:val="21"/>
                <w:lang w:bidi="ar"/>
              </w:rPr>
              <w:t>在开标现场，投标人代表对方案、技术优势的讲解，以及就该项目难点回答评标专家现场提问。酌情得1-</w:t>
            </w:r>
            <w:r>
              <w:rPr>
                <w:rFonts w:hint="eastAsia" w:ascii="宋体" w:hAnsi="宋体" w:cs="宋体"/>
                <w:kern w:val="0"/>
                <w:szCs w:val="21"/>
                <w:lang w:val="en-US" w:eastAsia="zh-CN" w:bidi="ar"/>
              </w:rPr>
              <w:t>5</w:t>
            </w:r>
            <w:r>
              <w:rPr>
                <w:rFonts w:hint="eastAsia" w:ascii="宋体" w:hAnsi="宋体" w:cs="宋体"/>
                <w:kern w:val="0"/>
                <w:szCs w:val="21"/>
                <w:lang w:bidi="ar"/>
              </w:rPr>
              <w:t xml:space="preserve">分； </w:t>
            </w:r>
          </w:p>
        </w:tc>
      </w:tr>
      <w:tr w14:paraId="335D7C00">
        <w:tblPrEx>
          <w:tblCellMar>
            <w:top w:w="0" w:type="dxa"/>
            <w:left w:w="0" w:type="dxa"/>
            <w:bottom w:w="0" w:type="dxa"/>
            <w:right w:w="0" w:type="dxa"/>
          </w:tblCellMar>
        </w:tblPrEx>
        <w:trPr>
          <w:cantSplit/>
          <w:trHeight w:val="23" w:hRule="atLeast"/>
          <w:jc w:val="center"/>
        </w:trPr>
        <w:tc>
          <w:tcPr>
            <w:tcW w:w="610" w:type="dxa"/>
            <w:vMerge w:val="continue"/>
            <w:tcBorders>
              <w:left w:val="single" w:color="auto" w:sz="4" w:space="0"/>
              <w:right w:val="single" w:color="auto" w:sz="4" w:space="0"/>
            </w:tcBorders>
            <w:noWrap/>
            <w:tcMar>
              <w:top w:w="12" w:type="dxa"/>
              <w:left w:w="12" w:type="dxa"/>
              <w:right w:w="12" w:type="dxa"/>
            </w:tcMar>
            <w:vAlign w:val="center"/>
          </w:tcPr>
          <w:p w14:paraId="471E6ABF">
            <w:pPr>
              <w:rPr>
                <w:rFonts w:ascii="宋体" w:cs="宋体"/>
                <w:szCs w:val="21"/>
              </w:rPr>
            </w:pPr>
          </w:p>
        </w:tc>
        <w:tc>
          <w:tcPr>
            <w:tcW w:w="493" w:type="dxa"/>
            <w:vMerge w:val="continue"/>
            <w:tcBorders>
              <w:left w:val="single" w:color="auto" w:sz="4" w:space="0"/>
              <w:right w:val="single" w:color="auto" w:sz="4" w:space="0"/>
            </w:tcBorders>
            <w:noWrap/>
            <w:tcMar>
              <w:top w:w="12" w:type="dxa"/>
              <w:left w:w="12" w:type="dxa"/>
              <w:right w:w="12" w:type="dxa"/>
            </w:tcMar>
            <w:vAlign w:val="center"/>
          </w:tcPr>
          <w:p w14:paraId="33FA9EA4">
            <w:pPr>
              <w:rPr>
                <w:rFonts w:ascii="宋体" w:cs="宋体"/>
                <w:szCs w:val="21"/>
              </w:rPr>
            </w:pPr>
          </w:p>
        </w:tc>
        <w:tc>
          <w:tcPr>
            <w:tcW w:w="707" w:type="dxa"/>
            <w:tcBorders>
              <w:top w:val="single" w:color="000000" w:sz="4" w:space="0"/>
              <w:left w:val="single" w:color="auto" w:sz="4" w:space="0"/>
              <w:bottom w:val="single" w:color="000000" w:sz="4" w:space="0"/>
              <w:right w:val="single" w:color="000000" w:sz="4" w:space="0"/>
            </w:tcBorders>
            <w:noWrap/>
            <w:tcMar>
              <w:top w:w="12" w:type="dxa"/>
              <w:left w:w="12" w:type="dxa"/>
              <w:right w:w="12" w:type="dxa"/>
            </w:tcMar>
            <w:vAlign w:val="center"/>
          </w:tcPr>
          <w:p w14:paraId="2606F29A">
            <w:pPr>
              <w:jc w:val="center"/>
              <w:rPr>
                <w:rFonts w:ascii="宋体" w:cs="宋体"/>
                <w:szCs w:val="21"/>
              </w:rPr>
            </w:pPr>
            <w:r>
              <w:rPr>
                <w:rFonts w:hint="eastAsia" w:ascii="Calibri" w:hAnsi="Calibri"/>
              </w:rPr>
              <w:t>条款响应</w:t>
            </w:r>
          </w:p>
        </w:tc>
        <w:tc>
          <w:tcPr>
            <w:tcW w:w="613"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C5E3C6">
            <w:pPr>
              <w:jc w:val="center"/>
              <w:rPr>
                <w:rFonts w:ascii="宋体" w:cs="宋体"/>
                <w:szCs w:val="21"/>
              </w:rPr>
            </w:pPr>
            <w:r>
              <w:rPr>
                <w:rFonts w:hint="eastAsia" w:ascii="Calibri" w:hAnsi="Calibri"/>
                <w:lang w:val="en-US" w:eastAsia="zh-CN"/>
              </w:rPr>
              <w:t>5</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11BDADD">
            <w:pPr>
              <w:widowControl/>
              <w:jc w:val="left"/>
              <w:textAlignment w:val="center"/>
              <w:rPr>
                <w:rFonts w:ascii="宋体" w:cs="宋体"/>
                <w:kern w:val="0"/>
                <w:szCs w:val="21"/>
              </w:rPr>
            </w:pPr>
            <w:r>
              <w:rPr>
                <w:rFonts w:hint="eastAsia" w:ascii="Calibri" w:hAnsi="Calibri"/>
              </w:rPr>
              <w:t>经过有效性和符合性审核合格的投标人，投标文件中对技术要求、</w:t>
            </w:r>
            <w:r>
              <w:rPr>
                <w:rFonts w:hint="eastAsia" w:ascii="宋体" w:hAnsi="宋体" w:cs="宋体"/>
                <w:kern w:val="0"/>
                <w:szCs w:val="21"/>
                <w:lang w:bidi="ar"/>
              </w:rPr>
              <w:t>付款、供货期等</w:t>
            </w:r>
            <w:r>
              <w:rPr>
                <w:rFonts w:hint="eastAsia" w:ascii="Calibri" w:hAnsi="Calibri"/>
              </w:rPr>
              <w:t>无偏离得</w:t>
            </w:r>
            <w:r>
              <w:rPr>
                <w:rFonts w:hint="eastAsia" w:ascii="Calibri" w:hAnsi="Calibri"/>
                <w:lang w:val="en-US" w:eastAsia="zh-CN"/>
              </w:rPr>
              <w:t>3</w:t>
            </w:r>
            <w:r>
              <w:rPr>
                <w:rFonts w:hint="eastAsia" w:ascii="Calibri" w:hAnsi="Calibri"/>
              </w:rPr>
              <w:t>分，每一条正偏离得</w:t>
            </w:r>
            <w:r>
              <w:rPr>
                <w:rFonts w:hint="eastAsia" w:ascii="Calibri" w:hAnsi="Calibri"/>
                <w:lang w:val="en-US" w:eastAsia="zh-CN"/>
              </w:rPr>
              <w:t>1</w:t>
            </w:r>
            <w:r>
              <w:rPr>
                <w:rFonts w:hint="eastAsia" w:ascii="Calibri" w:hAnsi="Calibri"/>
              </w:rPr>
              <w:t>分，上限</w:t>
            </w:r>
            <w:r>
              <w:rPr>
                <w:rFonts w:hint="eastAsia" w:ascii="Calibri" w:hAnsi="Calibri"/>
                <w:lang w:val="en-US" w:eastAsia="zh-CN"/>
              </w:rPr>
              <w:t>5</w:t>
            </w:r>
            <w:r>
              <w:rPr>
                <w:rFonts w:hint="eastAsia" w:ascii="Calibri" w:hAnsi="Calibri"/>
              </w:rPr>
              <w:t>分。每一条负偏离扣</w:t>
            </w:r>
            <w:r>
              <w:rPr>
                <w:rFonts w:hint="eastAsia" w:ascii="Calibri" w:hAnsi="Calibri"/>
                <w:lang w:val="en-US" w:eastAsia="zh-CN"/>
              </w:rPr>
              <w:t>1</w:t>
            </w:r>
            <w:r>
              <w:rPr>
                <w:rFonts w:hint="eastAsia" w:ascii="Calibri" w:hAnsi="Calibri"/>
              </w:rPr>
              <w:t>分，最低0分。</w:t>
            </w:r>
            <w:r>
              <w:rPr>
                <w:rFonts w:ascii="宋体" w:hAnsi="宋体" w:cs="宋体"/>
                <w:kern w:val="0"/>
                <w:szCs w:val="21"/>
                <w:lang w:bidi="ar"/>
              </w:rPr>
              <w:t xml:space="preserve"> </w:t>
            </w:r>
          </w:p>
        </w:tc>
      </w:tr>
      <w:tr w14:paraId="7995605B">
        <w:tblPrEx>
          <w:tblCellMar>
            <w:top w:w="0" w:type="dxa"/>
            <w:left w:w="0" w:type="dxa"/>
            <w:bottom w:w="0" w:type="dxa"/>
            <w:right w:w="0" w:type="dxa"/>
          </w:tblCellMar>
        </w:tblPrEx>
        <w:trPr>
          <w:cantSplit/>
          <w:trHeight w:val="2299" w:hRule="atLeast"/>
          <w:jc w:val="center"/>
        </w:trPr>
        <w:tc>
          <w:tcPr>
            <w:tcW w:w="610" w:type="dxa"/>
            <w:vMerge w:val="continue"/>
            <w:tcBorders>
              <w:top w:val="single" w:color="auto" w:sz="4" w:space="0"/>
              <w:left w:val="single" w:color="000000" w:sz="4" w:space="0"/>
              <w:right w:val="single" w:color="000000" w:sz="4" w:space="0"/>
            </w:tcBorders>
            <w:noWrap/>
            <w:tcMar>
              <w:top w:w="12" w:type="dxa"/>
              <w:left w:w="12" w:type="dxa"/>
              <w:right w:w="12" w:type="dxa"/>
            </w:tcMar>
            <w:vAlign w:val="center"/>
          </w:tcPr>
          <w:p w14:paraId="5F1FE6A3"/>
        </w:tc>
        <w:tc>
          <w:tcPr>
            <w:tcW w:w="493" w:type="dxa"/>
            <w:vMerge w:val="continue"/>
            <w:tcBorders>
              <w:top w:val="single" w:color="auto" w:sz="4" w:space="0"/>
              <w:left w:val="single" w:color="000000" w:sz="4" w:space="0"/>
              <w:right w:val="single" w:color="000000" w:sz="4" w:space="0"/>
            </w:tcBorders>
            <w:noWrap/>
            <w:tcMar>
              <w:top w:w="12" w:type="dxa"/>
              <w:left w:w="12" w:type="dxa"/>
              <w:right w:w="12" w:type="dxa"/>
            </w:tcMar>
            <w:vAlign w:val="center"/>
          </w:tcPr>
          <w:p w14:paraId="77313598"/>
        </w:tc>
        <w:tc>
          <w:tcPr>
            <w:tcW w:w="707"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747A5544">
            <w:pPr>
              <w:jc w:val="center"/>
              <w:rPr>
                <w:rFonts w:ascii="宋体" w:cs="宋体"/>
                <w:szCs w:val="21"/>
              </w:rPr>
            </w:pPr>
            <w:r>
              <w:rPr>
                <w:rFonts w:hint="eastAsia" w:ascii="宋体" w:hAnsi="宋体" w:cs="宋体"/>
                <w:color w:val="000000"/>
                <w:szCs w:val="21"/>
                <w:shd w:val="clear" w:color="auto" w:fill="FFFFFF"/>
              </w:rPr>
              <w:t>业绩</w:t>
            </w:r>
          </w:p>
        </w:tc>
        <w:tc>
          <w:tcPr>
            <w:tcW w:w="613"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366A2006">
            <w:pPr>
              <w:jc w:val="center"/>
              <w:rPr>
                <w:rFonts w:hint="default" w:ascii="宋体" w:cs="宋体"/>
                <w:szCs w:val="21"/>
                <w:lang w:val="en-US"/>
              </w:rPr>
            </w:pPr>
            <w:r>
              <w:rPr>
                <w:rFonts w:hint="eastAsia" w:ascii="宋体" w:cs="宋体"/>
                <w:szCs w:val="21"/>
                <w:lang w:val="en-US" w:eastAsia="zh-CN"/>
              </w:rPr>
              <w:t>10</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80E2569">
            <w:pPr>
              <w:widowControl/>
              <w:jc w:val="left"/>
              <w:textAlignment w:val="center"/>
              <w:rPr>
                <w:rFonts w:ascii="宋体" w:cs="宋体"/>
                <w:kern w:val="0"/>
                <w:szCs w:val="21"/>
              </w:rPr>
            </w:pPr>
            <w:r>
              <w:rPr>
                <w:rFonts w:hint="eastAsia" w:ascii="宋体" w:hAnsi="宋体" w:cs="宋体"/>
                <w:bCs/>
                <w:szCs w:val="21"/>
              </w:rPr>
              <w:t>投标人</w:t>
            </w:r>
            <w:r>
              <w:rPr>
                <w:rFonts w:hint="eastAsia" w:ascii="宋体" w:cs="宋体"/>
                <w:kern w:val="0"/>
                <w:szCs w:val="21"/>
              </w:rPr>
              <w:t>在20</w:t>
            </w:r>
            <w:r>
              <w:rPr>
                <w:rFonts w:hint="eastAsia" w:ascii="宋体" w:cs="宋体"/>
                <w:kern w:val="0"/>
                <w:szCs w:val="21"/>
                <w:lang w:val="en-US" w:eastAsia="zh-CN"/>
              </w:rPr>
              <w:t>23</w:t>
            </w:r>
            <w:r>
              <w:rPr>
                <w:rFonts w:hint="eastAsia" w:ascii="宋体" w:cs="宋体"/>
                <w:kern w:val="0"/>
                <w:szCs w:val="21"/>
              </w:rPr>
              <w:t>年1月1日以来在中国与本标同类规格产品的业绩，以合同</w:t>
            </w:r>
            <w:r>
              <w:rPr>
                <w:rFonts w:hint="eastAsia" w:ascii="Calibri" w:hAnsi="Calibri"/>
              </w:rPr>
              <w:t>复印件加盖公章为准</w:t>
            </w:r>
            <w:r>
              <w:rPr>
                <w:rFonts w:hint="eastAsia" w:ascii="宋体" w:hAnsi="宋体" w:cs="宋体"/>
              </w:rPr>
              <w:t>(</w:t>
            </w:r>
            <w:r>
              <w:rPr>
                <w:rFonts w:hint="eastAsia" w:ascii="Calibri" w:hAnsi="Calibri"/>
                <w:bCs/>
              </w:rPr>
              <w:t>须有客户联系方式及联系人以供招标人核实确认）</w:t>
            </w:r>
            <w:r>
              <w:rPr>
                <w:rFonts w:hint="eastAsia" w:ascii="Calibri" w:hAnsi="Calibri"/>
                <w:bCs/>
                <w:lang w:eastAsia="zh-CN"/>
              </w:rPr>
              <w:t>，</w:t>
            </w:r>
            <w:r>
              <w:rPr>
                <w:rFonts w:hint="eastAsia" w:ascii="宋体" w:hAnsi="宋体" w:cs="宋体"/>
              </w:rPr>
              <w:t>每有一项业绩得</w:t>
            </w:r>
            <w:r>
              <w:rPr>
                <w:rFonts w:hint="eastAsia" w:ascii="宋体" w:hAnsi="宋体" w:cs="宋体"/>
                <w:lang w:val="en-US" w:eastAsia="zh-CN"/>
              </w:rPr>
              <w:t>2</w:t>
            </w:r>
            <w:r>
              <w:rPr>
                <w:rFonts w:hint="eastAsia" w:ascii="宋体" w:hAnsi="宋体" w:cs="宋体"/>
              </w:rPr>
              <w:t>分，最多得</w:t>
            </w:r>
            <w:r>
              <w:rPr>
                <w:rFonts w:hint="eastAsia" w:ascii="宋体" w:hAnsi="宋体" w:cs="宋体"/>
                <w:lang w:val="en-US" w:eastAsia="zh-CN"/>
              </w:rPr>
              <w:t>10</w:t>
            </w:r>
            <w:r>
              <w:rPr>
                <w:rFonts w:hint="eastAsia" w:ascii="宋体" w:hAnsi="宋体" w:cs="宋体"/>
              </w:rPr>
              <w:t>分。</w:t>
            </w:r>
          </w:p>
        </w:tc>
      </w:tr>
      <w:tr w14:paraId="61E75D07">
        <w:tblPrEx>
          <w:tblCellMar>
            <w:top w:w="0" w:type="dxa"/>
            <w:left w:w="0" w:type="dxa"/>
            <w:bottom w:w="0" w:type="dxa"/>
            <w:right w:w="0" w:type="dxa"/>
          </w:tblCellMar>
        </w:tblPrEx>
        <w:trPr>
          <w:cantSplit/>
          <w:trHeight w:val="2299" w:hRule="atLeast"/>
          <w:jc w:val="center"/>
        </w:trPr>
        <w:tc>
          <w:tcPr>
            <w:tcW w:w="610" w:type="dxa"/>
            <w:tcBorders>
              <w:top w:val="single" w:color="auto" w:sz="4" w:space="0"/>
              <w:left w:val="single" w:color="000000" w:sz="4" w:space="0"/>
              <w:right w:val="single" w:color="000000" w:sz="4" w:space="0"/>
            </w:tcBorders>
            <w:noWrap/>
            <w:tcMar>
              <w:top w:w="12" w:type="dxa"/>
              <w:left w:w="12" w:type="dxa"/>
              <w:right w:w="12" w:type="dxa"/>
            </w:tcMar>
            <w:vAlign w:val="center"/>
          </w:tcPr>
          <w:p w14:paraId="0D1BDD7F">
            <w:pPr>
              <w:jc w:val="center"/>
              <w:rPr>
                <w:rFonts w:hint="eastAsia" w:ascii="宋体" w:cs="宋体"/>
                <w:szCs w:val="21"/>
                <w:lang w:val="en-US" w:eastAsia="zh-CN"/>
              </w:rPr>
            </w:pPr>
            <w:r>
              <w:rPr>
                <w:rFonts w:hint="eastAsia" w:ascii="宋体" w:cs="宋体"/>
                <w:szCs w:val="21"/>
                <w:lang w:val="en-US" w:eastAsia="zh-CN"/>
              </w:rPr>
              <w:t>商务标</w:t>
            </w:r>
          </w:p>
        </w:tc>
        <w:tc>
          <w:tcPr>
            <w:tcW w:w="493" w:type="dxa"/>
            <w:tcBorders>
              <w:top w:val="single" w:color="auto" w:sz="4" w:space="0"/>
              <w:left w:val="single" w:color="000000" w:sz="4" w:space="0"/>
              <w:right w:val="single" w:color="000000" w:sz="4" w:space="0"/>
            </w:tcBorders>
            <w:noWrap/>
            <w:tcMar>
              <w:top w:w="12" w:type="dxa"/>
              <w:left w:w="12" w:type="dxa"/>
              <w:right w:w="12" w:type="dxa"/>
            </w:tcMar>
            <w:vAlign w:val="center"/>
          </w:tcPr>
          <w:p w14:paraId="4A19E0C1">
            <w:pPr>
              <w:jc w:val="center"/>
              <w:rPr>
                <w:rFonts w:hint="default" w:ascii="宋体" w:cs="宋体"/>
                <w:szCs w:val="21"/>
                <w:lang w:val="en-US" w:eastAsia="zh-CN"/>
              </w:rPr>
            </w:pPr>
            <w:r>
              <w:rPr>
                <w:rFonts w:hint="eastAsia" w:ascii="宋体" w:cs="宋体"/>
                <w:szCs w:val="21"/>
                <w:lang w:val="en-US" w:eastAsia="zh-CN"/>
              </w:rPr>
              <w:t>40</w:t>
            </w:r>
          </w:p>
        </w:tc>
        <w:tc>
          <w:tcPr>
            <w:tcW w:w="1320" w:type="dxa"/>
            <w:gridSpan w:val="2"/>
            <w:tcBorders>
              <w:top w:val="single" w:color="auto" w:sz="4" w:space="0"/>
              <w:left w:val="single" w:color="000000" w:sz="4" w:space="0"/>
              <w:right w:val="single" w:color="000000" w:sz="4" w:space="0"/>
            </w:tcBorders>
            <w:noWrap/>
            <w:tcMar>
              <w:top w:w="12" w:type="dxa"/>
              <w:left w:w="12" w:type="dxa"/>
              <w:right w:w="12" w:type="dxa"/>
            </w:tcMar>
            <w:vAlign w:val="center"/>
          </w:tcPr>
          <w:p w14:paraId="3FC116D1">
            <w:pPr>
              <w:jc w:val="center"/>
              <w:rPr>
                <w:rFonts w:hint="eastAsia" w:ascii="宋体" w:cs="宋体"/>
                <w:szCs w:val="21"/>
                <w:lang w:val="en-US" w:eastAsia="zh-CN"/>
              </w:rPr>
            </w:pPr>
            <w:r>
              <w:rPr>
                <w:rFonts w:hint="eastAsia" w:ascii="宋体" w:cs="宋体"/>
                <w:szCs w:val="21"/>
                <w:lang w:val="en-US" w:eastAsia="zh-CN"/>
              </w:rPr>
              <w:t>投标报价</w:t>
            </w:r>
          </w:p>
        </w:tc>
        <w:tc>
          <w:tcPr>
            <w:tcW w:w="644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B764479">
            <w:pPr>
              <w:widowControl/>
              <w:numPr>
                <w:ilvl w:val="0"/>
                <w:numId w:val="0"/>
              </w:numPr>
              <w:jc w:val="left"/>
              <w:textAlignment w:val="center"/>
              <w:rPr>
                <w:rFonts w:hint="eastAsia" w:ascii="宋体" w:hAnsi="宋体" w:eastAsia="宋体" w:cs="宋体"/>
                <w:color w:val="000000"/>
                <w:kern w:val="0"/>
                <w:szCs w:val="21"/>
                <w:lang w:eastAsia="zh-CN" w:bidi="ar"/>
              </w:rPr>
            </w:pPr>
            <w:r>
              <w:rPr>
                <w:rFonts w:hint="eastAsia" w:ascii="宋体" w:hAnsi="宋体" w:eastAsia="宋体" w:cs="宋体"/>
                <w:color w:val="000000"/>
                <w:kern w:val="0"/>
                <w:sz w:val="21"/>
                <w:szCs w:val="21"/>
                <w:lang w:val="en-US" w:eastAsia="zh-CN" w:bidi="ar"/>
              </w:rPr>
              <w:t>1.</w:t>
            </w:r>
            <w:r>
              <w:rPr>
                <w:rFonts w:hint="eastAsia" w:ascii="宋体" w:hAnsi="宋体" w:eastAsia="宋体" w:cs="宋体"/>
                <w:i w:val="0"/>
                <w:color w:val="000000"/>
                <w:kern w:val="0"/>
                <w:sz w:val="21"/>
                <w:szCs w:val="21"/>
                <w:highlight w:val="none"/>
                <w:u w:val="none"/>
                <w:lang w:val="en-US" w:eastAsia="zh-CN" w:bidi="ar"/>
              </w:rPr>
              <w:t>经初审合格的投标文件其投标报价为有效报价。</w:t>
            </w:r>
          </w:p>
          <w:p w14:paraId="038B0983">
            <w:pPr>
              <w:widowControl/>
              <w:numPr>
                <w:ilvl w:val="0"/>
                <w:numId w:val="0"/>
              </w:numPr>
              <w:jc w:val="left"/>
              <w:textAlignment w:val="center"/>
              <w:rPr>
                <w:rFonts w:hint="eastAsia" w:ascii="宋体" w:hAnsi="宋体" w:cs="宋体"/>
                <w:bCs/>
                <w:szCs w:val="21"/>
              </w:rPr>
            </w:pPr>
            <w:r>
              <w:rPr>
                <w:rFonts w:hint="eastAsia" w:ascii="宋体" w:hAnsi="宋体" w:cs="宋体"/>
                <w:bCs/>
                <w:kern w:val="2"/>
                <w:sz w:val="21"/>
                <w:szCs w:val="21"/>
                <w:highlight w:val="yellow"/>
                <w:lang w:val="en-US" w:eastAsia="zh-CN" w:bidi="ar-SA"/>
              </w:rPr>
              <w:t>2</w:t>
            </w:r>
            <w:r>
              <w:rPr>
                <w:rFonts w:hint="eastAsia" w:ascii="宋体" w:hAnsi="宋体" w:eastAsia="宋体" w:cs="宋体"/>
                <w:bCs/>
                <w:kern w:val="2"/>
                <w:sz w:val="21"/>
                <w:szCs w:val="21"/>
                <w:highlight w:val="yellow"/>
                <w:lang w:val="en-US" w:eastAsia="zh-CN" w:bidi="ar-SA"/>
              </w:rPr>
              <w:t>.</w:t>
            </w:r>
            <w:r>
              <w:rPr>
                <w:rFonts w:hint="eastAsia" w:ascii="宋体" w:hAnsi="宋体" w:cs="宋体"/>
                <w:color w:val="000000"/>
                <w:kern w:val="0"/>
                <w:szCs w:val="21"/>
                <w:highlight w:val="yellow"/>
                <w:lang w:bidi="ar"/>
              </w:rPr>
              <w:t xml:space="preserve">商务标评分公式为：商务标得分 =（最低价/报价）× </w:t>
            </w:r>
            <w:r>
              <w:rPr>
                <w:rFonts w:hint="eastAsia" w:ascii="宋体" w:hAnsi="宋体" w:cs="宋体"/>
                <w:color w:val="000000"/>
                <w:kern w:val="0"/>
                <w:szCs w:val="21"/>
                <w:highlight w:val="yellow"/>
                <w:lang w:val="en-US" w:eastAsia="zh-CN" w:bidi="ar"/>
              </w:rPr>
              <w:t>4</w:t>
            </w:r>
            <w:r>
              <w:rPr>
                <w:rFonts w:hint="eastAsia" w:ascii="宋体" w:hAnsi="宋体" w:cs="宋体"/>
                <w:color w:val="000000"/>
                <w:kern w:val="0"/>
                <w:szCs w:val="21"/>
                <w:highlight w:val="yellow"/>
                <w:lang w:bidi="ar"/>
              </w:rPr>
              <w:t>0分（满分）</w:t>
            </w:r>
            <w:r>
              <w:rPr>
                <w:rFonts w:hint="eastAsia" w:ascii="宋体" w:hAnsi="宋体" w:cs="宋体"/>
                <w:color w:val="000000"/>
                <w:kern w:val="0"/>
                <w:szCs w:val="21"/>
                <w:lang w:bidi="ar"/>
              </w:rPr>
              <w:t>。</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cs="宋体"/>
                <w:i w:val="0"/>
                <w:color w:val="000000"/>
                <w:kern w:val="0"/>
                <w:sz w:val="21"/>
                <w:szCs w:val="21"/>
                <w:highlight w:val="none"/>
                <w:u w:val="none"/>
                <w:lang w:val="en-US" w:eastAsia="zh-CN" w:bidi="ar"/>
              </w:rPr>
              <w:t>3</w:t>
            </w:r>
            <w:r>
              <w:rPr>
                <w:rFonts w:hint="eastAsia" w:ascii="宋体" w:hAnsi="宋体" w:eastAsia="宋体" w:cs="宋体"/>
                <w:i w:val="0"/>
                <w:color w:val="000000"/>
                <w:kern w:val="0"/>
                <w:sz w:val="21"/>
                <w:szCs w:val="21"/>
                <w:highlight w:val="none"/>
                <w:u w:val="none"/>
                <w:lang w:val="en-US" w:eastAsia="zh-CN" w:bidi="ar"/>
              </w:rPr>
              <w:t>.评标价格均以元（RMB）为单位计算，百分率、得分值小数点后保留两位，第三位四舍五入。</w:t>
            </w:r>
            <w:r>
              <w:rPr>
                <w:rFonts w:hint="eastAsia" w:ascii="宋体" w:hAnsi="宋体" w:eastAsia="宋体" w:cs="宋体"/>
                <w:i w:val="0"/>
                <w:color w:val="000000"/>
                <w:kern w:val="0"/>
                <w:sz w:val="21"/>
                <w:szCs w:val="21"/>
                <w:highlight w:val="none"/>
                <w:u w:val="none"/>
                <w:lang w:val="en-US" w:eastAsia="zh-CN" w:bidi="ar"/>
              </w:rPr>
              <w:br w:type="textWrapping"/>
            </w:r>
            <w:r>
              <w:rPr>
                <w:rFonts w:hint="eastAsia" w:ascii="宋体" w:hAnsi="宋体" w:cs="宋体"/>
                <w:i w:val="0"/>
                <w:color w:val="000000"/>
                <w:kern w:val="0"/>
                <w:sz w:val="21"/>
                <w:szCs w:val="21"/>
                <w:highlight w:val="none"/>
                <w:u w:val="none"/>
                <w:lang w:val="en-US" w:eastAsia="zh-CN" w:bidi="ar"/>
              </w:rPr>
              <w:t>4</w:t>
            </w:r>
            <w:r>
              <w:rPr>
                <w:rFonts w:hint="eastAsia" w:ascii="宋体" w:hAnsi="宋体" w:eastAsia="宋体" w:cs="宋体"/>
                <w:i w:val="0"/>
                <w:color w:val="000000"/>
                <w:kern w:val="0"/>
                <w:sz w:val="21"/>
                <w:szCs w:val="21"/>
                <w:highlight w:val="none"/>
                <w:u w:val="none"/>
                <w:lang w:val="en-US" w:eastAsia="zh-CN" w:bidi="ar"/>
              </w:rPr>
              <w:t>.评标委员会二分之一以上人员认为某投标总报价有低于成本价嫌疑的，视为无效报价，不进入下一步评审。</w:t>
            </w:r>
            <w:bookmarkStart w:id="0" w:name="_GoBack"/>
            <w:bookmarkEnd w:id="0"/>
          </w:p>
        </w:tc>
      </w:tr>
      <w:tr w14:paraId="697F62A9">
        <w:tblPrEx>
          <w:tblCellMar>
            <w:top w:w="0" w:type="dxa"/>
            <w:left w:w="0" w:type="dxa"/>
            <w:bottom w:w="0" w:type="dxa"/>
            <w:right w:w="0" w:type="dxa"/>
          </w:tblCellMar>
        </w:tblPrEx>
        <w:trPr>
          <w:cantSplit/>
          <w:trHeight w:val="23" w:hRule="atLeast"/>
          <w:jc w:val="center"/>
        </w:trPr>
        <w:tc>
          <w:tcPr>
            <w:tcW w:w="8867" w:type="dxa"/>
            <w:gridSpan w:val="5"/>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182D8F3">
            <w:pPr>
              <w:widowControl/>
              <w:jc w:val="left"/>
              <w:rPr>
                <w:rFonts w:ascii="宋体" w:cs="宋体"/>
                <w:szCs w:val="21"/>
              </w:rPr>
            </w:pPr>
            <w:r>
              <w:rPr>
                <w:rFonts w:hint="eastAsia" w:ascii="宋体" w:cs="宋体"/>
              </w:rPr>
              <w:t>备注：</w:t>
            </w:r>
          </w:p>
          <w:p w14:paraId="48944C19">
            <w:pPr>
              <w:widowControl/>
              <w:jc w:val="left"/>
              <w:rPr>
                <w:rFonts w:ascii="宋体" w:cs="宋体"/>
              </w:rPr>
            </w:pPr>
            <w:r>
              <w:rPr>
                <w:rFonts w:hint="eastAsia" w:ascii="宋体" w:cs="宋体"/>
              </w:rPr>
              <w:t>1、通过初审者为有效投标。</w:t>
            </w:r>
          </w:p>
          <w:p w14:paraId="4BA44ED2">
            <w:pPr>
              <w:widowControl/>
              <w:jc w:val="left"/>
              <w:rPr>
                <w:rFonts w:ascii="宋体" w:cs="宋体"/>
              </w:rPr>
            </w:pPr>
            <w:r>
              <w:rPr>
                <w:rFonts w:hint="eastAsia" w:ascii="宋体" w:cs="宋体"/>
                <w:lang w:val="en-US" w:eastAsia="zh-CN"/>
              </w:rPr>
              <w:t>2</w:t>
            </w:r>
            <w:r>
              <w:rPr>
                <w:rFonts w:hint="eastAsia" w:ascii="宋体" w:cs="宋体"/>
              </w:rPr>
              <w:t>、评委打分不得超过得分界限。</w:t>
            </w:r>
          </w:p>
          <w:p w14:paraId="3249937A">
            <w:pPr>
              <w:widowControl/>
              <w:jc w:val="left"/>
              <w:rPr>
                <w:rFonts w:ascii="宋体" w:cs="宋体"/>
              </w:rPr>
            </w:pPr>
            <w:r>
              <w:rPr>
                <w:rFonts w:hint="eastAsia" w:ascii="宋体" w:cs="宋体"/>
                <w:lang w:val="en-US" w:eastAsia="zh-CN"/>
              </w:rPr>
              <w:t>3</w:t>
            </w:r>
            <w:r>
              <w:rPr>
                <w:rFonts w:hint="eastAsia" w:ascii="宋体" w:cs="宋体"/>
              </w:rPr>
              <w:t>、投标方提交的投标文件和资料必须真实有效。合同签订前，招标方有权组织联合小组（财务、技术、设备、质量等）到中标候选人实地审核，如发现投标文件和资料有弄虚作假，招标方有权取消其中标候选人资格。</w:t>
            </w:r>
          </w:p>
          <w:p w14:paraId="40C27FA1">
            <w:pPr>
              <w:widowControl/>
              <w:jc w:val="left"/>
              <w:rPr>
                <w:rFonts w:ascii="宋体" w:cs="宋体"/>
                <w:kern w:val="0"/>
                <w:szCs w:val="21"/>
              </w:rPr>
            </w:pPr>
            <w:r>
              <w:rPr>
                <w:rFonts w:hint="eastAsia" w:ascii="宋体"/>
                <w:sz w:val="22"/>
                <w:szCs w:val="21"/>
                <w:highlight w:val="yellow"/>
                <w:lang w:val="en-US" w:eastAsia="zh-CN"/>
              </w:rPr>
              <w:t>4</w:t>
            </w:r>
            <w:r>
              <w:rPr>
                <w:rFonts w:hint="eastAsia" w:ascii="宋体"/>
                <w:sz w:val="22"/>
                <w:szCs w:val="21"/>
                <w:highlight w:val="yellow"/>
              </w:rPr>
              <w:t>、</w:t>
            </w:r>
            <w:r>
              <w:rPr>
                <w:rFonts w:hint="eastAsia" w:ascii="宋体" w:cs="宋体"/>
                <w:b/>
                <w:color w:val="000000" w:themeColor="text1"/>
                <w:sz w:val="22"/>
                <w:szCs w:val="21"/>
                <w:highlight w:val="yellow"/>
                <w14:textFill>
                  <w14:solidFill>
                    <w14:schemeClr w14:val="tx1"/>
                  </w14:solidFill>
                </w14:textFill>
              </w:rPr>
              <w:t>本次招标</w:t>
            </w:r>
            <w:r>
              <w:rPr>
                <w:rFonts w:hint="eastAsia" w:ascii="宋体" w:cs="宋体"/>
                <w:b/>
                <w:color w:val="000000" w:themeColor="text1"/>
                <w:sz w:val="22"/>
                <w:szCs w:val="21"/>
                <w:highlight w:val="yellow"/>
                <w:lang w:eastAsia="zh-CN"/>
                <w14:textFill>
                  <w14:solidFill>
                    <w14:schemeClr w14:val="tx1"/>
                  </w14:solidFill>
                </w14:textFill>
              </w:rPr>
              <w:t>按</w:t>
            </w:r>
            <w:r>
              <w:rPr>
                <w:rFonts w:hint="eastAsia" w:ascii="宋体" w:cs="宋体"/>
                <w:b/>
                <w:color w:val="000000" w:themeColor="text1"/>
                <w:sz w:val="22"/>
                <w:szCs w:val="21"/>
                <w:highlight w:val="yellow"/>
                <w:lang w:val="en-US" w:eastAsia="zh-CN"/>
                <w14:textFill>
                  <w14:solidFill>
                    <w14:schemeClr w14:val="tx1"/>
                  </w14:solidFill>
                </w14:textFill>
              </w:rPr>
              <w:t>整包</w:t>
            </w:r>
            <w:r>
              <w:rPr>
                <w:rFonts w:hint="eastAsia" w:ascii="宋体" w:cs="宋体"/>
                <w:b/>
                <w:color w:val="000000" w:themeColor="text1"/>
                <w:sz w:val="22"/>
                <w:szCs w:val="21"/>
                <w:highlight w:val="yellow"/>
                <w:lang w:eastAsia="zh-CN"/>
                <w14:textFill>
                  <w14:solidFill>
                    <w14:schemeClr w14:val="tx1"/>
                  </w14:solidFill>
                </w14:textFill>
              </w:rPr>
              <w:t>进行评定，</w:t>
            </w:r>
            <w:r>
              <w:rPr>
                <w:rFonts w:hint="eastAsia" w:ascii="宋体" w:cs="宋体"/>
                <w:b/>
                <w:color w:val="000000" w:themeColor="text1"/>
                <w:sz w:val="22"/>
                <w:szCs w:val="21"/>
                <w:highlight w:val="yellow"/>
                <w:lang w:val="en-US" w:eastAsia="zh-CN"/>
                <w14:textFill>
                  <w14:solidFill>
                    <w14:schemeClr w14:val="tx1"/>
                  </w14:solidFill>
                </w14:textFill>
              </w:rPr>
              <w:t>不</w:t>
            </w:r>
            <w:r>
              <w:rPr>
                <w:rFonts w:hint="eastAsia" w:ascii="宋体" w:hAnsi="Times New Roman" w:eastAsia="宋体" w:cs="宋体"/>
                <w:b/>
                <w:color w:val="000000" w:themeColor="text1"/>
                <w:sz w:val="22"/>
                <w:szCs w:val="21"/>
                <w:highlight w:val="yellow"/>
                <w:lang w:eastAsia="zh-CN"/>
                <w14:textFill>
                  <w14:solidFill>
                    <w14:schemeClr w14:val="tx1"/>
                  </w14:solidFill>
                </w14:textFill>
              </w:rPr>
              <w:t>允许分包分中</w:t>
            </w:r>
            <w:r>
              <w:rPr>
                <w:rFonts w:hint="eastAsia" w:ascii="宋体" w:cs="宋体"/>
                <w:b/>
                <w:color w:val="000000" w:themeColor="text1"/>
                <w:sz w:val="22"/>
                <w:szCs w:val="21"/>
                <w:highlight w:val="yellow"/>
                <w14:textFill>
                  <w14:solidFill>
                    <w14:schemeClr w14:val="tx1"/>
                  </w14:solidFill>
                </w14:textFill>
              </w:rPr>
              <w:t>。</w:t>
            </w:r>
          </w:p>
        </w:tc>
      </w:tr>
    </w:tbl>
    <w:p w14:paraId="42DB82C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D57867"/>
    <w:multiLevelType w:val="singleLevel"/>
    <w:tmpl w:val="BDD57867"/>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1420E7"/>
    <w:rsid w:val="0C1420E7"/>
    <w:rsid w:val="18546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theme="minorBid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2026-01-16T07:48:00Z</dcterms:created>
  <dc:creator>文质彬彬</dc:creator>
  <cp:lastModifiedBy>文质彬彬</cp:lastModifiedBy>
  <dcterms:modified xsi:type="dcterms:W3CDTF">2026-01-16T11:19:29Z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7EC4F681CA534928A208A71BC75C062F_11</vt:lpwstr>
  </property>
  <property fmtid="{D5CDD505-2E9C-101B-9397-08002B2CF9AE}" pid="4" name="KSOTemplateDocerSaveRecord">
    <vt:lpwstr>eyJoZGlkIjoiNzA2NDA0N2Q4ODMxZWRhYTRkNzBkNjdmMjc5ZmRlZmQiLCJ1c2VySWQiOiIxMDQ0NjU4NDMyIn0=</vt:lpwstr>
  </property>
</Properties>
</file>