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4E12C">
      <w:pPr>
        <w:spacing w:line="360" w:lineRule="auto"/>
        <w:ind w:firstLine="420"/>
        <w:rPr>
          <w:rFonts w:ascii="仿宋_GB2312" w:hAnsi="仿宋_GB2312" w:eastAsia="仿宋_GB2312" w:cs="仿宋_GB2312"/>
          <w:b/>
          <w:sz w:val="24"/>
          <w:szCs w:val="24"/>
        </w:rPr>
      </w:pPr>
      <w:r>
        <w:rPr>
          <w:rFonts w:hint="eastAsia" w:ascii="仿宋_GB2312" w:hAnsi="仿宋_GB2312" w:eastAsia="仿宋_GB2312" w:cs="仿宋_GB2312"/>
          <w:b/>
          <w:sz w:val="24"/>
          <w:szCs w:val="24"/>
        </w:rPr>
        <w:t>综合评标法评标</w:t>
      </w:r>
    </w:p>
    <w:p w14:paraId="0663EAEB">
      <w:pPr>
        <w:spacing w:line="360" w:lineRule="auto"/>
        <w:ind w:firstLine="420"/>
        <w:rPr>
          <w:rFonts w:ascii="仿宋_GB2312" w:hAnsi="仿宋_GB2312" w:eastAsia="仿宋_GB2312" w:cs="仿宋_GB2312"/>
          <w:b/>
          <w:sz w:val="24"/>
          <w:szCs w:val="24"/>
        </w:rPr>
      </w:pPr>
      <w:r>
        <w:rPr>
          <w:rFonts w:hint="eastAsia" w:ascii="仿宋_GB2312" w:hAnsi="仿宋_GB2312" w:eastAsia="仿宋_GB2312" w:cs="仿宋_GB2312"/>
          <w:b/>
          <w:sz w:val="24"/>
          <w:szCs w:val="24"/>
        </w:rPr>
        <w:t>综合评标法，得分=技术标×30%+商务标×70%。</w:t>
      </w:r>
    </w:p>
    <w:p w14:paraId="1AB70D22">
      <w:pPr>
        <w:pStyle w:val="2"/>
        <w:spacing w:after="120"/>
        <w:rPr>
          <w:rFonts w:ascii="仿宋_GB2312" w:hAnsi="仿宋_GB2312" w:eastAsia="仿宋_GB2312" w:cs="仿宋_GB2312"/>
          <w:b/>
          <w:sz w:val="24"/>
          <w:szCs w:val="24"/>
        </w:rPr>
      </w:pPr>
      <w:r>
        <w:rPr>
          <w:rFonts w:hint="eastAsia" w:ascii="仿宋_GB2312" w:hAnsi="仿宋_GB2312" w:eastAsia="仿宋_GB2312" w:cs="仿宋_GB2312"/>
          <w:b/>
          <w:sz w:val="24"/>
          <w:szCs w:val="24"/>
        </w:rPr>
        <w:t>评分原则</w:t>
      </w:r>
    </w:p>
    <w:p w14:paraId="244BCDF4">
      <w:pPr>
        <w:adjustRightInd w:val="0"/>
        <w:snapToGrid w:val="0"/>
        <w:spacing w:line="360" w:lineRule="auto"/>
        <w:ind w:firstLine="570"/>
        <w:jc w:val="left"/>
        <w:rPr>
          <w:rFonts w:ascii="宋体" w:hAnsi="宋体" w:eastAsia="宋体" w:cs="宋体"/>
          <w:b/>
          <w:color w:val="EE0000"/>
          <w:szCs w:val="28"/>
        </w:rPr>
      </w:pPr>
      <w:r>
        <w:rPr>
          <w:rFonts w:hint="eastAsia" w:ascii="宋体" w:hAnsi="宋体" w:eastAsia="宋体" w:cs="宋体"/>
          <w:b/>
          <w:color w:val="EE0000"/>
          <w:szCs w:val="28"/>
        </w:rPr>
        <w:t>综合评标,综合得分=技术标得分*0.3+商务标得分*0.7</w:t>
      </w:r>
    </w:p>
    <w:p w14:paraId="6230ABCA">
      <w:pPr>
        <w:pStyle w:val="2"/>
        <w:spacing w:after="120"/>
        <w:rPr>
          <w:rFonts w:ascii="宋体" w:hAnsi="宋体" w:eastAsia="宋体" w:cs="宋体"/>
          <w:b/>
          <w:sz w:val="24"/>
          <w:szCs w:val="24"/>
        </w:rPr>
      </w:pPr>
      <w:r>
        <w:rPr>
          <w:rFonts w:hint="eastAsia" w:ascii="宋体" w:hAnsi="宋体" w:eastAsia="宋体" w:cs="宋体"/>
          <w:b/>
          <w:sz w:val="24"/>
          <w:szCs w:val="24"/>
        </w:rPr>
        <w:t>技术标评分标准</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27"/>
        <w:gridCol w:w="1260"/>
        <w:gridCol w:w="748"/>
        <w:gridCol w:w="6023"/>
      </w:tblGrid>
      <w:tr w14:paraId="60420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9" w:hRule="atLeast"/>
          <w:jc w:val="center"/>
        </w:trPr>
        <w:tc>
          <w:tcPr>
            <w:tcW w:w="805" w:type="dxa"/>
            <w:vAlign w:val="center"/>
          </w:tcPr>
          <w:p w14:paraId="3EBEBC2B">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评审</w:t>
            </w:r>
          </w:p>
          <w:p w14:paraId="500BD091">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内容</w:t>
            </w:r>
          </w:p>
        </w:tc>
        <w:tc>
          <w:tcPr>
            <w:tcW w:w="427" w:type="dxa"/>
            <w:vAlign w:val="center"/>
          </w:tcPr>
          <w:p w14:paraId="3D81B80D">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序号</w:t>
            </w:r>
          </w:p>
        </w:tc>
        <w:tc>
          <w:tcPr>
            <w:tcW w:w="1260" w:type="dxa"/>
            <w:vAlign w:val="center"/>
          </w:tcPr>
          <w:p w14:paraId="33AF0BDA">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内   容</w:t>
            </w:r>
          </w:p>
        </w:tc>
        <w:tc>
          <w:tcPr>
            <w:tcW w:w="748" w:type="dxa"/>
            <w:vAlign w:val="center"/>
          </w:tcPr>
          <w:p w14:paraId="509C0058">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标准分</w:t>
            </w:r>
          </w:p>
        </w:tc>
        <w:tc>
          <w:tcPr>
            <w:tcW w:w="6023" w:type="dxa"/>
            <w:vAlign w:val="center"/>
          </w:tcPr>
          <w:p w14:paraId="397E9BA3">
            <w:pPr>
              <w:tabs>
                <w:tab w:val="left" w:pos="13965"/>
              </w:tabs>
              <w:spacing w:line="360" w:lineRule="auto"/>
              <w:ind w:right="-6"/>
              <w:jc w:val="center"/>
              <w:rPr>
                <w:rFonts w:ascii="宋体" w:hAnsi="宋体" w:eastAsia="宋体" w:cs="宋体"/>
                <w:b/>
                <w:sz w:val="24"/>
                <w:szCs w:val="24"/>
              </w:rPr>
            </w:pPr>
            <w:r>
              <w:rPr>
                <w:rFonts w:hint="eastAsia" w:ascii="宋体" w:hAnsi="宋体" w:eastAsia="宋体" w:cs="宋体"/>
                <w:b/>
                <w:sz w:val="24"/>
                <w:szCs w:val="24"/>
              </w:rPr>
              <w:t>评分标准</w:t>
            </w:r>
          </w:p>
        </w:tc>
      </w:tr>
      <w:tr w14:paraId="0F69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805" w:type="dxa"/>
            <w:vMerge w:val="restart"/>
            <w:vAlign w:val="center"/>
          </w:tcPr>
          <w:p w14:paraId="66B0158C">
            <w:pPr>
              <w:tabs>
                <w:tab w:val="left" w:pos="13965"/>
              </w:tabs>
              <w:spacing w:line="420" w:lineRule="exact"/>
              <w:jc w:val="center"/>
              <w:rPr>
                <w:rFonts w:ascii="宋体" w:hAnsi="宋体" w:eastAsia="宋体" w:cs="宋体"/>
                <w:sz w:val="24"/>
                <w:szCs w:val="24"/>
              </w:rPr>
            </w:pPr>
          </w:p>
          <w:p w14:paraId="779CA644">
            <w:pPr>
              <w:spacing w:line="420" w:lineRule="exact"/>
              <w:jc w:val="center"/>
              <w:rPr>
                <w:rFonts w:ascii="宋体" w:hAnsi="宋体" w:eastAsia="宋体" w:cs="宋体"/>
                <w:sz w:val="24"/>
                <w:szCs w:val="24"/>
              </w:rPr>
            </w:pPr>
            <w:r>
              <w:rPr>
                <w:rFonts w:hint="eastAsia" w:ascii="宋体" w:hAnsi="宋体" w:eastAsia="宋体" w:cs="宋体"/>
                <w:sz w:val="24"/>
                <w:szCs w:val="24"/>
              </w:rPr>
              <w:t>产品技术</w:t>
            </w:r>
          </w:p>
        </w:tc>
        <w:tc>
          <w:tcPr>
            <w:tcW w:w="427" w:type="dxa"/>
            <w:vAlign w:val="center"/>
          </w:tcPr>
          <w:p w14:paraId="3B2C8B47">
            <w:pPr>
              <w:tabs>
                <w:tab w:val="left" w:pos="13965"/>
              </w:tabs>
              <w:spacing w:line="420" w:lineRule="exact"/>
              <w:jc w:val="center"/>
              <w:rPr>
                <w:rFonts w:ascii="宋体" w:hAnsi="宋体" w:eastAsia="宋体" w:cs="宋体"/>
                <w:sz w:val="24"/>
                <w:szCs w:val="24"/>
              </w:rPr>
            </w:pPr>
            <w:r>
              <w:rPr>
                <w:rFonts w:hint="eastAsia" w:ascii="宋体" w:hAnsi="宋体" w:eastAsia="宋体" w:cs="宋体"/>
                <w:sz w:val="24"/>
                <w:szCs w:val="24"/>
              </w:rPr>
              <w:t>1</w:t>
            </w:r>
          </w:p>
        </w:tc>
        <w:tc>
          <w:tcPr>
            <w:tcW w:w="1260" w:type="dxa"/>
            <w:vAlign w:val="center"/>
          </w:tcPr>
          <w:p w14:paraId="117BF665">
            <w:pPr>
              <w:spacing w:line="420" w:lineRule="exact"/>
              <w:rPr>
                <w:rFonts w:ascii="宋体" w:hAnsi="宋体" w:eastAsia="宋体" w:cs="宋体"/>
                <w:sz w:val="24"/>
                <w:szCs w:val="24"/>
              </w:rPr>
            </w:pPr>
            <w:r>
              <w:rPr>
                <w:rFonts w:hint="eastAsia" w:ascii="宋体" w:hAnsi="宋体" w:eastAsia="宋体" w:cs="宋体"/>
                <w:sz w:val="24"/>
                <w:szCs w:val="24"/>
              </w:rPr>
              <w:t>技术参数</w:t>
            </w:r>
          </w:p>
        </w:tc>
        <w:tc>
          <w:tcPr>
            <w:tcW w:w="748" w:type="dxa"/>
            <w:vAlign w:val="center"/>
          </w:tcPr>
          <w:p w14:paraId="51C11F04">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30</w:t>
            </w:r>
          </w:p>
        </w:tc>
        <w:tc>
          <w:tcPr>
            <w:tcW w:w="6023" w:type="dxa"/>
            <w:vAlign w:val="center"/>
          </w:tcPr>
          <w:p w14:paraId="13859E97">
            <w:pPr>
              <w:spacing w:line="420" w:lineRule="exact"/>
              <w:jc w:val="left"/>
              <w:rPr>
                <w:rFonts w:ascii="宋体" w:hAnsi="宋体" w:eastAsia="宋体" w:cs="宋体"/>
                <w:bCs/>
                <w:sz w:val="24"/>
                <w:szCs w:val="24"/>
              </w:rPr>
            </w:pPr>
            <w:r>
              <w:rPr>
                <w:rFonts w:hint="eastAsia" w:ascii="宋体" w:hAnsi="宋体" w:eastAsia="宋体" w:cs="宋体"/>
                <w:bCs/>
                <w:sz w:val="24"/>
                <w:szCs w:val="24"/>
              </w:rPr>
              <w:t>投标文件中技术参数符合招标文件的要求赋20分，再详细考察其功能与项目需求的吻合性,有一处负偏离，扣4分，以此类推；有正偏离，且对项目存在实际改进作用，则加2分，最高可以加到4分，得分上限30分。</w:t>
            </w:r>
          </w:p>
        </w:tc>
      </w:tr>
      <w:tr w14:paraId="2A80F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805" w:type="dxa"/>
            <w:vMerge w:val="continue"/>
            <w:vAlign w:val="center"/>
          </w:tcPr>
          <w:p w14:paraId="602A5260">
            <w:pPr>
              <w:spacing w:line="420" w:lineRule="exact"/>
              <w:jc w:val="center"/>
              <w:rPr>
                <w:rFonts w:ascii="宋体" w:hAnsi="宋体" w:eastAsia="宋体" w:cs="宋体"/>
                <w:sz w:val="24"/>
                <w:szCs w:val="24"/>
              </w:rPr>
            </w:pPr>
          </w:p>
        </w:tc>
        <w:tc>
          <w:tcPr>
            <w:tcW w:w="427" w:type="dxa"/>
            <w:vAlign w:val="center"/>
          </w:tcPr>
          <w:p w14:paraId="6C9D9A94">
            <w:pPr>
              <w:spacing w:line="420" w:lineRule="exact"/>
              <w:jc w:val="center"/>
              <w:rPr>
                <w:rFonts w:ascii="宋体" w:hAnsi="宋体" w:eastAsia="宋体" w:cs="宋体"/>
                <w:sz w:val="24"/>
                <w:szCs w:val="24"/>
              </w:rPr>
            </w:pPr>
            <w:r>
              <w:rPr>
                <w:rFonts w:hint="eastAsia" w:ascii="宋体" w:hAnsi="宋体" w:eastAsia="宋体" w:cs="宋体"/>
                <w:sz w:val="24"/>
                <w:szCs w:val="24"/>
              </w:rPr>
              <w:t>2</w:t>
            </w:r>
          </w:p>
        </w:tc>
        <w:tc>
          <w:tcPr>
            <w:tcW w:w="1260" w:type="dxa"/>
            <w:vAlign w:val="center"/>
          </w:tcPr>
          <w:p w14:paraId="0924EFBE">
            <w:pPr>
              <w:spacing w:line="420" w:lineRule="exact"/>
              <w:rPr>
                <w:rFonts w:ascii="宋体" w:hAnsi="宋体" w:eastAsia="宋体" w:cs="宋体"/>
                <w:bCs/>
                <w:sz w:val="24"/>
                <w:szCs w:val="24"/>
              </w:rPr>
            </w:pPr>
            <w:r>
              <w:rPr>
                <w:rFonts w:hint="eastAsia" w:ascii="宋体" w:hAnsi="宋体" w:eastAsia="宋体" w:cs="宋体"/>
                <w:bCs/>
                <w:sz w:val="24"/>
                <w:szCs w:val="24"/>
              </w:rPr>
              <w:t>核心产品</w:t>
            </w:r>
          </w:p>
        </w:tc>
        <w:tc>
          <w:tcPr>
            <w:tcW w:w="748" w:type="dxa"/>
            <w:vAlign w:val="center"/>
          </w:tcPr>
          <w:p w14:paraId="2BD5AE1D">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10</w:t>
            </w:r>
          </w:p>
        </w:tc>
        <w:tc>
          <w:tcPr>
            <w:tcW w:w="6023" w:type="dxa"/>
            <w:vAlign w:val="center"/>
          </w:tcPr>
          <w:p w14:paraId="088E8D24">
            <w:pPr>
              <w:spacing w:line="420" w:lineRule="exact"/>
              <w:jc w:val="left"/>
              <w:rPr>
                <w:rFonts w:ascii="宋体" w:hAnsi="宋体" w:eastAsia="宋体" w:cs="宋体"/>
                <w:bCs/>
                <w:sz w:val="24"/>
                <w:szCs w:val="24"/>
              </w:rPr>
            </w:pPr>
            <w:r>
              <w:rPr>
                <w:rFonts w:hint="eastAsia" w:ascii="宋体" w:hAnsi="宋体" w:eastAsia="宋体" w:cs="宋体"/>
                <w:bCs/>
                <w:sz w:val="24"/>
                <w:szCs w:val="24"/>
              </w:rPr>
              <w:t>对核心产品在项目中所起的作用和描述，每一项各2分</w:t>
            </w:r>
          </w:p>
        </w:tc>
      </w:tr>
      <w:tr w14:paraId="35F4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 w:hRule="atLeast"/>
          <w:jc w:val="center"/>
        </w:trPr>
        <w:tc>
          <w:tcPr>
            <w:tcW w:w="805" w:type="dxa"/>
            <w:vAlign w:val="center"/>
          </w:tcPr>
          <w:p w14:paraId="49367D8A">
            <w:pPr>
              <w:spacing w:line="420" w:lineRule="exact"/>
              <w:jc w:val="center"/>
              <w:rPr>
                <w:rFonts w:ascii="宋体" w:hAnsi="宋体" w:eastAsia="宋体" w:cs="宋体"/>
                <w:sz w:val="24"/>
                <w:szCs w:val="24"/>
              </w:rPr>
            </w:pPr>
            <w:r>
              <w:rPr>
                <w:rFonts w:hint="eastAsia" w:ascii="宋体" w:hAnsi="宋体" w:eastAsia="宋体" w:cs="宋体"/>
                <w:sz w:val="24"/>
                <w:szCs w:val="24"/>
              </w:rPr>
              <w:t>答疑</w:t>
            </w:r>
          </w:p>
        </w:tc>
        <w:tc>
          <w:tcPr>
            <w:tcW w:w="427" w:type="dxa"/>
            <w:vAlign w:val="center"/>
          </w:tcPr>
          <w:p w14:paraId="5A1D9589">
            <w:pPr>
              <w:spacing w:line="420" w:lineRule="exact"/>
              <w:jc w:val="center"/>
              <w:rPr>
                <w:rFonts w:ascii="宋体" w:hAnsi="宋体" w:eastAsia="宋体" w:cs="宋体"/>
                <w:sz w:val="24"/>
                <w:szCs w:val="24"/>
              </w:rPr>
            </w:pPr>
            <w:r>
              <w:rPr>
                <w:rFonts w:hint="eastAsia" w:ascii="宋体" w:hAnsi="宋体" w:eastAsia="宋体" w:cs="宋体"/>
                <w:sz w:val="24"/>
                <w:szCs w:val="24"/>
              </w:rPr>
              <w:t>3</w:t>
            </w:r>
          </w:p>
        </w:tc>
        <w:tc>
          <w:tcPr>
            <w:tcW w:w="1260" w:type="dxa"/>
            <w:vAlign w:val="center"/>
          </w:tcPr>
          <w:p w14:paraId="6FE5676F">
            <w:pPr>
              <w:spacing w:line="420" w:lineRule="exact"/>
              <w:rPr>
                <w:rFonts w:ascii="宋体" w:hAnsi="宋体" w:eastAsia="宋体" w:cs="宋体"/>
                <w:bCs/>
                <w:sz w:val="24"/>
                <w:szCs w:val="24"/>
              </w:rPr>
            </w:pPr>
            <w:r>
              <w:rPr>
                <w:rFonts w:hint="eastAsia" w:ascii="宋体" w:hAnsi="宋体" w:eastAsia="宋体" w:cs="宋体"/>
                <w:bCs/>
                <w:sz w:val="24"/>
                <w:szCs w:val="24"/>
              </w:rPr>
              <w:t>现场答疑</w:t>
            </w:r>
          </w:p>
        </w:tc>
        <w:tc>
          <w:tcPr>
            <w:tcW w:w="748" w:type="dxa"/>
            <w:vAlign w:val="center"/>
          </w:tcPr>
          <w:p w14:paraId="47EEEEF4">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10</w:t>
            </w:r>
          </w:p>
        </w:tc>
        <w:tc>
          <w:tcPr>
            <w:tcW w:w="6023" w:type="dxa"/>
            <w:vAlign w:val="center"/>
          </w:tcPr>
          <w:p w14:paraId="7D6A0A94">
            <w:pPr>
              <w:spacing w:line="420" w:lineRule="exact"/>
              <w:jc w:val="left"/>
              <w:rPr>
                <w:rFonts w:ascii="宋体" w:hAnsi="宋体" w:eastAsia="宋体" w:cs="宋体"/>
                <w:bCs/>
                <w:sz w:val="24"/>
                <w:szCs w:val="24"/>
              </w:rPr>
            </w:pPr>
            <w:r>
              <w:rPr>
                <w:rFonts w:hint="eastAsia" w:ascii="宋体" w:hAnsi="宋体" w:eastAsia="宋体" w:cs="宋体"/>
                <w:bCs/>
                <w:sz w:val="24"/>
                <w:szCs w:val="24"/>
              </w:rPr>
              <w:t>是否了解项目实际作用，谈一谈自己对项目的理解；（3分）</w:t>
            </w:r>
          </w:p>
          <w:p w14:paraId="59E39491">
            <w:pPr>
              <w:spacing w:line="420" w:lineRule="exact"/>
              <w:jc w:val="left"/>
              <w:rPr>
                <w:rFonts w:ascii="宋体" w:hAnsi="宋体" w:eastAsia="宋体" w:cs="宋体"/>
                <w:bCs/>
                <w:sz w:val="24"/>
                <w:szCs w:val="24"/>
              </w:rPr>
            </w:pPr>
            <w:r>
              <w:rPr>
                <w:rFonts w:hint="eastAsia" w:ascii="宋体" w:hAnsi="宋体" w:eastAsia="宋体" w:cs="宋体"/>
                <w:bCs/>
                <w:sz w:val="24"/>
                <w:szCs w:val="24"/>
              </w:rPr>
              <w:t>是否在招标前至项目实际所在地勘察；（3分）</w:t>
            </w:r>
          </w:p>
          <w:p w14:paraId="40EF88C6">
            <w:pPr>
              <w:spacing w:line="420" w:lineRule="exact"/>
              <w:jc w:val="left"/>
              <w:rPr>
                <w:rFonts w:ascii="宋体" w:hAnsi="宋体" w:eastAsia="宋体" w:cs="宋体"/>
                <w:bCs/>
                <w:sz w:val="24"/>
                <w:szCs w:val="24"/>
              </w:rPr>
            </w:pPr>
            <w:r>
              <w:rPr>
                <w:rFonts w:hint="eastAsia" w:ascii="宋体" w:hAnsi="宋体" w:eastAsia="宋体" w:cs="宋体"/>
                <w:bCs/>
                <w:sz w:val="24"/>
                <w:szCs w:val="24"/>
              </w:rPr>
              <w:t>是否了解客户现有的设备配置；（4分）</w:t>
            </w:r>
          </w:p>
        </w:tc>
      </w:tr>
      <w:tr w14:paraId="2832C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805" w:type="dxa"/>
            <w:vAlign w:val="center"/>
          </w:tcPr>
          <w:p w14:paraId="7A3CB436">
            <w:pPr>
              <w:spacing w:line="420" w:lineRule="exact"/>
              <w:jc w:val="center"/>
              <w:rPr>
                <w:rFonts w:ascii="宋体" w:hAnsi="宋体" w:eastAsia="宋体" w:cs="宋体"/>
                <w:sz w:val="24"/>
                <w:szCs w:val="24"/>
              </w:rPr>
            </w:pPr>
            <w:r>
              <w:rPr>
                <w:rFonts w:hint="eastAsia" w:ascii="宋体" w:hAnsi="宋体" w:eastAsia="宋体" w:cs="宋体"/>
                <w:sz w:val="24"/>
                <w:szCs w:val="24"/>
              </w:rPr>
              <w:t>技术偏离</w:t>
            </w:r>
          </w:p>
        </w:tc>
        <w:tc>
          <w:tcPr>
            <w:tcW w:w="427" w:type="dxa"/>
            <w:vAlign w:val="center"/>
          </w:tcPr>
          <w:p w14:paraId="77E79F94">
            <w:pPr>
              <w:spacing w:line="420" w:lineRule="exact"/>
              <w:jc w:val="center"/>
              <w:rPr>
                <w:rFonts w:ascii="宋体" w:hAnsi="宋体" w:eastAsia="宋体" w:cs="宋体"/>
                <w:sz w:val="24"/>
                <w:szCs w:val="24"/>
              </w:rPr>
            </w:pPr>
            <w:r>
              <w:rPr>
                <w:rFonts w:hint="eastAsia" w:ascii="宋体" w:hAnsi="宋体" w:eastAsia="宋体" w:cs="宋体"/>
                <w:sz w:val="24"/>
                <w:szCs w:val="24"/>
              </w:rPr>
              <w:t>4</w:t>
            </w:r>
          </w:p>
        </w:tc>
        <w:tc>
          <w:tcPr>
            <w:tcW w:w="1260" w:type="dxa"/>
            <w:vAlign w:val="center"/>
          </w:tcPr>
          <w:p w14:paraId="15259ECB">
            <w:pPr>
              <w:spacing w:line="420" w:lineRule="exact"/>
              <w:rPr>
                <w:rFonts w:ascii="宋体" w:hAnsi="宋体" w:eastAsia="宋体" w:cs="宋体"/>
                <w:sz w:val="24"/>
                <w:szCs w:val="24"/>
              </w:rPr>
            </w:pPr>
            <w:r>
              <w:rPr>
                <w:rFonts w:hint="eastAsia" w:ascii="宋体" w:hAnsi="宋体" w:eastAsia="宋体" w:cs="宋体"/>
                <w:bCs/>
                <w:sz w:val="24"/>
                <w:szCs w:val="24"/>
              </w:rPr>
              <w:t>技术偏离</w:t>
            </w:r>
          </w:p>
        </w:tc>
        <w:tc>
          <w:tcPr>
            <w:tcW w:w="748" w:type="dxa"/>
            <w:vAlign w:val="center"/>
          </w:tcPr>
          <w:p w14:paraId="3EE3E82B">
            <w:pPr>
              <w:spacing w:line="420" w:lineRule="exact"/>
              <w:jc w:val="center"/>
              <w:rPr>
                <w:rFonts w:ascii="宋体" w:hAnsi="宋体" w:eastAsia="宋体" w:cs="宋体"/>
                <w:sz w:val="24"/>
                <w:szCs w:val="24"/>
              </w:rPr>
            </w:pPr>
            <w:r>
              <w:rPr>
                <w:rFonts w:hint="eastAsia" w:ascii="宋体" w:hAnsi="宋体" w:eastAsia="宋体" w:cs="宋体"/>
                <w:sz w:val="24"/>
                <w:szCs w:val="24"/>
              </w:rPr>
              <w:t>12</w:t>
            </w:r>
          </w:p>
        </w:tc>
        <w:tc>
          <w:tcPr>
            <w:tcW w:w="6023" w:type="dxa"/>
            <w:vAlign w:val="center"/>
          </w:tcPr>
          <w:p w14:paraId="742FD1FC">
            <w:pPr>
              <w:spacing w:line="420" w:lineRule="exact"/>
              <w:jc w:val="left"/>
              <w:rPr>
                <w:rFonts w:ascii="宋体" w:hAnsi="宋体" w:eastAsia="宋体" w:cs="宋体"/>
                <w:bCs/>
                <w:sz w:val="24"/>
                <w:szCs w:val="24"/>
              </w:rPr>
            </w:pPr>
            <w:r>
              <w:rPr>
                <w:rFonts w:hint="eastAsia" w:ascii="宋体" w:hAnsi="宋体" w:eastAsia="宋体" w:cs="宋体"/>
                <w:bCs/>
                <w:sz w:val="24"/>
                <w:szCs w:val="24"/>
              </w:rPr>
              <w:t>由评标委员会成员独立进行客观、公正的评价，根据各投标单位的核心产品的配置参数、技术偏离情况，在满足我司技术基本要求的前提下偏离，无偏离得满分12分，较大偏离每一项扣4分，一般偏离每一项扣2分，最低0分。</w:t>
            </w:r>
          </w:p>
        </w:tc>
      </w:tr>
      <w:tr w14:paraId="06F6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805" w:type="dxa"/>
            <w:vAlign w:val="center"/>
          </w:tcPr>
          <w:p w14:paraId="7CA7D51D">
            <w:pPr>
              <w:tabs>
                <w:tab w:val="left" w:pos="13965"/>
              </w:tabs>
              <w:spacing w:line="420" w:lineRule="exact"/>
              <w:jc w:val="center"/>
              <w:rPr>
                <w:rFonts w:ascii="宋体" w:hAnsi="宋体" w:eastAsia="宋体" w:cs="宋体"/>
                <w:sz w:val="24"/>
                <w:szCs w:val="24"/>
              </w:rPr>
            </w:pPr>
            <w:r>
              <w:rPr>
                <w:rFonts w:hint="eastAsia" w:ascii="宋体" w:hAnsi="宋体" w:eastAsia="宋体" w:cs="宋体"/>
                <w:sz w:val="24"/>
                <w:szCs w:val="24"/>
              </w:rPr>
              <w:t>实施计划</w:t>
            </w:r>
          </w:p>
        </w:tc>
        <w:tc>
          <w:tcPr>
            <w:tcW w:w="427" w:type="dxa"/>
            <w:vAlign w:val="center"/>
          </w:tcPr>
          <w:p w14:paraId="41350061">
            <w:pPr>
              <w:tabs>
                <w:tab w:val="left" w:pos="13965"/>
              </w:tabs>
              <w:spacing w:line="420" w:lineRule="exact"/>
              <w:jc w:val="center"/>
              <w:rPr>
                <w:rFonts w:ascii="宋体" w:hAnsi="宋体" w:eastAsia="宋体" w:cs="宋体"/>
                <w:sz w:val="24"/>
                <w:szCs w:val="24"/>
              </w:rPr>
            </w:pPr>
            <w:r>
              <w:rPr>
                <w:rFonts w:hint="eastAsia" w:ascii="宋体" w:hAnsi="宋体" w:eastAsia="宋体" w:cs="宋体"/>
                <w:sz w:val="24"/>
                <w:szCs w:val="24"/>
              </w:rPr>
              <w:t>5</w:t>
            </w:r>
          </w:p>
        </w:tc>
        <w:tc>
          <w:tcPr>
            <w:tcW w:w="1260" w:type="dxa"/>
            <w:vAlign w:val="center"/>
          </w:tcPr>
          <w:p w14:paraId="2913113B">
            <w:pPr>
              <w:spacing w:line="420" w:lineRule="exact"/>
              <w:rPr>
                <w:rFonts w:ascii="宋体" w:hAnsi="宋体" w:eastAsia="宋体" w:cs="宋体"/>
                <w:sz w:val="24"/>
                <w:szCs w:val="24"/>
              </w:rPr>
            </w:pPr>
            <w:r>
              <w:rPr>
                <w:rFonts w:hint="eastAsia" w:ascii="宋体" w:hAnsi="宋体" w:eastAsia="宋体" w:cs="宋体"/>
                <w:sz w:val="24"/>
                <w:szCs w:val="24"/>
              </w:rPr>
              <w:t>实施计划</w:t>
            </w:r>
          </w:p>
        </w:tc>
        <w:tc>
          <w:tcPr>
            <w:tcW w:w="748" w:type="dxa"/>
            <w:vAlign w:val="center"/>
          </w:tcPr>
          <w:p w14:paraId="52478628">
            <w:pPr>
              <w:spacing w:line="420" w:lineRule="exact"/>
              <w:jc w:val="center"/>
              <w:rPr>
                <w:rFonts w:ascii="宋体" w:hAnsi="宋体" w:eastAsia="宋体" w:cs="宋体"/>
                <w:sz w:val="24"/>
                <w:szCs w:val="24"/>
              </w:rPr>
            </w:pPr>
            <w:r>
              <w:rPr>
                <w:rFonts w:hint="eastAsia" w:ascii="宋体" w:hAnsi="宋体" w:eastAsia="宋体" w:cs="宋体"/>
                <w:sz w:val="24"/>
                <w:szCs w:val="24"/>
              </w:rPr>
              <w:t>10</w:t>
            </w:r>
          </w:p>
        </w:tc>
        <w:tc>
          <w:tcPr>
            <w:tcW w:w="6023" w:type="dxa"/>
            <w:vAlign w:val="center"/>
          </w:tcPr>
          <w:p w14:paraId="41E8AADD">
            <w:pPr>
              <w:spacing w:line="360" w:lineRule="auto"/>
              <w:rPr>
                <w:rFonts w:ascii="宋体" w:hAnsi="宋体" w:eastAsia="宋体" w:cs="宋体"/>
                <w:sz w:val="24"/>
                <w:szCs w:val="24"/>
              </w:rPr>
            </w:pPr>
            <w:r>
              <w:rPr>
                <w:rFonts w:hint="eastAsia" w:ascii="宋体" w:hAnsi="宋体" w:eastAsia="宋体" w:cs="宋体"/>
                <w:sz w:val="24"/>
                <w:szCs w:val="24"/>
              </w:rPr>
              <w:t>项目实施计划安排科学、合理、可行（每家单位制定详细的实施计划，满足需方的要求）。</w:t>
            </w:r>
          </w:p>
          <w:p w14:paraId="2EFFEA0E">
            <w:pPr>
              <w:spacing w:line="420" w:lineRule="exact"/>
              <w:jc w:val="left"/>
              <w:rPr>
                <w:rFonts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由评标委员会成员独立进行客观、公正的评价，按照优、良、一般进行赋分，优得10分，良得6分，一般得3分。</w:t>
            </w:r>
          </w:p>
        </w:tc>
      </w:tr>
      <w:tr w14:paraId="6FCB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805" w:type="dxa"/>
            <w:vAlign w:val="center"/>
          </w:tcPr>
          <w:p w14:paraId="0DFF5F3C">
            <w:pPr>
              <w:tabs>
                <w:tab w:val="left" w:pos="13965"/>
              </w:tabs>
              <w:spacing w:line="420" w:lineRule="exact"/>
              <w:jc w:val="center"/>
              <w:rPr>
                <w:rFonts w:ascii="宋体" w:hAnsi="宋体" w:eastAsia="宋体" w:cs="宋体"/>
                <w:sz w:val="24"/>
                <w:szCs w:val="24"/>
              </w:rPr>
            </w:pPr>
            <w:r>
              <w:rPr>
                <w:rFonts w:hint="eastAsia" w:ascii="宋体" w:hAnsi="宋体" w:eastAsia="宋体" w:cs="宋体"/>
                <w:sz w:val="24"/>
                <w:szCs w:val="24"/>
              </w:rPr>
              <w:t>业绩</w:t>
            </w:r>
          </w:p>
        </w:tc>
        <w:tc>
          <w:tcPr>
            <w:tcW w:w="427" w:type="dxa"/>
            <w:vAlign w:val="center"/>
          </w:tcPr>
          <w:p w14:paraId="2C1E9229">
            <w:pPr>
              <w:tabs>
                <w:tab w:val="left" w:pos="13965"/>
              </w:tabs>
              <w:spacing w:line="420" w:lineRule="exact"/>
              <w:jc w:val="center"/>
              <w:rPr>
                <w:rFonts w:ascii="宋体" w:hAnsi="宋体" w:eastAsia="宋体" w:cs="宋体"/>
                <w:sz w:val="24"/>
                <w:szCs w:val="24"/>
              </w:rPr>
            </w:pPr>
            <w:r>
              <w:rPr>
                <w:rFonts w:hint="eastAsia" w:ascii="宋体" w:hAnsi="宋体" w:eastAsia="宋体" w:cs="宋体"/>
                <w:sz w:val="24"/>
                <w:szCs w:val="24"/>
              </w:rPr>
              <w:t>6</w:t>
            </w:r>
          </w:p>
        </w:tc>
        <w:tc>
          <w:tcPr>
            <w:tcW w:w="1260" w:type="dxa"/>
            <w:vAlign w:val="center"/>
          </w:tcPr>
          <w:p w14:paraId="76A62A3E">
            <w:pPr>
              <w:spacing w:line="420" w:lineRule="exact"/>
              <w:rPr>
                <w:rFonts w:ascii="宋体" w:hAnsi="宋体" w:eastAsia="宋体" w:cs="宋体"/>
                <w:sz w:val="24"/>
                <w:szCs w:val="24"/>
              </w:rPr>
            </w:pPr>
            <w:r>
              <w:rPr>
                <w:rFonts w:hint="eastAsia" w:ascii="宋体" w:hAnsi="宋体" w:eastAsia="宋体" w:cs="宋体"/>
                <w:sz w:val="24"/>
                <w:szCs w:val="24"/>
              </w:rPr>
              <w:t>业绩</w:t>
            </w:r>
          </w:p>
        </w:tc>
        <w:tc>
          <w:tcPr>
            <w:tcW w:w="748" w:type="dxa"/>
            <w:vAlign w:val="center"/>
          </w:tcPr>
          <w:p w14:paraId="3A2A4812">
            <w:pPr>
              <w:spacing w:line="420" w:lineRule="exact"/>
              <w:jc w:val="center"/>
              <w:rPr>
                <w:rFonts w:ascii="宋体" w:hAnsi="宋体" w:eastAsia="宋体" w:cs="宋体"/>
                <w:sz w:val="24"/>
                <w:szCs w:val="24"/>
              </w:rPr>
            </w:pPr>
            <w:r>
              <w:rPr>
                <w:rFonts w:hint="eastAsia" w:ascii="宋体" w:hAnsi="宋体" w:eastAsia="宋体" w:cs="宋体"/>
                <w:sz w:val="24"/>
                <w:szCs w:val="24"/>
              </w:rPr>
              <w:t>10</w:t>
            </w:r>
          </w:p>
        </w:tc>
        <w:tc>
          <w:tcPr>
            <w:tcW w:w="6023" w:type="dxa"/>
            <w:vAlign w:val="center"/>
          </w:tcPr>
          <w:p w14:paraId="52207206">
            <w:pPr>
              <w:spacing w:line="420" w:lineRule="exact"/>
              <w:jc w:val="left"/>
              <w:rPr>
                <w:rFonts w:ascii="宋体" w:hAnsi="宋体" w:eastAsia="宋体" w:cs="宋体"/>
                <w:bCs/>
                <w:sz w:val="24"/>
                <w:szCs w:val="24"/>
              </w:rPr>
            </w:pPr>
            <w:r>
              <w:rPr>
                <w:rFonts w:hint="eastAsia" w:ascii="宋体" w:hAnsi="宋体" w:eastAsia="宋体" w:cs="宋体"/>
                <w:bCs/>
                <w:sz w:val="24"/>
                <w:szCs w:val="24"/>
              </w:rPr>
              <w:t>同类型项目业绩：</w:t>
            </w:r>
          </w:p>
          <w:p w14:paraId="57EE2781">
            <w:pPr>
              <w:spacing w:line="420" w:lineRule="exact"/>
              <w:jc w:val="left"/>
              <w:rPr>
                <w:rFonts w:ascii="宋体" w:hAnsi="宋体" w:eastAsia="宋体" w:cs="宋体"/>
                <w:bCs/>
                <w:sz w:val="24"/>
                <w:szCs w:val="24"/>
              </w:rPr>
            </w:pPr>
            <w:r>
              <w:rPr>
                <w:rFonts w:hint="eastAsia" w:ascii="宋体" w:hAnsi="宋体" w:eastAsia="宋体" w:cs="宋体"/>
                <w:bCs/>
                <w:sz w:val="24"/>
                <w:szCs w:val="24"/>
              </w:rPr>
              <w:t>2020年1月以来到现在以来已交付使用的与本次招标项目类似产品的业绩，业绩最多者满分，第二名得8分，第三名得6分，第四名得4分，其余得2分。（时间以签订日期为准）。</w:t>
            </w:r>
          </w:p>
        </w:tc>
      </w:tr>
      <w:tr w14:paraId="6897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805" w:type="dxa"/>
            <w:vMerge w:val="restart"/>
            <w:vAlign w:val="center"/>
          </w:tcPr>
          <w:p w14:paraId="34034AFE">
            <w:pPr>
              <w:spacing w:line="360" w:lineRule="auto"/>
              <w:jc w:val="center"/>
              <w:rPr>
                <w:rFonts w:ascii="宋体" w:hAnsi="宋体" w:eastAsia="宋体" w:cs="宋体"/>
                <w:sz w:val="24"/>
                <w:szCs w:val="24"/>
              </w:rPr>
            </w:pPr>
            <w:r>
              <w:rPr>
                <w:rFonts w:hint="eastAsia" w:ascii="宋体" w:hAnsi="宋体" w:eastAsia="宋体" w:cs="宋体"/>
                <w:sz w:val="24"/>
                <w:szCs w:val="24"/>
              </w:rPr>
              <w:t>售后服务</w:t>
            </w:r>
          </w:p>
        </w:tc>
        <w:tc>
          <w:tcPr>
            <w:tcW w:w="427" w:type="dxa"/>
            <w:vAlign w:val="center"/>
          </w:tcPr>
          <w:p w14:paraId="7E4C8519">
            <w:pPr>
              <w:spacing w:line="360" w:lineRule="auto"/>
              <w:jc w:val="center"/>
              <w:rPr>
                <w:rFonts w:ascii="宋体" w:hAnsi="宋体" w:eastAsia="宋体" w:cs="宋体"/>
                <w:sz w:val="24"/>
                <w:szCs w:val="24"/>
              </w:rPr>
            </w:pPr>
            <w:r>
              <w:rPr>
                <w:rFonts w:hint="eastAsia" w:ascii="宋体" w:hAnsi="宋体" w:eastAsia="宋体" w:cs="宋体"/>
                <w:sz w:val="24"/>
                <w:szCs w:val="24"/>
              </w:rPr>
              <w:t>7</w:t>
            </w:r>
          </w:p>
        </w:tc>
        <w:tc>
          <w:tcPr>
            <w:tcW w:w="1260" w:type="dxa"/>
            <w:vAlign w:val="center"/>
          </w:tcPr>
          <w:p w14:paraId="2EEEA6C0">
            <w:pPr>
              <w:spacing w:line="360" w:lineRule="auto"/>
              <w:rPr>
                <w:rFonts w:ascii="宋体" w:hAnsi="宋体" w:eastAsia="宋体" w:cs="宋体"/>
                <w:sz w:val="24"/>
                <w:szCs w:val="24"/>
              </w:rPr>
            </w:pPr>
            <w:r>
              <w:rPr>
                <w:rFonts w:hint="eastAsia" w:ascii="宋体" w:hAnsi="宋体" w:eastAsia="宋体" w:cs="宋体"/>
                <w:sz w:val="24"/>
                <w:szCs w:val="24"/>
              </w:rPr>
              <w:t>技术培训方案</w:t>
            </w:r>
          </w:p>
        </w:tc>
        <w:tc>
          <w:tcPr>
            <w:tcW w:w="748" w:type="dxa"/>
            <w:vAlign w:val="center"/>
          </w:tcPr>
          <w:p w14:paraId="1AB9E75A">
            <w:pPr>
              <w:spacing w:line="360" w:lineRule="auto"/>
              <w:jc w:val="center"/>
              <w:rPr>
                <w:rFonts w:ascii="宋体" w:hAnsi="宋体" w:eastAsia="宋体" w:cs="宋体"/>
                <w:sz w:val="24"/>
                <w:szCs w:val="24"/>
              </w:rPr>
            </w:pPr>
            <w:r>
              <w:rPr>
                <w:rFonts w:hint="eastAsia" w:ascii="宋体" w:hAnsi="宋体" w:eastAsia="宋体" w:cs="宋体"/>
                <w:sz w:val="24"/>
                <w:szCs w:val="24"/>
              </w:rPr>
              <w:t>6</w:t>
            </w:r>
          </w:p>
        </w:tc>
        <w:tc>
          <w:tcPr>
            <w:tcW w:w="6023" w:type="dxa"/>
            <w:vAlign w:val="center"/>
          </w:tcPr>
          <w:p w14:paraId="72D6A98B">
            <w:pPr>
              <w:spacing w:line="360" w:lineRule="auto"/>
              <w:rPr>
                <w:rFonts w:ascii="宋体" w:hAnsi="宋体" w:eastAsia="宋体" w:cs="宋体"/>
                <w:sz w:val="24"/>
                <w:szCs w:val="24"/>
              </w:rPr>
            </w:pPr>
            <w:r>
              <w:rPr>
                <w:rFonts w:hint="eastAsia" w:ascii="宋体" w:hAnsi="宋体" w:eastAsia="宋体" w:cs="宋体"/>
                <w:sz w:val="24"/>
                <w:szCs w:val="24"/>
              </w:rPr>
              <w:t>对采购方人员的技术培训方案安排科学、合理、可行。</w:t>
            </w:r>
          </w:p>
          <w:p w14:paraId="2BA8BF6E">
            <w:pPr>
              <w:spacing w:line="360" w:lineRule="auto"/>
              <w:rPr>
                <w:rFonts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由评标委员会成员独立进行客观、公正的评价，按照优、良、一般进行赋分，优得6分，良得4分，一般得2分。</w:t>
            </w:r>
          </w:p>
        </w:tc>
      </w:tr>
      <w:tr w14:paraId="3FF2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805" w:type="dxa"/>
            <w:vMerge w:val="continue"/>
            <w:vAlign w:val="center"/>
          </w:tcPr>
          <w:p w14:paraId="35EF6281">
            <w:pPr>
              <w:spacing w:line="360" w:lineRule="auto"/>
              <w:jc w:val="center"/>
              <w:rPr>
                <w:rFonts w:ascii="宋体" w:hAnsi="宋体" w:eastAsia="宋体" w:cs="宋体"/>
                <w:sz w:val="24"/>
                <w:szCs w:val="24"/>
              </w:rPr>
            </w:pPr>
          </w:p>
        </w:tc>
        <w:tc>
          <w:tcPr>
            <w:tcW w:w="427" w:type="dxa"/>
            <w:vAlign w:val="center"/>
          </w:tcPr>
          <w:p w14:paraId="6315A2A7">
            <w:pPr>
              <w:spacing w:line="360" w:lineRule="auto"/>
              <w:jc w:val="center"/>
              <w:rPr>
                <w:rFonts w:ascii="宋体" w:hAnsi="宋体" w:eastAsia="宋体" w:cs="宋体"/>
                <w:sz w:val="24"/>
                <w:szCs w:val="24"/>
              </w:rPr>
            </w:pPr>
            <w:r>
              <w:rPr>
                <w:rFonts w:hint="eastAsia" w:ascii="宋体" w:hAnsi="宋体" w:eastAsia="宋体" w:cs="宋体"/>
                <w:sz w:val="24"/>
                <w:szCs w:val="24"/>
              </w:rPr>
              <w:t>8</w:t>
            </w:r>
          </w:p>
        </w:tc>
        <w:tc>
          <w:tcPr>
            <w:tcW w:w="1260" w:type="dxa"/>
            <w:vAlign w:val="center"/>
          </w:tcPr>
          <w:p w14:paraId="6379ADE6">
            <w:pPr>
              <w:spacing w:line="360" w:lineRule="auto"/>
              <w:rPr>
                <w:rFonts w:ascii="宋体" w:hAnsi="宋体" w:eastAsia="宋体" w:cs="宋体"/>
                <w:sz w:val="24"/>
                <w:szCs w:val="24"/>
              </w:rPr>
            </w:pPr>
            <w:r>
              <w:rPr>
                <w:rFonts w:hint="eastAsia" w:ascii="宋体" w:hAnsi="宋体" w:eastAsia="宋体" w:cs="宋体"/>
                <w:bCs/>
                <w:sz w:val="24"/>
                <w:szCs w:val="24"/>
              </w:rPr>
              <w:t>专业技术力量</w:t>
            </w:r>
          </w:p>
        </w:tc>
        <w:tc>
          <w:tcPr>
            <w:tcW w:w="748" w:type="dxa"/>
            <w:vAlign w:val="center"/>
          </w:tcPr>
          <w:p w14:paraId="28B0B1B2">
            <w:pPr>
              <w:spacing w:line="360" w:lineRule="auto"/>
              <w:jc w:val="center"/>
              <w:rPr>
                <w:rFonts w:ascii="宋体" w:hAnsi="宋体" w:eastAsia="宋体" w:cs="宋体"/>
                <w:sz w:val="24"/>
                <w:szCs w:val="24"/>
              </w:rPr>
            </w:pPr>
            <w:r>
              <w:rPr>
                <w:rFonts w:hint="eastAsia" w:ascii="宋体" w:hAnsi="宋体" w:eastAsia="宋体" w:cs="宋体"/>
                <w:bCs/>
                <w:sz w:val="24"/>
                <w:szCs w:val="24"/>
              </w:rPr>
              <w:t>6</w:t>
            </w:r>
          </w:p>
        </w:tc>
        <w:tc>
          <w:tcPr>
            <w:tcW w:w="6023" w:type="dxa"/>
            <w:vAlign w:val="center"/>
          </w:tcPr>
          <w:p w14:paraId="35CC477E">
            <w:pPr>
              <w:spacing w:line="360" w:lineRule="auto"/>
              <w:rPr>
                <w:rFonts w:ascii="宋体" w:hAnsi="宋体" w:eastAsia="宋体" w:cs="宋体"/>
                <w:bCs/>
                <w:sz w:val="24"/>
                <w:szCs w:val="24"/>
              </w:rPr>
            </w:pPr>
            <w:r>
              <w:rPr>
                <w:rFonts w:hint="eastAsia" w:ascii="宋体" w:hAnsi="宋体" w:eastAsia="宋体" w:cs="宋体"/>
                <w:bCs/>
                <w:sz w:val="24"/>
                <w:szCs w:val="24"/>
              </w:rPr>
              <w:t>投标人在中国有常驻的专业技术力量的维保机构并具有实施本项目维保的专业技术人员。</w:t>
            </w:r>
          </w:p>
          <w:p w14:paraId="6289D49C">
            <w:pPr>
              <w:spacing w:line="360" w:lineRule="auto"/>
              <w:rPr>
                <w:rFonts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由评标委员会成员独立进行客观、公正的评价，按照优、良、一般进行赋分，优得6分，良得4分，一般得2分。</w:t>
            </w:r>
          </w:p>
        </w:tc>
      </w:tr>
      <w:tr w14:paraId="46C51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805" w:type="dxa"/>
            <w:vMerge w:val="continue"/>
            <w:vAlign w:val="center"/>
          </w:tcPr>
          <w:p w14:paraId="3742315E">
            <w:pPr>
              <w:spacing w:line="360" w:lineRule="auto"/>
              <w:jc w:val="center"/>
              <w:rPr>
                <w:rFonts w:ascii="宋体" w:hAnsi="宋体" w:eastAsia="宋体" w:cs="宋体"/>
                <w:sz w:val="24"/>
                <w:szCs w:val="24"/>
              </w:rPr>
            </w:pPr>
          </w:p>
        </w:tc>
        <w:tc>
          <w:tcPr>
            <w:tcW w:w="427" w:type="dxa"/>
            <w:vAlign w:val="center"/>
          </w:tcPr>
          <w:p w14:paraId="6DB66CD4">
            <w:pPr>
              <w:spacing w:line="360" w:lineRule="auto"/>
              <w:jc w:val="center"/>
              <w:rPr>
                <w:rFonts w:ascii="宋体" w:hAnsi="宋体" w:eastAsia="宋体" w:cs="宋体"/>
                <w:sz w:val="24"/>
                <w:szCs w:val="24"/>
              </w:rPr>
            </w:pPr>
            <w:r>
              <w:rPr>
                <w:rFonts w:hint="eastAsia" w:ascii="宋体" w:hAnsi="宋体" w:eastAsia="宋体" w:cs="宋体"/>
                <w:sz w:val="24"/>
                <w:szCs w:val="24"/>
              </w:rPr>
              <w:t>9</w:t>
            </w:r>
          </w:p>
        </w:tc>
        <w:tc>
          <w:tcPr>
            <w:tcW w:w="1260" w:type="dxa"/>
            <w:vAlign w:val="center"/>
          </w:tcPr>
          <w:p w14:paraId="6827487C">
            <w:pPr>
              <w:spacing w:line="360" w:lineRule="auto"/>
              <w:rPr>
                <w:rFonts w:ascii="宋体" w:hAnsi="宋体" w:eastAsia="宋体" w:cs="宋体"/>
                <w:sz w:val="24"/>
                <w:szCs w:val="24"/>
              </w:rPr>
            </w:pPr>
            <w:r>
              <w:rPr>
                <w:rFonts w:hint="eastAsia" w:ascii="宋体" w:hAnsi="宋体" w:eastAsia="宋体" w:cs="宋体"/>
                <w:sz w:val="24"/>
                <w:szCs w:val="24"/>
              </w:rPr>
              <w:t>售后服务</w:t>
            </w:r>
          </w:p>
        </w:tc>
        <w:tc>
          <w:tcPr>
            <w:tcW w:w="748" w:type="dxa"/>
            <w:vAlign w:val="center"/>
          </w:tcPr>
          <w:p w14:paraId="7693131A">
            <w:pPr>
              <w:spacing w:line="360" w:lineRule="auto"/>
              <w:jc w:val="center"/>
              <w:rPr>
                <w:rFonts w:ascii="宋体" w:hAnsi="宋体" w:eastAsia="宋体" w:cs="宋体"/>
                <w:sz w:val="24"/>
                <w:szCs w:val="24"/>
              </w:rPr>
            </w:pPr>
            <w:r>
              <w:rPr>
                <w:rFonts w:hint="eastAsia" w:ascii="宋体" w:hAnsi="宋体" w:eastAsia="宋体" w:cs="宋体"/>
                <w:sz w:val="24"/>
                <w:szCs w:val="24"/>
              </w:rPr>
              <w:t>6</w:t>
            </w:r>
          </w:p>
        </w:tc>
        <w:tc>
          <w:tcPr>
            <w:tcW w:w="6023" w:type="dxa"/>
            <w:vAlign w:val="center"/>
          </w:tcPr>
          <w:p w14:paraId="1E126210">
            <w:pPr>
              <w:spacing w:line="360" w:lineRule="auto"/>
              <w:rPr>
                <w:rFonts w:ascii="宋体" w:hAnsi="宋体" w:eastAsia="宋体" w:cs="宋体"/>
                <w:sz w:val="24"/>
                <w:szCs w:val="24"/>
              </w:rPr>
            </w:pPr>
            <w:r>
              <w:rPr>
                <w:rFonts w:hint="eastAsia" w:ascii="宋体" w:hAnsi="宋体" w:eastAsia="宋体" w:cs="宋体"/>
                <w:sz w:val="24"/>
                <w:szCs w:val="24"/>
              </w:rPr>
              <w:t>售后服务及时周到，有相应的服务承诺和具体的保证措施。</w:t>
            </w:r>
          </w:p>
          <w:p w14:paraId="3095C626">
            <w:pPr>
              <w:spacing w:line="360" w:lineRule="auto"/>
              <w:rPr>
                <w:rFonts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由评标委员会成员独立进行客观、公正的评价，按照优、良、一般进行赋分，优得6分，良得4分，一般得2分。</w:t>
            </w:r>
          </w:p>
        </w:tc>
      </w:tr>
    </w:tbl>
    <w:p w14:paraId="0B6B6DDB">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评标方法</w:t>
      </w:r>
    </w:p>
    <w:p w14:paraId="75DE5F19">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a、若技术标评审出现总分并列时，比较产品技术与服务承诺部分综合得分，此分项得分高者排序在前；若产品技术与服务承诺综合得分仍相同，则由全体评委成员无记名投票，得票高者排序在前。</w:t>
      </w:r>
    </w:p>
    <w:p w14:paraId="21E41DEA">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b、评委打分超过得分界限或未按本方法赋分时，该评委的打分按废票处理。</w:t>
      </w:r>
    </w:p>
    <w:p w14:paraId="4F20F12E">
      <w:pPr>
        <w:ind w:firstLine="480" w:firstLineChars="200"/>
        <w:rPr>
          <w:rFonts w:ascii="宋体" w:hAnsi="宋体" w:cs="宋体"/>
          <w:color w:val="000000"/>
          <w:sz w:val="24"/>
          <w:szCs w:val="24"/>
        </w:rPr>
      </w:pPr>
      <w:r>
        <w:rPr>
          <w:rFonts w:hint="eastAsia" w:ascii="宋体" w:hAnsi="宋体" w:eastAsia="宋体" w:cs="宋体"/>
          <w:color w:val="000000"/>
          <w:sz w:val="24"/>
          <w:szCs w:val="24"/>
        </w:rPr>
        <w:t>c、评标过程中，若出现本办法以外的特殊情况时，将暂停评标，有关情况处理意见待招标工作小组确认后，再行评</w:t>
      </w:r>
      <w:r>
        <w:rPr>
          <w:rFonts w:hint="eastAsia" w:ascii="宋体" w:hAnsi="宋体" w:cs="宋体"/>
          <w:color w:val="000000"/>
          <w:sz w:val="24"/>
          <w:szCs w:val="24"/>
        </w:rPr>
        <w:t>定。</w:t>
      </w:r>
    </w:p>
    <w:tbl>
      <w:tblPr>
        <w:tblStyle w:val="3"/>
        <w:tblpPr w:leftFromText="180" w:rightFromText="180" w:vertAnchor="text" w:horzAnchor="page" w:tblpXSpec="center" w:tblpY="345"/>
        <w:tblOverlap w:val="never"/>
        <w:tblW w:w="9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9000"/>
      </w:tblGrid>
      <w:tr w14:paraId="453AD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4C8228A4">
            <w:pPr>
              <w:spacing w:line="420" w:lineRule="exact"/>
              <w:jc w:val="center"/>
              <w:rPr>
                <w:rFonts w:ascii="宋体" w:hAnsi="宋体"/>
              </w:rPr>
            </w:pPr>
            <w:r>
              <w:rPr>
                <w:rFonts w:hint="eastAsia" w:ascii="宋体" w:hAnsi="宋体" w:eastAsia="宋体" w:cs="宋体"/>
                <w:b/>
                <w:sz w:val="28"/>
                <w:szCs w:val="28"/>
              </w:rPr>
              <w:t>二</w:t>
            </w:r>
          </w:p>
        </w:tc>
        <w:tc>
          <w:tcPr>
            <w:tcW w:w="9000" w:type="dxa"/>
            <w:tcBorders>
              <w:top w:val="single" w:color="auto" w:sz="4" w:space="0"/>
              <w:left w:val="single" w:color="auto" w:sz="4" w:space="0"/>
              <w:bottom w:val="single" w:color="auto" w:sz="4" w:space="0"/>
              <w:right w:val="single" w:color="auto" w:sz="4" w:space="0"/>
            </w:tcBorders>
            <w:noWrap/>
            <w:vAlign w:val="center"/>
          </w:tcPr>
          <w:p w14:paraId="54D0B5B1">
            <w:pPr>
              <w:spacing w:line="420" w:lineRule="exact"/>
              <w:rPr>
                <w:rFonts w:ascii="宋体" w:hAnsi="宋体"/>
                <w:bCs/>
              </w:rPr>
            </w:pPr>
            <w:r>
              <w:rPr>
                <w:rFonts w:hint="eastAsia" w:ascii="宋体" w:hAnsi="宋体" w:eastAsia="宋体" w:cs="宋体"/>
                <w:b/>
                <w:sz w:val="28"/>
                <w:szCs w:val="28"/>
              </w:rPr>
              <w:t>商务标</w:t>
            </w:r>
          </w:p>
        </w:tc>
      </w:tr>
      <w:tr w14:paraId="53049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0" w:hRule="atLeast"/>
          <w:jc w:val="center"/>
        </w:trPr>
        <w:tc>
          <w:tcPr>
            <w:tcW w:w="9825" w:type="dxa"/>
            <w:gridSpan w:val="2"/>
            <w:tcBorders>
              <w:top w:val="single" w:color="auto" w:sz="4" w:space="0"/>
              <w:left w:val="single" w:color="auto" w:sz="4" w:space="0"/>
              <w:bottom w:val="single" w:color="auto" w:sz="4" w:space="0"/>
              <w:right w:val="single" w:color="auto" w:sz="4" w:space="0"/>
            </w:tcBorders>
            <w:noWrap/>
            <w:vAlign w:val="center"/>
          </w:tcPr>
          <w:p w14:paraId="58C95CC9">
            <w:pPr>
              <w:spacing w:line="360" w:lineRule="auto"/>
              <w:rPr>
                <w:rFonts w:ascii="宋体" w:hAnsi="宋体" w:eastAsia="宋体" w:cs="Times New Roman"/>
                <w:bCs/>
                <w:sz w:val="24"/>
                <w:szCs w:val="24"/>
              </w:rPr>
            </w:pPr>
            <w:r>
              <w:rPr>
                <w:rFonts w:hint="eastAsia" w:ascii="宋体" w:hAnsi="宋体" w:eastAsia="宋体" w:cs="Times New Roman"/>
                <w:bCs/>
                <w:sz w:val="24"/>
                <w:szCs w:val="24"/>
              </w:rPr>
              <w:t xml:space="preserve">评标基准价： </w:t>
            </w:r>
          </w:p>
          <w:p w14:paraId="41E77FE7">
            <w:pPr>
              <w:spacing w:line="360" w:lineRule="auto"/>
              <w:rPr>
                <w:rFonts w:ascii="宋体" w:hAnsi="宋体" w:eastAsia="宋体" w:cs="Times New Roman"/>
                <w:bCs/>
                <w:sz w:val="24"/>
                <w:szCs w:val="24"/>
              </w:rPr>
            </w:pPr>
            <w:r>
              <w:rPr>
                <w:rFonts w:hint="eastAsia" w:ascii="宋体" w:hAnsi="宋体" w:eastAsia="宋体" w:cs="Times New Roman"/>
                <w:bCs/>
                <w:sz w:val="24"/>
                <w:szCs w:val="24"/>
              </w:rPr>
              <w:t>1、评标基准价为本轮次所有合理有效的最终投标报价的最低价。</w:t>
            </w:r>
          </w:p>
          <w:p w14:paraId="389D0EB8">
            <w:pPr>
              <w:spacing w:line="360" w:lineRule="auto"/>
              <w:rPr>
                <w:rFonts w:ascii="宋体" w:hAnsi="宋体" w:eastAsia="宋体" w:cs="Times New Roman"/>
                <w:bCs/>
                <w:sz w:val="24"/>
                <w:szCs w:val="24"/>
              </w:rPr>
            </w:pPr>
            <w:r>
              <w:rPr>
                <w:rFonts w:hint="eastAsia" w:ascii="宋体" w:hAnsi="宋体" w:eastAsia="宋体" w:cs="Times New Roman"/>
                <w:bCs/>
                <w:sz w:val="24"/>
                <w:szCs w:val="24"/>
              </w:rPr>
              <w:t>2、有效的评标基准价得100分；其他投标人的价格得分按下列公式计算：投标价格得分=100×（评标基准价/投标报价）。</w:t>
            </w:r>
          </w:p>
          <w:p w14:paraId="1B350963">
            <w:pPr>
              <w:spacing w:line="420" w:lineRule="exact"/>
              <w:rPr>
                <w:rFonts w:ascii="宋体" w:hAnsi="宋体"/>
                <w:bCs/>
              </w:rPr>
            </w:pPr>
            <w:r>
              <w:rPr>
                <w:rFonts w:hint="eastAsia" w:ascii="宋体" w:hAnsi="宋体" w:eastAsia="宋体" w:cs="Times New Roman"/>
                <w:bCs/>
                <w:sz w:val="24"/>
                <w:szCs w:val="24"/>
              </w:rPr>
              <w:t>注：得分值取小数点后两位，不足一个百分点的，按照四舍五入法计算。</w:t>
            </w:r>
          </w:p>
        </w:tc>
      </w:tr>
      <w:tr w14:paraId="2F2D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atLeast"/>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489A1C53">
            <w:pPr>
              <w:spacing w:line="420" w:lineRule="exact"/>
              <w:jc w:val="center"/>
              <w:rPr>
                <w:rFonts w:ascii="宋体" w:hAnsi="宋体"/>
              </w:rPr>
            </w:pPr>
            <w:r>
              <w:rPr>
                <w:rFonts w:hint="eastAsia" w:ascii="宋体" w:hAnsi="宋体" w:eastAsia="宋体" w:cs="宋体"/>
                <w:b/>
                <w:sz w:val="28"/>
                <w:szCs w:val="28"/>
              </w:rPr>
              <w:t>三</w:t>
            </w:r>
          </w:p>
        </w:tc>
        <w:tc>
          <w:tcPr>
            <w:tcW w:w="9000" w:type="dxa"/>
            <w:tcBorders>
              <w:top w:val="single" w:color="auto" w:sz="4" w:space="0"/>
              <w:left w:val="single" w:color="auto" w:sz="4" w:space="0"/>
              <w:bottom w:val="single" w:color="auto" w:sz="4" w:space="0"/>
              <w:right w:val="single" w:color="auto" w:sz="4" w:space="0"/>
            </w:tcBorders>
            <w:noWrap/>
            <w:vAlign w:val="center"/>
          </w:tcPr>
          <w:p w14:paraId="41132A20">
            <w:pPr>
              <w:spacing w:line="420" w:lineRule="exact"/>
              <w:rPr>
                <w:rFonts w:ascii="宋体" w:hAnsi="宋体"/>
                <w:bCs/>
              </w:rPr>
            </w:pPr>
            <w:r>
              <w:rPr>
                <w:rFonts w:hint="eastAsia" w:ascii="宋体" w:hAnsi="宋体" w:eastAsia="宋体" w:cs="宋体"/>
                <w:b/>
                <w:sz w:val="28"/>
                <w:szCs w:val="28"/>
              </w:rPr>
              <w:t>综合得分</w:t>
            </w:r>
          </w:p>
        </w:tc>
      </w:tr>
      <w:tr w14:paraId="7EFE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atLeast"/>
          <w:jc w:val="center"/>
        </w:trPr>
        <w:tc>
          <w:tcPr>
            <w:tcW w:w="9825" w:type="dxa"/>
            <w:gridSpan w:val="2"/>
            <w:tcBorders>
              <w:top w:val="single" w:color="auto" w:sz="4" w:space="0"/>
              <w:left w:val="single" w:color="auto" w:sz="4" w:space="0"/>
              <w:bottom w:val="single" w:color="auto" w:sz="4" w:space="0"/>
              <w:right w:val="single" w:color="auto" w:sz="4" w:space="0"/>
            </w:tcBorders>
            <w:noWrap/>
            <w:vAlign w:val="center"/>
          </w:tcPr>
          <w:p w14:paraId="28ACB92C">
            <w:pPr>
              <w:spacing w:line="420" w:lineRule="exact"/>
              <w:rPr>
                <w:rFonts w:ascii="宋体" w:hAnsi="宋体"/>
                <w:bCs/>
              </w:rPr>
            </w:pPr>
            <w:r>
              <w:rPr>
                <w:rFonts w:hint="eastAsia" w:ascii="宋体" w:hAnsi="Times New Roman" w:eastAsia="宋体" w:cs="Times New Roman"/>
                <w:b/>
                <w:sz w:val="24"/>
                <w:szCs w:val="24"/>
              </w:rPr>
              <w:t>综合得分=技术分×30%＋商务标得分×70%</w:t>
            </w:r>
          </w:p>
        </w:tc>
      </w:tr>
    </w:tbl>
    <w:p w14:paraId="2D447319">
      <w:pPr>
        <w:spacing w:line="360" w:lineRule="auto"/>
        <w:rPr>
          <w:rFonts w:ascii="仿宋_GB2312" w:hAnsi="仿宋_GB2312" w:eastAsia="仿宋_GB2312" w:cs="仿宋_GB2312"/>
          <w:b/>
          <w:sz w:val="24"/>
          <w:szCs w:val="24"/>
        </w:rPr>
      </w:pPr>
    </w:p>
    <w:p w14:paraId="6B4D30FC">
      <w:pPr>
        <w:pStyle w:val="2"/>
        <w:spacing w:after="120"/>
      </w:pPr>
    </w:p>
    <w:p w14:paraId="5A75369F">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投标文件包含《投标文件（资质标）》、《投标文件（技术标）》、《投标文件（商务标）》（开标一览表），共计三个文件。</w:t>
      </w:r>
    </w:p>
    <w:p w14:paraId="1A2BD8FD">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应标资格审查：在“中国重汽e采通”应标报名时，按照第三部分第三条投标文件组成资格证明文件中的1.1-1.11准备资料，上传完毕后，等待审核；</w:t>
      </w:r>
    </w:p>
    <w:p w14:paraId="2D626890">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通过应标资格审查的单位进入投标环节，按照“SRM系统供应商用户手册（附件16）”，在重汽e采通平台投递电子标书（包含资质标、技术标、商务标）；没有通过应标资质审查的单位不能进入投标环节；</w:t>
      </w:r>
    </w:p>
    <w:p w14:paraId="6ADD936A">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资质标评审：资质标审核通过的单位，可以进入公开唱标环节；</w:t>
      </w:r>
    </w:p>
    <w:p w14:paraId="4A430E8C">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公开唱标：公示资质标入围单位的开标价格及商务条款响应情况；</w:t>
      </w:r>
    </w:p>
    <w:p w14:paraId="72CBC3C6">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技术标评审：技术标评标专家组，通过重汽e采通，对各投标人的《投标文件（技术标）》进行综合评审；评审期间产生的技术澄清均由投标人在重汽e采通平台内完成提交；评审合格的单位进入商务标评审环节，评审不合格的单位被淘汰；具体技术标评分标准见附件14；</w:t>
      </w:r>
    </w:p>
    <w:p w14:paraId="265A39D5">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商务标评审：商务条款相应确认→价格澄清→商务标评审；评审期间产生的商务价格澄清均由投标人在重汽e采通平台限时内完成提交；</w:t>
      </w:r>
    </w:p>
    <w:p w14:paraId="7EB96C28">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注意：投标人均需要自带笔记本电脑在重汽e采通进行自主投标和提交澄清函；投标和提交澄清函均有时间限制，超时未提交的按无效处理。</w:t>
      </w:r>
    </w:p>
    <w:p w14:paraId="2BAF3AE3">
      <w:pPr>
        <w:numPr>
          <w:ilvl w:val="0"/>
          <w:numId w:val="1"/>
        </w:numPr>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中标人确定：综合评标法，得分=技术标×30%+商务标×70% ，</w:t>
      </w:r>
      <w:r>
        <w:rPr>
          <w:rFonts w:hint="eastAsia" w:ascii="仿宋_GB2312" w:hAnsi="仿宋_GB2312" w:eastAsia="仿宋_GB2312" w:cs="仿宋_GB2312"/>
          <w:b/>
          <w:sz w:val="24"/>
          <w:szCs w:val="24"/>
          <w:highlight w:val="green"/>
        </w:rPr>
        <w:t>得分最高者为中标人</w:t>
      </w:r>
      <w:r>
        <w:rPr>
          <w:rFonts w:hint="eastAsia" w:ascii="仿宋_GB2312" w:hAnsi="仿宋_GB2312" w:eastAsia="仿宋_GB2312" w:cs="仿宋_GB2312"/>
          <w:b/>
          <w:sz w:val="24"/>
          <w:szCs w:val="24"/>
        </w:rPr>
        <w:t>。</w:t>
      </w:r>
    </w:p>
    <w:p w14:paraId="2CF0795C">
      <w:r>
        <w:rPr>
          <w:rFonts w:hint="eastAsia" w:ascii="宋体" w:hAnsi="宋体" w:eastAsia="宋体" w:cs="宋体"/>
          <w:color w:val="000000"/>
          <w:sz w:val="24"/>
          <w:szCs w:val="24"/>
        </w:rPr>
        <w:t>本项目只产生一个中标人。中标人签订合同前须进行最终审查。最终审查的对象是投标项目的中标候选人。最终审查的内容是对中标候选人的经营状况、服务质量、资格、信誉以及招标人认为有必要了解的其它问题作进一步的考查及后审。最终审查的方式，根据需要采取问询或实地查证等方式。如审查结果不符合成交条件的，则本次评标作废或变更意向中标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5F77B"/>
    <w:multiLevelType w:val="singleLevel"/>
    <w:tmpl w:val="2E05F77B"/>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E07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before="120" w:afterLines="50" w:line="280" w:lineRule="atLeast"/>
      <w:textAlignment w:val="baseline"/>
    </w:pPr>
    <w:rPr>
      <w:rFonts w:ascii="Calibri" w:hAnsi="Calibri" w:eastAsia="新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2025-12-17T06:08:11Z</dcterms:created>
  <dc:creator>Admin</dc:creator>
  <cp:lastModifiedBy>GGboy</cp:lastModifiedBy>
  <dcterms:modified xsi:type="dcterms:W3CDTF">2025-12-17T06:08:43Z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eyJoZGlkIjoiNGVjZWU0MDQwYWExMWJhZjAzYzE5OGJiNDI1ZWIxODciLCJ1c2VySWQiOiI2MzI0NTY3OTUifQ==</vt:lpwstr>
  </property>
  <property fmtid="{D5CDD505-2E9C-101B-9397-08002B2CF9AE}" pid="4" name="ICV">
    <vt:lpwstr>1DAB3555AA514ED4A81B227426CDF6EC_12</vt:lpwstr>
  </property>
</Properties>
</file>