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4"/>
        <w:widowControl/>
        <w:jc w:val="center"/>
        <w:rPr>
          <w:i w:val="0"/>
          <w:iCs/>
          <w:sz w:val="32"/>
          <w:szCs w:val="32"/>
          <w:lang w:val="en-US"/>
        </w:rPr>
      </w:pPr>
      <w:bookmarkStart w:id="0" w:name="_Toc12866"/>
      <w:r>
        <w:rPr>
          <w:rFonts w:hint="eastAsia" w:cs="宋体"/>
          <w:i w:val="0"/>
          <w:iCs/>
          <w:sz w:val="32"/>
          <w:szCs w:val="32"/>
          <w:lang w:val="en-US" w:eastAsia="zh-CN"/>
        </w:rPr>
        <w:t>2026年员工班车服务项目招标公告</w:t>
      </w:r>
      <w:bookmarkEnd w:id="0"/>
    </w:p>
    <w:p w14:paraId="2538CB01">
      <w:pPr>
        <w:pStyle w:val="4"/>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ZBGL2026010039</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2026-1-23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2B06C37A">
      <w:pPr>
        <w:spacing w:before="156" w:beforeLines="50" w:after="156" w:afterLines="50" w:line="360" w:lineRule="auto"/>
        <w:ind w:firstLine="480" w:firstLineChars="200"/>
        <w:rPr>
          <w:rFonts w:ascii="宋体" w:hAnsi="Courier New"/>
          <w:sz w:val="24"/>
          <w:szCs w:val="24"/>
        </w:rPr>
      </w:pPr>
      <w:r>
        <w:rPr>
          <w:rFonts w:hint="eastAsia" w:ascii="宋体" w:hAnsi="Courier New"/>
          <w:sz w:val="24"/>
          <w:szCs w:val="24"/>
        </w:rPr>
        <w:t>招标内容：中国重汽集团杭州发动机有限公司2</w:t>
      </w:r>
      <w:r>
        <w:rPr>
          <w:rFonts w:ascii="宋体" w:hAnsi="Courier New"/>
          <w:sz w:val="24"/>
          <w:szCs w:val="24"/>
        </w:rPr>
        <w:t>026</w:t>
      </w:r>
      <w:r>
        <w:rPr>
          <w:rFonts w:hint="eastAsia" w:ascii="宋体" w:hAnsi="Courier New"/>
          <w:sz w:val="24"/>
          <w:szCs w:val="24"/>
        </w:rPr>
        <w:t>年员工班车服务项目</w:t>
      </w:r>
    </w:p>
    <w:p w14:paraId="0A9C5E6D">
      <w:pPr>
        <w:rPr>
          <w:rFonts w:hint="default" w:asciiTheme="majorEastAsia" w:hAnsiTheme="majorEastAsia" w:eastAsiaTheme="majorEastAsia" w:cstheme="majorEastAsia"/>
          <w:sz w:val="24"/>
          <w:szCs w:val="24"/>
          <w:lang w:val="en-US" w:eastAsia="zh-CN"/>
        </w:rPr>
      </w:pP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2026年员工班车服务项目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0DA0B67">
      <w:pPr>
        <w:ind w:firstLine="480"/>
        <w:rPr>
          <w:rFonts w:hint="eastAsia" w:ascii="宋体" w:hAnsi="Courier New" w:eastAsiaTheme="minorEastAsia"/>
          <w:lang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宋体" w:hAnsi="Courier New"/>
        </w:rPr>
        <w:t>公司为了向员工提供上、下班通勤便利，现开展2026年员工班车服务项目招投标工作</w:t>
      </w:r>
      <w:r>
        <w:rPr>
          <w:rFonts w:hint="eastAsia" w:ascii="宋体" w:hAnsi="Courier New"/>
          <w:lang w:eastAsia="zh-CN"/>
        </w:rPr>
        <w:t>。</w:t>
      </w:r>
    </w:p>
    <w:p w14:paraId="0F94CFE6">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36798CA6">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w:t>
      </w:r>
      <w:r>
        <w:rPr>
          <w:rFonts w:ascii="宋体" w:hAnsi="Courier New"/>
          <w:bCs/>
          <w:sz w:val="24"/>
          <w:szCs w:val="24"/>
        </w:rPr>
        <w:t>1</w:t>
      </w:r>
      <w:r>
        <w:rPr>
          <w:rFonts w:hint="eastAsia" w:ascii="宋体" w:hAnsi="Courier New"/>
          <w:bCs/>
          <w:sz w:val="24"/>
          <w:szCs w:val="24"/>
        </w:rPr>
        <w:t>)投标人须遵守《中华人民共和国招标投标法》、《中华人民共和国民法典》及其它有关的法律和法规；为中华人民共和国境内注册的独立法人机构，具有独立承担民事责任能力；</w:t>
      </w:r>
    </w:p>
    <w:p w14:paraId="3CEC32E6">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w:t>
      </w:r>
      <w:r>
        <w:rPr>
          <w:rFonts w:ascii="宋体" w:hAnsi="Courier New"/>
          <w:bCs/>
          <w:sz w:val="24"/>
          <w:szCs w:val="24"/>
        </w:rPr>
        <w:t>2</w:t>
      </w:r>
      <w:r>
        <w:rPr>
          <w:rFonts w:hint="eastAsia" w:ascii="宋体" w:hAnsi="Courier New"/>
          <w:bCs/>
          <w:sz w:val="24"/>
          <w:szCs w:val="24"/>
        </w:rPr>
        <w:t>)公司成立三年以上（以营业执照成立日期到开标当日满三年为准）；注册资金不少于</w:t>
      </w:r>
      <w:r>
        <w:rPr>
          <w:rFonts w:ascii="宋体" w:hAnsi="Courier New"/>
          <w:bCs/>
          <w:sz w:val="24"/>
          <w:szCs w:val="24"/>
        </w:rPr>
        <w:t>300</w:t>
      </w:r>
      <w:r>
        <w:rPr>
          <w:rFonts w:hint="eastAsia" w:ascii="宋体" w:hAnsi="Courier New"/>
          <w:bCs/>
          <w:sz w:val="24"/>
          <w:szCs w:val="24"/>
        </w:rPr>
        <w:t>万元人民币。</w:t>
      </w:r>
    </w:p>
    <w:p w14:paraId="4B8CA2AA">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w:t>
      </w:r>
      <w:r>
        <w:rPr>
          <w:rFonts w:ascii="宋体" w:hAnsi="Courier New"/>
          <w:bCs/>
          <w:sz w:val="24"/>
          <w:szCs w:val="24"/>
        </w:rPr>
        <w:t>3</w:t>
      </w:r>
      <w:r>
        <w:rPr>
          <w:rFonts w:hint="eastAsia" w:ascii="宋体" w:hAnsi="Courier New"/>
          <w:bCs/>
          <w:sz w:val="24"/>
          <w:szCs w:val="24"/>
        </w:rPr>
        <w:t>)具有良好的商业信誉和健全的财务会计制度，财务状况和市场行为良好，没有处于被有权机关吊销营业执照、吊销资质、停业整顿、取消投标资格以及财产被接管、冻结或进入破产程序等,</w:t>
      </w:r>
      <w:r>
        <w:rPr>
          <w:rFonts w:ascii="宋体" w:hAnsi="Courier New"/>
          <w:bCs/>
          <w:sz w:val="24"/>
          <w:szCs w:val="24"/>
        </w:rPr>
        <w:t>提供相关信用等级和完税证明</w:t>
      </w:r>
      <w:r>
        <w:rPr>
          <w:rFonts w:hint="eastAsia" w:ascii="宋体" w:hAnsi="Courier New"/>
          <w:bCs/>
          <w:sz w:val="24"/>
          <w:szCs w:val="24"/>
        </w:rPr>
        <w:t>；</w:t>
      </w:r>
    </w:p>
    <w:p w14:paraId="11EB7E0A">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w:t>
      </w:r>
      <w:r>
        <w:rPr>
          <w:rFonts w:ascii="宋体" w:hAnsi="Courier New"/>
          <w:bCs/>
          <w:sz w:val="24"/>
          <w:szCs w:val="24"/>
        </w:rPr>
        <w:t>4</w:t>
      </w:r>
      <w:r>
        <w:rPr>
          <w:rFonts w:hint="eastAsia" w:ascii="宋体" w:hAnsi="Courier New"/>
          <w:bCs/>
          <w:sz w:val="24"/>
          <w:szCs w:val="24"/>
        </w:rPr>
        <w:t>)</w:t>
      </w:r>
      <w:r>
        <w:rPr>
          <w:rFonts w:ascii="宋体" w:hAnsi="Courier New"/>
          <w:bCs/>
          <w:sz w:val="24"/>
          <w:szCs w:val="24"/>
        </w:rPr>
        <w:t xml:space="preserve"> 企业最近半年完税证明、信用证明材料（中国人民银行信用代码证+征信报告）</w:t>
      </w:r>
      <w:r>
        <w:rPr>
          <w:rFonts w:hint="eastAsia" w:ascii="宋体" w:hAnsi="Courier New"/>
          <w:bCs/>
          <w:sz w:val="24"/>
          <w:szCs w:val="24"/>
        </w:rPr>
        <w:t>，</w:t>
      </w:r>
      <w:r>
        <w:rPr>
          <w:rFonts w:ascii="宋体" w:hAnsi="Courier New"/>
          <w:bCs/>
          <w:sz w:val="24"/>
          <w:szCs w:val="24"/>
        </w:rPr>
        <w:t>年度纳税信用评价信息（可从电子税务局查询截图，需加盖公章）</w:t>
      </w:r>
      <w:r>
        <w:rPr>
          <w:rFonts w:hint="eastAsia" w:ascii="宋体" w:hAnsi="Courier New"/>
          <w:bCs/>
          <w:sz w:val="24"/>
          <w:szCs w:val="24"/>
        </w:rPr>
        <w:t>；</w:t>
      </w:r>
    </w:p>
    <w:p w14:paraId="1F15D4B2">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w:t>
      </w:r>
      <w:r>
        <w:rPr>
          <w:rFonts w:ascii="宋体" w:hAnsi="Courier New"/>
          <w:bCs/>
          <w:sz w:val="24"/>
          <w:szCs w:val="24"/>
        </w:rPr>
        <w:t>5</w:t>
      </w:r>
      <w:r>
        <w:rPr>
          <w:rFonts w:hint="eastAsia" w:ascii="宋体" w:hAnsi="Courier New"/>
          <w:bCs/>
          <w:sz w:val="24"/>
          <w:szCs w:val="24"/>
        </w:rPr>
        <w:t>)具有正规的营业执照、</w:t>
      </w:r>
      <w:r>
        <w:rPr>
          <w:rFonts w:hint="eastAsia" w:ascii="宋体" w:hAnsi="Courier New"/>
          <w:b/>
          <w:color w:val="FF0000"/>
          <w:sz w:val="24"/>
          <w:szCs w:val="24"/>
        </w:rPr>
        <w:t>取得《道路运输经营许可证》（必要条件）</w:t>
      </w:r>
      <w:r>
        <w:rPr>
          <w:rFonts w:hint="eastAsia" w:ascii="宋体" w:hAnsi="Courier New"/>
          <w:bCs/>
          <w:sz w:val="24"/>
          <w:szCs w:val="24"/>
        </w:rPr>
        <w:t>、自有可运营的大客车辆不少于30辆，车辆具有统一性、所配置车辆车龄在5年以内；</w:t>
      </w:r>
    </w:p>
    <w:p w14:paraId="5D3CFD2B">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w:t>
      </w:r>
      <w:r>
        <w:rPr>
          <w:rFonts w:ascii="宋体" w:hAnsi="Courier New"/>
          <w:bCs/>
          <w:sz w:val="24"/>
          <w:szCs w:val="24"/>
        </w:rPr>
        <w:t>6</w:t>
      </w:r>
      <w:r>
        <w:rPr>
          <w:rFonts w:hint="eastAsia" w:ascii="宋体" w:hAnsi="Courier New"/>
          <w:bCs/>
          <w:sz w:val="24"/>
          <w:szCs w:val="24"/>
        </w:rPr>
        <w:t>)</w:t>
      </w:r>
      <w:r>
        <w:rPr>
          <w:rFonts w:ascii="宋体" w:hAnsi="Courier New"/>
          <w:bCs/>
          <w:sz w:val="24"/>
          <w:szCs w:val="24"/>
        </w:rPr>
        <w:t>企业对外担保说明（写明贵单位对外有无对外担保和质押业务，需加盖公章）</w:t>
      </w:r>
    </w:p>
    <w:p w14:paraId="1EAA6A94">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w:t>
      </w:r>
      <w:r>
        <w:rPr>
          <w:rFonts w:ascii="宋体" w:hAnsi="Courier New"/>
          <w:bCs/>
          <w:sz w:val="24"/>
          <w:szCs w:val="24"/>
        </w:rPr>
        <w:t>7</w:t>
      </w:r>
      <w:r>
        <w:rPr>
          <w:rFonts w:hint="eastAsia" w:ascii="宋体" w:hAnsi="Courier New"/>
          <w:bCs/>
          <w:sz w:val="24"/>
          <w:szCs w:val="24"/>
        </w:rPr>
        <w:t>)本项目不接受联合体投标；</w:t>
      </w:r>
    </w:p>
    <w:p w14:paraId="49EB6F09">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w:t>
      </w:r>
      <w:r>
        <w:rPr>
          <w:rFonts w:ascii="宋体" w:hAnsi="Courier New"/>
          <w:bCs/>
          <w:sz w:val="24"/>
          <w:szCs w:val="24"/>
        </w:rPr>
        <w:t>8</w:t>
      </w:r>
      <w:r>
        <w:rPr>
          <w:rFonts w:hint="eastAsia" w:ascii="宋体" w:hAnsi="Courier New"/>
          <w:bCs/>
          <w:sz w:val="24"/>
          <w:szCs w:val="24"/>
        </w:rPr>
        <w:t>) 在“国家企业信用信息公示系统”、“中国执行信息公开网”、“信用中国”、“天眼查”“裁判文书网”等信息平台中，无行政处罚及失信记录等信息；（被列入“黑名单”的注册供应商，在处罚有效期内，资格审查时将不予以通过）；</w:t>
      </w:r>
      <w:r>
        <w:rPr>
          <w:rFonts w:ascii="宋体" w:hAnsi="Courier New"/>
          <w:bCs/>
          <w:sz w:val="24"/>
          <w:szCs w:val="24"/>
        </w:rPr>
        <w:t xml:space="preserve"> </w:t>
      </w:r>
    </w:p>
    <w:p w14:paraId="3D9F49CA">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w:t>
      </w:r>
      <w:r>
        <w:rPr>
          <w:rFonts w:ascii="宋体" w:hAnsi="Courier New"/>
          <w:bCs/>
          <w:sz w:val="24"/>
          <w:szCs w:val="24"/>
        </w:rPr>
        <w:t>9</w:t>
      </w:r>
      <w:r>
        <w:rPr>
          <w:rFonts w:hint="eastAsia" w:ascii="宋体" w:hAnsi="Courier New"/>
          <w:bCs/>
          <w:sz w:val="24"/>
          <w:szCs w:val="24"/>
        </w:rPr>
        <w:t>)未被中国重汽集团及其关联公司列入黑名单，</w:t>
      </w:r>
      <w:r>
        <w:rPr>
          <w:rFonts w:ascii="宋体" w:hAnsi="Courier New"/>
          <w:bCs/>
          <w:sz w:val="24"/>
          <w:szCs w:val="24"/>
        </w:rPr>
        <w:t>供方的直接或间接股东、法定代表人、董事、监事、高管非重汽员工及其亲属</w:t>
      </w:r>
      <w:r>
        <w:rPr>
          <w:rFonts w:hint="eastAsia" w:ascii="宋体" w:hAnsi="Courier New"/>
          <w:bCs/>
          <w:sz w:val="24"/>
          <w:szCs w:val="24"/>
        </w:rPr>
        <w:t>；</w:t>
      </w:r>
    </w:p>
    <w:p w14:paraId="17630148">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w:t>
      </w:r>
      <w:r>
        <w:rPr>
          <w:rFonts w:ascii="宋体" w:hAnsi="Courier New"/>
          <w:bCs/>
          <w:sz w:val="24"/>
          <w:szCs w:val="24"/>
        </w:rPr>
        <w:t>10</w:t>
      </w:r>
      <w:r>
        <w:rPr>
          <w:rFonts w:hint="eastAsia" w:ascii="宋体" w:hAnsi="Courier New"/>
          <w:bCs/>
          <w:sz w:val="24"/>
          <w:szCs w:val="24"/>
        </w:rPr>
        <w:t>)投标人须认可招标人的工作指令，包括节、假日能正常开展工作的要求；</w:t>
      </w:r>
    </w:p>
    <w:p w14:paraId="6C693F1A">
      <w:pPr>
        <w:spacing w:before="156" w:beforeLines="50" w:after="156" w:afterLines="50" w:line="360" w:lineRule="auto"/>
        <w:ind w:firstLine="480" w:firstLineChars="200"/>
        <w:rPr>
          <w:rFonts w:ascii="宋体" w:hAnsi="Courier New"/>
          <w:bCs/>
          <w:sz w:val="24"/>
          <w:szCs w:val="24"/>
        </w:rPr>
      </w:pPr>
      <w:r>
        <w:rPr>
          <w:rFonts w:hint="eastAsia" w:ascii="宋体" w:hAnsi="Courier New"/>
          <w:bCs/>
          <w:sz w:val="24"/>
          <w:szCs w:val="24"/>
        </w:rPr>
        <w:t>(1</w:t>
      </w:r>
      <w:r>
        <w:rPr>
          <w:rFonts w:ascii="宋体" w:hAnsi="Courier New"/>
          <w:bCs/>
          <w:sz w:val="24"/>
          <w:szCs w:val="24"/>
        </w:rPr>
        <w:t>1</w:t>
      </w:r>
      <w:r>
        <w:rPr>
          <w:rFonts w:hint="eastAsia" w:ascii="宋体" w:hAnsi="Courier New"/>
          <w:bCs/>
          <w:sz w:val="24"/>
          <w:szCs w:val="24"/>
        </w:rPr>
        <w:t>)投标人必须是最终投标、签订合同的单位，不得以任何理由将已中标项目转让。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1DE0400">
      <w:pPr>
        <w:pStyle w:val="6"/>
        <w:spacing w:before="156" w:after="156" w:line="360" w:lineRule="auto"/>
        <w:ind w:firstLine="420" w:firstLineChars="200"/>
        <w:rPr>
          <w:rFonts w:ascii="Perpetua" w:hAnsi="Perpetua"/>
          <w:szCs w:val="21"/>
          <w:shd w:val="clear" w:color="auto" w:fill="FFFFFF"/>
        </w:rPr>
      </w:pPr>
      <w:r>
        <w:rPr>
          <w:rFonts w:hint="eastAsia" w:hAnsi="宋体"/>
        </w:rPr>
        <w:t>（12）</w:t>
      </w:r>
      <w:r>
        <w:rPr>
          <w:rFonts w:ascii="Perpetua" w:hAnsi="Perpetua"/>
          <w:szCs w:val="21"/>
          <w:shd w:val="clear" w:color="auto" w:fill="FFFFFF"/>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ascii="Perpetua" w:hAnsi="Perpetua"/>
          <w:szCs w:val="21"/>
          <w:shd w:val="clear" w:color="auto" w:fill="FFFFFF"/>
        </w:rPr>
        <w:t>；</w:t>
      </w:r>
    </w:p>
    <w:p w14:paraId="7F981D34">
      <w:pPr>
        <w:pStyle w:val="6"/>
        <w:spacing w:before="156" w:after="156" w:line="360" w:lineRule="auto"/>
        <w:ind w:firstLine="420" w:firstLineChars="200"/>
      </w:pPr>
      <w:r>
        <w:rPr>
          <w:rFonts w:hint="eastAsia" w:hAnsi="宋体"/>
        </w:rPr>
        <w:t>（13）</w:t>
      </w:r>
      <w:r>
        <w:rPr>
          <w:rFonts w:hint="eastAsia"/>
        </w:rPr>
        <w:t>投标人须具有履行合同所必须的车辆、财务、技术、服务方面的资质和能力；</w:t>
      </w:r>
    </w:p>
    <w:p w14:paraId="0C6711FC">
      <w:pPr>
        <w:pStyle w:val="6"/>
        <w:spacing w:before="156" w:after="156" w:line="360" w:lineRule="auto"/>
        <w:ind w:firstLine="420" w:firstLineChars="200"/>
      </w:pPr>
      <w:r>
        <w:rPr>
          <w:rFonts w:hint="eastAsia" w:hAnsi="宋体"/>
        </w:rPr>
        <w:t>（14）</w:t>
      </w:r>
      <w:r>
        <w:rPr>
          <w:rFonts w:hint="eastAsia"/>
        </w:rPr>
        <w:t>投标人须具有完全履行招标文件的所有要求的能力；</w:t>
      </w:r>
      <w:r>
        <w:rPr>
          <w:rFonts w:hint="eastAsia" w:ascii="宋体" w:hAnsi="宋体" w:eastAsia="宋体" w:cs="宋体"/>
          <w:b w:val="0"/>
          <w:bCs w:val="0"/>
          <w:i w:val="0"/>
          <w:iCs w:val="0"/>
          <w:caps w:val="0"/>
          <w:color w:val="111111"/>
          <w:spacing w:val="0"/>
          <w:sz w:val="24"/>
          <w:szCs w:val="24"/>
          <w:shd w:val="clear" w:fill="F6F7F8"/>
        </w:rPr>
        <w:t>无招标违规、谎报年度报告信息、提供虚假资质资料等行为或其他行政处罚记录；近三年内在经营活动中无与本项目有关的违法及重大违规情况。</w:t>
      </w:r>
    </w:p>
    <w:p w14:paraId="152AE7BC">
      <w:pPr>
        <w:rPr>
          <w:rFonts w:hint="eastAsia" w:asciiTheme="majorEastAsia" w:hAnsiTheme="majorEastAsia" w:eastAsiaTheme="majorEastAsia" w:cstheme="majorEastAsia"/>
          <w:b/>
          <w:bCs/>
          <w:sz w:val="24"/>
          <w:szCs w:val="24"/>
        </w:rPr>
      </w:pP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23 17</w:t>
      </w:r>
      <w:r>
        <w:rPr>
          <w:rFonts w:hint="eastAsia" w:asciiTheme="majorEastAsia" w:hAnsiTheme="majorEastAsia" w:eastAsiaTheme="majorEastAsia" w:cstheme="majorEastAsia"/>
          <w:sz w:val="24"/>
          <w:szCs w:val="24"/>
        </w:rPr>
        <w:t xml:space="preserve">:00 </w:t>
      </w:r>
    </w:p>
    <w:p w14:paraId="5F3381B0">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29</w:t>
      </w:r>
      <w:r>
        <w:rPr>
          <w:rFonts w:hint="eastAsia" w:asciiTheme="majorEastAsia" w:hAnsiTheme="majorEastAsia" w:eastAsiaTheme="majorEastAsia" w:cstheme="majorEastAsia"/>
          <w:sz w:val="24"/>
          <w:szCs w:val="24"/>
        </w:rPr>
        <w:t xml:space="preserve"> 09:00</w:t>
      </w:r>
    </w:p>
    <w:p w14:paraId="1D0C1D3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29</w:t>
      </w:r>
      <w:r>
        <w:rPr>
          <w:rFonts w:hint="eastAsia" w:asciiTheme="majorEastAsia" w:hAnsiTheme="majorEastAsia" w:eastAsiaTheme="majorEastAsia" w:cstheme="majorEastAsia"/>
          <w:sz w:val="24"/>
          <w:szCs w:val="24"/>
        </w:rPr>
        <w:t xml:space="preserve"> 09:00</w:t>
      </w:r>
    </w:p>
    <w:p w14:paraId="59D58E47">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b/>
          <w:bCs/>
          <w:sz w:val="24"/>
          <w:szCs w:val="24"/>
          <w:lang w:val="en-US" w:eastAsia="zh-CN"/>
        </w:rPr>
        <w:t>线上视频会议</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417EF6DF">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名称：中国重型汽车集团有限公司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李帅威</w:t>
      </w:r>
    </w:p>
    <w:p w14:paraId="38A42C7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17860605079</w:t>
      </w:r>
    </w:p>
    <w:p w14:paraId="6986140B">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6CFC776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lang w:val="en-US" w:eastAsia="zh-CN"/>
        </w:rPr>
        <w:t>十</w:t>
      </w:r>
      <w:r>
        <w:rPr>
          <w:rFonts w:hint="eastAsia" w:asciiTheme="majorEastAsia" w:hAnsiTheme="majorEastAsia" w:eastAsiaTheme="majorEastAsia" w:cstheme="majorEastAsia"/>
          <w:b/>
          <w:bCs/>
          <w:sz w:val="24"/>
          <w:szCs w:val="24"/>
        </w:rPr>
        <w:t>、</w:t>
      </w:r>
      <w:r>
        <w:rPr>
          <w:rFonts w:hint="eastAsia" w:asciiTheme="majorEastAsia" w:hAnsiTheme="majorEastAsia" w:eastAsiaTheme="majorEastAsia" w:cstheme="majorEastAsia"/>
          <w:b/>
          <w:bCs/>
          <w:sz w:val="24"/>
          <w:szCs w:val="24"/>
          <w:lang w:val="en-US" w:eastAsia="zh-CN"/>
        </w:rPr>
        <w:t>项目预算</w:t>
      </w:r>
    </w:p>
    <w:p w14:paraId="3BB268CE">
      <w:pPr>
        <w:ind w:firstLine="480"/>
        <w:rPr>
          <w:rFonts w:hint="eastAsia" w:asciiTheme="majorEastAsia" w:hAnsiTheme="majorEastAsia" w:eastAsiaTheme="majorEastAsia" w:cstheme="majorEastAsia"/>
          <w:sz w:val="24"/>
          <w:szCs w:val="24"/>
          <w:lang w:val="en-US" w:eastAsia="zh-CN"/>
        </w:rPr>
      </w:pPr>
      <w:r>
        <w:rPr>
          <w:rFonts w:hint="default" w:asciiTheme="majorEastAsia" w:hAnsiTheme="majorEastAsia" w:eastAsiaTheme="majorEastAsia" w:cstheme="majorEastAsia"/>
          <w:sz w:val="24"/>
          <w:szCs w:val="24"/>
          <w:lang w:val="en-US" w:eastAsia="zh-CN"/>
        </w:rPr>
        <w:t>200</w:t>
      </w:r>
      <w:r>
        <w:rPr>
          <w:rFonts w:hint="eastAsia" w:asciiTheme="majorEastAsia" w:hAnsiTheme="majorEastAsia" w:eastAsiaTheme="majorEastAsia" w:cstheme="majorEastAsia"/>
          <w:sz w:val="24"/>
          <w:szCs w:val="24"/>
          <w:lang w:val="en-US" w:eastAsia="zh-CN"/>
        </w:rPr>
        <w:t>万元，含税</w:t>
      </w:r>
    </w:p>
    <w:p w14:paraId="6E855B0C">
      <w:pPr>
        <w:pStyle w:val="2"/>
        <w:rPr>
          <w:rFonts w:hint="default"/>
          <w:lang w:val="en-US" w:eastAsia="zh-CN"/>
        </w:rPr>
      </w:pPr>
      <w:r>
        <w:rPr>
          <w:rFonts w:hint="eastAsia" w:asciiTheme="majorEastAsia" w:hAnsiTheme="majorEastAsia" w:eastAsiaTheme="majorEastAsia" w:cstheme="majorEastAsia"/>
          <w:sz w:val="24"/>
          <w:szCs w:val="24"/>
          <w:lang w:val="en-US" w:eastAsia="zh-CN"/>
        </w:rPr>
        <w:t>付款方式：银行转账</w:t>
      </w:r>
      <w:bookmarkStart w:id="2" w:name="_GoBack"/>
      <w:bookmarkEnd w:id="2"/>
    </w:p>
    <w:p w14:paraId="233C8080">
      <w:pPr>
        <w:ind w:firstLine="480"/>
        <w:rPr>
          <w:rFonts w:hint="eastAsia" w:asciiTheme="majorEastAsia" w:hAnsiTheme="majorEastAsia" w:eastAsiaTheme="majorEastAsia" w:cstheme="majorEastAsia"/>
          <w:sz w:val="24"/>
          <w:szCs w:val="24"/>
        </w:rPr>
      </w:pPr>
    </w:p>
    <w:p w14:paraId="1431A22C">
      <w:pPr>
        <w:ind w:firstLine="480"/>
        <w:rPr>
          <w:rFonts w:hint="eastAsia" w:asciiTheme="majorEastAsia" w:hAnsiTheme="majorEastAsia" w:eastAsiaTheme="majorEastAsia" w:cstheme="majorEastAsia"/>
          <w:sz w:val="24"/>
          <w:szCs w:val="24"/>
        </w:rPr>
      </w:pPr>
    </w:p>
    <w:p w14:paraId="167DB504">
      <w:pPr>
        <w:ind w:firstLine="480"/>
        <w:rPr>
          <w:rFonts w:hint="eastAsia" w:asciiTheme="majorEastAsia" w:hAnsiTheme="majorEastAsia" w:eastAsiaTheme="majorEastAsia" w:cstheme="majorEastAsia"/>
          <w:sz w:val="24"/>
          <w:szCs w:val="24"/>
        </w:rPr>
      </w:pPr>
    </w:p>
    <w:p w14:paraId="369D886B">
      <w:pPr>
        <w:ind w:firstLine="480"/>
        <w:rPr>
          <w:rFonts w:hint="eastAsia" w:asciiTheme="majorEastAsia" w:hAnsiTheme="majorEastAsia" w:eastAsiaTheme="majorEastAsia" w:cstheme="majorEastAsia"/>
          <w:sz w:val="24"/>
          <w:szCs w:val="24"/>
        </w:rPr>
      </w:pPr>
    </w:p>
    <w:p w14:paraId="70239CEE">
      <w:pPr>
        <w:ind w:firstLine="480"/>
        <w:rPr>
          <w:rFonts w:hint="eastAsia" w:asciiTheme="majorEastAsia" w:hAnsiTheme="majorEastAsia" w:eastAsiaTheme="majorEastAsia" w:cstheme="majorEastAsia"/>
          <w:sz w:val="24"/>
          <w:szCs w:val="24"/>
        </w:rPr>
      </w:pPr>
    </w:p>
    <w:p w14:paraId="4AB6CD88">
      <w:pPr>
        <w:ind w:firstLine="480"/>
        <w:rPr>
          <w:rFonts w:hint="eastAsia" w:asciiTheme="majorEastAsia" w:hAnsiTheme="majorEastAsia" w:eastAsiaTheme="majorEastAsia" w:cstheme="majorEastAsia"/>
          <w:sz w:val="24"/>
          <w:szCs w:val="24"/>
        </w:rPr>
      </w:pPr>
    </w:p>
    <w:p w14:paraId="139FF02C">
      <w:pPr>
        <w:ind w:firstLine="480"/>
        <w:rPr>
          <w:rFonts w:hint="eastAsia" w:asciiTheme="majorEastAsia" w:hAnsiTheme="majorEastAsia" w:eastAsiaTheme="majorEastAsia" w:cstheme="majorEastAsia"/>
          <w:sz w:val="24"/>
          <w:szCs w:val="24"/>
        </w:rPr>
      </w:pPr>
    </w:p>
    <w:p w14:paraId="686E2AD7">
      <w:pPr>
        <w:ind w:firstLine="480"/>
        <w:rPr>
          <w:rFonts w:hint="eastAsia" w:asciiTheme="majorEastAsia" w:hAnsiTheme="majorEastAsia" w:eastAsiaTheme="majorEastAsia" w:cstheme="majorEastAsia"/>
          <w:sz w:val="24"/>
          <w:szCs w:val="24"/>
        </w:rPr>
      </w:pPr>
    </w:p>
    <w:p w14:paraId="13C6245B">
      <w:pPr>
        <w:ind w:firstLine="480"/>
        <w:rPr>
          <w:rFonts w:hint="eastAsia" w:asciiTheme="majorEastAsia" w:hAnsiTheme="majorEastAsia" w:eastAsiaTheme="majorEastAsia" w:cstheme="majorEastAsia"/>
          <w:sz w:val="24"/>
          <w:szCs w:val="24"/>
        </w:rPr>
      </w:pPr>
    </w:p>
    <w:p w14:paraId="0602F87A">
      <w:pPr>
        <w:ind w:firstLine="480"/>
        <w:rPr>
          <w:rFonts w:hint="eastAsia" w:asciiTheme="majorEastAsia" w:hAnsiTheme="majorEastAsia" w:eastAsiaTheme="majorEastAsia" w:cstheme="majorEastAsia"/>
          <w:sz w:val="24"/>
          <w:szCs w:val="24"/>
        </w:rPr>
      </w:pPr>
    </w:p>
    <w:p w14:paraId="5E350EDD">
      <w:pPr>
        <w:ind w:firstLine="480"/>
        <w:rPr>
          <w:rFonts w:hint="eastAsia" w:asciiTheme="majorEastAsia" w:hAnsiTheme="majorEastAsia" w:eastAsiaTheme="majorEastAsia" w:cstheme="majorEastAsia"/>
          <w:sz w:val="24"/>
          <w:szCs w:val="24"/>
        </w:rPr>
      </w:pPr>
    </w:p>
    <w:p w14:paraId="653807F5">
      <w:pPr>
        <w:ind w:firstLine="480"/>
        <w:rPr>
          <w:rFonts w:hint="eastAsia" w:asciiTheme="majorEastAsia" w:hAnsiTheme="majorEastAsia" w:eastAsiaTheme="majorEastAsia" w:cstheme="majorEastAsia"/>
          <w:sz w:val="24"/>
          <w:szCs w:val="24"/>
        </w:rPr>
      </w:pPr>
    </w:p>
    <w:p w14:paraId="6E8F62EE">
      <w:pPr>
        <w:ind w:firstLine="480"/>
        <w:rPr>
          <w:rFonts w:hint="eastAsia" w:asciiTheme="majorEastAsia" w:hAnsiTheme="majorEastAsia" w:eastAsiaTheme="majorEastAsia" w:cstheme="majorEastAsia"/>
          <w:sz w:val="24"/>
          <w:szCs w:val="24"/>
        </w:rPr>
      </w:pPr>
    </w:p>
    <w:p w14:paraId="27BF2FBD">
      <w:pPr>
        <w:ind w:firstLine="480"/>
        <w:rPr>
          <w:rFonts w:hint="eastAsia" w:asciiTheme="majorEastAsia" w:hAnsiTheme="majorEastAsia" w:eastAsiaTheme="majorEastAsia" w:cstheme="majorEastAsia"/>
          <w:sz w:val="24"/>
          <w:szCs w:val="24"/>
        </w:rPr>
      </w:pPr>
    </w:p>
    <w:p w14:paraId="5A3C9870">
      <w:pPr>
        <w:ind w:firstLine="480"/>
        <w:rPr>
          <w:rFonts w:hint="eastAsia" w:asciiTheme="majorEastAsia" w:hAnsiTheme="majorEastAsia" w:eastAsiaTheme="majorEastAsia" w:cstheme="majorEastAsia"/>
          <w:sz w:val="24"/>
          <w:szCs w:val="24"/>
        </w:rPr>
      </w:pPr>
    </w:p>
    <w:p w14:paraId="2B856BE8">
      <w:pPr>
        <w:ind w:firstLine="480"/>
        <w:rPr>
          <w:rFonts w:hint="eastAsia" w:asciiTheme="majorEastAsia" w:hAnsiTheme="majorEastAsia" w:eastAsiaTheme="majorEastAsia" w:cstheme="majorEastAsia"/>
          <w:sz w:val="24"/>
          <w:szCs w:val="24"/>
        </w:rPr>
      </w:pPr>
    </w:p>
    <w:p w14:paraId="7067666A">
      <w:pPr>
        <w:ind w:firstLine="480"/>
        <w:rPr>
          <w:rFonts w:hint="eastAsia" w:asciiTheme="majorEastAsia" w:hAnsiTheme="majorEastAsia" w:eastAsiaTheme="majorEastAsia" w:cstheme="majorEastAsia"/>
          <w:sz w:val="24"/>
          <w:szCs w:val="24"/>
        </w:rPr>
      </w:pPr>
    </w:p>
    <w:p w14:paraId="142C8A25">
      <w:pPr>
        <w:ind w:firstLine="480"/>
        <w:rPr>
          <w:rFonts w:hint="eastAsia" w:asciiTheme="majorEastAsia" w:hAnsiTheme="majorEastAsia" w:eastAsiaTheme="majorEastAsia" w:cstheme="majorEastAsia"/>
          <w:sz w:val="24"/>
          <w:szCs w:val="24"/>
        </w:rPr>
      </w:pPr>
    </w:p>
    <w:p w14:paraId="6253711C">
      <w:pPr>
        <w:ind w:firstLine="480"/>
        <w:rPr>
          <w:rFonts w:hint="eastAsia" w:asciiTheme="majorEastAsia" w:hAnsiTheme="majorEastAsia" w:eastAsiaTheme="majorEastAsia" w:cstheme="majorEastAsia"/>
          <w:sz w:val="24"/>
          <w:szCs w:val="24"/>
        </w:rPr>
      </w:pPr>
    </w:p>
    <w:p w14:paraId="196A8C3F">
      <w:pPr>
        <w:ind w:firstLine="480"/>
        <w:rPr>
          <w:rFonts w:hint="eastAsia" w:asciiTheme="majorEastAsia" w:hAnsiTheme="majorEastAsia" w:eastAsiaTheme="majorEastAsia" w:cstheme="majorEastAsia"/>
          <w:sz w:val="24"/>
          <w:szCs w:val="24"/>
        </w:rPr>
      </w:pPr>
    </w:p>
    <w:p w14:paraId="5F97E55C">
      <w:pPr>
        <w:ind w:firstLine="480"/>
        <w:rPr>
          <w:rFonts w:hint="eastAsia" w:asciiTheme="majorEastAsia" w:hAnsiTheme="majorEastAsia" w:eastAsiaTheme="majorEastAsia" w:cstheme="majorEastAsia"/>
          <w:sz w:val="24"/>
          <w:szCs w:val="24"/>
        </w:rPr>
      </w:pPr>
    </w:p>
    <w:p w14:paraId="58F27B05">
      <w:pPr>
        <w:ind w:firstLine="480"/>
        <w:rPr>
          <w:rFonts w:hint="eastAsia" w:asciiTheme="majorEastAsia" w:hAnsiTheme="majorEastAsia" w:eastAsiaTheme="majorEastAsia" w:cstheme="majorEastAsia"/>
          <w:sz w:val="24"/>
          <w:szCs w:val="24"/>
        </w:rPr>
      </w:pPr>
    </w:p>
    <w:p w14:paraId="3C685C49">
      <w:pPr>
        <w:ind w:firstLine="480"/>
        <w:rPr>
          <w:rFonts w:hint="eastAsia" w:asciiTheme="majorEastAsia" w:hAnsiTheme="majorEastAsia" w:eastAsiaTheme="majorEastAsia" w:cstheme="majorEastAsia"/>
          <w:sz w:val="24"/>
          <w:szCs w:val="24"/>
        </w:rPr>
      </w:pPr>
    </w:p>
    <w:p w14:paraId="70FD485B">
      <w:pPr>
        <w:ind w:firstLine="480"/>
        <w:rPr>
          <w:rFonts w:hint="eastAsia" w:asciiTheme="majorEastAsia" w:hAnsiTheme="majorEastAsia" w:eastAsiaTheme="majorEastAsia" w:cstheme="majorEastAsia"/>
          <w:sz w:val="24"/>
          <w:szCs w:val="24"/>
        </w:rPr>
      </w:pPr>
    </w:p>
    <w:p w14:paraId="1E5BAD9E">
      <w:pPr>
        <w:ind w:firstLine="480"/>
        <w:rPr>
          <w:rFonts w:hint="eastAsia" w:asciiTheme="majorEastAsia" w:hAnsiTheme="majorEastAsia" w:eastAsiaTheme="majorEastAsia" w:cstheme="majorEastAsia"/>
          <w:sz w:val="24"/>
          <w:szCs w:val="24"/>
        </w:rPr>
      </w:pPr>
    </w:p>
    <w:p w14:paraId="7E522CB2">
      <w:pPr>
        <w:ind w:firstLine="480"/>
        <w:rPr>
          <w:rFonts w:hint="eastAsia" w:asciiTheme="majorEastAsia" w:hAnsiTheme="majorEastAsia" w:eastAsiaTheme="majorEastAsia" w:cstheme="majorEastAsia"/>
          <w:sz w:val="24"/>
          <w:szCs w:val="24"/>
        </w:rPr>
      </w:pPr>
    </w:p>
    <w:p w14:paraId="2784BD04">
      <w:pPr>
        <w:ind w:firstLine="480"/>
        <w:rPr>
          <w:rFonts w:hint="eastAsia" w:asciiTheme="majorEastAsia" w:hAnsiTheme="majorEastAsia" w:eastAsiaTheme="majorEastAsia" w:cstheme="majorEastAsia"/>
          <w:sz w:val="24"/>
          <w:szCs w:val="24"/>
        </w:rPr>
      </w:pPr>
    </w:p>
    <w:p w14:paraId="00A4F2FD">
      <w:pPr>
        <w:ind w:firstLine="480"/>
        <w:rPr>
          <w:rFonts w:hint="eastAsia" w:asciiTheme="majorEastAsia" w:hAnsiTheme="majorEastAsia" w:eastAsiaTheme="majorEastAsia" w:cstheme="majorEastAsia"/>
          <w:sz w:val="24"/>
          <w:szCs w:val="24"/>
        </w:rPr>
      </w:pPr>
    </w:p>
    <w:p w14:paraId="0DEC3FBD">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3B55DB0D">
      <w:pPr>
        <w:pStyle w:val="6"/>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6"/>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0E62184D">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644AF512">
      <w:pPr>
        <w:pStyle w:val="6"/>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6"/>
      </w:pPr>
      <w:r>
        <w:rPr>
          <w:rFonts w:hint="eastAsia" w:hAnsi="宋体" w:eastAsia="宋体" w:cs="宋体"/>
          <w:b/>
          <w:bCs/>
          <w:color w:val="000000"/>
          <w:sz w:val="24"/>
          <w:szCs w:val="28"/>
          <w:highlight w:val="yellow"/>
        </w:rPr>
        <w:t>2.配套能力“供货类别”填“”，业务主管部门选择“”。</w:t>
      </w:r>
    </w:p>
    <w:p w14:paraId="3903C1BE">
      <w:pPr>
        <w:pStyle w:val="6"/>
        <w:sectPr>
          <w:pgSz w:w="11906" w:h="16838"/>
          <w:pgMar w:top="1588" w:right="1418" w:bottom="1134" w:left="1418" w:header="851" w:footer="992" w:gutter="0"/>
          <w:cols w:space="720" w:num="1"/>
          <w:titlePg/>
          <w:docGrid w:type="lines" w:linePitch="312" w:charSpace="0"/>
        </w:sectPr>
      </w:pPr>
    </w:p>
    <w:p w14:paraId="602C5616">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https://ecaitong.sinotruk.com:8012/</w:t>
      </w:r>
      <w:r>
        <w:rPr>
          <w:rStyle w:val="1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Perpetua">
    <w:altName w:val="Segoe Print"/>
    <w:panose1 w:val="00000000000000000000"/>
    <w:charset w:val="00"/>
    <w:family w:val="auto"/>
    <w:pitch w:val="default"/>
    <w:sig w:usb0="00000000" w:usb1="00000000" w:usb2="00000000" w:usb3="00000000" w:csb0="2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161F5A"/>
    <w:rsid w:val="39B67CF1"/>
    <w:rsid w:val="44907102"/>
    <w:rsid w:val="47D87518"/>
    <w:rsid w:val="48EF075C"/>
    <w:rsid w:val="781A76E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Indent"/>
    <w:basedOn w:val="1"/>
    <w:next w:val="3"/>
    <w:qFormat/>
    <w:uiPriority w:val="99"/>
    <w:pPr>
      <w:spacing w:after="120"/>
      <w:ind w:left="420" w:leftChars="200"/>
    </w:pPr>
    <w:rPr>
      <w:rFonts w:ascii="Calibri" w:hAnsi="Calibri"/>
      <w:sz w:val="22"/>
    </w:rPr>
  </w:style>
  <w:style w:type="paragraph" w:styleId="3">
    <w:name w:val="Body Text First Indent 2"/>
    <w:basedOn w:val="2"/>
    <w:qFormat/>
    <w:uiPriority w:val="0"/>
    <w:pPr>
      <w:spacing w:line="360" w:lineRule="auto"/>
      <w:ind w:firstLine="200" w:firstLineChars="200"/>
    </w:pPr>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2151</Words>
  <Characters>2418</Characters>
  <Lines>0</Lines>
  <Paragraphs>0</Paragraphs>
  <TotalTime>1</TotalTime>
  <ScaleCrop>false</ScaleCrop>
  <LinksUpToDate>false</LinksUpToDate>
  <CharactersWithSpaces>2530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0174L</cp:lastModifiedBy>
  <dcterms:modified xsi:type="dcterms:W3CDTF">2026-01-16T07:55:00Z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eyJoZGlkIjoiZDZiY2E3MTk3OWVkMDZmNDgwYmUwNDViMmIxMTA0OGYiLCJ1c2VySWQiOiIxMTQwNDY2NTAwIn0=</vt:lpwstr>
  </property>
  <property fmtid="{D5CDD505-2E9C-101B-9397-08002B2CF9AE}" pid="4" name="ICV">
    <vt:lpwstr>9D7307E25D0B44B98328A8CE7E5EC36B_13</vt:lpwstr>
  </property>
</Properties>
</file>