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4"/>
        <w:widowControl/>
        <w:jc w:val="center"/>
        <w:rPr>
          <w:i w:val="0"/>
          <w:iCs/>
          <w:sz w:val="32"/>
          <w:szCs w:val="32"/>
          <w:lang w:val="en-US"/>
        </w:rPr>
      </w:pPr>
      <w:bookmarkStart w:id="0" w:name="_Toc12866"/>
      <w:r>
        <w:rPr>
          <w:rFonts w:hint="eastAsia" w:cs="宋体"/>
          <w:i w:val="0"/>
          <w:iCs/>
          <w:sz w:val="32"/>
          <w:szCs w:val="32"/>
          <w:lang w:val="en-US" w:eastAsia="zh-CN"/>
        </w:rPr>
        <w:t>2026年保安服务合同招标公告</w:t>
      </w:r>
      <w:bookmarkEnd w:id="0"/>
    </w:p>
    <w:p w14:paraId="2538CB01">
      <w:pPr>
        <w:pStyle w:val="4"/>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ZBGL2026010071</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2026-1-16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2026-1-22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2FB05C6">
      <w:pPr>
        <w:spacing w:line="440" w:lineRule="exact"/>
        <w:ind w:firstLine="426"/>
        <w:rPr>
          <w:rFonts w:hint="eastAsia" w:ascii="宋体" w:hAnsi="Courier New" w:eastAsiaTheme="minorEastAsia"/>
          <w:lang w:val="en-US" w:eastAsia="zh-CN"/>
        </w:rPr>
      </w:pPr>
      <w:r>
        <w:rPr>
          <w:rFonts w:hint="eastAsia" w:asciiTheme="majorEastAsia" w:hAnsiTheme="majorEastAsia" w:eastAsiaTheme="majorEastAsia" w:cstheme="majorEastAsia"/>
          <w:sz w:val="24"/>
          <w:szCs w:val="24"/>
        </w:rPr>
        <w:t xml:space="preserve">   </w:t>
      </w:r>
      <w:r>
        <w:rPr>
          <w:rFonts w:hint="eastAsia" w:ascii="宋体" w:hAnsi="Courier New"/>
        </w:rPr>
        <w:t>服务内容主要包括杭发公司本部的保安执勤、门卫、护厂巡查、监控室执勤、车辆管理、安保检查；技校的保安执勤、门卫、重点部位巡查，具体执勤岗位安排由甲方确定</w:t>
      </w:r>
      <w:r>
        <w:rPr>
          <w:rFonts w:hint="eastAsia" w:ascii="宋体" w:hAnsi="Courier New"/>
          <w:lang w:eastAsia="zh-CN"/>
        </w:rPr>
        <w:t>。</w:t>
      </w:r>
    </w:p>
    <w:p w14:paraId="365B79E6">
      <w:pPr>
        <w:rPr>
          <w:rFonts w:hint="default" w:asciiTheme="majorEastAsia" w:hAnsiTheme="majorEastAsia" w:eastAsiaTheme="majorEastAsia" w:cstheme="majorEastAsia"/>
          <w:sz w:val="24"/>
          <w:szCs w:val="24"/>
          <w:lang w:val="en-US" w:eastAsia="zh-CN"/>
        </w:rPr>
      </w:pP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2026年保安服务合同</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非固定资产服务</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30DA0B67">
      <w:pPr>
        <w:ind w:firstLine="480"/>
        <w:rPr>
          <w:rFonts w:hint="eastAsia" w:ascii="宋体" w:hAnsi="Courier New" w:eastAsiaTheme="minorEastAsia"/>
          <w:lang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宋体" w:hAnsi="Courier New"/>
        </w:rPr>
        <w:t>服务内容主要包括杭发公司本部的保安执勤、门卫、护厂巡查、监控室执勤、车辆管理、安保检查；技校的保安执勤、门卫、重点部位巡查，具体执勤岗位安排由甲方确定</w:t>
      </w:r>
      <w:r>
        <w:rPr>
          <w:rFonts w:hint="eastAsia" w:ascii="宋体" w:hAnsi="Courier New"/>
          <w:lang w:eastAsia="zh-CN"/>
        </w:rPr>
        <w:t>。</w:t>
      </w:r>
    </w:p>
    <w:p w14:paraId="0F94CFE6">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0B7CB1DB">
      <w:pPr>
        <w:pStyle w:val="6"/>
        <w:numPr>
          <w:ilvl w:val="0"/>
          <w:numId w:val="1"/>
        </w:numPr>
        <w:spacing w:line="360" w:lineRule="auto"/>
        <w:ind w:left="0" w:firstLine="630"/>
      </w:pPr>
      <w:r>
        <w:rPr>
          <w:rFonts w:hint="eastAsia" w:asciiTheme="majorEastAsia" w:hAnsiTheme="majorEastAsia" w:eastAsiaTheme="majorEastAsia" w:cstheme="majorEastAsia"/>
          <w:sz w:val="24"/>
          <w:szCs w:val="24"/>
        </w:rPr>
        <w:t xml:space="preserve">  </w:t>
      </w:r>
      <w:r>
        <w:rPr>
          <w:rFonts w:hint="eastAsia"/>
        </w:rPr>
        <w:t>投标人须遵守《中华人民共和国招标投标法》、《中华人民共和国民法典》及其它有关的法律和法规；为中华人民共和国境内注册的独立法人机构，具有独立承担民事责任能力；</w:t>
      </w:r>
    </w:p>
    <w:p w14:paraId="63C56681">
      <w:pPr>
        <w:pStyle w:val="6"/>
        <w:numPr>
          <w:ilvl w:val="0"/>
          <w:numId w:val="1"/>
        </w:numPr>
        <w:spacing w:line="360" w:lineRule="auto"/>
        <w:ind w:left="0" w:firstLine="630"/>
      </w:pPr>
      <w:r>
        <w:rPr>
          <w:rFonts w:hint="eastAsia"/>
        </w:rPr>
        <w:t xml:space="preserve">企业最近半年完税证明、信用证明材料（中国人民银行信用代码证+征信报告）； </w:t>
      </w:r>
    </w:p>
    <w:p w14:paraId="415A457F">
      <w:pPr>
        <w:pStyle w:val="6"/>
        <w:numPr>
          <w:ilvl w:val="0"/>
          <w:numId w:val="1"/>
        </w:numPr>
        <w:spacing w:line="360" w:lineRule="auto"/>
        <w:ind w:left="0" w:firstLine="630"/>
      </w:pPr>
      <w:r>
        <w:rPr>
          <w:rFonts w:hint="eastAsia"/>
        </w:rPr>
        <w:t>公司成立三年以上（以营业执照成立日期到开标当日满三年为准）；注册资金在1000万元以上的专业安保服务企业；投标人营业执照经营范围具有承担本项目的能力；</w:t>
      </w:r>
    </w:p>
    <w:p w14:paraId="47EBDB28">
      <w:pPr>
        <w:pStyle w:val="6"/>
        <w:numPr>
          <w:ilvl w:val="0"/>
          <w:numId w:val="1"/>
        </w:numPr>
        <w:spacing w:line="360" w:lineRule="auto"/>
        <w:ind w:left="0" w:firstLine="630"/>
      </w:pPr>
      <w:r>
        <w:rPr>
          <w:rFonts w:hint="eastAsia"/>
        </w:rPr>
        <w:t>具备经市级（或以上）公安机关颁发的保安服务许可证；</w:t>
      </w:r>
    </w:p>
    <w:p w14:paraId="5B94F956">
      <w:pPr>
        <w:pStyle w:val="6"/>
        <w:numPr>
          <w:ilvl w:val="0"/>
          <w:numId w:val="1"/>
        </w:numPr>
        <w:spacing w:line="360" w:lineRule="auto"/>
        <w:ind w:left="0" w:firstLine="630"/>
      </w:pPr>
      <w:r>
        <w:rPr>
          <w:rFonts w:hint="eastAsia"/>
        </w:rPr>
        <w:t>外省或外地区保安服务公司应当向服务所在地的市级人民政府公安机关备案，并在杭州市有固定办公场所。</w:t>
      </w:r>
    </w:p>
    <w:p w14:paraId="5E89B23B">
      <w:pPr>
        <w:pStyle w:val="6"/>
        <w:numPr>
          <w:ilvl w:val="0"/>
          <w:numId w:val="1"/>
        </w:numPr>
        <w:spacing w:line="360" w:lineRule="auto"/>
        <w:ind w:left="0" w:firstLine="630"/>
      </w:pPr>
      <w:r>
        <w:rPr>
          <w:rFonts w:hint="eastAsia"/>
        </w:rPr>
        <w:t>投标人须提供具有统一社会信用代码的新版营业执照副本原件及复印件（加盖公章）；</w:t>
      </w:r>
    </w:p>
    <w:p w14:paraId="0DBA279C">
      <w:pPr>
        <w:pStyle w:val="6"/>
        <w:numPr>
          <w:ilvl w:val="0"/>
          <w:numId w:val="1"/>
        </w:numPr>
        <w:spacing w:line="360" w:lineRule="auto"/>
        <w:ind w:left="0" w:firstLine="630"/>
      </w:pPr>
      <w:r>
        <w:rPr>
          <w:rFonts w:hint="eastAsia"/>
        </w:rPr>
        <w:t>具有良好的商业信誉，在“国家企业信用信息公示系统”、“中国执行信息公开网”、“信用中国”、“天眼查”“裁判文书网”等信息平台中，无与招标项目相关的行政处罚、列入经营异常名录和列入严重违法失信企业名单（黑名单）信息或上述信息已被移除；</w:t>
      </w:r>
    </w:p>
    <w:p w14:paraId="6E6CDA73">
      <w:pPr>
        <w:pStyle w:val="6"/>
        <w:numPr>
          <w:ilvl w:val="0"/>
          <w:numId w:val="1"/>
        </w:numPr>
        <w:spacing w:line="360" w:lineRule="auto"/>
        <w:ind w:left="0" w:firstLine="630"/>
      </w:pPr>
      <w:r>
        <w:rPr>
          <w:rFonts w:hint="eastAsia"/>
        </w:rPr>
        <w:t>年度纳税信用评价信息（可从电子税务局查询截图，需加盖公章）；企业对外担保说明（写明贵单位对外有无对外担保和质押业务，需加盖公章）；</w:t>
      </w:r>
    </w:p>
    <w:p w14:paraId="5B498660">
      <w:pPr>
        <w:pStyle w:val="6"/>
        <w:numPr>
          <w:ilvl w:val="0"/>
          <w:numId w:val="1"/>
        </w:numPr>
        <w:spacing w:line="360" w:lineRule="auto"/>
        <w:ind w:left="0" w:firstLine="630"/>
      </w:pPr>
      <w:r>
        <w:rPr>
          <w:rFonts w:hint="eastAsia"/>
        </w:rPr>
        <w:t>投标人没有被列入招标人处《黑名单》（《黑名单》指投标人与招标人在以往或正在进行的合作中，存在招标人认为的违反合同约定或违反法律法规等的失信行为）的；供方的直接或间接股东、法定代表人、董事、监事、高管非重汽员工及其亲属；</w:t>
      </w:r>
    </w:p>
    <w:p w14:paraId="75C60389">
      <w:pPr>
        <w:pStyle w:val="6"/>
        <w:numPr>
          <w:ilvl w:val="0"/>
          <w:numId w:val="1"/>
        </w:numPr>
        <w:spacing w:line="360" w:lineRule="auto"/>
        <w:ind w:left="0" w:firstLine="630"/>
      </w:pPr>
      <w:r>
        <w:rPr>
          <w:rFonts w:hint="eastAsia"/>
        </w:rPr>
        <w:t>经会计师事务所审计且出具无保留意见的近三年（202</w:t>
      </w:r>
      <w:r>
        <w:t>2</w:t>
      </w:r>
      <w:r>
        <w:rPr>
          <w:rFonts w:hint="eastAsia"/>
        </w:rPr>
        <w:t>、202</w:t>
      </w:r>
      <w:r>
        <w:t>3</w:t>
      </w:r>
      <w:r>
        <w:rPr>
          <w:rFonts w:hint="eastAsia"/>
        </w:rPr>
        <w:t>、202</w:t>
      </w:r>
      <w:r>
        <w:t>4</w:t>
      </w:r>
      <w:r>
        <w:rPr>
          <w:rFonts w:hint="eastAsia"/>
        </w:rPr>
        <w:t>年）的财务审计报告原件，包括但不限于报告页、经审计的资产负债表、利润表、现金流量表及报表附注；</w:t>
      </w:r>
    </w:p>
    <w:p w14:paraId="0087A7CE">
      <w:pPr>
        <w:pStyle w:val="6"/>
        <w:numPr>
          <w:ilvl w:val="0"/>
          <w:numId w:val="1"/>
        </w:numPr>
        <w:spacing w:line="360" w:lineRule="auto"/>
        <w:ind w:left="0" w:firstLine="630"/>
      </w:pPr>
      <w:r>
        <w:rPr>
          <w:rFonts w:hint="eastAsia"/>
        </w:rPr>
        <w:t>投标人须提供法人授权委托书原件,及投标单位的法定代表人或授权代表的身份证原件及复印件（加盖公章）；</w:t>
      </w:r>
    </w:p>
    <w:p w14:paraId="7238E94F">
      <w:pPr>
        <w:pStyle w:val="6"/>
        <w:spacing w:before="156" w:after="156" w:line="360" w:lineRule="auto"/>
        <w:ind w:firstLine="630" w:firstLineChars="300"/>
        <w:rPr>
          <w:sz w:val="21"/>
          <w:szCs w:val="21"/>
        </w:rPr>
      </w:pPr>
      <w:r>
        <w:rPr>
          <w:rFonts w:hint="eastAsia"/>
          <w:lang w:val="en-US" w:eastAsia="zh-CN"/>
        </w:rPr>
        <w:t>12）</w:t>
      </w:r>
      <w:r>
        <w:rPr>
          <w:rFonts w:hint="eastAsia"/>
        </w:rPr>
        <w:t>投标人须具有完全履行招标文件的所有要求的能力；</w:t>
      </w:r>
      <w:r>
        <w:rPr>
          <w:rFonts w:hint="eastAsia" w:ascii="宋体" w:hAnsi="宋体" w:eastAsia="宋体" w:cs="宋体"/>
          <w:b w:val="0"/>
          <w:bCs w:val="0"/>
          <w:i w:val="0"/>
          <w:iCs w:val="0"/>
          <w:caps w:val="0"/>
          <w:color w:val="111111"/>
          <w:spacing w:val="0"/>
          <w:sz w:val="21"/>
          <w:szCs w:val="21"/>
          <w:shd w:val="clear" w:fill="F6F7F8"/>
        </w:rPr>
        <w:t>无招标违规、谎报年度报告信息、提供虚假资质资料等行为或其他行政处罚记录；近三年内在经营活动中无与本项目有关的违法及重大违规情况。</w:t>
      </w:r>
    </w:p>
    <w:p w14:paraId="1E467708">
      <w:pPr>
        <w:pStyle w:val="6"/>
        <w:numPr>
          <w:ilvl w:val="0"/>
          <w:numId w:val="1"/>
        </w:numPr>
        <w:spacing w:line="360" w:lineRule="auto"/>
        <w:ind w:left="0" w:firstLine="630"/>
      </w:pPr>
      <w:r>
        <w:rPr>
          <w:rFonts w:hint="eastAsia"/>
        </w:rPr>
        <w:t>投标人须认可招标人的工作指令，包括节、假日能正常开展工作的要求；企业遇有突发事件，能及时调集安保力量在30分钟之内赶到现场，控制事态；</w:t>
      </w:r>
    </w:p>
    <w:p w14:paraId="60100DCF">
      <w:pPr>
        <w:pStyle w:val="6"/>
        <w:numPr>
          <w:ilvl w:val="0"/>
          <w:numId w:val="1"/>
        </w:numPr>
        <w:spacing w:line="360" w:lineRule="auto"/>
        <w:ind w:left="0" w:firstLine="630"/>
      </w:pPr>
      <w:r>
        <w:rPr>
          <w:rFonts w:hint="eastAsia"/>
        </w:rPr>
        <w:t>投标人必须是最终投标、签订合同的单位，不得以任何理由将已中标项目以任何形式转包给其他单位；</w:t>
      </w:r>
    </w:p>
    <w:p w14:paraId="2AB19038">
      <w:pPr>
        <w:pStyle w:val="6"/>
        <w:numPr>
          <w:ilvl w:val="0"/>
          <w:numId w:val="1"/>
        </w:numPr>
        <w:spacing w:line="360" w:lineRule="auto"/>
        <w:ind w:left="0" w:firstLine="630"/>
      </w:pPr>
      <w:r>
        <w:rPr>
          <w:rFonts w:hint="eastAsia"/>
        </w:rPr>
        <w:t>本次招标项目不接受联合体投标；</w:t>
      </w:r>
    </w:p>
    <w:p w14:paraId="64660F5C">
      <w:pPr>
        <w:pStyle w:val="6"/>
        <w:numPr>
          <w:ilvl w:val="0"/>
          <w:numId w:val="1"/>
        </w:numPr>
        <w:spacing w:line="360" w:lineRule="auto"/>
        <w:ind w:left="0" w:firstLine="630"/>
      </w:pPr>
      <w:r>
        <w:rPr>
          <w:rFonts w:hint="eastAsia"/>
        </w:rPr>
        <w:t>投标人在向招标人出示《投标保证金缴纳凭证》后方可进行投标。</w:t>
      </w:r>
    </w:p>
    <w:p w14:paraId="0F9F03B7">
      <w:pPr>
        <w:rPr>
          <w:rFonts w:hint="eastAsia" w:asciiTheme="majorEastAsia" w:hAnsiTheme="majorEastAsia" w:eastAsiaTheme="majorEastAsia" w:cstheme="majorEastAsia"/>
          <w:b/>
          <w:bCs/>
          <w:sz w:val="24"/>
          <w:szCs w:val="24"/>
        </w:rPr>
      </w:pP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14:paraId="58DCC5C7">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22 17：</w:t>
      </w:r>
      <w:r>
        <w:rPr>
          <w:rFonts w:hint="eastAsia" w:asciiTheme="majorEastAsia" w:hAnsiTheme="majorEastAsia" w:eastAsiaTheme="majorEastAsia" w:cstheme="majorEastAsia"/>
          <w:sz w:val="24"/>
          <w:szCs w:val="24"/>
        </w:rPr>
        <w:t>00</w:t>
      </w:r>
    </w:p>
    <w:p w14:paraId="5F3381B0">
      <w:pPr>
        <w:ind w:firstLine="481"/>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16774820">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14:paraId="09D3A664">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2026-01-</w:t>
      </w:r>
      <w:r>
        <w:rPr>
          <w:rFonts w:hint="eastAsia" w:asciiTheme="majorEastAsia" w:hAnsiTheme="majorEastAsia" w:eastAsiaTheme="majorEastAsia" w:cstheme="majorEastAsia"/>
          <w:sz w:val="24"/>
          <w:szCs w:val="24"/>
          <w:lang w:val="en-US" w:eastAsia="zh-CN"/>
        </w:rPr>
        <w:t>28</w:t>
      </w:r>
      <w:r>
        <w:rPr>
          <w:rFonts w:hint="eastAsia" w:asciiTheme="majorEastAsia" w:hAnsiTheme="majorEastAsia" w:eastAsiaTheme="majorEastAsia" w:cstheme="majorEastAsia"/>
          <w:sz w:val="24"/>
          <w:szCs w:val="24"/>
        </w:rPr>
        <w:t xml:space="preserve"> 09:00</w:t>
      </w:r>
    </w:p>
    <w:p w14:paraId="1D0C1D32">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p>
    <w:p w14:paraId="77F2C3A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42BE8D2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2026-01-</w:t>
      </w:r>
      <w:r>
        <w:rPr>
          <w:rFonts w:hint="eastAsia" w:asciiTheme="majorEastAsia" w:hAnsiTheme="majorEastAsia" w:eastAsiaTheme="majorEastAsia" w:cstheme="majorEastAsia"/>
          <w:sz w:val="24"/>
          <w:szCs w:val="24"/>
          <w:lang w:val="en-US" w:eastAsia="zh-CN"/>
        </w:rPr>
        <w:t>28</w:t>
      </w:r>
      <w:r>
        <w:rPr>
          <w:rFonts w:hint="eastAsia" w:asciiTheme="majorEastAsia" w:hAnsiTheme="majorEastAsia" w:eastAsiaTheme="majorEastAsia" w:cstheme="majorEastAsia"/>
          <w:sz w:val="24"/>
          <w:szCs w:val="24"/>
        </w:rPr>
        <w:t xml:space="preserve"> 09:00</w:t>
      </w:r>
    </w:p>
    <w:p w14:paraId="59D58E47">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b/>
          <w:bCs/>
          <w:sz w:val="24"/>
          <w:szCs w:val="24"/>
          <w:lang w:val="en-US" w:eastAsia="zh-CN"/>
        </w:rPr>
        <w:t>线上视频会议</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737E60EC">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353AB26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417EF6DF">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名称：中国重型汽车集团有限公司 </w:t>
      </w:r>
    </w:p>
    <w:p w14:paraId="04D772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426AF4E">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李帅威</w:t>
      </w:r>
    </w:p>
    <w:p w14:paraId="38A42C7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17860605079</w:t>
      </w:r>
    </w:p>
    <w:p w14:paraId="6986140B">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14:paraId="29D50F92">
      <w:pPr>
        <w:ind w:firstLine="480"/>
        <w:rPr>
          <w:rFonts w:hint="default" w:eastAsiaTheme="majorEastAsia"/>
          <w:lang w:val="en-US" w:eastAsia="zh-CN"/>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6BD7CB0">
      <w:pPr>
        <w:ind w:firstLine="48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十</w:t>
      </w:r>
      <w:r>
        <w:rPr>
          <w:rFonts w:hint="eastAsia" w:asciiTheme="majorEastAsia" w:hAnsiTheme="majorEastAsia" w:eastAsiaTheme="majorEastAsia" w:cstheme="majorEastAsia"/>
          <w:b/>
          <w:bCs/>
          <w:sz w:val="24"/>
          <w:szCs w:val="24"/>
        </w:rPr>
        <w:t>、</w:t>
      </w:r>
      <w:r>
        <w:rPr>
          <w:rFonts w:hint="eastAsia" w:asciiTheme="majorEastAsia" w:hAnsiTheme="majorEastAsia" w:eastAsiaTheme="majorEastAsia" w:cstheme="majorEastAsia"/>
          <w:b/>
          <w:bCs/>
          <w:sz w:val="24"/>
          <w:szCs w:val="24"/>
          <w:lang w:val="en-US" w:eastAsia="zh-CN"/>
        </w:rPr>
        <w:t>项目预算</w:t>
      </w:r>
    </w:p>
    <w:p w14:paraId="35CC48FF">
      <w:pPr>
        <w:pStyle w:val="2"/>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125万元，含税；</w:t>
      </w:r>
    </w:p>
    <w:p w14:paraId="2865503D">
      <w:pPr>
        <w:pStyle w:val="2"/>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付款方式：转账；付款节点①100%：乙方完成甲方的需求，乙方开具合同价款100%的收据并增值税专用发票，经甲方核对无误后支付。</w:t>
      </w:r>
    </w:p>
    <w:p w14:paraId="0BFF81BE">
      <w:pPr>
        <w:pStyle w:val="3"/>
        <w:rPr>
          <w:rFonts w:hint="default"/>
          <w:lang w:val="en-US" w:eastAsia="zh-CN"/>
        </w:rPr>
      </w:pPr>
      <w:bookmarkStart w:id="2" w:name="_GoBack"/>
      <w:bookmarkEnd w:id="2"/>
    </w:p>
    <w:p w14:paraId="46C3958B">
      <w:pPr>
        <w:ind w:firstLine="480"/>
        <w:rPr>
          <w:rFonts w:hint="eastAsia" w:asciiTheme="majorEastAsia" w:hAnsiTheme="majorEastAsia" w:eastAsiaTheme="majorEastAsia" w:cstheme="majorEastAsia"/>
          <w:sz w:val="24"/>
          <w:szCs w:val="24"/>
        </w:rPr>
      </w:pPr>
    </w:p>
    <w:p w14:paraId="3BB268CE">
      <w:pPr>
        <w:ind w:firstLine="480"/>
        <w:rPr>
          <w:rFonts w:hint="eastAsia" w:asciiTheme="majorEastAsia" w:hAnsiTheme="majorEastAsia" w:eastAsiaTheme="majorEastAsia" w:cstheme="majorEastAsia"/>
          <w:sz w:val="24"/>
          <w:szCs w:val="24"/>
        </w:rPr>
      </w:pPr>
    </w:p>
    <w:p w14:paraId="233C8080">
      <w:pPr>
        <w:ind w:firstLine="480"/>
        <w:rPr>
          <w:rFonts w:hint="eastAsia" w:asciiTheme="majorEastAsia" w:hAnsiTheme="majorEastAsia" w:eastAsiaTheme="majorEastAsia" w:cstheme="majorEastAsia"/>
          <w:sz w:val="24"/>
          <w:szCs w:val="24"/>
        </w:rPr>
      </w:pPr>
    </w:p>
    <w:p w14:paraId="1431A22C">
      <w:pPr>
        <w:ind w:firstLine="480"/>
        <w:rPr>
          <w:rFonts w:hint="eastAsia" w:asciiTheme="majorEastAsia" w:hAnsiTheme="majorEastAsia" w:eastAsiaTheme="majorEastAsia" w:cstheme="majorEastAsia"/>
          <w:sz w:val="24"/>
          <w:szCs w:val="24"/>
        </w:rPr>
      </w:pPr>
    </w:p>
    <w:p w14:paraId="167DB504">
      <w:pPr>
        <w:ind w:firstLine="480"/>
        <w:rPr>
          <w:rFonts w:hint="eastAsia" w:asciiTheme="majorEastAsia" w:hAnsiTheme="majorEastAsia" w:eastAsiaTheme="majorEastAsia" w:cstheme="majorEastAsia"/>
          <w:sz w:val="24"/>
          <w:szCs w:val="24"/>
        </w:rPr>
      </w:pPr>
    </w:p>
    <w:p w14:paraId="369D886B">
      <w:pPr>
        <w:ind w:firstLine="480"/>
        <w:rPr>
          <w:rFonts w:hint="eastAsia" w:asciiTheme="majorEastAsia" w:hAnsiTheme="majorEastAsia" w:eastAsiaTheme="majorEastAsia" w:cstheme="majorEastAsia"/>
          <w:sz w:val="24"/>
          <w:szCs w:val="24"/>
        </w:rPr>
      </w:pPr>
    </w:p>
    <w:p w14:paraId="70239CEE">
      <w:pPr>
        <w:ind w:firstLine="480"/>
        <w:rPr>
          <w:rFonts w:hint="eastAsia" w:asciiTheme="majorEastAsia" w:hAnsiTheme="majorEastAsia" w:eastAsiaTheme="majorEastAsia" w:cstheme="majorEastAsia"/>
          <w:sz w:val="24"/>
          <w:szCs w:val="24"/>
        </w:rPr>
      </w:pPr>
    </w:p>
    <w:p w14:paraId="4AB6CD88">
      <w:pPr>
        <w:ind w:firstLine="480"/>
        <w:rPr>
          <w:rFonts w:hint="eastAsia" w:asciiTheme="majorEastAsia" w:hAnsiTheme="majorEastAsia" w:eastAsiaTheme="majorEastAsia" w:cstheme="majorEastAsia"/>
          <w:sz w:val="24"/>
          <w:szCs w:val="24"/>
        </w:rPr>
      </w:pPr>
    </w:p>
    <w:p w14:paraId="139FF02C">
      <w:pPr>
        <w:ind w:firstLine="480"/>
        <w:rPr>
          <w:rFonts w:hint="eastAsia" w:asciiTheme="majorEastAsia" w:hAnsiTheme="majorEastAsia" w:eastAsiaTheme="majorEastAsia" w:cstheme="majorEastAsia"/>
          <w:sz w:val="24"/>
          <w:szCs w:val="24"/>
        </w:rPr>
      </w:pPr>
    </w:p>
    <w:p w14:paraId="686E2AD7">
      <w:pPr>
        <w:ind w:firstLine="480"/>
        <w:rPr>
          <w:rFonts w:hint="eastAsia" w:asciiTheme="majorEastAsia" w:hAnsiTheme="majorEastAsia" w:eastAsiaTheme="majorEastAsia" w:cstheme="majorEastAsia"/>
          <w:sz w:val="24"/>
          <w:szCs w:val="24"/>
        </w:rPr>
      </w:pPr>
    </w:p>
    <w:p w14:paraId="13C6245B">
      <w:pPr>
        <w:ind w:firstLine="480"/>
        <w:rPr>
          <w:rFonts w:hint="eastAsia" w:asciiTheme="majorEastAsia" w:hAnsiTheme="majorEastAsia" w:eastAsiaTheme="majorEastAsia" w:cstheme="majorEastAsia"/>
          <w:sz w:val="24"/>
          <w:szCs w:val="24"/>
        </w:rPr>
      </w:pPr>
    </w:p>
    <w:p w14:paraId="0602F87A">
      <w:pPr>
        <w:ind w:firstLine="480"/>
        <w:rPr>
          <w:rFonts w:hint="eastAsia" w:asciiTheme="majorEastAsia" w:hAnsiTheme="majorEastAsia" w:eastAsiaTheme="majorEastAsia" w:cstheme="majorEastAsia"/>
          <w:sz w:val="24"/>
          <w:szCs w:val="24"/>
        </w:rPr>
      </w:pPr>
    </w:p>
    <w:p w14:paraId="5E350EDD">
      <w:pPr>
        <w:ind w:firstLine="480"/>
        <w:rPr>
          <w:rFonts w:hint="eastAsia" w:asciiTheme="majorEastAsia" w:hAnsiTheme="majorEastAsia" w:eastAsiaTheme="majorEastAsia" w:cstheme="majorEastAsia"/>
          <w:sz w:val="24"/>
          <w:szCs w:val="24"/>
        </w:rPr>
      </w:pPr>
    </w:p>
    <w:p w14:paraId="653807F5">
      <w:pPr>
        <w:ind w:firstLine="480"/>
        <w:rPr>
          <w:rFonts w:hint="eastAsia" w:asciiTheme="majorEastAsia" w:hAnsiTheme="majorEastAsia" w:eastAsiaTheme="majorEastAsia" w:cstheme="majorEastAsia"/>
          <w:sz w:val="24"/>
          <w:szCs w:val="24"/>
        </w:rPr>
      </w:pPr>
    </w:p>
    <w:p w14:paraId="6E8F62EE">
      <w:pPr>
        <w:ind w:firstLine="480"/>
        <w:rPr>
          <w:rFonts w:hint="eastAsia" w:asciiTheme="majorEastAsia" w:hAnsiTheme="majorEastAsia" w:eastAsiaTheme="majorEastAsia" w:cstheme="majorEastAsia"/>
          <w:sz w:val="24"/>
          <w:szCs w:val="24"/>
        </w:rPr>
      </w:pPr>
    </w:p>
    <w:p w14:paraId="27BF2FBD">
      <w:pPr>
        <w:ind w:firstLine="480"/>
        <w:rPr>
          <w:rFonts w:hint="eastAsia" w:asciiTheme="majorEastAsia" w:hAnsiTheme="majorEastAsia" w:eastAsiaTheme="majorEastAsia" w:cstheme="majorEastAsia"/>
          <w:sz w:val="24"/>
          <w:szCs w:val="24"/>
        </w:rPr>
      </w:pPr>
    </w:p>
    <w:p w14:paraId="5A3C9870">
      <w:pPr>
        <w:ind w:firstLine="480"/>
        <w:rPr>
          <w:rFonts w:hint="eastAsia" w:asciiTheme="majorEastAsia" w:hAnsiTheme="majorEastAsia" w:eastAsiaTheme="majorEastAsia" w:cstheme="majorEastAsia"/>
          <w:sz w:val="24"/>
          <w:szCs w:val="24"/>
        </w:rPr>
      </w:pPr>
    </w:p>
    <w:p w14:paraId="2B856BE8">
      <w:pPr>
        <w:ind w:firstLine="480"/>
        <w:rPr>
          <w:rFonts w:hint="eastAsia" w:asciiTheme="majorEastAsia" w:hAnsiTheme="majorEastAsia" w:eastAsiaTheme="majorEastAsia" w:cstheme="majorEastAsia"/>
          <w:sz w:val="24"/>
          <w:szCs w:val="24"/>
        </w:rPr>
      </w:pPr>
    </w:p>
    <w:p w14:paraId="7067666A">
      <w:pPr>
        <w:ind w:firstLine="480"/>
        <w:rPr>
          <w:rFonts w:hint="eastAsia" w:asciiTheme="majorEastAsia" w:hAnsiTheme="majorEastAsia" w:eastAsiaTheme="majorEastAsia" w:cstheme="majorEastAsia"/>
          <w:sz w:val="24"/>
          <w:szCs w:val="24"/>
        </w:rPr>
      </w:pPr>
    </w:p>
    <w:p w14:paraId="142C8A25">
      <w:pPr>
        <w:ind w:firstLine="480"/>
        <w:rPr>
          <w:rFonts w:hint="eastAsia" w:asciiTheme="majorEastAsia" w:hAnsiTheme="majorEastAsia" w:eastAsiaTheme="majorEastAsia" w:cstheme="majorEastAsia"/>
          <w:sz w:val="24"/>
          <w:szCs w:val="24"/>
        </w:rPr>
      </w:pPr>
    </w:p>
    <w:p w14:paraId="6253711C">
      <w:pPr>
        <w:ind w:firstLine="480"/>
        <w:rPr>
          <w:rFonts w:hint="eastAsia" w:asciiTheme="majorEastAsia" w:hAnsiTheme="majorEastAsia" w:eastAsiaTheme="majorEastAsia" w:cstheme="majorEastAsia"/>
          <w:sz w:val="24"/>
          <w:szCs w:val="24"/>
        </w:rPr>
      </w:pPr>
    </w:p>
    <w:p w14:paraId="196A8C3F">
      <w:pPr>
        <w:ind w:firstLine="480"/>
        <w:rPr>
          <w:rFonts w:hint="eastAsia" w:asciiTheme="majorEastAsia" w:hAnsiTheme="majorEastAsia" w:eastAsiaTheme="majorEastAsia" w:cstheme="majorEastAsia"/>
          <w:sz w:val="24"/>
          <w:szCs w:val="24"/>
        </w:rPr>
      </w:pPr>
    </w:p>
    <w:p w14:paraId="5F97E55C">
      <w:pPr>
        <w:ind w:firstLine="480"/>
        <w:rPr>
          <w:rFonts w:hint="eastAsia" w:asciiTheme="majorEastAsia" w:hAnsiTheme="majorEastAsia" w:eastAsiaTheme="majorEastAsia" w:cstheme="majorEastAsia"/>
          <w:sz w:val="24"/>
          <w:szCs w:val="24"/>
        </w:rPr>
      </w:pPr>
    </w:p>
    <w:p w14:paraId="58F27B05">
      <w:pPr>
        <w:ind w:firstLine="480"/>
        <w:rPr>
          <w:rFonts w:hint="eastAsia" w:asciiTheme="majorEastAsia" w:hAnsiTheme="majorEastAsia" w:eastAsiaTheme="majorEastAsia" w:cstheme="majorEastAsia"/>
          <w:sz w:val="24"/>
          <w:szCs w:val="24"/>
        </w:rPr>
      </w:pPr>
    </w:p>
    <w:p w14:paraId="3C685C49">
      <w:pPr>
        <w:ind w:firstLine="480"/>
        <w:rPr>
          <w:rFonts w:hint="eastAsia" w:asciiTheme="majorEastAsia" w:hAnsiTheme="majorEastAsia" w:eastAsiaTheme="majorEastAsia" w:cstheme="majorEastAsia"/>
          <w:sz w:val="24"/>
          <w:szCs w:val="24"/>
        </w:rPr>
      </w:pPr>
    </w:p>
    <w:p w14:paraId="70FD485B">
      <w:pPr>
        <w:ind w:firstLine="480"/>
        <w:rPr>
          <w:rFonts w:hint="eastAsia" w:asciiTheme="majorEastAsia" w:hAnsiTheme="majorEastAsia" w:eastAsiaTheme="majorEastAsia" w:cstheme="majorEastAsia"/>
          <w:sz w:val="24"/>
          <w:szCs w:val="24"/>
        </w:rPr>
      </w:pPr>
    </w:p>
    <w:p w14:paraId="1E5BAD9E">
      <w:pPr>
        <w:ind w:firstLine="480"/>
        <w:rPr>
          <w:rFonts w:hint="eastAsia" w:asciiTheme="majorEastAsia" w:hAnsiTheme="majorEastAsia" w:eastAsiaTheme="majorEastAsia" w:cstheme="majorEastAsia"/>
          <w:sz w:val="24"/>
          <w:szCs w:val="24"/>
        </w:rPr>
      </w:pPr>
    </w:p>
    <w:p w14:paraId="7E522CB2">
      <w:pPr>
        <w:ind w:firstLine="480"/>
        <w:rPr>
          <w:rFonts w:hint="eastAsia" w:asciiTheme="majorEastAsia" w:hAnsiTheme="majorEastAsia" w:eastAsiaTheme="majorEastAsia" w:cstheme="majorEastAsia"/>
          <w:sz w:val="24"/>
          <w:szCs w:val="24"/>
        </w:rPr>
      </w:pPr>
    </w:p>
    <w:p w14:paraId="2784BD04">
      <w:pPr>
        <w:ind w:firstLine="480"/>
        <w:rPr>
          <w:rFonts w:hint="eastAsia" w:asciiTheme="majorEastAsia" w:hAnsiTheme="majorEastAsia" w:eastAsiaTheme="majorEastAsia" w:cstheme="majorEastAsia"/>
          <w:sz w:val="24"/>
          <w:szCs w:val="24"/>
        </w:rPr>
      </w:pPr>
    </w:p>
    <w:p w14:paraId="00A4F2FD">
      <w:pPr>
        <w:ind w:firstLine="480"/>
        <w:rPr>
          <w:rFonts w:hint="eastAsia" w:asciiTheme="majorEastAsia" w:hAnsiTheme="majorEastAsia" w:eastAsiaTheme="majorEastAsia" w:cstheme="majorEastAsia"/>
          <w:sz w:val="24"/>
          <w:szCs w:val="24"/>
        </w:rPr>
      </w:pPr>
    </w:p>
    <w:p w14:paraId="0DEC3FBD">
      <w:pPr>
        <w:pStyle w:val="6"/>
        <w:outlineLvl w:val="2"/>
        <w:rPr>
          <w:rFonts w:hint="eastAsia" w:hAnsi="宋体" w:eastAsia="宋体" w:cs="宋体"/>
          <w:b/>
          <w:bCs/>
          <w:color w:val="000000"/>
          <w:sz w:val="24"/>
          <w:szCs w:val="24"/>
        </w:rPr>
      </w:pPr>
      <w:r>
        <w:rPr>
          <w:rFonts w:hint="eastAsia" w:hAnsi="宋体" w:eastAsia="宋体" w:cs="宋体"/>
          <w:b/>
          <w:bCs/>
          <w:color w:val="000000"/>
          <w:sz w:val="24"/>
          <w:szCs w:val="24"/>
        </w:rPr>
        <w:t xml:space="preserve"> </w:t>
      </w: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14:paraId="3B55DB0D">
      <w:pPr>
        <w:pStyle w:val="6"/>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6"/>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14:paraId="0E62184D">
      <w:pPr>
        <w:pStyle w:val="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14:paraId="644AF512">
      <w:pPr>
        <w:pStyle w:val="6"/>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6"/>
      </w:pPr>
      <w:r>
        <w:rPr>
          <w:rFonts w:hint="eastAsia" w:hAnsi="宋体" w:eastAsia="宋体" w:cs="宋体"/>
          <w:b/>
          <w:bCs/>
          <w:color w:val="000000"/>
          <w:sz w:val="24"/>
          <w:szCs w:val="28"/>
          <w:highlight w:val="yellow"/>
        </w:rPr>
        <w:t>2.配套能力“供货类别”填“”，业务主管部门选择“”。</w:t>
      </w:r>
    </w:p>
    <w:p w14:paraId="3903C1BE">
      <w:pPr>
        <w:pStyle w:val="6"/>
        <w:sectPr>
          <w:pgSz w:w="11906" w:h="16838"/>
          <w:pgMar w:top="1588" w:right="1418" w:bottom="1134" w:left="1418" w:header="851" w:footer="992" w:gutter="0"/>
          <w:cols w:space="720" w:num="1"/>
          <w:titlePg/>
          <w:docGrid w:type="lines" w:linePitch="312" w:charSpace="0"/>
        </w:sectPr>
      </w:pPr>
    </w:p>
    <w:p w14:paraId="602C5616">
      <w:pPr>
        <w:pStyle w:val="6"/>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https://ecaitong.sinotruk.com:8012/</w:t>
      </w:r>
      <w:r>
        <w:rPr>
          <w:rStyle w:val="17"/>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6"/>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14:paraId="3156304E">
      <w:pPr>
        <w:pStyle w:val="6"/>
        <w:rPr>
          <w:rFonts w:hint="eastAsia" w:hAnsi="宋体" w:eastAsia="宋体" w:cs="Times New Roman"/>
          <w:b/>
          <w:color w:val="000000"/>
          <w:sz w:val="24"/>
          <w:szCs w:val="24"/>
        </w:rPr>
      </w:pPr>
    </w:p>
    <w:p w14:paraId="15DACC85">
      <w:pPr>
        <w:pStyle w:val="6"/>
        <w:rPr>
          <w:rFonts w:hint="eastAsia" w:hAnsi="宋体" w:eastAsia="宋体" w:cs="Times New Roman"/>
          <w:b/>
          <w:color w:val="000000"/>
          <w:sz w:val="24"/>
          <w:szCs w:val="24"/>
        </w:rPr>
      </w:pPr>
    </w:p>
    <w:p w14:paraId="33F89EEB">
      <w:pPr>
        <w:pStyle w:val="6"/>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42049B"/>
    <w:multiLevelType w:val="multilevel"/>
    <w:tmpl w:val="5942049B"/>
    <w:lvl w:ilvl="0" w:tentative="0">
      <w:start w:val="1"/>
      <w:numFmt w:val="decimal"/>
      <w:suff w:val="space"/>
      <w:lvlText w:val="%1)"/>
      <w:lvlJc w:val="left"/>
      <w:pPr>
        <w:ind w:left="1050" w:hanging="420"/>
      </w:pPr>
      <w:rPr>
        <w:rFonts w:hint="eastAsia"/>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9B67CF1"/>
    <w:rsid w:val="44907102"/>
    <w:rsid w:val="48EF075C"/>
    <w:rsid w:val="630470DB"/>
    <w:rsid w:val="6BD8578E"/>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9"/>
    <w:pPr>
      <w:keepNext/>
      <w:spacing w:before="240" w:after="60"/>
      <w:outlineLvl w:val="1"/>
    </w:pPr>
    <w:rPr>
      <w:rFonts w:ascii="Cambria" w:hAnsi="Cambria"/>
      <w:b/>
      <w:bCs/>
      <w:i/>
      <w:iCs/>
      <w:sz w:val="28"/>
      <w:szCs w:val="28"/>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Indent"/>
    <w:basedOn w:val="1"/>
    <w:next w:val="3"/>
    <w:qFormat/>
    <w:uiPriority w:val="99"/>
    <w:pPr>
      <w:spacing w:after="120"/>
      <w:ind w:left="420" w:leftChars="200"/>
    </w:pPr>
    <w:rPr>
      <w:rFonts w:ascii="Calibri" w:hAnsi="Calibri"/>
      <w:sz w:val="22"/>
    </w:rPr>
  </w:style>
  <w:style w:type="paragraph" w:styleId="3">
    <w:name w:val="Body Text First Indent 2"/>
    <w:basedOn w:val="2"/>
    <w:qFormat/>
    <w:uiPriority w:val="0"/>
    <w:pPr>
      <w:spacing w:line="360" w:lineRule="auto"/>
      <w:ind w:firstLine="200" w:firstLineChars="200"/>
    </w:pPr>
    <w:rPr>
      <w:sz w:val="24"/>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TML Definition"/>
    <w:basedOn w:val="10"/>
    <w:qFormat/>
    <w:uiPriority w:val="0"/>
  </w:style>
  <w:style w:type="character" w:styleId="14">
    <w:name w:val="HTML Typewriter"/>
    <w:basedOn w:val="10"/>
    <w:qFormat/>
    <w:uiPriority w:val="0"/>
    <w:rPr>
      <w:rFonts w:hint="default" w:ascii="monospace" w:hAnsi="monospace" w:eastAsia="monospace" w:cs="monospace"/>
      <w:sz w:val="20"/>
    </w:rPr>
  </w:style>
  <w:style w:type="character" w:styleId="15">
    <w:name w:val="HTML Acronym"/>
    <w:basedOn w:val="10"/>
    <w:qFormat/>
    <w:uiPriority w:val="0"/>
  </w:style>
  <w:style w:type="character" w:styleId="16">
    <w:name w:val="HTML Variable"/>
    <w:basedOn w:val="10"/>
    <w:qFormat/>
    <w:uiPriority w:val="0"/>
  </w:style>
  <w:style w:type="character" w:styleId="17">
    <w:name w:val="Hyperlink"/>
    <w:basedOn w:val="10"/>
    <w:qFormat/>
    <w:uiPriority w:val="0"/>
    <w:rPr>
      <w:color w:val="0000FF"/>
      <w:u w:val="none"/>
    </w:rPr>
  </w:style>
  <w:style w:type="character" w:styleId="18">
    <w:name w:val="HTML Code"/>
    <w:basedOn w:val="10"/>
    <w:qFormat/>
    <w:uiPriority w:val="0"/>
    <w:rPr>
      <w:rFonts w:hint="default" w:ascii="monospace" w:hAnsi="monospace" w:eastAsia="monospace" w:cs="monospace"/>
      <w:sz w:val="20"/>
    </w:rPr>
  </w:style>
  <w:style w:type="character" w:styleId="19">
    <w:name w:val="HTML Cite"/>
    <w:basedOn w:val="10"/>
    <w:qFormat/>
    <w:uiPriority w:val="0"/>
  </w:style>
  <w:style w:type="character" w:styleId="20">
    <w:name w:val="HTML Keyboard"/>
    <w:basedOn w:val="10"/>
    <w:qFormat/>
    <w:uiPriority w:val="0"/>
    <w:rPr>
      <w:rFonts w:ascii="monospace" w:hAnsi="monospace" w:eastAsia="monospace" w:cs="monospace"/>
      <w:sz w:val="20"/>
    </w:rPr>
  </w:style>
  <w:style w:type="character" w:styleId="21">
    <w:name w:val="HTML Sample"/>
    <w:basedOn w:val="10"/>
    <w:qFormat/>
    <w:uiPriority w:val="0"/>
    <w:rPr>
      <w:rFonts w:hint="default" w:ascii="monospace" w:hAnsi="monospace" w:eastAsia="monospace" w:cs="monospac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2156</Words>
  <Characters>2399</Characters>
  <Lines>0</Lines>
  <Paragraphs>0</Paragraphs>
  <TotalTime>3</TotalTime>
  <ScaleCrop>false</ScaleCrop>
  <LinksUpToDate>false</LinksUpToDate>
  <CharactersWithSpaces>2497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0174L</cp:lastModifiedBy>
  <dcterms:modified xsi:type="dcterms:W3CDTF">2026-01-16T07:52:58Z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eyJoZGlkIjoiZDZiY2E3MTk3OWVkMDZmNDgwYmUwNDViMmIxMTA0OGYiLCJ1c2VySWQiOiIxMTQwNDY2NTAwIn0=</vt:lpwstr>
  </property>
  <property fmtid="{D5CDD505-2E9C-101B-9397-08002B2CF9AE}" pid="4" name="ICV">
    <vt:lpwstr>36BA767B9B1647D78DB7367FAC05A487_13</vt:lpwstr>
  </property>
</Properties>
</file>