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部分部门级会议室增加投屏设备、中国重汽新建质检中心弱电及公用系统硬件项目（会议平板等设备采购）、济南部件公司智慧屏设备采购项目招标公告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ZBGL2026010095</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w:t>
            </w:r>
            <w:r>
              <w:rPr>
                <w:rFonts w:hint="eastAsia" w:ascii="微软雅黑" w:hAnsi="微软雅黑" w:eastAsia="微软雅黑" w:cs="微软雅黑"/>
                <w:color w:val="333333"/>
                <w:kern w:val="0"/>
                <w:sz w:val="24"/>
                <w:szCs w:val="24"/>
                <w:highlight w:val="none"/>
                <w:lang w:val="en-US" w:eastAsia="zh-CN" w:bidi="ar"/>
              </w:rPr>
              <w:t>26-1-19</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w:t>
            </w:r>
            <w:r>
              <w:rPr>
                <w:rFonts w:hint="eastAsia" w:ascii="微软雅黑" w:hAnsi="微软雅黑" w:eastAsia="微软雅黑" w:cs="微软雅黑"/>
                <w:color w:val="333333"/>
                <w:kern w:val="0"/>
                <w:sz w:val="24"/>
                <w:szCs w:val="24"/>
                <w:highlight w:val="none"/>
                <w:lang w:val="en-US" w:eastAsia="zh-CN" w:bidi="ar"/>
              </w:rPr>
              <w:t>6-1-26</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FE238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highlight w:val="none"/>
          <w:lang w:val="en-US" w:eastAsia="zh-CN"/>
        </w:rPr>
        <w:t>分包一项目概况：当前，公司业务规模持续扩大，内部沟通、临时洽谈及部门汇报工作日益频繁。为更好地满足各单位高效、便捷的会议需求，提升会议效率与信息化水平，办公室现拟为部分使用频率较高的部门级小会议室增配投屏设备（含移动支架及高清线）。经与相关部门共同调研及沟通，并结合实际使用情况，初步采购75吋电视24台、85/86吋电视1台、100吋电视3台共28台。</w:t>
      </w:r>
    </w:p>
    <w:p w14:paraId="25D9326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2、分包二项目概况：新建质检中心会议平板等设备采购项目属于新建质检中心项目附属子项目，项目使用地点位于山东省济南市章丘区豪沃客车园区，该项目由中国重汽集团质量部牵头，数智化转型发展部等相关部门配合开展，为满足日常工作会议需求，计划购置3台86寸会议平板、3台65寸显示屏等设备并2026年3月前投入使用。</w:t>
      </w:r>
    </w:p>
    <w:p w14:paraId="6E54CA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3、分包三项目概况：济南部件公司综合管理部229会议室、财务部236会议室和传动轴加工部123会议室为公司日常频繁使用会议室，但因会议室目前尚不具备投影仪、摄像头等任何会议设备，导致工作汇报效率低、会议质量差等问题发生，无法正常满足会议需求。为解决上述问题，提升工作效率，部件公司拟申请采购3台会议智慧屏。</w:t>
      </w:r>
    </w:p>
    <w:p w14:paraId="11A1BE84">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40" w:lineRule="exact"/>
        <w:ind w:leftChars="0"/>
        <w:textAlignment w:val="auto"/>
        <w:outlineLvl w:val="0"/>
        <w:rPr>
          <w:rFonts w:hint="eastAsia" w:asciiTheme="majorEastAsia" w:hAnsiTheme="majorEastAsia" w:eastAsiaTheme="majorEastAsia" w:cstheme="majorEastAsia"/>
          <w:b/>
          <w:bCs/>
          <w:sz w:val="24"/>
          <w:szCs w:val="24"/>
          <w:highlight w:val="none"/>
        </w:rPr>
      </w:pPr>
    </w:p>
    <w:p w14:paraId="64514EE3">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40" w:lineRule="exact"/>
        <w:ind w:leftChars="0"/>
        <w:textAlignment w:val="auto"/>
        <w:outlineLvl w:val="0"/>
        <w:rPr>
          <w:rFonts w:hint="eastAsia" w:asciiTheme="majorEastAsia" w:hAnsiTheme="majorEastAsia" w:eastAsiaTheme="majorEastAsia" w:cstheme="majorEastAsia"/>
          <w:b/>
          <w:bCs/>
          <w:sz w:val="24"/>
          <w:szCs w:val="24"/>
          <w:highlight w:val="none"/>
        </w:rPr>
      </w:pPr>
    </w:p>
    <w:p w14:paraId="486AED8C">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40" w:lineRule="exact"/>
        <w:ind w:leftChars="0"/>
        <w:textAlignment w:val="auto"/>
        <w:outlineLvl w:val="0"/>
        <w:rPr>
          <w:rFonts w:hint="eastAsia" w:asciiTheme="majorEastAsia" w:hAnsiTheme="majorEastAsia" w:eastAsiaTheme="majorEastAsia" w:cstheme="majorEastAsia"/>
          <w:b/>
          <w:bCs/>
          <w:sz w:val="24"/>
          <w:szCs w:val="24"/>
          <w:highlight w:val="none"/>
        </w:rPr>
      </w:pP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项目基本情况  </w:t>
      </w:r>
    </w:p>
    <w:p w14:paraId="59182468">
      <w:pPr>
        <w:pStyle w:val="22"/>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54" w:leftChars="0" w:hanging="454" w:firstLineChars="0"/>
        <w:textAlignment w:val="auto"/>
        <w:rPr>
          <w:rFonts w:hint="eastAsia" w:ascii="宋体" w:hAnsi="Courier New" w:eastAsia="宋体" w:cs="Times New Roman"/>
          <w:kern w:val="2"/>
          <w:sz w:val="21"/>
          <w:lang w:val="en-US" w:eastAsia="zh-CN" w:bidi="ar-SA"/>
        </w:rPr>
      </w:pPr>
      <w:r>
        <w:rPr>
          <w:rFonts w:hint="eastAsia" w:asciiTheme="majorEastAsia" w:hAnsiTheme="majorEastAsia" w:eastAsiaTheme="majorEastAsia" w:cstheme="majorEastAsia"/>
          <w:sz w:val="24"/>
          <w:szCs w:val="24"/>
          <w:highlight w:val="none"/>
        </w:rPr>
        <w:t>项目名称：</w:t>
      </w:r>
    </w:p>
    <w:p w14:paraId="19B3D977">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Courier New" w:eastAsia="宋体" w:cs="Times New Roman"/>
          <w:kern w:val="2"/>
          <w:sz w:val="21"/>
          <w:lang w:val="en-US" w:eastAsia="zh-CN" w:bidi="ar-SA"/>
        </w:rPr>
      </w:pPr>
      <w:r>
        <w:rPr>
          <w:rFonts w:hint="eastAsia"/>
          <w:lang w:val="en-US" w:eastAsia="zh-CN"/>
        </w:rPr>
        <w:t>分包一</w:t>
      </w:r>
      <w:r>
        <w:rPr>
          <w:rFonts w:hint="eastAsia"/>
        </w:rPr>
        <w:t>项目名称：</w:t>
      </w:r>
      <w:r>
        <w:rPr>
          <w:rFonts w:hint="eastAsia"/>
          <w:highlight w:val="none"/>
          <w:lang w:val="en-US" w:eastAsia="zh-CN"/>
        </w:rPr>
        <w:t>部分部门级会议室增加投屏设备-办公室增加投屏设备</w:t>
      </w:r>
    </w:p>
    <w:p w14:paraId="17DDA930">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Courier New" w:eastAsia="宋体" w:cs="Times New Roman"/>
          <w:kern w:val="2"/>
          <w:sz w:val="21"/>
          <w:lang w:val="en-US" w:eastAsia="zh-CN" w:bidi="ar-SA"/>
        </w:rPr>
      </w:pPr>
      <w:r>
        <w:rPr>
          <w:rFonts w:hint="eastAsia"/>
          <w:lang w:val="en-US" w:eastAsia="zh-CN"/>
        </w:rPr>
        <w:t>分包二</w:t>
      </w:r>
      <w:r>
        <w:rPr>
          <w:rFonts w:hint="eastAsia"/>
        </w:rPr>
        <w:t>项目名称：</w:t>
      </w:r>
      <w:r>
        <w:rPr>
          <w:rFonts w:hint="eastAsia" w:ascii="宋体" w:hAnsi="Courier New" w:eastAsia="宋体" w:cs="Times New Roman"/>
          <w:kern w:val="2"/>
          <w:sz w:val="21"/>
          <w:lang w:val="en-US" w:eastAsia="zh-CN" w:bidi="ar-SA"/>
        </w:rPr>
        <w:t>新建质检中心弱电及公用系统硬件项目-会议平板等采购</w:t>
      </w:r>
    </w:p>
    <w:p w14:paraId="382E2E2C">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Theme="majorEastAsia" w:hAnsiTheme="majorEastAsia" w:eastAsiaTheme="majorEastAsia" w:cstheme="majorEastAsia"/>
          <w:sz w:val="24"/>
          <w:szCs w:val="24"/>
          <w:highlight w:val="none"/>
        </w:rPr>
      </w:pPr>
      <w:r>
        <w:rPr>
          <w:rFonts w:hint="eastAsia"/>
          <w:lang w:val="en-US" w:eastAsia="zh-CN"/>
        </w:rPr>
        <w:t>分包三</w:t>
      </w:r>
      <w:r>
        <w:rPr>
          <w:rFonts w:hint="eastAsia"/>
        </w:rPr>
        <w:t>项目名称：</w:t>
      </w:r>
      <w:r>
        <w:rPr>
          <w:rFonts w:hint="eastAsia" w:ascii="Times New Roman" w:hAnsi="Times New Roman" w:eastAsia="宋体" w:cs="Times New Roman"/>
          <w:color w:val="auto"/>
          <w:kern w:val="2"/>
          <w:sz w:val="21"/>
          <w:highlight w:val="none"/>
          <w:lang w:val="en-US" w:eastAsia="zh-CN" w:bidi="ar-SA"/>
        </w:rPr>
        <w:t>济南部件公司智慧屏采购技改项目</w:t>
      </w:r>
    </w:p>
    <w:p w14:paraId="3B4F423A">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货物 / 会议设备</w:t>
      </w:r>
    </w:p>
    <w:p w14:paraId="05E252E5">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0E74442">
      <w:pPr>
        <w:pStyle w:val="22"/>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asciiTheme="majorEastAsia" w:hAnsiTheme="majorEastAsia" w:eastAsiaTheme="majorEastAsia" w:cstheme="majorEastAsia"/>
          <w:sz w:val="24"/>
          <w:szCs w:val="24"/>
          <w:highlight w:val="none"/>
        </w:rPr>
        <w:t>采购内容：</w:t>
      </w:r>
    </w:p>
    <w:p w14:paraId="33C95E10">
      <w:pPr>
        <w:pStyle w:val="22"/>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textAlignment w:val="auto"/>
        <w:rPr>
          <w:rFonts w:hint="eastAsia" w:ascii="宋体" w:eastAsia="宋体"/>
          <w:highlight w:val="none"/>
          <w:lang w:val="en-US" w:eastAsia="zh-CN"/>
        </w:rPr>
      </w:pPr>
      <w:r>
        <w:rPr>
          <w:rFonts w:hint="eastAsia"/>
          <w:highlight w:val="none"/>
          <w:lang w:val="en-US" w:eastAsia="zh-CN"/>
        </w:rPr>
        <w:t>分包一采购内容</w:t>
      </w:r>
      <w:r>
        <w:rPr>
          <w:rFonts w:hint="eastAsia" w:ascii="宋体" w:eastAsia="宋体"/>
          <w:highlight w:val="none"/>
          <w:lang w:val="en-US" w:eastAsia="zh-CN"/>
        </w:rPr>
        <w:t>：当前，公司业务规模持续扩大，内部沟通、临时洽谈及部门汇报工作日益频繁。为更好地满足各单位高效、便捷的会议需求，提升会议效率与信息化水平，办公室现拟为部分使用频率较高的部门级小会议室增配投屏设备（含移动支架及高清线）。经与相关部门共同调研及沟通，并结合实际使用情况，初步采购75吋电视24台、85/86吋电视1台、100吋电视3台共28台。</w:t>
      </w:r>
    </w:p>
    <w:p w14:paraId="1E221769">
      <w:pPr>
        <w:pStyle w:val="22"/>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textAlignment w:val="auto"/>
        <w:rPr>
          <w:rFonts w:hint="default" w:asciiTheme="majorEastAsia" w:hAnsiTheme="majorEastAsia" w:eastAsiaTheme="majorEastAsia" w:cstheme="majorEastAsia"/>
          <w:sz w:val="24"/>
          <w:szCs w:val="24"/>
          <w:highlight w:val="none"/>
          <w:lang w:val="en-US" w:eastAsia="zh-CN"/>
        </w:rPr>
      </w:pPr>
      <w:r>
        <w:rPr>
          <w:rFonts w:hint="eastAsia"/>
          <w:highlight w:val="none"/>
          <w:lang w:val="en-US" w:eastAsia="zh-CN"/>
        </w:rPr>
        <w:t>分包二采购内容：</w:t>
      </w:r>
      <w:r>
        <w:rPr>
          <w:rFonts w:hint="eastAsia" w:ascii="宋体" w:eastAsia="宋体"/>
          <w:highlight w:val="none"/>
          <w:lang w:val="en-US" w:eastAsia="zh-CN"/>
        </w:rPr>
        <w:t>新建质检中心会议平板等设备采购项目属于新建质检中心项目附属子项目，项目使用地点位于山东省济南市章丘区豪沃客车园区，该项目由中国重汽集团质量部牵头，数智化转型发展部等相关部门配合开展，为满足日常工作会议需求，计划购置</w:t>
      </w:r>
      <w:r>
        <w:rPr>
          <w:rFonts w:hint="eastAsia"/>
          <w:highlight w:val="none"/>
          <w:lang w:val="en-US" w:eastAsia="zh-CN"/>
        </w:rPr>
        <w:t>3台86寸</w:t>
      </w:r>
      <w:r>
        <w:rPr>
          <w:rFonts w:hint="eastAsia" w:ascii="宋体" w:eastAsia="宋体"/>
          <w:highlight w:val="none"/>
          <w:lang w:val="en-US" w:eastAsia="zh-CN"/>
        </w:rPr>
        <w:t>会议平板</w:t>
      </w:r>
      <w:r>
        <w:rPr>
          <w:rFonts w:hint="eastAsia"/>
          <w:highlight w:val="none"/>
          <w:lang w:val="en-US" w:eastAsia="zh-CN"/>
        </w:rPr>
        <w:t>、3台65寸显示屏</w:t>
      </w:r>
      <w:r>
        <w:rPr>
          <w:rFonts w:hint="eastAsia" w:ascii="宋体" w:eastAsia="宋体"/>
          <w:highlight w:val="none"/>
          <w:lang w:val="en-US" w:eastAsia="zh-CN"/>
        </w:rPr>
        <w:t>等设备并2026年3月前投入使用。</w:t>
      </w:r>
    </w:p>
    <w:p w14:paraId="68058399">
      <w:pPr>
        <w:pStyle w:val="22"/>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textAlignment w:val="auto"/>
        <w:rPr>
          <w:rFonts w:hint="default" w:asciiTheme="majorEastAsia" w:hAnsiTheme="majorEastAsia" w:eastAsiaTheme="majorEastAsia" w:cstheme="majorEastAsia"/>
          <w:sz w:val="24"/>
          <w:szCs w:val="24"/>
          <w:highlight w:val="none"/>
          <w:lang w:val="en-US" w:eastAsia="zh-CN"/>
        </w:rPr>
      </w:pPr>
      <w:r>
        <w:rPr>
          <w:rFonts w:hint="eastAsia"/>
          <w:highlight w:val="none"/>
          <w:lang w:val="en-US" w:eastAsia="zh-CN"/>
        </w:rPr>
        <w:t>分包三采购内容：</w:t>
      </w:r>
      <w:r>
        <w:rPr>
          <w:rFonts w:hint="eastAsia" w:ascii="Times New Roman" w:hAnsi="Times New Roman" w:eastAsia="宋体" w:cs="Times New Roman"/>
          <w:color w:val="auto"/>
          <w:kern w:val="2"/>
          <w:sz w:val="21"/>
          <w:highlight w:val="none"/>
          <w:lang w:val="en-US" w:eastAsia="zh-CN" w:bidi="ar-SA"/>
        </w:rPr>
        <w:t>济南部件公司综合管理部229会议室、财务部236会议室和传动轴加工部123会议室为公司日常频繁使用会议室，但因会议室目前尚不具备投影仪、摄像头等任何会议设备，导致工作汇报效率低、会议质量差等问题发生，无法正常满足会议需求。为解决上述问题，提升工作效率，部件公司拟申请采购3台会议智慧屏。</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1"/>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3F3018A9">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投标人须遵守《中华人民共和国招标投标法》及其它有关的法律和法规；为中华人民共和国境内注册的独立法人机构，具有独立承担民事责任能力；</w:t>
      </w:r>
    </w:p>
    <w:p w14:paraId="344A652F">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拟标投人必须是在中华人民共和国境内注册的独立法人机构，具有独立承担民事责任能力；注册资金不少于</w:t>
      </w:r>
      <w:r>
        <w:rPr>
          <w:rFonts w:hint="eastAsia"/>
          <w:lang w:val="en-US" w:eastAsia="zh-CN"/>
        </w:rPr>
        <w:t>30</w:t>
      </w:r>
      <w:r>
        <w:rPr>
          <w:rFonts w:hint="eastAsia"/>
        </w:rPr>
        <w:t>万人民币（或等值其他货币）；公司成立3年以上（以营业执照成立日期到开标当日满3年为准），且经营范围满足招标人需求；并在人员、设备、资金等方面具有承担本项目的能力；</w:t>
      </w:r>
    </w:p>
    <w:p w14:paraId="6163C7C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投标人须具有良好的商业信誉和健全的财务会计制度，财务状况和市场行为良好。没有处于被有权机关吊销营业执照、吊销资质、停业整顿、取消投标资格以及财产被接管、冻结或进入破产程序等；</w:t>
      </w:r>
    </w:p>
    <w:p w14:paraId="0155B0E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投标人在“信用中国”中未列入联合惩戒失信人名单，且工商行政管理局的《国家企业信用信息公示系统》中查询不存在不良记录；</w:t>
      </w:r>
    </w:p>
    <w:p w14:paraId="4F70CD22">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无招标违规、谎报年度报告信息、提供虚假资质资料等行为或其他行政处罚记录；</w:t>
      </w:r>
    </w:p>
    <w:p w14:paraId="357A802C">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近三年内在经营活动中无与本项目有关的违法及重大违规情况；</w:t>
      </w:r>
    </w:p>
    <w:p w14:paraId="416080F2">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投标人没有被列入招标人处《黑名单》（《黑名单》指投标人与招标人在以往或正在进行的合作中，存在招标人认为的违反合同约定或违反法律法规等的失信行为）的；</w:t>
      </w:r>
    </w:p>
    <w:p w14:paraId="2E3F9D9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公司经营范围满足招标项目需求；</w:t>
      </w:r>
    </w:p>
    <w:p w14:paraId="598E070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投标人须具有履行招标文件所有设备、专业技术等要求的能力；</w:t>
      </w:r>
    </w:p>
    <w:p w14:paraId="38B112A1">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投标人须有依法缴纳税收和社会保障资金的良好记录；</w:t>
      </w:r>
    </w:p>
    <w:p w14:paraId="7C2477F6">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具有本次招标货物的供货、安装、售后服务等的相应资质；</w:t>
      </w:r>
    </w:p>
    <w:p w14:paraId="1E1B1187">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投标人须负责提供合理的便于运输的包装物，并承担相关费用；</w:t>
      </w:r>
    </w:p>
    <w:p w14:paraId="0F7C36F2">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投标人须认可招标人的工作指令，包括节、假日能正常开展工作的要求。</w:t>
      </w:r>
    </w:p>
    <w:p w14:paraId="2B549FA8">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拟投标人的直接或间接股东、法定代表人、董事、监事、高管非重汽员工及其亲属；</w:t>
      </w:r>
    </w:p>
    <w:p w14:paraId="3AD35769">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投标人必须是最终投标、签订合同的单位，不得以任何理由将已中标项目以任何形式转包或者分包给其他单位；</w:t>
      </w:r>
    </w:p>
    <w:p w14:paraId="3661D780">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rPr>
      </w:pPr>
      <w:r>
        <w:rPr>
          <w:rFonts w:hint="eastAsia"/>
        </w:rPr>
        <w:t xml:space="preserve">本次招标项目不接受联合体投标。 </w:t>
      </w:r>
    </w:p>
    <w:p w14:paraId="2E457F8E">
      <w:pPr>
        <w:pStyle w:val="21"/>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0D713E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6D5AE1A4">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2.9</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0AAE421">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1C583371">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69D4398">
      <w:pPr>
        <w:pStyle w:val="22"/>
        <w:keepNext w:val="0"/>
        <w:keepLines w:val="0"/>
        <w:pageBreakBefore w:val="0"/>
        <w:widowControl w:val="0"/>
        <w:numPr>
          <w:ilvl w:val="1"/>
          <w:numId w:val="6"/>
        </w:numPr>
        <w:kinsoku/>
        <w:wordWrap/>
        <w:overflowPunct/>
        <w:topLinePunct w:val="0"/>
        <w:autoSpaceDE/>
        <w:autoSpaceDN/>
        <w:bidi w:val="0"/>
        <w:adjustRightInd/>
        <w:snapToGrid/>
        <w:spacing w:before="157" w:beforeLines="50"/>
        <w:ind w:left="652" w:leftChars="0" w:hanging="482" w:firstLineChars="0"/>
        <w:textAlignment w:val="auto"/>
        <w:rPr>
          <w:rFonts w:hint="eastAsia" w:ascii="宋体" w:hAnsi="宋体" w:eastAsia="宋体" w:cs="Times New Roman"/>
          <w:b w:val="0"/>
          <w:bCs/>
          <w:sz w:val="24"/>
          <w:szCs w:val="24"/>
        </w:rPr>
      </w:pPr>
      <w:r>
        <w:rPr>
          <w:rFonts w:hint="eastAsia"/>
          <w:b w:val="0"/>
          <w:bCs/>
          <w:sz w:val="24"/>
          <w:szCs w:val="24"/>
          <w:highlight w:val="none"/>
        </w:rPr>
        <w:t>营业执照副本原件</w:t>
      </w:r>
      <w:r>
        <w:rPr>
          <w:rFonts w:hint="eastAsia"/>
          <w:b w:val="0"/>
          <w:bCs/>
          <w:sz w:val="24"/>
          <w:szCs w:val="24"/>
          <w:highlight w:val="none"/>
          <w:lang w:val="en-US" w:eastAsia="zh-CN"/>
        </w:rPr>
        <w:t>或复印件</w:t>
      </w:r>
      <w:r>
        <w:rPr>
          <w:rFonts w:hint="default" w:ascii="宋体" w:hAnsi="宋体" w:eastAsia="宋体" w:cs="Times New Roman"/>
          <w:b w:val="0"/>
          <w:bCs/>
          <w:sz w:val="24"/>
          <w:szCs w:val="24"/>
        </w:rPr>
        <w:t>（需加盖公章）</w:t>
      </w:r>
      <w:r>
        <w:rPr>
          <w:rFonts w:hint="eastAsia" w:ascii="宋体" w:hAnsi="宋体" w:eastAsia="宋体" w:cs="Times New Roman"/>
          <w:b w:val="0"/>
          <w:bCs/>
          <w:sz w:val="24"/>
          <w:szCs w:val="24"/>
        </w:rPr>
        <w:t>；</w:t>
      </w:r>
    </w:p>
    <w:p w14:paraId="6846E5A6">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rPr>
      </w:pPr>
      <w:r>
        <w:rPr>
          <w:rFonts w:hint="default" w:ascii="宋体" w:hAnsi="宋体" w:eastAsia="宋体" w:cs="Times New Roman"/>
          <w:b w:val="0"/>
          <w:bCs/>
          <w:sz w:val="24"/>
          <w:szCs w:val="24"/>
        </w:rPr>
        <w:t>法定代表人授权书（</w:t>
      </w:r>
      <w:r>
        <w:rPr>
          <w:rFonts w:hint="default" w:ascii="宋体" w:hAnsi="宋体" w:eastAsia="宋体" w:cs="Times New Roman"/>
          <w:b w:val="0"/>
          <w:bCs/>
          <w:sz w:val="24"/>
          <w:szCs w:val="24"/>
          <w:highlight w:val="none"/>
        </w:rPr>
        <w:t>附件</w:t>
      </w:r>
      <w:r>
        <w:rPr>
          <w:rFonts w:hint="eastAsia" w:ascii="宋体" w:hAnsi="宋体" w:eastAsia="宋体" w:cs="Times New Roman"/>
          <w:b w:val="0"/>
          <w:bCs/>
          <w:sz w:val="24"/>
          <w:szCs w:val="24"/>
          <w:highlight w:val="none"/>
          <w:lang w:val="en-US" w:eastAsia="zh-CN"/>
        </w:rPr>
        <w:t>1</w:t>
      </w:r>
      <w:r>
        <w:rPr>
          <w:rFonts w:hint="default" w:ascii="宋体" w:hAnsi="宋体" w:eastAsia="宋体" w:cs="Times New Roman"/>
          <w:b w:val="0"/>
          <w:bCs/>
          <w:sz w:val="24"/>
          <w:szCs w:val="24"/>
        </w:rPr>
        <w:t>）；法定代表人参加投标的，提供法人身份证明文件即可；被授权人参加投标的，需提供法定代表人授权委托书（含法人身份证和被授权人身份证正反面复印件）</w:t>
      </w:r>
      <w:r>
        <w:rPr>
          <w:rFonts w:hint="default" w:ascii="宋体" w:hAnsi="宋体" w:eastAsia="宋体" w:cs="Times New Roman"/>
          <w:b w:val="0"/>
          <w:bCs/>
          <w:sz w:val="24"/>
          <w:szCs w:val="24"/>
          <w:lang w:val="en-US" w:eastAsia="zh-CN"/>
        </w:rPr>
        <w:t>和</w:t>
      </w:r>
      <w:r>
        <w:rPr>
          <w:rFonts w:hint="default" w:ascii="宋体" w:hAnsi="宋体" w:eastAsia="宋体" w:cs="Times New Roman"/>
          <w:b w:val="0"/>
          <w:bCs/>
          <w:sz w:val="24"/>
          <w:szCs w:val="24"/>
        </w:rPr>
        <w:t>被授权人近</w:t>
      </w:r>
      <w:r>
        <w:rPr>
          <w:rFonts w:hint="default" w:ascii="宋体" w:hAnsi="宋体" w:eastAsia="宋体" w:cs="Times New Roman"/>
          <w:b w:val="0"/>
          <w:bCs/>
          <w:sz w:val="24"/>
          <w:szCs w:val="24"/>
          <w:lang w:val="en-US" w:eastAsia="zh-CN"/>
        </w:rPr>
        <w:t>6</w:t>
      </w:r>
      <w:r>
        <w:rPr>
          <w:rFonts w:hint="default" w:ascii="宋体" w:hAnsi="宋体" w:eastAsia="宋体" w:cs="Times New Roman"/>
          <w:b w:val="0"/>
          <w:bCs/>
          <w:sz w:val="24"/>
          <w:szCs w:val="24"/>
        </w:rPr>
        <w:t>个月</w:t>
      </w:r>
      <w:r>
        <w:rPr>
          <w:rFonts w:hint="default" w:ascii="宋体" w:hAnsi="宋体" w:eastAsia="宋体" w:cs="Times New Roman"/>
          <w:b w:val="0"/>
          <w:bCs/>
          <w:sz w:val="24"/>
          <w:szCs w:val="24"/>
          <w:lang w:val="en-US" w:eastAsia="zh-CN"/>
        </w:rPr>
        <w:t>及以上在授权单位的社保</w:t>
      </w:r>
      <w:r>
        <w:rPr>
          <w:rFonts w:hint="default" w:ascii="宋体" w:hAnsi="宋体" w:eastAsia="宋体" w:cs="Times New Roman"/>
          <w:b w:val="0"/>
          <w:bCs/>
          <w:sz w:val="24"/>
          <w:szCs w:val="24"/>
        </w:rPr>
        <w:t>缴纳证明</w:t>
      </w:r>
      <w:r>
        <w:rPr>
          <w:rFonts w:hint="eastAsia" w:ascii="宋体" w:hAnsi="宋体" w:eastAsia="宋体" w:cs="Times New Roman"/>
          <w:b w:val="0"/>
          <w:bCs/>
          <w:sz w:val="24"/>
          <w:szCs w:val="24"/>
          <w:lang w:eastAsia="zh-CN"/>
        </w:rPr>
        <w:t>（</w:t>
      </w:r>
      <w:r>
        <w:rPr>
          <w:rFonts w:hint="eastAsia" w:ascii="宋体" w:hAnsi="宋体" w:eastAsia="宋体" w:cs="Times New Roman"/>
          <w:b w:val="0"/>
          <w:bCs/>
          <w:sz w:val="24"/>
          <w:szCs w:val="24"/>
          <w:lang w:val="en-US" w:eastAsia="zh-CN"/>
        </w:rPr>
        <w:t>需加盖公章</w:t>
      </w:r>
      <w:r>
        <w:rPr>
          <w:rFonts w:hint="eastAsia" w:ascii="宋体" w:hAnsi="宋体" w:eastAsia="宋体" w:cs="Times New Roman"/>
          <w:b w:val="0"/>
          <w:bCs/>
          <w:sz w:val="24"/>
          <w:szCs w:val="24"/>
          <w:lang w:eastAsia="zh-CN"/>
        </w:rPr>
        <w:t>）；</w:t>
      </w:r>
    </w:p>
    <w:p w14:paraId="3D816AD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rPr>
        <w:t>经会计师事务所审计且出具无保留意见的近三年的财务审计报告，并加盖公章，包括但不限于报告页、经审计的资产负债表、利润表、现金流量表及报表附注</w:t>
      </w:r>
      <w:r>
        <w:rPr>
          <w:rFonts w:hint="eastAsia" w:ascii="宋体" w:hAnsi="宋体" w:eastAsia="宋体" w:cs="Times New Roman"/>
          <w:b w:val="0"/>
          <w:bCs/>
          <w:sz w:val="24"/>
          <w:szCs w:val="24"/>
          <w:lang w:eastAsia="zh-CN"/>
        </w:rPr>
        <w:t>，且未显示异常</w:t>
      </w:r>
      <w:r>
        <w:rPr>
          <w:rFonts w:hint="eastAsia" w:ascii="宋体" w:hAnsi="宋体" w:eastAsia="宋体" w:cs="Times New Roman"/>
          <w:b w:val="0"/>
          <w:bCs/>
          <w:sz w:val="24"/>
          <w:szCs w:val="24"/>
        </w:rPr>
        <w:t>。如投标人公司没有经审计的财务报告，可提供加盖公章的近三年财务报表，包括但不限于资产负债表、利润表、现金流量表</w:t>
      </w:r>
      <w:r>
        <w:rPr>
          <w:rFonts w:hint="eastAsia" w:ascii="宋体" w:hAnsi="宋体" w:eastAsia="宋体" w:cs="Times New Roman"/>
          <w:b w:val="0"/>
          <w:bCs/>
          <w:sz w:val="24"/>
          <w:szCs w:val="24"/>
          <w:highlight w:val="none"/>
          <w:lang w:eastAsia="zh-CN"/>
        </w:rPr>
        <w:t>；</w:t>
      </w:r>
      <w:r>
        <w:rPr>
          <w:rFonts w:hint="eastAsia" w:ascii="宋体" w:hAnsi="宋体" w:eastAsia="宋体" w:cs="Times New Roman"/>
          <w:b w:val="0"/>
          <w:bCs/>
          <w:sz w:val="24"/>
          <w:szCs w:val="24"/>
          <w:highlight w:val="none"/>
        </w:rPr>
        <w:t>应提供中文版本的审计报告或财务报表</w:t>
      </w:r>
      <w:r>
        <w:rPr>
          <w:rFonts w:hint="eastAsia" w:ascii="宋体" w:hAnsi="宋体" w:eastAsia="宋体" w:cs="Times New Roman"/>
          <w:b w:val="0"/>
          <w:bCs/>
          <w:sz w:val="24"/>
          <w:szCs w:val="24"/>
          <w:highlight w:val="none"/>
          <w:lang w:eastAsia="zh-CN"/>
        </w:rPr>
        <w:t>，</w:t>
      </w:r>
      <w:r>
        <w:rPr>
          <w:rFonts w:hint="default" w:ascii="宋体" w:hAnsi="宋体" w:eastAsia="宋体" w:cs="Times New Roman"/>
          <w:b w:val="0"/>
          <w:bCs/>
          <w:sz w:val="24"/>
          <w:szCs w:val="24"/>
          <w:highlight w:val="none"/>
          <w:lang w:val="en-US" w:eastAsia="zh-CN"/>
        </w:rPr>
        <w:t>必须连续</w:t>
      </w:r>
      <w:r>
        <w:rPr>
          <w:rFonts w:hint="eastAsia" w:ascii="宋体" w:hAnsi="宋体" w:eastAsia="宋体" w:cs="Times New Roman"/>
          <w:b w:val="0"/>
          <w:bCs/>
          <w:sz w:val="24"/>
          <w:szCs w:val="24"/>
          <w:lang w:val="en-US" w:eastAsia="zh-CN"/>
        </w:rPr>
        <w:t>；</w:t>
      </w:r>
    </w:p>
    <w:p w14:paraId="6116F120">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rPr>
      </w:pPr>
      <w:r>
        <w:rPr>
          <w:rFonts w:hint="eastAsia" w:ascii="宋体" w:hAnsi="宋体" w:eastAsia="宋体" w:cs="Times New Roman"/>
          <w:b w:val="0"/>
          <w:bCs/>
          <w:sz w:val="24"/>
          <w:szCs w:val="24"/>
          <w:lang w:val="en-US" w:eastAsia="zh-CN"/>
        </w:rPr>
        <w:t>企业最近半年完税证明、信用证明材料（征信报告）；</w:t>
      </w:r>
    </w:p>
    <w:p w14:paraId="6285B55B">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年度纳税信用评价信息（可从电子税务局查询截图，需加盖公章）；</w:t>
      </w:r>
    </w:p>
    <w:p w14:paraId="1FCB301A">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rPr>
      </w:pPr>
      <w:r>
        <w:rPr>
          <w:rFonts w:hint="eastAsia" w:ascii="宋体" w:hAnsi="宋体" w:eastAsia="宋体" w:cs="Times New Roman"/>
          <w:b w:val="0"/>
          <w:bCs/>
          <w:sz w:val="24"/>
          <w:szCs w:val="24"/>
          <w:lang w:val="en-US" w:eastAsia="zh-CN"/>
        </w:rPr>
        <w:t>企业对外担保说明（写明贵单位对外有无对外担保和质押业务，需加盖公章）；</w:t>
      </w:r>
    </w:p>
    <w:p w14:paraId="0407B494">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default" w:ascii="宋体" w:hAnsi="宋体" w:eastAsia="宋体" w:cs="Times New Roman"/>
          <w:b w:val="0"/>
          <w:bCs/>
          <w:sz w:val="24"/>
          <w:szCs w:val="24"/>
          <w:lang w:val="en-US" w:eastAsia="zh-CN"/>
        </w:rPr>
        <w:t>投标人在国家企业信用信息公示系统中无与本项目有关的行政处罚、经营异常和失信信息的声明（附投标当日系统内相关截图）</w:t>
      </w:r>
      <w:r>
        <w:rPr>
          <w:rFonts w:hint="eastAsia" w:ascii="宋体" w:hAnsi="宋体" w:eastAsia="宋体" w:cs="Times New Roman"/>
          <w:b w:val="0"/>
          <w:bCs/>
          <w:sz w:val="24"/>
          <w:szCs w:val="24"/>
          <w:lang w:val="en-US" w:eastAsia="zh-CN"/>
        </w:rPr>
        <w:t>；</w:t>
      </w:r>
    </w:p>
    <w:p w14:paraId="18E501DA">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default" w:ascii="宋体" w:hAnsi="宋体" w:eastAsia="宋体" w:cs="Times New Roman"/>
          <w:b w:val="0"/>
          <w:bCs/>
          <w:sz w:val="24"/>
          <w:szCs w:val="24"/>
          <w:lang w:val="en-US" w:eastAsia="zh-CN"/>
        </w:rPr>
        <w:t>保密承诺函（</w:t>
      </w:r>
      <w:r>
        <w:rPr>
          <w:rFonts w:hint="default" w:ascii="宋体" w:hAnsi="宋体" w:eastAsia="宋体" w:cs="Times New Roman"/>
          <w:b w:val="0"/>
          <w:bCs/>
          <w:sz w:val="24"/>
          <w:szCs w:val="24"/>
          <w:highlight w:val="none"/>
          <w:lang w:val="en-US" w:eastAsia="zh-CN"/>
        </w:rPr>
        <w:t>附件</w:t>
      </w:r>
      <w:r>
        <w:rPr>
          <w:rFonts w:hint="eastAsia" w:cs="Times New Roman"/>
          <w:b w:val="0"/>
          <w:bCs/>
          <w:sz w:val="24"/>
          <w:szCs w:val="24"/>
          <w:highlight w:val="none"/>
          <w:lang w:val="en-US" w:eastAsia="zh-CN"/>
        </w:rPr>
        <w:t>2</w:t>
      </w:r>
      <w:r>
        <w:rPr>
          <w:rFonts w:hint="default" w:ascii="宋体" w:hAnsi="宋体" w:eastAsia="宋体" w:cs="Times New Roman"/>
          <w:b w:val="0"/>
          <w:bCs/>
          <w:sz w:val="24"/>
          <w:szCs w:val="24"/>
          <w:highlight w:val="none"/>
          <w:lang w:val="en-US" w:eastAsia="zh-CN"/>
        </w:rPr>
        <w:t>，需盖章）</w:t>
      </w:r>
      <w:r>
        <w:rPr>
          <w:rFonts w:hint="eastAsia" w:ascii="宋体" w:hAnsi="宋体" w:eastAsia="宋体" w:cs="Times New Roman"/>
          <w:b w:val="0"/>
          <w:bCs/>
          <w:sz w:val="24"/>
          <w:szCs w:val="24"/>
          <w:highlight w:val="none"/>
          <w:lang w:val="en-US" w:eastAsia="zh-CN"/>
        </w:rPr>
        <w:t>；</w:t>
      </w:r>
    </w:p>
    <w:p w14:paraId="10B9CEB5">
      <w:pPr>
        <w:pStyle w:val="22"/>
        <w:keepNext w:val="0"/>
        <w:keepLines w:val="0"/>
        <w:pageBreakBefore w:val="0"/>
        <w:widowControl w:val="0"/>
        <w:numPr>
          <w:ilvl w:val="1"/>
          <w:numId w:val="6"/>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具有履行招标文件所有设备、专业技术等要求的能力的证明材料</w:t>
      </w:r>
      <w:r>
        <w:rPr>
          <w:rFonts w:hint="eastAsia" w:cs="Times New Roman"/>
          <w:b w:val="0"/>
          <w:bCs/>
          <w:sz w:val="24"/>
          <w:szCs w:val="24"/>
          <w:lang w:val="en-US" w:eastAsia="zh-CN"/>
        </w:rPr>
        <w:t>。</w:t>
      </w:r>
    </w:p>
    <w:p w14:paraId="028A9716">
      <w:pPr>
        <w:pStyle w:val="22"/>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1"/>
        <w:keepNext w:val="0"/>
        <w:keepLines w:val="0"/>
        <w:pageBreakBefore w:val="0"/>
        <w:widowControl w:val="0"/>
        <w:numPr>
          <w:ilvl w:val="0"/>
          <w:numId w:val="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2"/>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2"/>
        <w:keepNext w:val="0"/>
        <w:keepLines w:val="0"/>
        <w:pageBreakBefore w:val="0"/>
        <w:widowControl w:val="0"/>
        <w:numPr>
          <w:ilvl w:val="0"/>
          <w:numId w:val="8"/>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请根据《SRM非生产供应商注册手册》（附件3）完成平台账号注册。</w:t>
      </w:r>
    </w:p>
    <w:p w14:paraId="41B17194">
      <w:pPr>
        <w:pStyle w:val="22"/>
        <w:keepNext w:val="0"/>
        <w:keepLines w:val="0"/>
        <w:pageBreakBefore w:val="0"/>
        <w:widowControl w:val="0"/>
        <w:numPr>
          <w:ilvl w:val="0"/>
          <w:numId w:val="8"/>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w:t>
      </w:r>
      <w:r>
        <w:rPr>
          <w:rFonts w:hint="eastAsia" w:cs="宋体"/>
          <w:b/>
          <w:bCs/>
          <w:sz w:val="24"/>
          <w:szCs w:val="24"/>
          <w:highlight w:val="none"/>
          <w:lang w:val="en-US" w:eastAsia="zh-CN"/>
        </w:rPr>
        <w:t>3</w:t>
      </w:r>
      <w:r>
        <w:rPr>
          <w:rFonts w:hint="eastAsia" w:ascii="宋体" w:hAnsi="宋体" w:eastAsia="宋体" w:cs="宋体"/>
          <w:b/>
          <w:bCs/>
          <w:sz w:val="24"/>
          <w:szCs w:val="24"/>
          <w:highlight w:val="none"/>
          <w:lang w:val="en-US" w:eastAsia="zh-CN"/>
        </w:rPr>
        <w:t>-202</w:t>
      </w:r>
      <w:r>
        <w:rPr>
          <w:rFonts w:hint="eastAsia" w:cs="宋体"/>
          <w:b/>
          <w:bCs/>
          <w:sz w:val="24"/>
          <w:szCs w:val="24"/>
          <w:highlight w:val="none"/>
          <w:lang w:val="en-US" w:eastAsia="zh-CN"/>
        </w:rPr>
        <w:t>5</w:t>
      </w:r>
      <w:r>
        <w:rPr>
          <w:rFonts w:hint="eastAsia" w:ascii="宋体" w:hAnsi="宋体" w:eastAsia="宋体" w:cs="宋体"/>
          <w:b/>
          <w:bCs/>
          <w:sz w:val="24"/>
          <w:szCs w:val="24"/>
          <w:highlight w:val="none"/>
          <w:lang w:val="en-US" w:eastAsia="zh-CN"/>
        </w:rPr>
        <w:t>年度财务数据</w:t>
      </w:r>
      <w:r>
        <w:rPr>
          <w:rFonts w:hint="eastAsia" w:ascii="宋体" w:hAnsi="宋体" w:eastAsia="宋体" w:cs="宋体"/>
          <w:sz w:val="24"/>
          <w:szCs w:val="24"/>
          <w:highlight w:val="none"/>
          <w:lang w:val="en-US" w:eastAsia="zh-CN"/>
        </w:rPr>
        <w:t>。如尚未填写或信息不全，请参照《SRM非生产供应商注册手册》（附件3）及时进行补充与更新，确保信息真实、完整。</w:t>
      </w:r>
    </w:p>
    <w:p w14:paraId="56C53AFD">
      <w:pPr>
        <w:pStyle w:val="22"/>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注册及财务数据维护完成后，参照《SRM系统供应商用户手册》（附件4），登录平台，进入“招投标中心-非生产类招投标-供应商应标”，按本公告第4条“应标文件的编制”要求准备并上传资料。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0D50DA0F">
      <w:pPr>
        <w:pStyle w:val="2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2"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是否为代理商请如实选择</w:t>
      </w:r>
      <w:r>
        <w:rPr>
          <w:rFonts w:hint="eastAsia"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若为</w:t>
      </w:r>
      <w:r>
        <w:rPr>
          <w:rFonts w:hint="eastAsia" w:ascii="宋体" w:hAnsi="宋体" w:eastAsia="宋体" w:cs="宋体"/>
          <w:b/>
          <w:bCs/>
          <w:sz w:val="24"/>
          <w:szCs w:val="24"/>
          <w:highlight w:val="none"/>
          <w:lang w:val="en-US" w:eastAsia="zh-CN"/>
        </w:rPr>
        <w:t>代理商应标，</w:t>
      </w:r>
      <w:r>
        <w:rPr>
          <w:rFonts w:hint="eastAsia" w:ascii="宋体" w:hAnsi="宋体" w:eastAsia="宋体" w:cs="宋体"/>
          <w:b w:val="0"/>
          <w:bCs w:val="0"/>
          <w:sz w:val="24"/>
          <w:szCs w:val="24"/>
          <w:highlight w:val="none"/>
          <w:lang w:val="en-US" w:eastAsia="zh-CN"/>
        </w:rPr>
        <w:t>请在应标后主动</w:t>
      </w:r>
      <w:r>
        <w:rPr>
          <w:rFonts w:hint="eastAsia" w:ascii="宋体" w:hAnsi="宋体" w:eastAsia="宋体" w:cs="宋体"/>
          <w:b/>
          <w:bCs/>
          <w:sz w:val="24"/>
          <w:szCs w:val="24"/>
          <w:highlight w:val="none"/>
          <w:lang w:val="en-US" w:eastAsia="zh-CN"/>
        </w:rPr>
        <w:t>联系商务联系人。</w:t>
      </w:r>
    </w:p>
    <w:p w14:paraId="3D4B36AE">
      <w:pPr>
        <w:pStyle w:val="2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1"/>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26</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采购文件领取地点：</w:t>
      </w:r>
      <w:r>
        <w:rPr>
          <w:rFonts w:hint="eastAsia" w:asciiTheme="majorEastAsia" w:hAnsiTheme="majorEastAsia" w:eastAsiaTheme="majorEastAsia" w:cstheme="majorEastAsia"/>
          <w:sz w:val="24"/>
          <w:szCs w:val="24"/>
          <w:highlight w:val="none"/>
          <w:lang w:val="en-US" w:eastAsia="zh-CN"/>
        </w:rPr>
        <w:fldChar w:fldCharType="begin"/>
      </w:r>
      <w:r>
        <w:rPr>
          <w:rFonts w:hint="eastAsia" w:asciiTheme="majorEastAsia" w:hAnsiTheme="majorEastAsia" w:eastAsiaTheme="majorEastAsia" w:cstheme="majorEastAsia"/>
          <w:sz w:val="24"/>
          <w:szCs w:val="24"/>
          <w:highlight w:val="none"/>
          <w:lang w:val="en-US" w:eastAsia="zh-CN"/>
        </w:rPr>
        <w:instrText xml:space="preserve"> HYPERLINK "https://ecaitong.sinotruk.com:8012/" \l "/login" </w:instrText>
      </w:r>
      <w:r>
        <w:rPr>
          <w:rFonts w:hint="eastAsia" w:asciiTheme="majorEastAsia" w:hAnsiTheme="majorEastAsia" w:eastAsiaTheme="majorEastAsia" w:cstheme="majorEastAsia"/>
          <w:sz w:val="24"/>
          <w:szCs w:val="24"/>
          <w:highlight w:val="none"/>
          <w:lang w:val="en-US" w:eastAsia="zh-CN"/>
        </w:rPr>
        <w:fldChar w:fldCharType="separate"/>
      </w:r>
      <w:r>
        <w:rPr>
          <w:rFonts w:hint="eastAsia" w:asciiTheme="majorEastAsia" w:hAnsiTheme="majorEastAsia" w:eastAsiaTheme="majorEastAsia" w:cstheme="majorEastAsia"/>
          <w:sz w:val="24"/>
          <w:szCs w:val="24"/>
          <w:highlight w:val="none"/>
          <w:lang w:val="en-US" w:eastAsia="zh-CN"/>
        </w:rPr>
        <w:t>中国重汽e采通</w:t>
      </w:r>
      <w:r>
        <w:rPr>
          <w:rFonts w:hint="eastAsia" w:asciiTheme="majorEastAsia" w:hAnsiTheme="majorEastAsia" w:eastAsiaTheme="majorEastAsia" w:cstheme="majorEastAsia"/>
          <w:sz w:val="24"/>
          <w:szCs w:val="24"/>
          <w:highlight w:val="none"/>
          <w:lang w:val="en-US" w:eastAsia="zh-CN"/>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响应文件提交 </w:t>
      </w:r>
    </w:p>
    <w:p w14:paraId="1677482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递交方式：</w:t>
      </w:r>
      <w:r>
        <w:rPr>
          <w:rFonts w:hint="eastAsia" w:asciiTheme="majorEastAsia" w:hAnsiTheme="majorEastAsia" w:eastAsiaTheme="majorEastAsia" w:cstheme="majorEastAsia"/>
          <w:sz w:val="24"/>
          <w:szCs w:val="24"/>
          <w:highlight w:val="none"/>
        </w:rPr>
        <w:t>电子版须在递交截止时间前上传至“中国重汽e采通”系统。</w:t>
      </w:r>
    </w:p>
    <w:p w14:paraId="1BF7EE7E">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递交截止时间：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17</w:t>
      </w:r>
      <w:r>
        <w:rPr>
          <w:rFonts w:hint="eastAsia" w:asciiTheme="majorEastAsia" w:hAnsiTheme="majorEastAsia" w:eastAsiaTheme="majorEastAsia" w:cstheme="majorEastAsia"/>
          <w:sz w:val="24"/>
          <w:szCs w:val="24"/>
          <w:highlight w:val="none"/>
        </w:rPr>
        <w:t xml:space="preserve">:00:00 </w:t>
      </w:r>
    </w:p>
    <w:p w14:paraId="2B22BEE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10</w:t>
      </w:r>
      <w:r>
        <w:rPr>
          <w:rFonts w:hint="eastAsia" w:asciiTheme="majorEastAsia" w:hAnsiTheme="majorEastAsia" w:eastAsiaTheme="majorEastAsia" w:cstheme="majorEastAsia"/>
          <w:sz w:val="24"/>
          <w:szCs w:val="24"/>
          <w:highlight w:val="none"/>
        </w:rPr>
        <w:t>:00:0</w:t>
      </w:r>
      <w:r>
        <w:rPr>
          <w:rFonts w:hint="eastAsia" w:asciiTheme="majorEastAsia" w:hAnsiTheme="majorEastAsia" w:eastAsiaTheme="majorEastAsia" w:cstheme="majorEastAsia"/>
          <w:b w:val="0"/>
          <w:bCs w:val="0"/>
          <w:sz w:val="24"/>
          <w:szCs w:val="24"/>
          <w:highlight w:val="none"/>
        </w:rPr>
        <w:t xml:space="preserve">0 </w:t>
      </w:r>
      <w:r>
        <w:rPr>
          <w:rFonts w:hint="eastAsia" w:asciiTheme="majorEastAsia" w:hAnsiTheme="majorEastAsia" w:eastAsiaTheme="majorEastAsia" w:cstheme="majorEastAsia"/>
          <w:b w:val="0"/>
          <w:bCs w:val="0"/>
          <w:sz w:val="24"/>
          <w:szCs w:val="24"/>
          <w:highlight w:val="none"/>
          <w:lang w:eastAsia="zh-CN"/>
        </w:rPr>
        <w:t>（</w:t>
      </w:r>
      <w:r>
        <w:rPr>
          <w:rFonts w:hint="eastAsia" w:asciiTheme="majorEastAsia" w:hAnsiTheme="majorEastAsia" w:eastAsiaTheme="majorEastAsia" w:cstheme="majorEastAsia"/>
          <w:b w:val="0"/>
          <w:bCs w:val="0"/>
          <w:sz w:val="24"/>
          <w:szCs w:val="24"/>
          <w:highlight w:val="none"/>
        </w:rPr>
        <w:t>暂定，以实际通知为准</w:t>
      </w:r>
      <w:r>
        <w:rPr>
          <w:rFonts w:hint="eastAsia" w:ascii="宋体" w:hAnsi="宋体" w:eastAsia="宋体" w:cs="宋体"/>
          <w:b w:val="0"/>
          <w:bCs w:val="0"/>
          <w:sz w:val="24"/>
          <w:szCs w:val="24"/>
          <w:highlight w:val="none"/>
          <w:lang w:eastAsia="zh-CN"/>
        </w:rPr>
        <w:t>）</w:t>
      </w:r>
    </w:p>
    <w:p w14:paraId="59D58E47">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rPr>
      </w:pPr>
      <w:r>
        <w:rPr>
          <w:rFonts w:hint="eastAsia" w:asciiTheme="majorEastAsia" w:hAnsiTheme="majorEastAsia" w:eastAsiaTheme="majorEastAsia" w:cstheme="majorEastAsia"/>
          <w:b/>
          <w:bCs/>
          <w:sz w:val="24"/>
          <w:szCs w:val="24"/>
          <w:highlight w:val="none"/>
        </w:rPr>
        <w:t>开标地点：</w:t>
      </w:r>
      <w:r>
        <w:rPr>
          <w:rFonts w:hint="eastAsia" w:asciiTheme="majorEastAsia" w:hAnsiTheme="majorEastAsia" w:eastAsiaTheme="majorEastAsia" w:cstheme="majorEastAsia"/>
          <w:sz w:val="24"/>
          <w:szCs w:val="24"/>
          <w:highlight w:val="none"/>
          <w:lang w:val="en-US" w:eastAsia="zh-CN"/>
        </w:rPr>
        <w:t>线上会议</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t>
      </w:r>
      <w:bookmarkStart w:id="3" w:name="_GoBack"/>
      <w:r>
        <w:rPr>
          <w:rFonts w:hint="eastAsia" w:asciiTheme="majorEastAsia" w:hAnsiTheme="majorEastAsia" w:eastAsiaTheme="majorEastAsia" w:cstheme="majorEastAsia"/>
          <w:sz w:val="24"/>
          <w:szCs w:val="24"/>
          <w:highlight w:val="yellow"/>
          <w:lang w:val="en-US" w:eastAsia="zh-CN"/>
        </w:rPr>
        <w:t>www.cnhtc.com.cn</w:t>
      </w:r>
      <w:bookmarkEnd w:id="3"/>
      <w:r>
        <w:rPr>
          <w:rFonts w:hint="eastAsia" w:asciiTheme="majorEastAsia" w:hAnsiTheme="majorEastAsia" w:eastAsiaTheme="majorEastAsia" w:cstheme="majorEastAsia"/>
          <w:sz w:val="24"/>
          <w:szCs w:val="24"/>
          <w:highlight w:val="yellow"/>
          <w:lang w:val="en-US" w:eastAsia="zh-CN"/>
        </w:rPr>
        <w:t>）</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7037D513">
      <w:pPr>
        <w:ind w:firstLine="480" w:firstLineChars="200"/>
        <w:jc w:val="both"/>
        <w:rPr>
          <w:rFonts w:hint="eastAsia" w:ascii="宋体" w:hAnsi="Courier New" w:eastAsia="宋体" w:cs="Times New Roman"/>
          <w:kern w:val="2"/>
          <w:sz w:val="21"/>
          <w:highlight w:val="none"/>
          <w:lang w:val="en-US" w:eastAsia="zh-CN" w:bidi="ar-SA"/>
        </w:rPr>
      </w:pPr>
      <w:r>
        <w:rPr>
          <w:rFonts w:hint="eastAsia" w:asciiTheme="majorEastAsia" w:hAnsiTheme="majorEastAsia" w:eastAsiaTheme="majorEastAsia" w:cstheme="majorEastAsia"/>
          <w:sz w:val="24"/>
          <w:szCs w:val="24"/>
        </w:rPr>
        <w:t>名称：</w:t>
      </w:r>
      <w:r>
        <w:rPr>
          <w:rFonts w:hint="eastAsia" w:ascii="宋体" w:hAnsi="Courier New" w:eastAsia="宋体" w:cs="Times New Roman"/>
          <w:kern w:val="2"/>
          <w:sz w:val="24"/>
          <w:szCs w:val="24"/>
          <w:highlight w:val="none"/>
          <w:lang w:val="en-US" w:eastAsia="zh-CN" w:bidi="ar-SA"/>
        </w:rPr>
        <w:t xml:space="preserve">中国重汽集团济南动力有限公司 </w:t>
      </w:r>
      <w:r>
        <w:rPr>
          <w:rFonts w:hint="eastAsia" w:ascii="宋体" w:hAnsi="Courier New" w:cs="Times New Roman"/>
          <w:kern w:val="2"/>
          <w:sz w:val="24"/>
          <w:szCs w:val="24"/>
          <w:highlight w:val="none"/>
          <w:lang w:val="en-US" w:eastAsia="zh-CN" w:bidi="ar-SA"/>
        </w:rPr>
        <w:t>、</w:t>
      </w:r>
      <w:r>
        <w:rPr>
          <w:rFonts w:hint="eastAsia" w:ascii="宋体" w:hAnsi="Courier New" w:eastAsia="宋体" w:cs="Times New Roman"/>
          <w:kern w:val="2"/>
          <w:sz w:val="24"/>
          <w:szCs w:val="24"/>
          <w:highlight w:val="none"/>
          <w:lang w:val="en-US" w:eastAsia="zh-CN" w:bidi="ar-SA"/>
        </w:rPr>
        <w:t>中国重汽集团济南汽车部件有限公司</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9D7D66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 xml:space="preserve">  商务、技术联系人：办公室-褚士浩、质检中心-刘华伟、济南部件-王强</w:t>
      </w:r>
    </w:p>
    <w:p w14:paraId="35E6F16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联系电话：16652121021、17864305060、13452579616</w:t>
      </w:r>
    </w:p>
    <w:p w14:paraId="2E8C21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邮箱：1090331100@qq.com、liuhuawei@sinotruk.com、wangq@sinotruk.com</w:t>
      </w:r>
    </w:p>
    <w:p w14:paraId="25410446">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57006D89">
      <w:pPr>
        <w:pStyle w:val="21"/>
        <w:numPr>
          <w:ilvl w:val="0"/>
          <w:numId w:val="0"/>
        </w:numPr>
        <w:ind w:leftChars="0"/>
        <w:outlineLvl w:val="2"/>
        <w:rPr>
          <w:rFonts w:hint="default" w:ascii="宋体" w:hAnsi="宋体" w:eastAsia="宋体" w:cs="宋体"/>
          <w:sz w:val="32"/>
          <w:szCs w:val="32"/>
          <w:highlight w:val="yellow"/>
          <w:lang w:val="en-US" w:eastAsia="zh-CN"/>
        </w:rPr>
      </w:pPr>
      <w:r>
        <w:rPr>
          <w:rFonts w:hint="eastAsia" w:ascii="宋体" w:hAnsi="宋体" w:eastAsia="宋体" w:cs="宋体"/>
          <w:sz w:val="28"/>
          <w:szCs w:val="28"/>
          <w:highlight w:val="none"/>
          <w:lang w:val="en-US" w:eastAsia="zh-CN"/>
        </w:rPr>
        <w:t>附件1 法定代表人授权委托书</w:t>
      </w:r>
    </w:p>
    <w:bookmarkEnd w:id="2"/>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28"/>
          <w:szCs w:val="28"/>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cs="Times New Roman"/>
          <w:b/>
          <w:bCs/>
          <w:color w:val="000000"/>
          <w:sz w:val="24"/>
          <w:szCs w:val="24"/>
          <w:u w:val="single"/>
          <w:lang w:val="en-US" w:eastAsia="zh-CN"/>
        </w:rPr>
        <w:t>（填写投标项目名称）</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24207395">
      <w:pPr>
        <w:pStyle w:val="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6B20C6DF">
      <w:pPr>
        <w:pStyle w:val="21"/>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附件2 保密承诺函</w:t>
      </w:r>
    </w:p>
    <w:p w14:paraId="0F4E083F">
      <w:pPr>
        <w:spacing w:line="360" w:lineRule="auto"/>
        <w:jc w:val="center"/>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保密承诺函</w:t>
      </w:r>
    </w:p>
    <w:p w14:paraId="4EBD3B8F">
      <w:pPr>
        <w:spacing w:line="240" w:lineRule="exact"/>
        <w:jc w:val="center"/>
        <w:rPr>
          <w:rFonts w:ascii="宋体" w:hAnsi="Calibri" w:eastAsia="宋体" w:cs="Times New Roman"/>
          <w:b/>
          <w:bCs/>
          <w:sz w:val="36"/>
          <w:szCs w:val="20"/>
        </w:rPr>
      </w:pPr>
    </w:p>
    <w:p w14:paraId="00D08482">
      <w:pPr>
        <w:spacing w:line="360" w:lineRule="auto"/>
        <w:rPr>
          <w:rFonts w:hint="eastAsia" w:ascii="宋体" w:hAnsi="宋体" w:cs="Times New Roman"/>
          <w:b/>
          <w:bCs/>
          <w:color w:val="000000"/>
          <w:sz w:val="24"/>
          <w:szCs w:val="24"/>
          <w:u w:val="single"/>
          <w:lang w:val="en-US" w:eastAsia="zh-CN"/>
        </w:rPr>
      </w:pPr>
      <w:r>
        <w:rPr>
          <w:rFonts w:hint="eastAsia" w:ascii="宋体" w:hAnsi="宋体" w:eastAsia="宋体" w:cs="Times New Roman"/>
          <w:sz w:val="24"/>
          <w:szCs w:val="20"/>
        </w:rPr>
        <w:t>项目名称：</w:t>
      </w:r>
      <w:r>
        <w:rPr>
          <w:rFonts w:hint="eastAsia" w:ascii="宋体" w:hAnsi="宋体" w:cs="Times New Roman"/>
          <w:b/>
          <w:bCs/>
          <w:color w:val="000000"/>
          <w:sz w:val="24"/>
          <w:szCs w:val="24"/>
          <w:u w:val="single"/>
          <w:lang w:val="en-US" w:eastAsia="zh-CN"/>
        </w:rPr>
        <w:t>（填写投标项目名称）</w:t>
      </w:r>
    </w:p>
    <w:p w14:paraId="2D225539">
      <w:pPr>
        <w:spacing w:line="360" w:lineRule="auto"/>
        <w:rPr>
          <w:rFonts w:ascii="宋体" w:hAnsi="Calibri" w:eastAsia="宋体" w:cs="Times New Roman"/>
          <w:b/>
          <w:bCs/>
          <w:sz w:val="24"/>
          <w:szCs w:val="20"/>
          <w:highlight w:val="none"/>
        </w:rPr>
      </w:pPr>
      <w:r>
        <w:rPr>
          <w:rFonts w:hint="eastAsia" w:ascii="宋体" w:hAnsi="宋体" w:cs="Times New Roman"/>
          <w:b/>
          <w:bCs/>
          <w:sz w:val="24"/>
          <w:szCs w:val="20"/>
          <w:highlight w:val="none"/>
          <w:lang w:eastAsia="zh-CN"/>
        </w:rPr>
        <w:t>中国重汽集团济南动力有限公司</w:t>
      </w:r>
      <w:r>
        <w:rPr>
          <w:rFonts w:hint="eastAsia" w:ascii="宋体" w:hAnsi="宋体" w:cs="Times New Roman"/>
          <w:b/>
          <w:bCs/>
          <w:sz w:val="24"/>
          <w:szCs w:val="20"/>
          <w:highlight w:val="none"/>
          <w:lang w:val="en-US" w:eastAsia="zh-CN"/>
        </w:rPr>
        <w:t>/</w:t>
      </w:r>
      <w:r>
        <w:rPr>
          <w:rFonts w:hint="eastAsia" w:ascii="宋体" w:hAnsi="宋体" w:eastAsia="宋体" w:cs="Times New Roman"/>
          <w:b/>
          <w:bCs/>
          <w:sz w:val="24"/>
          <w:szCs w:val="20"/>
          <w:highlight w:val="none"/>
          <w:lang w:val="en-US" w:eastAsia="zh-CN"/>
        </w:rPr>
        <w:t>中国重汽集团济南汽车部件有限公司</w:t>
      </w:r>
      <w:r>
        <w:rPr>
          <w:rFonts w:hint="eastAsia" w:ascii="宋体" w:hAnsi="宋体" w:eastAsia="宋体" w:cs="Times New Roman"/>
          <w:b/>
          <w:bCs/>
          <w:sz w:val="24"/>
          <w:szCs w:val="20"/>
          <w:highlight w:val="none"/>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EE59340">
      <w:pPr>
        <w:spacing w:line="360" w:lineRule="auto"/>
        <w:ind w:firstLine="480" w:firstLineChars="200"/>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21"/>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7149E950">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货物 / 会议设备”，。</w:t>
      </w:r>
    </w:p>
    <w:p w14:paraId="5DC9B20D">
      <w:pPr>
        <w:numPr>
          <w:ilvl w:val="0"/>
          <w:numId w:val="12"/>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9E906B1">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75321FE7">
      <w:pPr>
        <w:pStyle w:val="21"/>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附件4 SRM系统供应商用户手册</w:t>
      </w:r>
    </w:p>
    <w:p w14:paraId="42C7FA7F">
      <w:pPr>
        <w:spacing w:line="360" w:lineRule="auto"/>
        <w:rPr>
          <w:rStyle w:val="16"/>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eastAsia="宋体" w:cs="宋体"/>
          <w:sz w:val="24"/>
          <w:szCs w:val="24"/>
        </w:rPr>
        <w:t>http</w:t>
      </w:r>
      <w:r>
        <w:rPr>
          <w:rStyle w:val="16"/>
          <w:rFonts w:hint="eastAsia" w:ascii="宋体" w:hAnsi="宋体" w:eastAsia="宋体" w:cs="宋体"/>
          <w:sz w:val="24"/>
          <w:szCs w:val="24"/>
          <w:lang w:val="en-US" w:eastAsia="zh-CN"/>
        </w:rPr>
        <w:t>s</w:t>
      </w:r>
      <w:r>
        <w:rPr>
          <w:rStyle w:val="16"/>
          <w:rFonts w:hint="eastAsia" w:ascii="宋体" w:hAnsi="宋体" w:eastAsia="宋体" w:cs="宋体"/>
          <w:sz w:val="24"/>
          <w:szCs w:val="24"/>
        </w:rPr>
        <w:t>://ecaitong.sinotruk.com:8012/</w:t>
      </w:r>
      <w:r>
        <w:rPr>
          <w:rStyle w:val="16"/>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02513ACC">
      <w:pPr>
        <w:pStyle w:val="5"/>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6"/>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6"/>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6"/>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7"/>
    </w:pPr>
  </w:p>
  <w:p w14:paraId="3AC74D7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2D0D8E"/>
    <w:multiLevelType w:val="singleLevel"/>
    <w:tmpl w:val="9A2D0D8E"/>
    <w:lvl w:ilvl="0" w:tentative="0">
      <w:start w:val="1"/>
      <w:numFmt w:val="decimal"/>
      <w:suff w:val="nothing"/>
      <w:lvlText w:val="%1、"/>
      <w:lvlJc w:val="left"/>
    </w:lvl>
  </w:abstractNum>
  <w:abstractNum w:abstractNumId="1">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6">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7">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8">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11">
    <w:nsid w:val="656A6EAE"/>
    <w:multiLevelType w:val="multilevel"/>
    <w:tmpl w:val="656A6EAE"/>
    <w:lvl w:ilvl="0" w:tentative="0">
      <w:start w:val="1"/>
      <w:numFmt w:val="chineseCountingThousand"/>
      <w:pStyle w:val="21"/>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3">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1"/>
  </w:num>
  <w:num w:numId="2">
    <w:abstractNumId w:val="6"/>
  </w:num>
  <w:num w:numId="3">
    <w:abstractNumId w:val="10"/>
  </w:num>
  <w:num w:numId="4">
    <w:abstractNumId w:val="3"/>
  </w:num>
  <w:num w:numId="5">
    <w:abstractNumId w:val="0"/>
  </w:num>
  <w:num w:numId="6">
    <w:abstractNumId w:val="13"/>
  </w:num>
  <w:num w:numId="7">
    <w:abstractNumId w:val="5"/>
  </w:num>
  <w:num w:numId="8">
    <w:abstractNumId w:val="12"/>
  </w:num>
  <w:num w:numId="9">
    <w:abstractNumId w:val="8"/>
  </w:num>
  <w:num w:numId="10">
    <w:abstractNumId w:val="7"/>
  </w:num>
  <w:num w:numId="11">
    <w:abstractNumId w:val="1"/>
  </w:num>
  <w:num w:numId="12">
    <w:abstractNumId w:val="4"/>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184934BD"/>
    <w:rsid w:val="21FA20EC"/>
    <w:rsid w:val="27D37BF9"/>
    <w:rsid w:val="2C286108"/>
    <w:rsid w:val="317F1E65"/>
    <w:rsid w:val="323D4F35"/>
    <w:rsid w:val="330E04D1"/>
    <w:rsid w:val="3B3D799B"/>
    <w:rsid w:val="3F3D27DB"/>
    <w:rsid w:val="44907102"/>
    <w:rsid w:val="48EF075C"/>
    <w:rsid w:val="49480297"/>
    <w:rsid w:val="4EAA61E3"/>
    <w:rsid w:val="508D7BE9"/>
    <w:rsid w:val="519D5911"/>
    <w:rsid w:val="5EA51C4A"/>
    <w:rsid w:val="66FA550F"/>
    <w:rsid w:val="6E0F27F7"/>
    <w:rsid w:val="6E426E53"/>
    <w:rsid w:val="76FD3ADC"/>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rPr>
      <w:rFonts w:ascii="宋体"/>
      <w:szCs w:val="20"/>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0"/>
    <w:rPr>
      <w:b/>
    </w:rPr>
  </w:style>
  <w:style w:type="character" w:styleId="11">
    <w:name w:val="FollowedHyperlink"/>
    <w:basedOn w:val="9"/>
    <w:qFormat/>
    <w:uiPriority w:val="0"/>
    <w:rPr>
      <w:color w:val="800080"/>
      <w:u w:val="none"/>
    </w:rPr>
  </w:style>
  <w:style w:type="character" w:styleId="12">
    <w:name w:val="HTML Definition"/>
    <w:basedOn w:val="9"/>
    <w:qFormat/>
    <w:uiPriority w:val="0"/>
  </w:style>
  <w:style w:type="character" w:styleId="13">
    <w:name w:val="HTML Typewriter"/>
    <w:basedOn w:val="9"/>
    <w:qFormat/>
    <w:uiPriority w:val="0"/>
    <w:rPr>
      <w:rFonts w:hint="default" w:ascii="monospace" w:hAnsi="monospace" w:eastAsia="monospace" w:cs="monospace"/>
      <w:sz w:val="20"/>
    </w:rPr>
  </w:style>
  <w:style w:type="character" w:styleId="14">
    <w:name w:val="HTML Acronym"/>
    <w:basedOn w:val="9"/>
    <w:qFormat/>
    <w:uiPriority w:val="0"/>
  </w:style>
  <w:style w:type="character" w:styleId="15">
    <w:name w:val="HTML Variable"/>
    <w:basedOn w:val="9"/>
    <w:qFormat/>
    <w:uiPriority w:val="0"/>
  </w:style>
  <w:style w:type="character" w:styleId="16">
    <w:name w:val="Hyperlink"/>
    <w:basedOn w:val="9"/>
    <w:qFormat/>
    <w:uiPriority w:val="0"/>
    <w:rPr>
      <w:color w:val="0000FF"/>
      <w:u w:val="none"/>
    </w:rPr>
  </w:style>
  <w:style w:type="character" w:styleId="17">
    <w:name w:val="HTML Code"/>
    <w:basedOn w:val="9"/>
    <w:qFormat/>
    <w:uiPriority w:val="0"/>
    <w:rPr>
      <w:rFonts w:hint="default" w:ascii="monospace" w:hAnsi="monospace" w:eastAsia="monospace" w:cs="monospace"/>
      <w:sz w:val="20"/>
    </w:rPr>
  </w:style>
  <w:style w:type="character" w:styleId="18">
    <w:name w:val="HTML Cite"/>
    <w:basedOn w:val="9"/>
    <w:qFormat/>
    <w:uiPriority w:val="0"/>
  </w:style>
  <w:style w:type="character" w:styleId="19">
    <w:name w:val="HTML Keyboard"/>
    <w:basedOn w:val="9"/>
    <w:qFormat/>
    <w:uiPriority w:val="0"/>
    <w:rPr>
      <w:rFonts w:ascii="monospace" w:hAnsi="monospace" w:eastAsia="monospace" w:cs="monospace"/>
      <w:sz w:val="20"/>
    </w:rPr>
  </w:style>
  <w:style w:type="character" w:styleId="20">
    <w:name w:val="HTML Sample"/>
    <w:basedOn w:val="9"/>
    <w:qFormat/>
    <w:uiPriority w:val="0"/>
    <w:rPr>
      <w:rFonts w:hint="default" w:ascii="monospace" w:hAnsi="monospace" w:eastAsia="monospace" w:cs="monospace"/>
    </w:rPr>
  </w:style>
  <w:style w:type="paragraph" w:customStyle="1" w:styleId="21">
    <w:name w:val="一级标题"/>
    <w:basedOn w:val="5"/>
    <w:qFormat/>
    <w:uiPriority w:val="1"/>
    <w:pPr>
      <w:numPr>
        <w:ilvl w:val="0"/>
        <w:numId w:val="1"/>
      </w:numPr>
      <w:spacing w:line="360" w:lineRule="auto"/>
      <w:ind w:left="420"/>
      <w:outlineLvl w:val="1"/>
    </w:pPr>
    <w:rPr>
      <w:rFonts w:ascii="黑体" w:eastAsia="黑体"/>
      <w:b/>
      <w:bCs/>
      <w:sz w:val="28"/>
    </w:rPr>
  </w:style>
  <w:style w:type="paragraph" w:customStyle="1" w:styleId="22">
    <w:name w:val="标书正文"/>
    <w:basedOn w:val="5"/>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4813</Words>
  <Characters>5157</Characters>
  <Lines>0</Lines>
  <Paragraphs>0</Paragraphs>
  <TotalTime>8</TotalTime>
  <ScaleCrop>false</ScaleCrop>
  <LinksUpToDate>false</LinksUpToDate>
  <CharactersWithSpaces>6359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中国重汽123</cp:lastModifiedBy>
  <dcterms:modified xsi:type="dcterms:W3CDTF">2026-01-15T08:11:29Z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eyJoZGlkIjoiOTE2M2ZjNzdkOWZiOTc3ZTI0ZTM3NjE0YmMxMzAwOWUiLCJ1c2VySWQiOiI2MTMxODEyNDkifQ==</vt:lpwstr>
  </property>
  <property fmtid="{D5CDD505-2E9C-101B-9397-08002B2CF9AE}" pid="4" name="ICV">
    <vt:lpwstr>03C438F7EF4347CDBFA28E31D24BB0B2_13</vt:lpwstr>
  </property>
</Properties>
</file>