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314AB9FC">
      <w:pPr>
        <w:pStyle w:val="24"/>
        <w:rPr>
          <w:rFonts w:hint="eastAsia"/>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w:t>
      </w:r>
      <w:r>
        <w:rPr>
          <w:rFonts w:hint="eastAsia" w:asciiTheme="minorEastAsia" w:hAnsiTheme="minorEastAsia" w:eastAsiaTheme="minorEastAsia" w:cstheme="minorEastAsia"/>
          <w:b/>
          <w:sz w:val="52"/>
          <w:szCs w:val="52"/>
          <w:lang w:val="en-US" w:eastAsia="zh-CN"/>
        </w:rPr>
        <w:fldChar w:fldCharType="begin"/>
      </w:r>
      <w:r>
        <w:rPr>
          <w:rFonts w:hint="eastAsia" w:asciiTheme="minorEastAsia" w:hAnsiTheme="minorEastAsia" w:eastAsiaTheme="minorEastAsia" w:cstheme="minorEastAsia"/>
          <w:b/>
          <w:sz w:val="52"/>
          <w:szCs w:val="52"/>
          <w:lang w:val="en-US" w:eastAsia="zh-CN"/>
        </w:rPr>
        <w:instrText xml:space="preserve"> HYPERLINK "javascript:void(0);" \o "济南成型厂新增3930缸盖大冲击力气锤技改项目" </w:instrText>
      </w:r>
      <w:r>
        <w:rPr>
          <w:rFonts w:hint="eastAsia" w:asciiTheme="minorEastAsia" w:hAnsiTheme="minorEastAsia" w:eastAsiaTheme="minorEastAsia" w:cstheme="minorEastAsia"/>
          <w:b/>
          <w:sz w:val="52"/>
          <w:szCs w:val="52"/>
          <w:lang w:val="en-US" w:eastAsia="zh-CN"/>
        </w:rPr>
        <w:fldChar w:fldCharType="separate"/>
      </w:r>
      <w:r>
        <w:rPr>
          <w:rFonts w:hint="eastAsia" w:asciiTheme="minorEastAsia" w:hAnsiTheme="minorEastAsia" w:eastAsiaTheme="minorEastAsia" w:cstheme="minorEastAsia"/>
          <w:b/>
          <w:sz w:val="52"/>
          <w:szCs w:val="52"/>
          <w:lang w:val="en-US" w:eastAsia="zh-CN"/>
        </w:rPr>
        <w:t>济南动力有限公司济南成型厂新增空调更新技改项目</w:t>
      </w:r>
      <w:r>
        <w:rPr>
          <w:rFonts w:hint="eastAsia" w:asciiTheme="minorEastAsia" w:hAnsiTheme="minorEastAsia" w:eastAsiaTheme="minorEastAsia" w:cstheme="minorEastAsia"/>
          <w:b/>
          <w:sz w:val="52"/>
          <w:szCs w:val="52"/>
          <w:lang w:val="en-US" w:eastAsia="zh-CN"/>
        </w:rPr>
        <w:fldChar w:fldCharType="end"/>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sz w:val="24"/>
          <w:szCs w:val="24"/>
          <w:highlight w:val="none"/>
          <w:u w:val="single"/>
          <w:lang w:val="en-US" w:eastAsia="zh-CN"/>
        </w:rPr>
        <w:fldChar w:fldCharType="begin"/>
      </w:r>
      <w:r>
        <w:rPr>
          <w:rFonts w:hint="eastAsia" w:asciiTheme="minorEastAsia" w:hAnsiTheme="minorEastAsia" w:eastAsiaTheme="minorEastAsia" w:cstheme="minorEastAsia"/>
          <w:sz w:val="24"/>
          <w:szCs w:val="24"/>
          <w:highlight w:val="none"/>
          <w:u w:val="single"/>
          <w:lang w:val="en-US" w:eastAsia="zh-CN"/>
        </w:rPr>
        <w:instrText xml:space="preserve"> HYPERLINK "javascript:void(0);" \o "济南成型厂新增3930缸盖大冲击力气锤技改项目" </w:instrText>
      </w:r>
      <w:r>
        <w:rPr>
          <w:rFonts w:hint="eastAsia" w:asciiTheme="minorEastAsia" w:hAnsiTheme="minorEastAsia" w:eastAsiaTheme="minorEastAsia" w:cstheme="minorEastAsia"/>
          <w:sz w:val="24"/>
          <w:szCs w:val="24"/>
          <w:highlight w:val="none"/>
          <w:u w:val="single"/>
          <w:lang w:val="en-US" w:eastAsia="zh-CN"/>
        </w:rPr>
        <w:fldChar w:fldCharType="separate"/>
      </w:r>
      <w:r>
        <w:rPr>
          <w:rFonts w:hint="eastAsia" w:asciiTheme="minorEastAsia" w:hAnsiTheme="minorEastAsia" w:eastAsiaTheme="minorEastAsia" w:cstheme="minorEastAsia"/>
          <w:sz w:val="24"/>
          <w:szCs w:val="24"/>
          <w:highlight w:val="none"/>
          <w:u w:val="single"/>
          <w:lang w:val="en-US" w:eastAsia="zh-CN"/>
        </w:rPr>
        <w:t>济南成型厂新增空调更新技改项目</w:t>
      </w:r>
      <w:r>
        <w:rPr>
          <w:rFonts w:hint="eastAsia" w:asciiTheme="minorEastAsia" w:hAnsiTheme="minorEastAsia" w:eastAsiaTheme="minorEastAsia" w:cstheme="minorEastAsia"/>
          <w:sz w:val="24"/>
          <w:szCs w:val="24"/>
          <w:highlight w:val="none"/>
          <w:u w:val="single"/>
          <w:lang w:val="en-US" w:eastAsia="zh-CN"/>
        </w:rPr>
        <w:fldChar w:fldCharType="end"/>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179632530"/>
      <w:bookmarkEnd w:id="6"/>
      <w:bookmarkStart w:id="7" w:name="_Toc144974482"/>
      <w:bookmarkEnd w:id="7"/>
      <w:bookmarkStart w:id="8" w:name="_Toc285809451"/>
      <w:bookmarkEnd w:id="8"/>
      <w:bookmarkStart w:id="9" w:name="_Toc152045514"/>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bidi="en-US"/>
        </w:rPr>
        <w:t>济南成型厂新增空调更新技改项目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ZBGL2026010128</w:t>
      </w:r>
      <w:r>
        <w:rPr>
          <w:rFonts w:hint="eastAsia" w:asciiTheme="minorEastAsia" w:hAnsiTheme="minorEastAsia" w:eastAsiaTheme="minorEastAsia" w:cstheme="minorEastAsia"/>
          <w:kern w:val="0"/>
          <w:sz w:val="24"/>
          <w:szCs w:val="24"/>
          <w:highlight w:val="yellow"/>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highlight w:val="none"/>
          <w:u w:val="single"/>
        </w:rPr>
        <w:t>济南成型厂</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宋体" w:hAnsi="宋体" w:eastAsia="宋体" w:cs="宋体"/>
          <w:sz w:val="24"/>
          <w:szCs w:val="24"/>
          <w:u w:val="single"/>
        </w:rPr>
        <w:t>济南成型厂新增空调更新技改项目</w:t>
      </w:r>
      <w:r>
        <w:rPr>
          <w:rFonts w:hint="eastAsia" w:asciiTheme="minorEastAsia" w:hAnsiTheme="minorEastAsia" w:eastAsiaTheme="minorEastAsia" w:cstheme="minorEastAsia"/>
          <w:kern w:val="0"/>
          <w:sz w:val="24"/>
          <w:szCs w:val="24"/>
          <w:highlight w:val="none"/>
          <w:u w:val="single"/>
          <w:lang w:val="en-US" w:eastAsia="zh-CN" w:bidi="en-US"/>
        </w:rPr>
        <w:t>新增3台空调。</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5ACE68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5</w:t>
      </w:r>
      <w:r>
        <w:rPr>
          <w:rFonts w:hint="eastAsia" w:hAnsi="宋体" w:eastAsia="宋体" w:cs="宋体"/>
          <w:color w:val="000000"/>
          <w:sz w:val="24"/>
          <w:szCs w:val="24"/>
          <w:highlight w:val="yellow"/>
        </w:rPr>
        <w:t>0万人民币</w:t>
      </w:r>
      <w:r>
        <w:rPr>
          <w:rFonts w:hint="eastAsia" w:hAnsi="宋体" w:eastAsia="宋体" w:cs="宋体"/>
          <w:color w:val="000000"/>
          <w:sz w:val="24"/>
          <w:szCs w:val="24"/>
          <w:highlight w:val="none"/>
        </w:rPr>
        <w:t>(或等值其他货币);公司成立三年以上(以营业执照成立日期到开标当日满三年为准),且经营范围满足招标人需求；并在人员、设备、资金等方面具有承担本项目的能力；</w:t>
      </w:r>
    </w:p>
    <w:p w14:paraId="7A3A73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7C1E8B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249118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622BD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4E59E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1760F0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39EC51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5B2FBC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66C5AC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1E9EAF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0848F7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0D72CB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1C2930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应标报名截止时间：2026年1月20日17：00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w:t>
      </w:r>
      <w:r>
        <w:rPr>
          <w:rFonts w:hint="eastAsia" w:eastAsia="宋体" w:cs="宋体"/>
          <w:sz w:val="24"/>
          <w:szCs w:val="24"/>
          <w:highlight w:val="none"/>
        </w:rPr>
        <w:t>名</w:t>
      </w:r>
      <w:r>
        <w:rPr>
          <w:rFonts w:hint="eastAsia" w:eastAsia="宋体" w:cs="宋体"/>
          <w:sz w:val="24"/>
          <w:szCs w:val="24"/>
          <w:highlight w:val="none"/>
          <w:lang w:eastAsia="zh-CN"/>
        </w:rPr>
        <w:t>，</w:t>
      </w:r>
      <w:r>
        <w:rPr>
          <w:rFonts w:hint="eastAsia" w:eastAsia="宋体" w:cs="宋体"/>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w:t>
      </w:r>
      <w:r>
        <w:rPr>
          <w:rFonts w:ascii="宋体" w:hAnsi="宋体" w:eastAsia="宋体" w:cs="宋体"/>
          <w:sz w:val="24"/>
          <w:szCs w:val="24"/>
          <w:highlight w:val="yellow"/>
        </w:rPr>
        <w:t>202</w:t>
      </w:r>
      <w:r>
        <w:rPr>
          <w:rFonts w:hint="eastAsia" w:hAnsi="宋体" w:eastAsia="宋体" w:cs="宋体"/>
          <w:sz w:val="24"/>
          <w:szCs w:val="24"/>
          <w:highlight w:val="yellow"/>
          <w:lang w:val="en-US" w:eastAsia="zh-CN"/>
        </w:rPr>
        <w:t>3</w:t>
      </w:r>
      <w:r>
        <w:rPr>
          <w:rFonts w:ascii="宋体" w:hAnsi="宋体" w:eastAsia="宋体" w:cs="宋体"/>
          <w:sz w:val="24"/>
          <w:szCs w:val="24"/>
          <w:highlight w:val="yellow"/>
        </w:rPr>
        <w:t>-202</w:t>
      </w:r>
      <w:r>
        <w:rPr>
          <w:rFonts w:hint="eastAsia" w:hAnsi="宋体" w:eastAsia="宋体" w:cs="宋体"/>
          <w:sz w:val="24"/>
          <w:szCs w:val="24"/>
          <w:highlight w:val="yellow"/>
          <w:lang w:val="en-US" w:eastAsia="zh-CN"/>
        </w:rPr>
        <w:t>5</w:t>
      </w:r>
      <w:r>
        <w:rPr>
          <w:rFonts w:ascii="宋体" w:hAnsi="宋体" w:eastAsia="宋体" w:cs="宋体"/>
          <w:sz w:val="24"/>
          <w:szCs w:val="24"/>
        </w:rPr>
        <w:t>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727E15B">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w:t>
      </w:r>
      <w:r>
        <w:rPr>
          <w:rFonts w:hint="eastAsia" w:asciiTheme="minorEastAsia" w:hAnsiTheme="minorEastAsia" w:eastAsiaTheme="minorEastAsia" w:cstheme="minorEastAsia"/>
          <w:bCs/>
          <w:kern w:val="2"/>
          <w:sz w:val="24"/>
          <w:szCs w:val="24"/>
          <w:highlight w:val="yellow"/>
          <w:lang w:val="en-US" w:eastAsia="zh-CN" w:bidi="ar-SA"/>
        </w:rPr>
        <w:t>2023年1月1日至今</w:t>
      </w:r>
      <w:r>
        <w:rPr>
          <w:rFonts w:hint="eastAsia" w:asciiTheme="minorEastAsia" w:hAnsiTheme="minorEastAsia" w:eastAsiaTheme="minorEastAsia" w:cstheme="minorEastAsia"/>
          <w:bCs/>
          <w:kern w:val="2"/>
          <w:sz w:val="24"/>
          <w:szCs w:val="24"/>
          <w:highlight w:val="none"/>
          <w:lang w:val="en-US" w:eastAsia="zh-CN" w:bidi="ar-SA"/>
        </w:rPr>
        <w:t>，企业近三年同类项目业绩证明，须提供用户清单、采购合同复印件；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20"/>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李长城 18678304476</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技术联系人：侯天立</w:t>
      </w:r>
      <w:r>
        <w:rPr>
          <w:rFonts w:hint="eastAsia" w:asciiTheme="minorEastAsia" w:hAnsiTheme="minorEastAsia" w:eastAsiaTheme="minorEastAsia" w:cstheme="minorEastAsia"/>
          <w:sz w:val="24"/>
          <w:szCs w:val="24"/>
          <w:highlight w:val="none"/>
          <w:lang w:val="en-US" w:eastAsia="zh-CN"/>
        </w:rPr>
        <w:t xml:space="preserve"> 15269194886</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w:t>
      </w:r>
      <w:r>
        <w:rPr>
          <w:rFonts w:hint="eastAsia" w:asciiTheme="minorEastAsia" w:hAnsiTheme="minorEastAsia" w:eastAsiaTheme="minorEastAsia" w:cstheme="minorEastAsia"/>
          <w:bCs/>
          <w:kern w:val="2"/>
          <w:sz w:val="24"/>
          <w:szCs w:val="24"/>
          <w:highlight w:val="yellow"/>
          <w:lang w:val="en-US" w:eastAsia="zh-CN" w:bidi="ar-SA"/>
        </w:rPr>
        <w:t>2023年1月1日至今，</w:t>
      </w:r>
      <w:r>
        <w:rPr>
          <w:rFonts w:hint="eastAsia" w:asciiTheme="minorEastAsia" w:hAnsiTheme="minorEastAsia" w:eastAsiaTheme="minorEastAsia" w:cstheme="minorEastAsia"/>
          <w:bCs/>
          <w:kern w:val="2"/>
          <w:sz w:val="24"/>
          <w:szCs w:val="24"/>
          <w:highlight w:val="none"/>
          <w:lang w:val="en-US" w:eastAsia="zh-CN" w:bidi="ar-SA"/>
        </w:rPr>
        <w:t>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2053A76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718E0CAA">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14:paraId="1A04EE8D">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14:paraId="6C8F6D0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14:paraId="0786096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14:paraId="2BCA97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14:paraId="16844033">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14:paraId="3AE893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14:paraId="292B669E">
      <w:pPr>
        <w:pStyle w:val="2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14:paraId="79AB9F34">
      <w:pPr>
        <w:pStyle w:val="20"/>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2890E6F4">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14:paraId="16BE520B">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14:paraId="4F9AAAFA">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8"/>
      <w:bookmarkStart w:id="12" w:name="OLE_LINK19"/>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14:paraId="1B579993">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14:paraId="763448DD">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⑴本次招标为公开招标，报价应为：</w:t>
      </w:r>
    </w:p>
    <w:p w14:paraId="191654E4">
      <w:pPr>
        <w:pStyle w:val="24"/>
        <w:spacing w:line="360" w:lineRule="auto"/>
        <w:ind w:firstLine="480" w:firstLineChars="200"/>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⑵所有报价货币单位为：万元（人民币），含税；</w:t>
      </w:r>
    </w:p>
    <w:p w14:paraId="77FDD41D">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14:paraId="2572BC76">
      <w:pPr>
        <w:pStyle w:val="20"/>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A.设备全部到货、安装调试、验收合格后，中标人提供合同价款100%的增值税专用发票,经招标人依照财务制度审核通过后30日支付合同价款的90%；</w:t>
      </w:r>
    </w:p>
    <w:p w14:paraId="026F300A">
      <w:pPr>
        <w:pStyle w:val="20"/>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合同总价款的10%作为本合同约定设备的质量保证金，质量保证金在质量保证期内不计利息。质保期届满后支付。</w:t>
      </w:r>
    </w:p>
    <w:p w14:paraId="47C9794E">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14:paraId="128C40A5">
      <w:pPr>
        <w:pStyle w:val="24"/>
        <w:keepNext w:val="0"/>
        <w:keepLines w:val="0"/>
        <w:pageBreakBefore w:val="0"/>
        <w:widowControl w:val="0"/>
        <w:kinsoku/>
        <w:wordWrap/>
        <w:topLinePunct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color w:val="000000"/>
          <w:kern w:val="0"/>
          <w:sz w:val="24"/>
          <w:szCs w:val="24"/>
          <w:highlight w:val="yellow"/>
          <w:lang w:val="en-US" w:eastAsia="zh-CN" w:bidi="ar"/>
        </w:rPr>
      </w:pPr>
      <w:r>
        <w:rPr>
          <w:rFonts w:hint="eastAsia" w:asciiTheme="minorEastAsia" w:hAnsiTheme="minorEastAsia" w:eastAsiaTheme="minorEastAsia" w:cstheme="minorEastAsia"/>
          <w:b/>
          <w:bCs/>
          <w:color w:val="000000"/>
          <w:kern w:val="0"/>
          <w:sz w:val="24"/>
          <w:szCs w:val="24"/>
          <w:highlight w:val="yellow"/>
          <w:lang w:val="en-US" w:eastAsia="zh-CN" w:bidi="ar"/>
        </w:rPr>
        <w:t>（4）项目预算：含税1.16万元。</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20</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37CDACED">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3A65603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4214629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14:paraId="597CF0A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14:paraId="791EFAC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6"/>
      <w:bookmarkStart w:id="14" w:name="OLE_LINK25"/>
      <w:bookmarkStart w:id="15" w:name="OLE_LINK29"/>
      <w:bookmarkStart w:id="16" w:name="OLE_LINK28"/>
      <w:bookmarkStart w:id="17" w:name="OLE_LINK27"/>
      <w:r>
        <w:rPr>
          <w:rFonts w:hint="eastAsia" w:ascii="宋体" w:hAnsi="宋体" w:eastAsia="宋体" w:cs="宋体"/>
          <w:bCs/>
          <w:sz w:val="24"/>
          <w:szCs w:val="24"/>
          <w:highlight w:val="none"/>
        </w:rPr>
        <w:t>；</w:t>
      </w:r>
      <w:bookmarkEnd w:id="13"/>
      <w:bookmarkEnd w:id="14"/>
      <w:bookmarkEnd w:id="15"/>
      <w:bookmarkEnd w:id="16"/>
      <w:bookmarkEnd w:id="17"/>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34C471EE">
      <w:pPr>
        <w:pStyle w:val="24"/>
        <w:rPr>
          <w:highlight w:val="none"/>
        </w:rPr>
      </w:pPr>
    </w:p>
    <w:p w14:paraId="71DAC634">
      <w:pPr>
        <w:keepNext/>
        <w:keepLines/>
        <w:jc w:val="center"/>
        <w:rPr>
          <w:rFonts w:ascii="Calibri" w:hAnsi="宋体" w:eastAsia="宋体" w:cs="Times New Roman"/>
          <w:b/>
          <w:bCs/>
          <w:color w:val="000000"/>
          <w:spacing w:val="-8"/>
          <w:sz w:val="44"/>
          <w:szCs w:val="40"/>
          <w:highlight w:val="none"/>
        </w:rPr>
      </w:pPr>
      <w:r>
        <w:rPr>
          <w:rFonts w:hint="eastAsia" w:ascii="Calibri" w:hAnsi="宋体" w:eastAsia="宋体" w:cs="Times New Roman"/>
          <w:b/>
          <w:bCs/>
          <w:color w:val="000000"/>
          <w:spacing w:val="-8"/>
          <w:sz w:val="44"/>
          <w:szCs w:val="40"/>
          <w:highlight w:val="none"/>
        </w:rPr>
        <w:t>中国重汽集团济南动力有限公司</w:t>
      </w:r>
    </w:p>
    <w:p w14:paraId="2B7CAA59">
      <w:pPr>
        <w:spacing w:line="276" w:lineRule="auto"/>
        <w:jc w:val="center"/>
        <w:rPr>
          <w:rFonts w:ascii="Calibri" w:hAnsi="Calibri" w:eastAsia="宋体" w:cs="Times New Roman"/>
          <w:b/>
          <w:bCs/>
          <w:color w:val="000000"/>
          <w:spacing w:val="-8"/>
          <w:sz w:val="48"/>
          <w:szCs w:val="44"/>
          <w:highlight w:val="none"/>
        </w:rPr>
      </w:pPr>
      <w:r>
        <w:rPr>
          <w:rFonts w:hint="eastAsia" w:ascii="Calibri" w:hAnsi="宋体" w:eastAsia="宋体" w:cs="Times New Roman"/>
          <w:b/>
          <w:bCs/>
          <w:color w:val="000000"/>
          <w:spacing w:val="-8"/>
          <w:sz w:val="44"/>
          <w:szCs w:val="40"/>
          <w:highlight w:val="none"/>
          <w:lang w:val="en-US" w:eastAsia="zh-CN"/>
        </w:rPr>
        <w:t>济南成型厂新增空调更新技改项目</w:t>
      </w:r>
      <w:r>
        <w:rPr>
          <w:rFonts w:ascii="Calibri" w:hAnsi="Calibri" w:eastAsia="宋体" w:cs="Times New Roman"/>
          <w:b/>
          <w:bCs/>
          <w:color w:val="000000"/>
          <w:spacing w:val="-8"/>
          <w:sz w:val="48"/>
          <w:szCs w:val="44"/>
          <w:highlight w:val="none"/>
        </w:rPr>
        <w:t xml:space="preserve"> </w:t>
      </w:r>
    </w:p>
    <w:p w14:paraId="336F039E">
      <w:pPr>
        <w:jc w:val="right"/>
        <w:rPr>
          <w:rFonts w:ascii="Calibri" w:hAnsi="Calibri" w:eastAsia="宋体" w:cs="Times New Roman"/>
          <w:color w:val="000000"/>
          <w:sz w:val="28"/>
          <w:szCs w:val="28"/>
          <w:highlight w:val="none"/>
        </w:rPr>
      </w:pPr>
    </w:p>
    <w:p w14:paraId="0D6723E1">
      <w:pPr>
        <w:pStyle w:val="24"/>
        <w:rPr>
          <w:highlight w:val="none"/>
        </w:rPr>
      </w:pPr>
    </w:p>
    <w:p w14:paraId="547B4277">
      <w:pPr>
        <w:jc w:val="center"/>
        <w:rPr>
          <w:rFonts w:hint="eastAsia" w:ascii="黑体" w:hAnsi="宋体" w:eastAsia="黑体" w:cs="Times New Roman"/>
          <w:color w:val="000000"/>
          <w:sz w:val="72"/>
          <w:szCs w:val="72"/>
          <w:highlight w:val="none"/>
        </w:rPr>
      </w:pPr>
    </w:p>
    <w:p w14:paraId="0B9CA48D">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54E2ACD0">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6A3DE3B1">
      <w:pPr>
        <w:jc w:val="center"/>
        <w:rPr>
          <w:rFonts w:hint="eastAsia" w:ascii="黑体" w:hAnsi="宋体" w:eastAsia="黑体" w:cs="Times New Roman"/>
          <w:color w:val="000000"/>
          <w:sz w:val="72"/>
          <w:szCs w:val="72"/>
          <w:highlight w:val="none"/>
          <w:lang w:val="en-US" w:eastAsia="zh-CN"/>
        </w:rPr>
      </w:pPr>
      <w:r>
        <w:rPr>
          <w:rFonts w:hint="eastAsia" w:ascii="黑体" w:hAnsi="宋体" w:eastAsia="黑体" w:cs="Times New Roman"/>
          <w:color w:val="000000"/>
          <w:sz w:val="72"/>
          <w:szCs w:val="72"/>
          <w:highlight w:val="none"/>
          <w:lang w:val="en-US" w:eastAsia="zh-CN"/>
        </w:rPr>
        <w:t>标</w:t>
      </w:r>
    </w:p>
    <w:p w14:paraId="77FB5970">
      <w:pPr>
        <w:jc w:val="center"/>
        <w:rPr>
          <w:rFonts w:hint="default" w:ascii="黑体" w:hAnsi="宋体" w:eastAsia="黑体" w:cs="Times New Roman"/>
          <w:color w:val="000000"/>
          <w:sz w:val="72"/>
          <w:szCs w:val="72"/>
          <w:highlight w:val="none"/>
          <w:lang w:val="en-US" w:eastAsia="zh-CN"/>
        </w:rPr>
      </w:pPr>
      <w:r>
        <w:rPr>
          <w:rFonts w:hint="eastAsia" w:ascii="黑体" w:hAnsi="宋体" w:eastAsia="黑体" w:cs="Times New Roman"/>
          <w:color w:val="000000"/>
          <w:sz w:val="72"/>
          <w:szCs w:val="72"/>
          <w:highlight w:val="none"/>
          <w:lang w:val="en-US" w:eastAsia="zh-CN"/>
        </w:rPr>
        <w:t>书</w:t>
      </w:r>
    </w:p>
    <w:p w14:paraId="5E29365C">
      <w:pPr>
        <w:pStyle w:val="24"/>
        <w:rPr>
          <w:highlight w:val="none"/>
        </w:rPr>
      </w:pPr>
    </w:p>
    <w:p w14:paraId="79A3CEF0">
      <w:pPr>
        <w:pStyle w:val="24"/>
        <w:rPr>
          <w:rFonts w:ascii="黑体" w:hAnsi="宋体" w:eastAsia="黑体" w:cs="Times New Roman"/>
          <w:color w:val="000000"/>
          <w:sz w:val="72"/>
          <w:szCs w:val="72"/>
          <w:highlight w:val="none"/>
        </w:rPr>
      </w:pPr>
    </w:p>
    <w:p w14:paraId="182947F6">
      <w:pPr>
        <w:spacing w:line="860" w:lineRule="exact"/>
        <w:rPr>
          <w:rFonts w:hint="eastAsia" w:ascii="华文仿宋" w:hAnsi="华文仿宋" w:eastAsia="华文仿宋"/>
          <w:sz w:val="32"/>
          <w:szCs w:val="28"/>
          <w:highlight w:val="none"/>
        </w:rPr>
      </w:pPr>
    </w:p>
    <w:p w14:paraId="2ABB0BB3">
      <w:pPr>
        <w:pStyle w:val="2"/>
        <w:jc w:val="center"/>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highlight w:val="none"/>
          <w:lang w:val="en-US" w:eastAsia="zh-CN"/>
        </w:rPr>
        <w:t>2026年1月</w:t>
      </w:r>
    </w:p>
    <w:p w14:paraId="54DFFDA6">
      <w:pPr>
        <w:pStyle w:val="30"/>
        <w:rPr>
          <w:highlight w:val="none"/>
        </w:rPr>
      </w:pPr>
    </w:p>
    <w:p w14:paraId="1300F58E">
      <w:pPr>
        <w:rPr>
          <w:highlight w:val="none"/>
        </w:rPr>
      </w:pPr>
    </w:p>
    <w:p w14:paraId="61BB29E2">
      <w:pPr>
        <w:pStyle w:val="30"/>
        <w:rPr>
          <w:highlight w:val="none"/>
        </w:rPr>
      </w:pPr>
    </w:p>
    <w:p w14:paraId="7CD6D96D">
      <w:pPr>
        <w:rPr>
          <w:highlight w:val="none"/>
        </w:rPr>
      </w:pPr>
    </w:p>
    <w:p w14:paraId="1D925D51">
      <w:pPr>
        <w:pStyle w:val="24"/>
        <w:rPr>
          <w:b/>
          <w:bCs/>
          <w:highlight w:val="none"/>
        </w:rPr>
      </w:pPr>
    </w:p>
    <w:p w14:paraId="645BB297">
      <w:pPr>
        <w:spacing w:line="360" w:lineRule="auto"/>
        <w:rPr>
          <w:rFonts w:ascii="宋体" w:hAnsi="宋体" w:eastAsia="宋体" w:cs="Times New Roman"/>
          <w:b/>
          <w:sz w:val="36"/>
          <w:szCs w:val="36"/>
          <w:highlight w:val="none"/>
        </w:rPr>
        <w:sectPr>
          <w:pgSz w:w="11907" w:h="16840"/>
          <w:pgMar w:top="1304" w:right="1418" w:bottom="1304" w:left="1418" w:header="724" w:footer="851" w:gutter="0"/>
          <w:cols w:space="720" w:num="1"/>
          <w:docGrid w:linePitch="290" w:charSpace="-3931"/>
        </w:sectPr>
      </w:pPr>
    </w:p>
    <w:p w14:paraId="0372825E">
      <w:pPr>
        <w:keepNext/>
        <w:keepLines/>
        <w:pageBreakBefore w:val="0"/>
        <w:widowControl w:val="0"/>
        <w:kinsoku/>
        <w:wordWrap/>
        <w:overflowPunct/>
        <w:topLinePunct w:val="0"/>
        <w:autoSpaceDE/>
        <w:autoSpaceDN/>
        <w:bidi w:val="0"/>
        <w:adjustRightInd/>
        <w:snapToGrid/>
        <w:spacing w:before="120" w:after="240" w:line="480" w:lineRule="exact"/>
        <w:jc w:val="center"/>
        <w:textAlignment w:val="auto"/>
        <w:outlineLvl w:val="1"/>
        <w:rPr>
          <w:rFonts w:hint="default" w:ascii="宋体" w:hAnsi="Calibri" w:eastAsia="宋体" w:cs="Times New Roman"/>
          <w:b/>
          <w:bCs/>
          <w:kern w:val="44"/>
          <w:sz w:val="28"/>
          <w:szCs w:val="28"/>
          <w:highlight w:val="none"/>
          <w:lang w:val="en-US" w:eastAsia="zh-CN"/>
        </w:rPr>
      </w:pPr>
      <w:bookmarkStart w:id="18" w:name="_Toc169605883"/>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lang w:val="en-US" w:eastAsia="zh-CN"/>
        </w:rPr>
        <w:t>使用环境</w:t>
      </w:r>
    </w:p>
    <w:p w14:paraId="78AC13B7">
      <w:pPr>
        <w:spacing w:line="360" w:lineRule="auto"/>
        <w:outlineLvl w:val="3"/>
        <w:rPr>
          <w:rFonts w:ascii="宋体" w:hAnsi="宋体" w:eastAsia="宋体" w:cs="宋体"/>
          <w:color w:val="000000"/>
          <w:sz w:val="24"/>
          <w:szCs w:val="24"/>
          <w:highlight w:val="none"/>
        </w:rPr>
      </w:pPr>
      <w:r>
        <w:rPr>
          <w:rFonts w:hint="eastAsia" w:ascii="宋体" w:hAnsi="宋体" w:eastAsia="宋体" w:cs="宋体"/>
          <w:sz w:val="24"/>
          <w:szCs w:val="24"/>
          <w:highlight w:val="none"/>
        </w:rPr>
        <w:t>一、项目名称：济南成型厂</w:t>
      </w:r>
      <w:r>
        <w:rPr>
          <w:rFonts w:hint="eastAsia" w:ascii="宋体" w:hAnsi="宋体" w:eastAsia="宋体" w:cs="宋体"/>
          <w:sz w:val="24"/>
          <w:szCs w:val="24"/>
          <w:highlight w:val="none"/>
          <w:lang w:val="en-US" w:eastAsia="zh-CN"/>
        </w:rPr>
        <w:t>新增空调更新</w:t>
      </w:r>
      <w:r>
        <w:rPr>
          <w:rFonts w:hint="eastAsia" w:ascii="宋体" w:hAnsi="宋体" w:eastAsia="宋体" w:cs="宋体"/>
          <w:sz w:val="24"/>
          <w:szCs w:val="24"/>
          <w:highlight w:val="none"/>
        </w:rPr>
        <w:t>技改项目</w:t>
      </w:r>
      <w:r>
        <w:rPr>
          <w:rFonts w:hint="eastAsia" w:ascii="宋体" w:hAnsi="宋体" w:eastAsia="宋体" w:cs="宋体"/>
          <w:color w:val="000000"/>
          <w:sz w:val="24"/>
          <w:szCs w:val="24"/>
          <w:highlight w:val="none"/>
        </w:rPr>
        <w:t>。</w:t>
      </w:r>
    </w:p>
    <w:p w14:paraId="14FC40D4">
      <w:pPr>
        <w:spacing w:line="360" w:lineRule="auto"/>
        <w:outlineLvl w:val="3"/>
        <w:rPr>
          <w:rFonts w:ascii="宋体" w:hAnsi="宋体" w:eastAsia="宋体" w:cs="宋体"/>
          <w:sz w:val="24"/>
          <w:szCs w:val="24"/>
          <w:highlight w:val="non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color w:val="000000"/>
          <w:sz w:val="24"/>
          <w:szCs w:val="24"/>
          <w:highlight w:val="none"/>
        </w:rPr>
        <w:t>济南成型厂</w:t>
      </w:r>
      <w:r>
        <w:rPr>
          <w:rFonts w:hint="eastAsia" w:ascii="宋体" w:hAnsi="宋体" w:eastAsia="宋体" w:cs="宋体"/>
          <w:color w:val="000000"/>
          <w:sz w:val="24"/>
          <w:szCs w:val="24"/>
          <w:highlight w:val="none"/>
          <w:lang w:val="en-US" w:eastAsia="zh-CN"/>
        </w:rPr>
        <w:t>锻</w:t>
      </w:r>
      <w:r>
        <w:rPr>
          <w:rFonts w:hint="eastAsia" w:ascii="宋体" w:hAnsi="宋体" w:eastAsia="宋体" w:cs="宋体"/>
          <w:color w:val="000000"/>
          <w:sz w:val="24"/>
          <w:szCs w:val="24"/>
          <w:highlight w:val="none"/>
        </w:rPr>
        <w:t>造一</w:t>
      </w:r>
      <w:r>
        <w:rPr>
          <w:rFonts w:hint="eastAsia" w:ascii="宋体" w:hAnsi="宋体" w:eastAsia="宋体" w:cs="宋体"/>
          <w:color w:val="000000"/>
          <w:sz w:val="24"/>
          <w:szCs w:val="24"/>
          <w:highlight w:val="none"/>
          <w:lang w:val="en-US" w:eastAsia="zh-CN"/>
        </w:rPr>
        <w:t>部、铸造一部</w:t>
      </w:r>
      <w:r>
        <w:rPr>
          <w:rFonts w:hint="eastAsia" w:ascii="宋体" w:hAnsi="宋体" w:eastAsia="宋体" w:cs="宋体"/>
          <w:color w:val="000000"/>
          <w:sz w:val="24"/>
          <w:szCs w:val="24"/>
          <w:highlight w:val="none"/>
        </w:rPr>
        <w:t>。</w:t>
      </w:r>
    </w:p>
    <w:p w14:paraId="0E3A81FC">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none"/>
        </w:rPr>
        <w:t>济南成型厂</w:t>
      </w:r>
      <w:r>
        <w:rPr>
          <w:rFonts w:hint="eastAsia" w:ascii="宋体" w:hAnsi="宋体" w:eastAsia="宋体" w:cs="宋体"/>
          <w:color w:val="000000"/>
          <w:sz w:val="24"/>
          <w:szCs w:val="24"/>
          <w:highlight w:val="none"/>
          <w:lang w:val="en-US" w:eastAsia="zh-CN"/>
        </w:rPr>
        <w:t>锻</w:t>
      </w:r>
      <w:r>
        <w:rPr>
          <w:rFonts w:hint="eastAsia" w:ascii="宋体" w:hAnsi="宋体" w:eastAsia="宋体" w:cs="宋体"/>
          <w:color w:val="000000"/>
          <w:sz w:val="24"/>
          <w:szCs w:val="24"/>
          <w:highlight w:val="none"/>
        </w:rPr>
        <w:t>造一</w:t>
      </w:r>
      <w:r>
        <w:rPr>
          <w:rFonts w:hint="eastAsia" w:ascii="宋体" w:hAnsi="宋体" w:eastAsia="宋体" w:cs="宋体"/>
          <w:color w:val="000000"/>
          <w:sz w:val="24"/>
          <w:szCs w:val="24"/>
          <w:highlight w:val="none"/>
          <w:lang w:val="en-US" w:eastAsia="zh-CN"/>
        </w:rPr>
        <w:t>部、铸造一部</w:t>
      </w:r>
      <w:r>
        <w:rPr>
          <w:rFonts w:hint="eastAsia" w:ascii="宋体" w:hAnsi="宋体" w:eastAsia="宋体" w:cs="宋体"/>
          <w:color w:val="000000"/>
          <w:sz w:val="24"/>
          <w:szCs w:val="24"/>
          <w:highlight w:val="none"/>
        </w:rPr>
        <w:t>。</w:t>
      </w:r>
    </w:p>
    <w:p w14:paraId="7D95B3BF">
      <w:pPr>
        <w:spacing w:line="360" w:lineRule="auto"/>
        <w:outlineLvl w:val="3"/>
        <w:rPr>
          <w:rFonts w:ascii="宋体" w:hAnsi="宋体" w:eastAsia="宋体" w:cs="宋体"/>
          <w:bCs/>
          <w:sz w:val="24"/>
          <w:szCs w:val="24"/>
          <w:highlight w:val="none"/>
        </w:rPr>
      </w:pPr>
      <w:r>
        <w:rPr>
          <w:rFonts w:hint="eastAsia" w:ascii="宋体" w:hAnsi="宋体" w:eastAsia="宋体" w:cs="宋体"/>
          <w:sz w:val="24"/>
          <w:szCs w:val="24"/>
          <w:highlight w:val="none"/>
        </w:rPr>
        <w:t>四、工作制度：</w:t>
      </w:r>
      <w:r>
        <w:rPr>
          <w:rFonts w:hint="eastAsia" w:ascii="宋体" w:hAnsi="宋体" w:eastAsia="宋体" w:cs="宋体"/>
          <w:bCs/>
          <w:sz w:val="24"/>
          <w:szCs w:val="24"/>
          <w:highlight w:val="none"/>
        </w:rPr>
        <w:t>全年工作365天、双班制。</w:t>
      </w:r>
    </w:p>
    <w:p w14:paraId="2CC113FC">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14:paraId="2C439A08">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5.1</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海拔高度：1000m以下。</w:t>
      </w:r>
    </w:p>
    <w:p w14:paraId="741C2EFF">
      <w:pPr>
        <w:spacing w:line="360" w:lineRule="auto"/>
        <w:ind w:left="719" w:leftChars="228" w:hanging="240" w:hangingChars="100"/>
        <w:rPr>
          <w:rFonts w:ascii="宋体" w:hAnsi="宋体" w:eastAsia="宋体" w:cs="宋体"/>
          <w:bCs/>
          <w:sz w:val="24"/>
          <w:szCs w:val="24"/>
          <w:highlight w:val="none"/>
        </w:rPr>
      </w:pPr>
      <w:r>
        <w:rPr>
          <w:rFonts w:hint="eastAsia" w:ascii="宋体" w:hAnsi="宋体" w:eastAsia="宋体" w:cs="宋体"/>
          <w:bCs/>
          <w:sz w:val="24"/>
          <w:szCs w:val="24"/>
          <w:highlight w:val="none"/>
        </w:rPr>
        <w:t>5.2</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环境温度：室外极端最低温度-</w:t>
      </w:r>
      <w:r>
        <w:rPr>
          <w:rFonts w:ascii="宋体" w:hAnsi="宋体" w:eastAsia="宋体" w:cs="宋体"/>
          <w:bCs/>
          <w:sz w:val="24"/>
          <w:szCs w:val="24"/>
          <w:highlight w:val="none"/>
        </w:rPr>
        <w:t>20</w:t>
      </w:r>
      <w:r>
        <w:rPr>
          <w:rFonts w:hint="eastAsia" w:ascii="宋体" w:hAnsi="宋体" w:eastAsia="宋体" w:cs="宋体"/>
          <w:bCs/>
          <w:sz w:val="24"/>
          <w:szCs w:val="24"/>
          <w:highlight w:val="none"/>
        </w:rPr>
        <w:t>℃、极端最高温度50℃，昼夜最大温差25℃；室内温度-10～42℃。</w:t>
      </w:r>
    </w:p>
    <w:p w14:paraId="72C2E231">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5.3</w:t>
      </w: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相对湿度：年平均59%，最大95%、最小15%。</w:t>
      </w:r>
    </w:p>
    <w:p w14:paraId="2AA7E7EC">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5.4  降雨量：日最大降雨量298.4mm、年总降雨量685mm。</w:t>
      </w:r>
    </w:p>
    <w:p w14:paraId="72047E35">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5.5  最大风速：15m/s。</w:t>
      </w:r>
    </w:p>
    <w:p w14:paraId="2FE639EC">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5.6  最大积雪厚度：190mm。</w:t>
      </w:r>
    </w:p>
    <w:p w14:paraId="025271E2">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5.7  地震烈度：七度。</w:t>
      </w:r>
    </w:p>
    <w:p w14:paraId="687BCF60">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 xml:space="preserve">六、能源环境： </w:t>
      </w:r>
    </w:p>
    <w:p w14:paraId="26F7F55A">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6.1  电力：中国制式，供电电压380V±15%/220V±15%，供电频率50Hz±2%。</w:t>
      </w:r>
    </w:p>
    <w:p w14:paraId="402D487B">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6.2  给水：市政自来水，0.20 MPa。</w:t>
      </w:r>
    </w:p>
    <w:p w14:paraId="3F93AF0B">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6.3  蒸汽：市政蒸汽，0.6 MPa±0.1。</w:t>
      </w:r>
    </w:p>
    <w:p w14:paraId="28448E2C">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6.4  压缩空气：自备空压机自产压缩空气，0.5-0.7MPa。</w:t>
      </w:r>
    </w:p>
    <w:p w14:paraId="742E5A4E">
      <w:pPr>
        <w:spacing w:line="360" w:lineRule="auto"/>
        <w:ind w:firstLine="480" w:firstLineChars="200"/>
        <w:rPr>
          <w:rFonts w:ascii="宋体" w:hAnsi="宋体" w:eastAsia="宋体" w:cs="宋体"/>
          <w:bCs/>
          <w:sz w:val="24"/>
          <w:szCs w:val="24"/>
          <w:highlight w:val="none"/>
        </w:rPr>
      </w:pPr>
    </w:p>
    <w:p w14:paraId="1005C7B3">
      <w:pPr>
        <w:spacing w:line="360" w:lineRule="auto"/>
        <w:ind w:firstLine="480" w:firstLineChars="200"/>
        <w:rPr>
          <w:rFonts w:ascii="宋体" w:hAnsi="宋体" w:eastAsia="宋体" w:cs="宋体"/>
          <w:bCs/>
          <w:sz w:val="24"/>
          <w:szCs w:val="24"/>
          <w:highlight w:val="none"/>
        </w:rPr>
      </w:pPr>
    </w:p>
    <w:p w14:paraId="3A07514D">
      <w:pPr>
        <w:spacing w:line="360" w:lineRule="auto"/>
        <w:ind w:firstLine="480" w:firstLineChars="200"/>
        <w:rPr>
          <w:rFonts w:ascii="宋体" w:hAnsi="宋体" w:eastAsia="宋体" w:cs="宋体"/>
          <w:bCs/>
          <w:sz w:val="24"/>
          <w:szCs w:val="24"/>
          <w:highlight w:val="none"/>
        </w:rPr>
      </w:pPr>
    </w:p>
    <w:p w14:paraId="2CCC729F">
      <w:pPr>
        <w:spacing w:line="360" w:lineRule="auto"/>
        <w:ind w:firstLine="480" w:firstLineChars="200"/>
        <w:rPr>
          <w:rFonts w:ascii="宋体" w:hAnsi="宋体" w:eastAsia="宋体" w:cs="宋体"/>
          <w:bCs/>
          <w:sz w:val="24"/>
          <w:szCs w:val="24"/>
          <w:highlight w:val="none"/>
        </w:rPr>
      </w:pPr>
    </w:p>
    <w:p w14:paraId="40670DEC">
      <w:pPr>
        <w:spacing w:line="360" w:lineRule="auto"/>
        <w:ind w:firstLine="480" w:firstLineChars="200"/>
        <w:rPr>
          <w:rFonts w:ascii="宋体" w:hAnsi="宋体" w:eastAsia="宋体" w:cs="宋体"/>
          <w:bCs/>
          <w:sz w:val="24"/>
          <w:szCs w:val="24"/>
          <w:highlight w:val="none"/>
        </w:rPr>
      </w:pPr>
    </w:p>
    <w:p w14:paraId="131A82C2">
      <w:pPr>
        <w:spacing w:line="360" w:lineRule="auto"/>
        <w:ind w:firstLine="480" w:firstLineChars="200"/>
        <w:rPr>
          <w:rFonts w:ascii="宋体" w:hAnsi="宋体" w:eastAsia="宋体" w:cs="宋体"/>
          <w:bCs/>
          <w:sz w:val="24"/>
          <w:szCs w:val="24"/>
          <w:highlight w:val="none"/>
        </w:rPr>
      </w:pPr>
    </w:p>
    <w:p w14:paraId="4499A9F9">
      <w:pPr>
        <w:spacing w:line="360" w:lineRule="auto"/>
        <w:ind w:firstLine="480" w:firstLineChars="200"/>
        <w:rPr>
          <w:rFonts w:ascii="宋体" w:hAnsi="宋体" w:eastAsia="宋体" w:cs="宋体"/>
          <w:bCs/>
          <w:sz w:val="24"/>
          <w:szCs w:val="24"/>
          <w:highlight w:val="none"/>
        </w:rPr>
      </w:pPr>
    </w:p>
    <w:p w14:paraId="5F8ED20E">
      <w:pPr>
        <w:spacing w:line="360" w:lineRule="auto"/>
        <w:ind w:firstLine="480" w:firstLineChars="200"/>
        <w:rPr>
          <w:rFonts w:ascii="宋体" w:hAnsi="宋体" w:eastAsia="宋体" w:cs="宋体"/>
          <w:bCs/>
          <w:sz w:val="24"/>
          <w:szCs w:val="24"/>
          <w:highlight w:val="none"/>
        </w:rPr>
      </w:pPr>
    </w:p>
    <w:p w14:paraId="331629B7">
      <w:pPr>
        <w:keepNext/>
        <w:keepLines/>
        <w:pageBreakBefore w:val="0"/>
        <w:widowControl w:val="0"/>
        <w:kinsoku/>
        <w:wordWrap/>
        <w:overflowPunct/>
        <w:topLinePunct w:val="0"/>
        <w:autoSpaceDE/>
        <w:autoSpaceDN/>
        <w:bidi w:val="0"/>
        <w:adjustRightInd/>
        <w:snapToGrid/>
        <w:spacing w:before="120" w:after="240" w:line="480" w:lineRule="exact"/>
        <w:jc w:val="center"/>
        <w:textAlignment w:val="auto"/>
        <w:outlineLvl w:val="1"/>
        <w:rPr>
          <w:rFonts w:hint="default" w:ascii="宋体" w:hAnsi="Calibri" w:eastAsia="宋体" w:cs="Times New Roman"/>
          <w:b/>
          <w:bCs/>
          <w:kern w:val="44"/>
          <w:sz w:val="28"/>
          <w:szCs w:val="28"/>
          <w:highlight w:val="none"/>
          <w:lang w:val="en-US" w:eastAsia="zh-CN"/>
        </w:rPr>
      </w:pPr>
      <w:r>
        <w:rPr>
          <w:rFonts w:hint="eastAsia" w:ascii="宋体" w:hAnsi="宋体" w:eastAsia="宋体" w:cs="Times New Roman"/>
          <w:b/>
          <w:bCs/>
          <w:kern w:val="44"/>
          <w:sz w:val="28"/>
          <w:szCs w:val="28"/>
          <w:highlight w:val="none"/>
        </w:rPr>
        <w:t>第</w:t>
      </w:r>
      <w:r>
        <w:rPr>
          <w:rFonts w:hint="eastAsia" w:ascii="宋体" w:hAnsi="宋体" w:eastAsia="宋体" w:cs="Times New Roman"/>
          <w:b/>
          <w:bCs/>
          <w:kern w:val="44"/>
          <w:sz w:val="28"/>
          <w:szCs w:val="28"/>
          <w:highlight w:val="none"/>
          <w:lang w:val="en-US" w:eastAsia="zh-CN"/>
        </w:rPr>
        <w:t>二</w:t>
      </w:r>
      <w:r>
        <w:rPr>
          <w:rFonts w:hint="eastAsia" w:ascii="宋体" w:hAnsi="宋体" w:eastAsia="宋体" w:cs="Times New Roman"/>
          <w:b/>
          <w:bCs/>
          <w:kern w:val="44"/>
          <w:sz w:val="28"/>
          <w:szCs w:val="28"/>
          <w:highlight w:val="none"/>
        </w:rPr>
        <w:t>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lang w:val="en-US" w:eastAsia="zh-CN"/>
        </w:rPr>
        <w:t>供货范围</w:t>
      </w:r>
    </w:p>
    <w:p w14:paraId="0386A96E">
      <w:pPr>
        <w:spacing w:line="420" w:lineRule="exact"/>
        <w:outlineLvl w:val="3"/>
        <w:rPr>
          <w:rFonts w:hint="eastAsia" w:ascii="宋体" w:hAnsi="宋体" w:eastAsia="宋体" w:cs="宋体"/>
          <w:color w:val="000000"/>
          <w:sz w:val="24"/>
          <w:szCs w:val="24"/>
          <w:highlight w:val="none"/>
        </w:rPr>
      </w:pPr>
      <w:r>
        <w:rPr>
          <w:rFonts w:hint="eastAsia" w:ascii="宋体" w:hAnsi="宋体" w:eastAsia="宋体" w:cs="宋体"/>
          <w:b/>
          <w:sz w:val="24"/>
          <w:szCs w:val="24"/>
          <w:highlight w:val="none"/>
        </w:rPr>
        <w:t>一、</w:t>
      </w:r>
      <w:r>
        <w:rPr>
          <w:rFonts w:hint="eastAsia" w:ascii="宋体" w:hAnsi="宋体" w:eastAsia="宋体" w:cs="宋体"/>
          <w:b/>
          <w:sz w:val="24"/>
          <w:szCs w:val="24"/>
          <w:highlight w:val="none"/>
          <w:lang w:val="en-US" w:eastAsia="zh-CN"/>
        </w:rPr>
        <w:t>主要</w:t>
      </w:r>
      <w:r>
        <w:rPr>
          <w:rFonts w:hint="eastAsia" w:ascii="宋体" w:hAnsi="宋体" w:eastAsia="宋体" w:cs="宋体"/>
          <w:b/>
          <w:sz w:val="24"/>
          <w:szCs w:val="24"/>
          <w:highlight w:val="none"/>
        </w:rPr>
        <w:t>货物</w:t>
      </w:r>
      <w:r>
        <w:rPr>
          <w:rFonts w:hint="eastAsia" w:ascii="宋体" w:hAnsi="宋体" w:eastAsia="宋体" w:cs="宋体"/>
          <w:b/>
          <w:sz w:val="24"/>
          <w:szCs w:val="24"/>
          <w:highlight w:val="none"/>
          <w:lang w:val="en-US" w:eastAsia="zh-CN"/>
        </w:rPr>
        <w:t>供货范围</w:t>
      </w:r>
      <w:r>
        <w:rPr>
          <w:rFonts w:hint="eastAsia" w:ascii="宋体" w:hAnsi="宋体" w:eastAsia="宋体" w:cs="宋体"/>
          <w:b/>
          <w:sz w:val="24"/>
          <w:szCs w:val="24"/>
          <w:highlight w:val="none"/>
        </w:rPr>
        <w:t>：</w:t>
      </w:r>
    </w:p>
    <w:p w14:paraId="0F210A07">
      <w:pPr>
        <w:jc w:val="center"/>
        <w:rPr>
          <w:rFonts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48"/>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272"/>
        <w:gridCol w:w="3110"/>
        <w:gridCol w:w="832"/>
        <w:gridCol w:w="823"/>
        <w:gridCol w:w="1625"/>
      </w:tblGrid>
      <w:tr w14:paraId="03CD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575" w:type="dxa"/>
            <w:vAlign w:val="center"/>
          </w:tcPr>
          <w:p w14:paraId="770A90A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1272" w:type="dxa"/>
            <w:vAlign w:val="center"/>
          </w:tcPr>
          <w:p w14:paraId="63B926C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3110" w:type="dxa"/>
            <w:vAlign w:val="center"/>
          </w:tcPr>
          <w:p w14:paraId="02F7869B">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型号规格</w:t>
            </w:r>
          </w:p>
        </w:tc>
        <w:tc>
          <w:tcPr>
            <w:tcW w:w="832" w:type="dxa"/>
            <w:vAlign w:val="center"/>
          </w:tcPr>
          <w:p w14:paraId="2E58A6D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823" w:type="dxa"/>
            <w:vAlign w:val="center"/>
          </w:tcPr>
          <w:p w14:paraId="3A9A41EB">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c>
          <w:tcPr>
            <w:tcW w:w="1625" w:type="dxa"/>
            <w:vAlign w:val="center"/>
          </w:tcPr>
          <w:p w14:paraId="0D06BC35">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347A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575" w:type="dxa"/>
            <w:vAlign w:val="center"/>
          </w:tcPr>
          <w:p w14:paraId="6A13F47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1272" w:type="dxa"/>
            <w:vAlign w:val="center"/>
          </w:tcPr>
          <w:p w14:paraId="48FB40ED">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1.5P空调</w:t>
            </w:r>
          </w:p>
        </w:tc>
        <w:tc>
          <w:tcPr>
            <w:tcW w:w="3110" w:type="dxa"/>
            <w:vAlign w:val="center"/>
          </w:tcPr>
          <w:p w14:paraId="51DBBB14">
            <w:pPr>
              <w:spacing w:line="3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一级能效，壁挂式空调，制热量5000w，制冷量3510w，含安装调试及附件</w:t>
            </w:r>
          </w:p>
        </w:tc>
        <w:tc>
          <w:tcPr>
            <w:tcW w:w="832" w:type="dxa"/>
            <w:vAlign w:val="center"/>
          </w:tcPr>
          <w:p w14:paraId="3343B97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823" w:type="dxa"/>
            <w:vAlign w:val="center"/>
          </w:tcPr>
          <w:p w14:paraId="3D1B3A72">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c>
          <w:tcPr>
            <w:tcW w:w="1625" w:type="dxa"/>
            <w:vAlign w:val="center"/>
          </w:tcPr>
          <w:p w14:paraId="39DA2D5B">
            <w:pPr>
              <w:spacing w:line="0" w:lineRule="atLeast"/>
              <w:jc w:val="center"/>
              <w:rPr>
                <w:rFonts w:hint="eastAsia" w:ascii="宋体" w:hAnsi="宋体" w:eastAsia="宋体" w:cs="宋体"/>
                <w:kern w:val="1"/>
                <w:sz w:val="24"/>
                <w:szCs w:val="24"/>
                <w:highlight w:val="none"/>
                <w:lang w:val="en-US" w:eastAsia="zh-CN"/>
              </w:rPr>
            </w:pPr>
            <w:r>
              <w:rPr>
                <w:rFonts w:hint="eastAsia" w:ascii="宋体" w:hAnsi="宋体" w:eastAsia="宋体"/>
                <w:sz w:val="24"/>
                <w:highlight w:val="none"/>
              </w:rPr>
              <w:t>交钥匙方式</w:t>
            </w:r>
          </w:p>
        </w:tc>
      </w:tr>
      <w:tr w14:paraId="06C5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5" w:type="dxa"/>
            <w:vAlign w:val="center"/>
          </w:tcPr>
          <w:p w14:paraId="7F0A9F9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1272" w:type="dxa"/>
            <w:vAlign w:val="center"/>
          </w:tcPr>
          <w:p w14:paraId="792550BD">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2P空调</w:t>
            </w:r>
          </w:p>
        </w:tc>
        <w:tc>
          <w:tcPr>
            <w:tcW w:w="3110" w:type="dxa"/>
            <w:vAlign w:val="center"/>
          </w:tcPr>
          <w:p w14:paraId="38379169">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一级能效，壁挂式空调，制热量7200w，制冷量5020w，含安装调试及附件</w:t>
            </w:r>
          </w:p>
        </w:tc>
        <w:tc>
          <w:tcPr>
            <w:tcW w:w="832" w:type="dxa"/>
            <w:vAlign w:val="center"/>
          </w:tcPr>
          <w:p w14:paraId="00F2CDC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823" w:type="dxa"/>
            <w:vAlign w:val="center"/>
          </w:tcPr>
          <w:p w14:paraId="1FDCF47D">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2</w:t>
            </w:r>
          </w:p>
        </w:tc>
        <w:tc>
          <w:tcPr>
            <w:tcW w:w="1625" w:type="dxa"/>
            <w:vAlign w:val="center"/>
          </w:tcPr>
          <w:p w14:paraId="314E06BE">
            <w:pPr>
              <w:spacing w:line="0" w:lineRule="atLeast"/>
              <w:jc w:val="center"/>
              <w:rPr>
                <w:rFonts w:hint="eastAsia" w:ascii="宋体" w:hAnsi="宋体" w:eastAsia="宋体" w:cs="宋体"/>
                <w:kern w:val="1"/>
                <w:sz w:val="24"/>
                <w:szCs w:val="24"/>
                <w:highlight w:val="none"/>
                <w:lang w:val="en-US" w:eastAsia="zh-CN"/>
              </w:rPr>
            </w:pPr>
            <w:r>
              <w:rPr>
                <w:rFonts w:hint="eastAsia" w:ascii="宋体" w:hAnsi="宋体" w:eastAsia="宋体"/>
                <w:sz w:val="24"/>
                <w:highlight w:val="none"/>
              </w:rPr>
              <w:t>交钥匙方式</w:t>
            </w:r>
          </w:p>
        </w:tc>
      </w:tr>
      <w:tr w14:paraId="3E96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5" w:type="dxa"/>
            <w:vAlign w:val="center"/>
          </w:tcPr>
          <w:p w14:paraId="09BB7DA3">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272" w:type="dxa"/>
            <w:vAlign w:val="center"/>
          </w:tcPr>
          <w:p w14:paraId="4D0ED28E">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技术资料</w:t>
            </w:r>
          </w:p>
        </w:tc>
        <w:tc>
          <w:tcPr>
            <w:tcW w:w="3110" w:type="dxa"/>
            <w:vAlign w:val="center"/>
          </w:tcPr>
          <w:p w14:paraId="0C8BDC99">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使用说明书、合格证书等</w:t>
            </w:r>
          </w:p>
        </w:tc>
        <w:tc>
          <w:tcPr>
            <w:tcW w:w="832" w:type="dxa"/>
            <w:vAlign w:val="center"/>
          </w:tcPr>
          <w:p w14:paraId="15582FAF">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823" w:type="dxa"/>
            <w:vAlign w:val="center"/>
          </w:tcPr>
          <w:p w14:paraId="357ADBB2">
            <w:pPr>
              <w:spacing w:line="0" w:lineRule="atLeast"/>
              <w:jc w:val="center"/>
              <w:rPr>
                <w:rFonts w:hint="default" w:ascii="宋体" w:hAnsi="宋体" w:eastAsia="宋体" w:cs="宋体"/>
                <w:kern w:val="1"/>
                <w:sz w:val="24"/>
                <w:szCs w:val="24"/>
                <w:highlight w:val="none"/>
                <w:lang w:val="en-US" w:eastAsia="zh-CN"/>
              </w:rPr>
            </w:pPr>
            <w:r>
              <w:rPr>
                <w:rFonts w:hint="eastAsia" w:ascii="宋体" w:hAnsi="宋体" w:eastAsia="宋体" w:cs="宋体"/>
                <w:kern w:val="1"/>
                <w:sz w:val="24"/>
                <w:szCs w:val="24"/>
                <w:highlight w:val="none"/>
                <w:lang w:val="en-US" w:eastAsia="zh-CN"/>
              </w:rPr>
              <w:t>1</w:t>
            </w:r>
          </w:p>
        </w:tc>
        <w:tc>
          <w:tcPr>
            <w:tcW w:w="1625" w:type="dxa"/>
            <w:vAlign w:val="center"/>
          </w:tcPr>
          <w:p w14:paraId="21956E8E">
            <w:pPr>
              <w:spacing w:line="0" w:lineRule="atLeast"/>
              <w:jc w:val="center"/>
              <w:rPr>
                <w:rFonts w:hint="eastAsia" w:ascii="宋体" w:hAnsi="宋体" w:eastAsia="宋体"/>
                <w:sz w:val="24"/>
                <w:highlight w:val="none"/>
              </w:rPr>
            </w:pPr>
            <w:r>
              <w:rPr>
                <w:rFonts w:hint="eastAsia" w:ascii="宋体" w:hAnsi="宋体" w:eastAsia="宋体"/>
                <w:sz w:val="24"/>
                <w:highlight w:val="none"/>
              </w:rPr>
              <w:t>交钥匙方式</w:t>
            </w:r>
          </w:p>
        </w:tc>
      </w:tr>
      <w:tr w14:paraId="65D7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5" w:type="dxa"/>
            <w:vAlign w:val="center"/>
          </w:tcPr>
          <w:p w14:paraId="27404291">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272" w:type="dxa"/>
            <w:vAlign w:val="center"/>
          </w:tcPr>
          <w:p w14:paraId="068F8624">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包装运输</w:t>
            </w:r>
          </w:p>
        </w:tc>
        <w:tc>
          <w:tcPr>
            <w:tcW w:w="3110" w:type="dxa"/>
            <w:vAlign w:val="center"/>
          </w:tcPr>
          <w:p w14:paraId="479DDC53">
            <w:pPr>
              <w:spacing w:line="360" w:lineRule="exact"/>
              <w:jc w:val="center"/>
              <w:rPr>
                <w:rFonts w:hint="eastAsia" w:ascii="宋体" w:hAnsi="宋体" w:eastAsia="宋体" w:cs="宋体"/>
                <w:sz w:val="24"/>
                <w:szCs w:val="24"/>
                <w:highlight w:val="none"/>
                <w:lang w:val="en-US" w:eastAsia="zh-CN"/>
              </w:rPr>
            </w:pPr>
          </w:p>
        </w:tc>
        <w:tc>
          <w:tcPr>
            <w:tcW w:w="832" w:type="dxa"/>
            <w:vAlign w:val="center"/>
          </w:tcPr>
          <w:p w14:paraId="1F288370">
            <w:pPr>
              <w:spacing w:line="360" w:lineRule="exact"/>
              <w:jc w:val="center"/>
              <w:rPr>
                <w:rFonts w:hint="eastAsia" w:ascii="宋体" w:hAnsi="宋体" w:eastAsia="宋体" w:cs="宋体"/>
                <w:sz w:val="24"/>
                <w:szCs w:val="24"/>
                <w:highlight w:val="none"/>
                <w:lang w:val="en-US" w:eastAsia="zh-CN"/>
              </w:rPr>
            </w:pPr>
          </w:p>
        </w:tc>
        <w:tc>
          <w:tcPr>
            <w:tcW w:w="823" w:type="dxa"/>
            <w:vAlign w:val="center"/>
          </w:tcPr>
          <w:p w14:paraId="71F55C11">
            <w:pPr>
              <w:spacing w:line="0" w:lineRule="atLeast"/>
              <w:jc w:val="center"/>
              <w:rPr>
                <w:rFonts w:hint="eastAsia" w:ascii="宋体" w:hAnsi="宋体" w:eastAsia="宋体" w:cs="宋体"/>
                <w:kern w:val="1"/>
                <w:sz w:val="24"/>
                <w:szCs w:val="24"/>
                <w:highlight w:val="none"/>
                <w:lang w:val="en-US" w:eastAsia="zh-CN"/>
              </w:rPr>
            </w:pPr>
          </w:p>
        </w:tc>
        <w:tc>
          <w:tcPr>
            <w:tcW w:w="1625" w:type="dxa"/>
            <w:vAlign w:val="center"/>
          </w:tcPr>
          <w:p w14:paraId="15D125D3">
            <w:pPr>
              <w:spacing w:line="0" w:lineRule="atLeast"/>
              <w:jc w:val="center"/>
              <w:rPr>
                <w:rFonts w:hint="default" w:ascii="宋体" w:hAnsi="宋体" w:eastAsia="宋体"/>
                <w:sz w:val="24"/>
                <w:highlight w:val="none"/>
                <w:lang w:val="en-US" w:eastAsia="zh-CN"/>
              </w:rPr>
            </w:pPr>
            <w:r>
              <w:rPr>
                <w:rFonts w:hint="eastAsia" w:ascii="宋体" w:hAnsi="宋体" w:eastAsia="宋体"/>
                <w:sz w:val="24"/>
                <w:highlight w:val="none"/>
              </w:rPr>
              <w:t>交钥匙方式</w:t>
            </w:r>
          </w:p>
        </w:tc>
      </w:tr>
      <w:tr w14:paraId="0324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5" w:type="dxa"/>
            <w:vAlign w:val="center"/>
          </w:tcPr>
          <w:p w14:paraId="0BEEC6F4">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272" w:type="dxa"/>
            <w:vAlign w:val="center"/>
          </w:tcPr>
          <w:p w14:paraId="67E2F243">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安装调试</w:t>
            </w:r>
          </w:p>
        </w:tc>
        <w:tc>
          <w:tcPr>
            <w:tcW w:w="3110" w:type="dxa"/>
            <w:vAlign w:val="center"/>
          </w:tcPr>
          <w:p w14:paraId="18475E1E">
            <w:pPr>
              <w:spacing w:line="360" w:lineRule="exact"/>
              <w:jc w:val="center"/>
              <w:rPr>
                <w:rFonts w:hint="eastAsia" w:ascii="宋体" w:hAnsi="宋体" w:eastAsia="宋体" w:cs="宋体"/>
                <w:sz w:val="24"/>
                <w:szCs w:val="24"/>
                <w:highlight w:val="none"/>
                <w:lang w:val="en-US" w:eastAsia="zh-CN"/>
              </w:rPr>
            </w:pPr>
          </w:p>
        </w:tc>
        <w:tc>
          <w:tcPr>
            <w:tcW w:w="832" w:type="dxa"/>
            <w:vAlign w:val="center"/>
          </w:tcPr>
          <w:p w14:paraId="30B2DD95">
            <w:pPr>
              <w:spacing w:line="360" w:lineRule="exact"/>
              <w:jc w:val="center"/>
              <w:rPr>
                <w:rFonts w:hint="eastAsia" w:ascii="宋体" w:hAnsi="宋体" w:eastAsia="宋体" w:cs="宋体"/>
                <w:sz w:val="24"/>
                <w:szCs w:val="24"/>
                <w:highlight w:val="none"/>
                <w:lang w:val="en-US" w:eastAsia="zh-CN"/>
              </w:rPr>
            </w:pPr>
          </w:p>
        </w:tc>
        <w:tc>
          <w:tcPr>
            <w:tcW w:w="823" w:type="dxa"/>
            <w:vAlign w:val="center"/>
          </w:tcPr>
          <w:p w14:paraId="7AE35719">
            <w:pPr>
              <w:spacing w:line="0" w:lineRule="atLeast"/>
              <w:jc w:val="center"/>
              <w:rPr>
                <w:rFonts w:hint="eastAsia" w:ascii="宋体" w:hAnsi="宋体" w:eastAsia="宋体" w:cs="宋体"/>
                <w:kern w:val="1"/>
                <w:sz w:val="24"/>
                <w:szCs w:val="24"/>
                <w:highlight w:val="none"/>
                <w:lang w:val="en-US" w:eastAsia="zh-CN"/>
              </w:rPr>
            </w:pPr>
          </w:p>
        </w:tc>
        <w:tc>
          <w:tcPr>
            <w:tcW w:w="1625" w:type="dxa"/>
            <w:vAlign w:val="center"/>
          </w:tcPr>
          <w:p w14:paraId="5B7750E9">
            <w:pPr>
              <w:spacing w:line="0" w:lineRule="atLeast"/>
              <w:jc w:val="center"/>
              <w:rPr>
                <w:rFonts w:hint="eastAsia" w:ascii="宋体" w:hAnsi="宋体" w:eastAsia="宋体"/>
                <w:sz w:val="24"/>
                <w:highlight w:val="none"/>
                <w:lang w:val="en-US" w:eastAsia="zh-CN"/>
              </w:rPr>
            </w:pPr>
            <w:r>
              <w:rPr>
                <w:rFonts w:hint="eastAsia" w:ascii="宋体" w:hAnsi="宋体" w:eastAsia="宋体"/>
                <w:sz w:val="24"/>
                <w:highlight w:val="none"/>
                <w:lang w:val="en-US" w:eastAsia="zh-CN"/>
              </w:rPr>
              <w:t>旧机拆除，新设备安装、调试</w:t>
            </w:r>
          </w:p>
        </w:tc>
      </w:tr>
    </w:tbl>
    <w:p w14:paraId="609D16D5">
      <w:pPr>
        <w:adjustRightInd w:val="0"/>
        <w:snapToGrid w:val="0"/>
        <w:spacing w:line="420" w:lineRule="exact"/>
        <w:ind w:firstLine="2160" w:firstLineChars="900"/>
        <w:rPr>
          <w:rFonts w:hint="eastAsia" w:ascii="宋体" w:hAnsi="宋体" w:eastAsia="宋体" w:cs="宋体"/>
          <w:color w:val="000000"/>
          <w:sz w:val="24"/>
          <w:szCs w:val="24"/>
          <w:highlight w:val="none"/>
        </w:rPr>
      </w:pPr>
    </w:p>
    <w:p w14:paraId="6A407C93">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outlineLvl w:val="3"/>
        <w:rPr>
          <w:rFonts w:hint="eastAsia" w:ascii="宋体" w:hAnsi="宋体" w:eastAsia="宋体" w:cs="宋体"/>
          <w:b/>
          <w:sz w:val="24"/>
          <w:szCs w:val="24"/>
          <w:highlight w:val="none"/>
          <w:lang w:val="en-US" w:eastAsia="zh-CN"/>
        </w:rPr>
      </w:pPr>
    </w:p>
    <w:p w14:paraId="000A732B">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outlineLvl w:val="3"/>
        <w:rPr>
          <w:rFonts w:ascii="宋体" w:hAnsi="宋体" w:eastAsia="宋体" w:cs="宋体"/>
          <w:b/>
          <w:sz w:val="24"/>
          <w:szCs w:val="24"/>
          <w:highlight w:val="none"/>
        </w:rPr>
      </w:pPr>
      <w:r>
        <w:rPr>
          <w:rFonts w:hint="eastAsia" w:ascii="宋体" w:hAnsi="宋体" w:eastAsia="宋体" w:cs="宋体"/>
          <w:b/>
          <w:sz w:val="24"/>
          <w:szCs w:val="24"/>
          <w:highlight w:val="none"/>
          <w:lang w:val="en-US" w:eastAsia="zh-CN"/>
        </w:rPr>
        <w:t>二</w:t>
      </w:r>
      <w:r>
        <w:rPr>
          <w:rFonts w:hint="eastAsia" w:ascii="宋体" w:hAnsi="宋体" w:eastAsia="宋体" w:cs="宋体"/>
          <w:b/>
          <w:sz w:val="24"/>
          <w:szCs w:val="24"/>
          <w:highlight w:val="none"/>
        </w:rPr>
        <w:t>、</w:t>
      </w:r>
      <w:r>
        <w:rPr>
          <w:rFonts w:hint="eastAsia" w:ascii="宋体" w:hAnsi="宋体" w:eastAsia="宋体" w:cs="宋体"/>
          <w:b/>
          <w:sz w:val="24"/>
          <w:szCs w:val="24"/>
          <w:highlight w:val="none"/>
          <w:lang w:val="en-US" w:eastAsia="zh-CN"/>
        </w:rPr>
        <w:t>技术资料供货范围</w:t>
      </w:r>
    </w:p>
    <w:p w14:paraId="096455E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096E504D">
      <w:pPr>
        <w:numPr>
          <w:ilvl w:val="0"/>
          <w:numId w:val="0"/>
        </w:numPr>
        <w:spacing w:line="360" w:lineRule="auto"/>
        <w:ind w:firstLine="480" w:firstLineChars="200"/>
        <w:rPr>
          <w:rFonts w:ascii="宋体" w:hAnsi="宋体" w:eastAsia="宋体" w:cs="宋体"/>
          <w:bCs/>
          <w:sz w:val="24"/>
          <w:szCs w:val="24"/>
        </w:rPr>
      </w:pPr>
      <w:r>
        <w:rPr>
          <w:rFonts w:ascii="宋体" w:hAnsi="宋体" w:eastAsia="宋体" w:cs="宋体"/>
          <w:bCs/>
          <w:kern w:val="2"/>
          <w:sz w:val="24"/>
          <w:szCs w:val="24"/>
          <w:lang w:val="en-US" w:eastAsia="zh-CN" w:bidi="ar-SA"/>
        </w:rPr>
        <w:t>1.</w:t>
      </w:r>
      <w:r>
        <w:rPr>
          <w:rFonts w:hint="eastAsia" w:ascii="宋体" w:hAnsi="宋体" w:eastAsia="宋体" w:cs="宋体"/>
          <w:sz w:val="24"/>
          <w:szCs w:val="24"/>
          <w:highlight w:val="none"/>
        </w:rPr>
        <w:t>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lang w:val="en-US" w:eastAsia="zh-CN"/>
        </w:rPr>
        <w:t>15</w:t>
      </w:r>
      <w:r>
        <w:rPr>
          <w:rFonts w:hint="eastAsia" w:ascii="宋体" w:hAnsi="宋体" w:eastAsia="宋体" w:cs="宋体"/>
          <w:bCs/>
          <w:sz w:val="24"/>
          <w:szCs w:val="24"/>
          <w:highlight w:val="none"/>
        </w:rPr>
        <w:t>个日历日内，提供货物基础及相关的设计、制作所需的纸质及</w:t>
      </w:r>
      <w:r>
        <w:rPr>
          <w:rFonts w:hint="eastAsia" w:ascii="宋体" w:hAnsi="宋体" w:eastAsia="宋体" w:cs="宋体"/>
          <w:bCs/>
          <w:sz w:val="24"/>
          <w:szCs w:val="24"/>
        </w:rPr>
        <w:t>电子版资料；电子版文件应当能够使用常用版本软件可以阅读甚至使用，进口货物、设备应有中外文对照。</w:t>
      </w:r>
    </w:p>
    <w:p w14:paraId="1F7B03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5EE15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在终验收前，提供确定的维修所需要且</w:t>
      </w:r>
      <w:r>
        <w:rPr>
          <w:rFonts w:hint="eastAsia" w:ascii="宋体" w:hAnsi="宋体" w:eastAsia="宋体" w:cs="宋体"/>
          <w:sz w:val="24"/>
          <w:szCs w:val="24"/>
          <w:lang w:eastAsia="zh-CN"/>
        </w:rPr>
        <w:t>招标人</w:t>
      </w:r>
      <w:r>
        <w:rPr>
          <w:rFonts w:hint="eastAsia" w:ascii="宋体" w:hAnsi="宋体" w:eastAsia="宋体" w:cs="宋体"/>
          <w:sz w:val="24"/>
          <w:szCs w:val="24"/>
        </w:rPr>
        <w:t>可以自行采购的外购件、外协件、电气元件及主要原材料的供货厂家明细表。</w:t>
      </w:r>
    </w:p>
    <w:p w14:paraId="52C060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w:t>
      </w:r>
      <w:r>
        <w:rPr>
          <w:rFonts w:hint="eastAsia" w:ascii="宋体" w:hAnsi="宋体" w:eastAsia="宋体" w:cs="宋体"/>
          <w:sz w:val="24"/>
          <w:szCs w:val="24"/>
          <w:lang w:val="en-US" w:eastAsia="zh-CN"/>
        </w:rPr>
        <w:t>前</w:t>
      </w:r>
      <w:r>
        <w:rPr>
          <w:rFonts w:hint="eastAsia" w:ascii="宋体" w:hAnsi="宋体" w:eastAsia="宋体" w:cs="宋体"/>
          <w:sz w:val="24"/>
          <w:szCs w:val="24"/>
        </w:rPr>
        <w:t>，提供包括货物的备品备件、易损件和专用耗材的图纸及技术参数、技术要求等资料。</w:t>
      </w:r>
    </w:p>
    <w:p w14:paraId="6ACEF02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w:t>
      </w:r>
      <w:r>
        <w:rPr>
          <w:rFonts w:hint="eastAsia" w:ascii="宋体" w:hAnsi="宋体" w:eastAsia="宋体" w:cs="宋体"/>
          <w:sz w:val="24"/>
          <w:szCs w:val="24"/>
          <w:lang w:val="en-US" w:eastAsia="zh-CN"/>
        </w:rPr>
        <w:t>前</w:t>
      </w:r>
      <w:r>
        <w:rPr>
          <w:rFonts w:hint="eastAsia" w:ascii="宋体" w:hAnsi="宋体" w:eastAsia="宋体" w:cs="宋体"/>
          <w:sz w:val="24"/>
          <w:szCs w:val="24"/>
        </w:rPr>
        <w:t>，提供关于采购货物的操作维护手册、保养维修手册、安全注意事项等的使用说明书、仪器仪表检定和使用维修说明书、合格证、产品样本等技术资料（含图片和影像等资料）；对于进口设备，应有中外文资料说明。</w:t>
      </w:r>
    </w:p>
    <w:p w14:paraId="3A5E740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w:t>
      </w:r>
      <w:r>
        <w:rPr>
          <w:rFonts w:hint="eastAsia" w:ascii="宋体" w:hAnsi="宋体" w:eastAsia="宋体" w:cs="宋体"/>
          <w:sz w:val="24"/>
          <w:szCs w:val="24"/>
          <w:lang w:val="en-US" w:eastAsia="zh-CN"/>
        </w:rPr>
        <w:t>前</w:t>
      </w:r>
      <w:r>
        <w:rPr>
          <w:rFonts w:hint="eastAsia" w:ascii="宋体" w:hAnsi="宋体" w:eastAsia="宋体" w:cs="宋体"/>
          <w:sz w:val="24"/>
          <w:szCs w:val="24"/>
        </w:rPr>
        <w:t>，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5000479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rPr>
        <w:t>本条款所列的技术资料、图片、影像等，</w:t>
      </w:r>
      <w:r>
        <w:rPr>
          <w:rFonts w:hint="eastAsia" w:ascii="宋体" w:hAnsi="宋体" w:eastAsia="宋体" w:cs="宋体"/>
          <w:sz w:val="24"/>
          <w:szCs w:val="24"/>
          <w:lang w:val="en-US" w:eastAsia="zh-CN"/>
        </w:rPr>
        <w:t>投标人</w:t>
      </w:r>
      <w:r>
        <w:rPr>
          <w:rFonts w:hint="eastAsia" w:ascii="宋体" w:hAnsi="宋体" w:eastAsia="宋体" w:cs="宋体"/>
          <w:sz w:val="24"/>
          <w:szCs w:val="24"/>
        </w:rPr>
        <w:t>应各提供5套，其中2套为电子版；每份技术文件应装有目录清单。</w:t>
      </w:r>
    </w:p>
    <w:p w14:paraId="74C3E9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rPr>
        <w:t>本条款所列要求，如</w:t>
      </w:r>
      <w:r>
        <w:rPr>
          <w:rFonts w:hint="eastAsia" w:ascii="宋体" w:hAnsi="宋体" w:eastAsia="宋体" w:cs="宋体"/>
          <w:sz w:val="24"/>
          <w:szCs w:val="24"/>
          <w:lang w:val="en-US" w:eastAsia="zh-CN"/>
        </w:rPr>
        <w:t>招标人</w:t>
      </w:r>
      <w:r>
        <w:rPr>
          <w:rFonts w:hint="eastAsia" w:ascii="宋体" w:hAnsi="宋体" w:eastAsia="宋体" w:cs="宋体"/>
          <w:sz w:val="24"/>
          <w:szCs w:val="24"/>
        </w:rPr>
        <w:t>认为</w:t>
      </w:r>
      <w:r>
        <w:rPr>
          <w:rFonts w:hint="eastAsia" w:ascii="宋体" w:hAnsi="宋体" w:eastAsia="宋体" w:cs="宋体"/>
          <w:sz w:val="24"/>
          <w:szCs w:val="24"/>
          <w:lang w:val="en-US" w:eastAsia="zh-CN"/>
        </w:rPr>
        <w:t>投标人</w:t>
      </w:r>
      <w:r>
        <w:rPr>
          <w:rFonts w:hint="eastAsia" w:ascii="宋体" w:hAnsi="宋体" w:eastAsia="宋体" w:cs="宋体"/>
          <w:sz w:val="24"/>
          <w:szCs w:val="24"/>
        </w:rPr>
        <w:t>提供的资料不能满足要求时，有权要求</w:t>
      </w:r>
      <w:r>
        <w:rPr>
          <w:rFonts w:hint="eastAsia" w:ascii="宋体" w:hAnsi="宋体" w:eastAsia="宋体" w:cs="宋体"/>
          <w:sz w:val="24"/>
          <w:szCs w:val="24"/>
          <w:lang w:val="en-US" w:eastAsia="zh-CN"/>
        </w:rPr>
        <w:t>投标人</w:t>
      </w:r>
      <w:r>
        <w:rPr>
          <w:rFonts w:hint="eastAsia" w:ascii="宋体" w:hAnsi="宋体" w:eastAsia="宋体" w:cs="宋体"/>
          <w:sz w:val="24"/>
          <w:szCs w:val="24"/>
        </w:rPr>
        <w:t>免费补充或增加。</w:t>
      </w:r>
    </w:p>
    <w:p w14:paraId="0A9E1973">
      <w:pPr>
        <w:spacing w:line="360" w:lineRule="auto"/>
        <w:outlineLvl w:val="3"/>
        <w:rPr>
          <w:rFonts w:ascii="宋体" w:hAnsi="宋体" w:eastAsia="宋体" w:cs="Times New Roman"/>
          <w:szCs w:val="20"/>
          <w:highlight w:val="none"/>
        </w:rPr>
      </w:pPr>
      <w:r>
        <w:rPr>
          <w:rFonts w:hint="eastAsia" w:ascii="宋体" w:hAnsi="宋体" w:eastAsia="宋体" w:cs="宋体"/>
          <w:b/>
          <w:sz w:val="24"/>
          <w:szCs w:val="24"/>
          <w:highlight w:val="none"/>
          <w:lang w:val="en-US" w:eastAsia="zh-CN"/>
        </w:rPr>
        <w:t>三</w:t>
      </w:r>
      <w:r>
        <w:rPr>
          <w:rFonts w:hint="eastAsia" w:ascii="宋体" w:hAnsi="宋体" w:eastAsia="宋体" w:cs="宋体"/>
          <w:b/>
          <w:sz w:val="24"/>
          <w:szCs w:val="24"/>
          <w:highlight w:val="none"/>
        </w:rPr>
        <w:t>、</w:t>
      </w:r>
      <w:r>
        <w:rPr>
          <w:rFonts w:hint="eastAsia" w:ascii="宋体" w:hAnsi="宋体" w:eastAsia="宋体" w:cs="宋体"/>
          <w:b/>
          <w:sz w:val="24"/>
          <w:szCs w:val="24"/>
          <w:highlight w:val="none"/>
          <w:lang w:val="en-US" w:eastAsia="zh-CN"/>
        </w:rPr>
        <w:t>执行标准</w:t>
      </w:r>
    </w:p>
    <w:tbl>
      <w:tblPr>
        <w:tblStyle w:val="48"/>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582"/>
        <w:gridCol w:w="2141"/>
        <w:gridCol w:w="1728"/>
      </w:tblGrid>
      <w:tr w14:paraId="4B27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shd w:val="clear" w:color="auto" w:fill="auto"/>
            <w:vAlign w:val="center"/>
          </w:tcPr>
          <w:p w14:paraId="10A5ACF2">
            <w:pPr>
              <w:jc w:val="center"/>
              <w:rPr>
                <w:sz w:val="24"/>
                <w:szCs w:val="32"/>
                <w:highlight w:val="none"/>
              </w:rPr>
            </w:pPr>
            <w:r>
              <w:rPr>
                <w:rFonts w:hint="eastAsia"/>
                <w:sz w:val="24"/>
                <w:szCs w:val="32"/>
                <w:highlight w:val="none"/>
              </w:rPr>
              <w:t>序号</w:t>
            </w:r>
          </w:p>
        </w:tc>
        <w:tc>
          <w:tcPr>
            <w:tcW w:w="3582" w:type="dxa"/>
            <w:shd w:val="clear" w:color="auto" w:fill="auto"/>
            <w:vAlign w:val="center"/>
          </w:tcPr>
          <w:p w14:paraId="76A35D37">
            <w:pPr>
              <w:jc w:val="center"/>
              <w:rPr>
                <w:sz w:val="24"/>
                <w:szCs w:val="32"/>
                <w:highlight w:val="none"/>
              </w:rPr>
            </w:pPr>
            <w:r>
              <w:rPr>
                <w:rFonts w:hint="eastAsia"/>
                <w:sz w:val="24"/>
                <w:szCs w:val="32"/>
                <w:highlight w:val="none"/>
              </w:rPr>
              <w:t>标准名称</w:t>
            </w:r>
          </w:p>
        </w:tc>
        <w:tc>
          <w:tcPr>
            <w:tcW w:w="2141" w:type="dxa"/>
            <w:shd w:val="clear" w:color="auto" w:fill="auto"/>
            <w:vAlign w:val="center"/>
          </w:tcPr>
          <w:p w14:paraId="73DA3580">
            <w:pPr>
              <w:jc w:val="center"/>
              <w:rPr>
                <w:sz w:val="24"/>
                <w:szCs w:val="32"/>
                <w:highlight w:val="none"/>
              </w:rPr>
            </w:pPr>
            <w:r>
              <w:rPr>
                <w:rFonts w:hint="eastAsia"/>
                <w:sz w:val="24"/>
                <w:szCs w:val="32"/>
                <w:highlight w:val="none"/>
              </w:rPr>
              <w:t>标准编号</w:t>
            </w:r>
          </w:p>
        </w:tc>
        <w:tc>
          <w:tcPr>
            <w:tcW w:w="1728" w:type="dxa"/>
            <w:shd w:val="clear" w:color="auto" w:fill="auto"/>
            <w:vAlign w:val="center"/>
          </w:tcPr>
          <w:p w14:paraId="6E3A780E">
            <w:pPr>
              <w:jc w:val="center"/>
              <w:rPr>
                <w:sz w:val="24"/>
                <w:szCs w:val="32"/>
                <w:highlight w:val="none"/>
              </w:rPr>
            </w:pPr>
            <w:r>
              <w:rPr>
                <w:rFonts w:hint="eastAsia"/>
                <w:sz w:val="24"/>
                <w:szCs w:val="32"/>
                <w:highlight w:val="none"/>
              </w:rPr>
              <w:t>备注</w:t>
            </w:r>
          </w:p>
        </w:tc>
      </w:tr>
      <w:tr w14:paraId="318B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09" w:type="dxa"/>
            <w:shd w:val="clear" w:color="auto" w:fill="auto"/>
            <w:vAlign w:val="center"/>
          </w:tcPr>
          <w:p w14:paraId="23706E28">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w:t>
            </w:r>
          </w:p>
        </w:tc>
        <w:tc>
          <w:tcPr>
            <w:tcW w:w="3582" w:type="dxa"/>
            <w:shd w:val="clear" w:color="auto" w:fill="auto"/>
            <w:vAlign w:val="center"/>
          </w:tcPr>
          <w:p w14:paraId="633934D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低压配电设计规范</w:t>
            </w:r>
          </w:p>
        </w:tc>
        <w:tc>
          <w:tcPr>
            <w:tcW w:w="2141" w:type="dxa"/>
            <w:shd w:val="clear" w:color="auto" w:fill="auto"/>
            <w:vAlign w:val="center"/>
          </w:tcPr>
          <w:p w14:paraId="4F81456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GB50054-95</w:t>
            </w:r>
          </w:p>
        </w:tc>
        <w:tc>
          <w:tcPr>
            <w:tcW w:w="1728" w:type="dxa"/>
            <w:shd w:val="clear" w:color="auto" w:fill="auto"/>
            <w:vAlign w:val="center"/>
          </w:tcPr>
          <w:p w14:paraId="3649425B">
            <w:pPr>
              <w:spacing w:line="360" w:lineRule="auto"/>
              <w:jc w:val="center"/>
              <w:rPr>
                <w:rFonts w:ascii="宋体" w:hAnsi="宋体" w:eastAsia="宋体" w:cs="宋体"/>
                <w:sz w:val="24"/>
                <w:highlight w:val="none"/>
              </w:rPr>
            </w:pPr>
            <w:r>
              <w:rPr>
                <w:rFonts w:hint="eastAsia" w:ascii="宋体" w:hAnsi="宋体" w:eastAsia="宋体" w:cs="宋体"/>
                <w:sz w:val="24"/>
                <w:highlight w:val="none"/>
                <w:lang w:eastAsia="zh-CN"/>
              </w:rPr>
              <w:t>招标人</w:t>
            </w:r>
            <w:r>
              <w:rPr>
                <w:rFonts w:hint="eastAsia" w:ascii="宋体" w:hAnsi="宋体" w:eastAsia="宋体" w:cs="宋体"/>
                <w:sz w:val="24"/>
                <w:highlight w:val="none"/>
              </w:rPr>
              <w:t>确认</w:t>
            </w:r>
          </w:p>
        </w:tc>
      </w:tr>
    </w:tbl>
    <w:p w14:paraId="4E37B026">
      <w:pPr>
        <w:widowControl/>
        <w:jc w:val="left"/>
        <w:rPr>
          <w:highlight w:val="none"/>
        </w:rPr>
      </w:pPr>
      <w:r>
        <w:rPr>
          <w:highlight w:val="none"/>
        </w:rPr>
        <w:br w:type="page"/>
      </w:r>
    </w:p>
    <w:p w14:paraId="36D2B252">
      <w:pPr>
        <w:keepNext/>
        <w:keepLines/>
        <w:spacing w:before="120" w:after="120" w:line="480" w:lineRule="exact"/>
        <w:jc w:val="center"/>
        <w:outlineLvl w:val="1"/>
        <w:rPr>
          <w:rFonts w:hint="eastAsia" w:ascii="宋体" w:hAnsi="宋体" w:eastAsia="宋体" w:cs="Times New Roman"/>
          <w:b/>
          <w:bCs/>
          <w:kern w:val="44"/>
          <w:sz w:val="28"/>
          <w:szCs w:val="28"/>
          <w:highlight w:val="none"/>
        </w:rPr>
      </w:pPr>
      <w:bookmarkStart w:id="19" w:name="_Toc169605880"/>
      <w:r>
        <w:rPr>
          <w:rFonts w:hint="eastAsia" w:ascii="宋体" w:hAnsi="宋体" w:eastAsia="宋体" w:cs="Times New Roman"/>
          <w:b/>
          <w:bCs/>
          <w:kern w:val="44"/>
          <w:sz w:val="28"/>
          <w:szCs w:val="28"/>
          <w:highlight w:val="none"/>
        </w:rPr>
        <w:t>第</w:t>
      </w:r>
      <w:r>
        <w:rPr>
          <w:rFonts w:hint="eastAsia" w:ascii="宋体" w:hAnsi="宋体" w:eastAsia="宋体" w:cs="Times New Roman"/>
          <w:b/>
          <w:bCs/>
          <w:kern w:val="44"/>
          <w:sz w:val="28"/>
          <w:szCs w:val="28"/>
          <w:highlight w:val="none"/>
          <w:lang w:val="en-US" w:eastAsia="zh-CN"/>
        </w:rPr>
        <w:t>三</w:t>
      </w:r>
      <w:r>
        <w:rPr>
          <w:rFonts w:hint="eastAsia" w:ascii="宋体" w:hAnsi="宋体" w:eastAsia="宋体" w:cs="Times New Roman"/>
          <w:b/>
          <w:bCs/>
          <w:kern w:val="44"/>
          <w:sz w:val="28"/>
          <w:szCs w:val="28"/>
          <w:highlight w:val="none"/>
        </w:rPr>
        <w:t>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技术要求</w:t>
      </w:r>
      <w:bookmarkEnd w:id="19"/>
    </w:p>
    <w:p w14:paraId="0662703D">
      <w:pPr>
        <w:pStyle w:val="236"/>
        <w:spacing w:line="360" w:lineRule="auto"/>
        <w:outlineLvl w:val="2"/>
        <w:rPr>
          <w:rFonts w:eastAsia="宋体" w:cs="宋体"/>
          <w:b/>
          <w:bCs w:val="0"/>
          <w:sz w:val="24"/>
          <w:szCs w:val="24"/>
          <w:highlight w:val="none"/>
        </w:rPr>
      </w:pPr>
      <w:r>
        <w:rPr>
          <w:rFonts w:hint="eastAsia" w:eastAsia="宋体" w:cs="宋体"/>
          <w:b/>
          <w:bCs w:val="0"/>
          <w:sz w:val="24"/>
          <w:szCs w:val="24"/>
          <w:highlight w:val="none"/>
          <w:lang w:val="en-US" w:eastAsia="zh-CN"/>
        </w:rPr>
        <w:t>一</w:t>
      </w:r>
      <w:r>
        <w:rPr>
          <w:rFonts w:hint="eastAsia" w:eastAsia="宋体" w:cs="宋体"/>
          <w:b/>
          <w:bCs w:val="0"/>
          <w:sz w:val="24"/>
          <w:szCs w:val="24"/>
          <w:highlight w:val="none"/>
        </w:rPr>
        <w:t>、</w:t>
      </w:r>
      <w:r>
        <w:rPr>
          <w:rFonts w:hint="eastAsia" w:eastAsia="宋体" w:cs="宋体"/>
          <w:b/>
          <w:bCs w:val="0"/>
          <w:sz w:val="24"/>
          <w:szCs w:val="24"/>
          <w:highlight w:val="none"/>
          <w:lang w:val="en-US" w:eastAsia="zh-CN"/>
        </w:rPr>
        <w:t>基本</w:t>
      </w:r>
      <w:r>
        <w:rPr>
          <w:rFonts w:hint="eastAsia" w:eastAsia="宋体" w:cs="宋体"/>
          <w:b/>
          <w:bCs w:val="0"/>
          <w:sz w:val="24"/>
          <w:szCs w:val="24"/>
          <w:highlight w:val="none"/>
        </w:rPr>
        <w:t>要求</w:t>
      </w:r>
    </w:p>
    <w:p w14:paraId="1B25D1D0">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1.1 投标人所供的货物，必须符合中国最新版的法律、法规和相关标准、规范的要求，符合项目所在地政府有关特殊要求。</w:t>
      </w:r>
    </w:p>
    <w:p w14:paraId="5769BA6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1.2 投标人所供货物涉及的、招标人有权使用的专利权技术以及知识产权保护的其它技术等，应保证招标人不因此受到任何侵权指控以及实际损失。</w:t>
      </w:r>
    </w:p>
    <w:p w14:paraId="764F8F2F">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1.3 投标人应保证所供货物的先进性、可靠性、经济性和实用性，并为全新货物（或设备）,并具有该货物所有功能的永久使用权。</w:t>
      </w:r>
    </w:p>
    <w:p w14:paraId="487EA9A1">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1.4 投标人应满足招标人提出的各项技术要求，必要时应当免费提供技术承诺或担保。</w:t>
      </w:r>
    </w:p>
    <w:p w14:paraId="2737B8C4">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1.5 投标人应保证所供货物必须符合当前国家或地方最新安全、环保、职业健康最新法律、法规及《机械制造企业安全生产标准化》各项要求。确保货物在使用管理过程中满足《职业健康安全管理体系》、《环境管理体系》等方面的国家标准、规范及地方规章要求。</w:t>
      </w:r>
    </w:p>
    <w:p w14:paraId="43D6D916">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1.6 投标人应保证所供货物为中国公布的非淘汰货物，并为中国指定或规定的主管部门认可的环保型和节能型货物。招标的中标货物不接受试验品（提供证据），还应是原产地的货物。</w:t>
      </w:r>
    </w:p>
    <w:p w14:paraId="2D95F28B">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1.7 投标人应保证所供货物的完整性和成套性，能保证货物的正常运行、使用。</w:t>
      </w:r>
    </w:p>
    <w:p w14:paraId="398156D3">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1.8投标人应对招标人采购的货物所涉及的技术、产能等信息负有保密义务，特殊项目应当无条件签署保密协议。</w:t>
      </w:r>
    </w:p>
    <w:p w14:paraId="21DA25E8">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1.9投标人所供设备应按“交钥匙工程”要求。</w:t>
      </w:r>
    </w:p>
    <w:p w14:paraId="0445DE4E">
      <w:pPr>
        <w:rPr>
          <w:rFonts w:hint="eastAsia"/>
          <w:lang w:val="en-US" w:eastAsia="zh-CN"/>
        </w:rPr>
      </w:pPr>
    </w:p>
    <w:p w14:paraId="787CE901">
      <w:pPr>
        <w:pStyle w:val="236"/>
        <w:spacing w:line="360" w:lineRule="auto"/>
        <w:outlineLvl w:val="2"/>
        <w:rPr>
          <w:rFonts w:eastAsia="宋体" w:cs="宋体"/>
          <w:b/>
          <w:bCs w:val="0"/>
          <w:sz w:val="24"/>
          <w:szCs w:val="24"/>
          <w:highlight w:val="none"/>
        </w:rPr>
      </w:pPr>
      <w:r>
        <w:rPr>
          <w:rFonts w:hint="eastAsia" w:eastAsia="宋体" w:cs="宋体"/>
          <w:b/>
          <w:bCs w:val="0"/>
          <w:sz w:val="24"/>
          <w:szCs w:val="24"/>
          <w:highlight w:val="none"/>
          <w:lang w:val="en-US" w:eastAsia="zh-CN"/>
        </w:rPr>
        <w:t>二</w:t>
      </w:r>
      <w:r>
        <w:rPr>
          <w:rFonts w:hint="eastAsia" w:eastAsia="宋体" w:cs="宋体"/>
          <w:b/>
          <w:bCs w:val="0"/>
          <w:sz w:val="24"/>
          <w:szCs w:val="24"/>
          <w:highlight w:val="none"/>
        </w:rPr>
        <w:t>、</w:t>
      </w:r>
      <w:r>
        <w:rPr>
          <w:rFonts w:hint="eastAsia" w:eastAsia="宋体" w:cs="宋体"/>
          <w:b/>
          <w:bCs w:val="0"/>
          <w:sz w:val="24"/>
          <w:szCs w:val="24"/>
          <w:highlight w:val="none"/>
          <w:lang w:val="en-US" w:eastAsia="zh-CN"/>
        </w:rPr>
        <w:t>特别</w:t>
      </w:r>
      <w:r>
        <w:rPr>
          <w:rFonts w:hint="eastAsia" w:eastAsia="宋体" w:cs="宋体"/>
          <w:b/>
          <w:bCs w:val="0"/>
          <w:sz w:val="24"/>
          <w:szCs w:val="24"/>
          <w:highlight w:val="none"/>
        </w:rPr>
        <w:t>要求</w:t>
      </w:r>
    </w:p>
    <w:p w14:paraId="624FF069">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2.1本章技术要求，仅对功能、设计、结构、性能、安装和试验检验等方面，提出了最低和一般性的技术要求，并未对一切技术细节作出规定。</w:t>
      </w:r>
    </w:p>
    <w:p w14:paraId="40CE408D">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2.2本技术要求所使用的标准、规范等，如与投标人所执行的标准、规范不一致时，应按高于本技术要求所列的标准、规范执行。</w:t>
      </w:r>
    </w:p>
    <w:p w14:paraId="1159B5ED">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2.3投标人认为所供货物必需由招标人配备、解决或提供的其它要求，如设备基础隔振和减振设施、软化水、洁净气源等，均应在投标文件“技术偏离”中予以充分说明。</w:t>
      </w:r>
    </w:p>
    <w:p w14:paraId="21D77EDE">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2.4投标人应根据招投标货物具体要求，提出对厂房、设备基础（或安装平台）、公用设施、消防、环保等超出招标文件、投标文件、答疑文件、技术交流文件、技术协议书和合同等规定的、有特殊需要的解释、说明和要求。</w:t>
      </w:r>
    </w:p>
    <w:p w14:paraId="19295751">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2.5无论是否有技术偏离，投标人均应在投标文件“技术偏离”中明确作出有无说明。若有异议，不管是多么微小，投标人必须予以明确和详细的说明或澄清。</w:t>
      </w:r>
    </w:p>
    <w:p w14:paraId="1080005A">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2.6为避免投标人优势在招标评审时漏项，质保期超出本技术标书要求的，应当在投标文件“技术偏离”中特别注明。</w:t>
      </w:r>
    </w:p>
    <w:p w14:paraId="5C811BDB">
      <w:pPr>
        <w:pStyle w:val="2"/>
        <w:rPr>
          <w:rFonts w:hint="eastAsia" w:asciiTheme="minorEastAsia" w:hAnsiTheme="minorEastAsia" w:eastAsiaTheme="minorEastAsia" w:cstheme="minorEastAsia"/>
          <w:b w:val="0"/>
          <w:bCs w:val="0"/>
          <w:lang w:val="en-US" w:eastAsia="zh-CN"/>
        </w:rPr>
      </w:pPr>
    </w:p>
    <w:p w14:paraId="27522A29">
      <w:pPr>
        <w:pStyle w:val="2"/>
        <w:ind w:firstLine="480" w:firstLineChars="200"/>
        <w:rPr>
          <w:rFonts w:hint="eastAsia" w:ascii="宋体" w:hAnsi="宋体" w:eastAsia="宋体" w:cs="宋体"/>
          <w:b w:val="0"/>
          <w:bCs w:val="0"/>
          <w:kern w:val="2"/>
          <w:sz w:val="24"/>
          <w:szCs w:val="22"/>
          <w:highlight w:val="none"/>
          <w:lang w:val="en-US" w:eastAsia="zh-CN" w:bidi="ar-SA"/>
        </w:rPr>
      </w:pPr>
      <w:bookmarkStart w:id="20" w:name="_Toc7189"/>
      <w:r>
        <w:rPr>
          <w:rFonts w:hint="eastAsia" w:ascii="宋体" w:hAnsi="宋体" w:eastAsia="宋体" w:cs="宋体"/>
          <w:b w:val="0"/>
          <w:bCs w:val="0"/>
          <w:kern w:val="2"/>
          <w:sz w:val="24"/>
          <w:szCs w:val="22"/>
          <w:highlight w:val="none"/>
          <w:lang w:val="en-US" w:eastAsia="zh-CN" w:bidi="ar-SA"/>
        </w:rPr>
        <w:t>2.7具体技术要求</w:t>
      </w:r>
      <w:bookmarkEnd w:id="20"/>
    </w:p>
    <w:p w14:paraId="310809A3">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25C97989">
      <w:pPr>
        <w:pStyle w:val="2"/>
        <w:rPr>
          <w:rFonts w:hint="eastAsia" w:asciiTheme="minorEastAsia" w:hAnsiTheme="minorEastAsia" w:eastAsiaTheme="minorEastAsia" w:cstheme="minorEastAsia"/>
          <w:b w:val="0"/>
          <w:bCs w:val="0"/>
          <w:lang w:val="en-US" w:eastAsia="zh-CN"/>
        </w:rPr>
      </w:pPr>
    </w:p>
    <w:p w14:paraId="7EBA09EE">
      <w:pPr>
        <w:rPr>
          <w:rFonts w:hint="eastAsia"/>
          <w:lang w:val="en-US" w:eastAsia="zh-CN"/>
        </w:rPr>
      </w:pPr>
    </w:p>
    <w:p w14:paraId="642BC28B">
      <w:pPr>
        <w:keepNext/>
        <w:keepLines/>
        <w:jc w:val="center"/>
        <w:outlineLvl w:val="1"/>
        <w:rPr>
          <w:rFonts w:hint="default" w:ascii="Calibri" w:hAnsi="Calibri" w:eastAsia="宋体" w:cs="Times New Roman"/>
          <w:b/>
          <w:bCs/>
          <w:kern w:val="44"/>
          <w:sz w:val="28"/>
          <w:szCs w:val="28"/>
          <w:highlight w:val="none"/>
          <w:lang w:val="en-US" w:eastAsia="zh-CN"/>
        </w:rPr>
      </w:pPr>
      <w:r>
        <w:rPr>
          <w:rFonts w:hint="eastAsia" w:ascii="宋体" w:hAnsi="宋体" w:eastAsia="宋体" w:cs="Times New Roman"/>
          <w:b/>
          <w:bCs/>
          <w:kern w:val="44"/>
          <w:sz w:val="28"/>
          <w:szCs w:val="28"/>
          <w:highlight w:val="none"/>
          <w:lang w:val="en-US" w:eastAsia="zh-CN"/>
        </w:rPr>
        <w:t>第四</w:t>
      </w:r>
      <w:r>
        <w:rPr>
          <w:rFonts w:hint="eastAsia" w:ascii="宋体" w:hAnsi="宋体" w:eastAsia="宋体" w:cs="Times New Roman"/>
          <w:b/>
          <w:bCs/>
          <w:kern w:val="44"/>
          <w:sz w:val="28"/>
          <w:szCs w:val="28"/>
          <w:highlight w:val="none"/>
        </w:rPr>
        <w:t>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lang w:val="en-US" w:eastAsia="zh-CN"/>
        </w:rPr>
        <w:t>供货方式</w:t>
      </w:r>
    </w:p>
    <w:p w14:paraId="2251C17E">
      <w:pPr>
        <w:pStyle w:val="24"/>
        <w:spacing w:line="360" w:lineRule="auto"/>
        <w:rPr>
          <w:highlight w:val="none"/>
        </w:rPr>
      </w:pPr>
    </w:p>
    <w:p w14:paraId="2C01617D">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sz w:val="24"/>
          <w:szCs w:val="24"/>
          <w:highlight w:val="none"/>
        </w:rPr>
        <w:t>一、供货方式</w:t>
      </w:r>
    </w:p>
    <w:p w14:paraId="7C3A4280">
      <w:pPr>
        <w:spacing w:line="360" w:lineRule="auto"/>
        <w:ind w:firstLine="480" w:firstLineChars="200"/>
        <w:rPr>
          <w:rFonts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安装地竣工验收服务、货物移交、约定培训等全流程范围。</w:t>
      </w:r>
    </w:p>
    <w:p w14:paraId="25064729">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二、供货地点：</w:t>
      </w:r>
      <w:r>
        <w:rPr>
          <w:rFonts w:hint="eastAsia" w:ascii="宋体" w:hAnsi="宋体" w:eastAsia="宋体" w:cs="宋体"/>
          <w:color w:val="000000"/>
          <w:sz w:val="24"/>
          <w:szCs w:val="24"/>
          <w:highlight w:val="none"/>
          <w:u w:val="single"/>
        </w:rPr>
        <w:t>济南市</w:t>
      </w:r>
      <w:r>
        <w:rPr>
          <w:rFonts w:hint="eastAsia" w:ascii="宋体" w:hAnsi="宋体" w:eastAsia="宋体" w:cs="宋体"/>
          <w:color w:val="000000"/>
          <w:sz w:val="24"/>
          <w:szCs w:val="24"/>
          <w:highlight w:val="none"/>
          <w:u w:val="single"/>
          <w:lang w:val="en-US" w:eastAsia="zh-CN"/>
        </w:rPr>
        <w:t>章丘区世纪大道6677号济南成型厂</w:t>
      </w:r>
      <w:r>
        <w:rPr>
          <w:rFonts w:hint="eastAsia" w:ascii="宋体" w:hAnsi="宋体" w:eastAsia="宋体" w:cs="宋体"/>
          <w:sz w:val="24"/>
          <w:szCs w:val="24"/>
          <w:highlight w:val="none"/>
        </w:rPr>
        <w:t>。</w:t>
      </w:r>
    </w:p>
    <w:p w14:paraId="0679D1D2">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4DCA915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个日历日之内交货至供货地点。</w:t>
      </w:r>
    </w:p>
    <w:p w14:paraId="1C4F7A66">
      <w:pPr>
        <w:adjustRightInd w:val="0"/>
        <w:snapToGrid w:val="0"/>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2.接续5</w:t>
      </w:r>
      <w:bookmarkStart w:id="28" w:name="_GoBack"/>
      <w:bookmarkEnd w:id="28"/>
      <w:r>
        <w:rPr>
          <w:rFonts w:hint="eastAsia" w:ascii="宋体" w:hAnsi="宋体" w:eastAsia="宋体" w:cs="宋体"/>
          <w:sz w:val="24"/>
          <w:szCs w:val="24"/>
          <w:highlight w:val="none"/>
          <w:lang w:val="en-US" w:eastAsia="zh-CN"/>
        </w:rPr>
        <w:t>个日历日之内完成安装调试或根据招标人要求分段实施。</w:t>
      </w:r>
    </w:p>
    <w:p w14:paraId="0254A57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.接续</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个日历日之内完成终验收。</w:t>
      </w:r>
    </w:p>
    <w:p w14:paraId="01652B0C">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四、包装</w:t>
      </w:r>
    </w:p>
    <w:p w14:paraId="0AC51BA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14:paraId="160E8B5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1391A83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14:paraId="0038C41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3DB2F75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（或供货商）名称和制造日期等相关内容。</w:t>
      </w:r>
    </w:p>
    <w:p w14:paraId="52A8964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w:t>
      </w:r>
      <w:r>
        <w:rPr>
          <w:rFonts w:hint="eastAsia" w:ascii="宋体" w:hAnsi="宋体" w:eastAsia="宋体" w:cs="宋体"/>
          <w:sz w:val="24"/>
          <w:szCs w:val="24"/>
          <w:highlight w:val="none"/>
          <w:lang w:eastAsia="zh-CN"/>
        </w:rPr>
        <w:t>外形尺寸</w:t>
      </w:r>
      <w:r>
        <w:rPr>
          <w:rFonts w:hint="eastAsia" w:ascii="宋体" w:hAnsi="宋体" w:eastAsia="宋体" w:cs="宋体"/>
          <w:sz w:val="24"/>
          <w:szCs w:val="24"/>
          <w:highlight w:val="none"/>
        </w:rPr>
        <w:t>等内容。</w:t>
      </w:r>
    </w:p>
    <w:p w14:paraId="5B8C396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53F3B07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7E33842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14:paraId="611BEF6B">
      <w:pPr>
        <w:adjustRightInd w:val="0"/>
        <w:snapToGrid w:val="0"/>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五、运输</w:t>
      </w:r>
    </w:p>
    <w:p w14:paraId="269D72D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14:paraId="4B4632F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14:paraId="1C56B6A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2823505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；通知中应指明：合同号、货运单号、件数、重量和货物（或设备）发出日期等相关内容。</w:t>
      </w:r>
    </w:p>
    <w:p w14:paraId="1ABCEC6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5.货物（或设备）运抵交货地点后，应负责货物（或设备）的卸货、搬运、保管等事宜，或按照合同约定。</w:t>
      </w:r>
    </w:p>
    <w:bookmarkEnd w:id="18"/>
    <w:p w14:paraId="12649F8E">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14:paraId="1DA3C7D1">
      <w:pPr>
        <w:keepNext/>
        <w:keepLines/>
        <w:spacing w:line="360" w:lineRule="auto"/>
        <w:jc w:val="center"/>
        <w:outlineLvl w:val="1"/>
        <w:rPr>
          <w:rFonts w:ascii="Calibri" w:hAnsi="Calibri" w:eastAsia="宋体" w:cs="Times New Roman"/>
          <w:b/>
          <w:bCs/>
          <w:kern w:val="44"/>
          <w:sz w:val="28"/>
          <w:szCs w:val="28"/>
          <w:highlight w:val="none"/>
        </w:rPr>
      </w:pPr>
      <w:bookmarkStart w:id="21" w:name="_Toc169605884"/>
      <w:r>
        <w:rPr>
          <w:rFonts w:hint="eastAsia" w:ascii="Calibri" w:hAnsi="Calibri" w:eastAsia="宋体" w:cs="Times New Roman"/>
          <w:b/>
          <w:bCs/>
          <w:kern w:val="44"/>
          <w:sz w:val="28"/>
          <w:szCs w:val="28"/>
          <w:highlight w:val="none"/>
        </w:rPr>
        <w:t>第</w:t>
      </w:r>
      <w:r>
        <w:rPr>
          <w:rFonts w:hint="eastAsia" w:ascii="Calibri" w:hAnsi="Calibri" w:eastAsia="宋体" w:cs="Times New Roman"/>
          <w:b/>
          <w:bCs/>
          <w:kern w:val="44"/>
          <w:sz w:val="28"/>
          <w:szCs w:val="28"/>
          <w:highlight w:val="none"/>
          <w:lang w:val="en-US" w:eastAsia="zh-CN"/>
        </w:rPr>
        <w:t>五</w:t>
      </w:r>
      <w:r>
        <w:rPr>
          <w:rFonts w:hint="eastAsia" w:ascii="Calibri" w:hAnsi="Calibri" w:eastAsia="宋体" w:cs="Times New Roman"/>
          <w:b/>
          <w:bCs/>
          <w:kern w:val="44"/>
          <w:sz w:val="28"/>
          <w:szCs w:val="28"/>
          <w:highlight w:val="none"/>
        </w:rPr>
        <w:t>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21"/>
    </w:p>
    <w:p w14:paraId="5FDF7764">
      <w:pPr>
        <w:pStyle w:val="237"/>
        <w:spacing w:line="360" w:lineRule="auto"/>
        <w:rPr>
          <w:highlight w:val="none"/>
        </w:rPr>
      </w:pPr>
      <w:r>
        <w:rPr>
          <w:rFonts w:hint="eastAsia"/>
          <w:highlight w:val="none"/>
        </w:rPr>
        <w:t>一、质保期及质保要求</w:t>
      </w:r>
    </w:p>
    <w:p w14:paraId="00FCD4F6">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w:t>
      </w:r>
    </w:p>
    <w:p w14:paraId="3456EE2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34955A40">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406853A8">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应负责免费维修和服务。</w:t>
      </w:r>
    </w:p>
    <w:p w14:paraId="40EE7CFD">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重复出现的质保期之内出现的故障，仍属质保范围而且应当免费。</w:t>
      </w:r>
    </w:p>
    <w:p w14:paraId="0D9041F5">
      <w:pPr>
        <w:pStyle w:val="237"/>
        <w:spacing w:line="360" w:lineRule="auto"/>
        <w:rPr>
          <w:rFonts w:ascii="宋体" w:hAnsi="宋体" w:cs="宋体"/>
          <w:highlight w:val="none"/>
        </w:rPr>
      </w:pPr>
      <w:r>
        <w:rPr>
          <w:rFonts w:hint="eastAsia" w:ascii="宋体" w:hAnsi="宋体" w:cs="宋体"/>
          <w:highlight w:val="none"/>
        </w:rPr>
        <w:t>二、技术及培训服务</w:t>
      </w:r>
    </w:p>
    <w:p w14:paraId="36E64F9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1.应负责在</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货物使用现场，对技术、维修和操作人员提供免费的理论、技术和操作、维修等方面的技术指导和培训，并接受</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有关人员的技术咨询。培训工作日不少于</w:t>
      </w:r>
      <w:r>
        <w:rPr>
          <w:rFonts w:hint="eastAsia" w:ascii="宋体" w:hAnsi="宋体" w:eastAsia="宋体" w:cs="宋体"/>
          <w:color w:val="000000"/>
          <w:sz w:val="24"/>
          <w:szCs w:val="24"/>
          <w:highlight w:val="none"/>
          <w:u w:val="single"/>
          <w:shd w:val="pct10" w:color="auto" w:fill="FFFFFF"/>
        </w:rPr>
        <w:t>3</w:t>
      </w:r>
      <w:r>
        <w:rPr>
          <w:rFonts w:hint="eastAsia" w:ascii="宋体" w:hAnsi="宋体" w:eastAsia="宋体" w:cs="宋体"/>
          <w:color w:val="000000"/>
          <w:sz w:val="24"/>
          <w:szCs w:val="24"/>
          <w:highlight w:val="none"/>
        </w:rPr>
        <w:t>个日历日。</w:t>
      </w:r>
    </w:p>
    <w:p w14:paraId="1FF16AB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2.应免费提供一定数量的培训资料。</w:t>
      </w:r>
    </w:p>
    <w:p w14:paraId="4BE2508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3.应按要求免费积极协助和提供</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以及</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所委托的工程设计单位有关人员所需要的、与货物有关的工程设计资料、技术咨询等。</w:t>
      </w:r>
    </w:p>
    <w:p w14:paraId="71F05D2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4.若</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提供货物涉及到外购外协货物、而且该货物的技术质量等较为关键时，</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应能保证得到配套厂家的技术支持，并免费为</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提供技术服务。</w:t>
      </w:r>
    </w:p>
    <w:p w14:paraId="29EA595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5.负责制定对</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人员在运行、维修和试验等方面的培训计划，并有专人负责实施培训计划，负责指导</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受培训人员正确理解设计和制造意图，认识设备的特点和特性，掌握在运行、维修和使用管理中应遵守的规则等方面的综合知识。</w:t>
      </w:r>
    </w:p>
    <w:p w14:paraId="568B1E46">
      <w:pPr>
        <w:pStyle w:val="237"/>
        <w:spacing w:line="360" w:lineRule="auto"/>
        <w:rPr>
          <w:rFonts w:ascii="宋体" w:hAnsi="宋体" w:cs="宋体"/>
          <w:highlight w:val="none"/>
        </w:rPr>
      </w:pPr>
      <w:r>
        <w:rPr>
          <w:rFonts w:hint="eastAsia" w:ascii="宋体" w:hAnsi="宋体" w:cs="宋体"/>
          <w:highlight w:val="none"/>
        </w:rPr>
        <w:t>三、安装调试及验收服务</w:t>
      </w:r>
    </w:p>
    <w:p w14:paraId="1D3B34C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投标人负责</w:t>
      </w:r>
      <w:r>
        <w:rPr>
          <w:rFonts w:hint="eastAsia" w:ascii="宋体" w:hAnsi="宋体" w:eastAsia="宋体" w:cs="宋体"/>
          <w:color w:val="000000"/>
          <w:sz w:val="24"/>
          <w:szCs w:val="24"/>
          <w:highlight w:val="none"/>
        </w:rPr>
        <w:t>安装调试</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应按照合同约定或协议</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及时组织并完成。因</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原因造成的延期，所发生的费用全部由</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承担。</w:t>
      </w:r>
    </w:p>
    <w:p w14:paraId="6F8DDA9B">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2.若</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提供的货物涉及到外购外协货物、而且该货物的技术质量等较为关键时，应保证能得到供应商的技术支持，并免费为</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提供安装使用现场的指导与培训。</w:t>
      </w:r>
    </w:p>
    <w:p w14:paraId="34847E2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3.根据货物的要求，调试及验收可分空载和负载两个阶段进行；</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将积极协助</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达到货物的各项技术指标和性能要求。</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在</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现场进行的货物的安装、调试和试运行，</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有权参与，</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无条件向</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提供现场记录和试运行数据及报告。</w:t>
      </w:r>
    </w:p>
    <w:p w14:paraId="2C14CFA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4.在</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所提供货物需要得到</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建设项目所在地政府或行业主管部门的查验、试验、验收时，</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免费完成或协助</w:t>
      </w:r>
      <w:r>
        <w:rPr>
          <w:rFonts w:hint="eastAsia" w:ascii="宋体" w:hAnsi="宋体" w:eastAsia="宋体" w:cs="宋体"/>
          <w:color w:val="000000"/>
          <w:sz w:val="24"/>
          <w:szCs w:val="24"/>
          <w:highlight w:val="none"/>
          <w:lang w:val="en-US" w:eastAsia="zh-CN"/>
        </w:rPr>
        <w:t>招标人</w:t>
      </w:r>
      <w:r>
        <w:rPr>
          <w:rFonts w:hint="eastAsia" w:ascii="宋体" w:hAnsi="宋体" w:eastAsia="宋体" w:cs="宋体"/>
          <w:color w:val="000000"/>
          <w:sz w:val="24"/>
          <w:szCs w:val="24"/>
          <w:highlight w:val="none"/>
        </w:rPr>
        <w:t>完成所需要的工作、材料和服务等。</w:t>
      </w:r>
    </w:p>
    <w:p w14:paraId="1FF74C4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应当向</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提供货物试验、验收的有关标准、规范和方法，同时提供货物涉及并使用的软件合法性证明。</w:t>
      </w:r>
    </w:p>
    <w:p w14:paraId="1D0DA1AF">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6.服务缺陷视同货物缺陷和履约延期。</w:t>
      </w:r>
    </w:p>
    <w:p w14:paraId="3D97CB5A">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7.提供</w:t>
      </w:r>
      <w:r>
        <w:rPr>
          <w:rFonts w:hint="eastAsia" w:ascii="宋体" w:hAnsi="宋体" w:eastAsia="宋体" w:cs="宋体"/>
          <w:color w:val="000000"/>
          <w:sz w:val="24"/>
          <w:szCs w:val="24"/>
          <w:highlight w:val="none"/>
        </w:rPr>
        <w:t>外购件、易损件</w:t>
      </w:r>
      <w:r>
        <w:rPr>
          <w:rFonts w:hint="eastAsia" w:ascii="宋体" w:hAnsi="宋体" w:eastAsia="宋体" w:cs="宋体"/>
          <w:color w:val="000000"/>
          <w:sz w:val="24"/>
          <w:szCs w:val="24"/>
          <w:highlight w:val="none"/>
          <w:lang w:val="en-US" w:eastAsia="zh-CN"/>
        </w:rPr>
        <w:t>等所有</w:t>
      </w:r>
      <w:r>
        <w:rPr>
          <w:rFonts w:hint="eastAsia" w:ascii="宋体" w:hAnsi="宋体" w:eastAsia="宋体" w:cs="宋体"/>
          <w:color w:val="000000"/>
          <w:sz w:val="24"/>
          <w:szCs w:val="24"/>
          <w:highlight w:val="none"/>
        </w:rPr>
        <w:t>备件的清单（包括名称、规格型号、数量、生产厂家等）</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外购标准元器件的产品样本及使用说明书</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电机、变频器需配备铭牌照片，专机件的厂家联系方式</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 xml:space="preserve">。  </w:t>
      </w:r>
    </w:p>
    <w:p w14:paraId="7DB4A492">
      <w:pPr>
        <w:adjustRightInd w:val="0"/>
        <w:snapToGrid w:val="0"/>
        <w:spacing w:line="360" w:lineRule="auto"/>
        <w:ind w:firstLine="480" w:firstLineChars="200"/>
        <w:rPr>
          <w:rFonts w:hint="default" w:eastAsia="宋体"/>
          <w:highlight w:val="none"/>
          <w:lang w:val="en-US" w:eastAsia="zh-CN"/>
        </w:rPr>
      </w:pPr>
      <w:r>
        <w:rPr>
          <w:rFonts w:hint="eastAsia" w:ascii="宋体" w:hAnsi="宋体" w:eastAsia="宋体" w:cs="宋体"/>
          <w:color w:val="000000"/>
          <w:sz w:val="24"/>
          <w:szCs w:val="24"/>
          <w:highlight w:val="none"/>
          <w:lang w:val="en-US" w:eastAsia="zh-CN"/>
        </w:rPr>
        <w:t>8.提供</w:t>
      </w:r>
      <w:r>
        <w:rPr>
          <w:rFonts w:hint="eastAsia" w:ascii="宋体" w:hAnsi="宋体" w:eastAsia="宋体" w:cs="宋体"/>
          <w:color w:val="000000"/>
          <w:sz w:val="24"/>
          <w:szCs w:val="24"/>
          <w:highlight w:val="none"/>
        </w:rPr>
        <w:t>所有电气原理图、接线图元器件布置图、现场电缆敷设图、电缆表、用户的控制程序和监控程序的备份</w:t>
      </w:r>
      <w:r>
        <w:rPr>
          <w:rFonts w:hint="eastAsia" w:ascii="宋体" w:hAnsi="宋体" w:eastAsia="宋体" w:cs="宋体"/>
          <w:color w:val="000000"/>
          <w:sz w:val="24"/>
          <w:szCs w:val="24"/>
          <w:highlight w:val="none"/>
          <w:lang w:val="en-US" w:eastAsia="zh-CN"/>
        </w:rPr>
        <w:t>等资料</w:t>
      </w:r>
      <w:r>
        <w:rPr>
          <w:rFonts w:hint="eastAsia" w:ascii="宋体" w:hAnsi="宋体" w:eastAsia="宋体" w:cs="宋体"/>
          <w:color w:val="000000"/>
          <w:sz w:val="24"/>
          <w:szCs w:val="24"/>
          <w:highlight w:val="none"/>
        </w:rPr>
        <w:t xml:space="preserve">。 </w:t>
      </w:r>
    </w:p>
    <w:p w14:paraId="0176E8D8">
      <w:pPr>
        <w:pStyle w:val="237"/>
        <w:spacing w:line="360" w:lineRule="auto"/>
        <w:rPr>
          <w:rFonts w:ascii="宋体" w:hAnsi="宋体" w:cs="宋体"/>
          <w:highlight w:val="none"/>
        </w:rPr>
      </w:pPr>
      <w:r>
        <w:rPr>
          <w:rFonts w:hint="eastAsia" w:ascii="宋体" w:hAnsi="宋体" w:cs="宋体"/>
          <w:highlight w:val="none"/>
        </w:rPr>
        <w:t>四、售后服务</w:t>
      </w:r>
    </w:p>
    <w:p w14:paraId="72EAD7D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提供的货物涉及的所有售后服务均由</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负责。如果发生问题并且收到通知，</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应当在2小时内予以答复。</w:t>
      </w:r>
    </w:p>
    <w:p w14:paraId="252558A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2.如发现所提供的货物存在问题，需要</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解决或配合解决时：在质保期之内，应在接到通知后</w:t>
      </w:r>
      <w:r>
        <w:rPr>
          <w:rFonts w:hint="eastAsia" w:ascii="宋体" w:hAnsi="宋体" w:eastAsia="宋体" w:cs="宋体"/>
          <w:color w:val="000000"/>
          <w:sz w:val="24"/>
          <w:szCs w:val="24"/>
          <w:highlight w:val="none"/>
          <w:u w:val="single"/>
          <w:shd w:val="pct10" w:color="auto" w:fill="FFFFFF"/>
        </w:rPr>
        <w:t>24</w:t>
      </w:r>
      <w:r>
        <w:rPr>
          <w:rFonts w:hint="eastAsia" w:ascii="宋体" w:hAnsi="宋体" w:eastAsia="宋体" w:cs="宋体"/>
          <w:color w:val="000000"/>
          <w:sz w:val="24"/>
          <w:szCs w:val="24"/>
          <w:highlight w:val="none"/>
        </w:rPr>
        <w:t>小时内派有关人员到达现场；在质保期之外，应在接到通知后</w:t>
      </w:r>
      <w:r>
        <w:rPr>
          <w:rFonts w:hint="eastAsia" w:ascii="宋体" w:hAnsi="宋体" w:eastAsia="宋体" w:cs="宋体"/>
          <w:color w:val="000000"/>
          <w:sz w:val="24"/>
          <w:szCs w:val="24"/>
          <w:highlight w:val="none"/>
          <w:u w:val="single"/>
          <w:shd w:val="pct10" w:color="auto" w:fill="FFFFFF"/>
        </w:rPr>
        <w:t>72</w:t>
      </w:r>
      <w:r>
        <w:rPr>
          <w:rFonts w:hint="eastAsia" w:ascii="宋体" w:hAnsi="宋体" w:eastAsia="宋体" w:cs="宋体"/>
          <w:color w:val="000000"/>
          <w:sz w:val="24"/>
          <w:szCs w:val="24"/>
          <w:highlight w:val="none"/>
        </w:rPr>
        <w:t>小时内派有关人员到达现场。</w:t>
      </w:r>
    </w:p>
    <w:p w14:paraId="09FDAE1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派往</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使用现场的人员，应具有较高的业务素质；现场解决问题时，不得无故拖延或推迟，应为</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提供最佳的服务。</w:t>
      </w:r>
    </w:p>
    <w:p w14:paraId="3BC5B323">
      <w:pPr>
        <w:pStyle w:val="237"/>
        <w:spacing w:line="360" w:lineRule="auto"/>
        <w:rPr>
          <w:rFonts w:ascii="宋体" w:hAnsi="宋体" w:cs="宋体"/>
          <w:highlight w:val="none"/>
        </w:rPr>
      </w:pPr>
      <w:r>
        <w:rPr>
          <w:rFonts w:hint="eastAsia" w:ascii="宋体" w:hAnsi="宋体" w:cs="宋体"/>
          <w:highlight w:val="none"/>
        </w:rPr>
        <w:t>五、其它服务</w:t>
      </w:r>
    </w:p>
    <w:p w14:paraId="17EBF118">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1.若</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所提供货物有需要进口的，</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一般应自行、自费办理；必要时，买卖双方共同办理。</w:t>
      </w:r>
    </w:p>
    <w:p w14:paraId="4B90632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2.除招标文件、投标文件、答疑文件、技术标书、合同等约定之外，</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应免费负责必要的或强制性的货物的检验、试验、化验等直接费用。</w:t>
      </w:r>
    </w:p>
    <w:p w14:paraId="0138C25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highlight w:val="none"/>
          <w:lang w:val="en-US" w:eastAsia="zh-CN"/>
        </w:rPr>
        <w:t>投标人</w:t>
      </w:r>
      <w:r>
        <w:rPr>
          <w:rFonts w:hint="eastAsia" w:ascii="宋体" w:hAnsi="宋体" w:eastAsia="宋体" w:cs="宋体"/>
          <w:color w:val="000000"/>
          <w:sz w:val="24"/>
          <w:szCs w:val="24"/>
          <w:highlight w:val="none"/>
        </w:rPr>
        <w:t>不可另行收取的费用。</w:t>
      </w:r>
    </w:p>
    <w:p w14:paraId="6283781C">
      <w:pPr>
        <w:pStyle w:val="24"/>
        <w:rPr>
          <w:rFonts w:eastAsia="宋体"/>
          <w:highlight w:val="none"/>
        </w:rPr>
      </w:pPr>
      <w:r>
        <w:rPr>
          <w:rFonts w:eastAsia="宋体"/>
          <w:highlight w:val="none"/>
        </w:rPr>
        <w:br w:type="page"/>
      </w:r>
    </w:p>
    <w:p w14:paraId="0D784F7D">
      <w:pPr>
        <w:keepNext/>
        <w:keepLines/>
        <w:spacing w:line="360" w:lineRule="auto"/>
        <w:jc w:val="center"/>
        <w:outlineLvl w:val="1"/>
        <w:rPr>
          <w:rFonts w:ascii="Calibri" w:hAnsi="Calibri" w:eastAsia="宋体" w:cs="Times New Roman"/>
          <w:b/>
          <w:bCs/>
          <w:kern w:val="44"/>
          <w:sz w:val="28"/>
          <w:szCs w:val="28"/>
          <w:highlight w:val="none"/>
        </w:rPr>
      </w:pPr>
      <w:bookmarkStart w:id="22" w:name="_Toc465187646"/>
      <w:r>
        <w:rPr>
          <w:rFonts w:hint="eastAsia" w:ascii="Calibri" w:hAnsi="Calibri" w:eastAsia="宋体" w:cs="Times New Roman"/>
          <w:b/>
          <w:bCs/>
          <w:kern w:val="44"/>
          <w:sz w:val="28"/>
          <w:szCs w:val="28"/>
          <w:highlight w:val="none"/>
        </w:rPr>
        <w:t>第</w:t>
      </w:r>
      <w:r>
        <w:rPr>
          <w:rFonts w:hint="eastAsia" w:ascii="Calibri" w:hAnsi="Calibri" w:eastAsia="宋体" w:cs="Times New Roman"/>
          <w:b/>
          <w:bCs/>
          <w:kern w:val="44"/>
          <w:sz w:val="28"/>
          <w:szCs w:val="28"/>
          <w:highlight w:val="none"/>
          <w:lang w:val="en-US" w:eastAsia="zh-CN"/>
        </w:rPr>
        <w:t>六</w:t>
      </w:r>
      <w:r>
        <w:rPr>
          <w:rFonts w:hint="eastAsia" w:ascii="Calibri" w:hAnsi="Calibri" w:eastAsia="宋体" w:cs="Times New Roman"/>
          <w:b/>
          <w:bCs/>
          <w:kern w:val="44"/>
          <w:sz w:val="28"/>
          <w:szCs w:val="28"/>
          <w:highlight w:val="none"/>
        </w:rPr>
        <w:t>章  预验收和终验收</w:t>
      </w:r>
      <w:bookmarkEnd w:id="22"/>
    </w:p>
    <w:p w14:paraId="4A7056F9">
      <w:pPr>
        <w:pStyle w:val="237"/>
        <w:spacing w:line="360" w:lineRule="auto"/>
        <w:rPr>
          <w:rFonts w:ascii="宋体" w:hAnsi="宋体" w:cs="宋体"/>
          <w:highlight w:val="none"/>
        </w:rPr>
      </w:pPr>
      <w:r>
        <w:rPr>
          <w:rFonts w:hint="eastAsia" w:ascii="宋体" w:hAnsi="宋体" w:cs="宋体"/>
          <w:highlight w:val="none"/>
        </w:rPr>
        <w:t>一、验收依据和验收标准</w:t>
      </w:r>
    </w:p>
    <w:p w14:paraId="17F7876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1.验收标准一般以技术标书和合同规定验收。无论技术标书和合同，是否全部并准确列明验收所涉及的相关标准，均作为验收标准之一。</w:t>
      </w:r>
    </w:p>
    <w:p w14:paraId="7C542A8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2.如果验收过程中，发现招标文件、投标文件、答疑文件、技术交流文件等与技术标书、合同存在差异，原则上以涉及条款中对</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最有利条款为验收依据。</w:t>
      </w:r>
    </w:p>
    <w:p w14:paraId="2AF082B5">
      <w:pPr>
        <w:pStyle w:val="237"/>
        <w:spacing w:line="360" w:lineRule="auto"/>
        <w:rPr>
          <w:rFonts w:ascii="宋体" w:hAnsi="宋体" w:cs="宋体"/>
          <w:highlight w:val="none"/>
        </w:rPr>
      </w:pPr>
      <w:r>
        <w:rPr>
          <w:rFonts w:hint="eastAsia" w:ascii="宋体" w:hAnsi="宋体" w:cs="宋体"/>
          <w:highlight w:val="none"/>
        </w:rPr>
        <w:t>二、检验</w:t>
      </w:r>
    </w:p>
    <w:p w14:paraId="134D474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如果采购货物涉及必要的或必需的检验，</w:t>
      </w:r>
      <w:r>
        <w:rPr>
          <w:rFonts w:hint="eastAsia" w:ascii="宋体" w:hAnsi="宋体" w:eastAsia="宋体" w:cs="宋体"/>
          <w:color w:val="000000"/>
          <w:sz w:val="24"/>
          <w:szCs w:val="24"/>
          <w:highlight w:val="none"/>
          <w:lang w:val="en-US" w:eastAsia="zh-CN"/>
        </w:rPr>
        <w:t>投标人</w:t>
      </w:r>
      <w:r>
        <w:rPr>
          <w:rFonts w:hint="eastAsia" w:ascii="宋体" w:hAnsi="宋体" w:eastAsia="宋体" w:cs="宋体"/>
          <w:color w:val="000000"/>
          <w:sz w:val="24"/>
          <w:szCs w:val="24"/>
          <w:highlight w:val="none"/>
        </w:rPr>
        <w:t>应当在投标文件中明确可能涉及的检验费用，并将该费用包含在投标总报价之内；不作针对性澄清或说明的，视同包含在投标总价之内。基本约定如下：</w:t>
      </w:r>
    </w:p>
    <w:p w14:paraId="3593D1C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1.国产货物的检验一般由买卖双方共同进行或按照合同要求进行。</w:t>
      </w:r>
    </w:p>
    <w:p w14:paraId="2CB14D1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2.进口货物的检验，</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需要按照下述要求进行：</w:t>
      </w:r>
    </w:p>
    <w:p w14:paraId="35025D7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进口货物发货前，应对货物的质量、型号、规格、性能和数量/重量作精密、全面的检验，并出具证明书，证明所供货物符合合同规定。</w:t>
      </w:r>
    </w:p>
    <w:p w14:paraId="50F49A6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应依据合同规定的要求，提供买卖双方达成一致的货物的验收标准和装箱单，作为</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检验的依据。</w:t>
      </w:r>
    </w:p>
    <w:p w14:paraId="301676C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进口货物到达目的地后，</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有权申请中国商品检验检疫局进行检验，如发现货物的品质及规格与合同或发票不符，除</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的责任外，</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有权在货物到达卸货目的地后180个日历日内，根据中国商品检验检疫局出具的证明书向</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提出索赔，因索赔所发生的一切费用(包括检验检疫费等)均由</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承担。</w:t>
      </w:r>
    </w:p>
    <w:p w14:paraId="613408F8">
      <w:pPr>
        <w:pStyle w:val="237"/>
        <w:spacing w:line="360" w:lineRule="auto"/>
        <w:rPr>
          <w:rFonts w:ascii="宋体" w:hAnsi="宋体" w:cs="宋体"/>
          <w:highlight w:val="none"/>
        </w:rPr>
      </w:pPr>
      <w:r>
        <w:rPr>
          <w:rFonts w:hint="eastAsia" w:ascii="宋体" w:hAnsi="宋体" w:cs="宋体"/>
          <w:highlight w:val="none"/>
        </w:rPr>
        <w:t>三、验收基本条件</w:t>
      </w:r>
    </w:p>
    <w:p w14:paraId="0186E133">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验收一般分预验收和终验收两部分。预验收一般在</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现场进行，终验收在安装调试完成及试运行后的</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现场进行。但是所有的项目，包括不能预验收的项目和预验收通过的项目都在终验收时重新检验，最终只以终验收为准。</w:t>
      </w:r>
    </w:p>
    <w:p w14:paraId="22A7625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买卖双方按照合同约定执行了合同，同时货物完成了试运行并经检验合格，则具备验收条件。</w:t>
      </w:r>
    </w:p>
    <w:p w14:paraId="1547820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14:paraId="30F45B4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1.1 </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已经按照“供货范围”要求提供了预验收资料，并且资料齐全、完整和有效。</w:t>
      </w:r>
    </w:p>
    <w:p w14:paraId="73394C2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 货物应完整且所有的零部件应该安装牢固，外观无损伤，所有的焊缝饱满、无残渣等缺陷。</w:t>
      </w:r>
    </w:p>
    <w:p w14:paraId="5E693D1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 货物的油漆质量应饱满、有光泽，无掉漆、无色差、无“桔皮”等不良现象（特殊标志除外）。</w:t>
      </w:r>
    </w:p>
    <w:p w14:paraId="42D248D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1.4 货物标牌完整、清晰、明确。</w:t>
      </w:r>
    </w:p>
    <w:p w14:paraId="45F327BA">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 货物的安全要求符合中国最新的相关法律、法规、标准和规范以及合同要求。</w:t>
      </w:r>
    </w:p>
    <w:p w14:paraId="67DA4FC7">
      <w:pPr>
        <w:pStyle w:val="2"/>
        <w:ind w:firstLine="480" w:firstLineChars="200"/>
        <w:rPr>
          <w:rFonts w:hint="default" w:eastAsia="宋体"/>
          <w:b w:val="0"/>
          <w:bCs w:val="0"/>
          <w:lang w:val="en-US" w:eastAsia="zh-CN"/>
        </w:rPr>
      </w:pPr>
      <w:r>
        <w:rPr>
          <w:rFonts w:hint="eastAsia" w:ascii="宋体" w:hAnsi="宋体" w:cs="宋体"/>
          <w:b w:val="0"/>
          <w:bCs w:val="0"/>
          <w:color w:val="000000"/>
          <w:sz w:val="24"/>
          <w:szCs w:val="24"/>
          <w:highlight w:val="none"/>
          <w:lang w:val="en-US" w:eastAsia="zh-CN"/>
        </w:rPr>
        <w:t xml:space="preserve">1.6 </w:t>
      </w:r>
      <w:r>
        <w:rPr>
          <w:rFonts w:hint="eastAsia" w:ascii="宋体" w:hAnsi="宋体" w:eastAsia="宋体" w:cs="宋体"/>
          <w:b w:val="0"/>
          <w:bCs w:val="0"/>
          <w:color w:val="000000"/>
          <w:kern w:val="2"/>
          <w:sz w:val="24"/>
          <w:szCs w:val="24"/>
          <w:highlight w:val="none"/>
          <w:lang w:val="en-US" w:eastAsia="zh-CN" w:bidi="ar-SA"/>
        </w:rPr>
        <w:t>空载运行，设备运行稳定、可靠、安全，无非正常变形、非正常振动、无异常声音；无漏水、漏液、漏气（风）、漏电等现象。运动的零部件动作平稳、灵活运动准确。设备部件的润滑可靠，润滑点易于到达。</w:t>
      </w:r>
    </w:p>
    <w:p w14:paraId="56E895BB">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2.终验收一般条件</w:t>
      </w:r>
    </w:p>
    <w:p w14:paraId="6264451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 经过预验收而且没有出现新的质量问题，或者满足预验收条款。</w:t>
      </w:r>
    </w:p>
    <w:p w14:paraId="601B5CB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 货物安装调试完毕，并至少经过了验收要求的负荷试运行。</w:t>
      </w:r>
    </w:p>
    <w:p w14:paraId="6614E0A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2.3 货物正常运行时，噪声等环境影响因素满足国家和当地环保主管部门规定，安全措施落实、有效。</w:t>
      </w:r>
    </w:p>
    <w:p w14:paraId="53720CF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2.4 计量仪器、仪表配套合理，采用中国的法定计量单位，计量准确、灵敏可靠。保证设计指标和仪器说明书的参数的实现（提供合格证或第三方鉴定文件）。</w:t>
      </w:r>
    </w:p>
    <w:p w14:paraId="4B16DA8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2.5 试运行期间或之后无维修、调整等行为（特殊情况除外）。</w:t>
      </w:r>
    </w:p>
    <w:p w14:paraId="39CFEF5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2.6 货物质量、技术性能等，达到签定的技术标书和合同规定的终验收标准。</w:t>
      </w:r>
    </w:p>
    <w:p w14:paraId="4299557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3.终验收基本要求</w:t>
      </w:r>
    </w:p>
    <w:p w14:paraId="09B1641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 出现下列问题之一，视作验收失败：</w:t>
      </w:r>
    </w:p>
    <w:p w14:paraId="7083DCC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3.1.1 设备验收时，其参数无法满足招标书中的技术要求。</w:t>
      </w:r>
    </w:p>
    <w:p w14:paraId="4FB653F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3.1.2 在整个验收过程中发生关键零部件损坏或重大故障；</w:t>
      </w:r>
    </w:p>
    <w:p w14:paraId="232455C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3.1.3 一般性故障超过</w:t>
      </w:r>
      <w:r>
        <w:rPr>
          <w:rFonts w:hint="eastAsia" w:ascii="宋体" w:hAnsi="宋体" w:eastAsia="宋体" w:cs="宋体"/>
          <w:sz w:val="24"/>
          <w:szCs w:val="24"/>
          <w:highlight w:val="none"/>
          <w:u w:val="single"/>
          <w:shd w:val="pct10" w:color="auto" w:fill="FFFFFF"/>
        </w:rPr>
        <w:t>2</w:t>
      </w:r>
      <w:r>
        <w:rPr>
          <w:rFonts w:hint="eastAsia" w:ascii="宋体" w:hAnsi="宋体" w:eastAsia="宋体" w:cs="宋体"/>
          <w:sz w:val="24"/>
          <w:szCs w:val="24"/>
          <w:highlight w:val="none"/>
        </w:rPr>
        <w:t>次；</w:t>
      </w:r>
    </w:p>
    <w:p w14:paraId="0187FC8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3.1.4 更换的零部件货值超过总货值的</w:t>
      </w:r>
      <w:r>
        <w:rPr>
          <w:rFonts w:hint="eastAsia" w:ascii="宋体" w:hAnsi="宋体" w:eastAsia="宋体" w:cs="宋体"/>
          <w:sz w:val="24"/>
          <w:szCs w:val="24"/>
          <w:highlight w:val="none"/>
          <w:u w:val="single"/>
          <w:shd w:val="pct10" w:color="auto" w:fill="FFFFFF"/>
        </w:rPr>
        <w:t>1</w:t>
      </w:r>
      <w:r>
        <w:rPr>
          <w:rFonts w:hint="eastAsia" w:ascii="宋体" w:hAnsi="宋体" w:eastAsia="宋体" w:cs="宋体"/>
          <w:sz w:val="24"/>
          <w:szCs w:val="24"/>
          <w:highlight w:val="none"/>
        </w:rPr>
        <w:t>%。</w:t>
      </w:r>
    </w:p>
    <w:p w14:paraId="0FC26DA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 累计负载运行实际性能（或生产率）达不到合同规定；</w:t>
      </w:r>
    </w:p>
    <w:p w14:paraId="7BE8ED56">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3.3 终验收原则上要求一次完成。若一次验收不成功，最多允许两次；如果出现第三次验收失败，重新作价或退货；</w:t>
      </w:r>
    </w:p>
    <w:p w14:paraId="1B1B3631">
      <w:pPr>
        <w:pStyle w:val="2"/>
        <w:ind w:firstLine="480" w:firstLineChars="200"/>
      </w:pPr>
      <w:r>
        <w:rPr>
          <w:rFonts w:hint="eastAsia" w:ascii="宋体" w:hAnsi="宋体" w:cs="宋体"/>
          <w:b w:val="0"/>
          <w:bCs w:val="0"/>
          <w:sz w:val="24"/>
          <w:szCs w:val="24"/>
          <w:highlight w:val="none"/>
          <w:lang w:val="en-US" w:eastAsia="zh-CN"/>
        </w:rPr>
        <w:t xml:space="preserve">3.4 </w:t>
      </w:r>
      <w:r>
        <w:rPr>
          <w:rFonts w:hint="eastAsia" w:ascii="宋体" w:hAnsi="宋体" w:eastAsia="宋体" w:cs="宋体"/>
          <w:b w:val="0"/>
          <w:bCs w:val="0"/>
          <w:sz w:val="24"/>
          <w:szCs w:val="24"/>
          <w:highlight w:val="none"/>
          <w:lang w:val="en-US" w:eastAsia="zh-CN"/>
        </w:rPr>
        <w:t>所有出现的调整，每次调整时间均不超过20分钟，所有调整时间的总和不超过总运行时间的10%</w:t>
      </w:r>
      <w:r>
        <w:rPr>
          <w:rFonts w:hint="eastAsia" w:ascii="宋体" w:hAnsi="宋体" w:eastAsia="宋体" w:cs="宋体"/>
          <w:b w:val="0"/>
          <w:bCs w:val="0"/>
          <w:sz w:val="24"/>
          <w:szCs w:val="24"/>
          <w:lang w:val="en-US" w:eastAsia="zh-CN"/>
        </w:rPr>
        <w:t>。</w:t>
      </w:r>
    </w:p>
    <w:p w14:paraId="79FD8AD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终验收通过后买卖双方共同签署终验收报告，并移交、核对全部供货范围内物品。</w:t>
      </w:r>
    </w:p>
    <w:p w14:paraId="44495CA9">
      <w:pPr>
        <w:pStyle w:val="24"/>
        <w:spacing w:line="360" w:lineRule="auto"/>
        <w:rPr>
          <w:highlight w:val="none"/>
        </w:rPr>
      </w:pPr>
    </w:p>
    <w:p w14:paraId="6916231E">
      <w:pPr>
        <w:pStyle w:val="238"/>
        <w:spacing w:line="360" w:lineRule="auto"/>
        <w:outlineLvl w:val="1"/>
        <w:rPr>
          <w:rFonts w:eastAsia="宋体"/>
          <w:b/>
          <w:bCs w:val="0"/>
          <w:i w:val="0"/>
          <w:iCs w:val="0"/>
          <w:color w:val="auto"/>
          <w:sz w:val="28"/>
          <w:highlight w:val="none"/>
        </w:rPr>
      </w:pPr>
      <w:bookmarkStart w:id="23" w:name="_Toc465187647"/>
      <w:r>
        <w:rPr>
          <w:rFonts w:eastAsia="宋体"/>
          <w:b/>
          <w:bCs w:val="0"/>
          <w:i w:val="0"/>
          <w:iCs w:val="0"/>
          <w:color w:val="auto"/>
          <w:sz w:val="28"/>
          <w:highlight w:val="none"/>
        </w:rPr>
        <w:t>第</w:t>
      </w:r>
      <w:r>
        <w:rPr>
          <w:rFonts w:hint="eastAsia" w:eastAsia="宋体"/>
          <w:b/>
          <w:bCs w:val="0"/>
          <w:i w:val="0"/>
          <w:iCs w:val="0"/>
          <w:color w:val="auto"/>
          <w:sz w:val="28"/>
          <w:highlight w:val="none"/>
          <w:lang w:val="en-US" w:eastAsia="zh-CN"/>
        </w:rPr>
        <w:t>七</w:t>
      </w:r>
      <w:r>
        <w:rPr>
          <w:rFonts w:eastAsia="宋体"/>
          <w:b/>
          <w:bCs w:val="0"/>
          <w:i w:val="0"/>
          <w:iCs w:val="0"/>
          <w:color w:val="auto"/>
          <w:sz w:val="28"/>
          <w:highlight w:val="none"/>
        </w:rPr>
        <w:t>章  投标技术文件一般要求</w:t>
      </w:r>
      <w:bookmarkEnd w:id="23"/>
    </w:p>
    <w:p w14:paraId="032D6920">
      <w:pPr>
        <w:pStyle w:val="237"/>
        <w:spacing w:line="360" w:lineRule="auto"/>
        <w:rPr>
          <w:color w:val="auto"/>
          <w:highlight w:val="none"/>
        </w:rPr>
      </w:pPr>
      <w:r>
        <w:rPr>
          <w:color w:val="auto"/>
          <w:highlight w:val="none"/>
        </w:rPr>
        <w:t>一、技术文件一般内容要求</w:t>
      </w:r>
    </w:p>
    <w:p w14:paraId="602EC44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1.投标人应认真阅读招标文件和本技术标书，并按要求编写投标技术文件。</w:t>
      </w:r>
    </w:p>
    <w:p w14:paraId="5C7ECFE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2.投标技术文件至少应对投标货物的功能用途、技术性能、质量标准、技术参数等作出详细说明。</w:t>
      </w:r>
    </w:p>
    <w:p w14:paraId="5C899F3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3.投标技术文件至少应根据投标货物的关键设备、总成、零部件或系统作出满足或优于招标文件要求的详细说明。</w:t>
      </w:r>
    </w:p>
    <w:p w14:paraId="1C6AA16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4.投标技术文件至少应按照招标文件要求（或投标人建议）列明备品备件、易损件和专用耗材明细。</w:t>
      </w:r>
    </w:p>
    <w:p w14:paraId="1707030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5.投标人应当而且必须分别说明所列备品备件、易损件和专用耗材的使用寿命（以有效工作小时数说明）。</w:t>
      </w:r>
    </w:p>
    <w:p w14:paraId="1496A1D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6.投标的货物，应当根据其配置和备品备件、易损件、专用耗材情况，尽可能详细且分类填入下表：</w:t>
      </w:r>
    </w:p>
    <w:p w14:paraId="25891D8B">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6.1备品备件、易损件和专用耗材明细表：</w:t>
      </w:r>
    </w:p>
    <w:p w14:paraId="455FAA8F">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845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82B52D">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14:paraId="71ED45FA">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14:paraId="3A503781">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14:paraId="69BAFEE1">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14:paraId="73E1E05D">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14:paraId="729D9472">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14:paraId="4F1F8C54">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14:paraId="3DFBA335">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14:paraId="2F04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A8404F4">
            <w:pPr>
              <w:adjustRightInd w:val="0"/>
              <w:snapToGrid w:val="0"/>
              <w:spacing w:line="360" w:lineRule="exact"/>
              <w:jc w:val="center"/>
              <w:rPr>
                <w:rFonts w:ascii="宋体" w:hAnsi="宋体" w:eastAsia="宋体" w:cs="宋体"/>
                <w:highlight w:val="none"/>
              </w:rPr>
            </w:pPr>
          </w:p>
        </w:tc>
        <w:tc>
          <w:tcPr>
            <w:tcW w:w="1924" w:type="dxa"/>
          </w:tcPr>
          <w:p w14:paraId="43A0D229">
            <w:pPr>
              <w:adjustRightInd w:val="0"/>
              <w:snapToGrid w:val="0"/>
              <w:spacing w:line="360" w:lineRule="exact"/>
              <w:rPr>
                <w:rFonts w:ascii="宋体" w:hAnsi="宋体" w:eastAsia="宋体" w:cs="宋体"/>
                <w:highlight w:val="none"/>
              </w:rPr>
            </w:pPr>
          </w:p>
        </w:tc>
        <w:tc>
          <w:tcPr>
            <w:tcW w:w="1236" w:type="dxa"/>
          </w:tcPr>
          <w:p w14:paraId="0F7BFABB">
            <w:pPr>
              <w:adjustRightInd w:val="0"/>
              <w:snapToGrid w:val="0"/>
              <w:spacing w:line="360" w:lineRule="exact"/>
              <w:rPr>
                <w:rFonts w:ascii="宋体" w:hAnsi="宋体" w:eastAsia="宋体" w:cs="宋体"/>
                <w:highlight w:val="none"/>
              </w:rPr>
            </w:pPr>
          </w:p>
        </w:tc>
        <w:tc>
          <w:tcPr>
            <w:tcW w:w="720" w:type="dxa"/>
          </w:tcPr>
          <w:p w14:paraId="02EC9AFA">
            <w:pPr>
              <w:adjustRightInd w:val="0"/>
              <w:snapToGrid w:val="0"/>
              <w:spacing w:line="360" w:lineRule="exact"/>
              <w:jc w:val="center"/>
              <w:rPr>
                <w:rFonts w:ascii="宋体" w:hAnsi="宋体" w:eastAsia="宋体" w:cs="宋体"/>
                <w:highlight w:val="none"/>
              </w:rPr>
            </w:pPr>
          </w:p>
        </w:tc>
        <w:tc>
          <w:tcPr>
            <w:tcW w:w="720" w:type="dxa"/>
          </w:tcPr>
          <w:p w14:paraId="006C3D1D">
            <w:pPr>
              <w:adjustRightInd w:val="0"/>
              <w:snapToGrid w:val="0"/>
              <w:spacing w:line="360" w:lineRule="exact"/>
              <w:jc w:val="center"/>
              <w:rPr>
                <w:rFonts w:ascii="宋体" w:hAnsi="宋体" w:eastAsia="宋体" w:cs="宋体"/>
                <w:highlight w:val="none"/>
              </w:rPr>
            </w:pPr>
          </w:p>
        </w:tc>
        <w:tc>
          <w:tcPr>
            <w:tcW w:w="720" w:type="dxa"/>
          </w:tcPr>
          <w:p w14:paraId="3313AAE5">
            <w:pPr>
              <w:adjustRightInd w:val="0"/>
              <w:snapToGrid w:val="0"/>
              <w:spacing w:line="360" w:lineRule="exact"/>
              <w:jc w:val="center"/>
              <w:rPr>
                <w:rFonts w:ascii="宋体" w:hAnsi="宋体" w:eastAsia="宋体" w:cs="宋体"/>
                <w:highlight w:val="none"/>
              </w:rPr>
            </w:pPr>
          </w:p>
        </w:tc>
        <w:tc>
          <w:tcPr>
            <w:tcW w:w="720" w:type="dxa"/>
          </w:tcPr>
          <w:p w14:paraId="3BB6FEF6">
            <w:pPr>
              <w:adjustRightInd w:val="0"/>
              <w:snapToGrid w:val="0"/>
              <w:spacing w:line="360" w:lineRule="exact"/>
              <w:jc w:val="center"/>
              <w:rPr>
                <w:rFonts w:ascii="宋体" w:hAnsi="宋体" w:eastAsia="宋体" w:cs="宋体"/>
                <w:highlight w:val="none"/>
              </w:rPr>
            </w:pPr>
          </w:p>
        </w:tc>
        <w:tc>
          <w:tcPr>
            <w:tcW w:w="2235" w:type="dxa"/>
          </w:tcPr>
          <w:p w14:paraId="1E729331">
            <w:pPr>
              <w:adjustRightInd w:val="0"/>
              <w:snapToGrid w:val="0"/>
              <w:spacing w:line="360" w:lineRule="exact"/>
              <w:rPr>
                <w:rFonts w:ascii="宋体" w:hAnsi="宋体" w:eastAsia="宋体" w:cs="宋体"/>
                <w:highlight w:val="none"/>
              </w:rPr>
            </w:pPr>
          </w:p>
        </w:tc>
      </w:tr>
      <w:tr w14:paraId="50B2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AA7AC60">
            <w:pPr>
              <w:adjustRightInd w:val="0"/>
              <w:snapToGrid w:val="0"/>
              <w:spacing w:line="360" w:lineRule="exact"/>
              <w:jc w:val="center"/>
              <w:rPr>
                <w:rFonts w:ascii="宋体" w:hAnsi="宋体" w:eastAsia="宋体" w:cs="宋体"/>
                <w:highlight w:val="none"/>
              </w:rPr>
            </w:pPr>
          </w:p>
        </w:tc>
        <w:tc>
          <w:tcPr>
            <w:tcW w:w="1924" w:type="dxa"/>
          </w:tcPr>
          <w:p w14:paraId="56E99119">
            <w:pPr>
              <w:adjustRightInd w:val="0"/>
              <w:snapToGrid w:val="0"/>
              <w:spacing w:line="360" w:lineRule="exact"/>
              <w:rPr>
                <w:rFonts w:ascii="宋体" w:hAnsi="宋体" w:eastAsia="宋体" w:cs="宋体"/>
                <w:highlight w:val="none"/>
              </w:rPr>
            </w:pPr>
          </w:p>
        </w:tc>
        <w:tc>
          <w:tcPr>
            <w:tcW w:w="1236" w:type="dxa"/>
          </w:tcPr>
          <w:p w14:paraId="2787F9F3">
            <w:pPr>
              <w:adjustRightInd w:val="0"/>
              <w:snapToGrid w:val="0"/>
              <w:spacing w:line="360" w:lineRule="exact"/>
              <w:rPr>
                <w:rFonts w:ascii="宋体" w:hAnsi="宋体" w:eastAsia="宋体" w:cs="宋体"/>
                <w:highlight w:val="none"/>
              </w:rPr>
            </w:pPr>
          </w:p>
        </w:tc>
        <w:tc>
          <w:tcPr>
            <w:tcW w:w="720" w:type="dxa"/>
          </w:tcPr>
          <w:p w14:paraId="66674E02">
            <w:pPr>
              <w:adjustRightInd w:val="0"/>
              <w:snapToGrid w:val="0"/>
              <w:spacing w:line="360" w:lineRule="exact"/>
              <w:jc w:val="center"/>
              <w:rPr>
                <w:rFonts w:ascii="宋体" w:hAnsi="宋体" w:eastAsia="宋体" w:cs="宋体"/>
                <w:highlight w:val="none"/>
              </w:rPr>
            </w:pPr>
          </w:p>
        </w:tc>
        <w:tc>
          <w:tcPr>
            <w:tcW w:w="720" w:type="dxa"/>
          </w:tcPr>
          <w:p w14:paraId="5F2008AF">
            <w:pPr>
              <w:adjustRightInd w:val="0"/>
              <w:snapToGrid w:val="0"/>
              <w:spacing w:line="360" w:lineRule="exact"/>
              <w:jc w:val="center"/>
              <w:rPr>
                <w:rFonts w:ascii="宋体" w:hAnsi="宋体" w:eastAsia="宋体" w:cs="宋体"/>
                <w:highlight w:val="none"/>
              </w:rPr>
            </w:pPr>
          </w:p>
        </w:tc>
        <w:tc>
          <w:tcPr>
            <w:tcW w:w="720" w:type="dxa"/>
          </w:tcPr>
          <w:p w14:paraId="02E3AE85">
            <w:pPr>
              <w:adjustRightInd w:val="0"/>
              <w:snapToGrid w:val="0"/>
              <w:spacing w:line="360" w:lineRule="exact"/>
              <w:jc w:val="center"/>
              <w:rPr>
                <w:rFonts w:ascii="宋体" w:hAnsi="宋体" w:eastAsia="宋体" w:cs="宋体"/>
                <w:highlight w:val="none"/>
              </w:rPr>
            </w:pPr>
          </w:p>
        </w:tc>
        <w:tc>
          <w:tcPr>
            <w:tcW w:w="720" w:type="dxa"/>
          </w:tcPr>
          <w:p w14:paraId="4E777CA4">
            <w:pPr>
              <w:adjustRightInd w:val="0"/>
              <w:snapToGrid w:val="0"/>
              <w:spacing w:line="360" w:lineRule="exact"/>
              <w:jc w:val="center"/>
              <w:rPr>
                <w:rFonts w:ascii="宋体" w:hAnsi="宋体" w:eastAsia="宋体" w:cs="宋体"/>
                <w:highlight w:val="none"/>
              </w:rPr>
            </w:pPr>
          </w:p>
        </w:tc>
        <w:tc>
          <w:tcPr>
            <w:tcW w:w="2235" w:type="dxa"/>
          </w:tcPr>
          <w:p w14:paraId="37F00612">
            <w:pPr>
              <w:adjustRightInd w:val="0"/>
              <w:snapToGrid w:val="0"/>
              <w:spacing w:line="360" w:lineRule="exact"/>
              <w:rPr>
                <w:rFonts w:ascii="宋体" w:hAnsi="宋体" w:eastAsia="宋体" w:cs="宋体"/>
                <w:highlight w:val="none"/>
              </w:rPr>
            </w:pPr>
          </w:p>
        </w:tc>
      </w:tr>
      <w:tr w14:paraId="6C38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0082A1D">
            <w:pPr>
              <w:adjustRightInd w:val="0"/>
              <w:snapToGrid w:val="0"/>
              <w:spacing w:line="360" w:lineRule="exact"/>
              <w:jc w:val="center"/>
              <w:rPr>
                <w:rFonts w:ascii="宋体" w:hAnsi="宋体" w:eastAsia="宋体" w:cs="宋体"/>
                <w:highlight w:val="none"/>
              </w:rPr>
            </w:pPr>
          </w:p>
        </w:tc>
        <w:tc>
          <w:tcPr>
            <w:tcW w:w="1924" w:type="dxa"/>
          </w:tcPr>
          <w:p w14:paraId="515EC79C">
            <w:pPr>
              <w:adjustRightInd w:val="0"/>
              <w:snapToGrid w:val="0"/>
              <w:spacing w:line="360" w:lineRule="exact"/>
              <w:rPr>
                <w:rFonts w:ascii="宋体" w:hAnsi="宋体" w:eastAsia="宋体" w:cs="宋体"/>
                <w:highlight w:val="none"/>
              </w:rPr>
            </w:pPr>
          </w:p>
        </w:tc>
        <w:tc>
          <w:tcPr>
            <w:tcW w:w="1236" w:type="dxa"/>
          </w:tcPr>
          <w:p w14:paraId="3EF55306">
            <w:pPr>
              <w:adjustRightInd w:val="0"/>
              <w:snapToGrid w:val="0"/>
              <w:spacing w:line="360" w:lineRule="exact"/>
              <w:rPr>
                <w:rFonts w:ascii="宋体" w:hAnsi="宋体" w:eastAsia="宋体" w:cs="宋体"/>
                <w:highlight w:val="none"/>
              </w:rPr>
            </w:pPr>
          </w:p>
        </w:tc>
        <w:tc>
          <w:tcPr>
            <w:tcW w:w="720" w:type="dxa"/>
          </w:tcPr>
          <w:p w14:paraId="19756954">
            <w:pPr>
              <w:adjustRightInd w:val="0"/>
              <w:snapToGrid w:val="0"/>
              <w:spacing w:line="360" w:lineRule="exact"/>
              <w:jc w:val="center"/>
              <w:rPr>
                <w:rFonts w:ascii="宋体" w:hAnsi="宋体" w:eastAsia="宋体" w:cs="宋体"/>
                <w:highlight w:val="none"/>
              </w:rPr>
            </w:pPr>
          </w:p>
        </w:tc>
        <w:tc>
          <w:tcPr>
            <w:tcW w:w="720" w:type="dxa"/>
          </w:tcPr>
          <w:p w14:paraId="024E42A3">
            <w:pPr>
              <w:adjustRightInd w:val="0"/>
              <w:snapToGrid w:val="0"/>
              <w:spacing w:line="360" w:lineRule="exact"/>
              <w:jc w:val="center"/>
              <w:rPr>
                <w:rFonts w:ascii="宋体" w:hAnsi="宋体" w:eastAsia="宋体" w:cs="宋体"/>
                <w:highlight w:val="none"/>
              </w:rPr>
            </w:pPr>
          </w:p>
        </w:tc>
        <w:tc>
          <w:tcPr>
            <w:tcW w:w="720" w:type="dxa"/>
          </w:tcPr>
          <w:p w14:paraId="3E0BE861">
            <w:pPr>
              <w:adjustRightInd w:val="0"/>
              <w:snapToGrid w:val="0"/>
              <w:spacing w:line="360" w:lineRule="exact"/>
              <w:jc w:val="center"/>
              <w:rPr>
                <w:rFonts w:ascii="宋体" w:hAnsi="宋体" w:eastAsia="宋体" w:cs="宋体"/>
                <w:highlight w:val="none"/>
              </w:rPr>
            </w:pPr>
          </w:p>
        </w:tc>
        <w:tc>
          <w:tcPr>
            <w:tcW w:w="720" w:type="dxa"/>
          </w:tcPr>
          <w:p w14:paraId="1314FE8D">
            <w:pPr>
              <w:adjustRightInd w:val="0"/>
              <w:snapToGrid w:val="0"/>
              <w:spacing w:line="360" w:lineRule="exact"/>
              <w:jc w:val="center"/>
              <w:rPr>
                <w:rFonts w:ascii="宋体" w:hAnsi="宋体" w:eastAsia="宋体" w:cs="宋体"/>
                <w:highlight w:val="none"/>
              </w:rPr>
            </w:pPr>
          </w:p>
        </w:tc>
        <w:tc>
          <w:tcPr>
            <w:tcW w:w="2235" w:type="dxa"/>
          </w:tcPr>
          <w:p w14:paraId="6C41ADA7">
            <w:pPr>
              <w:adjustRightInd w:val="0"/>
              <w:snapToGrid w:val="0"/>
              <w:spacing w:line="360" w:lineRule="exact"/>
              <w:rPr>
                <w:rFonts w:ascii="宋体" w:hAnsi="宋体" w:eastAsia="宋体" w:cs="宋体"/>
                <w:highlight w:val="none"/>
              </w:rPr>
            </w:pPr>
          </w:p>
        </w:tc>
      </w:tr>
      <w:tr w14:paraId="48EA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F791032">
            <w:pPr>
              <w:adjustRightInd w:val="0"/>
              <w:snapToGrid w:val="0"/>
              <w:spacing w:line="360" w:lineRule="exact"/>
              <w:jc w:val="center"/>
              <w:rPr>
                <w:rFonts w:ascii="宋体" w:hAnsi="宋体" w:eastAsia="宋体" w:cs="宋体"/>
                <w:highlight w:val="none"/>
              </w:rPr>
            </w:pPr>
          </w:p>
        </w:tc>
        <w:tc>
          <w:tcPr>
            <w:tcW w:w="1924" w:type="dxa"/>
          </w:tcPr>
          <w:p w14:paraId="6D70569B">
            <w:pPr>
              <w:adjustRightInd w:val="0"/>
              <w:snapToGrid w:val="0"/>
              <w:spacing w:line="360" w:lineRule="exact"/>
              <w:rPr>
                <w:rFonts w:ascii="宋体" w:hAnsi="宋体" w:eastAsia="宋体" w:cs="宋体"/>
                <w:highlight w:val="none"/>
              </w:rPr>
            </w:pPr>
          </w:p>
        </w:tc>
        <w:tc>
          <w:tcPr>
            <w:tcW w:w="1236" w:type="dxa"/>
          </w:tcPr>
          <w:p w14:paraId="784A467F">
            <w:pPr>
              <w:adjustRightInd w:val="0"/>
              <w:snapToGrid w:val="0"/>
              <w:spacing w:line="360" w:lineRule="exact"/>
              <w:rPr>
                <w:rFonts w:ascii="宋体" w:hAnsi="宋体" w:eastAsia="宋体" w:cs="宋体"/>
                <w:highlight w:val="none"/>
              </w:rPr>
            </w:pPr>
          </w:p>
        </w:tc>
        <w:tc>
          <w:tcPr>
            <w:tcW w:w="720" w:type="dxa"/>
          </w:tcPr>
          <w:p w14:paraId="5A82A6B7">
            <w:pPr>
              <w:adjustRightInd w:val="0"/>
              <w:snapToGrid w:val="0"/>
              <w:spacing w:line="360" w:lineRule="exact"/>
              <w:jc w:val="center"/>
              <w:rPr>
                <w:rFonts w:ascii="宋体" w:hAnsi="宋体" w:eastAsia="宋体" w:cs="宋体"/>
                <w:highlight w:val="none"/>
              </w:rPr>
            </w:pPr>
          </w:p>
        </w:tc>
        <w:tc>
          <w:tcPr>
            <w:tcW w:w="720" w:type="dxa"/>
          </w:tcPr>
          <w:p w14:paraId="72F66ED7">
            <w:pPr>
              <w:adjustRightInd w:val="0"/>
              <w:snapToGrid w:val="0"/>
              <w:spacing w:line="360" w:lineRule="exact"/>
              <w:jc w:val="center"/>
              <w:rPr>
                <w:rFonts w:ascii="宋体" w:hAnsi="宋体" w:eastAsia="宋体" w:cs="宋体"/>
                <w:highlight w:val="none"/>
              </w:rPr>
            </w:pPr>
          </w:p>
        </w:tc>
        <w:tc>
          <w:tcPr>
            <w:tcW w:w="720" w:type="dxa"/>
          </w:tcPr>
          <w:p w14:paraId="6F962D42">
            <w:pPr>
              <w:adjustRightInd w:val="0"/>
              <w:snapToGrid w:val="0"/>
              <w:spacing w:line="360" w:lineRule="exact"/>
              <w:jc w:val="center"/>
              <w:rPr>
                <w:rFonts w:ascii="宋体" w:hAnsi="宋体" w:eastAsia="宋体" w:cs="宋体"/>
                <w:highlight w:val="none"/>
              </w:rPr>
            </w:pPr>
          </w:p>
        </w:tc>
        <w:tc>
          <w:tcPr>
            <w:tcW w:w="720" w:type="dxa"/>
          </w:tcPr>
          <w:p w14:paraId="285259D9">
            <w:pPr>
              <w:adjustRightInd w:val="0"/>
              <w:snapToGrid w:val="0"/>
              <w:spacing w:line="360" w:lineRule="exact"/>
              <w:jc w:val="center"/>
              <w:rPr>
                <w:rFonts w:ascii="宋体" w:hAnsi="宋体" w:eastAsia="宋体" w:cs="宋体"/>
                <w:highlight w:val="none"/>
              </w:rPr>
            </w:pPr>
          </w:p>
        </w:tc>
        <w:tc>
          <w:tcPr>
            <w:tcW w:w="2235" w:type="dxa"/>
          </w:tcPr>
          <w:p w14:paraId="45B56161">
            <w:pPr>
              <w:adjustRightInd w:val="0"/>
              <w:snapToGrid w:val="0"/>
              <w:spacing w:line="360" w:lineRule="exact"/>
              <w:rPr>
                <w:rFonts w:ascii="宋体" w:hAnsi="宋体" w:eastAsia="宋体" w:cs="宋体"/>
                <w:highlight w:val="none"/>
              </w:rPr>
            </w:pPr>
          </w:p>
        </w:tc>
      </w:tr>
      <w:tr w14:paraId="2464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6E549FE">
            <w:pPr>
              <w:adjustRightInd w:val="0"/>
              <w:snapToGrid w:val="0"/>
              <w:spacing w:line="360" w:lineRule="exact"/>
              <w:jc w:val="center"/>
              <w:rPr>
                <w:rFonts w:ascii="宋体" w:hAnsi="宋体" w:eastAsia="宋体" w:cs="宋体"/>
                <w:highlight w:val="none"/>
              </w:rPr>
            </w:pPr>
          </w:p>
        </w:tc>
        <w:tc>
          <w:tcPr>
            <w:tcW w:w="1924" w:type="dxa"/>
          </w:tcPr>
          <w:p w14:paraId="4ADB8D1C">
            <w:pPr>
              <w:adjustRightInd w:val="0"/>
              <w:snapToGrid w:val="0"/>
              <w:spacing w:line="360" w:lineRule="exact"/>
              <w:rPr>
                <w:rFonts w:ascii="宋体" w:hAnsi="宋体" w:eastAsia="宋体" w:cs="宋体"/>
                <w:highlight w:val="none"/>
              </w:rPr>
            </w:pPr>
          </w:p>
        </w:tc>
        <w:tc>
          <w:tcPr>
            <w:tcW w:w="1236" w:type="dxa"/>
          </w:tcPr>
          <w:p w14:paraId="61F172DE">
            <w:pPr>
              <w:adjustRightInd w:val="0"/>
              <w:snapToGrid w:val="0"/>
              <w:spacing w:line="360" w:lineRule="exact"/>
              <w:rPr>
                <w:rFonts w:ascii="宋体" w:hAnsi="宋体" w:eastAsia="宋体" w:cs="宋体"/>
                <w:highlight w:val="none"/>
              </w:rPr>
            </w:pPr>
          </w:p>
        </w:tc>
        <w:tc>
          <w:tcPr>
            <w:tcW w:w="720" w:type="dxa"/>
          </w:tcPr>
          <w:p w14:paraId="422F980B">
            <w:pPr>
              <w:adjustRightInd w:val="0"/>
              <w:snapToGrid w:val="0"/>
              <w:spacing w:line="360" w:lineRule="exact"/>
              <w:jc w:val="center"/>
              <w:rPr>
                <w:rFonts w:ascii="宋体" w:hAnsi="宋体" w:eastAsia="宋体" w:cs="宋体"/>
                <w:highlight w:val="none"/>
              </w:rPr>
            </w:pPr>
          </w:p>
        </w:tc>
        <w:tc>
          <w:tcPr>
            <w:tcW w:w="720" w:type="dxa"/>
          </w:tcPr>
          <w:p w14:paraId="77B3343D">
            <w:pPr>
              <w:adjustRightInd w:val="0"/>
              <w:snapToGrid w:val="0"/>
              <w:spacing w:line="360" w:lineRule="exact"/>
              <w:jc w:val="center"/>
              <w:rPr>
                <w:rFonts w:ascii="宋体" w:hAnsi="宋体" w:eastAsia="宋体" w:cs="宋体"/>
                <w:highlight w:val="none"/>
              </w:rPr>
            </w:pPr>
          </w:p>
        </w:tc>
        <w:tc>
          <w:tcPr>
            <w:tcW w:w="720" w:type="dxa"/>
          </w:tcPr>
          <w:p w14:paraId="578B5796">
            <w:pPr>
              <w:adjustRightInd w:val="0"/>
              <w:snapToGrid w:val="0"/>
              <w:spacing w:line="360" w:lineRule="exact"/>
              <w:jc w:val="center"/>
              <w:rPr>
                <w:rFonts w:ascii="宋体" w:hAnsi="宋体" w:eastAsia="宋体" w:cs="宋体"/>
                <w:highlight w:val="none"/>
              </w:rPr>
            </w:pPr>
          </w:p>
        </w:tc>
        <w:tc>
          <w:tcPr>
            <w:tcW w:w="720" w:type="dxa"/>
          </w:tcPr>
          <w:p w14:paraId="0BDEA19D">
            <w:pPr>
              <w:adjustRightInd w:val="0"/>
              <w:snapToGrid w:val="0"/>
              <w:spacing w:line="360" w:lineRule="exact"/>
              <w:jc w:val="center"/>
              <w:rPr>
                <w:rFonts w:ascii="宋体" w:hAnsi="宋体" w:eastAsia="宋体" w:cs="宋体"/>
                <w:highlight w:val="none"/>
              </w:rPr>
            </w:pPr>
          </w:p>
        </w:tc>
        <w:tc>
          <w:tcPr>
            <w:tcW w:w="2235" w:type="dxa"/>
          </w:tcPr>
          <w:p w14:paraId="7C515E9A">
            <w:pPr>
              <w:adjustRightInd w:val="0"/>
              <w:snapToGrid w:val="0"/>
              <w:spacing w:line="360" w:lineRule="exact"/>
              <w:rPr>
                <w:rFonts w:ascii="宋体" w:hAnsi="宋体" w:eastAsia="宋体" w:cs="宋体"/>
                <w:highlight w:val="none"/>
              </w:rPr>
            </w:pPr>
          </w:p>
        </w:tc>
      </w:tr>
      <w:tr w14:paraId="3F6A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979BE63">
            <w:pPr>
              <w:adjustRightInd w:val="0"/>
              <w:snapToGrid w:val="0"/>
              <w:spacing w:line="360" w:lineRule="exact"/>
              <w:jc w:val="center"/>
              <w:rPr>
                <w:rFonts w:ascii="宋体" w:hAnsi="宋体" w:eastAsia="宋体" w:cs="宋体"/>
                <w:highlight w:val="none"/>
              </w:rPr>
            </w:pPr>
          </w:p>
        </w:tc>
        <w:tc>
          <w:tcPr>
            <w:tcW w:w="1924" w:type="dxa"/>
          </w:tcPr>
          <w:p w14:paraId="43C0A49F">
            <w:pPr>
              <w:adjustRightInd w:val="0"/>
              <w:snapToGrid w:val="0"/>
              <w:spacing w:line="360" w:lineRule="exact"/>
              <w:rPr>
                <w:rFonts w:ascii="宋体" w:hAnsi="宋体" w:eastAsia="宋体" w:cs="宋体"/>
                <w:highlight w:val="none"/>
              </w:rPr>
            </w:pPr>
          </w:p>
        </w:tc>
        <w:tc>
          <w:tcPr>
            <w:tcW w:w="1236" w:type="dxa"/>
          </w:tcPr>
          <w:p w14:paraId="6F84F3E4">
            <w:pPr>
              <w:adjustRightInd w:val="0"/>
              <w:snapToGrid w:val="0"/>
              <w:spacing w:line="360" w:lineRule="exact"/>
              <w:rPr>
                <w:rFonts w:ascii="宋体" w:hAnsi="宋体" w:eastAsia="宋体" w:cs="宋体"/>
                <w:highlight w:val="none"/>
              </w:rPr>
            </w:pPr>
          </w:p>
        </w:tc>
        <w:tc>
          <w:tcPr>
            <w:tcW w:w="720" w:type="dxa"/>
          </w:tcPr>
          <w:p w14:paraId="01D4518B">
            <w:pPr>
              <w:adjustRightInd w:val="0"/>
              <w:snapToGrid w:val="0"/>
              <w:spacing w:line="360" w:lineRule="exact"/>
              <w:jc w:val="center"/>
              <w:rPr>
                <w:rFonts w:ascii="宋体" w:hAnsi="宋体" w:eastAsia="宋体" w:cs="宋体"/>
                <w:highlight w:val="none"/>
              </w:rPr>
            </w:pPr>
          </w:p>
        </w:tc>
        <w:tc>
          <w:tcPr>
            <w:tcW w:w="720" w:type="dxa"/>
          </w:tcPr>
          <w:p w14:paraId="6B7A5ABD">
            <w:pPr>
              <w:adjustRightInd w:val="0"/>
              <w:snapToGrid w:val="0"/>
              <w:spacing w:line="360" w:lineRule="exact"/>
              <w:jc w:val="center"/>
              <w:rPr>
                <w:rFonts w:ascii="宋体" w:hAnsi="宋体" w:eastAsia="宋体" w:cs="宋体"/>
                <w:highlight w:val="none"/>
              </w:rPr>
            </w:pPr>
          </w:p>
        </w:tc>
        <w:tc>
          <w:tcPr>
            <w:tcW w:w="720" w:type="dxa"/>
          </w:tcPr>
          <w:p w14:paraId="2C6BF733">
            <w:pPr>
              <w:adjustRightInd w:val="0"/>
              <w:snapToGrid w:val="0"/>
              <w:spacing w:line="360" w:lineRule="exact"/>
              <w:jc w:val="center"/>
              <w:rPr>
                <w:rFonts w:ascii="宋体" w:hAnsi="宋体" w:eastAsia="宋体" w:cs="宋体"/>
                <w:highlight w:val="none"/>
              </w:rPr>
            </w:pPr>
          </w:p>
        </w:tc>
        <w:tc>
          <w:tcPr>
            <w:tcW w:w="720" w:type="dxa"/>
          </w:tcPr>
          <w:p w14:paraId="5A3D3494">
            <w:pPr>
              <w:adjustRightInd w:val="0"/>
              <w:snapToGrid w:val="0"/>
              <w:spacing w:line="360" w:lineRule="exact"/>
              <w:jc w:val="center"/>
              <w:rPr>
                <w:rFonts w:ascii="宋体" w:hAnsi="宋体" w:eastAsia="宋体" w:cs="宋体"/>
                <w:highlight w:val="none"/>
              </w:rPr>
            </w:pPr>
          </w:p>
        </w:tc>
        <w:tc>
          <w:tcPr>
            <w:tcW w:w="2235" w:type="dxa"/>
          </w:tcPr>
          <w:p w14:paraId="2BC9E4D9">
            <w:pPr>
              <w:adjustRightInd w:val="0"/>
              <w:snapToGrid w:val="0"/>
              <w:spacing w:line="360" w:lineRule="exact"/>
              <w:rPr>
                <w:rFonts w:ascii="宋体" w:hAnsi="宋体" w:eastAsia="宋体" w:cs="宋体"/>
                <w:highlight w:val="none"/>
              </w:rPr>
            </w:pPr>
          </w:p>
        </w:tc>
      </w:tr>
    </w:tbl>
    <w:p w14:paraId="7507F3A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6.2“开标一览表”和“明细表”仅作为投标人编制投标技术文件的一般格式。其中序号编写应当便于招标人了解分类或分项货物之间的所属关系，如1、1.1、1.2；</w:t>
      </w:r>
    </w:p>
    <w:p w14:paraId="3080B0D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6.3应当尽可能将货物的配置列全、列细，这将有助于投标人胜出；</w:t>
      </w:r>
    </w:p>
    <w:p w14:paraId="0AC0A94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6.4单价与总价之间、总价与分类小计价之间、分类小计价与合计价之间数据应当齐全而且准确；</w:t>
      </w:r>
    </w:p>
    <w:p w14:paraId="1B124CF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6.5  本条款表格中的制造商，应当为全称或公认的简称。</w:t>
      </w:r>
    </w:p>
    <w:p w14:paraId="4FBDEF08">
      <w:pPr>
        <w:pStyle w:val="23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14:paraId="4AC292A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5EB8C5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2.如果投标总报价与其它价格出现错误或不一致，将有可能导致废标。</w:t>
      </w:r>
    </w:p>
    <w:p w14:paraId="5E3F334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3.投标总报价为自合同签定生效至合同无异议执行完毕涉及的买方需要支付的全部费用。如投标人认为本招标及投标货物涉及特需或专门的设计，应当单独列明设计费。</w:t>
      </w:r>
    </w:p>
    <w:p w14:paraId="6EBA580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4.备品备件、易损件和专用耗材，招标人将可能与投标人按照投标价格另行签署供货合同。</w:t>
      </w:r>
    </w:p>
    <w:p w14:paraId="790000A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5.要求投标总报价、分项报价、明细报价之间应当具有相互间对应关系以及填报分项和明细报价，仅为便于评标而不妨碍投标人以最合适的形式签署合同。</w:t>
      </w:r>
    </w:p>
    <w:p w14:paraId="3CA112A4">
      <w:pPr>
        <w:pStyle w:val="23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1A95A460">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31FA700E">
      <w:pPr>
        <w:rPr>
          <w:rFonts w:hint="eastAsia" w:ascii="宋体" w:hAnsi="宋体" w:eastAsia="宋体" w:cs="宋体"/>
          <w:sz w:val="24"/>
          <w:highlight w:val="none"/>
        </w:rPr>
      </w:pPr>
      <w:r>
        <w:rPr>
          <w:rFonts w:hint="eastAsia" w:ascii="宋体" w:hAnsi="宋体" w:eastAsia="宋体" w:cs="宋体"/>
          <w:sz w:val="24"/>
          <w:highlight w:val="none"/>
        </w:rPr>
        <w:br w:type="page"/>
      </w:r>
    </w:p>
    <w:p w14:paraId="0F0CCF11">
      <w:pPr>
        <w:pStyle w:val="238"/>
        <w:outlineLvl w:val="1"/>
        <w:rPr>
          <w:rFonts w:ascii="宋体" w:hAnsi="宋体" w:eastAsia="宋体" w:cs="宋体"/>
          <w:b/>
          <w:bCs w:val="0"/>
          <w:i w:val="0"/>
          <w:iCs w:val="0"/>
          <w:color w:val="auto"/>
          <w:sz w:val="30"/>
          <w:szCs w:val="30"/>
          <w:highlight w:val="none"/>
        </w:rPr>
      </w:pPr>
      <w:r>
        <w:rPr>
          <w:rFonts w:hint="eastAsia" w:ascii="宋体" w:hAnsi="宋体" w:eastAsia="宋体" w:cs="宋体"/>
          <w:b/>
          <w:bCs w:val="0"/>
          <w:i w:val="0"/>
          <w:iCs w:val="0"/>
          <w:color w:val="auto"/>
          <w:sz w:val="30"/>
          <w:szCs w:val="30"/>
          <w:highlight w:val="none"/>
        </w:rPr>
        <w:t>第</w:t>
      </w:r>
      <w:r>
        <w:rPr>
          <w:rFonts w:hint="eastAsia" w:ascii="宋体" w:hAnsi="宋体" w:eastAsia="宋体" w:cs="宋体"/>
          <w:b/>
          <w:bCs w:val="0"/>
          <w:i w:val="0"/>
          <w:iCs w:val="0"/>
          <w:color w:val="auto"/>
          <w:sz w:val="30"/>
          <w:szCs w:val="30"/>
          <w:highlight w:val="none"/>
          <w:lang w:val="en-US" w:eastAsia="zh-CN"/>
        </w:rPr>
        <w:t>八</w:t>
      </w:r>
      <w:r>
        <w:rPr>
          <w:rFonts w:hint="eastAsia" w:ascii="宋体" w:hAnsi="宋体" w:eastAsia="宋体" w:cs="宋体"/>
          <w:b/>
          <w:bCs w:val="0"/>
          <w:i w:val="0"/>
          <w:iCs w:val="0"/>
          <w:color w:val="auto"/>
          <w:sz w:val="30"/>
          <w:szCs w:val="30"/>
          <w:highlight w:val="none"/>
        </w:rPr>
        <w:t>章  其它要求及说明</w:t>
      </w:r>
    </w:p>
    <w:p w14:paraId="4B87C73A">
      <w:pPr>
        <w:pStyle w:val="237"/>
        <w:spacing w:line="360" w:lineRule="auto"/>
        <w:rPr>
          <w:rFonts w:ascii="宋体" w:hAnsi="宋体" w:cs="宋体"/>
          <w:color w:val="auto"/>
          <w:highlight w:val="none"/>
        </w:rPr>
      </w:pPr>
      <w:r>
        <w:rPr>
          <w:rFonts w:hint="eastAsia" w:ascii="宋体" w:hAnsi="宋体" w:cs="宋体"/>
          <w:color w:val="auto"/>
          <w:highlight w:val="none"/>
        </w:rPr>
        <w:t>一、要求</w:t>
      </w:r>
    </w:p>
    <w:p w14:paraId="07F7F572">
      <w:pPr>
        <w:pStyle w:val="27"/>
        <w:spacing w:after="0" w:line="360" w:lineRule="auto"/>
        <w:ind w:left="0" w:leftChars="0" w:firstLine="480" w:firstLineChars="200"/>
        <w:rPr>
          <w:rFonts w:ascii="宋体" w:hAnsi="宋体" w:eastAsia="宋体" w:cs="宋体"/>
          <w:sz w:val="24"/>
          <w:highlight w:val="none"/>
        </w:rPr>
      </w:pPr>
      <w:r>
        <w:rPr>
          <w:rFonts w:hint="eastAsia" w:ascii="宋体" w:hAnsi="宋体" w:eastAsia="宋体" w:cs="宋体"/>
          <w:sz w:val="24"/>
          <w:highlight w:val="none"/>
        </w:rPr>
        <w:t>为保证本技术标书所列采购货物的质量以及先进性、可靠性、经济性和实用性，要求投标人在投标文件中，至少应具备以下资格证明文件或资料：</w:t>
      </w:r>
    </w:p>
    <w:p w14:paraId="403987F0">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72CAB509">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2.投标人应当是通过有关资格认证的法人。应当在投标文件中提供有效期内的资格认证证书，如：ISO9001、VDA6.1、QS9000等。</w:t>
      </w:r>
    </w:p>
    <w:p w14:paraId="42ACAE6A">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3.国产设备应附有采购货物（或设备）涉及的由“中国质量认证中心”颁发的《中国国家强制性产品认证证书》（CCC证书）。</w:t>
      </w:r>
    </w:p>
    <w:p w14:paraId="67A0CBAF">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4.应附有其它与投标人、采购货物有关的荣誉证书或资料。</w:t>
      </w:r>
    </w:p>
    <w:p w14:paraId="0297FE38">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5.必须附有投标货物涉及产品要求的、国家或行业管理规定要求的、或者投标人认为能够体现其投标货物合法性及先进性的最高级别的证明材料（投标货物不涉及的除外）：</w:t>
      </w:r>
    </w:p>
    <w:p w14:paraId="4F3BEB71">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5.1国家相关机构颁发的有效期之内所必需的《生产许可证》；</w:t>
      </w:r>
    </w:p>
    <w:p w14:paraId="54F6DF69">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5.2产品（或技术）鉴定报告/证书、专利证书或专利许可证书、新技术成果证书等；</w:t>
      </w:r>
    </w:p>
    <w:p w14:paraId="7375ED8B">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5.3产品相关检验、试验报告，如：型式试验检验报告、安全试验检验报告、电弧效应试验报告、噪声检测报告等；</w:t>
      </w:r>
    </w:p>
    <w:p w14:paraId="35FFFDAD">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5.4其它能够证明所供货物的质量水平、技术水平、安全性水平、节能性水平、环保性水平等相关的其它证明文件或资料、报告等；</w:t>
      </w:r>
    </w:p>
    <w:p w14:paraId="12C36AA4">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5.5该类报告或证明材料对于投标人胜出乃至中标极为重要！</w:t>
      </w:r>
    </w:p>
    <w:p w14:paraId="6D6DCB45">
      <w:pPr>
        <w:numPr>
          <w:ilvl w:val="255"/>
          <w:numId w:val="0"/>
        </w:numPr>
        <w:spacing w:line="360" w:lineRule="auto"/>
        <w:ind w:firstLine="482" w:firstLineChars="200"/>
        <w:rPr>
          <w:rFonts w:ascii="宋体" w:hAnsi="宋体" w:eastAsia="宋体" w:cs="宋体"/>
          <w:sz w:val="24"/>
          <w:highlight w:val="none"/>
        </w:rPr>
      </w:pPr>
      <w:r>
        <w:rPr>
          <w:rFonts w:hint="eastAsia" w:ascii="宋体" w:hAnsi="宋体" w:eastAsia="宋体" w:cs="宋体"/>
          <w:b/>
          <w:sz w:val="24"/>
          <w:highlight w:val="none"/>
        </w:rPr>
        <w:t>6.必须附有：</w:t>
      </w:r>
      <w:r>
        <w:rPr>
          <w:rFonts w:hint="eastAsia" w:ascii="宋体" w:hAnsi="宋体" w:eastAsia="宋体" w:cs="宋体"/>
          <w:sz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8E676F6">
      <w:pPr>
        <w:pStyle w:val="237"/>
        <w:spacing w:line="360" w:lineRule="auto"/>
        <w:rPr>
          <w:highlight w:val="none"/>
        </w:rPr>
      </w:pPr>
      <w:r>
        <w:rPr>
          <w:rFonts w:hint="eastAsia" w:ascii="宋体" w:hAnsi="宋体" w:cs="宋体"/>
          <w:color w:val="auto"/>
          <w:highlight w:val="none"/>
        </w:rPr>
        <w:t>二、其他</w:t>
      </w:r>
    </w:p>
    <w:p w14:paraId="38E1003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1.投标人可以根据自身的技术、经验等</w:t>
      </w:r>
      <w:r>
        <w:rPr>
          <w:rFonts w:hint="eastAsia" w:ascii="宋体" w:hAnsi="宋体" w:eastAsia="宋体" w:cs="宋体"/>
          <w:sz w:val="24"/>
          <w:highlight w:val="none"/>
          <w:lang w:val="en-US" w:eastAsia="zh-CN"/>
        </w:rPr>
        <w:tab/>
      </w:r>
      <w:r>
        <w:rPr>
          <w:rFonts w:hint="eastAsia" w:ascii="宋体" w:hAnsi="宋体" w:eastAsia="宋体" w:cs="宋体"/>
          <w:sz w:val="24"/>
          <w:highlight w:val="none"/>
        </w:rPr>
        <w:t>优势以及对招标文件和本技术标书的理解，写明对招标人所采购货物的优化方案或建议意见。投标人的这些努力，招标人表示感谢，并将有助于投标人优先胜出。</w:t>
      </w:r>
    </w:p>
    <w:p w14:paraId="383EAE5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2.即使有建议意见或建议方案，仍应依据招标文件和本技术标书要求，编写符合要求的投标文件。建议方案或建议意见，应以单独篇章或文件，予以说明和报价。</w:t>
      </w:r>
    </w:p>
    <w:p w14:paraId="4EA88DB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443FA9B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4.招标文件、投标文件、答疑文件、技术交流文件、技术标书等，在采购过程全部为有效文件，如有差异，以对招标人最有利的条款为准。</w:t>
      </w:r>
    </w:p>
    <w:p w14:paraId="37BF3C4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24177DAA">
      <w:pPr>
        <w:adjustRightInd w:val="0"/>
        <w:snapToGrid w:val="0"/>
        <w:spacing w:line="360" w:lineRule="auto"/>
        <w:rPr>
          <w:rFonts w:hint="eastAsia" w:ascii="宋体" w:hAnsi="宋体" w:eastAsia="宋体" w:cs="宋体"/>
          <w:sz w:val="24"/>
          <w:szCs w:val="24"/>
          <w:highlight w:val="none"/>
        </w:rPr>
      </w:pPr>
    </w:p>
    <w:p w14:paraId="16B66416">
      <w:pPr>
        <w:spacing w:line="360" w:lineRule="auto"/>
        <w:rPr>
          <w:rFonts w:hint="eastAsia" w:ascii="宋体" w:hAnsi="宋体"/>
          <w:sz w:val="24"/>
        </w:rPr>
      </w:pPr>
    </w:p>
    <w:p w14:paraId="03DE61B9">
      <w:pPr>
        <w:bidi w:val="0"/>
        <w:rPr>
          <w:rFonts w:hint="eastAsia"/>
        </w:rPr>
      </w:pPr>
      <w:r>
        <w:rPr>
          <w:rFonts w:hint="eastAsia"/>
        </w:rPr>
        <w:br w:type="page"/>
      </w:r>
    </w:p>
    <w:p w14:paraId="76E2E6C4">
      <w:pPr>
        <w:rPr>
          <w:rFonts w:hint="eastAsia" w:ascii="仿宋" w:hAnsi="仿宋" w:eastAsia="仿宋"/>
          <w:b/>
          <w:bCs/>
          <w:sz w:val="28"/>
        </w:rPr>
      </w:pP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4" w:name="_Toc639004"/>
      <w:bookmarkStart w:id="25" w:name="_Toc353881012"/>
      <w:bookmarkStart w:id="26" w:name="_Toc212369550"/>
      <w:bookmarkStart w:id="27" w:name="_Toc25811"/>
      <w:r>
        <w:rPr>
          <w:rFonts w:hint="default" w:ascii="Times New Roman" w:hAnsi="Times New Roman" w:eastAsia="宋体" w:cs="Times New Roman"/>
          <w:b/>
          <w:bCs/>
          <w:color w:val="000000"/>
          <w:sz w:val="24"/>
          <w:szCs w:val="24"/>
        </w:rPr>
        <w:t xml:space="preserve"> 投标函</w:t>
      </w:r>
      <w:bookmarkEnd w:id="24"/>
      <w:bookmarkEnd w:id="25"/>
      <w:bookmarkEnd w:id="26"/>
      <w:bookmarkEnd w:id="27"/>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14:paraId="3FCE183F">
      <w:pPr>
        <w:pStyle w:val="20"/>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济南成型厂新增空调更新技改项目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4"/>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5"/>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4"/>
        <w:rPr>
          <w:rFonts w:hint="default" w:ascii="Times New Roman" w:hAnsi="Times New Roman" w:eastAsia="宋体" w:cs="Times New Roman"/>
          <w:b/>
          <w:bCs/>
          <w:color w:val="000000"/>
          <w:sz w:val="24"/>
          <w:szCs w:val="24"/>
        </w:rPr>
      </w:pPr>
    </w:p>
    <w:p w14:paraId="4E360575">
      <w:pPr>
        <w:pStyle w:val="24"/>
        <w:rPr>
          <w:rFonts w:hint="default" w:ascii="Times New Roman" w:hAnsi="Times New Roman" w:eastAsia="宋体" w:cs="Times New Roman"/>
          <w:b/>
          <w:bCs/>
          <w:color w:val="000000"/>
          <w:sz w:val="24"/>
          <w:szCs w:val="24"/>
        </w:rPr>
      </w:pPr>
    </w:p>
    <w:p w14:paraId="18B28C34">
      <w:pPr>
        <w:pStyle w:val="24"/>
        <w:rPr>
          <w:rFonts w:hint="default" w:ascii="Times New Roman" w:hAnsi="Times New Roman" w:eastAsia="宋体" w:cs="Times New Roman"/>
          <w:b/>
          <w:bCs/>
          <w:color w:val="000000"/>
          <w:sz w:val="24"/>
          <w:szCs w:val="24"/>
        </w:rPr>
      </w:pPr>
    </w:p>
    <w:p w14:paraId="59B9FA63">
      <w:pPr>
        <w:pStyle w:val="24"/>
        <w:rPr>
          <w:rFonts w:hint="default" w:ascii="Times New Roman" w:hAnsi="Times New Roman" w:eastAsia="宋体" w:cs="Times New Roman"/>
          <w:b/>
          <w:bCs/>
          <w:color w:val="000000"/>
          <w:sz w:val="24"/>
          <w:szCs w:val="24"/>
        </w:rPr>
      </w:pPr>
    </w:p>
    <w:p w14:paraId="70E33259">
      <w:pPr>
        <w:pStyle w:val="24"/>
        <w:rPr>
          <w:rFonts w:hint="default" w:ascii="Times New Roman" w:hAnsi="Times New Roman" w:eastAsia="宋体" w:cs="Times New Roman"/>
          <w:b/>
          <w:bCs/>
          <w:color w:val="000000"/>
          <w:sz w:val="24"/>
          <w:szCs w:val="24"/>
        </w:rPr>
      </w:pPr>
    </w:p>
    <w:p w14:paraId="37B23B42">
      <w:pPr>
        <w:pStyle w:val="24"/>
        <w:rPr>
          <w:rFonts w:hint="default" w:ascii="Times New Roman" w:hAnsi="Times New Roman" w:eastAsia="宋体" w:cs="Times New Roman"/>
          <w:b/>
          <w:bCs/>
          <w:color w:val="000000"/>
          <w:sz w:val="24"/>
          <w:szCs w:val="24"/>
        </w:rPr>
      </w:pPr>
    </w:p>
    <w:p w14:paraId="77D15F41">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宋体" w:hAnsi="宋体" w:eastAsia="宋体" w:cs="宋体"/>
          <w:sz w:val="24"/>
          <w:szCs w:val="24"/>
          <w:u w:val="single"/>
        </w:rPr>
        <w:t>济南成型厂新增空调更新技改项目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宋体" w:hAnsi="宋体" w:eastAsia="宋体" w:cs="宋体"/>
          <w:sz w:val="24"/>
          <w:szCs w:val="24"/>
          <w:u w:val="single"/>
        </w:rPr>
        <w:t>济南成型厂新增空调更新技改项目</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4"/>
        <w:rPr>
          <w:rFonts w:hint="default" w:ascii="Times New Roman" w:hAnsi="Times New Roman" w:cs="Times New Roman"/>
        </w:rPr>
      </w:pPr>
    </w:p>
    <w:p w14:paraId="09D0A75C">
      <w:pPr>
        <w:pStyle w:val="24"/>
        <w:rPr>
          <w:rFonts w:hint="default" w:ascii="Times New Roman" w:hAnsi="Times New Roman" w:cs="Times New Roman"/>
        </w:rPr>
      </w:pPr>
    </w:p>
    <w:p w14:paraId="3213DD82">
      <w:pPr>
        <w:pStyle w:val="24"/>
        <w:rPr>
          <w:rFonts w:hint="default" w:ascii="Times New Roman" w:hAnsi="Times New Roman" w:cs="Times New Roman"/>
        </w:rPr>
      </w:pPr>
    </w:p>
    <w:p w14:paraId="33268E3A">
      <w:pPr>
        <w:pStyle w:val="24"/>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宋体" w:hAnsi="宋体" w:eastAsia="宋体" w:cs="宋体"/>
          <w:sz w:val="24"/>
          <w:szCs w:val="24"/>
          <w:u w:val="single"/>
        </w:rPr>
        <w:t>济南成型厂新增空调更新技改项目</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cs="Times New Roman"/>
          <w:kern w:val="0"/>
          <w:sz w:val="24"/>
          <w:szCs w:val="20"/>
          <w:lang w:val="en-US" w:eastAsia="zh-CN"/>
        </w:rPr>
        <w:t>3</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济南成型厂新增空调更新技改项目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u w:val="single"/>
        </w:rPr>
        <w:t>济南成型厂新增空调更新技改项目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济南成型厂新增空调更新技改项目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9"/>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9"/>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4A6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14:paraId="110049ED">
            <w:pPr>
              <w:pStyle w:val="20"/>
              <w:bidi w:val="0"/>
              <w:jc w:val="center"/>
              <w:rPr>
                <w:rFonts w:hint="eastAsia"/>
                <w:highlight w:val="none"/>
              </w:rPr>
            </w:pPr>
            <w:r>
              <w:rPr>
                <w:rFonts w:hint="eastAsia"/>
                <w:highlight w:val="none"/>
              </w:rPr>
              <w:t>序号</w:t>
            </w:r>
          </w:p>
        </w:tc>
        <w:tc>
          <w:tcPr>
            <w:tcW w:w="1217" w:type="pct"/>
            <w:vAlign w:val="center"/>
          </w:tcPr>
          <w:p w14:paraId="174922BD">
            <w:pPr>
              <w:pStyle w:val="20"/>
              <w:bidi w:val="0"/>
              <w:jc w:val="center"/>
              <w:rPr>
                <w:rFonts w:hint="eastAsia"/>
                <w:highlight w:val="none"/>
              </w:rPr>
            </w:pPr>
            <w:r>
              <w:rPr>
                <w:rFonts w:hint="eastAsia"/>
                <w:highlight w:val="none"/>
              </w:rPr>
              <w:t>名称</w:t>
            </w:r>
          </w:p>
        </w:tc>
        <w:tc>
          <w:tcPr>
            <w:tcW w:w="731" w:type="pct"/>
            <w:vAlign w:val="center"/>
          </w:tcPr>
          <w:p w14:paraId="520ED97A">
            <w:pPr>
              <w:pStyle w:val="20"/>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14:paraId="48F129CC">
            <w:pPr>
              <w:pStyle w:val="20"/>
              <w:bidi w:val="0"/>
              <w:jc w:val="center"/>
              <w:rPr>
                <w:rFonts w:hint="eastAsia"/>
                <w:highlight w:val="none"/>
              </w:rPr>
            </w:pPr>
            <w:r>
              <w:rPr>
                <w:rFonts w:hint="eastAsia"/>
                <w:highlight w:val="none"/>
              </w:rPr>
              <w:t>单位</w:t>
            </w:r>
          </w:p>
        </w:tc>
        <w:tc>
          <w:tcPr>
            <w:tcW w:w="411" w:type="pct"/>
            <w:vAlign w:val="center"/>
          </w:tcPr>
          <w:p w14:paraId="2A79FCDA">
            <w:pPr>
              <w:pStyle w:val="20"/>
              <w:bidi w:val="0"/>
              <w:jc w:val="center"/>
              <w:rPr>
                <w:rFonts w:hint="eastAsia"/>
                <w:highlight w:val="none"/>
              </w:rPr>
            </w:pPr>
            <w:r>
              <w:rPr>
                <w:rFonts w:hint="eastAsia"/>
                <w:highlight w:val="none"/>
              </w:rPr>
              <w:t>数量</w:t>
            </w:r>
          </w:p>
        </w:tc>
        <w:tc>
          <w:tcPr>
            <w:tcW w:w="754" w:type="pct"/>
            <w:vAlign w:val="center"/>
          </w:tcPr>
          <w:p w14:paraId="51F599EB">
            <w:pPr>
              <w:pStyle w:val="20"/>
              <w:bidi w:val="0"/>
              <w:jc w:val="center"/>
              <w:rPr>
                <w:rFonts w:hint="eastAsia"/>
                <w:highlight w:val="none"/>
              </w:rPr>
            </w:pPr>
            <w:r>
              <w:rPr>
                <w:rFonts w:hint="eastAsia"/>
                <w:highlight w:val="none"/>
                <w:lang w:val="en-US" w:eastAsia="zh-CN"/>
              </w:rPr>
              <w:t>未税总价（元）</w:t>
            </w:r>
          </w:p>
        </w:tc>
        <w:tc>
          <w:tcPr>
            <w:tcW w:w="981" w:type="pct"/>
            <w:vAlign w:val="center"/>
          </w:tcPr>
          <w:p w14:paraId="7FE9C30E">
            <w:pPr>
              <w:pStyle w:val="20"/>
              <w:bidi w:val="0"/>
              <w:jc w:val="center"/>
              <w:rPr>
                <w:rFonts w:hint="eastAsia"/>
                <w:highlight w:val="none"/>
              </w:rPr>
            </w:pPr>
            <w:r>
              <w:rPr>
                <w:rFonts w:hint="eastAsia"/>
                <w:highlight w:val="none"/>
              </w:rPr>
              <w:t>备注</w:t>
            </w:r>
          </w:p>
        </w:tc>
      </w:tr>
      <w:tr w14:paraId="6007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BC70953">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67748F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35A6E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D7E3AA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1874EE5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262893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5EEEB456">
            <w:pPr>
              <w:spacing w:line="360" w:lineRule="exact"/>
              <w:jc w:val="left"/>
              <w:rPr>
                <w:rFonts w:hint="eastAsia" w:asciiTheme="minorEastAsia" w:hAnsiTheme="minorEastAsia" w:eastAsiaTheme="minorEastAsia" w:cstheme="minorEastAsia"/>
                <w:sz w:val="24"/>
                <w:szCs w:val="24"/>
                <w:highlight w:val="none"/>
              </w:rPr>
            </w:pPr>
          </w:p>
        </w:tc>
      </w:tr>
      <w:tr w14:paraId="3F1B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010E731">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BBCE84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1864C0">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563930B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773E0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32CC1E1">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641087">
            <w:pPr>
              <w:spacing w:line="360" w:lineRule="exact"/>
              <w:jc w:val="left"/>
              <w:rPr>
                <w:rFonts w:hint="eastAsia" w:asciiTheme="minorEastAsia" w:hAnsiTheme="minorEastAsia" w:eastAsiaTheme="minorEastAsia" w:cstheme="minorEastAsia"/>
                <w:sz w:val="24"/>
                <w:szCs w:val="24"/>
                <w:highlight w:val="none"/>
              </w:rPr>
            </w:pPr>
          </w:p>
        </w:tc>
      </w:tr>
      <w:tr w14:paraId="100D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6C96CA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C813A41">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A71CA3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DED3FB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661ED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F35E2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37902DB0">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5B91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6666566">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C63C2AA">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14100B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A9C241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3F1BFA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A8DED6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13D4049">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6FB2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78B12C9">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8F8E828">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6ACBF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07FCC36">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2081EED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D779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EA041C5">
            <w:pPr>
              <w:spacing w:line="360" w:lineRule="exact"/>
              <w:jc w:val="left"/>
              <w:rPr>
                <w:rFonts w:hint="eastAsia" w:asciiTheme="minorEastAsia" w:hAnsiTheme="minorEastAsia" w:eastAsiaTheme="minorEastAsia" w:cstheme="minorEastAsia"/>
                <w:sz w:val="24"/>
                <w:szCs w:val="24"/>
                <w:highlight w:val="none"/>
              </w:rPr>
            </w:pPr>
          </w:p>
        </w:tc>
      </w:tr>
      <w:tr w14:paraId="780D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EA4371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1BCB99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741CE1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2C1288D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5F6F24C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1131A1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4A8F93C">
            <w:pPr>
              <w:spacing w:line="360" w:lineRule="exact"/>
              <w:jc w:val="left"/>
              <w:rPr>
                <w:rFonts w:hint="eastAsia" w:asciiTheme="minorEastAsia" w:hAnsiTheme="minorEastAsia" w:eastAsiaTheme="minorEastAsia" w:cstheme="minorEastAsia"/>
                <w:sz w:val="24"/>
                <w:szCs w:val="24"/>
                <w:highlight w:val="none"/>
              </w:rPr>
            </w:pPr>
          </w:p>
        </w:tc>
      </w:tr>
      <w:tr w14:paraId="1D13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099EEC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013F030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DC1BB2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22546A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B3AF30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872AB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A6EBCDE">
            <w:pPr>
              <w:spacing w:line="360" w:lineRule="exact"/>
              <w:jc w:val="left"/>
              <w:rPr>
                <w:rFonts w:hint="eastAsia" w:asciiTheme="minorEastAsia" w:hAnsiTheme="minorEastAsia" w:eastAsiaTheme="minorEastAsia" w:cstheme="minorEastAsia"/>
                <w:sz w:val="24"/>
                <w:szCs w:val="24"/>
                <w:highlight w:val="none"/>
              </w:rPr>
            </w:pPr>
          </w:p>
        </w:tc>
      </w:tr>
      <w:tr w14:paraId="5703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62E1B8F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2F82BA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54FBB62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1168A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B656F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C5AC28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C705A5">
            <w:pPr>
              <w:spacing w:line="360" w:lineRule="exact"/>
              <w:jc w:val="left"/>
              <w:rPr>
                <w:rFonts w:hint="eastAsia" w:asciiTheme="minorEastAsia" w:hAnsiTheme="minorEastAsia" w:eastAsiaTheme="minorEastAsia" w:cstheme="minorEastAsia"/>
                <w:sz w:val="24"/>
                <w:szCs w:val="24"/>
                <w:highlight w:val="none"/>
              </w:rPr>
            </w:pPr>
          </w:p>
        </w:tc>
      </w:tr>
      <w:tr w14:paraId="04F7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AFB34F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4290851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E801906">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313C7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4EF2CF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17936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1B6303F">
            <w:pPr>
              <w:spacing w:line="360" w:lineRule="exact"/>
              <w:jc w:val="left"/>
              <w:rPr>
                <w:rFonts w:hint="eastAsia" w:asciiTheme="minorEastAsia" w:hAnsiTheme="minorEastAsia" w:eastAsiaTheme="minorEastAsia" w:cstheme="minorEastAsia"/>
                <w:sz w:val="24"/>
                <w:szCs w:val="24"/>
                <w:highlight w:val="none"/>
              </w:rPr>
            </w:pPr>
          </w:p>
        </w:tc>
      </w:tr>
      <w:tr w14:paraId="7E08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71221C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2BA57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73D1A1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49A388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C9FB3A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3BC5B9">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BD84EAA">
            <w:pPr>
              <w:spacing w:line="360" w:lineRule="exact"/>
              <w:jc w:val="left"/>
              <w:rPr>
                <w:rFonts w:hint="eastAsia" w:asciiTheme="minorEastAsia" w:hAnsiTheme="minorEastAsia" w:eastAsiaTheme="minorEastAsia" w:cstheme="minorEastAsia"/>
                <w:sz w:val="24"/>
                <w:szCs w:val="24"/>
                <w:highlight w:val="none"/>
              </w:rPr>
            </w:pPr>
          </w:p>
        </w:tc>
      </w:tr>
      <w:tr w14:paraId="13E5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9595FE5">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C9E7E4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1BA428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E43B5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C2CF4B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39529D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2FB8AAF">
            <w:pPr>
              <w:spacing w:line="360" w:lineRule="exact"/>
              <w:jc w:val="left"/>
              <w:rPr>
                <w:rFonts w:hint="eastAsia" w:asciiTheme="minorEastAsia" w:hAnsiTheme="minorEastAsia" w:eastAsiaTheme="minorEastAsia" w:cstheme="minorEastAsia"/>
                <w:sz w:val="24"/>
                <w:szCs w:val="24"/>
                <w:highlight w:val="none"/>
              </w:rPr>
            </w:pPr>
          </w:p>
        </w:tc>
      </w:tr>
      <w:tr w14:paraId="6A5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C6F400D">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508E92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0739D96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E95A9AF">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9F02E7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8A7A8F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788BF8B3">
            <w:pPr>
              <w:spacing w:line="360" w:lineRule="exact"/>
              <w:jc w:val="left"/>
              <w:rPr>
                <w:rFonts w:hint="eastAsia" w:asciiTheme="minorEastAsia" w:hAnsiTheme="minorEastAsia" w:eastAsiaTheme="minorEastAsia" w:cstheme="minorEastAsia"/>
                <w:sz w:val="24"/>
                <w:szCs w:val="24"/>
                <w:highlight w:val="none"/>
              </w:rPr>
            </w:pPr>
          </w:p>
        </w:tc>
      </w:tr>
      <w:tr w14:paraId="704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28BC3EBD">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14:paraId="7E5F4052">
            <w:pPr>
              <w:spacing w:line="360" w:lineRule="exact"/>
              <w:jc w:val="center"/>
              <w:rPr>
                <w:rFonts w:hint="eastAsia" w:asciiTheme="minorEastAsia" w:hAnsiTheme="minorEastAsia" w:eastAsiaTheme="minorEastAsia" w:cstheme="minorEastAsia"/>
                <w:sz w:val="24"/>
                <w:szCs w:val="24"/>
                <w:highlight w:val="none"/>
              </w:rPr>
            </w:pPr>
          </w:p>
        </w:tc>
      </w:tr>
      <w:tr w14:paraId="10E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49286C9A">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14:paraId="35B81226">
            <w:pPr>
              <w:spacing w:line="360" w:lineRule="exact"/>
              <w:jc w:val="center"/>
              <w:rPr>
                <w:rFonts w:hint="eastAsia" w:asciiTheme="minorEastAsia" w:hAnsiTheme="minorEastAsia" w:eastAsiaTheme="minorEastAsia" w:cstheme="minorEastAsia"/>
                <w:sz w:val="24"/>
                <w:szCs w:val="24"/>
                <w:highlight w:val="none"/>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4"/>
        <w:rPr>
          <w:rFonts w:hint="eastAsia" w:ascii="宋体" w:hAnsi="宋体" w:eastAsia="宋体" w:cs="宋体"/>
          <w:spacing w:val="-6"/>
          <w:szCs w:val="21"/>
        </w:rPr>
      </w:pPr>
    </w:p>
    <w:p w14:paraId="6FF3A58E">
      <w:pPr>
        <w:pStyle w:val="24"/>
        <w:rPr>
          <w:rFonts w:hint="eastAsia" w:ascii="宋体" w:hAnsi="宋体" w:eastAsia="宋体" w:cs="宋体"/>
          <w:spacing w:val="-6"/>
          <w:szCs w:val="21"/>
        </w:rPr>
      </w:pPr>
    </w:p>
    <w:p w14:paraId="57AFB38A">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济南成型厂新增空调更新技改项目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宋体" w:hAnsi="宋体" w:eastAsia="宋体" w:cs="宋体"/>
          <w:sz w:val="24"/>
          <w:szCs w:val="24"/>
          <w:u w:val="single"/>
        </w:rPr>
        <w:t>济南成型厂新增空调更新技改项目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项目名称：济南成型厂新增空调更新技改项目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E2A0743">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14:paraId="654402DE">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1981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228C33D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223A411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052EE43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25D000FC">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0746C114">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7E96341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07DE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643ADD5A">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3A7507E9">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66D8A704">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21307C0B">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15C6A6D8">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5DBA89EE">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30DB2C9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01990652">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6F27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6178D71">
            <w:pPr>
              <w:jc w:val="center"/>
              <w:rPr>
                <w:rFonts w:ascii="宋体" w:hAnsi="宋体" w:cs="Times New Roman"/>
                <w:sz w:val="18"/>
                <w:szCs w:val="18"/>
                <w:highlight w:val="none"/>
              </w:rPr>
            </w:pPr>
          </w:p>
        </w:tc>
        <w:tc>
          <w:tcPr>
            <w:tcW w:w="600" w:type="dxa"/>
            <w:vMerge w:val="restart"/>
            <w:vAlign w:val="center"/>
          </w:tcPr>
          <w:p w14:paraId="187C83D5">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2CD9ECB7">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0DCFC29F">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3D75DA1D">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3F45483C">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3AD4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4AA652EA">
            <w:pPr>
              <w:jc w:val="center"/>
              <w:rPr>
                <w:rFonts w:ascii="宋体" w:hAnsi="宋体" w:cs="Times New Roman"/>
                <w:sz w:val="18"/>
                <w:szCs w:val="18"/>
                <w:highlight w:val="none"/>
              </w:rPr>
            </w:pPr>
          </w:p>
        </w:tc>
        <w:tc>
          <w:tcPr>
            <w:tcW w:w="600" w:type="dxa"/>
            <w:vMerge w:val="continue"/>
            <w:vAlign w:val="center"/>
          </w:tcPr>
          <w:p w14:paraId="50DBBE74">
            <w:pPr>
              <w:jc w:val="center"/>
              <w:rPr>
                <w:rFonts w:ascii="宋体" w:hAnsi="宋体" w:cs="Times New Roman"/>
                <w:sz w:val="18"/>
                <w:szCs w:val="18"/>
                <w:highlight w:val="none"/>
              </w:rPr>
            </w:pPr>
          </w:p>
        </w:tc>
        <w:tc>
          <w:tcPr>
            <w:tcW w:w="603" w:type="dxa"/>
            <w:vAlign w:val="center"/>
          </w:tcPr>
          <w:p w14:paraId="2D4E64F6">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23984225">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16F76006">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1BBA6524">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07FB4D28">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5E68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1DA51757">
            <w:pPr>
              <w:jc w:val="center"/>
              <w:rPr>
                <w:rFonts w:ascii="宋体" w:hAnsi="宋体" w:cs="Times New Roman"/>
                <w:sz w:val="18"/>
                <w:szCs w:val="18"/>
                <w:highlight w:val="none"/>
              </w:rPr>
            </w:pPr>
          </w:p>
        </w:tc>
        <w:tc>
          <w:tcPr>
            <w:tcW w:w="600" w:type="dxa"/>
            <w:vAlign w:val="center"/>
          </w:tcPr>
          <w:p w14:paraId="52A39970">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5F044C5B">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041729CC">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2245B513">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2B889BCB">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5802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7A63F85D">
            <w:pPr>
              <w:jc w:val="center"/>
              <w:rPr>
                <w:rFonts w:ascii="宋体" w:hAnsi="宋体" w:cs="Times New Roman"/>
                <w:sz w:val="18"/>
                <w:szCs w:val="18"/>
                <w:highlight w:val="none"/>
              </w:rPr>
            </w:pPr>
          </w:p>
        </w:tc>
        <w:tc>
          <w:tcPr>
            <w:tcW w:w="600" w:type="dxa"/>
            <w:vAlign w:val="center"/>
          </w:tcPr>
          <w:p w14:paraId="0A3B77F1">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489A4974">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0FD5E60D">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2B93A6D9">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58617C71">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769F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3D7657AB">
            <w:pPr>
              <w:jc w:val="center"/>
              <w:rPr>
                <w:rFonts w:ascii="宋体" w:hAnsi="宋体" w:cs="Times New Roman"/>
                <w:sz w:val="18"/>
                <w:szCs w:val="18"/>
                <w:highlight w:val="none"/>
              </w:rPr>
            </w:pPr>
          </w:p>
        </w:tc>
        <w:tc>
          <w:tcPr>
            <w:tcW w:w="600" w:type="dxa"/>
            <w:vMerge w:val="restart"/>
            <w:vAlign w:val="center"/>
          </w:tcPr>
          <w:p w14:paraId="63D44093">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186CEEF9">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1ABF8321">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213B0874">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1ECEE4CE">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143A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2A65043">
            <w:pPr>
              <w:jc w:val="center"/>
              <w:rPr>
                <w:rFonts w:ascii="宋体" w:hAnsi="宋体" w:cs="Times New Roman"/>
                <w:sz w:val="18"/>
                <w:szCs w:val="18"/>
                <w:highlight w:val="none"/>
              </w:rPr>
            </w:pPr>
          </w:p>
        </w:tc>
        <w:tc>
          <w:tcPr>
            <w:tcW w:w="600" w:type="dxa"/>
            <w:vMerge w:val="continue"/>
            <w:vAlign w:val="center"/>
          </w:tcPr>
          <w:p w14:paraId="720D6653">
            <w:pPr>
              <w:jc w:val="center"/>
              <w:rPr>
                <w:rFonts w:ascii="宋体" w:hAnsi="宋体" w:cs="Times New Roman"/>
                <w:sz w:val="18"/>
                <w:szCs w:val="18"/>
                <w:highlight w:val="none"/>
              </w:rPr>
            </w:pPr>
          </w:p>
        </w:tc>
        <w:tc>
          <w:tcPr>
            <w:tcW w:w="603" w:type="dxa"/>
            <w:vAlign w:val="center"/>
          </w:tcPr>
          <w:p w14:paraId="454F8B42">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022CB045">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035E5CF7">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0B2181A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4432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1E7EA0D">
            <w:pPr>
              <w:jc w:val="center"/>
              <w:rPr>
                <w:rFonts w:ascii="宋体" w:hAnsi="宋体" w:cs="Times New Roman"/>
                <w:sz w:val="18"/>
                <w:szCs w:val="18"/>
                <w:highlight w:val="none"/>
              </w:rPr>
            </w:pPr>
          </w:p>
        </w:tc>
        <w:tc>
          <w:tcPr>
            <w:tcW w:w="600" w:type="dxa"/>
            <w:vMerge w:val="continue"/>
            <w:vAlign w:val="center"/>
          </w:tcPr>
          <w:p w14:paraId="2E9E60AF">
            <w:pPr>
              <w:jc w:val="center"/>
              <w:rPr>
                <w:rFonts w:ascii="宋体" w:hAnsi="宋体" w:cs="Times New Roman"/>
                <w:sz w:val="18"/>
                <w:szCs w:val="18"/>
                <w:highlight w:val="none"/>
              </w:rPr>
            </w:pPr>
          </w:p>
        </w:tc>
        <w:tc>
          <w:tcPr>
            <w:tcW w:w="603" w:type="dxa"/>
            <w:vAlign w:val="center"/>
          </w:tcPr>
          <w:p w14:paraId="138786BA">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649CA58B">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12B7522E">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04D35BE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7668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088899FB">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776ECD58">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4F7A1AB5">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1CA60941">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338A1E53">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73F7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099F787D">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15FBBC85">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7</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w:t>
            </w:r>
          </w:p>
        </w:tc>
      </w:tr>
    </w:tbl>
    <w:p w14:paraId="27EF0E8A">
      <w:pPr>
        <w:rPr>
          <w:rFonts w:ascii="宋体" w:hAnsi="宋体" w:eastAsia="宋体" w:cs="Times New Roman"/>
          <w:b/>
          <w:bCs/>
          <w:sz w:val="24"/>
          <w:highlight w:val="none"/>
        </w:rPr>
      </w:pPr>
    </w:p>
    <w:p w14:paraId="065EE77C">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3"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4"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5"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6"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7"/>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8"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9"/>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0"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1"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2"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3"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4"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5"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9" w:type="default"/>
      <w:footerReference r:id="rId20"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4E69"/>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0872"/>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907ECA"/>
    <w:rsid w:val="01A53B93"/>
    <w:rsid w:val="0271589A"/>
    <w:rsid w:val="02E74D14"/>
    <w:rsid w:val="02FC5AB3"/>
    <w:rsid w:val="035E6B0B"/>
    <w:rsid w:val="036474F7"/>
    <w:rsid w:val="0420374C"/>
    <w:rsid w:val="04651CD8"/>
    <w:rsid w:val="04B15209"/>
    <w:rsid w:val="04D613FF"/>
    <w:rsid w:val="04D70225"/>
    <w:rsid w:val="05160EF2"/>
    <w:rsid w:val="060051E1"/>
    <w:rsid w:val="09007DE0"/>
    <w:rsid w:val="0A481FC0"/>
    <w:rsid w:val="0AD876A7"/>
    <w:rsid w:val="0BEB0202"/>
    <w:rsid w:val="0D2703C9"/>
    <w:rsid w:val="0D326CC2"/>
    <w:rsid w:val="0E3B77DA"/>
    <w:rsid w:val="0E6A6868"/>
    <w:rsid w:val="0EA03360"/>
    <w:rsid w:val="0F5B6CC7"/>
    <w:rsid w:val="0FBD50BE"/>
    <w:rsid w:val="0FD210D6"/>
    <w:rsid w:val="11073AD0"/>
    <w:rsid w:val="11DD37F5"/>
    <w:rsid w:val="1378147A"/>
    <w:rsid w:val="14CD4184"/>
    <w:rsid w:val="14EA3CEC"/>
    <w:rsid w:val="15282E6E"/>
    <w:rsid w:val="1868332D"/>
    <w:rsid w:val="1894191F"/>
    <w:rsid w:val="19355040"/>
    <w:rsid w:val="198A4E68"/>
    <w:rsid w:val="1A8B45A2"/>
    <w:rsid w:val="1B605DBE"/>
    <w:rsid w:val="1B6B5758"/>
    <w:rsid w:val="1D7C72DD"/>
    <w:rsid w:val="1DA82577"/>
    <w:rsid w:val="1E1170AC"/>
    <w:rsid w:val="22A44CDF"/>
    <w:rsid w:val="234E13CB"/>
    <w:rsid w:val="23C056A6"/>
    <w:rsid w:val="25A62424"/>
    <w:rsid w:val="26B015FF"/>
    <w:rsid w:val="27C029D3"/>
    <w:rsid w:val="28B419F1"/>
    <w:rsid w:val="291B0A33"/>
    <w:rsid w:val="294A043D"/>
    <w:rsid w:val="29C928E7"/>
    <w:rsid w:val="2A7C02EC"/>
    <w:rsid w:val="2A8F7CD5"/>
    <w:rsid w:val="2AA82B22"/>
    <w:rsid w:val="2B243FAA"/>
    <w:rsid w:val="2B3F4DD2"/>
    <w:rsid w:val="2B477C1E"/>
    <w:rsid w:val="2B9654FA"/>
    <w:rsid w:val="2D355E3C"/>
    <w:rsid w:val="2DB54478"/>
    <w:rsid w:val="2E7345D1"/>
    <w:rsid w:val="2F6F5C37"/>
    <w:rsid w:val="30A30662"/>
    <w:rsid w:val="322900DB"/>
    <w:rsid w:val="3417273F"/>
    <w:rsid w:val="347C572E"/>
    <w:rsid w:val="353F5A8C"/>
    <w:rsid w:val="36DE1355"/>
    <w:rsid w:val="36E22E88"/>
    <w:rsid w:val="378370E3"/>
    <w:rsid w:val="37E93AD7"/>
    <w:rsid w:val="38BF4014"/>
    <w:rsid w:val="393D26BB"/>
    <w:rsid w:val="395835DE"/>
    <w:rsid w:val="3A5B7C10"/>
    <w:rsid w:val="3B051543"/>
    <w:rsid w:val="3BAF37EC"/>
    <w:rsid w:val="3C1F7DCC"/>
    <w:rsid w:val="3D9C2881"/>
    <w:rsid w:val="3DC85D47"/>
    <w:rsid w:val="3E516500"/>
    <w:rsid w:val="3F265760"/>
    <w:rsid w:val="3F801B0E"/>
    <w:rsid w:val="413C1020"/>
    <w:rsid w:val="41836F1D"/>
    <w:rsid w:val="41A55A6F"/>
    <w:rsid w:val="41C15C2F"/>
    <w:rsid w:val="42046348"/>
    <w:rsid w:val="429D2840"/>
    <w:rsid w:val="43256EEE"/>
    <w:rsid w:val="43803E5D"/>
    <w:rsid w:val="44967592"/>
    <w:rsid w:val="45902AEF"/>
    <w:rsid w:val="46A11681"/>
    <w:rsid w:val="48A82A9E"/>
    <w:rsid w:val="49DA7FF6"/>
    <w:rsid w:val="4A082E0A"/>
    <w:rsid w:val="4AC268B8"/>
    <w:rsid w:val="4B5826AD"/>
    <w:rsid w:val="4CC51E60"/>
    <w:rsid w:val="4CD949FD"/>
    <w:rsid w:val="4E4837C9"/>
    <w:rsid w:val="4E7C6042"/>
    <w:rsid w:val="4F4A4FC8"/>
    <w:rsid w:val="50280768"/>
    <w:rsid w:val="508341B3"/>
    <w:rsid w:val="50D63321"/>
    <w:rsid w:val="51091613"/>
    <w:rsid w:val="51654692"/>
    <w:rsid w:val="52552958"/>
    <w:rsid w:val="53127AB4"/>
    <w:rsid w:val="53F221DA"/>
    <w:rsid w:val="54D7260C"/>
    <w:rsid w:val="55176E8F"/>
    <w:rsid w:val="55D51D0D"/>
    <w:rsid w:val="5641747C"/>
    <w:rsid w:val="56C540F8"/>
    <w:rsid w:val="579D6934"/>
    <w:rsid w:val="57E02431"/>
    <w:rsid w:val="58055C15"/>
    <w:rsid w:val="58687ABC"/>
    <w:rsid w:val="586E4AA3"/>
    <w:rsid w:val="589046EA"/>
    <w:rsid w:val="58AE4B70"/>
    <w:rsid w:val="58C61F1A"/>
    <w:rsid w:val="5A462ABB"/>
    <w:rsid w:val="5A594267"/>
    <w:rsid w:val="5A842C2A"/>
    <w:rsid w:val="5B31562C"/>
    <w:rsid w:val="5BF42DB5"/>
    <w:rsid w:val="5C235BB1"/>
    <w:rsid w:val="5E202C68"/>
    <w:rsid w:val="5F377063"/>
    <w:rsid w:val="5FEA5396"/>
    <w:rsid w:val="5FF411EE"/>
    <w:rsid w:val="61514B10"/>
    <w:rsid w:val="62314848"/>
    <w:rsid w:val="62E50A5D"/>
    <w:rsid w:val="633A3E82"/>
    <w:rsid w:val="63470B20"/>
    <w:rsid w:val="643D185D"/>
    <w:rsid w:val="65E3187B"/>
    <w:rsid w:val="66A34D6E"/>
    <w:rsid w:val="66D1451E"/>
    <w:rsid w:val="673F2C72"/>
    <w:rsid w:val="681E0BBB"/>
    <w:rsid w:val="68C06BDA"/>
    <w:rsid w:val="69CE0BCF"/>
    <w:rsid w:val="69F8009E"/>
    <w:rsid w:val="6AB76068"/>
    <w:rsid w:val="6B596BBE"/>
    <w:rsid w:val="6C9132F0"/>
    <w:rsid w:val="6CD30049"/>
    <w:rsid w:val="6D5B701C"/>
    <w:rsid w:val="6D5E04BB"/>
    <w:rsid w:val="6E423C99"/>
    <w:rsid w:val="6E96010E"/>
    <w:rsid w:val="70462105"/>
    <w:rsid w:val="72276117"/>
    <w:rsid w:val="73263829"/>
    <w:rsid w:val="734D2DC8"/>
    <w:rsid w:val="7366709D"/>
    <w:rsid w:val="736A2597"/>
    <w:rsid w:val="73E6120B"/>
    <w:rsid w:val="74995770"/>
    <w:rsid w:val="74B92349"/>
    <w:rsid w:val="75CD3E17"/>
    <w:rsid w:val="77446974"/>
    <w:rsid w:val="7771624F"/>
    <w:rsid w:val="782D7408"/>
    <w:rsid w:val="78523FC0"/>
    <w:rsid w:val="790C526F"/>
    <w:rsid w:val="7A011488"/>
    <w:rsid w:val="7A8F4EBB"/>
    <w:rsid w:val="7B802C44"/>
    <w:rsid w:val="7E3E5A94"/>
    <w:rsid w:val="7E462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4"/>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840" w:leftChars="400"/>
    </w:p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next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5"/>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21943</Words>
  <Characters>22976</Characters>
  <Lines>52</Lines>
  <Paragraphs>14</Paragraphs>
  <TotalTime>0</TotalTime>
  <ScaleCrop>false</ScaleCrop>
  <LinksUpToDate>false</LinksUpToDate>
  <CharactersWithSpaces>25297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灵魂摆渡人</cp:lastModifiedBy>
  <cp:lastPrinted>2020-01-08T06:44:00Z</cp:lastPrinted>
  <dcterms:modified xsi:type="dcterms:W3CDTF">2026-01-15T01:27:35Z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eyJoZGlkIjoiZjNkYWUwNjI4NDQ2Y2RjZmYwMTMyNWIwZGVlYjZkNzMiLCJ1c2VySWQiOiIzNjc3NzYwOTgifQ==</vt:lpwstr>
  </property>
</Properties>
</file>