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涂装车间喷枪改造项目</w:t>
      </w:r>
    </w:p>
    <w:p w14:paraId="612663B5">
      <w:pPr>
        <w:ind w:right="280"/>
        <w:jc w:val="center"/>
        <w:rPr>
          <w:sz w:val="28"/>
          <w:szCs w:val="28"/>
          <w:highlight w:val="none"/>
        </w:rPr>
      </w:pP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FSCZB2025120151</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hint="eastAsia" w:ascii="宋体" w:hAnsi="宋体" w:eastAsia="宋体"/>
          <w:sz w:val="28"/>
          <w:szCs w:val="28"/>
          <w:highlight w:val="none"/>
          <w:lang w:eastAsia="zh-CN"/>
        </w:rPr>
      </w:pPr>
      <w:r>
        <w:rPr>
          <w:rFonts w:hint="eastAsia" w:ascii="宋体" w:hAnsi="宋体"/>
          <w:sz w:val="28"/>
          <w:szCs w:val="28"/>
          <w:highlight w:val="none"/>
        </w:rPr>
        <w:t>招 标 人：</w:t>
      </w:r>
      <w:r>
        <w:rPr>
          <w:rFonts w:hint="eastAsia" w:ascii="宋体" w:hAnsi="宋体"/>
          <w:sz w:val="28"/>
          <w:szCs w:val="28"/>
          <w:highlight w:val="none"/>
          <w:lang w:eastAsia="zh-CN"/>
        </w:rPr>
        <w:t>重汽（重庆）轻型汽车有限公司</w:t>
      </w:r>
    </w:p>
    <w:p w14:paraId="0D8A0D9A">
      <w:pPr>
        <w:jc w:val="center"/>
        <w:rPr>
          <w:rFonts w:ascii="宋体" w:hAnsi="宋体"/>
          <w:sz w:val="28"/>
          <w:szCs w:val="28"/>
          <w:highlight w:val="none"/>
        </w:rPr>
      </w:pPr>
    </w:p>
    <w:p w14:paraId="09CB3C92">
      <w:pPr>
        <w:spacing w:line="480" w:lineRule="auto"/>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12月</w:t>
      </w:r>
    </w:p>
    <w:p w14:paraId="158333E2">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0C2C501D">
          <w:pPr>
            <w:pStyle w:val="21"/>
            <w:tabs>
              <w:tab w:val="right" w:leader="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_Toc11608 </w:instrText>
          </w:r>
          <w:r>
            <w:rPr>
              <w:rFonts w:hint="eastAsia" w:ascii="Calibri" w:hAnsi="Calibri"/>
              <w:bCs/>
              <w:kern w:val="44"/>
              <w:szCs w:val="44"/>
            </w:rPr>
            <w:fldChar w:fldCharType="separate"/>
          </w:r>
          <w:r>
            <w:rPr>
              <w:rFonts w:hint="eastAsia"/>
            </w:rPr>
            <w:t>第一部分  投标人须知</w:t>
          </w:r>
          <w:r>
            <w:tab/>
          </w:r>
          <w:r>
            <w:fldChar w:fldCharType="begin"/>
          </w:r>
          <w:r>
            <w:instrText xml:space="preserve"> PAGEREF _Toc11608 \h </w:instrText>
          </w:r>
          <w:r>
            <w:fldChar w:fldCharType="separate"/>
          </w:r>
          <w:r>
            <w:t>2</w:t>
          </w:r>
          <w:r>
            <w:fldChar w:fldCharType="end"/>
          </w:r>
          <w:r>
            <w:rPr>
              <w:rFonts w:hint="eastAsia" w:ascii="Calibri" w:hAnsi="Calibri"/>
              <w:bCs/>
              <w:kern w:val="44"/>
              <w:szCs w:val="44"/>
            </w:rPr>
            <w:fldChar w:fldCharType="end"/>
          </w:r>
        </w:p>
        <w:p w14:paraId="080CF73D">
          <w:pPr>
            <w:pStyle w:val="21"/>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_Toc6428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技术要求</w:t>
          </w:r>
          <w:r>
            <w:tab/>
          </w:r>
          <w:r>
            <w:fldChar w:fldCharType="begin"/>
          </w:r>
          <w:r>
            <w:instrText xml:space="preserve"> PAGEREF _Toc6428 \h </w:instrText>
          </w:r>
          <w:r>
            <w:fldChar w:fldCharType="separate"/>
          </w:r>
          <w:r>
            <w:t>11</w:t>
          </w:r>
          <w:r>
            <w:fldChar w:fldCharType="end"/>
          </w:r>
          <w:r>
            <w:rPr>
              <w:rFonts w:hint="eastAsia" w:ascii="Calibri" w:hAnsi="Calibri" w:eastAsia="宋体" w:cs="Times New Roman"/>
              <w:bCs/>
              <w:kern w:val="44"/>
              <w:szCs w:val="44"/>
            </w:rPr>
            <w:fldChar w:fldCharType="end"/>
          </w:r>
        </w:p>
        <w:p w14:paraId="2A013E97">
          <w:pPr>
            <w:pStyle w:val="21"/>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_Toc5306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_Toc5306 \h </w:instrText>
          </w:r>
          <w:r>
            <w:fldChar w:fldCharType="separate"/>
          </w:r>
          <w:r>
            <w:t>14</w:t>
          </w:r>
          <w:r>
            <w:fldChar w:fldCharType="end"/>
          </w:r>
          <w:r>
            <w:rPr>
              <w:rFonts w:hint="eastAsia" w:ascii="Calibri" w:hAnsi="Calibri" w:eastAsia="宋体" w:cs="Times New Roman"/>
              <w:bCs/>
              <w:kern w:val="44"/>
              <w:szCs w:val="44"/>
            </w:rPr>
            <w:fldChar w:fldCharType="end"/>
          </w:r>
        </w:p>
        <w:p w14:paraId="2413C4DC">
          <w:pPr>
            <w:pStyle w:val="21"/>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_Toc32143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_Toc32143 \h </w:instrText>
          </w:r>
          <w:r>
            <w:fldChar w:fldCharType="separate"/>
          </w:r>
          <w:r>
            <w:t>15</w:t>
          </w:r>
          <w:r>
            <w:fldChar w:fldCharType="end"/>
          </w:r>
          <w:r>
            <w:rPr>
              <w:rFonts w:hint="eastAsia" w:ascii="Calibri" w:hAnsi="Calibri" w:eastAsia="宋体" w:cs="Times New Roman"/>
              <w:bCs/>
              <w:kern w:val="44"/>
              <w:szCs w:val="44"/>
            </w:rPr>
            <w:fldChar w:fldCharType="end"/>
          </w:r>
        </w:p>
        <w:p w14:paraId="6617A57C">
          <w:pPr>
            <w:pStyle w:val="21"/>
          </w:pPr>
          <w:r>
            <w:rPr>
              <w:rFonts w:hint="eastAsia" w:ascii="Calibri" w:hAnsi="Calibri" w:eastAsia="宋体" w:cs="Times New Roman"/>
              <w:bCs/>
              <w:kern w:val="44"/>
              <w:szCs w:val="44"/>
            </w:rPr>
            <w:fldChar w:fldCharType="end"/>
          </w:r>
        </w:p>
      </w:sdtContent>
    </w:sdt>
    <w:p w14:paraId="582BF911">
      <w:pPr>
        <w:pStyle w:val="15"/>
        <w:tabs>
          <w:tab w:val="left" w:pos="2940"/>
        </w:tabs>
        <w:spacing w:line="360" w:lineRule="auto"/>
      </w:pPr>
      <w:r>
        <w:tab/>
      </w:r>
    </w:p>
    <w:p w14:paraId="29FEE1FC">
      <w:pPr>
        <w:pStyle w:val="15"/>
        <w:spacing w:line="360" w:lineRule="auto"/>
        <w:jc w:val="center"/>
      </w:pPr>
    </w:p>
    <w:p w14:paraId="5CD706FC">
      <w:pPr>
        <w:pStyle w:val="15"/>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3D820EEC">
      <w:pPr>
        <w:pStyle w:val="71"/>
      </w:pPr>
      <w:bookmarkStart w:id="0" w:name="_Toc11608"/>
      <w:bookmarkStart w:id="1" w:name="_Toc47976595"/>
      <w:r>
        <w:rPr>
          <w:rFonts w:hint="eastAsia"/>
        </w:rPr>
        <w:t>第一部分  投标人须知</w:t>
      </w:r>
      <w:bookmarkEnd w:id="0"/>
      <w:bookmarkEnd w:id="1"/>
    </w:p>
    <w:p w14:paraId="418340F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2" w:name="_Toc47976596"/>
      <w:r>
        <w:rPr>
          <w:rFonts w:hint="eastAsia" w:cs="Times New Roman"/>
        </w:rPr>
        <w:t>项目</w:t>
      </w:r>
      <w:r>
        <w:rPr>
          <w:rFonts w:hint="eastAsia"/>
        </w:rPr>
        <w:t>介绍</w:t>
      </w:r>
      <w:bookmarkEnd w:id="2"/>
    </w:p>
    <w:p w14:paraId="6360E7CD">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rPr>
        <w:t>项目名称：</w:t>
      </w:r>
      <w:r>
        <w:rPr>
          <w:rFonts w:hint="eastAsia"/>
          <w:highlight w:val="none"/>
          <w:lang w:val="en-US" w:eastAsia="zh-CN"/>
        </w:rPr>
        <w:t>涂装车间喷枪改造项目</w:t>
      </w:r>
    </w:p>
    <w:p w14:paraId="17A97EAA">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highlight w:val="none"/>
        </w:rPr>
        <w:t>项目编号：</w:t>
      </w:r>
      <w:r>
        <w:rPr>
          <w:rFonts w:hint="eastAsia"/>
          <w:highlight w:val="none"/>
          <w:lang w:val="en-US" w:eastAsia="zh-CN"/>
        </w:rPr>
        <w:t>FSCZB2025120151</w:t>
      </w:r>
    </w:p>
    <w:p w14:paraId="5C6CF56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highlight w:val="none"/>
        </w:rPr>
        <w:t>招标形式：</w:t>
      </w:r>
      <w:bookmarkStart w:id="3" w:name="_Toc47112482"/>
      <w:r>
        <w:rPr>
          <w:rFonts w:hint="eastAsia"/>
          <w:highlight w:val="none"/>
          <w:lang w:val="en-US" w:eastAsia="zh-CN"/>
        </w:rPr>
        <w:t>公开招标</w:t>
      </w:r>
    </w:p>
    <w:p w14:paraId="742B3A80">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pPr>
      <w:r>
        <w:rPr>
          <w:rFonts w:hint="eastAsia"/>
          <w:lang w:val="en-US" w:eastAsia="zh-CN"/>
        </w:rPr>
        <w:t>项目概况：中标人委托中标人承接需方重庆汽车涂装车间喷枪改造项目，中标人负责该项目的HVLP喷枪的试验、试用、培训、供应等工作。</w:t>
      </w:r>
    </w:p>
    <w:p w14:paraId="151561C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default" w:cs="Times New Roman"/>
          <w:u w:val="none"/>
          <w:lang w:val="en-US" w:eastAsia="zh-CN"/>
        </w:rPr>
      </w:pPr>
      <w:r>
        <w:rPr>
          <w:rFonts w:hint="eastAsia"/>
          <w:lang w:val="en-US" w:eastAsia="zh-CN"/>
        </w:rPr>
        <w:t>报价：</w:t>
      </w:r>
    </w:p>
    <w:p w14:paraId="40FB1354">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b/>
          <w:bCs/>
          <w:color w:val="FF0000"/>
          <w:sz w:val="21"/>
          <w:szCs w:val="21"/>
          <w:highlight w:val="yellow"/>
          <w:u w:val="none"/>
          <w:lang w:val="en-US" w:eastAsia="zh-CN"/>
        </w:rPr>
      </w:pPr>
      <w:r>
        <w:rPr>
          <w:rFonts w:hint="eastAsia" w:ascii="宋体" w:hAnsi="宋体" w:eastAsia="宋体" w:cs="宋体"/>
          <w:i w:val="0"/>
          <w:iCs w:val="0"/>
          <w:caps w:val="0"/>
          <w:color w:val="0F1115"/>
          <w:spacing w:val="0"/>
          <w:sz w:val="21"/>
          <w:szCs w:val="21"/>
          <w:shd w:val="clear" w:fill="FFFFFF"/>
          <w:lang w:val="en-US" w:eastAsia="zh-CN"/>
        </w:rPr>
        <w:t>本</w:t>
      </w:r>
      <w:r>
        <w:rPr>
          <w:rFonts w:hint="eastAsia" w:ascii="宋体" w:hAnsi="宋体" w:eastAsia="宋体" w:cs="宋体"/>
          <w:i w:val="0"/>
          <w:iCs w:val="0"/>
          <w:caps w:val="0"/>
          <w:color w:val="0F1115"/>
          <w:spacing w:val="0"/>
          <w:sz w:val="21"/>
          <w:szCs w:val="21"/>
          <w:shd w:val="clear" w:fill="FFFFFF"/>
        </w:rPr>
        <w:t>项目的所有报价均以人民币填报。投标人应分别报出不含税金额、税率和</w:t>
      </w:r>
      <w:r>
        <w:rPr>
          <w:rFonts w:hint="eastAsia" w:cs="Times New Roman"/>
          <w:b/>
          <w:bCs/>
          <w:color w:val="auto"/>
          <w:highlight w:val="none"/>
          <w:u w:val="none"/>
          <w:lang w:val="en-US" w:eastAsia="zh-CN"/>
        </w:rPr>
        <w:t>价税合计金额</w:t>
      </w:r>
      <w:r>
        <w:rPr>
          <w:rFonts w:hint="eastAsia" w:ascii="宋体" w:hAnsi="宋体" w:eastAsia="宋体" w:cs="宋体"/>
          <w:i w:val="0"/>
          <w:iCs w:val="0"/>
          <w:caps w:val="0"/>
          <w:color w:val="0F1115"/>
          <w:spacing w:val="0"/>
          <w:sz w:val="21"/>
          <w:szCs w:val="21"/>
          <w:shd w:val="clear" w:fill="FFFFFF"/>
        </w:rPr>
        <w:t>。</w:t>
      </w:r>
    </w:p>
    <w:p w14:paraId="3B448AB2">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default" w:cs="Times New Roman"/>
          <w:sz w:val="21"/>
          <w:szCs w:val="21"/>
          <w:highlight w:val="none"/>
          <w:u w:val="none"/>
          <w:lang w:val="en-US" w:eastAsia="zh-CN"/>
        </w:rPr>
      </w:pPr>
      <w:r>
        <w:rPr>
          <w:rFonts w:hint="eastAsia" w:ascii="宋体" w:hAnsi="宋体" w:eastAsia="宋体" w:cs="宋体"/>
          <w:i w:val="0"/>
          <w:iCs w:val="0"/>
          <w:caps w:val="0"/>
          <w:color w:val="0F1115"/>
          <w:spacing w:val="0"/>
          <w:sz w:val="21"/>
          <w:szCs w:val="21"/>
          <w:shd w:val="clear" w:fill="FFFFFF"/>
        </w:rPr>
        <w:t>投标限价为人民币</w:t>
      </w:r>
      <w:r>
        <w:rPr>
          <w:rFonts w:hint="eastAsia" w:hAnsi="宋体" w:cs="宋体"/>
          <w:i w:val="0"/>
          <w:iCs w:val="0"/>
          <w:caps w:val="0"/>
          <w:color w:val="0F1115"/>
          <w:spacing w:val="0"/>
          <w:sz w:val="21"/>
          <w:szCs w:val="21"/>
          <w:highlight w:val="none"/>
          <w:shd w:val="clear" w:fill="FFFFFF"/>
          <w:lang w:val="en-US" w:eastAsia="zh-CN"/>
        </w:rPr>
        <w:t>11.978</w:t>
      </w:r>
      <w:r>
        <w:rPr>
          <w:rFonts w:hint="eastAsia" w:ascii="宋体" w:hAnsi="宋体" w:eastAsia="宋体" w:cs="宋体"/>
          <w:i w:val="0"/>
          <w:iCs w:val="0"/>
          <w:caps w:val="0"/>
          <w:color w:val="0F1115"/>
          <w:spacing w:val="0"/>
          <w:sz w:val="21"/>
          <w:szCs w:val="21"/>
          <w:highlight w:val="none"/>
          <w:shd w:val="clear" w:fill="FFFFFF"/>
          <w:lang w:val="en-US" w:eastAsia="zh-CN"/>
        </w:rPr>
        <w:t>万元</w:t>
      </w:r>
      <w:r>
        <w:rPr>
          <w:rFonts w:hint="eastAsia" w:ascii="宋体" w:hAnsi="宋体" w:eastAsia="宋体" w:cs="宋体"/>
          <w:i w:val="0"/>
          <w:iCs w:val="0"/>
          <w:caps w:val="0"/>
          <w:color w:val="0F1115"/>
          <w:spacing w:val="0"/>
          <w:sz w:val="21"/>
          <w:szCs w:val="21"/>
          <w:highlight w:val="none"/>
          <w:shd w:val="clear" w:fill="FFFFFF"/>
        </w:rPr>
        <w:t xml:space="preserve"> （含税），超过投标限价无法投标。</w:t>
      </w:r>
    </w:p>
    <w:p w14:paraId="67327B7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left"/>
        <w:textAlignment w:val="auto"/>
        <w:rPr>
          <w:rFonts w:hint="eastAsia" w:eastAsia="宋体" w:cs="Times New Roman"/>
          <w:sz w:val="21"/>
          <w:szCs w:val="21"/>
          <w:highlight w:val="none"/>
          <w:u w:val="none"/>
          <w:lang w:val="en-US" w:eastAsia="zh-CN"/>
        </w:rPr>
      </w:pPr>
      <w:r>
        <w:rPr>
          <w:rFonts w:hint="eastAsia" w:ascii="Times New Roman" w:hAnsi="Times New Roman" w:cs="Times New Roman"/>
          <w:color w:val="000000"/>
          <w:sz w:val="21"/>
          <w:szCs w:val="21"/>
          <w:highlight w:val="none"/>
          <w:lang w:val="en-US" w:eastAsia="zh-CN"/>
        </w:rPr>
        <w:t>注：</w:t>
      </w:r>
      <w:r>
        <w:rPr>
          <w:rFonts w:hint="default" w:ascii="Times New Roman" w:hAnsi="Times New Roman" w:eastAsia="宋体" w:cs="Times New Roman"/>
          <w:color w:val="000000"/>
          <w:sz w:val="21"/>
          <w:szCs w:val="21"/>
          <w:highlight w:val="none"/>
        </w:rPr>
        <w:t>投标人自行勘察现场，进行合理报价。投标总报价应包括设备费、原厂服务费及相关配件、随机资料、保险、税费、运杂、安装调试、与其他专业配合及可预见的风险以及其它不可预见等全部费用。</w:t>
      </w:r>
    </w:p>
    <w:p w14:paraId="4FF8F32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default" w:cs="Times New Roman"/>
          <w:lang w:val="en-US" w:eastAsia="zh-CN"/>
        </w:rPr>
      </w:pPr>
      <w:r>
        <w:rPr>
          <w:rFonts w:hint="default" w:cs="Times New Roman"/>
          <w:lang w:val="en-US" w:eastAsia="zh-CN"/>
        </w:rPr>
        <w:t>资金来源：企业自筹，已落实。</w:t>
      </w:r>
    </w:p>
    <w:p w14:paraId="2A2F2260">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DD6045B">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招标人名称：</w:t>
      </w:r>
      <w:r>
        <w:rPr>
          <w:rFonts w:hint="eastAsia" w:ascii="宋体" w:hAnsi="Courier New" w:cs="Times New Roman"/>
          <w:kern w:val="2"/>
          <w:sz w:val="21"/>
          <w:highlight w:val="none"/>
          <w:lang w:val="en-US" w:eastAsia="zh-CN" w:bidi="ar-SA"/>
        </w:rPr>
        <w:t>重汽（重庆）轻型汽车有限公司</w:t>
      </w:r>
      <w:r>
        <w:rPr>
          <w:rFonts w:hint="eastAsia" w:ascii="宋体" w:hAnsi="Courier New" w:eastAsia="宋体" w:cs="Times New Roman"/>
          <w:kern w:val="2"/>
          <w:sz w:val="21"/>
          <w:lang w:val="en-US" w:eastAsia="zh-CN" w:bidi="ar-SA"/>
        </w:rPr>
        <w:t xml:space="preserve"> </w:t>
      </w:r>
    </w:p>
    <w:p w14:paraId="4842B46D">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b/>
          <w:bCs/>
          <w:kern w:val="2"/>
          <w:sz w:val="21"/>
          <w:lang w:val="en-US" w:eastAsia="zh-CN" w:bidi="ar-SA"/>
        </w:rPr>
        <w:t>商务联系人：</w:t>
      </w:r>
      <w:r>
        <w:rPr>
          <w:rFonts w:hint="eastAsia" w:ascii="宋体" w:hAnsi="Courier New" w:eastAsia="宋体" w:cs="Times New Roman"/>
          <w:kern w:val="2"/>
          <w:sz w:val="21"/>
          <w:lang w:val="en-US" w:eastAsia="zh-CN" w:bidi="ar-SA"/>
        </w:rPr>
        <w:t>吕熠頔</w:t>
      </w:r>
    </w:p>
    <w:p w14:paraId="71154E14">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电话：17860606592</w:t>
      </w:r>
    </w:p>
    <w:p w14:paraId="412224C5">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color w:val="auto"/>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color w:val="auto"/>
          <w:kern w:val="2"/>
          <w:sz w:val="21"/>
          <w:lang w:val="en-US" w:eastAsia="zh-CN" w:bidi="ar-SA"/>
        </w:rPr>
        <w:fldChar w:fldCharType="begin"/>
      </w:r>
      <w:r>
        <w:rPr>
          <w:rFonts w:hint="eastAsia" w:ascii="宋体" w:hAnsi="Courier New" w:eastAsia="宋体" w:cs="Times New Roman"/>
          <w:color w:val="auto"/>
          <w:kern w:val="2"/>
          <w:sz w:val="21"/>
          <w:lang w:val="en-US" w:eastAsia="zh-CN" w:bidi="ar-SA"/>
        </w:rPr>
        <w:instrText xml:space="preserve"> HYPERLINK "mailto:lvyidi@sinotruk.com" </w:instrText>
      </w:r>
      <w:r>
        <w:rPr>
          <w:rFonts w:hint="eastAsia" w:ascii="宋体" w:hAnsi="Courier New" w:eastAsia="宋体" w:cs="Times New Roman"/>
          <w:color w:val="auto"/>
          <w:kern w:val="2"/>
          <w:sz w:val="21"/>
          <w:lang w:val="en-US" w:eastAsia="zh-CN" w:bidi="ar-SA"/>
        </w:rPr>
        <w:fldChar w:fldCharType="separate"/>
      </w:r>
      <w:r>
        <w:rPr>
          <w:rStyle w:val="38"/>
          <w:rFonts w:hint="eastAsia" w:ascii="宋体" w:hAnsi="Courier New" w:eastAsia="宋体" w:cs="Times New Roman"/>
          <w:color w:val="auto"/>
          <w:kern w:val="2"/>
          <w:sz w:val="21"/>
          <w:lang w:val="en-US" w:eastAsia="zh-CN" w:bidi="ar-SA"/>
        </w:rPr>
        <w:t>lvyidi@sinotruk.com</w:t>
      </w:r>
      <w:r>
        <w:rPr>
          <w:rFonts w:hint="eastAsia" w:ascii="宋体" w:hAnsi="Courier New" w:eastAsia="宋体" w:cs="Times New Roman"/>
          <w:color w:val="auto"/>
          <w:kern w:val="2"/>
          <w:sz w:val="21"/>
          <w:lang w:val="en-US" w:eastAsia="zh-CN" w:bidi="ar-SA"/>
        </w:rPr>
        <w:fldChar w:fldCharType="end"/>
      </w:r>
    </w:p>
    <w:p w14:paraId="424BC099">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Style w:val="38"/>
          <w:rFonts w:hint="default" w:ascii="宋体" w:hAnsi="Courier New" w:eastAsia="宋体" w:cs="Times New Roman"/>
          <w:color w:val="auto"/>
          <w:kern w:val="2"/>
          <w:sz w:val="21"/>
          <w:lang w:val="en-US" w:eastAsia="zh-CN" w:bidi="ar-SA"/>
        </w:rPr>
      </w:pPr>
      <w:r>
        <w:rPr>
          <w:rFonts w:hint="eastAsia" w:ascii="宋体" w:hAnsi="Courier New" w:eastAsia="宋体" w:cs="Times New Roman"/>
          <w:b/>
          <w:bCs/>
          <w:kern w:val="2"/>
          <w:sz w:val="21"/>
          <w:lang w:val="en-US" w:eastAsia="zh-CN" w:bidi="ar-SA"/>
        </w:rPr>
        <w:t>技术联系人：</w:t>
      </w:r>
      <w:r>
        <w:rPr>
          <w:rStyle w:val="38"/>
          <w:rFonts w:hint="eastAsia" w:ascii="宋体" w:hAnsi="Courier New" w:eastAsia="宋体" w:cs="Times New Roman"/>
          <w:color w:val="auto"/>
          <w:kern w:val="2"/>
          <w:sz w:val="21"/>
          <w:lang w:val="en-US" w:eastAsia="zh-CN" w:bidi="ar-SA"/>
        </w:rPr>
        <w:t>梁鹏飞</w:t>
      </w:r>
    </w:p>
    <w:p w14:paraId="43D8535D">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Style w:val="38"/>
          <w:rFonts w:hint="eastAsia" w:ascii="宋体" w:hAnsi="Courier New" w:eastAsia="宋体" w:cs="Times New Roman"/>
          <w:color w:val="auto"/>
          <w:kern w:val="2"/>
          <w:sz w:val="21"/>
          <w:lang w:val="en-US" w:eastAsia="zh-CN" w:bidi="ar-SA"/>
        </w:rPr>
      </w:pPr>
      <w:r>
        <w:rPr>
          <w:rStyle w:val="38"/>
          <w:rFonts w:hint="eastAsia" w:ascii="宋体" w:hAnsi="Courier New" w:eastAsia="宋体" w:cs="Times New Roman"/>
          <w:color w:val="auto"/>
          <w:kern w:val="2"/>
          <w:sz w:val="21"/>
          <w:lang w:val="en-US" w:eastAsia="zh-CN" w:bidi="ar-SA"/>
        </w:rPr>
        <w:t>电话：15802895250</w:t>
      </w:r>
    </w:p>
    <w:p w14:paraId="0F35D5A2">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Style w:val="38"/>
          <w:rFonts w:hint="default" w:ascii="宋体" w:hAnsi="Courier New" w:eastAsia="宋体" w:cs="Times New Roman"/>
          <w:color w:val="auto"/>
          <w:kern w:val="2"/>
          <w:sz w:val="21"/>
          <w:lang w:val="en-US" w:eastAsia="zh-CN" w:bidi="ar-SA"/>
        </w:rPr>
      </w:pPr>
      <w:r>
        <w:rPr>
          <w:rStyle w:val="38"/>
          <w:rFonts w:hint="eastAsia" w:ascii="宋体" w:hAnsi="Courier New" w:eastAsia="宋体" w:cs="Times New Roman"/>
          <w:color w:val="auto"/>
          <w:kern w:val="2"/>
          <w:sz w:val="21"/>
          <w:lang w:val="en-US" w:eastAsia="zh-CN" w:bidi="ar-SA"/>
        </w:rPr>
        <w:t>邮箱：liangpengfei1@sinotruk.com</w:t>
      </w:r>
    </w:p>
    <w:bookmarkEnd w:id="3"/>
    <w:p w14:paraId="50DC6C7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4" w:name="_Toc47976598"/>
      <w:r>
        <w:rPr>
          <w:rFonts w:hint="eastAsia"/>
        </w:rPr>
        <w:t>合格的投标人</w:t>
      </w:r>
      <w:bookmarkEnd w:id="4"/>
    </w:p>
    <w:p w14:paraId="03CC1E01">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投标人须遵守《中华人民共和国招标投标法》、《中华人民共和国民法典》及其它有关的法律和法规；为中华人民共和国境内注册的独立法人机构，具有独立承担民事责任能力；</w:t>
      </w:r>
    </w:p>
    <w:p w14:paraId="4DBCC747">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投标方的注册资本不少于50万元人民币（或等值其他货币）。</w:t>
      </w:r>
    </w:p>
    <w:p w14:paraId="7BE09D42">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投标方必须具备制造招标物品或销售该类物品的资格，投标方应具备完善的售后服务体系，配备有专业维修人员，</w:t>
      </w:r>
    </w:p>
    <w:p w14:paraId="72FDEBAD">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本项目中的HVLP喷枪要求在汽车主机厂的使用案例不小于2个，且正在使用，每个案例使用的喷枪数不小于6把，投标人提交不限于技术协议、合同等的佐证材料。</w:t>
      </w:r>
    </w:p>
    <w:p w14:paraId="5E35CE8D">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不接受代理商投标。</w:t>
      </w:r>
    </w:p>
    <w:p w14:paraId="476BBEF7">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投标人具有良好的商业信誉，未被列入过经营异常名录和未曾列入严重违法失信企业名单，未曾有过行政处罚及环境违法； 如不如实告知, 一经查实一票否决。在“国家企业信用信息公示系统”、“中国执行信息公开网”、“信用中国”、“天眼查”“裁判文书网”等信息平台中，无行政处罚、失信记录及未被列入过经营异常名录等信息；无招标违规、谎报年度报告信息、提供虚假资质资料等行为或其他行政处罚记录；</w:t>
      </w:r>
    </w:p>
    <w:p w14:paraId="138152B2">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近三年内的经营活动中经营业绩良好、无招标违规、谎报年度报告信息、提供虚假资质资料等行为或其他行政处罚记录，没有违法违纪行为；</w:t>
      </w:r>
    </w:p>
    <w:p w14:paraId="7FB2FD6E">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投标人没有被列入招标人《黑名单》（《黑名单》指投标人与招标人在以往或正在进行的合作中，存在招标人认为的违反合同约定或违反法律法规等的失信行为）的；</w:t>
      </w:r>
    </w:p>
    <w:p w14:paraId="53A2A83B">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投标方的直接或间接股东、法定代表人、董事、监事、高管非重汽员工及其亲属。</w:t>
      </w:r>
    </w:p>
    <w:p w14:paraId="6654922C">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法律法规对合格投标方的其他要求、规定。</w:t>
      </w:r>
    </w:p>
    <w:p w14:paraId="414DE0D2">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不接受联合体投标。</w:t>
      </w:r>
    </w:p>
    <w:p w14:paraId="31CA8C38">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FF44D4D">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23</w:t>
      </w:r>
      <w:bookmarkStart w:id="31" w:name="_GoBack"/>
      <w:bookmarkEnd w:id="31"/>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w:t>
      </w:r>
    </w:p>
    <w:p w14:paraId="44BC705F">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投标报名</w:t>
      </w:r>
    </w:p>
    <w:p w14:paraId="22D0959D">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12</w:t>
      </w:r>
      <w:r>
        <w:rPr>
          <w:rFonts w:hint="eastAsia" w:eastAsia="宋体" w:cs="宋体"/>
          <w:highlight w:val="none"/>
          <w:u w:val="single"/>
        </w:rPr>
        <w:t>月</w:t>
      </w:r>
      <w:r>
        <w:rPr>
          <w:rFonts w:hint="eastAsia" w:cs="宋体"/>
          <w:highlight w:val="none"/>
          <w:u w:val="single"/>
          <w:lang w:val="en-US" w:eastAsia="zh-CN"/>
        </w:rPr>
        <w:t>29</w:t>
      </w:r>
      <w:r>
        <w:rPr>
          <w:rFonts w:hint="eastAsia" w:eastAsia="宋体" w:cs="宋体"/>
          <w:highlight w:val="none"/>
          <w:u w:val="single"/>
        </w:rPr>
        <w:t>日</w:t>
      </w:r>
      <w:r>
        <w:rPr>
          <w:rFonts w:hint="eastAsia" w:cs="宋体"/>
          <w:highlight w:val="none"/>
          <w:u w:val="single"/>
          <w:lang w:val="en-US" w:eastAsia="zh-CN"/>
        </w:rPr>
        <w:t>17</w:t>
      </w:r>
      <w:r>
        <w:rPr>
          <w:rFonts w:hint="eastAsia"/>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60D62968">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cs="Times New Roman"/>
          <w:highlight w:val="none"/>
          <w:lang w:val="en-US" w:eastAsia="zh-CN"/>
        </w:rPr>
      </w:pPr>
      <w:r>
        <w:rPr>
          <w:rFonts w:hint="eastAsia" w:cs="宋体"/>
          <w:sz w:val="21"/>
          <w:szCs w:val="21"/>
          <w:highlight w:val="none"/>
          <w:lang w:val="en-US" w:eastAsia="zh-CN"/>
        </w:rPr>
        <w:t>报名方式：</w:t>
      </w:r>
      <w:r>
        <w:rPr>
          <w:rFonts w:hint="eastAsia" w:eastAsia="宋体" w:cs="宋体"/>
          <w:sz w:val="21"/>
          <w:szCs w:val="21"/>
          <w:highlight w:val="none"/>
          <w:lang w:val="en-US" w:eastAsia="zh-CN"/>
        </w:rPr>
        <w:t>拟</w:t>
      </w:r>
      <w:r>
        <w:rPr>
          <w:rFonts w:hint="eastAsia" w:cs="Times New Roman"/>
          <w:highlight w:val="none"/>
          <w:lang w:val="en-US" w:eastAsia="zh-CN"/>
        </w:rPr>
        <w:t>投标</w:t>
      </w:r>
      <w:r>
        <w:rPr>
          <w:rFonts w:hint="eastAsia" w:eastAsia="宋体" w:cs="宋体"/>
          <w:sz w:val="21"/>
          <w:szCs w:val="21"/>
          <w:highlight w:val="none"/>
          <w:lang w:val="en-US" w:eastAsia="zh-CN"/>
        </w:rPr>
        <w:t>人根据招标人在中国重汽官网公开媒体上发布的招标信息，在</w:t>
      </w:r>
      <w:r>
        <w:rPr>
          <w:rFonts w:hint="eastAsia" w:eastAsia="宋体" w:cs="宋体"/>
          <w:b/>
          <w:bCs/>
          <w:sz w:val="21"/>
          <w:szCs w:val="21"/>
          <w:highlight w:val="none"/>
          <w:lang w:val="en-US" w:eastAsia="zh-CN"/>
        </w:rPr>
        <w:t>“中国重汽e采通”</w:t>
      </w:r>
      <w:r>
        <w:rPr>
          <w:rFonts w:hint="eastAsia" w:eastAsia="宋体" w:cs="宋体"/>
          <w:sz w:val="21"/>
          <w:szCs w:val="21"/>
          <w:highlight w:val="none"/>
          <w:lang w:val="en-US" w:eastAsia="zh-CN"/>
        </w:rPr>
        <w:t>平台报名。具体流程如下：</w:t>
      </w:r>
    </w:p>
    <w:p w14:paraId="3491A152">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420" w:leftChars="200" w:firstLine="420" w:firstLineChars="200"/>
        <w:jc w:val="both"/>
        <w:textAlignment w:val="auto"/>
        <w:outlineLvl w:val="9"/>
        <w:rPr>
          <w:rFonts w:hint="eastAsia" w:cs="Times New Roman"/>
          <w:highlight w:val="none"/>
          <w:lang w:val="en-US" w:eastAsia="zh-CN"/>
        </w:rPr>
      </w:pPr>
      <w:r>
        <w:rPr>
          <w:rFonts w:hint="eastAsia" w:cs="宋体"/>
          <w:sz w:val="21"/>
          <w:szCs w:val="21"/>
          <w:highlight w:val="none"/>
          <w:lang w:val="en-US" w:eastAsia="zh-CN"/>
        </w:rPr>
        <w:t>①</w:t>
      </w:r>
      <w:r>
        <w:rPr>
          <w:rFonts w:hint="eastAsia" w:eastAsia="宋体" w:cs="宋体"/>
          <w:sz w:val="21"/>
          <w:szCs w:val="21"/>
          <w:highlight w:val="none"/>
          <w:lang w:val="en-US" w:eastAsia="zh-CN"/>
        </w:rPr>
        <w:t>系统注册与信息维护</w:t>
      </w:r>
    </w:p>
    <w:p w14:paraId="71773056">
      <w:pPr>
        <w:pStyle w:val="76"/>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420" w:leftChars="200" w:firstLine="422" w:firstLineChars="200"/>
        <w:jc w:val="both"/>
        <w:textAlignment w:val="auto"/>
        <w:rPr>
          <w:rFonts w:hint="eastAsia" w:cs="Times New Roman"/>
          <w:highlight w:val="none"/>
          <w:lang w:val="en-US" w:eastAsia="zh-CN"/>
        </w:rPr>
      </w:pPr>
      <w:r>
        <w:rPr>
          <w:rFonts w:hint="eastAsia" w:cs="Times New Roman"/>
          <w:b/>
          <w:bCs/>
          <w:highlight w:val="none"/>
          <w:lang w:val="en-US" w:eastAsia="zh-CN"/>
        </w:rPr>
        <w:t>首次注册供应商：</w:t>
      </w:r>
      <w:r>
        <w:rPr>
          <w:rFonts w:hint="eastAsia" w:cs="Times New Roman"/>
          <w:highlight w:val="none"/>
          <w:lang w:val="en-US" w:eastAsia="zh-CN"/>
        </w:rPr>
        <w:t>请根据《SRM非生产供应商注册手册》（附件9）完成平台账号注册。</w:t>
      </w:r>
    </w:p>
    <w:p w14:paraId="1FF88592">
      <w:pPr>
        <w:pStyle w:val="76"/>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420" w:leftChars="200" w:firstLine="422" w:firstLineChars="200"/>
        <w:jc w:val="both"/>
        <w:textAlignment w:val="auto"/>
        <w:rPr>
          <w:rFonts w:hint="eastAsia" w:cs="Times New Roman"/>
          <w:highlight w:val="none"/>
          <w:lang w:val="en-US" w:eastAsia="zh-CN"/>
        </w:rPr>
      </w:pPr>
      <w:r>
        <w:rPr>
          <w:rFonts w:hint="eastAsia" w:cs="Times New Roman"/>
          <w:b/>
          <w:bCs/>
          <w:highlight w:val="none"/>
          <w:lang w:val="en-US" w:eastAsia="zh-CN"/>
        </w:rPr>
        <w:t>已注册供应商：</w:t>
      </w:r>
      <w:r>
        <w:rPr>
          <w:rFonts w:hint="eastAsia" w:cs="Times New Roman"/>
          <w:highlight w:val="none"/>
          <w:lang w:val="en-US" w:eastAsia="zh-CN"/>
        </w:rPr>
        <w:t>请登录系统核对系统中</w:t>
      </w:r>
      <w:r>
        <w:rPr>
          <w:rFonts w:hint="eastAsia" w:cs="Times New Roman"/>
          <w:b/>
          <w:bCs/>
          <w:highlight w:val="none"/>
          <w:lang w:val="en-US" w:eastAsia="zh-CN"/>
        </w:rPr>
        <w:t>2022-2024年度财务数据</w:t>
      </w:r>
      <w:r>
        <w:rPr>
          <w:rFonts w:hint="eastAsia" w:cs="Times New Roman"/>
          <w:highlight w:val="none"/>
          <w:lang w:val="en-US" w:eastAsia="zh-CN"/>
        </w:rPr>
        <w:t>。</w:t>
      </w:r>
      <w:r>
        <w:rPr>
          <w:rFonts w:hint="default" w:cs="Times New Roman"/>
          <w:highlight w:val="none"/>
          <w:lang w:val="en-US" w:eastAsia="zh-CN"/>
        </w:rPr>
        <w:t>如尚未填写或信息不全，请参照《SRM非生产供应商注册手册》（附件</w:t>
      </w:r>
      <w:r>
        <w:rPr>
          <w:rFonts w:hint="eastAsia" w:cs="Times New Roman"/>
          <w:highlight w:val="none"/>
          <w:lang w:val="en-US" w:eastAsia="zh-CN"/>
        </w:rPr>
        <w:t>9</w:t>
      </w:r>
      <w:r>
        <w:rPr>
          <w:rFonts w:hint="default" w:cs="Times New Roman"/>
          <w:highlight w:val="none"/>
          <w:lang w:val="en-US" w:eastAsia="zh-CN"/>
        </w:rPr>
        <w:t>）及时进行补充与更新，确保信息真实、完整。</w:t>
      </w:r>
    </w:p>
    <w:p w14:paraId="515DD3BC">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420" w:leftChars="200" w:firstLine="420" w:firstLineChars="200"/>
        <w:jc w:val="both"/>
        <w:textAlignment w:val="auto"/>
        <w:outlineLvl w:val="9"/>
        <w:rPr>
          <w:rFonts w:hint="eastAsia" w:cs="Times New Roman"/>
          <w:highlight w:val="none"/>
          <w:lang w:val="en-US" w:eastAsia="zh-CN"/>
        </w:rPr>
      </w:pPr>
      <w:r>
        <w:rPr>
          <w:rFonts w:hint="eastAsia" w:cs="Times New Roman"/>
          <w:highlight w:val="none"/>
          <w:lang w:val="en-US" w:eastAsia="zh-CN"/>
        </w:rPr>
        <w:t>②应标流程</w:t>
      </w:r>
    </w:p>
    <w:p w14:paraId="7A0EECAB">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420" w:firstLineChars="200"/>
        <w:jc w:val="both"/>
        <w:textAlignment w:val="auto"/>
        <w:rPr>
          <w:rFonts w:hint="eastAsia" w:cs="Times New Roman"/>
          <w:highlight w:val="none"/>
          <w:lang w:val="en-US" w:eastAsia="zh-CN"/>
        </w:rPr>
      </w:pPr>
      <w:r>
        <w:rPr>
          <w:rFonts w:hint="eastAsia" w:cs="Times New Roman"/>
          <w:highlight w:val="none"/>
          <w:lang w:val="en-US" w:eastAsia="zh-CN"/>
        </w:rPr>
        <w:t>注册及财务数据维护完成后，参照《SRM系统供应商用户手册》（附件10）登录平台，进入“供应商应标”模块，选择对应项目点击“应标”，并按照</w:t>
      </w:r>
      <w:r>
        <w:rPr>
          <w:rFonts w:hint="eastAsia" w:cs="Times New Roman"/>
          <w:b/>
          <w:bCs/>
          <w:highlight w:val="none"/>
          <w:lang w:val="en-US" w:eastAsia="zh-CN"/>
        </w:rPr>
        <w:t>“应标文件的编制”</w:t>
      </w:r>
      <w:r>
        <w:rPr>
          <w:rFonts w:hint="eastAsia" w:cs="Times New Roman"/>
          <w:highlight w:val="none"/>
          <w:lang w:val="en-US" w:eastAsia="zh-CN"/>
        </w:rPr>
        <w:t>要求准备资料并上传。资质审查通过后，视为报名成功。</w:t>
      </w:r>
    </w:p>
    <w:p w14:paraId="6C03514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420" w:firstLineChars="200"/>
        <w:jc w:val="both"/>
        <w:textAlignment w:val="auto"/>
        <w:rPr>
          <w:rFonts w:hint="eastAsia" w:cs="Times New Roman"/>
          <w:b/>
          <w:bCs/>
          <w:highlight w:val="none"/>
          <w:lang w:val="en-US" w:eastAsia="zh-CN"/>
        </w:rPr>
      </w:pPr>
      <w:r>
        <w:rPr>
          <w:rFonts w:hint="eastAsia" w:cs="Times New Roman"/>
          <w:highlight w:val="none"/>
          <w:lang w:val="en-US" w:eastAsia="zh-CN"/>
        </w:rPr>
        <w:t>如资质文件被退回，请按审核意见修改后重新上传。请注意：</w:t>
      </w:r>
      <w:r>
        <w:rPr>
          <w:rFonts w:hint="eastAsia" w:cs="Times New Roman"/>
          <w:b/>
          <w:bCs/>
          <w:highlight w:val="none"/>
          <w:lang w:val="en-US" w:eastAsia="zh-CN"/>
        </w:rPr>
        <w:t>应标截止时间后将无法再次上传或修改应标文件。</w:t>
      </w:r>
    </w:p>
    <w:p w14:paraId="447D8BC7">
      <w:pPr>
        <w:pStyle w:val="76"/>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exact"/>
        <w:ind w:left="0" w:leftChars="0" w:firstLine="422" w:firstLineChars="200"/>
        <w:jc w:val="both"/>
        <w:textAlignment w:val="auto"/>
        <w:rPr>
          <w:rFonts w:hint="eastAsia" w:eastAsia="宋体" w:cs="宋体"/>
          <w:b/>
          <w:bCs/>
          <w:highlight w:val="none"/>
        </w:rPr>
      </w:pPr>
      <w:r>
        <w:rPr>
          <w:rFonts w:hint="eastAsia" w:eastAsia="宋体" w:cs="宋体"/>
          <w:b/>
          <w:bCs/>
          <w:highlight w:val="none"/>
        </w:rPr>
        <w:t>注：请务必在应标截止时间前完成注册</w:t>
      </w:r>
      <w:r>
        <w:rPr>
          <w:rFonts w:hint="eastAsia" w:cs="宋体"/>
          <w:b/>
          <w:bCs/>
          <w:highlight w:val="none"/>
          <w:lang w:eastAsia="zh-CN"/>
        </w:rPr>
        <w:t>、</w:t>
      </w:r>
      <w:r>
        <w:rPr>
          <w:rFonts w:hint="eastAsia" w:cs="宋体"/>
          <w:b/>
          <w:bCs/>
          <w:highlight w:val="none"/>
          <w:lang w:val="en-US" w:eastAsia="zh-CN"/>
        </w:rPr>
        <w:t>财务数据变更</w:t>
      </w:r>
      <w:r>
        <w:rPr>
          <w:rFonts w:hint="eastAsia" w:eastAsia="宋体" w:cs="宋体"/>
          <w:b/>
          <w:bCs/>
          <w:highlight w:val="none"/>
        </w:rPr>
        <w:t>及应标操作，注册审核需2-4日，</w:t>
      </w:r>
      <w:r>
        <w:rPr>
          <w:rFonts w:hint="eastAsia" w:cs="宋体"/>
          <w:b/>
          <w:bCs/>
          <w:highlight w:val="none"/>
          <w:lang w:val="en-US" w:eastAsia="zh-CN"/>
        </w:rPr>
        <w:t>财务数据变更审核需1-2日</w:t>
      </w:r>
      <w:r>
        <w:rPr>
          <w:rFonts w:hint="eastAsia" w:eastAsia="宋体" w:cs="宋体"/>
          <w:b/>
          <w:bCs/>
          <w:highlight w:val="none"/>
        </w:rPr>
        <w:t>，应标截止时间精确到秒，逾期将无法应标。请自行掌握时间，避免无法应标。</w:t>
      </w:r>
    </w:p>
    <w:p w14:paraId="32A88EBF">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应标文件的编制</w:t>
      </w:r>
    </w:p>
    <w:p w14:paraId="293BD4DF">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拟投标人须准备以下材料的盖章电子扫描件，并在应标时作为三个独立</w:t>
      </w:r>
      <w:r>
        <w:rPr>
          <w:rFonts w:hint="eastAsia" w:hAnsi="Courier New" w:cs="Times New Roman"/>
          <w:highlight w:val="none"/>
          <w:lang w:val="en-US" w:eastAsia="zh-CN"/>
        </w:rPr>
        <w:t>的</w:t>
      </w:r>
      <w:r>
        <w:rPr>
          <w:rFonts w:hint="eastAsia" w:ascii="宋体" w:hAnsi="Courier New" w:eastAsia="宋体" w:cs="Times New Roman"/>
          <w:highlight w:val="none"/>
          <w:lang w:val="en-US" w:eastAsia="zh-CN"/>
        </w:rPr>
        <w:t>PDF格式文件上传至“中国重汽e采通”平台，文件均以“公司简称+文件名称”格式命名：</w:t>
      </w:r>
    </w:p>
    <w:p w14:paraId="3B8EDB0C">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① </w:t>
      </w:r>
      <w:r>
        <w:rPr>
          <w:rFonts w:hint="eastAsia" w:ascii="宋体" w:hAnsi="Courier New" w:eastAsia="宋体" w:cs="Times New Roman"/>
          <w:highlight w:val="none"/>
          <w:lang w:val="en-US" w:eastAsia="zh-CN"/>
        </w:rPr>
        <w:t>供方资质：</w:t>
      </w:r>
      <w:r>
        <w:rPr>
          <w:rFonts w:hint="eastAsia" w:hAnsi="Courier New" w:cs="Times New Roman"/>
          <w:highlight w:val="none"/>
          <w:lang w:val="en-US" w:eastAsia="zh-CN"/>
        </w:rPr>
        <w:t>按照</w:t>
      </w:r>
      <w:r>
        <w:rPr>
          <w:rFonts w:hint="eastAsia" w:cs="Times New Roman"/>
          <w:b/>
          <w:bCs/>
          <w:highlight w:val="none"/>
          <w:lang w:val="en-US" w:eastAsia="zh-CN"/>
        </w:rPr>
        <w:t>第一章“四、投标文件编制”资质文件</w:t>
      </w:r>
      <w:r>
        <w:rPr>
          <w:rFonts w:hint="eastAsia" w:eastAsia="宋体" w:cs="Times New Roman"/>
          <w:b/>
          <w:bCs/>
          <w:highlight w:val="none"/>
        </w:rPr>
        <w:t>中的</w:t>
      </w:r>
      <w:r>
        <w:rPr>
          <w:rFonts w:hint="eastAsia" w:cs="Times New Roman"/>
          <w:b/>
          <w:bCs/>
          <w:highlight w:val="none"/>
          <w:lang w:val="en-US" w:eastAsia="zh-CN"/>
        </w:rPr>
        <w:t>1.1.1</w:t>
      </w:r>
      <w:r>
        <w:rPr>
          <w:rFonts w:eastAsia="宋体" w:cs="Times New Roman"/>
          <w:b/>
          <w:bCs/>
          <w:highlight w:val="none"/>
        </w:rPr>
        <w:t>-</w:t>
      </w:r>
      <w:r>
        <w:rPr>
          <w:rFonts w:hint="eastAsia" w:cs="Times New Roman"/>
          <w:b/>
          <w:bCs/>
          <w:highlight w:val="none"/>
          <w:lang w:val="en-US" w:eastAsia="zh-CN"/>
        </w:rPr>
        <w:t>1.1.9</w:t>
      </w:r>
      <w:r>
        <w:rPr>
          <w:rFonts w:hint="eastAsia" w:eastAsia="宋体" w:cs="Times New Roman"/>
          <w:b/>
          <w:bCs/>
          <w:highlight w:val="none"/>
        </w:rPr>
        <w:t>准备</w:t>
      </w:r>
      <w:r>
        <w:rPr>
          <w:rFonts w:hint="eastAsia" w:ascii="宋体" w:hAnsi="Courier New" w:eastAsia="宋体" w:cs="Times New Roman"/>
          <w:b/>
          <w:bCs/>
          <w:highlight w:val="none"/>
          <w:lang w:val="en-US" w:eastAsia="zh-CN"/>
        </w:rPr>
        <w:t>资料</w:t>
      </w:r>
      <w:r>
        <w:rPr>
          <w:rFonts w:hint="eastAsia" w:ascii="宋体" w:hAnsi="Courier New" w:eastAsia="宋体" w:cs="Times New Roman"/>
          <w:highlight w:val="none"/>
          <w:lang w:val="en-US" w:eastAsia="zh-CN"/>
        </w:rPr>
        <w:t>，须附目录，并在首页清晰列出公司名称、联系人、电话及邮箱</w:t>
      </w:r>
      <w:r>
        <w:rPr>
          <w:rFonts w:hint="default" w:ascii="宋体" w:hAnsi="Courier New" w:eastAsia="宋体" w:cs="Times New Roman"/>
          <w:highlight w:val="none"/>
          <w:lang w:val="en-US" w:eastAsia="zh-CN"/>
        </w:rPr>
        <w:t>；</w:t>
      </w:r>
    </w:p>
    <w:p w14:paraId="4DF9AC4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② </w:t>
      </w:r>
      <w:r>
        <w:rPr>
          <w:rFonts w:hint="eastAsia" w:ascii="宋体" w:hAnsi="Courier New" w:eastAsia="宋体" w:cs="Times New Roman"/>
          <w:highlight w:val="none"/>
          <w:lang w:val="en-US" w:eastAsia="zh-CN"/>
        </w:rPr>
        <w:t>企业简介；</w:t>
      </w:r>
    </w:p>
    <w:p w14:paraId="43C184A9">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eastAsia="宋体" w:cs="宋体"/>
          <w:b/>
          <w:bCs/>
          <w:highlight w:val="none"/>
          <w:lang w:val="en-US" w:eastAsia="zh-CN"/>
        </w:rPr>
      </w:pPr>
      <w:r>
        <w:rPr>
          <w:rFonts w:hint="eastAsia" w:hAnsi="Courier New" w:cs="Times New Roman"/>
          <w:highlight w:val="none"/>
          <w:lang w:val="en-US" w:eastAsia="zh-CN"/>
        </w:rPr>
        <w:t xml:space="preserve">③ </w:t>
      </w:r>
      <w:r>
        <w:rPr>
          <w:rFonts w:hint="eastAsia" w:ascii="宋体" w:hAnsi="Courier New" w:eastAsia="宋体" w:cs="Times New Roman"/>
          <w:highlight w:val="none"/>
          <w:lang w:val="en-US" w:eastAsia="zh-CN"/>
        </w:rPr>
        <w:t>项目业绩</w:t>
      </w:r>
      <w:r>
        <w:rPr>
          <w:rFonts w:hint="eastAsia" w:hAnsi="Courier New" w:cs="Times New Roman"/>
          <w:highlight w:val="none"/>
          <w:lang w:val="en-US" w:eastAsia="zh-CN"/>
        </w:rPr>
        <w:t>：</w:t>
      </w:r>
      <w:r>
        <w:rPr>
          <w:rFonts w:hint="eastAsia" w:hAnsi="Courier New" w:cs="Times New Roman"/>
          <w:b/>
          <w:bCs/>
          <w:highlight w:val="none"/>
          <w:lang w:val="en-US" w:eastAsia="zh-CN"/>
        </w:rPr>
        <w:t>按照</w:t>
      </w:r>
      <w:r>
        <w:rPr>
          <w:rFonts w:hint="eastAsia" w:cs="Times New Roman"/>
          <w:b/>
          <w:bCs/>
          <w:highlight w:val="none"/>
          <w:lang w:val="en-US" w:eastAsia="zh-CN"/>
        </w:rPr>
        <w:t>第一章“四、投标文件编制”资质文件</w:t>
      </w:r>
      <w:r>
        <w:rPr>
          <w:rFonts w:hint="eastAsia" w:eastAsia="宋体" w:cs="Times New Roman"/>
          <w:b/>
          <w:bCs/>
          <w:highlight w:val="none"/>
        </w:rPr>
        <w:t>中的</w:t>
      </w:r>
      <w:r>
        <w:rPr>
          <w:rFonts w:hint="eastAsia" w:cs="Times New Roman"/>
          <w:b/>
          <w:bCs/>
          <w:highlight w:val="none"/>
          <w:lang w:val="en-US" w:eastAsia="zh-CN"/>
        </w:rPr>
        <w:t>1.1.10、1.1.11</w:t>
      </w:r>
      <w:r>
        <w:rPr>
          <w:rFonts w:hint="eastAsia" w:eastAsia="宋体" w:cs="Times New Roman"/>
          <w:b/>
          <w:bCs/>
          <w:highlight w:val="none"/>
        </w:rPr>
        <w:t>准备</w:t>
      </w:r>
      <w:r>
        <w:rPr>
          <w:rFonts w:hint="eastAsia" w:eastAsia="宋体" w:cs="Times New Roman"/>
          <w:b/>
          <w:bCs/>
        </w:rPr>
        <w:t>资料</w:t>
      </w:r>
      <w:r>
        <w:rPr>
          <w:rFonts w:hint="eastAsia" w:ascii="宋体" w:hAnsi="Courier New" w:eastAsia="宋体" w:cs="Times New Roman"/>
          <w:highlight w:val="none"/>
          <w:lang w:val="en-US" w:eastAsia="zh-CN"/>
        </w:rPr>
        <w:t>。</w:t>
      </w:r>
    </w:p>
    <w:p w14:paraId="2C8A7A75">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2DC106E1">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疑问提交</w:t>
      </w:r>
    </w:p>
    <w:p w14:paraId="6F38B2E2">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26</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w:t>
      </w:r>
      <w:r>
        <w:rPr>
          <w:rFonts w:hint="eastAsia" w:ascii="宋体" w:hAnsi="Courier New" w:eastAsia="宋体" w:cs="Times New Roman"/>
          <w:highlight w:val="none"/>
          <w:u w:val="single"/>
          <w:lang w:val="en-US" w:eastAsia="zh-CN"/>
        </w:rPr>
        <w:t>日</w:t>
      </w:r>
      <w:r>
        <w:rPr>
          <w:rFonts w:hint="default" w:ascii="宋体" w:hAnsi="Courier New" w:eastAsia="宋体" w:cs="Times New Roman"/>
          <w:highlight w:val="none"/>
          <w:u w:val="single"/>
          <w:lang w:val="en-US" w:eastAsia="zh-CN"/>
        </w:rPr>
        <w:t>12:00</w:t>
      </w:r>
      <w:r>
        <w:rPr>
          <w:rFonts w:hint="eastAsia"/>
          <w:highlight w:val="none"/>
          <w:u w:val="single"/>
          <w:lang w:val="en-US" w:eastAsia="zh-CN"/>
        </w:rPr>
        <w:t>:00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7860A805">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26</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1月1日</w:t>
      </w:r>
      <w:r>
        <w:rPr>
          <w:rFonts w:hint="default" w:ascii="宋体" w:hAnsi="Courier New" w:eastAsia="宋体" w:cs="Times New Roman"/>
          <w:highlight w:val="none"/>
          <w:u w:val="single"/>
          <w:lang w:val="en-US" w:eastAsia="zh-CN"/>
        </w:rPr>
        <w:t>17:00</w:t>
      </w:r>
      <w:r>
        <w:rPr>
          <w:rFonts w:hint="eastAsia" w:ascii="宋体" w:hAnsi="Courier New" w:eastAsia="宋体" w:cs="Times New Roman"/>
          <w:highlight w:val="none"/>
          <w:u w:val="single"/>
          <w:lang w:val="en-US" w:eastAsia="zh-CN"/>
        </w:rPr>
        <w:t>前</w:t>
      </w:r>
      <w:r>
        <w:rPr>
          <w:rFonts w:hint="eastAsia" w:cs="Times New Roman"/>
          <w:highlight w:val="none"/>
          <w:u w:val="single"/>
          <w:lang w:val="en-US" w:eastAsia="zh-CN"/>
        </w:rPr>
        <w:t>；</w:t>
      </w:r>
    </w:p>
    <w:p w14:paraId="474343AB">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0C785EC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2"/>
        <w:keepNext w:val="0"/>
        <w:keepLines w:val="0"/>
        <w:pageBreakBefore w:val="0"/>
        <w:widowControl w:val="0"/>
        <w:numPr>
          <w:ilvl w:val="0"/>
          <w:numId w:val="17"/>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投标文件的组成</w:t>
      </w:r>
    </w:p>
    <w:p w14:paraId="5EA04826">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cs="Times New Roman"/>
          <w:lang w:val="en-US" w:eastAsia="zh-CN"/>
        </w:rPr>
        <w:t>本项目投标文件为</w:t>
      </w:r>
      <w:r>
        <w:rPr>
          <w:rFonts w:hint="eastAsia" w:ascii="Times New Roman" w:hAnsi="Times New Roman" w:cs="Times New Roman"/>
          <w:color w:val="auto"/>
          <w:lang w:val="en-US" w:eastAsia="zh-CN"/>
        </w:rPr>
        <w:t>盖章扫描</w:t>
      </w:r>
      <w:r>
        <w:rPr>
          <w:rFonts w:hint="eastAsia" w:cs="Times New Roman"/>
          <w:lang w:val="en-US" w:eastAsia="zh-CN"/>
        </w:rPr>
        <w:t>电子版投标文件。</w:t>
      </w:r>
      <w:r>
        <w:rPr>
          <w:rFonts w:hint="eastAsia"/>
          <w:lang w:val="en-US" w:eastAsia="zh-CN"/>
        </w:rPr>
        <w:t>投标人编写的投标文件由《投标文件（资质标）》</w:t>
      </w:r>
      <w:r>
        <w:rPr>
          <w:rFonts w:hint="eastAsia"/>
          <w:highlight w:val="none"/>
          <w:lang w:val="en-US" w:eastAsia="zh-CN"/>
        </w:rPr>
        <w:t>和《投标文件（商务标）》文件组成，共计2</w:t>
      </w:r>
      <w:r>
        <w:rPr>
          <w:rFonts w:hint="eastAsia"/>
          <w:lang w:val="en-US" w:eastAsia="zh-CN"/>
        </w:rPr>
        <w:t>个文件。所有文件应按“公司简称+文件名称”格式命名，并编制目录。</w:t>
      </w:r>
    </w:p>
    <w:p w14:paraId="5D4F8B0C">
      <w:pPr>
        <w:pStyle w:val="76"/>
        <w:keepNext w:val="0"/>
        <w:keepLines w:val="0"/>
        <w:pageBreakBefore w:val="0"/>
        <w:widowControl w:val="0"/>
        <w:numPr>
          <w:ilvl w:val="1"/>
          <w:numId w:val="18"/>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Times New Roman" w:hAnsi="Times New Roman" w:cs="Times New Roman"/>
          <w:color w:val="auto"/>
        </w:rPr>
      </w:pPr>
      <w:r>
        <w:rPr>
          <w:rFonts w:hint="eastAsia" w:ascii="黑体" w:hAnsi="黑体" w:eastAsia="黑体" w:cs="黑体"/>
          <w:b w:val="0"/>
          <w:bCs/>
          <w:sz w:val="21"/>
          <w:szCs w:val="21"/>
          <w:highlight w:val="none"/>
        </w:rPr>
        <w:t>资质文件</w:t>
      </w:r>
      <w:r>
        <w:rPr>
          <w:rFonts w:hint="eastAsia" w:ascii="黑体" w:hAnsi="黑体" w:eastAsia="黑体" w:cs="黑体"/>
          <w:b w:val="0"/>
          <w:bCs/>
          <w:sz w:val="21"/>
          <w:szCs w:val="21"/>
          <w:highlight w:val="none"/>
          <w:lang w:val="en-US" w:eastAsia="zh-CN"/>
        </w:rPr>
        <w:t xml:space="preserve"> </w:t>
      </w:r>
    </w:p>
    <w:p w14:paraId="35EF7D00">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rPr>
      </w:pPr>
      <w:r>
        <w:rPr>
          <w:rFonts w:hint="eastAsia" w:ascii="Times New Roman" w:hAnsi="Times New Roman" w:cs="Times New Roman"/>
          <w:color w:val="auto"/>
        </w:rPr>
        <w:t>营业执照副本原件</w:t>
      </w:r>
      <w:r>
        <w:rPr>
          <w:rFonts w:hint="eastAsia" w:ascii="Times New Roman" w:hAnsi="Times New Roman" w:cs="Times New Roman"/>
          <w:color w:val="auto"/>
          <w:lang w:val="en-US" w:eastAsia="zh-CN"/>
        </w:rPr>
        <w:t>或复印件</w:t>
      </w:r>
      <w:r>
        <w:rPr>
          <w:rFonts w:hint="default" w:ascii="Times New Roman" w:hAnsi="Times New Roman" w:cs="Times New Roman"/>
          <w:color w:val="auto"/>
        </w:rPr>
        <w:t>（需加盖公章）</w:t>
      </w:r>
      <w:r>
        <w:rPr>
          <w:rFonts w:hint="eastAsia" w:ascii="Times New Roman" w:hAnsi="Times New Roman" w:cs="Times New Roman"/>
          <w:color w:val="auto"/>
        </w:rPr>
        <w:t>；</w:t>
      </w:r>
    </w:p>
    <w:p w14:paraId="6D74587B">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rPr>
      </w:pPr>
      <w:r>
        <w:rPr>
          <w:rFonts w:hint="default" w:ascii="Times New Roman" w:hAnsi="Times New Roman" w:cs="Times New Roman"/>
          <w:color w:val="auto"/>
        </w:rPr>
        <w:t>法定代表人授权书（</w:t>
      </w:r>
      <w:r>
        <w:rPr>
          <w:rFonts w:hint="default" w:ascii="Times New Roman" w:hAnsi="Times New Roman" w:cs="Times New Roman"/>
          <w:color w:val="auto"/>
          <w:highlight w:val="none"/>
        </w:rPr>
        <w:t>附件</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rPr>
        <w:t>）；法定代表人参加投标的，提供法人身份证明文件即可；被授权人参加投标的，需提供法定代表人授权委托书（含法人身份证和被授权人身份证正反面复印件）</w:t>
      </w:r>
      <w:r>
        <w:rPr>
          <w:rFonts w:hint="default" w:ascii="Times New Roman" w:hAnsi="Times New Roman" w:cs="Times New Roman"/>
          <w:color w:val="auto"/>
          <w:lang w:val="en-US" w:eastAsia="zh-CN"/>
        </w:rPr>
        <w:t>和</w:t>
      </w:r>
      <w:r>
        <w:rPr>
          <w:rFonts w:hint="default" w:ascii="Times New Roman" w:hAnsi="Times New Roman" w:cs="Times New Roman"/>
          <w:color w:val="auto"/>
        </w:rPr>
        <w:t>被授权人近</w:t>
      </w:r>
      <w:r>
        <w:rPr>
          <w:rFonts w:hint="default" w:ascii="Times New Roman" w:hAnsi="Times New Roman" w:cs="Times New Roman"/>
          <w:color w:val="auto"/>
          <w:lang w:val="en-US" w:eastAsia="zh-CN"/>
        </w:rPr>
        <w:t>6</w:t>
      </w:r>
      <w:r>
        <w:rPr>
          <w:rFonts w:hint="default" w:ascii="Times New Roman" w:hAnsi="Times New Roman" w:cs="Times New Roman"/>
          <w:color w:val="auto"/>
        </w:rPr>
        <w:t>个月</w:t>
      </w:r>
      <w:r>
        <w:rPr>
          <w:rFonts w:hint="default" w:ascii="Times New Roman" w:hAnsi="Times New Roman" w:cs="Times New Roman"/>
          <w:color w:val="auto"/>
          <w:lang w:val="en-US" w:eastAsia="zh-CN"/>
        </w:rPr>
        <w:t>及以上在授权单位的社保</w:t>
      </w:r>
      <w:r>
        <w:rPr>
          <w:rFonts w:hint="default" w:ascii="Times New Roman" w:hAnsi="Times New Roman" w:cs="Times New Roman"/>
          <w:color w:val="auto"/>
        </w:rPr>
        <w:t>缴纳证明</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需加盖公章</w:t>
      </w:r>
      <w:r>
        <w:rPr>
          <w:rFonts w:hint="eastAsia" w:ascii="Times New Roman" w:hAnsi="Times New Roman" w:cs="Times New Roman"/>
          <w:color w:val="auto"/>
          <w:lang w:eastAsia="zh-CN"/>
        </w:rPr>
        <w:t>）；</w:t>
      </w:r>
    </w:p>
    <w:p w14:paraId="1CEFCCB6">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rPr>
        <w:t>经会计师事务所审计且出具无保留意见的近三年的财务审计报告，并加盖公章，包括但不限于报告页、经审计的资产负债表、利润表、现金流量表及报表附注</w:t>
      </w:r>
      <w:r>
        <w:rPr>
          <w:rFonts w:hint="eastAsia" w:ascii="Times New Roman" w:hAnsi="Times New Roman" w:cs="Times New Roman"/>
          <w:color w:val="auto"/>
          <w:lang w:eastAsia="zh-CN"/>
        </w:rPr>
        <w:t>，且未显示异常</w:t>
      </w:r>
      <w:r>
        <w:rPr>
          <w:rFonts w:hint="eastAsia" w:ascii="Times New Roman" w:hAnsi="Times New Roman" w:cs="Times New Roman"/>
          <w:color w:val="auto"/>
        </w:rPr>
        <w:t>。如投标人公司没有经审计的财务报告，可提供加盖公章的近三年财务报表，包括但不限于资产负债表、利润表、现金流量表</w:t>
      </w:r>
      <w:r>
        <w:rPr>
          <w:rFonts w:hint="eastAsia" w:ascii="Times New Roman" w:hAnsi="Times New Roman" w:cs="Times New Roman"/>
          <w:color w:val="auto"/>
          <w:lang w:eastAsia="zh-CN"/>
        </w:rPr>
        <w:t>；</w:t>
      </w:r>
      <w:r>
        <w:rPr>
          <w:rFonts w:hint="eastAsia" w:ascii="Times New Roman" w:hAnsi="Times New Roman" w:cs="Times New Roman"/>
          <w:color w:val="auto"/>
        </w:rPr>
        <w:t>应提供中文版本的审计报告或财务报表</w:t>
      </w:r>
      <w:r>
        <w:rPr>
          <w:rFonts w:hint="eastAsia" w:ascii="宋体" w:hAnsi="宋体" w:eastAsia="宋体" w:cs="Times New Roman"/>
          <w:b w:val="0"/>
          <w:bCs/>
          <w:lang w:val="en-US" w:eastAsia="zh-CN"/>
        </w:rPr>
        <w:t>；</w:t>
      </w:r>
    </w:p>
    <w:p w14:paraId="7A60C7D7">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rPr>
      </w:pPr>
      <w:r>
        <w:rPr>
          <w:rFonts w:hint="eastAsia" w:ascii="Times New Roman" w:hAnsi="Times New Roman" w:cs="Times New Roman"/>
          <w:color w:val="auto"/>
          <w:lang w:val="en-US" w:eastAsia="zh-CN"/>
        </w:rPr>
        <w:t>企业最近半年完税证明、信用证明材料（征信报告）；</w:t>
      </w:r>
    </w:p>
    <w:p w14:paraId="119848A3">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年度纳税信用评价信息（可从电子税务局查询截图，需加盖公章）；</w:t>
      </w:r>
    </w:p>
    <w:p w14:paraId="4E46CB10">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rPr>
      </w:pPr>
      <w:r>
        <w:rPr>
          <w:rFonts w:hint="eastAsia" w:ascii="Times New Roman" w:hAnsi="Times New Roman" w:cs="Times New Roman"/>
          <w:color w:val="auto"/>
          <w:lang w:val="en-US" w:eastAsia="zh-CN"/>
        </w:rPr>
        <w:t>企业对外担保说明（写明贵单位对外有无对外担保和质押业务，需加盖公章）；</w:t>
      </w:r>
    </w:p>
    <w:p w14:paraId="7C89376D">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投标人在国家企业信用信息公示系统中无与本项目有关的行政处罚、经营异常和失信信息的声明（附投标当日系统内相关截图）</w:t>
      </w:r>
      <w:r>
        <w:rPr>
          <w:rFonts w:hint="eastAsia" w:ascii="Times New Roman" w:hAnsi="Times New Roman" w:cs="Times New Roman"/>
          <w:color w:val="auto"/>
          <w:lang w:val="en-US" w:eastAsia="zh-CN"/>
        </w:rPr>
        <w:t>；</w:t>
      </w:r>
    </w:p>
    <w:p w14:paraId="4402A5B1">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投标</w:t>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人</w:t>
      </w:r>
      <w:r>
        <w:rPr>
          <w:rFonts w:hint="eastAsia" w:ascii="仿宋" w:hAnsi="仿宋" w:eastAsia="仿宋"/>
          <w:bCs/>
          <w:sz w:val="24"/>
          <w:szCs w:val="24"/>
          <w:highlight w:val="none"/>
        </w:rPr>
        <w:t>具备制造招标物品或销售该类物品的资格，具备完善的售后服务体系，配备</w:t>
      </w:r>
      <w:r>
        <w:rPr>
          <w:rFonts w:hint="eastAsia" w:ascii="Times New Roman" w:hAnsi="Times New Roman" w:cs="Times New Roman"/>
          <w:color w:val="auto"/>
          <w:highlight w:val="none"/>
          <w:lang w:val="en-US" w:eastAsia="zh-CN"/>
        </w:rPr>
        <w:t>有专业维修人员的证明材料；</w:t>
      </w:r>
    </w:p>
    <w:p w14:paraId="1E42F048">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保密承诺函（附件</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，需盖章）</w:t>
      </w:r>
      <w:r>
        <w:rPr>
          <w:rFonts w:hint="eastAsia" w:ascii="Times New Roman" w:hAnsi="Times New Roman" w:cs="Times New Roman"/>
          <w:color w:val="auto"/>
          <w:highlight w:val="none"/>
          <w:lang w:val="en-US" w:eastAsia="zh-CN"/>
        </w:rPr>
        <w:t>；</w:t>
      </w:r>
    </w:p>
    <w:p w14:paraId="042FDB36">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本项目中的HVLP喷枪要求在汽车主机厂的使用案例不小于2个，且正在使用，每个案例使用的喷枪数不小于6把，投标人提交不限于技术协议、合同等的佐证材料；</w:t>
      </w:r>
    </w:p>
    <w:p w14:paraId="3D766582">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近三年内的经营活动中经营业绩良好、无招标违规、谎报年度报告信息、提供虚假资质资料等行为或其他行政处罚记录，没有违法违纪行为的声明；</w:t>
      </w:r>
    </w:p>
    <w:p w14:paraId="08F8AAFD">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投标保证金缴纳凭证，同时正文描述付款账号、户名、开户行名称、开户行行号、保证金金额。</w:t>
      </w:r>
    </w:p>
    <w:p w14:paraId="0FCAA68A">
      <w:pPr>
        <w:pStyle w:val="76"/>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422" w:firstLineChars="200"/>
        <w:textAlignment w:val="auto"/>
        <w:rPr>
          <w:b/>
          <w:bCs/>
          <w:color w:val="auto"/>
        </w:rPr>
      </w:pPr>
      <w:r>
        <w:rPr>
          <w:rFonts w:hint="eastAsia"/>
          <w:b/>
          <w:bCs/>
          <w:color w:val="auto"/>
        </w:rPr>
        <w:t>对于投标人资质审核不通过的，招标人有权拒绝其投标。</w:t>
      </w:r>
    </w:p>
    <w:p w14:paraId="1B6DBABE">
      <w:pPr>
        <w:pStyle w:val="76"/>
        <w:keepNext w:val="0"/>
        <w:keepLines w:val="0"/>
        <w:pageBreakBefore w:val="0"/>
        <w:widowControl w:val="0"/>
        <w:numPr>
          <w:ilvl w:val="1"/>
          <w:numId w:val="18"/>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商务标</w:t>
      </w:r>
    </w:p>
    <w:p w14:paraId="36BEA27F">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开标一览表（附件4）</w:t>
      </w:r>
      <w:r>
        <w:rPr>
          <w:rFonts w:hint="eastAsia" w:cs="Times New Roman"/>
          <w:highlight w:val="none"/>
        </w:rPr>
        <w:t>；</w:t>
      </w:r>
    </w:p>
    <w:p w14:paraId="0167F81C">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投标函（附件</w:t>
      </w:r>
      <w:r>
        <w:rPr>
          <w:rFonts w:hint="eastAsia" w:cs="Times New Roman"/>
          <w:highlight w:val="none"/>
          <w:lang w:val="en-US" w:eastAsia="zh-CN"/>
        </w:rPr>
        <w:t>5</w:t>
      </w:r>
      <w:r>
        <w:rPr>
          <w:rFonts w:hint="eastAsia" w:cs="Times New Roman"/>
          <w:highlight w:val="none"/>
        </w:rPr>
        <w:t>）；</w:t>
      </w:r>
    </w:p>
    <w:p w14:paraId="19B063BE">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技术规格偏离表（附件3）；</w:t>
      </w:r>
    </w:p>
    <w:p w14:paraId="4517D65A">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服务承诺函（附件6）</w:t>
      </w:r>
    </w:p>
    <w:p w14:paraId="290ED0C2">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商务条款偏离表（附件</w:t>
      </w:r>
      <w:r>
        <w:rPr>
          <w:rFonts w:hint="eastAsia" w:cs="Times New Roman"/>
          <w:highlight w:val="none"/>
          <w:lang w:val="en-US" w:eastAsia="zh-CN"/>
        </w:rPr>
        <w:t>7</w:t>
      </w:r>
      <w:r>
        <w:rPr>
          <w:rFonts w:hint="eastAsia" w:cs="Times New Roman"/>
          <w:highlight w:val="none"/>
        </w:rPr>
        <w:t>）；</w:t>
      </w:r>
    </w:p>
    <w:p w14:paraId="51A1A787">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cyan"/>
          <w:lang w:val="en-US" w:eastAsia="zh-CN"/>
        </w:rPr>
      </w:pPr>
      <w:r>
        <w:rPr>
          <w:rFonts w:hint="eastAsia" w:cs="Times New Roman"/>
          <w:highlight w:val="none"/>
        </w:rPr>
        <w:t>分项报价表（附件</w:t>
      </w:r>
      <w:r>
        <w:rPr>
          <w:rFonts w:hint="eastAsia" w:cs="Times New Roman"/>
          <w:highlight w:val="none"/>
          <w:lang w:val="en-US" w:eastAsia="zh-CN"/>
        </w:rPr>
        <w:t>8</w:t>
      </w:r>
      <w:r>
        <w:rPr>
          <w:rFonts w:hint="eastAsia" w:cs="Times New Roman"/>
          <w:highlight w:val="none"/>
        </w:rPr>
        <w:t>）；</w:t>
      </w:r>
    </w:p>
    <w:p w14:paraId="0C476EA3">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eastAsia" w:cs="Times New Roman"/>
          <w:highlight w:val="none"/>
        </w:rPr>
        <w:t>备配件目录价格及折扣报价表</w:t>
      </w:r>
      <w:r>
        <w:rPr>
          <w:rFonts w:hint="eastAsia" w:cs="Times New Roman"/>
          <w:highlight w:val="none"/>
          <w:lang w:eastAsia="zh-CN"/>
        </w:rPr>
        <w:t>；</w:t>
      </w:r>
    </w:p>
    <w:p w14:paraId="53DECED4">
      <w:pPr>
        <w:pStyle w:val="76"/>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b w:val="0"/>
          <w:bCs w:val="0"/>
          <w:highlight w:val="none"/>
          <w:lang w:val="en-US" w:eastAsia="zh-CN"/>
        </w:rPr>
      </w:pPr>
      <w:r>
        <w:rPr>
          <w:rFonts w:hint="eastAsia" w:cs="Times New Roman"/>
          <w:b w:val="0"/>
          <w:bCs w:val="0"/>
          <w:highlight w:val="none"/>
          <w:lang w:val="en-US" w:eastAsia="zh-CN"/>
        </w:rPr>
        <w:t>商务报价注意内容：</w:t>
      </w:r>
      <w:r>
        <w:rPr>
          <w:rFonts w:hint="eastAsia" w:cs="Times New Roman"/>
          <w:b w:val="0"/>
          <w:bCs w:val="0"/>
          <w:highlight w:val="none"/>
        </w:rPr>
        <w:t>最高投标限价（招标控制价）：人民币11.978万元（含税），超过投标限价无法投标。</w:t>
      </w:r>
    </w:p>
    <w:p w14:paraId="38EFDFCE">
      <w:pPr>
        <w:pStyle w:val="72"/>
        <w:keepNext w:val="0"/>
        <w:keepLines w:val="0"/>
        <w:pageBreakBefore w:val="0"/>
        <w:widowControl w:val="0"/>
        <w:numPr>
          <w:ilvl w:val="0"/>
          <w:numId w:val="17"/>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highlight w:val="none"/>
          <w:lang w:val="en-US" w:eastAsia="zh-CN"/>
        </w:rPr>
      </w:pPr>
      <w:r>
        <w:rPr>
          <w:rFonts w:hint="eastAsia" w:ascii="黑体" w:hAnsi="黑体" w:eastAsia="黑体" w:cs="黑体"/>
          <w:b w:val="0"/>
          <w:sz w:val="24"/>
          <w:szCs w:val="24"/>
          <w:highlight w:val="none"/>
          <w:lang w:val="en-US" w:eastAsia="zh-CN"/>
        </w:rPr>
        <w:t>投标文件的投递</w:t>
      </w:r>
    </w:p>
    <w:p w14:paraId="2AB224DF">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投标方式</w:t>
      </w:r>
    </w:p>
    <w:p w14:paraId="2079F01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Times New Roman" w:hAnsi="Times New Roman" w:cs="Times New Roman"/>
          <w:b/>
          <w:bCs/>
          <w:color w:val="auto"/>
          <w:lang w:val="en-US" w:eastAsia="zh-CN"/>
        </w:rPr>
      </w:pPr>
      <w:r>
        <w:rPr>
          <w:rFonts w:hint="eastAsia" w:ascii="Times New Roman" w:hAnsi="Times New Roman" w:cs="Times New Roman"/>
          <w:color w:val="auto"/>
          <w:lang w:val="en-US" w:eastAsia="zh-CN"/>
        </w:rPr>
        <w:t>在中国重汽e采通平台应标成功后，进入“供应商投标”环节，投递盖章扫描版电子标书（包含资质标书、商务标书）</w:t>
      </w:r>
      <w:r>
        <w:rPr>
          <w:rFonts w:hint="eastAsia" w:ascii="宋体" w:hAnsi="宋体" w:eastAsia="宋体" w:cs="宋体"/>
          <w:sz w:val="24"/>
          <w:szCs w:val="24"/>
        </w:rPr>
        <w:t>，</w:t>
      </w:r>
      <w:r>
        <w:rPr>
          <w:rFonts w:hint="eastAsia" w:ascii="Times New Roman" w:hAnsi="Times New Roman" w:cs="Times New Roman"/>
          <w:color w:val="auto"/>
          <w:lang w:val="en-US" w:eastAsia="zh-CN"/>
        </w:rPr>
        <w:t>用“公司名称+文件名称”命名。</w:t>
      </w:r>
      <w:r>
        <w:rPr>
          <w:rFonts w:hint="eastAsia" w:ascii="Times New Roman" w:hAnsi="Times New Roman" w:cs="Times New Roman"/>
          <w:b/>
          <w:bCs/>
          <w:color w:val="auto"/>
          <w:lang w:val="en-US" w:eastAsia="zh-CN"/>
        </w:rPr>
        <w:t>若逾期未在中国重汽e采通平台上传电子标书，即便递交了纸质版投标文件，一律视为无效投标。</w:t>
      </w:r>
    </w:p>
    <w:p w14:paraId="4AAA3F9B">
      <w:pPr>
        <w:pStyle w:val="76"/>
        <w:keepNext w:val="0"/>
        <w:keepLines w:val="0"/>
        <w:pageBreakBefore w:val="0"/>
        <w:widowControl w:val="0"/>
        <w:numPr>
          <w:ilvl w:val="1"/>
          <w:numId w:val="17"/>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lang w:val="en-US" w:eastAsia="zh-CN"/>
        </w:rPr>
      </w:pPr>
      <w:r>
        <w:rPr>
          <w:rFonts w:hint="eastAsia"/>
          <w:lang w:val="en-US" w:eastAsia="zh-CN"/>
        </w:rPr>
        <w:t>投标文件</w:t>
      </w:r>
      <w:r>
        <w:rPr>
          <w:rFonts w:hint="eastAsia" w:ascii="宋体" w:hAnsi="Courier New" w:eastAsia="宋体" w:cs="Times New Roman"/>
          <w:highlight w:val="none"/>
          <w:lang w:val="en-US" w:eastAsia="zh-CN"/>
        </w:rPr>
        <w:t>递交</w:t>
      </w:r>
      <w:r>
        <w:rPr>
          <w:rFonts w:hint="eastAsia"/>
          <w:lang w:val="en-US" w:eastAsia="zh-CN"/>
        </w:rPr>
        <w:t>截止时间：</w:t>
      </w:r>
      <w:r>
        <w:rPr>
          <w:rFonts w:hint="eastAsia"/>
          <w:u w:val="single"/>
          <w:lang w:val="en-US" w:eastAsia="zh-CN"/>
        </w:rPr>
        <w:t>2026年1</w:t>
      </w:r>
      <w:r>
        <w:rPr>
          <w:rFonts w:hint="eastAsia"/>
          <w:highlight w:val="none"/>
          <w:u w:val="single"/>
          <w:lang w:val="en-US" w:eastAsia="zh-CN"/>
        </w:rPr>
        <w:t>月5日</w:t>
      </w:r>
      <w:r>
        <w:rPr>
          <w:rFonts w:hint="eastAsia"/>
          <w:u w:val="single"/>
          <w:lang w:val="en-US" w:eastAsia="zh-CN"/>
        </w:rPr>
        <w:t>9:00:00</w:t>
      </w:r>
      <w:r>
        <w:rPr>
          <w:rFonts w:hint="default"/>
          <w:u w:val="single"/>
          <w:lang w:val="en-US" w:eastAsia="zh-CN"/>
        </w:rPr>
        <w:t>（</w:t>
      </w:r>
      <w:r>
        <w:rPr>
          <w:rFonts w:hint="default" w:ascii="宋体" w:hAnsi="Courier New" w:eastAsia="宋体" w:cs="Times New Roman"/>
          <w:highlight w:val="none"/>
          <w:u w:val="single"/>
          <w:lang w:val="en-US" w:eastAsia="zh-CN"/>
        </w:rPr>
        <w:t>北京时间）</w:t>
      </w:r>
    </w:p>
    <w:p w14:paraId="25974AA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keepNext w:val="0"/>
        <w:keepLines w:val="0"/>
        <w:pageBreakBefore w:val="0"/>
        <w:widowControl w:val="0"/>
        <w:numPr>
          <w:ilvl w:val="0"/>
          <w:numId w:val="2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u w:val="single"/>
          <w:lang w:val="en-US" w:eastAsia="zh-CN"/>
        </w:rPr>
      </w:pPr>
      <w:r>
        <w:rPr>
          <w:rFonts w:hint="eastAsia" w:ascii="黑体" w:hAnsi="黑体" w:eastAsia="黑体" w:cs="黑体"/>
          <w:b w:val="0"/>
          <w:bCs w:val="0"/>
          <w:sz w:val="24"/>
          <w:szCs w:val="24"/>
          <w:highlight w:val="none"/>
        </w:rPr>
        <w:t>投标保证金的缴纳</w:t>
      </w:r>
    </w:p>
    <w:p w14:paraId="021ADBC0">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7767E796">
      <w:pPr>
        <w:pStyle w:val="76"/>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25AC0430">
      <w:pPr>
        <w:pStyle w:val="76"/>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p w14:paraId="04CD311F">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highlight w:val="none"/>
          <w:lang w:val="en-US" w:eastAsia="zh-CN"/>
        </w:rPr>
      </w:pPr>
      <w:r>
        <w:rPr>
          <w:rFonts w:hint="eastAsia"/>
          <w:highlight w:val="none"/>
        </w:rPr>
        <w:t>投标保证金的金额：人民币</w:t>
      </w:r>
      <w:r>
        <w:rPr>
          <w:rFonts w:hint="eastAsia"/>
          <w:highlight w:val="none"/>
          <w:lang w:val="en-US" w:eastAsia="zh-CN"/>
        </w:rPr>
        <w:t>5000</w:t>
      </w:r>
      <w:r>
        <w:rPr>
          <w:rFonts w:hint="eastAsia"/>
          <w:highlight w:val="none"/>
        </w:rPr>
        <w:t>元</w:t>
      </w:r>
    </w:p>
    <w:p w14:paraId="509177D6">
      <w:pPr>
        <w:adjustRightInd w:val="0"/>
        <w:snapToGrid w:val="0"/>
        <w:spacing w:line="400" w:lineRule="exact"/>
        <w:ind w:firstLine="480" w:firstLineChars="200"/>
        <w:jc w:val="left"/>
        <w:rPr>
          <w:rFonts w:ascii="仿宋" w:hAnsi="仿宋" w:eastAsia="仿宋" w:cs="仿宋_GB2312"/>
          <w:bCs/>
          <w:sz w:val="24"/>
          <w:szCs w:val="24"/>
        </w:rPr>
      </w:pPr>
      <w:r>
        <w:rPr>
          <w:rFonts w:ascii="仿宋" w:hAnsi="仿宋" w:eastAsia="仿宋" w:cs="仿宋_GB2312"/>
          <w:bCs/>
          <w:sz w:val="24"/>
          <w:szCs w:val="24"/>
        </w:rPr>
        <w:t>单位名称：</w:t>
      </w:r>
      <w:r>
        <w:rPr>
          <w:rFonts w:ascii="仿宋" w:hAnsi="仿宋" w:eastAsia="仿宋" w:cs="仿宋_GB2312"/>
          <w:b/>
          <w:bCs/>
          <w:sz w:val="24"/>
          <w:szCs w:val="24"/>
        </w:rPr>
        <w:t>重汽（重庆）轻型汽车有限公司</w:t>
      </w:r>
    </w:p>
    <w:p w14:paraId="40E1C313">
      <w:pPr>
        <w:adjustRightInd w:val="0"/>
        <w:snapToGrid w:val="0"/>
        <w:spacing w:line="400" w:lineRule="exact"/>
        <w:ind w:firstLine="480" w:firstLineChars="200"/>
        <w:jc w:val="left"/>
        <w:rPr>
          <w:rFonts w:ascii="仿宋" w:hAnsi="仿宋" w:eastAsia="仿宋" w:cs="仿宋_GB2312"/>
          <w:bCs/>
          <w:sz w:val="24"/>
          <w:szCs w:val="24"/>
        </w:rPr>
      </w:pPr>
      <w:r>
        <w:rPr>
          <w:rFonts w:ascii="仿宋" w:hAnsi="仿宋" w:eastAsia="仿宋" w:cs="仿宋_GB2312"/>
          <w:bCs/>
          <w:sz w:val="24"/>
          <w:szCs w:val="24"/>
        </w:rPr>
        <w:t>收款账号：8112501012801267437</w:t>
      </w:r>
    </w:p>
    <w:p w14:paraId="1443A304">
      <w:pPr>
        <w:adjustRightInd w:val="0"/>
        <w:snapToGrid w:val="0"/>
        <w:spacing w:line="400" w:lineRule="exact"/>
        <w:ind w:firstLine="480" w:firstLineChars="200"/>
        <w:jc w:val="left"/>
        <w:rPr>
          <w:rFonts w:ascii="仿宋" w:hAnsi="仿宋" w:eastAsia="仿宋" w:cs="仿宋_GB2312"/>
          <w:bCs/>
          <w:sz w:val="24"/>
          <w:szCs w:val="24"/>
        </w:rPr>
      </w:pPr>
      <w:r>
        <w:rPr>
          <w:rFonts w:ascii="仿宋" w:hAnsi="仿宋" w:eastAsia="仿宋" w:cs="仿宋_GB2312"/>
          <w:bCs/>
          <w:sz w:val="24"/>
          <w:szCs w:val="24"/>
        </w:rPr>
        <w:t>开户行名称：中信银行济南舜耕支行</w:t>
      </w:r>
    </w:p>
    <w:p w14:paraId="4D51FF96">
      <w:pPr>
        <w:adjustRightInd w:val="0"/>
        <w:snapToGrid w:val="0"/>
        <w:spacing w:line="400" w:lineRule="exact"/>
        <w:ind w:firstLine="480" w:firstLineChars="200"/>
        <w:jc w:val="left"/>
        <w:rPr>
          <w:rFonts w:ascii="仿宋" w:hAnsi="仿宋" w:eastAsia="仿宋" w:cs="仿宋_GB2312"/>
          <w:bCs/>
          <w:sz w:val="24"/>
          <w:szCs w:val="24"/>
        </w:rPr>
      </w:pPr>
      <w:r>
        <w:rPr>
          <w:rFonts w:ascii="仿宋" w:hAnsi="仿宋" w:eastAsia="仿宋" w:cs="仿宋_GB2312"/>
          <w:bCs/>
          <w:sz w:val="24"/>
          <w:szCs w:val="24"/>
        </w:rPr>
        <w:t>开户行行号：302451037264</w:t>
      </w:r>
    </w:p>
    <w:p w14:paraId="1591D62C">
      <w:pPr>
        <w:pStyle w:val="76"/>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422" w:firstLineChars="200"/>
        <w:textAlignment w:val="auto"/>
        <w:rPr>
          <w:rFonts w:hint="eastAsia"/>
          <w:b/>
          <w:bCs/>
          <w:lang w:val="en-US" w:eastAsia="zh-CN"/>
        </w:rPr>
      </w:pPr>
      <w:r>
        <w:rPr>
          <w:rFonts w:hint="eastAsia"/>
          <w:b/>
          <w:bCs/>
          <w:lang w:val="en-US" w:eastAsia="zh-CN"/>
        </w:rPr>
        <w:t>转账附言：公司名称+项目名称+投标保证金。</w:t>
      </w:r>
    </w:p>
    <w:p w14:paraId="5568414C">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保证金缴纳</w:t>
      </w:r>
      <w:r>
        <w:rPr>
          <w:rFonts w:hint="eastAsia" w:cs="Times New Roman"/>
        </w:rPr>
        <w:t>截止</w:t>
      </w:r>
      <w:r>
        <w:rPr>
          <w:rFonts w:hint="eastAsia" w:ascii="宋体" w:hAnsi="宋体" w:eastAsia="宋体" w:cs="宋体"/>
          <w:b w:val="0"/>
          <w:bCs w:val="0"/>
          <w:sz w:val="21"/>
          <w:szCs w:val="21"/>
          <w:highlight w:val="none"/>
        </w:rPr>
        <w:t>时间：202</w:t>
      </w:r>
      <w:r>
        <w:rPr>
          <w:rFonts w:hint="eastAsia" w:hAnsi="宋体" w:cs="宋体"/>
          <w:b w:val="0"/>
          <w:bCs w:val="0"/>
          <w:sz w:val="21"/>
          <w:szCs w:val="21"/>
          <w:highlight w:val="none"/>
          <w:lang w:val="en-US" w:eastAsia="zh-CN"/>
        </w:rPr>
        <w:t>6</w:t>
      </w:r>
      <w:r>
        <w:rPr>
          <w:rFonts w:hint="eastAsia" w:ascii="宋体" w:hAnsi="宋体" w:eastAsia="宋体" w:cs="宋体"/>
          <w:b w:val="0"/>
          <w:bCs w:val="0"/>
          <w:sz w:val="21"/>
          <w:szCs w:val="21"/>
          <w:highlight w:val="none"/>
        </w:rPr>
        <w:t>年</w:t>
      </w:r>
      <w:r>
        <w:rPr>
          <w:rFonts w:hint="eastAsia" w:hAnsi="宋体" w:cs="宋体"/>
          <w:b w:val="0"/>
          <w:bCs w:val="0"/>
          <w:sz w:val="21"/>
          <w:szCs w:val="21"/>
          <w:highlight w:val="none"/>
          <w:lang w:val="en-US" w:eastAsia="zh-CN"/>
        </w:rPr>
        <w:t>1</w:t>
      </w:r>
      <w:r>
        <w:rPr>
          <w:rFonts w:hint="eastAsia" w:ascii="宋体" w:hAnsi="宋体" w:eastAsia="宋体" w:cs="宋体"/>
          <w:b w:val="0"/>
          <w:bCs w:val="0"/>
          <w:sz w:val="21"/>
          <w:szCs w:val="21"/>
          <w:highlight w:val="none"/>
        </w:rPr>
        <w:t>月</w:t>
      </w:r>
      <w:r>
        <w:rPr>
          <w:rFonts w:hint="eastAsia" w:hAnsi="宋体" w:cs="宋体"/>
          <w:b w:val="0"/>
          <w:bCs w:val="0"/>
          <w:sz w:val="21"/>
          <w:szCs w:val="21"/>
          <w:highlight w:val="none"/>
          <w:lang w:val="en-US" w:eastAsia="zh-CN"/>
        </w:rPr>
        <w:t>5</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9</w:t>
      </w:r>
      <w:r>
        <w:rPr>
          <w:rFonts w:hint="eastAsia"/>
          <w:u w:val="none"/>
          <w:lang w:val="en-US" w:eastAsia="zh-CN"/>
        </w:rPr>
        <w:t>:00:00</w:t>
      </w:r>
      <w:r>
        <w:rPr>
          <w:rFonts w:hint="default" w:ascii="宋体" w:hAnsi="Courier New" w:eastAsia="宋体" w:cs="Times New Roman"/>
          <w:highlight w:val="none"/>
          <w:u w:val="none"/>
          <w:lang w:val="en-US" w:eastAsia="zh-CN"/>
        </w:rPr>
        <w:t>（北京时间）</w:t>
      </w:r>
    </w:p>
    <w:p w14:paraId="5306DE77">
      <w:pPr>
        <w:pStyle w:val="72"/>
        <w:keepNext w:val="0"/>
        <w:keepLines w:val="0"/>
        <w:pageBreakBefore w:val="0"/>
        <w:widowControl w:val="0"/>
        <w:numPr>
          <w:ilvl w:val="0"/>
          <w:numId w:val="2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原路返还（无息）。</w:t>
      </w:r>
    </w:p>
    <w:p w14:paraId="02113B20">
      <w:pPr>
        <w:pStyle w:val="72"/>
        <w:keepNext w:val="0"/>
        <w:keepLines w:val="0"/>
        <w:pageBreakBefore w:val="0"/>
        <w:widowControl w:val="0"/>
        <w:numPr>
          <w:ilvl w:val="0"/>
          <w:numId w:val="2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发生</w:t>
      </w:r>
      <w:r>
        <w:rPr>
          <w:rFonts w:hint="eastAsia" w:ascii="黑体" w:hAnsi="黑体" w:eastAsia="黑体" w:cs="黑体"/>
          <w:b w:val="0"/>
          <w:bCs w:val="0"/>
          <w:sz w:val="24"/>
          <w:szCs w:val="24"/>
          <w:highlight w:val="none"/>
          <w:lang w:val="en-US" w:eastAsia="zh-CN"/>
        </w:rPr>
        <w:t>以下</w:t>
      </w:r>
      <w:r>
        <w:rPr>
          <w:rFonts w:hint="eastAsia" w:ascii="黑体" w:hAnsi="黑体" w:eastAsia="黑体" w:cs="黑体"/>
          <w:b w:val="0"/>
          <w:bCs w:val="0"/>
          <w:sz w:val="24"/>
          <w:szCs w:val="24"/>
          <w:highlight w:val="none"/>
        </w:rPr>
        <w:t>情况时，有权没收保证金：</w:t>
      </w:r>
    </w:p>
    <w:p w14:paraId="69D68B6B">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ascii="宋体" w:hAnsi="宋体" w:eastAsia="宋体" w:cs="宋体"/>
          <w:b w:val="0"/>
          <w:bCs w:val="0"/>
          <w:szCs w:val="21"/>
          <w:highlight w:val="none"/>
        </w:rPr>
        <w:t>供</w:t>
      </w:r>
      <w:r>
        <w:rPr>
          <w:rFonts w:hint="eastAsia"/>
        </w:rPr>
        <w:t>应商在提交响应文件截止时间后撤回响应文件的；</w:t>
      </w:r>
    </w:p>
    <w:p w14:paraId="56CEC558">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供应商在响应文件中提供虚假材料的；</w:t>
      </w:r>
    </w:p>
    <w:p w14:paraId="14DF0C78">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除因不可抗力或谈判文件、询价通知书认可的情形以外，成交供应商不与采购人签订合同的；</w:t>
      </w:r>
    </w:p>
    <w:p w14:paraId="1D9AD298">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供应商与采购人、其他供应商或者采购代理机构恶意串通、围标、陪标的；</w:t>
      </w:r>
    </w:p>
    <w:p w14:paraId="1211AC71">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供应商有违约违规行为或被投诉、举报的，在调查处理期间，保证金暂不退还，待调查处理结束后按有关规定处理。</w:t>
      </w:r>
    </w:p>
    <w:p w14:paraId="1C7FF7D7">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截至开标前3天，投标人无正当理由、未以书面形式向招标人递交说明而在投标截止日不来投标的。</w:t>
      </w:r>
    </w:p>
    <w:p w14:paraId="7A3035DA">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自中标通知书发出之日起30日内，中标人无正当理由投标人无正当签订合同的；</w:t>
      </w:r>
    </w:p>
    <w:p w14:paraId="271EC8CF">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仿宋_GB2312" w:cs="宋体"/>
          <w:b w:val="0"/>
          <w:bCs w:val="0"/>
          <w:szCs w:val="24"/>
          <w:highlight w:val="none"/>
          <w:lang w:val="en-US" w:eastAsia="zh-CN"/>
        </w:rPr>
      </w:pPr>
      <w:r>
        <w:rPr>
          <w:rFonts w:hint="eastAsia"/>
        </w:rPr>
        <w:t>采购文件规定</w:t>
      </w:r>
      <w:r>
        <w:rPr>
          <w:rFonts w:hint="eastAsia" w:ascii="宋体" w:hAnsi="宋体" w:eastAsia="宋体" w:cs="宋体"/>
          <w:b w:val="0"/>
          <w:bCs w:val="0"/>
          <w:szCs w:val="21"/>
          <w:highlight w:val="none"/>
        </w:rPr>
        <w:t>的其他情形</w:t>
      </w:r>
      <w:r>
        <w:rPr>
          <w:rFonts w:hint="eastAsia" w:ascii="宋体" w:hAnsi="宋体" w:eastAsia="宋体" w:cs="宋体"/>
          <w:b w:val="0"/>
          <w:bCs w:val="0"/>
          <w:szCs w:val="21"/>
          <w:highlight w:val="none"/>
          <w:lang w:eastAsia="zh-CN"/>
        </w:rPr>
        <w:t>。</w:t>
      </w:r>
    </w:p>
    <w:bookmarkEnd w:id="5"/>
    <w:p w14:paraId="368B699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开评标</w:t>
      </w:r>
    </w:p>
    <w:p w14:paraId="6D5294CB">
      <w:pPr>
        <w:pStyle w:val="72"/>
        <w:keepNext w:val="0"/>
        <w:keepLines w:val="0"/>
        <w:pageBreakBefore w:val="0"/>
        <w:widowControl w:val="0"/>
        <w:numPr>
          <w:ilvl w:val="0"/>
          <w:numId w:val="23"/>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开标时间和地点</w:t>
      </w:r>
    </w:p>
    <w:p w14:paraId="4FACE4AA">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r>
        <w:rPr>
          <w:rFonts w:hint="eastAsia" w:hAnsi="宋体" w:cs="宋体"/>
          <w:b w:val="0"/>
          <w:bCs w:val="0"/>
          <w:sz w:val="21"/>
          <w:szCs w:val="21"/>
          <w:highlight w:val="none"/>
          <w:lang w:val="en-US" w:eastAsia="zh-CN"/>
        </w:rPr>
        <w:t>2026年1</w:t>
      </w:r>
      <w:r>
        <w:rPr>
          <w:rFonts w:hint="eastAsia" w:ascii="宋体" w:hAnsi="宋体" w:eastAsia="宋体" w:cs="宋体"/>
          <w:b w:val="0"/>
          <w:bCs w:val="0"/>
          <w:sz w:val="21"/>
          <w:szCs w:val="21"/>
          <w:highlight w:val="none"/>
        </w:rPr>
        <w:t>月</w:t>
      </w:r>
      <w:r>
        <w:rPr>
          <w:rFonts w:hint="eastAsia" w:hAnsi="宋体" w:cs="宋体"/>
          <w:b w:val="0"/>
          <w:bCs w:val="0"/>
          <w:sz w:val="21"/>
          <w:szCs w:val="21"/>
          <w:highlight w:val="none"/>
          <w:lang w:val="en-US" w:eastAsia="zh-CN"/>
        </w:rPr>
        <w:t>5</w:t>
      </w:r>
      <w:r>
        <w:rPr>
          <w:rFonts w:hint="eastAsia" w:ascii="宋体" w:hAnsi="宋体" w:eastAsia="宋体" w:cs="宋体"/>
          <w:b w:val="0"/>
          <w:bCs w:val="0"/>
          <w:sz w:val="21"/>
          <w:szCs w:val="21"/>
          <w:highlight w:val="none"/>
        </w:rPr>
        <w:t>日</w:t>
      </w:r>
      <w:r>
        <w:rPr>
          <w:rFonts w:hint="default" w:ascii="宋体" w:hAnsi="宋体" w:eastAsia="宋体" w:cs="宋体"/>
          <w:b w:val="0"/>
          <w:bCs w:val="0"/>
          <w:sz w:val="21"/>
          <w:szCs w:val="21"/>
          <w:highlight w:val="none"/>
          <w:lang w:val="en-US" w:eastAsia="zh-CN"/>
        </w:rPr>
        <w:t>9:00:00（北京时间）(暂定，以实际通知为准)。</w:t>
      </w:r>
    </w:p>
    <w:p w14:paraId="72FF61DD">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ascii="宋体" w:hAnsi="Courier New" w:eastAsia="宋体" w:cs="Times New Roman"/>
          <w:kern w:val="2"/>
          <w:sz w:val="21"/>
          <w:lang w:val="en-US" w:eastAsia="zh-CN" w:bidi="ar-SA"/>
        </w:rPr>
        <w:t>济南市高新区华奥路777号</w:t>
      </w:r>
      <w:r>
        <w:rPr>
          <w:rFonts w:hint="eastAsia" w:ascii="宋体" w:hAnsi="宋体" w:eastAsia="宋体" w:cs="宋体"/>
          <w:b w:val="0"/>
          <w:bCs w:val="0"/>
          <w:sz w:val="21"/>
          <w:szCs w:val="21"/>
          <w:highlight w:val="none"/>
          <w:lang w:val="en-US" w:eastAsia="zh-CN"/>
        </w:rPr>
        <w:t xml:space="preserve"> </w:t>
      </w:r>
    </w:p>
    <w:p w14:paraId="3EF8D0F8">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000000"/>
          <w:sz w:val="21"/>
          <w:szCs w:val="21"/>
          <w:highlight w:val="none"/>
          <w:u w:val="none"/>
        </w:rPr>
      </w:pPr>
      <w:r>
        <w:rPr>
          <w:rFonts w:hint="eastAsia" w:ascii="宋体" w:hAnsi="宋体" w:eastAsia="宋体" w:cs="宋体"/>
          <w:b w:val="0"/>
          <w:bCs w:val="0"/>
          <w:sz w:val="21"/>
          <w:szCs w:val="21"/>
          <w:highlight w:val="none"/>
          <w:lang w:val="en-US" w:eastAsia="zh-CN"/>
        </w:rPr>
        <w:t>开标方式：</w:t>
      </w:r>
      <w:r>
        <w:rPr>
          <w:rFonts w:hint="eastAsia" w:ascii="宋体" w:hAnsi="Courier New" w:eastAsia="宋体" w:cs="Times New Roman"/>
          <w:b/>
          <w:bCs w:val="0"/>
          <w:color w:val="auto"/>
          <w:kern w:val="2"/>
          <w:sz w:val="21"/>
          <w:highlight w:val="none"/>
          <w:u w:val="none"/>
          <w:lang w:val="en-US" w:eastAsia="zh-CN" w:bidi="ar-SA"/>
        </w:rPr>
        <w:t>线上</w:t>
      </w:r>
      <w:r>
        <w:rPr>
          <w:rFonts w:hint="eastAsia" w:cs="Times New Roman"/>
          <w:b/>
          <w:bCs w:val="0"/>
          <w:color w:val="auto"/>
          <w:highlight w:val="none"/>
          <w:u w:val="none"/>
          <w:lang w:val="en-US" w:eastAsia="zh-CN"/>
        </w:rPr>
        <w:t>招标。</w:t>
      </w:r>
      <w:r>
        <w:rPr>
          <w:rFonts w:hint="eastAsia" w:ascii="宋体" w:hAnsi="宋体" w:eastAsia="宋体" w:cs="宋体"/>
          <w:color w:val="000000"/>
          <w:sz w:val="21"/>
          <w:szCs w:val="21"/>
          <w:highlight w:val="none"/>
          <w:u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u w:val="none"/>
        </w:rPr>
        <w:t>招标人创建视频链接</w:t>
      </w:r>
      <w:r>
        <w:rPr>
          <w:rFonts w:hint="eastAsia" w:ascii="宋体" w:hAnsi="宋体" w:eastAsia="宋体" w:cs="宋体"/>
          <w:color w:val="000000"/>
          <w:sz w:val="21"/>
          <w:szCs w:val="21"/>
          <w:highlight w:val="none"/>
          <w:u w:val="none"/>
          <w:lang w:eastAsia="zh-CN"/>
        </w:rPr>
        <w:t>，</w:t>
      </w:r>
      <w:r>
        <w:rPr>
          <w:rFonts w:hint="eastAsia" w:ascii="宋体" w:hAnsi="宋体" w:eastAsia="宋体" w:cs="宋体"/>
          <w:color w:val="000000"/>
          <w:sz w:val="21"/>
          <w:szCs w:val="21"/>
          <w:highlight w:val="none"/>
          <w:u w:val="none"/>
        </w:rPr>
        <w:t>并在报名结束后统一通知。</w:t>
      </w:r>
    </w:p>
    <w:p w14:paraId="1E058BEC">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842" w:leftChars="200" w:hanging="422" w:hangingChars="200"/>
        <w:textAlignment w:val="auto"/>
        <w:rPr>
          <w:rFonts w:hint="eastAsia" w:ascii="宋体" w:hAnsi="宋体" w:eastAsia="宋体" w:cs="宋体"/>
          <w:color w:val="000000"/>
          <w:sz w:val="21"/>
          <w:szCs w:val="21"/>
          <w:highlight w:val="none"/>
        </w:rPr>
      </w:pPr>
      <w:r>
        <w:rPr>
          <w:rFonts w:hint="eastAsia" w:ascii="宋体" w:hAnsi="宋体" w:eastAsia="宋体" w:cs="宋体"/>
          <w:b/>
          <w:bCs/>
          <w:sz w:val="21"/>
          <w:szCs w:val="21"/>
          <w:lang w:val="en-US" w:eastAsia="zh-CN"/>
        </w:rPr>
        <w:t>注：请各投标单位在开标前，先添加商务联系人微信（微信号：</w:t>
      </w:r>
      <w:r>
        <w:rPr>
          <w:rFonts w:hint="eastAsia" w:ascii="宋体" w:hAnsi="宋体" w:eastAsia="宋体" w:cs="宋体"/>
          <w:b/>
          <w:bCs/>
          <w:color w:val="000000"/>
          <w:sz w:val="21"/>
          <w:szCs w:val="21"/>
          <w:lang w:val="en-US" w:eastAsia="zh-CN"/>
        </w:rPr>
        <w:t>17860606592</w:t>
      </w:r>
      <w:r>
        <w:rPr>
          <w:rFonts w:hint="eastAsia" w:ascii="宋体" w:hAnsi="宋体" w:eastAsia="宋体" w:cs="宋体"/>
          <w:b/>
          <w:bCs/>
          <w:sz w:val="21"/>
          <w:szCs w:val="21"/>
          <w:lang w:val="en-US" w:eastAsia="zh-CN"/>
        </w:rPr>
        <w:t>），并通过发送保证金缴纳凭证以获取</w:t>
      </w:r>
      <w:r>
        <w:rPr>
          <w:rFonts w:hint="eastAsia" w:ascii="宋体" w:hAnsi="宋体" w:eastAsia="宋体" w:cs="宋体"/>
          <w:b/>
          <w:bCs/>
          <w:sz w:val="21"/>
          <w:szCs w:val="21"/>
          <w:highlight w:val="none"/>
          <w:lang w:val="en-US" w:eastAsia="zh-CN"/>
        </w:rPr>
        <w:t>在线开标会议号码</w:t>
      </w:r>
      <w:r>
        <w:rPr>
          <w:rFonts w:hint="eastAsia" w:ascii="宋体" w:hAnsi="宋体" w:eastAsia="宋体" w:cs="宋体"/>
          <w:b/>
          <w:bCs/>
          <w:sz w:val="21"/>
          <w:szCs w:val="21"/>
          <w:lang w:val="en-US" w:eastAsia="zh-CN"/>
        </w:rPr>
        <w:t>。</w:t>
      </w:r>
    </w:p>
    <w:p w14:paraId="59F17765">
      <w:pPr>
        <w:pStyle w:val="72"/>
        <w:keepNext w:val="0"/>
        <w:keepLines w:val="0"/>
        <w:pageBreakBefore w:val="0"/>
        <w:widowControl w:val="0"/>
        <w:numPr>
          <w:ilvl w:val="0"/>
          <w:numId w:val="23"/>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评标</w:t>
      </w:r>
    </w:p>
    <w:p w14:paraId="649C28C4">
      <w:pPr>
        <w:pStyle w:val="72"/>
        <w:keepNext w:val="0"/>
        <w:keepLines w:val="0"/>
        <w:pageBreakBefore w:val="0"/>
        <w:widowControl w:val="0"/>
        <w:numPr>
          <w:ilvl w:val="1"/>
          <w:numId w:val="23"/>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评标方法</w:t>
      </w:r>
    </w:p>
    <w:p w14:paraId="07DFEB4C">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highlight w:val="none"/>
          <w:u w:val="none"/>
          <w:lang w:val="en-US" w:eastAsia="zh-CN"/>
        </w:rPr>
      </w:pPr>
      <w:r>
        <w:rPr>
          <w:rFonts w:hint="eastAsia" w:cs="Times New Roman"/>
          <w:b w:val="0"/>
          <w:bCs/>
          <w:highlight w:val="none"/>
          <w:u w:val="none"/>
          <w:lang w:val="en-US" w:eastAsia="zh-CN"/>
        </w:rPr>
        <w:t>本次招标采用合理最低价法进行评标。本着公平、公正、公开的原则，选择合理最低价确定中标人，对未中标单位不做任何解释。</w:t>
      </w:r>
    </w:p>
    <w:p w14:paraId="0B2A8F6D">
      <w:pPr>
        <w:pStyle w:val="72"/>
        <w:keepNext w:val="0"/>
        <w:keepLines w:val="0"/>
        <w:pageBreakBefore w:val="0"/>
        <w:widowControl w:val="0"/>
        <w:numPr>
          <w:ilvl w:val="1"/>
          <w:numId w:val="23"/>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评标流程</w:t>
      </w:r>
    </w:p>
    <w:p w14:paraId="08C47440">
      <w:pPr>
        <w:keepNext w:val="0"/>
        <w:keepLines w:val="0"/>
        <w:pageBreakBefore w:val="0"/>
        <w:widowControl w:val="0"/>
        <w:numPr>
          <w:ilvl w:val="0"/>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w:t>
      </w:r>
      <w:r>
        <w:rPr>
          <w:rFonts w:hint="eastAsia" w:ascii="宋体" w:hAnsi="宋体" w:cs="宋体"/>
          <w:b w:val="0"/>
          <w:bCs/>
          <w:color w:val="000000"/>
          <w:sz w:val="21"/>
          <w:szCs w:val="21"/>
          <w:highlight w:val="none"/>
          <w:lang w:val="en-US" w:eastAsia="zh-CN"/>
        </w:rPr>
        <w:t>第一章的投标报名</w:t>
      </w:r>
      <w:r>
        <w:rPr>
          <w:rFonts w:hint="eastAsia" w:ascii="宋体" w:hAnsi="宋体" w:eastAsia="宋体" w:cs="宋体"/>
          <w:b w:val="0"/>
          <w:bCs/>
          <w:color w:val="000000"/>
          <w:sz w:val="21"/>
          <w:szCs w:val="21"/>
          <w:highlight w:val="none"/>
          <w:lang w:val="en-US" w:eastAsia="zh-CN"/>
        </w:rPr>
        <w:t>编制</w:t>
      </w:r>
      <w:r>
        <w:rPr>
          <w:rFonts w:hint="eastAsia" w:ascii="宋体" w:hAnsi="宋体" w:eastAsia="宋体" w:cs="宋体"/>
          <w:b w:val="0"/>
          <w:bCs/>
          <w:color w:val="000000"/>
          <w:sz w:val="21"/>
          <w:szCs w:val="21"/>
          <w:highlight w:val="none"/>
        </w:rPr>
        <w:t>资料，上传完毕后，等待审核；</w:t>
      </w:r>
    </w:p>
    <w:p w14:paraId="3925B8AD">
      <w:pPr>
        <w:keepNext w:val="0"/>
        <w:keepLines w:val="0"/>
        <w:pageBreakBefore w:val="0"/>
        <w:widowControl w:val="0"/>
        <w:numPr>
          <w:ilvl w:val="0"/>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w:t>
      </w:r>
      <w:r>
        <w:rPr>
          <w:rFonts w:hint="eastAsia" w:ascii="宋体" w:hAnsi="宋体" w:cs="宋体"/>
          <w:b w:val="0"/>
          <w:bCs/>
          <w:color w:val="000000"/>
          <w:sz w:val="21"/>
          <w:szCs w:val="21"/>
          <w:highlight w:val="none"/>
          <w:lang w:eastAsia="zh-CN"/>
        </w:rPr>
        <w:t>（</w:t>
      </w:r>
      <w:r>
        <w:rPr>
          <w:rFonts w:hint="eastAsia" w:ascii="宋体" w:hAnsi="宋体" w:cs="宋体"/>
          <w:b w:val="0"/>
          <w:bCs/>
          <w:color w:val="000000"/>
          <w:sz w:val="21"/>
          <w:szCs w:val="21"/>
          <w:highlight w:val="none"/>
          <w:lang w:val="en-US" w:eastAsia="zh-CN"/>
        </w:rPr>
        <w:t>附件10</w:t>
      </w:r>
      <w:r>
        <w:rPr>
          <w:rFonts w:hint="eastAsia" w:ascii="宋体" w:hAnsi="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”，在重汽e采通平台投递电子标书（包含资质标、商务标）；没有通过应标资质审查的单位不能进入投标环节；</w:t>
      </w:r>
    </w:p>
    <w:p w14:paraId="3B34C86F">
      <w:pPr>
        <w:keepNext w:val="0"/>
        <w:keepLines w:val="0"/>
        <w:pageBreakBefore w:val="0"/>
        <w:widowControl w:val="0"/>
        <w:numPr>
          <w:ilvl w:val="0"/>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14:paraId="7E63C2E8">
      <w:pPr>
        <w:keepNext w:val="0"/>
        <w:keepLines w:val="0"/>
        <w:pageBreakBefore w:val="0"/>
        <w:widowControl w:val="0"/>
        <w:numPr>
          <w:ilvl w:val="0"/>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w:t>
      </w:r>
      <w:r>
        <w:rPr>
          <w:rFonts w:hint="eastAsia" w:ascii="宋体" w:hAnsi="宋体" w:cs="宋体"/>
          <w:b w:val="0"/>
          <w:bCs/>
          <w:color w:val="000000"/>
          <w:sz w:val="21"/>
          <w:szCs w:val="21"/>
          <w:highlight w:val="none"/>
          <w:lang w:val="en-US" w:eastAsia="zh-CN"/>
        </w:rPr>
        <w:t>相</w:t>
      </w:r>
      <w:r>
        <w:rPr>
          <w:rFonts w:hint="eastAsia" w:ascii="宋体" w:hAnsi="宋体" w:eastAsia="宋体" w:cs="宋体"/>
          <w:b w:val="0"/>
          <w:bCs/>
          <w:color w:val="000000"/>
          <w:sz w:val="21"/>
          <w:szCs w:val="21"/>
          <w:highlight w:val="none"/>
        </w:rPr>
        <w:t>应确认→价格澄清→商务标评审</w:t>
      </w:r>
      <w:r>
        <w:rPr>
          <w:rFonts w:hint="eastAsia" w:ascii="宋体" w:hAnsi="宋体" w:eastAsia="宋体" w:cs="宋体"/>
          <w:b w:val="0"/>
          <w:bCs/>
          <w:color w:val="000000"/>
          <w:sz w:val="21"/>
          <w:szCs w:val="21"/>
          <w:highlight w:val="none"/>
          <w:lang w:val="en-US" w:eastAsia="zh-CN"/>
        </w:rPr>
        <w:t>；采用多轮商务谈判评审，</w:t>
      </w:r>
      <w:r>
        <w:rPr>
          <w:rFonts w:hint="eastAsia" w:ascii="宋体" w:hAnsi="宋体" w:eastAsia="宋体" w:cs="宋体"/>
          <w:b w:val="0"/>
          <w:bCs/>
          <w:color w:val="000000"/>
          <w:sz w:val="21"/>
          <w:szCs w:val="21"/>
          <w:highlight w:val="none"/>
        </w:rPr>
        <w:t>期间产生的商务价格澄清均由投标人在重汽e采通平台限时内完成提交；</w:t>
      </w:r>
    </w:p>
    <w:p w14:paraId="148C0E04">
      <w:pPr>
        <w:pStyle w:val="76"/>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注意：所有参与现场投标的投标人，需要自带笔记本电脑在</w:t>
      </w:r>
      <w:r>
        <w:rPr>
          <w:rFonts w:hint="eastAsia"/>
          <w:lang w:eastAsia="zh-CN"/>
        </w:rPr>
        <w:t>“</w:t>
      </w:r>
      <w:r>
        <w:rPr>
          <w:rFonts w:hint="eastAsia"/>
        </w:rPr>
        <w:t>重汽e采通</w:t>
      </w:r>
      <w:r>
        <w:rPr>
          <w:rFonts w:hint="eastAsia"/>
          <w:lang w:eastAsia="zh-CN"/>
        </w:rPr>
        <w:t>”</w:t>
      </w:r>
      <w:r>
        <w:rPr>
          <w:rFonts w:hint="eastAsia"/>
        </w:rPr>
        <w:t>进行自主投标和提交澄清函；投标和提交澄清函均有时间限制，超时未提交的按无效处理。</w:t>
      </w:r>
    </w:p>
    <w:p w14:paraId="20BA3AE6">
      <w:pPr>
        <w:pStyle w:val="72"/>
        <w:keepNext w:val="0"/>
        <w:keepLines w:val="0"/>
        <w:pageBreakBefore w:val="0"/>
        <w:widowControl w:val="0"/>
        <w:numPr>
          <w:ilvl w:val="1"/>
          <w:numId w:val="23"/>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评分标准</w:t>
      </w:r>
      <w:r>
        <w:rPr>
          <w:rFonts w:hint="eastAsia" w:hAnsi="黑体" w:cs="黑体"/>
          <w:b w:val="0"/>
          <w:bCs w:val="0"/>
          <w:sz w:val="21"/>
          <w:szCs w:val="21"/>
          <w:highlight w:val="none"/>
          <w:lang w:val="en-US" w:eastAsia="zh-CN"/>
        </w:rPr>
        <w:t xml:space="preserve"> </w:t>
      </w:r>
    </w:p>
    <w:p w14:paraId="22F5099D">
      <w:pPr>
        <w:pStyle w:val="76"/>
        <w:keepNext w:val="0"/>
        <w:keepLines w:val="0"/>
        <w:pageBreakBefore w:val="0"/>
        <w:widowControl w:val="0"/>
        <w:numPr>
          <w:ilvl w:val="2"/>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u w:val="none"/>
          <w:lang w:val="en-US" w:eastAsia="zh-CN"/>
        </w:rPr>
      </w:pPr>
      <w:r>
        <w:rPr>
          <w:rFonts w:hint="eastAsia" w:cs="Times New Roman"/>
          <w:b w:val="0"/>
          <w:bCs/>
          <w:highlight w:val="none"/>
          <w:u w:val="none"/>
          <w:lang w:val="en-US" w:eastAsia="zh-CN"/>
        </w:rPr>
        <w:t>选择合理最低价确定中标人；</w:t>
      </w:r>
    </w:p>
    <w:p w14:paraId="3600D9D4">
      <w:pPr>
        <w:pStyle w:val="76"/>
        <w:keepNext w:val="0"/>
        <w:keepLines w:val="0"/>
        <w:pageBreakBefore w:val="0"/>
        <w:widowControl w:val="0"/>
        <w:numPr>
          <w:ilvl w:val="2"/>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u w:val="none"/>
          <w:lang w:val="en-US" w:eastAsia="zh-CN"/>
        </w:rPr>
      </w:pPr>
      <w:r>
        <w:rPr>
          <w:rFonts w:hint="eastAsia" w:cs="Times New Roman"/>
          <w:u w:val="none"/>
          <w:lang w:val="en-US" w:eastAsia="zh-CN"/>
        </w:rPr>
        <w:t>通过初审者为有效投标；</w:t>
      </w:r>
    </w:p>
    <w:p w14:paraId="0662E4D4">
      <w:pPr>
        <w:pStyle w:val="76"/>
        <w:keepNext w:val="0"/>
        <w:keepLines w:val="0"/>
        <w:pageBreakBefore w:val="0"/>
        <w:widowControl w:val="0"/>
        <w:numPr>
          <w:ilvl w:val="2"/>
          <w:numId w:val="23"/>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u w:val="none"/>
          <w:lang w:val="en-US" w:eastAsia="zh-CN"/>
        </w:rPr>
      </w:pPr>
      <w:r>
        <w:rPr>
          <w:rFonts w:hint="eastAsia" w:cs="Times New Roman"/>
          <w:u w:val="none"/>
          <w:lang w:val="en-US" w:eastAsia="zh-CN"/>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7C0A112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cs="Times New Roman"/>
          <w:lang w:val="en-US" w:eastAsia="zh-CN"/>
        </w:rPr>
        <w:t>定标</w:t>
      </w:r>
    </w:p>
    <w:p w14:paraId="6B705137">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eastAsia="zh-CN"/>
        </w:rPr>
      </w:pPr>
      <w:r>
        <w:rPr>
          <w:rFonts w:hint="eastAsia"/>
        </w:rPr>
        <w:t>本项目只产生</w:t>
      </w:r>
      <w:r>
        <w:rPr>
          <w:rFonts w:hint="eastAsia"/>
          <w:lang w:val="en-US" w:eastAsia="zh-CN"/>
        </w:rPr>
        <w:t>1</w:t>
      </w:r>
      <w:r>
        <w:rPr>
          <w:rFonts w:hint="eastAsia"/>
        </w:rPr>
        <w:t>个中标人。中标人签订合同前须进行最终审查。最终审查的对象</w:t>
      </w:r>
      <w:r>
        <w:rPr>
          <w:rFonts w:hint="eastAsia"/>
          <w:lang w:val="en-US" w:eastAsia="zh-CN"/>
        </w:rPr>
        <w:t>是</w:t>
      </w:r>
      <w:r>
        <w:rPr>
          <w:rFonts w:hint="eastAsia"/>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lang w:val="en-US" w:eastAsia="zh-CN"/>
        </w:rPr>
        <w:t>的</w:t>
      </w:r>
      <w:r>
        <w:rPr>
          <w:rFonts w:hint="eastAsia"/>
        </w:rPr>
        <w:t>，则本次评标作废</w:t>
      </w:r>
      <w:r>
        <w:rPr>
          <w:rFonts w:hint="eastAsia"/>
          <w:lang w:val="en-US" w:eastAsia="zh-CN"/>
        </w:rPr>
        <w:t>或变更意向中标人</w:t>
      </w:r>
      <w:r>
        <w:rPr>
          <w:rFonts w:hint="eastAsia"/>
          <w:lang w:eastAsia="zh-CN"/>
        </w:rPr>
        <w:t>。</w:t>
      </w:r>
    </w:p>
    <w:p w14:paraId="434A226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废标及终止招标</w:t>
      </w:r>
    </w:p>
    <w:p w14:paraId="0C3179D2">
      <w:pPr>
        <w:pStyle w:val="72"/>
        <w:keepNext w:val="0"/>
        <w:keepLines w:val="0"/>
        <w:pageBreakBefore w:val="0"/>
        <w:widowControl w:val="0"/>
        <w:numPr>
          <w:ilvl w:val="0"/>
          <w:numId w:val="2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投标人提供的有关资格、资质证明文件不合格、不真实或提供虚假投标材料；</w:t>
      </w:r>
    </w:p>
    <w:p w14:paraId="6FDED8FB">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投标人在报价有效期内撤回投标；</w:t>
      </w:r>
    </w:p>
    <w:p w14:paraId="3376C2B4">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lang w:eastAsia="zh-CN"/>
        </w:rPr>
      </w:pPr>
      <w:r>
        <w:rPr>
          <w:rFonts w:hint="eastAsia"/>
        </w:rPr>
        <w:t>在整个评标过程中，投标人有企图影响评标结果公正性的任何活动；</w:t>
      </w:r>
    </w:p>
    <w:p w14:paraId="43958B1B">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投标人以任何方式诋毁其他投标人；</w:t>
      </w:r>
    </w:p>
    <w:p w14:paraId="4B7A3D41">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投标人串通投标；</w:t>
      </w:r>
    </w:p>
    <w:p w14:paraId="4AFE6A78">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投标人被举报、检举，并经招标人查实无误的；</w:t>
      </w:r>
    </w:p>
    <w:p w14:paraId="34970088">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以他人名义投标或者以其他方式弄虚作假，骗取中标的；</w:t>
      </w:r>
    </w:p>
    <w:p w14:paraId="37A45F95">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投标人负责人为同一人或者存在控股、管理关系的不同单位；</w:t>
      </w:r>
    </w:p>
    <w:p w14:paraId="6BBD4266">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有效投标不足三家；</w:t>
      </w:r>
    </w:p>
    <w:p w14:paraId="1D2B4C1A">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不同投标人的投标文件异常一致或者投标报价呈规律性差异的；</w:t>
      </w:r>
    </w:p>
    <w:p w14:paraId="6C84FB5F">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投标人报价均超过</w:t>
      </w:r>
      <w:r>
        <w:rPr>
          <w:rFonts w:hint="eastAsia"/>
          <w:lang w:val="en-US" w:eastAsia="zh-CN"/>
        </w:rPr>
        <w:t>最高限价</w:t>
      </w:r>
      <w:r>
        <w:rPr>
          <w:rFonts w:hint="eastAsia"/>
        </w:rPr>
        <w:t>的；</w:t>
      </w:r>
    </w:p>
    <w:p w14:paraId="627A4FDE">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未按要求填报商务报价资料，对招标开展造成较大影响；</w:t>
      </w:r>
    </w:p>
    <w:p w14:paraId="720979DB">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lang w:val="en-US" w:eastAsia="zh-CN"/>
        </w:rPr>
        <w:t>未按照招标人规定的时间内在中国重汽e采通完成投标的；</w:t>
      </w:r>
    </w:p>
    <w:p w14:paraId="2A852CD1">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法律、法规规定的其他情况。</w:t>
      </w:r>
    </w:p>
    <w:p w14:paraId="215E3D0C">
      <w:pPr>
        <w:pStyle w:val="72"/>
        <w:keepNext w:val="0"/>
        <w:keepLines w:val="0"/>
        <w:pageBreakBefore w:val="0"/>
        <w:widowControl w:val="0"/>
        <w:numPr>
          <w:ilvl w:val="0"/>
          <w:numId w:val="2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出现下列情形之一，招标人有权否决所有投标人的投标，并终止招标。</w:t>
      </w:r>
    </w:p>
    <w:p w14:paraId="6BC017B6">
      <w:pPr>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评标委员会经评审，认为所有投标都不符合招标文件要求的；</w:t>
      </w:r>
    </w:p>
    <w:p w14:paraId="1872B765">
      <w:pPr>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因重大变故，采购任务取消的</w:t>
      </w:r>
      <w:bookmarkStart w:id="6" w:name="OLE_LINK26"/>
      <w:bookmarkStart w:id="7" w:name="OLE_LINK29"/>
      <w:bookmarkStart w:id="8" w:name="OLE_LINK28"/>
      <w:bookmarkStart w:id="9" w:name="OLE_LINK25"/>
      <w:bookmarkStart w:id="10" w:name="OLE_LINK27"/>
      <w:r>
        <w:rPr>
          <w:rFonts w:hint="eastAsia" w:ascii="宋体" w:hAnsi="宋体" w:eastAsia="宋体" w:cs="宋体"/>
          <w:sz w:val="21"/>
          <w:szCs w:val="21"/>
          <w:highlight w:val="none"/>
        </w:rPr>
        <w:t>；</w:t>
      </w:r>
      <w:bookmarkEnd w:id="6"/>
      <w:bookmarkEnd w:id="7"/>
      <w:bookmarkEnd w:id="8"/>
      <w:bookmarkEnd w:id="9"/>
      <w:bookmarkEnd w:id="10"/>
    </w:p>
    <w:p w14:paraId="5CD1D199">
      <w:pPr>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招标人认为其他应终止招标的情形。</w:t>
      </w:r>
    </w:p>
    <w:p w14:paraId="24E6827E">
      <w:pPr>
        <w:pStyle w:val="72"/>
        <w:keepNext w:val="0"/>
        <w:keepLines w:val="0"/>
        <w:pageBreakBefore w:val="0"/>
        <w:widowControl w:val="0"/>
        <w:numPr>
          <w:ilvl w:val="0"/>
          <w:numId w:val="2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hAnsi="Courier New" w:cs="Times New Roman"/>
          <w:highlight w:val="none"/>
          <w:lang w:val="en-US" w:eastAsia="zh-CN"/>
        </w:rPr>
        <w:t>合同</w:t>
      </w:r>
      <w:r>
        <w:rPr>
          <w:rFonts w:hint="eastAsia"/>
          <w:lang w:val="en-US" w:eastAsia="zh-CN"/>
        </w:rPr>
        <w:t>签订</w:t>
      </w:r>
    </w:p>
    <w:p w14:paraId="38A4E3E0">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招标人根据评标工作小组的评标结果确定中标人，在重汽e采通平台公布中标结果，并发送中标通知。</w:t>
      </w:r>
    </w:p>
    <w:p w14:paraId="01A8757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中标人应该在中标通知书规定的时间、地点与招标人签订采购合同，否则按照开标后撤回投标处理。</w:t>
      </w:r>
    </w:p>
    <w:p w14:paraId="05680D5A">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b w:val="0"/>
          <w:bCs w:val="0"/>
          <w:sz w:val="21"/>
          <w:szCs w:val="21"/>
        </w:rPr>
      </w:pPr>
      <w:r>
        <w:rPr>
          <w:rFonts w:hint="eastAsia" w:ascii="宋体" w:hAnsi="宋体" w:cs="宋体"/>
          <w:b w:val="0"/>
          <w:bCs w:val="0"/>
          <w:color w:val="000000"/>
          <w:sz w:val="21"/>
          <w:szCs w:val="21"/>
        </w:rPr>
        <w:t>中标人应当按照合同约定的履约责任，在保证质量的前提下完成中标项目，不得将中标项目转包或分包给他人，否则视为违约，招标人有权解除合同。</w:t>
      </w:r>
    </w:p>
    <w:p w14:paraId="096ACE9E">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pPr>
      <w:r>
        <w:rPr>
          <w:rFonts w:hint="eastAsia" w:ascii="宋体" w:hAnsi="宋体" w:cs="宋体"/>
          <w:b w:val="0"/>
          <w:bCs w:val="0"/>
          <w:color w:val="000000"/>
          <w:sz w:val="21"/>
          <w:szCs w:val="21"/>
        </w:rPr>
        <w:t>招标人有权指定招标人的关联单位作为合同签订人，与中标人签署相关合同，且具体权利义务以中标人与招标人的关联公司最终签署的合同为准</w:t>
      </w:r>
      <w:r>
        <w:rPr>
          <w:rFonts w:hint="eastAsia" w:ascii="宋体" w:hAnsi="宋体" w:cs="宋体"/>
          <w:b w:val="0"/>
          <w:bCs w:val="0"/>
          <w:color w:val="000000"/>
          <w:sz w:val="21"/>
          <w:szCs w:val="21"/>
          <w:lang w:eastAsia="zh-CN"/>
        </w:rPr>
        <w:t>。</w:t>
      </w:r>
    </w:p>
    <w:p w14:paraId="5591E191">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rPr>
        <w:t>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rPr>
        <w:t>合同以双方最终签署的版本为准。</w:t>
      </w:r>
    </w:p>
    <w:p w14:paraId="610E8BB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付款</w:t>
      </w:r>
    </w:p>
    <w:p w14:paraId="517A66BC">
      <w:pPr>
        <w:pStyle w:val="76"/>
        <w:keepNext w:val="0"/>
        <w:keepLines w:val="0"/>
        <w:pageBreakBefore w:val="0"/>
        <w:widowControl w:val="0"/>
        <w:numPr>
          <w:ilvl w:val="0"/>
          <w:numId w:val="2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付款方式：半年期商业汇票（包括银行承兑汇票和商业承兑汇票）</w:t>
      </w:r>
    </w:p>
    <w:p w14:paraId="36776B88">
      <w:pPr>
        <w:pStyle w:val="76"/>
        <w:keepNext w:val="0"/>
        <w:keepLines w:val="0"/>
        <w:pageBreakBefore w:val="0"/>
        <w:widowControl w:val="0"/>
        <w:numPr>
          <w:ilvl w:val="0"/>
          <w:numId w:val="2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付款节点：</w:t>
      </w:r>
    </w:p>
    <w:p w14:paraId="775113C9">
      <w:pPr>
        <w:pStyle w:val="63"/>
        <w:numPr>
          <w:ilvl w:val="0"/>
          <w:numId w:val="30"/>
        </w:numPr>
        <w:adjustRightInd w:val="0"/>
        <w:snapToGrid w:val="0"/>
        <w:spacing w:line="400" w:lineRule="exact"/>
        <w:ind w:left="1140" w:leftChars="0" w:hanging="720" w:firstLineChars="0"/>
        <w:jc w:val="left"/>
        <w:rPr>
          <w:rFonts w:ascii="仿宋" w:hAnsi="仿宋" w:eastAsia="仿宋" w:cs="仿宋_GB2312"/>
          <w:bCs/>
          <w:sz w:val="24"/>
          <w:szCs w:val="24"/>
        </w:rPr>
      </w:pPr>
      <w:r>
        <w:rPr>
          <w:rFonts w:hint="eastAsia" w:ascii="仿宋" w:hAnsi="仿宋" w:eastAsia="仿宋" w:cs="仿宋_GB2312"/>
          <w:bCs/>
          <w:sz w:val="24"/>
          <w:szCs w:val="24"/>
        </w:rPr>
        <w:t>验收款：中标人完成按合同约定完成项目实施，次月由招标人组织验收，验收合格后通知中标人开具合同总金额</w:t>
      </w:r>
      <w:r>
        <w:rPr>
          <w:rFonts w:ascii="仿宋" w:hAnsi="仿宋" w:eastAsia="仿宋" w:cs="仿宋_GB2312"/>
          <w:bCs/>
          <w:sz w:val="24"/>
          <w:szCs w:val="24"/>
        </w:rPr>
        <w:t>100</w:t>
      </w:r>
      <w:r>
        <w:rPr>
          <w:rFonts w:hint="eastAsia" w:ascii="仿宋" w:hAnsi="仿宋" w:eastAsia="仿宋" w:cs="仿宋_GB2312"/>
          <w:bCs/>
          <w:sz w:val="24"/>
          <w:szCs w:val="24"/>
        </w:rPr>
        <w:t>%的增值税专用发票到招标人财务挂账，挂账后次月招标人向中标人支付合同总金额</w:t>
      </w:r>
      <w:r>
        <w:rPr>
          <w:rFonts w:ascii="仿宋" w:hAnsi="仿宋" w:eastAsia="仿宋" w:cs="仿宋_GB2312"/>
          <w:bCs/>
          <w:sz w:val="24"/>
          <w:szCs w:val="24"/>
        </w:rPr>
        <w:t>90</w:t>
      </w:r>
      <w:r>
        <w:rPr>
          <w:rFonts w:hint="eastAsia" w:ascii="仿宋" w:hAnsi="仿宋" w:eastAsia="仿宋" w:cs="仿宋_GB2312"/>
          <w:bCs/>
          <w:sz w:val="24"/>
          <w:szCs w:val="24"/>
        </w:rPr>
        <w:t>%款项。</w:t>
      </w:r>
    </w:p>
    <w:p w14:paraId="24B1AE6E">
      <w:pPr>
        <w:pStyle w:val="63"/>
        <w:numPr>
          <w:ilvl w:val="0"/>
          <w:numId w:val="30"/>
        </w:numPr>
        <w:adjustRightInd w:val="0"/>
        <w:snapToGrid w:val="0"/>
        <w:spacing w:line="400" w:lineRule="exact"/>
        <w:ind w:left="1140" w:leftChars="0" w:hanging="720" w:firstLineChars="0"/>
        <w:jc w:val="left"/>
        <w:rPr>
          <w:rFonts w:ascii="仿宋" w:hAnsi="仿宋" w:eastAsia="仿宋" w:cs="仿宋_GB2312"/>
          <w:bCs/>
          <w:sz w:val="24"/>
          <w:szCs w:val="24"/>
        </w:rPr>
      </w:pPr>
      <w:r>
        <w:rPr>
          <w:rFonts w:hint="eastAsia" w:ascii="仿宋" w:hAnsi="仿宋" w:eastAsia="仿宋" w:cs="仿宋_GB2312"/>
          <w:bCs/>
          <w:sz w:val="24"/>
          <w:szCs w:val="24"/>
        </w:rPr>
        <w:t>质保金：合同总价款的10%作为本合同约定的质量保证金，质量保证金在质量保证期内不计利息。终验收后一年质保期满，经招标人审核不存在未解决的质量问题后支付。如有质量问题，质量保证金予以相应扣除。</w:t>
      </w:r>
    </w:p>
    <w:p w14:paraId="0497352D">
      <w:pPr>
        <w:pStyle w:val="76"/>
        <w:keepNext w:val="0"/>
        <w:keepLines w:val="0"/>
        <w:pageBreakBefore w:val="0"/>
        <w:widowControl w:val="0"/>
        <w:numPr>
          <w:ilvl w:val="0"/>
          <w:numId w:val="2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eastAsia" w:cs="Times New Roman"/>
          <w:highlight w:val="none"/>
          <w:lang w:val="en-US" w:eastAsia="zh-CN"/>
        </w:rPr>
        <w:t>付款方式和付款比例不允许偏离</w:t>
      </w:r>
    </w:p>
    <w:p w14:paraId="6E0D743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lang w:val="en-US" w:eastAsia="zh-CN"/>
        </w:rPr>
      </w:pPr>
      <w:r>
        <w:rPr>
          <w:rFonts w:hint="eastAsia"/>
          <w:lang w:val="en-US" w:eastAsia="zh-CN"/>
        </w:rPr>
        <w:t>本次招标最终解释权归</w:t>
      </w:r>
      <w:r>
        <w:rPr>
          <w:rFonts w:hint="eastAsia"/>
          <w:highlight w:val="none"/>
          <w:lang w:val="en-US" w:eastAsia="zh-CN"/>
        </w:rPr>
        <w:t>重汽（重庆）轻型汽车有限公司</w:t>
      </w:r>
      <w:r>
        <w:rPr>
          <w:rFonts w:hint="eastAsia"/>
          <w:lang w:val="en-US" w:eastAsia="zh-CN"/>
        </w:rPr>
        <w:t>。</w:t>
      </w:r>
    </w:p>
    <w:p w14:paraId="66BCACD8">
      <w:pPr>
        <w:pStyle w:val="76"/>
        <w:bidi w:val="0"/>
      </w:pPr>
    </w:p>
    <w:p w14:paraId="243FF35F">
      <w:pPr>
        <w:pStyle w:val="76"/>
        <w:bidi w:val="0"/>
        <w:rPr>
          <w:rFonts w:hint="eastAsia"/>
        </w:rPr>
      </w:pPr>
      <w:bookmarkStart w:id="11" w:name="_Toc47976607"/>
    </w:p>
    <w:p w14:paraId="362F0A00">
      <w:pPr>
        <w:pStyle w:val="76"/>
        <w:bidi w:val="0"/>
        <w:rPr>
          <w:rFonts w:hint="eastAsia"/>
        </w:rPr>
      </w:pPr>
    </w:p>
    <w:p w14:paraId="10AEFF69">
      <w:pPr>
        <w:pStyle w:val="76"/>
        <w:bidi w:val="0"/>
        <w:rPr>
          <w:rFonts w:hint="eastAsia"/>
        </w:rPr>
      </w:pPr>
    </w:p>
    <w:p w14:paraId="16F7CE97">
      <w:pPr>
        <w:pStyle w:val="76"/>
        <w:bidi w:val="0"/>
        <w:rPr>
          <w:rFonts w:hint="eastAsia"/>
        </w:rPr>
      </w:pPr>
    </w:p>
    <w:p w14:paraId="23D42FBD">
      <w:pPr>
        <w:pStyle w:val="76"/>
        <w:bidi w:val="0"/>
        <w:rPr>
          <w:rFonts w:hint="eastAsia"/>
        </w:rPr>
      </w:pPr>
    </w:p>
    <w:p w14:paraId="7307E11A">
      <w:pPr>
        <w:pStyle w:val="76"/>
        <w:bidi w:val="0"/>
        <w:rPr>
          <w:rFonts w:hint="eastAsia"/>
        </w:rPr>
      </w:pPr>
    </w:p>
    <w:p w14:paraId="3A64B4FF">
      <w:pPr>
        <w:pStyle w:val="76"/>
        <w:bidi w:val="0"/>
        <w:rPr>
          <w:rFonts w:hint="eastAsia"/>
        </w:rPr>
      </w:pPr>
    </w:p>
    <w:p w14:paraId="3F9FB118">
      <w:pPr>
        <w:pStyle w:val="76"/>
        <w:bidi w:val="0"/>
        <w:rPr>
          <w:rFonts w:hint="eastAsia"/>
        </w:rPr>
      </w:pPr>
    </w:p>
    <w:p w14:paraId="319C0962">
      <w:pPr>
        <w:pStyle w:val="76"/>
        <w:bidi w:val="0"/>
        <w:rPr>
          <w:rFonts w:hint="eastAsia"/>
        </w:rPr>
      </w:pPr>
    </w:p>
    <w:p w14:paraId="26981F33">
      <w:pPr>
        <w:rPr>
          <w:rFonts w:hint="eastAsia"/>
        </w:rPr>
      </w:pPr>
    </w:p>
    <w:p w14:paraId="1D3BF604">
      <w:pPr>
        <w:rPr>
          <w:rFonts w:hint="eastAsia"/>
        </w:rPr>
      </w:pPr>
      <w:r>
        <w:rPr>
          <w:rFonts w:hint="eastAsia"/>
        </w:rPr>
        <w:br w:type="page"/>
      </w:r>
    </w:p>
    <w:p w14:paraId="1FB6CA61">
      <w:pPr>
        <w:pStyle w:val="71"/>
        <w:jc w:val="center"/>
        <w:rPr>
          <w:rFonts w:hint="default" w:eastAsia="黑体"/>
          <w:lang w:val="en-US" w:eastAsia="zh-CN"/>
        </w:rPr>
      </w:pPr>
      <w:bookmarkStart w:id="12" w:name="_Toc6428"/>
      <w:r>
        <w:rPr>
          <w:rFonts w:hint="eastAsia"/>
        </w:rPr>
        <w:t>第二部分　</w:t>
      </w:r>
      <w:bookmarkEnd w:id="11"/>
      <w:r>
        <w:rPr>
          <w:rFonts w:hint="eastAsia"/>
          <w:lang w:val="en-US" w:eastAsia="zh-CN"/>
        </w:rPr>
        <w:t>技术要求</w:t>
      </w:r>
      <w:bookmarkEnd w:id="12"/>
    </w:p>
    <w:p w14:paraId="4180E82B">
      <w:pPr>
        <w:pStyle w:val="59"/>
        <w:spacing w:line="360" w:lineRule="auto"/>
        <w:ind w:left="-44" w:leftChars="-21" w:firstLine="480" w:firstLineChars="200"/>
        <w:jc w:val="left"/>
        <w:rPr>
          <w:rFonts w:asciiTheme="minorEastAsia" w:hAnsiTheme="minorEastAsia" w:eastAsiaTheme="minorEastAsia"/>
          <w:b/>
          <w:sz w:val="24"/>
          <w:szCs w:val="24"/>
        </w:rPr>
      </w:pPr>
      <w:r>
        <w:rPr>
          <w:rFonts w:hint="eastAsia" w:asciiTheme="minorEastAsia" w:hAnsiTheme="minorEastAsia" w:eastAsiaTheme="minorEastAsia"/>
          <w:sz w:val="24"/>
          <w:szCs w:val="24"/>
        </w:rPr>
        <w:t>重汽（重庆）轻型汽车有限公司（以下简称：需方）委托供方承担需方重庆汽车</w:t>
      </w:r>
      <w:r>
        <w:rPr>
          <w:rFonts w:hint="eastAsia" w:ascii="Times New Roman" w:eastAsiaTheme="minorEastAsia"/>
          <w:sz w:val="24"/>
          <w:szCs w:val="24"/>
        </w:rPr>
        <w:t>涂装车间喷枪改造</w:t>
      </w:r>
      <w:r>
        <w:rPr>
          <w:rFonts w:hint="eastAsia" w:asciiTheme="minorEastAsia" w:hAnsiTheme="minorEastAsia" w:eastAsiaTheme="minorEastAsia"/>
          <w:sz w:val="24"/>
          <w:szCs w:val="24"/>
        </w:rPr>
        <w:t>项目，供方负责该项目</w:t>
      </w:r>
      <w:r>
        <w:rPr>
          <w:rFonts w:asciiTheme="minorEastAsia" w:hAnsiTheme="minorEastAsia" w:eastAsiaTheme="minorEastAsia"/>
          <w:sz w:val="24"/>
          <w:szCs w:val="24"/>
        </w:rPr>
        <w:t>的</w:t>
      </w:r>
      <w:r>
        <w:rPr>
          <w:rFonts w:hint="eastAsia" w:ascii="Times New Roman" w:eastAsiaTheme="minorEastAsia"/>
          <w:sz w:val="24"/>
          <w:szCs w:val="24"/>
        </w:rPr>
        <w:t>HVLP</w:t>
      </w:r>
      <w:r>
        <w:rPr>
          <w:rFonts w:hint="eastAsia" w:asciiTheme="minorEastAsia" w:hAnsiTheme="minorEastAsia" w:eastAsiaTheme="minorEastAsia"/>
          <w:sz w:val="24"/>
          <w:szCs w:val="24"/>
        </w:rPr>
        <w:t>喷枪的试验、试用、培训、供应</w:t>
      </w:r>
      <w:r>
        <w:rPr>
          <w:rFonts w:asciiTheme="minorEastAsia" w:hAnsiTheme="minorEastAsia" w:eastAsiaTheme="minorEastAsia"/>
          <w:sz w:val="24"/>
          <w:szCs w:val="24"/>
        </w:rPr>
        <w:t>等工作</w:t>
      </w:r>
      <w:r>
        <w:rPr>
          <w:rFonts w:hint="eastAsia" w:asciiTheme="minorEastAsia" w:hAnsiTheme="minorEastAsia" w:eastAsiaTheme="minorEastAsia"/>
          <w:sz w:val="24"/>
          <w:szCs w:val="24"/>
        </w:rPr>
        <w:t>。</w:t>
      </w:r>
    </w:p>
    <w:p w14:paraId="6849D22E">
      <w:pPr>
        <w:pStyle w:val="115"/>
        <w:spacing w:line="360" w:lineRule="auto"/>
        <w:outlineLvl w:val="1"/>
        <w:rPr>
          <w:rFonts w:asciiTheme="minorEastAsia" w:hAnsiTheme="minorEastAsia" w:eastAsiaTheme="minorEastAsia"/>
          <w:b/>
          <w:sz w:val="28"/>
          <w:szCs w:val="28"/>
          <w:lang w:val="zh-CN"/>
        </w:rPr>
      </w:pPr>
      <w:bookmarkStart w:id="13" w:name="_Toc27367647"/>
      <w:bookmarkStart w:id="14" w:name="_Toc23347331"/>
      <w:r>
        <w:rPr>
          <w:rFonts w:hint="eastAsia" w:asciiTheme="minorEastAsia" w:hAnsiTheme="minorEastAsia" w:eastAsiaTheme="minorEastAsia"/>
          <w:b/>
          <w:sz w:val="28"/>
          <w:szCs w:val="28"/>
        </w:rPr>
        <w:t>一、项目</w:t>
      </w:r>
      <w:r>
        <w:rPr>
          <w:rFonts w:hint="eastAsia" w:asciiTheme="minorEastAsia" w:hAnsiTheme="minorEastAsia" w:eastAsiaTheme="minorEastAsia"/>
          <w:b/>
          <w:kern w:val="0"/>
          <w:sz w:val="28"/>
          <w:szCs w:val="28"/>
        </w:rPr>
        <w:t>概况</w:t>
      </w:r>
    </w:p>
    <w:bookmarkEnd w:id="13"/>
    <w:bookmarkEnd w:id="14"/>
    <w:p w14:paraId="7540BFB3">
      <w:pPr>
        <w:spacing w:line="360" w:lineRule="auto"/>
        <w:rPr>
          <w:rFonts w:asciiTheme="minorEastAsia" w:hAnsiTheme="minorEastAsia" w:eastAsiaTheme="minorEastAsia"/>
          <w:sz w:val="24"/>
          <w:lang w:val="zh-CN"/>
        </w:rPr>
      </w:pPr>
      <w:bookmarkStart w:id="15" w:name="_Toc27367648"/>
      <w:r>
        <w:rPr>
          <w:rFonts w:hint="eastAsia" w:eastAsiaTheme="minorEastAsia"/>
          <w:sz w:val="24"/>
          <w:szCs w:val="22"/>
          <w:lang w:val="zh-CN"/>
        </w:rPr>
        <w:t>1</w:t>
      </w:r>
      <w:r>
        <w:rPr>
          <w:rFonts w:hint="eastAsia" w:asciiTheme="minorEastAsia" w:hAnsiTheme="minorEastAsia" w:eastAsiaTheme="minorEastAsia"/>
          <w:sz w:val="24"/>
          <w:lang w:val="zh-CN"/>
        </w:rPr>
        <w:t>、项目名称</w:t>
      </w:r>
    </w:p>
    <w:p w14:paraId="2CCF3EDF">
      <w:pPr>
        <w:pStyle w:val="63"/>
        <w:spacing w:line="360" w:lineRule="auto"/>
        <w:ind w:left="360" w:firstLine="0" w:firstLineChars="0"/>
        <w:rPr>
          <w:rFonts w:asciiTheme="minorEastAsia" w:hAnsiTheme="minorEastAsia" w:eastAsiaTheme="minorEastAsia"/>
          <w:sz w:val="24"/>
          <w:lang w:val="zh-CN"/>
        </w:rPr>
      </w:pPr>
      <w:r>
        <w:rPr>
          <w:rFonts w:hint="eastAsia" w:asciiTheme="minorEastAsia" w:hAnsiTheme="minorEastAsia" w:eastAsiaTheme="minorEastAsia"/>
          <w:sz w:val="24"/>
        </w:rPr>
        <w:t>涂装</w:t>
      </w:r>
      <w:r>
        <w:rPr>
          <w:rFonts w:hint="eastAsia" w:ascii="Times New Roman" w:hAnsi="Times New Roman" w:eastAsiaTheme="minorEastAsia"/>
          <w:sz w:val="24"/>
          <w:szCs w:val="24"/>
        </w:rPr>
        <w:t>车间</w:t>
      </w:r>
      <w:r>
        <w:rPr>
          <w:rFonts w:hint="eastAsia" w:asciiTheme="minorEastAsia" w:hAnsiTheme="minorEastAsia" w:eastAsiaTheme="minorEastAsia"/>
          <w:sz w:val="24"/>
        </w:rPr>
        <w:t>喷枪改造</w:t>
      </w:r>
      <w:r>
        <w:rPr>
          <w:rFonts w:hint="eastAsia" w:asciiTheme="minorEastAsia" w:hAnsiTheme="minorEastAsia" w:eastAsiaTheme="minorEastAsia"/>
          <w:sz w:val="24"/>
          <w:lang w:val="zh-CN"/>
        </w:rPr>
        <w:t>项目</w:t>
      </w:r>
    </w:p>
    <w:p w14:paraId="05F6E755">
      <w:pPr>
        <w:spacing w:line="360" w:lineRule="auto"/>
        <w:rPr>
          <w:rFonts w:asciiTheme="minorEastAsia" w:hAnsiTheme="minorEastAsia" w:eastAsiaTheme="minorEastAsia"/>
          <w:sz w:val="24"/>
          <w:lang w:val="zh-CN"/>
        </w:rPr>
      </w:pPr>
      <w:r>
        <w:rPr>
          <w:rFonts w:hint="eastAsia" w:eastAsiaTheme="minorEastAsia"/>
          <w:sz w:val="24"/>
          <w:szCs w:val="22"/>
          <w:lang w:val="zh-CN"/>
        </w:rPr>
        <w:t>2</w:t>
      </w:r>
      <w:r>
        <w:rPr>
          <w:rFonts w:hint="eastAsia" w:asciiTheme="minorEastAsia" w:hAnsiTheme="minorEastAsia" w:eastAsiaTheme="minorEastAsia"/>
          <w:sz w:val="24"/>
          <w:lang w:val="zh-CN"/>
        </w:rPr>
        <w:t>、</w:t>
      </w:r>
      <w:r>
        <w:rPr>
          <w:rFonts w:hint="eastAsia" w:asciiTheme="minorEastAsia" w:hAnsiTheme="minorEastAsia" w:eastAsiaTheme="minorEastAsia"/>
          <w:sz w:val="24"/>
        </w:rPr>
        <w:t>需方</w:t>
      </w:r>
    </w:p>
    <w:p w14:paraId="510C8B1A">
      <w:pPr>
        <w:pStyle w:val="63"/>
        <w:spacing w:line="360" w:lineRule="auto"/>
        <w:ind w:left="360" w:firstLine="0" w:firstLineChars="0"/>
        <w:rPr>
          <w:rFonts w:asciiTheme="minorEastAsia" w:hAnsiTheme="minorEastAsia" w:eastAsiaTheme="minorEastAsia"/>
          <w:sz w:val="24"/>
          <w:lang w:val="zh-CN"/>
        </w:rPr>
      </w:pPr>
      <w:r>
        <w:rPr>
          <w:rFonts w:hint="eastAsia" w:asciiTheme="minorEastAsia" w:hAnsiTheme="minorEastAsia" w:eastAsiaTheme="minorEastAsia"/>
          <w:sz w:val="24"/>
          <w:lang w:val="zh-CN"/>
        </w:rPr>
        <w:t>重汽（重庆）轻型汽车有限公司</w:t>
      </w:r>
    </w:p>
    <w:p w14:paraId="7052D2BF">
      <w:pPr>
        <w:spacing w:line="360" w:lineRule="auto"/>
        <w:rPr>
          <w:rFonts w:asciiTheme="minorEastAsia" w:hAnsiTheme="minorEastAsia" w:eastAsiaTheme="minorEastAsia"/>
          <w:sz w:val="24"/>
          <w:lang w:val="zh-CN"/>
        </w:rPr>
      </w:pPr>
      <w:r>
        <w:rPr>
          <w:rFonts w:hint="eastAsia" w:eastAsiaTheme="minorEastAsia"/>
          <w:sz w:val="24"/>
          <w:szCs w:val="22"/>
          <w:lang w:val="zh-CN"/>
        </w:rPr>
        <w:t>3</w:t>
      </w:r>
      <w:r>
        <w:rPr>
          <w:rFonts w:hint="eastAsia" w:asciiTheme="minorEastAsia" w:hAnsiTheme="minorEastAsia" w:eastAsiaTheme="minorEastAsia"/>
          <w:sz w:val="24"/>
          <w:lang w:val="zh-CN"/>
        </w:rPr>
        <w:t>、项目地点</w:t>
      </w:r>
    </w:p>
    <w:p w14:paraId="4FFB1458">
      <w:pPr>
        <w:spacing w:line="360" w:lineRule="auto"/>
        <w:rPr>
          <w:rFonts w:asciiTheme="minorEastAsia" w:hAnsiTheme="minorEastAsia" w:eastAsiaTheme="minorEastAsia"/>
          <w:sz w:val="24"/>
          <w:lang w:val="zh-CN"/>
        </w:rPr>
      </w:pPr>
      <w:r>
        <w:rPr>
          <w:rFonts w:hint="eastAsia" w:asciiTheme="minorEastAsia" w:hAnsiTheme="minorEastAsia" w:eastAsiaTheme="minorEastAsia"/>
          <w:sz w:val="24"/>
          <w:lang w:val="zh-CN"/>
        </w:rPr>
        <w:t xml:space="preserve"> </w:t>
      </w:r>
      <w:r>
        <w:rPr>
          <w:rFonts w:asciiTheme="minorEastAsia" w:hAnsiTheme="minorEastAsia" w:eastAsiaTheme="minorEastAsia"/>
          <w:sz w:val="24"/>
          <w:lang w:val="zh-CN"/>
        </w:rPr>
        <w:t xml:space="preserve">  </w:t>
      </w:r>
      <w:r>
        <w:rPr>
          <w:rFonts w:hint="eastAsia" w:asciiTheme="minorEastAsia" w:hAnsiTheme="minorEastAsia" w:eastAsiaTheme="minorEastAsia"/>
          <w:sz w:val="24"/>
          <w:lang w:val="zh-CN"/>
        </w:rPr>
        <w:t>重庆市江津区双福新区潍柴路</w:t>
      </w:r>
      <w:r>
        <w:rPr>
          <w:rFonts w:hint="eastAsia" w:eastAsiaTheme="minorEastAsia"/>
          <w:sz w:val="24"/>
          <w:szCs w:val="22"/>
          <w:lang w:val="zh-CN"/>
        </w:rPr>
        <w:t>2</w:t>
      </w:r>
      <w:r>
        <w:rPr>
          <w:rFonts w:hint="eastAsia" w:asciiTheme="minorEastAsia" w:hAnsiTheme="minorEastAsia" w:eastAsiaTheme="minorEastAsia"/>
          <w:sz w:val="24"/>
          <w:lang w:val="zh-CN"/>
        </w:rPr>
        <w:t>号（重庆汽车公司内）</w:t>
      </w:r>
    </w:p>
    <w:p w14:paraId="52FE76DB">
      <w:pPr>
        <w:spacing w:line="360" w:lineRule="auto"/>
        <w:rPr>
          <w:rFonts w:asciiTheme="minorEastAsia" w:hAnsiTheme="minorEastAsia" w:eastAsiaTheme="minorEastAsia"/>
          <w:sz w:val="24"/>
        </w:rPr>
      </w:pPr>
      <w:r>
        <w:rPr>
          <w:rFonts w:hint="eastAsia" w:asciiTheme="minorEastAsia" w:hAnsiTheme="minorEastAsia" w:eastAsiaTheme="minorEastAsia"/>
          <w:sz w:val="24"/>
        </w:rPr>
        <w:t>4、使用环境</w:t>
      </w:r>
    </w:p>
    <w:p w14:paraId="01FBB294">
      <w:pPr>
        <w:spacing w:line="360" w:lineRule="auto"/>
        <w:ind w:firstLine="420" w:firstLineChars="175"/>
        <w:rPr>
          <w:rFonts w:asciiTheme="minorEastAsia" w:hAnsiTheme="minorEastAsia" w:eastAsiaTheme="minorEastAsia"/>
          <w:sz w:val="24"/>
        </w:rPr>
      </w:pPr>
      <w:r>
        <w:rPr>
          <w:rFonts w:hint="eastAsia" w:asciiTheme="minorEastAsia" w:hAnsiTheme="minorEastAsia" w:eastAsiaTheme="minorEastAsia"/>
          <w:sz w:val="24"/>
          <w:szCs w:val="22"/>
        </w:rPr>
        <w:t>中涂、色漆、面漆喷房内</w:t>
      </w:r>
    </w:p>
    <w:p w14:paraId="1B0F17AD">
      <w:pPr>
        <w:spacing w:line="360" w:lineRule="auto"/>
        <w:jc w:val="left"/>
        <w:rPr>
          <w:rFonts w:asciiTheme="minorEastAsia" w:hAnsiTheme="minorEastAsia" w:eastAsiaTheme="minorEastAsia"/>
          <w:sz w:val="24"/>
          <w:lang w:val="en-GB"/>
        </w:rPr>
      </w:pPr>
      <w:r>
        <w:rPr>
          <w:rFonts w:hint="eastAsia" w:eastAsiaTheme="minorEastAsia"/>
          <w:sz w:val="24"/>
          <w:szCs w:val="22"/>
        </w:rPr>
        <w:t>5</w:t>
      </w:r>
      <w:r>
        <w:rPr>
          <w:rFonts w:hint="eastAsia" w:asciiTheme="minorEastAsia" w:hAnsiTheme="minorEastAsia" w:eastAsiaTheme="minorEastAsia"/>
          <w:sz w:val="24"/>
          <w:lang w:val="en-GB"/>
        </w:rPr>
        <w:t>、项目时间节点</w:t>
      </w:r>
    </w:p>
    <w:p w14:paraId="0331074C">
      <w:pPr>
        <w:spacing w:line="360" w:lineRule="auto"/>
        <w:ind w:firstLine="420" w:firstLineChars="175"/>
        <w:rPr>
          <w:rFonts w:eastAsiaTheme="minorEastAsia"/>
          <w:sz w:val="24"/>
          <w:szCs w:val="22"/>
        </w:rPr>
      </w:pPr>
      <w:r>
        <w:rPr>
          <w:rFonts w:hint="eastAsia" w:eastAsiaTheme="minorEastAsia"/>
          <w:sz w:val="24"/>
          <w:szCs w:val="22"/>
        </w:rPr>
        <w:t>合同签订后15天内交齐本项目货物。</w:t>
      </w:r>
    </w:p>
    <w:p w14:paraId="368208B8">
      <w:pPr>
        <w:pStyle w:val="115"/>
        <w:spacing w:line="360" w:lineRule="auto"/>
        <w:outlineLvl w:val="1"/>
        <w:rPr>
          <w:rFonts w:asciiTheme="minorEastAsia" w:hAnsiTheme="minorEastAsia" w:eastAsiaTheme="minorEastAsia"/>
          <w:b/>
          <w:sz w:val="28"/>
          <w:szCs w:val="28"/>
        </w:rPr>
      </w:pPr>
      <w:r>
        <w:rPr>
          <w:rFonts w:hint="eastAsia" w:asciiTheme="minorEastAsia" w:hAnsiTheme="minorEastAsia" w:eastAsiaTheme="minorEastAsia"/>
          <w:b/>
          <w:sz w:val="28"/>
          <w:szCs w:val="28"/>
        </w:rPr>
        <w:t>二、采购清单</w:t>
      </w:r>
    </w:p>
    <w:p w14:paraId="76515F4E">
      <w:pPr>
        <w:pStyle w:val="115"/>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供方提供以下货物：</w:t>
      </w:r>
    </w:p>
    <w:tbl>
      <w:tblPr>
        <w:tblStyle w:val="3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2"/>
        <w:gridCol w:w="2433"/>
        <w:gridCol w:w="4732"/>
        <w:gridCol w:w="1449"/>
      </w:tblGrid>
      <w:tr w14:paraId="1578B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62" w:type="pct"/>
            <w:vAlign w:val="center"/>
          </w:tcPr>
          <w:p w14:paraId="02BDC633">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序号</w:t>
            </w:r>
          </w:p>
        </w:tc>
        <w:tc>
          <w:tcPr>
            <w:tcW w:w="1310" w:type="pct"/>
            <w:vAlign w:val="center"/>
          </w:tcPr>
          <w:p w14:paraId="2AF6B10B">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设备名称</w:t>
            </w:r>
          </w:p>
        </w:tc>
        <w:tc>
          <w:tcPr>
            <w:tcW w:w="2548" w:type="pct"/>
            <w:vAlign w:val="center"/>
          </w:tcPr>
          <w:p w14:paraId="76277C14">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品牌</w:t>
            </w:r>
          </w:p>
        </w:tc>
        <w:tc>
          <w:tcPr>
            <w:tcW w:w="780" w:type="pct"/>
            <w:vAlign w:val="center"/>
          </w:tcPr>
          <w:p w14:paraId="58326F22">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数量/套</w:t>
            </w:r>
          </w:p>
        </w:tc>
      </w:tr>
      <w:tr w14:paraId="6A6BF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62" w:type="pct"/>
            <w:vAlign w:val="center"/>
          </w:tcPr>
          <w:p w14:paraId="5E07C2F1">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w:t>
            </w:r>
          </w:p>
        </w:tc>
        <w:tc>
          <w:tcPr>
            <w:tcW w:w="1310" w:type="pct"/>
            <w:vAlign w:val="center"/>
          </w:tcPr>
          <w:p w14:paraId="54D8CB26">
            <w:pPr>
              <w:jc w:val="center"/>
              <w:rPr>
                <w:rFonts w:asciiTheme="minorEastAsia" w:hAnsiTheme="minorEastAsia" w:eastAsiaTheme="minorEastAsia" w:cstheme="minorEastAsia"/>
                <w:sz w:val="24"/>
              </w:rPr>
            </w:pPr>
            <w:r>
              <w:rPr>
                <w:rFonts w:hint="eastAsia" w:eastAsiaTheme="minorEastAsia"/>
                <w:sz w:val="24"/>
                <w:szCs w:val="22"/>
              </w:rPr>
              <w:t>HVLP</w:t>
            </w:r>
            <w:r>
              <w:rPr>
                <w:rFonts w:hint="eastAsia" w:asciiTheme="minorEastAsia" w:hAnsiTheme="minorEastAsia" w:eastAsiaTheme="minorEastAsia" w:cstheme="minorEastAsia"/>
                <w:sz w:val="24"/>
              </w:rPr>
              <w:t>喷枪，压送式</w:t>
            </w:r>
          </w:p>
        </w:tc>
        <w:tc>
          <w:tcPr>
            <w:tcW w:w="2548" w:type="pct"/>
            <w:vAlign w:val="center"/>
          </w:tcPr>
          <w:p w14:paraId="70E456E4">
            <w:pPr>
              <w:jc w:val="center"/>
              <w:rPr>
                <w:rFonts w:asciiTheme="minorEastAsia" w:hAnsiTheme="minorEastAsia" w:eastAsiaTheme="minorEastAsia" w:cstheme="minorEastAsia"/>
                <w:sz w:val="24"/>
              </w:rPr>
            </w:pPr>
            <w:r>
              <w:rPr>
                <w:rFonts w:hint="eastAsia"/>
                <w:sz w:val="24"/>
              </w:rPr>
              <w:t>SATA、GRACO、岩田</w:t>
            </w:r>
            <w:r>
              <w:rPr>
                <w:rFonts w:hint="eastAsia" w:ascii="宋体" w:hAnsi="宋体" w:cs="宋体"/>
                <w:sz w:val="24"/>
              </w:rPr>
              <w:t>等同等水平品牌</w:t>
            </w:r>
          </w:p>
        </w:tc>
        <w:tc>
          <w:tcPr>
            <w:tcW w:w="780" w:type="pct"/>
            <w:vAlign w:val="center"/>
          </w:tcPr>
          <w:p w14:paraId="7AD3449B">
            <w:pPr>
              <w:jc w:val="center"/>
              <w:rPr>
                <w:rFonts w:asciiTheme="minorEastAsia" w:hAnsiTheme="minorEastAsia" w:eastAsiaTheme="minorEastAsia" w:cstheme="minorEastAsia"/>
                <w:sz w:val="24"/>
              </w:rPr>
            </w:pPr>
            <w:r>
              <w:rPr>
                <w:rFonts w:hint="eastAsia" w:eastAsiaTheme="minorEastAsia"/>
                <w:sz w:val="24"/>
                <w:szCs w:val="22"/>
              </w:rPr>
              <w:t>20</w:t>
            </w:r>
          </w:p>
        </w:tc>
      </w:tr>
    </w:tbl>
    <w:p w14:paraId="781FD0C3">
      <w:pPr>
        <w:pStyle w:val="115"/>
        <w:spacing w:line="360" w:lineRule="auto"/>
        <w:rPr>
          <w:rFonts w:asciiTheme="minorEastAsia" w:hAnsiTheme="minorEastAsia" w:eastAsiaTheme="minorEastAsia"/>
          <w:b/>
          <w:sz w:val="24"/>
        </w:rPr>
      </w:pPr>
    </w:p>
    <w:p w14:paraId="25A01FAD">
      <w:pPr>
        <w:pStyle w:val="115"/>
        <w:numPr>
          <w:ilvl w:val="0"/>
          <w:numId w:val="31"/>
        </w:numPr>
        <w:spacing w:line="360" w:lineRule="auto"/>
        <w:outlineLvl w:val="1"/>
        <w:rPr>
          <w:rFonts w:asciiTheme="minorEastAsia" w:hAnsiTheme="minorEastAsia" w:eastAsiaTheme="minorEastAsia"/>
          <w:b/>
          <w:sz w:val="28"/>
          <w:szCs w:val="28"/>
        </w:rPr>
      </w:pPr>
      <w:r>
        <w:rPr>
          <w:rFonts w:hint="eastAsia" w:asciiTheme="minorEastAsia" w:hAnsiTheme="minorEastAsia" w:eastAsiaTheme="minorEastAsia"/>
          <w:b/>
          <w:sz w:val="28"/>
          <w:szCs w:val="28"/>
        </w:rPr>
        <w:t>技术要求</w:t>
      </w:r>
      <w:bookmarkEnd w:id="15"/>
    </w:p>
    <w:p w14:paraId="33300752">
      <w:pPr>
        <w:pStyle w:val="115"/>
        <w:numPr>
          <w:ilvl w:val="0"/>
          <w:numId w:val="32"/>
        </w:numPr>
        <w:spacing w:line="360" w:lineRule="auto"/>
        <w:rPr>
          <w:sz w:val="24"/>
          <w:szCs w:val="32"/>
        </w:rPr>
      </w:pPr>
      <w:r>
        <w:rPr>
          <w:rFonts w:hint="eastAsia"/>
          <w:sz w:val="24"/>
          <w:szCs w:val="32"/>
        </w:rPr>
        <w:t>本项目中的HVLP喷枪要求在汽车主机厂的使用案例不小于2个，且正在使用，每个案例使用的喷枪数不小于6把，供方提交不限于技术协议、合同等的佐证材料。</w:t>
      </w:r>
    </w:p>
    <w:p w14:paraId="77852D57">
      <w:pPr>
        <w:pStyle w:val="115"/>
        <w:numPr>
          <w:ilvl w:val="0"/>
          <w:numId w:val="32"/>
        </w:numPr>
        <w:spacing w:line="360" w:lineRule="auto"/>
        <w:rPr>
          <w:sz w:val="24"/>
          <w:szCs w:val="32"/>
        </w:rPr>
      </w:pPr>
      <w:r>
        <w:rPr>
          <w:rFonts w:hint="eastAsia"/>
          <w:sz w:val="24"/>
          <w:szCs w:val="32"/>
        </w:rPr>
        <w:t>需方涂料供应现采用管中管自动压送供应，枪站涂料压力约为0.6-0.8MPa，空气压力约为0.5-0.6MPa。</w:t>
      </w:r>
    </w:p>
    <w:p w14:paraId="37474584">
      <w:pPr>
        <w:pStyle w:val="115"/>
        <w:numPr>
          <w:ilvl w:val="0"/>
          <w:numId w:val="32"/>
        </w:numPr>
        <w:spacing w:line="360" w:lineRule="auto"/>
        <w:rPr>
          <w:rFonts w:eastAsiaTheme="minorEastAsia"/>
          <w:sz w:val="24"/>
        </w:rPr>
      </w:pPr>
      <w:r>
        <w:rPr>
          <w:rFonts w:hint="eastAsia"/>
          <w:sz w:val="24"/>
          <w:szCs w:val="32"/>
        </w:rPr>
        <w:t>需方现有涂料采用溶剂型，油漆施工粘度约为13-30s（涂4杯）。</w:t>
      </w:r>
    </w:p>
    <w:p w14:paraId="25454DAF">
      <w:pPr>
        <w:pStyle w:val="115"/>
        <w:numPr>
          <w:ilvl w:val="0"/>
          <w:numId w:val="32"/>
        </w:numPr>
        <w:spacing w:line="360" w:lineRule="auto"/>
        <w:rPr>
          <w:rFonts w:eastAsiaTheme="minorEastAsia"/>
          <w:sz w:val="24"/>
        </w:rPr>
      </w:pPr>
      <w:r>
        <w:rPr>
          <w:rFonts w:hint="eastAsia" w:eastAsiaTheme="minorEastAsia"/>
          <w:sz w:val="24"/>
        </w:rPr>
        <w:t>喷枪自带的油漆管路接口采用快捷插拔头，另外不需压力数显，不需枪下过滤。</w:t>
      </w:r>
    </w:p>
    <w:p w14:paraId="6A773BFC">
      <w:pPr>
        <w:pStyle w:val="115"/>
        <w:numPr>
          <w:ilvl w:val="0"/>
          <w:numId w:val="32"/>
        </w:numPr>
        <w:spacing w:line="360" w:lineRule="auto"/>
        <w:rPr>
          <w:rFonts w:ascii="宋体" w:hAnsi="宋体"/>
          <w:bCs/>
          <w:sz w:val="24"/>
        </w:rPr>
      </w:pPr>
      <w:r>
        <w:rPr>
          <w:rFonts w:hint="eastAsia" w:eastAsiaTheme="minorEastAsia"/>
          <w:sz w:val="24"/>
        </w:rPr>
        <w:t>HVLP压送喷枪上漆率理论上不得低于65%，并满足</w:t>
      </w:r>
      <w:r>
        <w:rPr>
          <w:rFonts w:hint="eastAsia" w:ascii="宋体" w:hAnsi="宋体" w:cs="宋体"/>
          <w:sz w:val="24"/>
        </w:rPr>
        <w:t>相关标准</w:t>
      </w:r>
      <w:r>
        <w:rPr>
          <w:rFonts w:hint="eastAsia" w:eastAsiaTheme="minorEastAsia"/>
          <w:sz w:val="24"/>
        </w:rPr>
        <w:t>。</w:t>
      </w:r>
    </w:p>
    <w:p w14:paraId="321A4582">
      <w:pPr>
        <w:pStyle w:val="115"/>
        <w:numPr>
          <w:ilvl w:val="0"/>
          <w:numId w:val="32"/>
        </w:numPr>
        <w:spacing w:line="360" w:lineRule="auto"/>
        <w:rPr>
          <w:rFonts w:ascii="宋体" w:hAnsi="宋体"/>
          <w:bCs/>
          <w:sz w:val="24"/>
        </w:rPr>
      </w:pPr>
      <w:r>
        <w:rPr>
          <w:rFonts w:hint="eastAsia" w:eastAsiaTheme="minorEastAsia"/>
          <w:sz w:val="24"/>
        </w:rPr>
        <w:t>喷枪所属部件、配件均包含在本项目，供方提供的喷枪应满足可以直接在需方使用的要求，不得出现喷枪与需方现场相关接口不配套的情况，且不得以任何理由要求任何增补。</w:t>
      </w:r>
    </w:p>
    <w:p w14:paraId="288D85FA">
      <w:pPr>
        <w:pStyle w:val="115"/>
        <w:numPr>
          <w:ilvl w:val="0"/>
          <w:numId w:val="32"/>
        </w:numPr>
        <w:spacing w:line="360" w:lineRule="auto"/>
        <w:rPr>
          <w:rFonts w:ascii="宋体" w:hAnsi="宋体"/>
          <w:bCs/>
          <w:sz w:val="24"/>
        </w:rPr>
      </w:pPr>
      <w:r>
        <w:rPr>
          <w:rFonts w:hint="eastAsia" w:ascii="宋体" w:hAnsi="宋体"/>
          <w:bCs/>
          <w:sz w:val="24"/>
        </w:rPr>
        <w:t>允许供方到需方现场实地考察、交流。</w:t>
      </w:r>
    </w:p>
    <w:p w14:paraId="5F832799">
      <w:pPr>
        <w:pStyle w:val="115"/>
        <w:numPr>
          <w:ilvl w:val="0"/>
          <w:numId w:val="32"/>
        </w:numPr>
        <w:spacing w:line="360" w:lineRule="auto"/>
        <w:rPr>
          <w:rFonts w:ascii="宋体" w:hAnsi="宋体"/>
          <w:bCs/>
          <w:sz w:val="24"/>
        </w:rPr>
      </w:pPr>
      <w:r>
        <w:rPr>
          <w:rFonts w:hint="eastAsia" w:ascii="宋体" w:hAnsi="宋体"/>
          <w:bCs/>
          <w:sz w:val="24"/>
        </w:rPr>
        <w:t>供方提交的货物到需方现场后，涉及到任何相关问题，供方应在</w:t>
      </w:r>
      <w:r>
        <w:rPr>
          <w:rFonts w:hint="eastAsia"/>
          <w:bCs/>
          <w:sz w:val="24"/>
        </w:rPr>
        <w:t>24</w:t>
      </w:r>
      <w:r>
        <w:rPr>
          <w:rFonts w:hint="eastAsia" w:ascii="宋体" w:hAnsi="宋体"/>
          <w:bCs/>
          <w:sz w:val="24"/>
        </w:rPr>
        <w:t>小时内派人到需方现场解决。</w:t>
      </w:r>
    </w:p>
    <w:p w14:paraId="5F4BFFC6">
      <w:pPr>
        <w:pStyle w:val="115"/>
        <w:numPr>
          <w:ilvl w:val="0"/>
          <w:numId w:val="32"/>
        </w:numPr>
        <w:spacing w:line="360" w:lineRule="auto"/>
        <w:rPr>
          <w:rFonts w:ascii="宋体" w:hAnsi="宋体"/>
          <w:bCs/>
          <w:sz w:val="24"/>
        </w:rPr>
      </w:pPr>
      <w:r>
        <w:rPr>
          <w:rFonts w:hint="eastAsia" w:ascii="宋体" w:hAnsi="宋体"/>
          <w:bCs/>
          <w:sz w:val="24"/>
        </w:rPr>
        <w:t>在项目验收前，若出现喷枪自身的问题，供方应在</w:t>
      </w:r>
      <w:r>
        <w:rPr>
          <w:bCs/>
          <w:sz w:val="24"/>
        </w:rPr>
        <w:t>24</w:t>
      </w:r>
      <w:r>
        <w:rPr>
          <w:rFonts w:hint="eastAsia" w:ascii="宋体" w:hAnsi="宋体"/>
          <w:bCs/>
          <w:sz w:val="24"/>
        </w:rPr>
        <w:t>小时内查明原因，并在</w:t>
      </w:r>
      <w:r>
        <w:rPr>
          <w:rFonts w:hint="eastAsia"/>
          <w:bCs/>
          <w:sz w:val="24"/>
        </w:rPr>
        <w:t>3</w:t>
      </w:r>
      <w:r>
        <w:rPr>
          <w:rFonts w:hint="eastAsia" w:ascii="宋体" w:hAnsi="宋体"/>
          <w:bCs/>
          <w:sz w:val="24"/>
        </w:rPr>
        <w:t>个工作日内，免费提供全新的喷枪给需方，全新喷枪的数量与故障喷枪的数量相同。</w:t>
      </w:r>
    </w:p>
    <w:p w14:paraId="40CA4845">
      <w:pPr>
        <w:pStyle w:val="115"/>
        <w:numPr>
          <w:ilvl w:val="0"/>
          <w:numId w:val="32"/>
        </w:numPr>
        <w:spacing w:line="360" w:lineRule="auto"/>
        <w:rPr>
          <w:rFonts w:ascii="宋体" w:hAnsi="宋体"/>
          <w:bCs/>
          <w:sz w:val="24"/>
        </w:rPr>
      </w:pPr>
      <w:r>
        <w:rPr>
          <w:rFonts w:hint="eastAsia" w:ascii="宋体" w:hAnsi="宋体"/>
          <w:bCs/>
          <w:sz w:val="24"/>
        </w:rPr>
        <w:t>喷枪口径按</w:t>
      </w:r>
      <w:r>
        <w:rPr>
          <w:rFonts w:hint="eastAsia"/>
          <w:bCs/>
          <w:sz w:val="24"/>
        </w:rPr>
        <w:t>1.2-1.6mm</w:t>
      </w:r>
      <w:r>
        <w:rPr>
          <w:rFonts w:hint="eastAsia" w:ascii="宋体" w:hAnsi="宋体"/>
          <w:bCs/>
          <w:sz w:val="24"/>
        </w:rPr>
        <w:t>，中标后按需方试用需要提供对应口径喷枪，需方试用</w:t>
      </w:r>
      <w:r>
        <w:rPr>
          <w:rFonts w:hint="eastAsia"/>
          <w:bCs/>
          <w:sz w:val="24"/>
        </w:rPr>
        <w:t>7</w:t>
      </w:r>
      <w:r>
        <w:rPr>
          <w:rFonts w:hint="eastAsia" w:ascii="宋体" w:hAnsi="宋体"/>
          <w:bCs/>
          <w:sz w:val="24"/>
        </w:rPr>
        <w:t>天后反馈较为适应现场所需的口径，供方不能因口径变化要求增补任何费用。</w:t>
      </w:r>
    </w:p>
    <w:p w14:paraId="2D86C2F6">
      <w:pPr>
        <w:pStyle w:val="115"/>
        <w:numPr>
          <w:ilvl w:val="0"/>
          <w:numId w:val="32"/>
        </w:numPr>
        <w:spacing w:line="360" w:lineRule="auto"/>
        <w:rPr>
          <w:rFonts w:ascii="宋体" w:hAnsi="宋体"/>
          <w:bCs/>
          <w:sz w:val="24"/>
        </w:rPr>
      </w:pPr>
      <w:r>
        <w:rPr>
          <w:rFonts w:hint="eastAsia"/>
          <w:bCs/>
          <w:sz w:val="24"/>
        </w:rPr>
        <w:t>HVLP</w:t>
      </w:r>
      <w:r>
        <w:rPr>
          <w:rFonts w:hint="eastAsia" w:ascii="宋体" w:hAnsi="宋体"/>
          <w:bCs/>
          <w:sz w:val="24"/>
        </w:rPr>
        <w:t>空气帽压力不得高于</w:t>
      </w:r>
      <w:r>
        <w:rPr>
          <w:rFonts w:hint="eastAsia"/>
          <w:bCs/>
          <w:sz w:val="24"/>
        </w:rPr>
        <w:t>0.07MPa</w:t>
      </w:r>
      <w:r>
        <w:rPr>
          <w:rFonts w:hint="eastAsia" w:ascii="宋体" w:hAnsi="宋体"/>
          <w:bCs/>
          <w:sz w:val="24"/>
        </w:rPr>
        <w:t>。喷幅约</w:t>
      </w:r>
      <w:r>
        <w:rPr>
          <w:rFonts w:hint="eastAsia"/>
          <w:bCs/>
          <w:sz w:val="24"/>
        </w:rPr>
        <w:t>20-35cm</w:t>
      </w:r>
      <w:r>
        <w:rPr>
          <w:rFonts w:hint="eastAsia" w:ascii="宋体" w:hAnsi="宋体"/>
          <w:bCs/>
          <w:sz w:val="24"/>
        </w:rPr>
        <w:t>可调。</w:t>
      </w:r>
    </w:p>
    <w:p w14:paraId="53985778">
      <w:pPr>
        <w:pStyle w:val="115"/>
        <w:spacing w:line="360" w:lineRule="auto"/>
        <w:outlineLvl w:val="1"/>
        <w:rPr>
          <w:rFonts w:asciiTheme="minorEastAsia" w:hAnsiTheme="minorEastAsia" w:eastAsiaTheme="minorEastAsia"/>
          <w:b/>
          <w:sz w:val="24"/>
        </w:rPr>
      </w:pPr>
      <w:r>
        <w:rPr>
          <w:rFonts w:hint="eastAsia" w:asciiTheme="minorEastAsia" w:hAnsiTheme="minorEastAsia" w:eastAsiaTheme="minorEastAsia"/>
          <w:b/>
          <w:sz w:val="24"/>
        </w:rPr>
        <w:t>四、验收条款</w:t>
      </w:r>
    </w:p>
    <w:p w14:paraId="4DC4F9E0">
      <w:pPr>
        <w:pStyle w:val="63"/>
        <w:autoSpaceDE w:val="0"/>
        <w:autoSpaceDN w:val="0"/>
        <w:adjustRightInd w:val="0"/>
        <w:spacing w:line="360" w:lineRule="auto"/>
        <w:ind w:firstLine="0" w:firstLineChars="0"/>
        <w:rPr>
          <w:rFonts w:ascii="Times New Roman" w:hAnsi="Times New Roman" w:eastAsiaTheme="minorEastAsia"/>
          <w:sz w:val="24"/>
          <w:szCs w:val="24"/>
        </w:rPr>
      </w:pPr>
      <w:r>
        <w:rPr>
          <w:rFonts w:hint="eastAsia" w:ascii="Times New Roman" w:hAnsi="Times New Roman" w:eastAsiaTheme="minorEastAsia"/>
          <w:sz w:val="24"/>
          <w:szCs w:val="24"/>
        </w:rPr>
        <w:t>1、本项目只设定终验收，喷枪按合同要约的品牌、型号、数量到货后3个月，且期间使用的喷枪无自身故障的，视为满足本项目终验收条件。使用期间喷枪本身出现功能性故障的，延后</w:t>
      </w:r>
      <w:r>
        <w:rPr>
          <w:rFonts w:hint="eastAsia" w:ascii="Times New Roman" w:hAnsi="Times New Roman"/>
          <w:bCs/>
          <w:sz w:val="24"/>
          <w:szCs w:val="24"/>
        </w:rPr>
        <w:t>3</w:t>
      </w:r>
      <w:r>
        <w:rPr>
          <w:rFonts w:hint="eastAsia" w:ascii="Times New Roman" w:hAnsi="Times New Roman" w:eastAsiaTheme="minorEastAsia"/>
          <w:sz w:val="24"/>
          <w:szCs w:val="24"/>
        </w:rPr>
        <w:t>个月进行验收。</w:t>
      </w:r>
    </w:p>
    <w:p w14:paraId="070B9336">
      <w:pPr>
        <w:pStyle w:val="63"/>
        <w:autoSpaceDE w:val="0"/>
        <w:autoSpaceDN w:val="0"/>
        <w:adjustRightInd w:val="0"/>
        <w:spacing w:line="360" w:lineRule="auto"/>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2、终验收前</w:t>
      </w:r>
      <w:r>
        <w:rPr>
          <w:rFonts w:hint="eastAsia" w:ascii="Times New Roman" w:hAnsi="Times New Roman"/>
          <w:bCs/>
          <w:sz w:val="24"/>
          <w:szCs w:val="24"/>
        </w:rPr>
        <w:t>20</w:t>
      </w:r>
      <w:r>
        <w:rPr>
          <w:rFonts w:hint="eastAsia" w:asciiTheme="minorEastAsia" w:hAnsiTheme="minorEastAsia" w:eastAsiaTheme="minorEastAsia"/>
          <w:sz w:val="24"/>
          <w:szCs w:val="24"/>
        </w:rPr>
        <w:t>日，供方需发出书面验收申请，需方组织验收。</w:t>
      </w:r>
    </w:p>
    <w:p w14:paraId="2AB0E1F1">
      <w:pPr>
        <w:pStyle w:val="115"/>
        <w:spacing w:line="360" w:lineRule="auto"/>
        <w:outlineLvl w:val="1"/>
        <w:rPr>
          <w:rFonts w:asciiTheme="minorEastAsia" w:hAnsiTheme="minorEastAsia" w:eastAsiaTheme="minorEastAsia"/>
          <w:b/>
          <w:sz w:val="24"/>
        </w:rPr>
      </w:pPr>
      <w:bookmarkStart w:id="16" w:name="_Toc23347345"/>
      <w:r>
        <w:rPr>
          <w:rFonts w:hint="eastAsia" w:asciiTheme="minorEastAsia" w:hAnsiTheme="minorEastAsia" w:eastAsiaTheme="minorEastAsia"/>
          <w:b/>
          <w:sz w:val="24"/>
        </w:rPr>
        <w:t>五、</w:t>
      </w:r>
      <w:bookmarkEnd w:id="16"/>
      <w:r>
        <w:rPr>
          <w:rFonts w:hint="eastAsia" w:asciiTheme="minorEastAsia" w:hAnsiTheme="minorEastAsia" w:eastAsiaTheme="minorEastAsia"/>
          <w:b/>
          <w:sz w:val="24"/>
        </w:rPr>
        <w:t>资料提供</w:t>
      </w:r>
    </w:p>
    <w:p w14:paraId="53EB92D1">
      <w:pPr>
        <w:spacing w:line="360" w:lineRule="auto"/>
        <w:jc w:val="left"/>
        <w:rPr>
          <w:rFonts w:asciiTheme="minorEastAsia" w:hAnsiTheme="minorEastAsia" w:eastAsiaTheme="minorEastAsia"/>
          <w:kern w:val="0"/>
          <w:sz w:val="24"/>
        </w:rPr>
      </w:pPr>
      <w:r>
        <w:rPr>
          <w:rFonts w:hint="eastAsia" w:eastAsiaTheme="minorEastAsia"/>
          <w:bCs/>
          <w:kern w:val="0"/>
          <w:sz w:val="24"/>
        </w:rPr>
        <w:t>1</w:t>
      </w:r>
      <w:r>
        <w:rPr>
          <w:rFonts w:hint="eastAsia" w:asciiTheme="minorEastAsia" w:hAnsiTheme="minorEastAsia" w:eastAsiaTheme="minorEastAsia"/>
          <w:bCs/>
          <w:kern w:val="0"/>
          <w:sz w:val="24"/>
        </w:rPr>
        <w:t>、</w:t>
      </w:r>
      <w:r>
        <w:rPr>
          <w:rFonts w:hint="eastAsia" w:asciiTheme="minorEastAsia" w:hAnsiTheme="minorEastAsia" w:eastAsiaTheme="minorEastAsia"/>
          <w:kern w:val="0"/>
          <w:sz w:val="24"/>
        </w:rPr>
        <w:t>每把喷枪需提供必要的合格证、说明书、维修手册、质保单、易损件清单等。</w:t>
      </w:r>
    </w:p>
    <w:p w14:paraId="0296BC05">
      <w:pPr>
        <w:pStyle w:val="115"/>
        <w:spacing w:line="360" w:lineRule="auto"/>
        <w:outlineLvl w:val="1"/>
        <w:rPr>
          <w:rFonts w:asciiTheme="minorEastAsia" w:hAnsiTheme="minorEastAsia" w:eastAsiaTheme="minorEastAsia"/>
          <w:b/>
          <w:sz w:val="24"/>
        </w:rPr>
      </w:pPr>
      <w:r>
        <w:rPr>
          <w:rFonts w:hint="eastAsia" w:asciiTheme="minorEastAsia" w:hAnsiTheme="minorEastAsia" w:eastAsiaTheme="minorEastAsia"/>
          <w:b/>
          <w:sz w:val="24"/>
        </w:rPr>
        <w:t>六、质量保证及服务</w:t>
      </w:r>
    </w:p>
    <w:p w14:paraId="50065817">
      <w:pPr>
        <w:spacing w:line="360" w:lineRule="auto"/>
        <w:rPr>
          <w:rFonts w:asciiTheme="minorEastAsia" w:hAnsiTheme="minorEastAsia" w:eastAsiaTheme="minorEastAsia"/>
          <w:sz w:val="24"/>
        </w:rPr>
      </w:pPr>
      <w:r>
        <w:rPr>
          <w:rFonts w:hint="eastAsia" w:eastAsiaTheme="minorEastAsia"/>
          <w:sz w:val="24"/>
        </w:rPr>
        <w:t>1、</w:t>
      </w:r>
      <w:r>
        <w:rPr>
          <w:rFonts w:hint="eastAsia" w:asciiTheme="minorEastAsia" w:hAnsiTheme="minorEastAsia" w:eastAsiaTheme="minorEastAsia"/>
          <w:sz w:val="24"/>
        </w:rPr>
        <w:t>本</w:t>
      </w:r>
      <w:r>
        <w:rPr>
          <w:rFonts w:asciiTheme="minorEastAsia" w:hAnsiTheme="minorEastAsia" w:eastAsiaTheme="minorEastAsia"/>
          <w:sz w:val="24"/>
        </w:rPr>
        <w:t>项目质量保证期为十二个月，从项目终验收合格之日起计算。</w:t>
      </w:r>
    </w:p>
    <w:p w14:paraId="246518D1">
      <w:pPr>
        <w:spacing w:line="360" w:lineRule="auto"/>
        <w:rPr>
          <w:rFonts w:asciiTheme="minorEastAsia" w:hAnsiTheme="minorEastAsia" w:eastAsiaTheme="minorEastAsia"/>
          <w:sz w:val="24"/>
        </w:rPr>
      </w:pPr>
      <w:r>
        <w:rPr>
          <w:rFonts w:hint="eastAsia" w:eastAsiaTheme="minorEastAsia"/>
          <w:sz w:val="24"/>
        </w:rPr>
        <w:t>2、</w:t>
      </w:r>
      <w:r>
        <w:rPr>
          <w:rFonts w:asciiTheme="minorEastAsia" w:hAnsiTheme="minorEastAsia" w:eastAsiaTheme="minorEastAsia"/>
          <w:sz w:val="24"/>
        </w:rPr>
        <w:t>在质量保证期内，由于</w:t>
      </w:r>
      <w:r>
        <w:rPr>
          <w:rFonts w:hint="eastAsia" w:asciiTheme="minorEastAsia" w:hAnsiTheme="minorEastAsia" w:eastAsiaTheme="minorEastAsia"/>
          <w:sz w:val="24"/>
        </w:rPr>
        <w:t>供方</w:t>
      </w:r>
      <w:r>
        <w:rPr>
          <w:rFonts w:asciiTheme="minorEastAsia" w:hAnsiTheme="minorEastAsia" w:eastAsiaTheme="minorEastAsia"/>
          <w:sz w:val="24"/>
        </w:rPr>
        <w:t>原因造成的</w:t>
      </w:r>
      <w:r>
        <w:rPr>
          <w:rFonts w:hint="eastAsia" w:asciiTheme="minorEastAsia" w:hAnsiTheme="minorEastAsia" w:eastAsiaTheme="minorEastAsia"/>
          <w:sz w:val="24"/>
        </w:rPr>
        <w:t>喷枪</w:t>
      </w:r>
      <w:r>
        <w:rPr>
          <w:rFonts w:asciiTheme="minorEastAsia" w:hAnsiTheme="minorEastAsia" w:eastAsiaTheme="minorEastAsia"/>
          <w:sz w:val="24"/>
        </w:rPr>
        <w:t>损坏</w:t>
      </w:r>
      <w:r>
        <w:rPr>
          <w:rFonts w:hint="eastAsia" w:asciiTheme="minorEastAsia" w:hAnsiTheme="minorEastAsia" w:eastAsiaTheme="minorEastAsia"/>
          <w:sz w:val="24"/>
        </w:rPr>
        <w:t>、功能失效等问题</w:t>
      </w:r>
      <w:r>
        <w:rPr>
          <w:rFonts w:asciiTheme="minorEastAsia" w:hAnsiTheme="minorEastAsia" w:eastAsiaTheme="minorEastAsia"/>
          <w:sz w:val="24"/>
        </w:rPr>
        <w:t>由供方在限期内负责免费更换或修理，否则造成的直接经济损失由供方承担</w:t>
      </w:r>
      <w:r>
        <w:rPr>
          <w:rFonts w:hint="eastAsia" w:asciiTheme="minorEastAsia" w:hAnsiTheme="minorEastAsia" w:eastAsiaTheme="minorEastAsia"/>
          <w:sz w:val="24"/>
        </w:rPr>
        <w:t>。</w:t>
      </w:r>
    </w:p>
    <w:p w14:paraId="32665138">
      <w:pPr>
        <w:spacing w:line="360" w:lineRule="auto"/>
        <w:rPr>
          <w:rFonts w:asciiTheme="minorEastAsia" w:hAnsiTheme="minorEastAsia" w:eastAsiaTheme="minorEastAsia"/>
          <w:sz w:val="24"/>
        </w:rPr>
      </w:pPr>
      <w:r>
        <w:rPr>
          <w:rFonts w:hint="eastAsia" w:eastAsiaTheme="minorEastAsia"/>
          <w:sz w:val="24"/>
        </w:rPr>
        <w:t>3、</w:t>
      </w:r>
      <w:r>
        <w:rPr>
          <w:rFonts w:hint="eastAsia" w:asciiTheme="minorEastAsia" w:hAnsiTheme="minorEastAsia" w:eastAsiaTheme="minorEastAsia"/>
          <w:sz w:val="24"/>
        </w:rPr>
        <w:t>在质保期内</w:t>
      </w:r>
      <w:r>
        <w:rPr>
          <w:rFonts w:asciiTheme="minorEastAsia" w:hAnsiTheme="minorEastAsia" w:eastAsiaTheme="minorEastAsia"/>
          <w:sz w:val="24"/>
        </w:rPr>
        <w:t>发生质量问题，</w:t>
      </w:r>
      <w:r>
        <w:rPr>
          <w:rFonts w:hint="eastAsia" w:asciiTheme="minorEastAsia" w:hAnsiTheme="minorEastAsia" w:eastAsiaTheme="minorEastAsia"/>
          <w:sz w:val="24"/>
        </w:rPr>
        <w:t>供方</w:t>
      </w:r>
      <w:r>
        <w:rPr>
          <w:rFonts w:asciiTheme="minorEastAsia" w:hAnsiTheme="minorEastAsia" w:eastAsiaTheme="minorEastAsia"/>
          <w:sz w:val="24"/>
        </w:rPr>
        <w:t>必须在接到通知</w:t>
      </w:r>
      <w:r>
        <w:rPr>
          <w:rFonts w:hint="eastAsia"/>
          <w:bCs/>
          <w:sz w:val="24"/>
        </w:rPr>
        <w:t>12</w:t>
      </w:r>
      <w:r>
        <w:rPr>
          <w:rFonts w:asciiTheme="minorEastAsia" w:hAnsiTheme="minorEastAsia" w:eastAsiaTheme="minorEastAsia"/>
          <w:sz w:val="24"/>
        </w:rPr>
        <w:t>小时以内到现场免费维修或更换，并保证</w:t>
      </w:r>
      <w:r>
        <w:rPr>
          <w:rFonts w:hint="eastAsia"/>
          <w:bCs/>
          <w:sz w:val="24"/>
        </w:rPr>
        <w:t>48</w:t>
      </w:r>
      <w:r>
        <w:rPr>
          <w:rFonts w:asciiTheme="minorEastAsia" w:hAnsiTheme="minorEastAsia" w:eastAsiaTheme="minorEastAsia"/>
          <w:sz w:val="24"/>
        </w:rPr>
        <w:t>小时内解决问题。</w:t>
      </w:r>
    </w:p>
    <w:p w14:paraId="46BE5256">
      <w:pPr>
        <w:spacing w:line="360" w:lineRule="auto"/>
        <w:rPr>
          <w:rFonts w:asciiTheme="minorEastAsia" w:hAnsiTheme="minorEastAsia" w:eastAsiaTheme="minorEastAsia"/>
          <w:sz w:val="24"/>
        </w:rPr>
      </w:pPr>
      <w:r>
        <w:rPr>
          <w:rFonts w:hint="eastAsia" w:eastAsiaTheme="minorEastAsia"/>
          <w:sz w:val="24"/>
        </w:rPr>
        <w:t>4、质保期内</w:t>
      </w:r>
      <w:r>
        <w:rPr>
          <w:rFonts w:hint="eastAsia" w:asciiTheme="minorEastAsia" w:hAnsiTheme="minorEastAsia" w:eastAsiaTheme="minorEastAsia"/>
          <w:sz w:val="24"/>
        </w:rPr>
        <w:t>喷枪</w:t>
      </w:r>
      <w:r>
        <w:rPr>
          <w:rFonts w:asciiTheme="minorEastAsia" w:hAnsiTheme="minorEastAsia" w:eastAsiaTheme="minorEastAsia"/>
          <w:sz w:val="24"/>
        </w:rPr>
        <w:t>用备件、易损件，由供方负责准备并免费提供</w:t>
      </w:r>
      <w:r>
        <w:rPr>
          <w:rFonts w:hint="eastAsia" w:asciiTheme="minorEastAsia" w:hAnsiTheme="minorEastAsia" w:eastAsiaTheme="minorEastAsia"/>
          <w:sz w:val="24"/>
        </w:rPr>
        <w:t>。</w:t>
      </w:r>
    </w:p>
    <w:p w14:paraId="6D9E4DB4">
      <w:pPr>
        <w:spacing w:line="360" w:lineRule="auto"/>
        <w:rPr>
          <w:rFonts w:asciiTheme="minorEastAsia" w:hAnsiTheme="minorEastAsia" w:eastAsiaTheme="minorEastAsia"/>
          <w:sz w:val="24"/>
        </w:rPr>
      </w:pPr>
      <w:r>
        <w:rPr>
          <w:rFonts w:hint="eastAsia" w:eastAsiaTheme="minorEastAsia"/>
          <w:sz w:val="24"/>
        </w:rPr>
        <w:t>5、</w:t>
      </w:r>
      <w:r>
        <w:rPr>
          <w:rFonts w:hint="eastAsia" w:asciiTheme="minorEastAsia" w:hAnsiTheme="minorEastAsia" w:eastAsiaTheme="minorEastAsia"/>
          <w:sz w:val="24"/>
        </w:rPr>
        <w:t>其余违约条款按照商务合同执行。</w:t>
      </w:r>
    </w:p>
    <w:p w14:paraId="657DD3A5">
      <w:pPr>
        <w:pStyle w:val="115"/>
        <w:spacing w:line="360" w:lineRule="auto"/>
        <w:outlineLvl w:val="1"/>
        <w:rPr>
          <w:rFonts w:asciiTheme="minorEastAsia" w:hAnsiTheme="minorEastAsia" w:eastAsiaTheme="minorEastAsia"/>
          <w:b/>
          <w:sz w:val="24"/>
        </w:rPr>
      </w:pPr>
      <w:r>
        <w:rPr>
          <w:rFonts w:hint="eastAsia" w:asciiTheme="minorEastAsia" w:hAnsiTheme="minorEastAsia" w:eastAsiaTheme="minorEastAsia"/>
          <w:b/>
          <w:sz w:val="24"/>
        </w:rPr>
        <w:t>七、其他事宜</w:t>
      </w:r>
    </w:p>
    <w:p w14:paraId="35B67F49">
      <w:pPr>
        <w:spacing w:line="360" w:lineRule="auto"/>
        <w:jc w:val="left"/>
        <w:rPr>
          <w:rFonts w:asciiTheme="minorEastAsia" w:hAnsiTheme="minorEastAsia" w:eastAsiaTheme="minorEastAsia"/>
          <w:sz w:val="24"/>
        </w:rPr>
      </w:pPr>
      <w:r>
        <w:rPr>
          <w:rFonts w:hint="eastAsia" w:eastAsiaTheme="minorEastAsia"/>
          <w:sz w:val="24"/>
        </w:rPr>
        <w:t>1、</w:t>
      </w:r>
      <w:r>
        <w:rPr>
          <w:rFonts w:hint="eastAsia" w:asciiTheme="minorEastAsia" w:hAnsiTheme="minorEastAsia" w:eastAsiaTheme="minorEastAsia"/>
          <w:sz w:val="24"/>
        </w:rPr>
        <w:t>供方要保密处理需方提供的文件、产品数据等所有相关资料，未经需方允许，不得将以上资料向第三方公开。否则，需方将向供方提出相应索赔。</w:t>
      </w:r>
    </w:p>
    <w:p w14:paraId="61460756">
      <w:pPr>
        <w:spacing w:line="360" w:lineRule="auto"/>
        <w:jc w:val="left"/>
        <w:rPr>
          <w:rFonts w:asciiTheme="minorEastAsia" w:hAnsiTheme="minorEastAsia" w:eastAsiaTheme="minorEastAsia"/>
          <w:sz w:val="24"/>
        </w:rPr>
      </w:pPr>
      <w:r>
        <w:rPr>
          <w:rFonts w:hint="eastAsia" w:eastAsiaTheme="minorEastAsia"/>
          <w:sz w:val="24"/>
        </w:rPr>
        <w:t>2、</w:t>
      </w:r>
      <w:r>
        <w:rPr>
          <w:rFonts w:hint="eastAsia" w:asciiTheme="minorEastAsia" w:hAnsiTheme="minorEastAsia" w:eastAsiaTheme="minorEastAsia"/>
          <w:sz w:val="24"/>
        </w:rPr>
        <w:t>本项目的所有知识产权属于需方，在合同执行过程中及执行完毕之后，供方不得以知识产权为由，向需方索要费用，不得以本项目相关技术提交专利。</w:t>
      </w:r>
    </w:p>
    <w:p w14:paraId="2C2B4B03">
      <w:pPr>
        <w:spacing w:line="360" w:lineRule="auto"/>
        <w:jc w:val="left"/>
        <w:rPr>
          <w:rFonts w:asciiTheme="minorEastAsia" w:hAnsiTheme="minorEastAsia" w:eastAsiaTheme="minorEastAsia"/>
          <w:sz w:val="24"/>
        </w:rPr>
      </w:pPr>
      <w:r>
        <w:rPr>
          <w:rFonts w:hint="eastAsia" w:eastAsiaTheme="minorEastAsia"/>
          <w:sz w:val="24"/>
        </w:rPr>
        <w:t>3、</w:t>
      </w:r>
      <w:r>
        <w:rPr>
          <w:rFonts w:hint="eastAsia" w:asciiTheme="minorEastAsia" w:hAnsiTheme="minorEastAsia" w:eastAsiaTheme="minorEastAsia"/>
          <w:sz w:val="24"/>
        </w:rPr>
        <w:t>供方提供给需方的产品，不得侵犯第三方知识产权。如有知识产权纠纷，供方承担全部责任。</w:t>
      </w:r>
    </w:p>
    <w:p w14:paraId="453C4A73">
      <w:pPr>
        <w:pStyle w:val="76"/>
        <w:rPr>
          <w:b w:val="0"/>
          <w:bCs w:val="0"/>
        </w:rPr>
      </w:pPr>
    </w:p>
    <w:p w14:paraId="41362990">
      <w:pPr>
        <w:pStyle w:val="76"/>
        <w:rPr>
          <w:b/>
          <w:bCs/>
        </w:rPr>
      </w:pPr>
    </w:p>
    <w:p w14:paraId="0E3885EE">
      <w:pPr>
        <w:rPr>
          <w:rFonts w:hint="eastAsia"/>
        </w:rPr>
      </w:pPr>
      <w:bookmarkStart w:id="17" w:name="_Toc47976609"/>
      <w:r>
        <w:rPr>
          <w:rFonts w:hint="eastAsia"/>
        </w:rPr>
        <w:br w:type="page"/>
      </w:r>
    </w:p>
    <w:p w14:paraId="5871DF53">
      <w:pPr>
        <w:pStyle w:val="71"/>
        <w:numPr>
          <w:ilvl w:val="0"/>
          <w:numId w:val="33"/>
        </w:numPr>
        <w:rPr>
          <w:rFonts w:hint="eastAsia"/>
        </w:rPr>
      </w:pPr>
      <w:bookmarkStart w:id="18" w:name="_Toc5306"/>
      <w:r>
        <w:rPr>
          <w:rFonts w:hint="eastAsia"/>
        </w:rPr>
        <w:t>合同主要条款</w:t>
      </w:r>
      <w:bookmarkEnd w:id="17"/>
      <w:bookmarkEnd w:id="18"/>
    </w:p>
    <w:p w14:paraId="56105630">
      <w:pPr>
        <w:wordWrap w:val="0"/>
        <w:adjustRightInd w:val="0"/>
        <w:snapToGrid w:val="0"/>
        <w:spacing w:line="360" w:lineRule="auto"/>
        <w:jc w:val="right"/>
        <w:rPr>
          <w:rFonts w:ascii="宋体" w:hAnsi="宋体"/>
          <w:b/>
          <w:sz w:val="28"/>
          <w:szCs w:val="28"/>
        </w:rPr>
      </w:pPr>
    </w:p>
    <w:p w14:paraId="23914DBE">
      <w:pPr>
        <w:pStyle w:val="72"/>
        <w:numPr>
          <w:ilvl w:val="0"/>
          <w:numId w:val="34"/>
        </w:numPr>
        <w:ind w:left="420"/>
      </w:pPr>
      <w:bookmarkStart w:id="19" w:name="_Toc47976610"/>
      <w:bookmarkStart w:id="20" w:name="_Toc47976615"/>
      <w:r>
        <w:rPr>
          <w:rFonts w:hint="eastAsia"/>
          <w:lang w:val="en-US" w:eastAsia="zh-CN"/>
        </w:rPr>
        <w:t>标的、数量、</w:t>
      </w:r>
      <w:r>
        <w:rPr>
          <w:rFonts w:hint="eastAsia"/>
        </w:rPr>
        <w:t>交货期</w:t>
      </w:r>
      <w:bookmarkEnd w:id="19"/>
    </w:p>
    <w:p w14:paraId="18603CA8">
      <w:pPr>
        <w:pStyle w:val="72"/>
      </w:pPr>
      <w:bookmarkStart w:id="21" w:name="_Toc47976611"/>
      <w:r>
        <w:rPr>
          <w:rFonts w:hint="eastAsia"/>
        </w:rPr>
        <w:t>交货地点</w:t>
      </w:r>
      <w:bookmarkEnd w:id="21"/>
    </w:p>
    <w:p w14:paraId="3F03A936">
      <w:pPr>
        <w:pStyle w:val="72"/>
      </w:pPr>
      <w:bookmarkStart w:id="22" w:name="_Toc47976612"/>
      <w:r>
        <w:rPr>
          <w:rFonts w:hint="eastAsia"/>
          <w:lang w:val="en-US" w:eastAsia="zh-CN"/>
        </w:rPr>
        <w:t>价款及</w:t>
      </w:r>
      <w:r>
        <w:rPr>
          <w:rFonts w:hint="eastAsia"/>
        </w:rPr>
        <w:t>付款方式</w:t>
      </w:r>
      <w:bookmarkEnd w:id="22"/>
    </w:p>
    <w:p w14:paraId="0A7F4E98">
      <w:pPr>
        <w:pStyle w:val="72"/>
      </w:pPr>
      <w:bookmarkStart w:id="23" w:name="_Toc47976613"/>
      <w:r>
        <w:rPr>
          <w:rFonts w:hint="eastAsia"/>
          <w:lang w:val="en-US" w:eastAsia="zh-CN"/>
        </w:rPr>
        <w:t>质量要求、</w:t>
      </w:r>
      <w:r>
        <w:rPr>
          <w:rFonts w:hint="eastAsia"/>
        </w:rPr>
        <w:t>保修期及售后服务</w:t>
      </w:r>
      <w:bookmarkEnd w:id="23"/>
    </w:p>
    <w:p w14:paraId="50F6C5C1">
      <w:pPr>
        <w:pStyle w:val="72"/>
      </w:pPr>
      <w:bookmarkStart w:id="24" w:name="_Toc47976614"/>
      <w:r>
        <w:rPr>
          <w:rFonts w:hint="eastAsia"/>
        </w:rPr>
        <w:t>安装、调试及验收要求</w:t>
      </w:r>
      <w:bookmarkEnd w:id="24"/>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504FA1DC">
      <w:pPr>
        <w:rPr>
          <w:rFonts w:hint="eastAsia"/>
        </w:rPr>
      </w:pPr>
    </w:p>
    <w:p w14:paraId="1A67A1AE">
      <w:pPr>
        <w:rPr>
          <w:rFonts w:hint="eastAsia"/>
        </w:rPr>
      </w:pPr>
      <w:r>
        <w:rPr>
          <w:rFonts w:hint="eastAsia"/>
        </w:rPr>
        <w:br w:type="page"/>
      </w:r>
    </w:p>
    <w:p w14:paraId="50D9D845">
      <w:pPr>
        <w:pStyle w:val="71"/>
        <w:rPr>
          <w:rFonts w:ascii="黑体" w:hAnsi="Calibri" w:eastAsia="黑体" w:cs="Times New Roman"/>
          <w:color w:val="000000"/>
          <w:sz w:val="24"/>
          <w:szCs w:val="24"/>
        </w:rPr>
      </w:pPr>
      <w:bookmarkStart w:id="25" w:name="_Toc32143"/>
      <w:r>
        <w:rPr>
          <w:rFonts w:hint="eastAsia"/>
        </w:rPr>
        <w:t>第四部分　</w:t>
      </w:r>
      <w:bookmarkEnd w:id="20"/>
      <w:r>
        <w:rPr>
          <w:rFonts w:hint="eastAsia"/>
          <w:lang w:val="en-US" w:eastAsia="zh-CN"/>
        </w:rPr>
        <w:t>投标文件附件</w:t>
      </w:r>
      <w:bookmarkEnd w:id="25"/>
    </w:p>
    <w:p w14:paraId="32681108">
      <w:pPr>
        <w:jc w:val="both"/>
        <w:rPr>
          <w:rFonts w:ascii="宋体"/>
          <w:b/>
          <w:color w:val="000000"/>
          <w:szCs w:val="24"/>
        </w:rPr>
      </w:pPr>
    </w:p>
    <w:p w14:paraId="6220DDA8">
      <w:pPr>
        <w:pStyle w:val="15"/>
      </w:pPr>
    </w:p>
    <w:p w14:paraId="34291980">
      <w:pPr>
        <w:pStyle w:val="72"/>
        <w:numPr>
          <w:ilvl w:val="0"/>
          <w:numId w:val="0"/>
        </w:numPr>
        <w:ind w:leftChars="0"/>
        <w:outlineLvl w:val="1"/>
        <w:rPr>
          <w:rFonts w:hint="default" w:ascii="宋体" w:hAnsi="宋体" w:eastAsia="宋体" w:cs="宋体"/>
          <w:sz w:val="32"/>
          <w:szCs w:val="32"/>
          <w:highlight w:val="yellow"/>
          <w:lang w:val="en-US" w:eastAsia="zh-CN"/>
        </w:rPr>
      </w:pPr>
      <w:bookmarkStart w:id="26" w:name="_Toc47976618"/>
      <w:bookmarkStart w:id="27" w:name="_Toc29366869"/>
      <w:bookmarkStart w:id="28" w:name="_Toc29366865"/>
      <w:r>
        <w:rPr>
          <w:rFonts w:hint="eastAsia" w:ascii="宋体" w:hAnsi="宋体" w:eastAsia="宋体" w:cs="宋体"/>
          <w:sz w:val="32"/>
          <w:szCs w:val="32"/>
          <w:highlight w:val="none"/>
          <w:lang w:val="en-US" w:eastAsia="zh-CN"/>
        </w:rPr>
        <w:t>附件1 法定代表人授权委托书</w:t>
      </w:r>
    </w:p>
    <w:bookmarkEnd w:id="26"/>
    <w:p w14:paraId="5121093B">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14:paraId="180342E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cs="Times New Roman"/>
          <w:b/>
          <w:bCs/>
          <w:color w:val="000000"/>
          <w:sz w:val="24"/>
          <w:szCs w:val="24"/>
          <w:highlight w:val="none"/>
          <w:u w:val="single"/>
          <w:lang w:val="en-US" w:eastAsia="zh-CN"/>
        </w:rPr>
        <w:t>涂装车间喷枪改造项目</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F8F57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0B7C1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A69F347">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427685B">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6609A01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3B5E5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F6925F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85FAE3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A49D1B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74AA84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2D6CAE4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FC5B98">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4DBC95FF">
      <w:pPr>
        <w:pStyle w:val="15"/>
        <w:rPr>
          <w:rFonts w:ascii="Calibri" w:hAnsi="Calibri" w:eastAsia="黑体" w:cs="Times New Roman"/>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6B20C6DF">
      <w:pPr>
        <w:pStyle w:val="7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保密承诺函</w:t>
      </w:r>
    </w:p>
    <w:p w14:paraId="0F4E083F">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保密承诺函</w:t>
      </w:r>
    </w:p>
    <w:p w14:paraId="4EBD3B8F">
      <w:pPr>
        <w:spacing w:line="240" w:lineRule="exact"/>
        <w:jc w:val="center"/>
        <w:rPr>
          <w:rFonts w:ascii="宋体" w:hAnsi="Calibri" w:eastAsia="宋体" w:cs="Times New Roman"/>
          <w:b/>
          <w:bCs/>
          <w:sz w:val="36"/>
          <w:szCs w:val="20"/>
        </w:rPr>
      </w:pPr>
    </w:p>
    <w:p w14:paraId="2FA216F9">
      <w:pPr>
        <w:spacing w:line="360" w:lineRule="auto"/>
        <w:rPr>
          <w:rFonts w:hint="default" w:ascii="宋体" w:hAnsi="宋体" w:eastAsia="宋体" w:cs="宋体"/>
          <w:b/>
          <w:bCs/>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cs="宋体"/>
          <w:b/>
          <w:bCs/>
          <w:sz w:val="24"/>
          <w:szCs w:val="24"/>
          <w:highlight w:val="none"/>
          <w:u w:val="single"/>
          <w:lang w:val="en-US" w:eastAsia="zh-CN"/>
        </w:rPr>
        <w:t>涂装车间喷枪改造项目</w:t>
      </w:r>
    </w:p>
    <w:p w14:paraId="2D225539">
      <w:pPr>
        <w:spacing w:line="360" w:lineRule="auto"/>
        <w:rPr>
          <w:rFonts w:ascii="宋体" w:hAnsi="Calibri" w:eastAsia="宋体" w:cs="Times New Roman"/>
          <w:b/>
          <w:bCs/>
          <w:sz w:val="24"/>
          <w:szCs w:val="20"/>
        </w:rPr>
      </w:pPr>
      <w:r>
        <w:rPr>
          <w:rFonts w:hint="eastAsia" w:ascii="宋体" w:hAnsi="宋体" w:cs="Times New Roman"/>
          <w:b/>
          <w:bCs/>
          <w:sz w:val="24"/>
          <w:szCs w:val="20"/>
          <w:highlight w:val="none"/>
          <w:lang w:eastAsia="zh-CN"/>
        </w:rPr>
        <w:t>重汽（重庆）轻型汽车有限公司</w:t>
      </w:r>
      <w:r>
        <w:rPr>
          <w:rFonts w:hint="eastAsia" w:ascii="宋体" w:hAnsi="宋体" w:eastAsia="宋体" w:cs="Times New Roman"/>
          <w:b/>
          <w:bCs/>
          <w:sz w:val="24"/>
          <w:szCs w:val="20"/>
        </w:rPr>
        <w:t>：</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66A3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bookmarkEnd w:id="27"/>
    <w:bookmarkEnd w:id="28"/>
    <w:p w14:paraId="38EF994B">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46A8E032">
      <w:pPr>
        <w:pStyle w:val="72"/>
        <w:numPr>
          <w:ilvl w:val="0"/>
          <w:numId w:val="0"/>
        </w:numPr>
        <w:ind w:leftChars="0"/>
        <w:rPr>
          <w:rFonts w:hint="default" w:ascii="宋体" w:hAnsi="宋体" w:eastAsia="宋体" w:cs="宋体"/>
          <w:sz w:val="32"/>
          <w:szCs w:val="32"/>
          <w:highlight w:val="none"/>
          <w:lang w:val="en-US" w:eastAsia="zh-CN"/>
        </w:rPr>
      </w:pPr>
      <w:r>
        <w:rPr>
          <w:rFonts w:hint="default" w:ascii="宋体" w:hAnsi="宋体" w:eastAsia="宋体" w:cs="宋体"/>
          <w:sz w:val="32"/>
          <w:szCs w:val="32"/>
          <w:highlight w:val="none"/>
          <w:lang w:val="en-US" w:eastAsia="zh-CN"/>
        </w:rPr>
        <w:t>附件</w:t>
      </w:r>
      <w:r>
        <w:rPr>
          <w:rFonts w:hint="eastAsia" w:ascii="宋体" w:hAnsi="宋体" w:eastAsia="宋体" w:cs="宋体"/>
          <w:sz w:val="32"/>
          <w:szCs w:val="32"/>
          <w:highlight w:val="none"/>
          <w:lang w:val="en-US" w:eastAsia="zh-CN"/>
        </w:rPr>
        <w:t>3</w:t>
      </w:r>
      <w:r>
        <w:rPr>
          <w:rFonts w:hint="default" w:ascii="宋体" w:hAnsi="宋体" w:eastAsia="宋体" w:cs="宋体"/>
          <w:sz w:val="32"/>
          <w:szCs w:val="32"/>
          <w:highlight w:val="none"/>
          <w:lang w:val="en-US" w:eastAsia="zh-CN"/>
        </w:rPr>
        <w:t xml:space="preserve"> 技术规格偏离表</w:t>
      </w:r>
    </w:p>
    <w:p w14:paraId="25FBE266">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sz w:val="24"/>
          <w:szCs w:val="24"/>
          <w:highlight w:val="none"/>
          <w:u w:val="single"/>
          <w:lang w:val="en-US" w:eastAsia="zh-CN"/>
        </w:rPr>
        <w:t>涂装车间喷枪改造项目</w:t>
      </w:r>
      <w:r>
        <w:rPr>
          <w:rFonts w:hint="default" w:ascii="Times New Roman" w:hAnsi="Times New Roman" w:eastAsia="宋体" w:cs="Times New Roman"/>
          <w:color w:val="000000"/>
          <w:sz w:val="24"/>
          <w:szCs w:val="24"/>
        </w:rPr>
        <w:t xml:space="preserve">                                                           </w:t>
      </w:r>
    </w:p>
    <w:tbl>
      <w:tblPr>
        <w:tblStyle w:val="3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22D0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593DBE98">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14:paraId="611360DB">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14:paraId="14D8E09C">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14:paraId="31ECEA0F">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14:paraId="41599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60FC00E">
            <w:pPr>
              <w:jc w:val="both"/>
              <w:rPr>
                <w:rFonts w:hint="default" w:ascii="Times New Roman" w:hAnsi="Times New Roman" w:eastAsia="宋体" w:cs="Times New Roman"/>
                <w:b/>
                <w:sz w:val="24"/>
                <w:szCs w:val="20"/>
              </w:rPr>
            </w:pPr>
          </w:p>
        </w:tc>
        <w:tc>
          <w:tcPr>
            <w:tcW w:w="3449" w:type="dxa"/>
          </w:tcPr>
          <w:p w14:paraId="20C07C60">
            <w:pPr>
              <w:jc w:val="both"/>
              <w:rPr>
                <w:rFonts w:hint="default" w:ascii="Times New Roman" w:hAnsi="Times New Roman" w:eastAsia="宋体" w:cs="Times New Roman"/>
                <w:b/>
                <w:sz w:val="24"/>
                <w:szCs w:val="20"/>
              </w:rPr>
            </w:pPr>
          </w:p>
        </w:tc>
        <w:tc>
          <w:tcPr>
            <w:tcW w:w="2414" w:type="dxa"/>
          </w:tcPr>
          <w:p w14:paraId="1CEBD4A3">
            <w:pPr>
              <w:jc w:val="both"/>
              <w:rPr>
                <w:rFonts w:hint="default" w:ascii="Times New Roman" w:hAnsi="Times New Roman" w:eastAsia="宋体" w:cs="Times New Roman"/>
                <w:b/>
                <w:sz w:val="24"/>
                <w:szCs w:val="20"/>
              </w:rPr>
            </w:pPr>
          </w:p>
        </w:tc>
        <w:tc>
          <w:tcPr>
            <w:tcW w:w="1608" w:type="dxa"/>
          </w:tcPr>
          <w:p w14:paraId="0F776BDA">
            <w:pPr>
              <w:jc w:val="both"/>
              <w:rPr>
                <w:rFonts w:hint="default" w:ascii="Times New Roman" w:hAnsi="Times New Roman" w:eastAsia="宋体" w:cs="Times New Roman"/>
                <w:b/>
                <w:sz w:val="24"/>
                <w:szCs w:val="20"/>
              </w:rPr>
            </w:pPr>
          </w:p>
        </w:tc>
      </w:tr>
      <w:tr w14:paraId="28FF5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32C925A">
            <w:pPr>
              <w:jc w:val="both"/>
              <w:rPr>
                <w:rFonts w:hint="default" w:ascii="Times New Roman" w:hAnsi="Times New Roman" w:eastAsia="宋体" w:cs="Times New Roman"/>
                <w:b/>
                <w:sz w:val="24"/>
                <w:szCs w:val="20"/>
              </w:rPr>
            </w:pPr>
          </w:p>
        </w:tc>
        <w:tc>
          <w:tcPr>
            <w:tcW w:w="3449" w:type="dxa"/>
          </w:tcPr>
          <w:p w14:paraId="231CF809">
            <w:pPr>
              <w:jc w:val="both"/>
              <w:rPr>
                <w:rFonts w:hint="default" w:ascii="Times New Roman" w:hAnsi="Times New Roman" w:eastAsia="宋体" w:cs="Times New Roman"/>
                <w:b/>
                <w:sz w:val="24"/>
                <w:szCs w:val="20"/>
              </w:rPr>
            </w:pPr>
          </w:p>
        </w:tc>
        <w:tc>
          <w:tcPr>
            <w:tcW w:w="2414" w:type="dxa"/>
          </w:tcPr>
          <w:p w14:paraId="74D50EA6">
            <w:pPr>
              <w:jc w:val="both"/>
              <w:rPr>
                <w:rFonts w:hint="default" w:ascii="Times New Roman" w:hAnsi="Times New Roman" w:eastAsia="宋体" w:cs="Times New Roman"/>
                <w:b/>
                <w:sz w:val="24"/>
                <w:szCs w:val="20"/>
              </w:rPr>
            </w:pPr>
          </w:p>
        </w:tc>
        <w:tc>
          <w:tcPr>
            <w:tcW w:w="1608" w:type="dxa"/>
          </w:tcPr>
          <w:p w14:paraId="72654247">
            <w:pPr>
              <w:jc w:val="both"/>
              <w:rPr>
                <w:rFonts w:hint="default" w:ascii="Times New Roman" w:hAnsi="Times New Roman" w:eastAsia="宋体" w:cs="Times New Roman"/>
                <w:b/>
                <w:sz w:val="24"/>
                <w:szCs w:val="20"/>
              </w:rPr>
            </w:pPr>
          </w:p>
        </w:tc>
      </w:tr>
      <w:tr w14:paraId="7D3DD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C81234">
            <w:pPr>
              <w:jc w:val="both"/>
              <w:rPr>
                <w:rFonts w:hint="default" w:ascii="Times New Roman" w:hAnsi="Times New Roman" w:eastAsia="宋体" w:cs="Times New Roman"/>
                <w:b/>
                <w:sz w:val="24"/>
                <w:szCs w:val="20"/>
              </w:rPr>
            </w:pPr>
          </w:p>
        </w:tc>
        <w:tc>
          <w:tcPr>
            <w:tcW w:w="3449" w:type="dxa"/>
          </w:tcPr>
          <w:p w14:paraId="33D4BD5E">
            <w:pPr>
              <w:jc w:val="both"/>
              <w:rPr>
                <w:rFonts w:hint="default" w:ascii="Times New Roman" w:hAnsi="Times New Roman" w:eastAsia="宋体" w:cs="Times New Roman"/>
                <w:b/>
                <w:sz w:val="24"/>
                <w:szCs w:val="20"/>
              </w:rPr>
            </w:pPr>
          </w:p>
        </w:tc>
        <w:tc>
          <w:tcPr>
            <w:tcW w:w="2414" w:type="dxa"/>
          </w:tcPr>
          <w:p w14:paraId="66B35AA7">
            <w:pPr>
              <w:jc w:val="both"/>
              <w:rPr>
                <w:rFonts w:hint="default" w:ascii="Times New Roman" w:hAnsi="Times New Roman" w:eastAsia="宋体" w:cs="Times New Roman"/>
                <w:b/>
                <w:sz w:val="24"/>
                <w:szCs w:val="20"/>
              </w:rPr>
            </w:pPr>
          </w:p>
        </w:tc>
        <w:tc>
          <w:tcPr>
            <w:tcW w:w="1608" w:type="dxa"/>
          </w:tcPr>
          <w:p w14:paraId="08834B45">
            <w:pPr>
              <w:jc w:val="both"/>
              <w:rPr>
                <w:rFonts w:hint="default" w:ascii="Times New Roman" w:hAnsi="Times New Roman" w:eastAsia="宋体" w:cs="Times New Roman"/>
                <w:b/>
                <w:sz w:val="24"/>
                <w:szCs w:val="20"/>
              </w:rPr>
            </w:pPr>
          </w:p>
        </w:tc>
      </w:tr>
      <w:tr w14:paraId="210E8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C9530CA">
            <w:pPr>
              <w:jc w:val="both"/>
              <w:rPr>
                <w:rFonts w:hint="default" w:ascii="Times New Roman" w:hAnsi="Times New Roman" w:eastAsia="宋体" w:cs="Times New Roman"/>
                <w:b/>
                <w:sz w:val="24"/>
                <w:szCs w:val="20"/>
              </w:rPr>
            </w:pPr>
          </w:p>
        </w:tc>
        <w:tc>
          <w:tcPr>
            <w:tcW w:w="3449" w:type="dxa"/>
          </w:tcPr>
          <w:p w14:paraId="729C4B3A">
            <w:pPr>
              <w:jc w:val="both"/>
              <w:rPr>
                <w:rFonts w:hint="default" w:ascii="Times New Roman" w:hAnsi="Times New Roman" w:eastAsia="宋体" w:cs="Times New Roman"/>
                <w:b/>
                <w:sz w:val="24"/>
                <w:szCs w:val="20"/>
              </w:rPr>
            </w:pPr>
          </w:p>
        </w:tc>
        <w:tc>
          <w:tcPr>
            <w:tcW w:w="2414" w:type="dxa"/>
          </w:tcPr>
          <w:p w14:paraId="527E0F9E">
            <w:pPr>
              <w:jc w:val="both"/>
              <w:rPr>
                <w:rFonts w:hint="default" w:ascii="Times New Roman" w:hAnsi="Times New Roman" w:eastAsia="宋体" w:cs="Times New Roman"/>
                <w:b/>
                <w:sz w:val="24"/>
                <w:szCs w:val="20"/>
              </w:rPr>
            </w:pPr>
          </w:p>
        </w:tc>
        <w:tc>
          <w:tcPr>
            <w:tcW w:w="1608" w:type="dxa"/>
          </w:tcPr>
          <w:p w14:paraId="69301EF3">
            <w:pPr>
              <w:jc w:val="both"/>
              <w:rPr>
                <w:rFonts w:hint="default" w:ascii="Times New Roman" w:hAnsi="Times New Roman" w:eastAsia="宋体" w:cs="Times New Roman"/>
                <w:b/>
                <w:sz w:val="24"/>
                <w:szCs w:val="20"/>
              </w:rPr>
            </w:pPr>
          </w:p>
        </w:tc>
      </w:tr>
      <w:tr w14:paraId="0D4F7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09FCFC1">
            <w:pPr>
              <w:jc w:val="both"/>
              <w:rPr>
                <w:rFonts w:hint="default" w:ascii="Times New Roman" w:hAnsi="Times New Roman" w:eastAsia="宋体" w:cs="Times New Roman"/>
                <w:b/>
                <w:sz w:val="24"/>
                <w:szCs w:val="20"/>
              </w:rPr>
            </w:pPr>
          </w:p>
        </w:tc>
        <w:tc>
          <w:tcPr>
            <w:tcW w:w="3449" w:type="dxa"/>
          </w:tcPr>
          <w:p w14:paraId="773F42A1">
            <w:pPr>
              <w:jc w:val="both"/>
              <w:rPr>
                <w:rFonts w:hint="default" w:ascii="Times New Roman" w:hAnsi="Times New Roman" w:eastAsia="宋体" w:cs="Times New Roman"/>
                <w:b/>
                <w:sz w:val="24"/>
                <w:szCs w:val="20"/>
              </w:rPr>
            </w:pPr>
          </w:p>
        </w:tc>
        <w:tc>
          <w:tcPr>
            <w:tcW w:w="2414" w:type="dxa"/>
          </w:tcPr>
          <w:p w14:paraId="355AC3F1">
            <w:pPr>
              <w:jc w:val="both"/>
              <w:rPr>
                <w:rFonts w:hint="default" w:ascii="Times New Roman" w:hAnsi="Times New Roman" w:eastAsia="宋体" w:cs="Times New Roman"/>
                <w:b/>
                <w:sz w:val="24"/>
                <w:szCs w:val="20"/>
              </w:rPr>
            </w:pPr>
          </w:p>
        </w:tc>
        <w:tc>
          <w:tcPr>
            <w:tcW w:w="1608" w:type="dxa"/>
          </w:tcPr>
          <w:p w14:paraId="7AD90859">
            <w:pPr>
              <w:jc w:val="both"/>
              <w:rPr>
                <w:rFonts w:hint="default" w:ascii="Times New Roman" w:hAnsi="Times New Roman" w:eastAsia="宋体" w:cs="Times New Roman"/>
                <w:b/>
                <w:sz w:val="24"/>
                <w:szCs w:val="20"/>
              </w:rPr>
            </w:pPr>
          </w:p>
        </w:tc>
      </w:tr>
      <w:tr w14:paraId="2E88A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7646ED3">
            <w:pPr>
              <w:jc w:val="both"/>
              <w:rPr>
                <w:rFonts w:hint="default" w:ascii="Times New Roman" w:hAnsi="Times New Roman" w:eastAsia="宋体" w:cs="Times New Roman"/>
                <w:b/>
                <w:sz w:val="24"/>
                <w:szCs w:val="20"/>
              </w:rPr>
            </w:pPr>
          </w:p>
        </w:tc>
        <w:tc>
          <w:tcPr>
            <w:tcW w:w="3449" w:type="dxa"/>
          </w:tcPr>
          <w:p w14:paraId="4479F36E">
            <w:pPr>
              <w:jc w:val="both"/>
              <w:rPr>
                <w:rFonts w:hint="default" w:ascii="Times New Roman" w:hAnsi="Times New Roman" w:eastAsia="宋体" w:cs="Times New Roman"/>
                <w:b/>
                <w:sz w:val="24"/>
                <w:szCs w:val="20"/>
              </w:rPr>
            </w:pPr>
          </w:p>
        </w:tc>
        <w:tc>
          <w:tcPr>
            <w:tcW w:w="2414" w:type="dxa"/>
          </w:tcPr>
          <w:p w14:paraId="0DFE62A4">
            <w:pPr>
              <w:jc w:val="both"/>
              <w:rPr>
                <w:rFonts w:hint="default" w:ascii="Times New Roman" w:hAnsi="Times New Roman" w:eastAsia="宋体" w:cs="Times New Roman"/>
                <w:b/>
                <w:sz w:val="24"/>
                <w:szCs w:val="20"/>
              </w:rPr>
            </w:pPr>
          </w:p>
        </w:tc>
        <w:tc>
          <w:tcPr>
            <w:tcW w:w="1608" w:type="dxa"/>
          </w:tcPr>
          <w:p w14:paraId="76635A8F">
            <w:pPr>
              <w:jc w:val="both"/>
              <w:rPr>
                <w:rFonts w:hint="default" w:ascii="Times New Roman" w:hAnsi="Times New Roman" w:eastAsia="宋体" w:cs="Times New Roman"/>
                <w:b/>
                <w:sz w:val="24"/>
                <w:szCs w:val="20"/>
              </w:rPr>
            </w:pPr>
          </w:p>
        </w:tc>
      </w:tr>
      <w:tr w14:paraId="75343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DC61C07">
            <w:pPr>
              <w:jc w:val="both"/>
              <w:rPr>
                <w:rFonts w:hint="default" w:ascii="Times New Roman" w:hAnsi="Times New Roman" w:eastAsia="宋体" w:cs="Times New Roman"/>
                <w:b/>
                <w:sz w:val="24"/>
                <w:szCs w:val="20"/>
              </w:rPr>
            </w:pPr>
          </w:p>
        </w:tc>
        <w:tc>
          <w:tcPr>
            <w:tcW w:w="3449" w:type="dxa"/>
          </w:tcPr>
          <w:p w14:paraId="799B32B4">
            <w:pPr>
              <w:jc w:val="both"/>
              <w:rPr>
                <w:rFonts w:hint="default" w:ascii="Times New Roman" w:hAnsi="Times New Roman" w:eastAsia="宋体" w:cs="Times New Roman"/>
                <w:b/>
                <w:sz w:val="24"/>
                <w:szCs w:val="20"/>
              </w:rPr>
            </w:pPr>
          </w:p>
        </w:tc>
        <w:tc>
          <w:tcPr>
            <w:tcW w:w="2414" w:type="dxa"/>
          </w:tcPr>
          <w:p w14:paraId="2252CE08">
            <w:pPr>
              <w:jc w:val="both"/>
              <w:rPr>
                <w:rFonts w:hint="default" w:ascii="Times New Roman" w:hAnsi="Times New Roman" w:eastAsia="宋体" w:cs="Times New Roman"/>
                <w:b/>
                <w:sz w:val="24"/>
                <w:szCs w:val="20"/>
              </w:rPr>
            </w:pPr>
          </w:p>
        </w:tc>
        <w:tc>
          <w:tcPr>
            <w:tcW w:w="1608" w:type="dxa"/>
          </w:tcPr>
          <w:p w14:paraId="0960F772">
            <w:pPr>
              <w:jc w:val="both"/>
              <w:rPr>
                <w:rFonts w:hint="default" w:ascii="Times New Roman" w:hAnsi="Times New Roman" w:eastAsia="宋体" w:cs="Times New Roman"/>
                <w:b/>
                <w:sz w:val="24"/>
                <w:szCs w:val="20"/>
              </w:rPr>
            </w:pPr>
          </w:p>
        </w:tc>
      </w:tr>
      <w:tr w14:paraId="3FE2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D7F0670">
            <w:pPr>
              <w:jc w:val="both"/>
              <w:rPr>
                <w:rFonts w:hint="default" w:ascii="Times New Roman" w:hAnsi="Times New Roman" w:eastAsia="宋体" w:cs="Times New Roman"/>
                <w:b/>
                <w:sz w:val="24"/>
                <w:szCs w:val="20"/>
              </w:rPr>
            </w:pPr>
          </w:p>
        </w:tc>
        <w:tc>
          <w:tcPr>
            <w:tcW w:w="3449" w:type="dxa"/>
          </w:tcPr>
          <w:p w14:paraId="3EA03324">
            <w:pPr>
              <w:jc w:val="both"/>
              <w:rPr>
                <w:rFonts w:hint="default" w:ascii="Times New Roman" w:hAnsi="Times New Roman" w:eastAsia="宋体" w:cs="Times New Roman"/>
                <w:b/>
                <w:sz w:val="24"/>
                <w:szCs w:val="20"/>
              </w:rPr>
            </w:pPr>
          </w:p>
        </w:tc>
        <w:tc>
          <w:tcPr>
            <w:tcW w:w="2414" w:type="dxa"/>
          </w:tcPr>
          <w:p w14:paraId="19AC5926">
            <w:pPr>
              <w:jc w:val="both"/>
              <w:rPr>
                <w:rFonts w:hint="default" w:ascii="Times New Roman" w:hAnsi="Times New Roman" w:eastAsia="宋体" w:cs="Times New Roman"/>
                <w:b/>
                <w:sz w:val="24"/>
                <w:szCs w:val="20"/>
              </w:rPr>
            </w:pPr>
          </w:p>
        </w:tc>
        <w:tc>
          <w:tcPr>
            <w:tcW w:w="1608" w:type="dxa"/>
          </w:tcPr>
          <w:p w14:paraId="7B747AB6">
            <w:pPr>
              <w:jc w:val="both"/>
              <w:rPr>
                <w:rFonts w:hint="default" w:ascii="Times New Roman" w:hAnsi="Times New Roman" w:eastAsia="宋体" w:cs="Times New Roman"/>
                <w:b/>
                <w:sz w:val="24"/>
                <w:szCs w:val="20"/>
              </w:rPr>
            </w:pPr>
          </w:p>
        </w:tc>
      </w:tr>
      <w:tr w14:paraId="77CC8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7892A28">
            <w:pPr>
              <w:jc w:val="both"/>
              <w:rPr>
                <w:rFonts w:hint="default" w:ascii="Times New Roman" w:hAnsi="Times New Roman" w:eastAsia="宋体" w:cs="Times New Roman"/>
                <w:b/>
                <w:sz w:val="24"/>
                <w:szCs w:val="20"/>
              </w:rPr>
            </w:pPr>
          </w:p>
        </w:tc>
        <w:tc>
          <w:tcPr>
            <w:tcW w:w="3449" w:type="dxa"/>
          </w:tcPr>
          <w:p w14:paraId="510C7AA3">
            <w:pPr>
              <w:jc w:val="both"/>
              <w:rPr>
                <w:rFonts w:hint="default" w:ascii="Times New Roman" w:hAnsi="Times New Roman" w:eastAsia="宋体" w:cs="Times New Roman"/>
                <w:b/>
                <w:sz w:val="24"/>
                <w:szCs w:val="20"/>
              </w:rPr>
            </w:pPr>
          </w:p>
        </w:tc>
        <w:tc>
          <w:tcPr>
            <w:tcW w:w="2414" w:type="dxa"/>
          </w:tcPr>
          <w:p w14:paraId="7F78DFC9">
            <w:pPr>
              <w:jc w:val="both"/>
              <w:rPr>
                <w:rFonts w:hint="default" w:ascii="Times New Roman" w:hAnsi="Times New Roman" w:eastAsia="宋体" w:cs="Times New Roman"/>
                <w:b/>
                <w:sz w:val="24"/>
                <w:szCs w:val="20"/>
              </w:rPr>
            </w:pPr>
          </w:p>
        </w:tc>
        <w:tc>
          <w:tcPr>
            <w:tcW w:w="1608" w:type="dxa"/>
          </w:tcPr>
          <w:p w14:paraId="0B9A8CEE">
            <w:pPr>
              <w:jc w:val="both"/>
              <w:rPr>
                <w:rFonts w:hint="default" w:ascii="Times New Roman" w:hAnsi="Times New Roman" w:eastAsia="宋体" w:cs="Times New Roman"/>
                <w:b/>
                <w:sz w:val="24"/>
                <w:szCs w:val="20"/>
              </w:rPr>
            </w:pPr>
          </w:p>
        </w:tc>
      </w:tr>
      <w:tr w14:paraId="3420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2F569CA">
            <w:pPr>
              <w:jc w:val="both"/>
              <w:rPr>
                <w:rFonts w:hint="default" w:ascii="Times New Roman" w:hAnsi="Times New Roman" w:eastAsia="宋体" w:cs="Times New Roman"/>
                <w:b/>
                <w:sz w:val="24"/>
                <w:szCs w:val="20"/>
              </w:rPr>
            </w:pPr>
          </w:p>
        </w:tc>
        <w:tc>
          <w:tcPr>
            <w:tcW w:w="3449" w:type="dxa"/>
          </w:tcPr>
          <w:p w14:paraId="34549BC9">
            <w:pPr>
              <w:jc w:val="both"/>
              <w:rPr>
                <w:rFonts w:hint="default" w:ascii="Times New Roman" w:hAnsi="Times New Roman" w:eastAsia="宋体" w:cs="Times New Roman"/>
                <w:b/>
                <w:sz w:val="24"/>
                <w:szCs w:val="20"/>
              </w:rPr>
            </w:pPr>
          </w:p>
        </w:tc>
        <w:tc>
          <w:tcPr>
            <w:tcW w:w="2414" w:type="dxa"/>
          </w:tcPr>
          <w:p w14:paraId="0A42E9DF">
            <w:pPr>
              <w:jc w:val="both"/>
              <w:rPr>
                <w:rFonts w:hint="default" w:ascii="Times New Roman" w:hAnsi="Times New Roman" w:eastAsia="宋体" w:cs="Times New Roman"/>
                <w:b/>
                <w:sz w:val="24"/>
                <w:szCs w:val="20"/>
              </w:rPr>
            </w:pPr>
          </w:p>
        </w:tc>
        <w:tc>
          <w:tcPr>
            <w:tcW w:w="1608" w:type="dxa"/>
          </w:tcPr>
          <w:p w14:paraId="054C1744">
            <w:pPr>
              <w:jc w:val="both"/>
              <w:rPr>
                <w:rFonts w:hint="default" w:ascii="Times New Roman" w:hAnsi="Times New Roman" w:eastAsia="宋体" w:cs="Times New Roman"/>
                <w:b/>
                <w:sz w:val="24"/>
                <w:szCs w:val="20"/>
              </w:rPr>
            </w:pPr>
          </w:p>
        </w:tc>
      </w:tr>
      <w:tr w14:paraId="1512E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A45330A">
            <w:pPr>
              <w:jc w:val="both"/>
              <w:rPr>
                <w:rFonts w:hint="default" w:ascii="Times New Roman" w:hAnsi="Times New Roman" w:eastAsia="宋体" w:cs="Times New Roman"/>
                <w:b/>
                <w:sz w:val="24"/>
                <w:szCs w:val="20"/>
              </w:rPr>
            </w:pPr>
          </w:p>
        </w:tc>
        <w:tc>
          <w:tcPr>
            <w:tcW w:w="3449" w:type="dxa"/>
          </w:tcPr>
          <w:p w14:paraId="03E0638E">
            <w:pPr>
              <w:jc w:val="both"/>
              <w:rPr>
                <w:rFonts w:hint="default" w:ascii="Times New Roman" w:hAnsi="Times New Roman" w:eastAsia="宋体" w:cs="Times New Roman"/>
                <w:b/>
                <w:sz w:val="24"/>
                <w:szCs w:val="20"/>
              </w:rPr>
            </w:pPr>
          </w:p>
        </w:tc>
        <w:tc>
          <w:tcPr>
            <w:tcW w:w="2414" w:type="dxa"/>
          </w:tcPr>
          <w:p w14:paraId="63250C13">
            <w:pPr>
              <w:jc w:val="both"/>
              <w:rPr>
                <w:rFonts w:hint="default" w:ascii="Times New Roman" w:hAnsi="Times New Roman" w:eastAsia="宋体" w:cs="Times New Roman"/>
                <w:b/>
                <w:sz w:val="24"/>
                <w:szCs w:val="20"/>
              </w:rPr>
            </w:pPr>
          </w:p>
        </w:tc>
        <w:tc>
          <w:tcPr>
            <w:tcW w:w="1608" w:type="dxa"/>
          </w:tcPr>
          <w:p w14:paraId="50350005">
            <w:pPr>
              <w:jc w:val="both"/>
              <w:rPr>
                <w:rFonts w:hint="default" w:ascii="Times New Roman" w:hAnsi="Times New Roman" w:eastAsia="宋体" w:cs="Times New Roman"/>
                <w:b/>
                <w:sz w:val="24"/>
                <w:szCs w:val="20"/>
              </w:rPr>
            </w:pPr>
          </w:p>
        </w:tc>
      </w:tr>
      <w:tr w14:paraId="6817F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CE45805">
            <w:pPr>
              <w:jc w:val="both"/>
              <w:rPr>
                <w:rFonts w:hint="default" w:ascii="Times New Roman" w:hAnsi="Times New Roman" w:eastAsia="宋体" w:cs="Times New Roman"/>
                <w:b/>
                <w:sz w:val="24"/>
                <w:szCs w:val="20"/>
              </w:rPr>
            </w:pPr>
          </w:p>
        </w:tc>
        <w:tc>
          <w:tcPr>
            <w:tcW w:w="3449" w:type="dxa"/>
          </w:tcPr>
          <w:p w14:paraId="7C69147C">
            <w:pPr>
              <w:jc w:val="both"/>
              <w:rPr>
                <w:rFonts w:hint="default" w:ascii="Times New Roman" w:hAnsi="Times New Roman" w:eastAsia="宋体" w:cs="Times New Roman"/>
                <w:b/>
                <w:sz w:val="24"/>
                <w:szCs w:val="20"/>
              </w:rPr>
            </w:pPr>
          </w:p>
        </w:tc>
        <w:tc>
          <w:tcPr>
            <w:tcW w:w="2414" w:type="dxa"/>
          </w:tcPr>
          <w:p w14:paraId="7C271385">
            <w:pPr>
              <w:jc w:val="both"/>
              <w:rPr>
                <w:rFonts w:hint="default" w:ascii="Times New Roman" w:hAnsi="Times New Roman" w:eastAsia="宋体" w:cs="Times New Roman"/>
                <w:b/>
                <w:sz w:val="24"/>
                <w:szCs w:val="20"/>
              </w:rPr>
            </w:pPr>
          </w:p>
        </w:tc>
        <w:tc>
          <w:tcPr>
            <w:tcW w:w="1608" w:type="dxa"/>
          </w:tcPr>
          <w:p w14:paraId="52E4D7DE">
            <w:pPr>
              <w:jc w:val="both"/>
              <w:rPr>
                <w:rFonts w:hint="default" w:ascii="Times New Roman" w:hAnsi="Times New Roman" w:eastAsia="宋体" w:cs="Times New Roman"/>
                <w:b/>
                <w:sz w:val="24"/>
                <w:szCs w:val="20"/>
              </w:rPr>
            </w:pPr>
          </w:p>
        </w:tc>
      </w:tr>
      <w:tr w14:paraId="3E3CA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E7A023">
            <w:pPr>
              <w:jc w:val="both"/>
              <w:rPr>
                <w:rFonts w:hint="default" w:ascii="Times New Roman" w:hAnsi="Times New Roman" w:eastAsia="宋体" w:cs="Times New Roman"/>
                <w:b/>
                <w:sz w:val="24"/>
                <w:szCs w:val="20"/>
              </w:rPr>
            </w:pPr>
          </w:p>
        </w:tc>
        <w:tc>
          <w:tcPr>
            <w:tcW w:w="3449" w:type="dxa"/>
          </w:tcPr>
          <w:p w14:paraId="44805680">
            <w:pPr>
              <w:jc w:val="both"/>
              <w:rPr>
                <w:rFonts w:hint="default" w:ascii="Times New Roman" w:hAnsi="Times New Roman" w:eastAsia="宋体" w:cs="Times New Roman"/>
                <w:b/>
                <w:sz w:val="24"/>
                <w:szCs w:val="20"/>
              </w:rPr>
            </w:pPr>
          </w:p>
        </w:tc>
        <w:tc>
          <w:tcPr>
            <w:tcW w:w="2414" w:type="dxa"/>
          </w:tcPr>
          <w:p w14:paraId="3EC5CB98">
            <w:pPr>
              <w:jc w:val="both"/>
              <w:rPr>
                <w:rFonts w:hint="default" w:ascii="Times New Roman" w:hAnsi="Times New Roman" w:eastAsia="宋体" w:cs="Times New Roman"/>
                <w:b/>
                <w:sz w:val="24"/>
                <w:szCs w:val="20"/>
              </w:rPr>
            </w:pPr>
          </w:p>
        </w:tc>
        <w:tc>
          <w:tcPr>
            <w:tcW w:w="1608" w:type="dxa"/>
          </w:tcPr>
          <w:p w14:paraId="192AC3B0">
            <w:pPr>
              <w:jc w:val="both"/>
              <w:rPr>
                <w:rFonts w:hint="default" w:ascii="Times New Roman" w:hAnsi="Times New Roman" w:eastAsia="宋体" w:cs="Times New Roman"/>
                <w:b/>
                <w:sz w:val="24"/>
                <w:szCs w:val="20"/>
              </w:rPr>
            </w:pPr>
          </w:p>
        </w:tc>
      </w:tr>
      <w:tr w14:paraId="2DBA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7A866BE">
            <w:pPr>
              <w:jc w:val="both"/>
              <w:rPr>
                <w:rFonts w:hint="default" w:ascii="Times New Roman" w:hAnsi="Times New Roman" w:eastAsia="宋体" w:cs="Times New Roman"/>
                <w:b/>
                <w:sz w:val="24"/>
                <w:szCs w:val="20"/>
              </w:rPr>
            </w:pPr>
          </w:p>
        </w:tc>
        <w:tc>
          <w:tcPr>
            <w:tcW w:w="3449" w:type="dxa"/>
          </w:tcPr>
          <w:p w14:paraId="4AECDF26">
            <w:pPr>
              <w:jc w:val="both"/>
              <w:rPr>
                <w:rFonts w:hint="default" w:ascii="Times New Roman" w:hAnsi="Times New Roman" w:eastAsia="宋体" w:cs="Times New Roman"/>
                <w:b/>
                <w:sz w:val="24"/>
                <w:szCs w:val="20"/>
              </w:rPr>
            </w:pPr>
          </w:p>
        </w:tc>
        <w:tc>
          <w:tcPr>
            <w:tcW w:w="2414" w:type="dxa"/>
          </w:tcPr>
          <w:p w14:paraId="168A64D4">
            <w:pPr>
              <w:jc w:val="both"/>
              <w:rPr>
                <w:rFonts w:hint="default" w:ascii="Times New Roman" w:hAnsi="Times New Roman" w:eastAsia="宋体" w:cs="Times New Roman"/>
                <w:b/>
                <w:sz w:val="24"/>
                <w:szCs w:val="20"/>
              </w:rPr>
            </w:pPr>
          </w:p>
        </w:tc>
        <w:tc>
          <w:tcPr>
            <w:tcW w:w="1608" w:type="dxa"/>
          </w:tcPr>
          <w:p w14:paraId="30A162FA">
            <w:pPr>
              <w:jc w:val="both"/>
              <w:rPr>
                <w:rFonts w:hint="default" w:ascii="Times New Roman" w:hAnsi="Times New Roman" w:eastAsia="宋体" w:cs="Times New Roman"/>
                <w:b/>
                <w:sz w:val="24"/>
                <w:szCs w:val="20"/>
              </w:rPr>
            </w:pPr>
          </w:p>
        </w:tc>
      </w:tr>
    </w:tbl>
    <w:p w14:paraId="7089172F">
      <w:pPr>
        <w:spacing w:line="660" w:lineRule="exact"/>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10D3ED05">
      <w:pPr>
        <w:rPr>
          <w:rFonts w:hint="eastAsia" w:ascii="宋体" w:hAnsi="宋体" w:eastAsia="宋体" w:cs="宋体"/>
          <w:sz w:val="32"/>
          <w:szCs w:val="32"/>
          <w:highlight w:val="none"/>
          <w:lang w:val="en-US" w:eastAsia="zh-CN"/>
        </w:rPr>
      </w:pPr>
      <w:r>
        <w:rPr>
          <w:rFonts w:hint="default" w:ascii="Times New Roman" w:hAnsi="Times New Roman" w:eastAsia="宋体" w:cs="Times New Roman"/>
          <w:sz w:val="24"/>
          <w:szCs w:val="20"/>
        </w:rPr>
        <w:t>法定代表人（委托代理人）：（签字）</w:t>
      </w:r>
      <w:r>
        <w:rPr>
          <w:rFonts w:hint="eastAsia" w:ascii="宋体" w:hAnsi="宋体" w:eastAsia="宋体" w:cs="宋体"/>
          <w:sz w:val="32"/>
          <w:szCs w:val="32"/>
          <w:highlight w:val="none"/>
          <w:lang w:val="en-US" w:eastAsia="zh-CN"/>
        </w:rPr>
        <w:br w:type="page"/>
      </w:r>
    </w:p>
    <w:p w14:paraId="53E6B306">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开标一览表</w:t>
      </w:r>
    </w:p>
    <w:p w14:paraId="769BF465">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1509"/>
        <w:gridCol w:w="572"/>
        <w:gridCol w:w="2576"/>
        <w:gridCol w:w="719"/>
        <w:gridCol w:w="1888"/>
        <w:gridCol w:w="1450"/>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308" w:type="pct"/>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812" w:type="pct"/>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308" w:type="pct"/>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1386" w:type="pct"/>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387" w:type="pct"/>
            <w:vAlign w:val="center"/>
          </w:tcPr>
          <w:p w14:paraId="43B51BBB">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质保期</w:t>
            </w:r>
          </w:p>
        </w:tc>
        <w:tc>
          <w:tcPr>
            <w:tcW w:w="1016" w:type="pct"/>
            <w:vAlign w:val="center"/>
          </w:tcPr>
          <w:p w14:paraId="669E8072">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付款方式及比例如何响应</w:t>
            </w:r>
          </w:p>
        </w:tc>
        <w:tc>
          <w:tcPr>
            <w:tcW w:w="780" w:type="pct"/>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308" w:type="pct"/>
            <w:vAlign w:val="center"/>
          </w:tcPr>
          <w:p w14:paraId="6D0E9BE6">
            <w:pPr>
              <w:jc w:val="left"/>
              <w:rPr>
                <w:rFonts w:hint="eastAsia" w:ascii="等线" w:hAnsi="等线" w:eastAsia="等线" w:cs="Times New Roman"/>
                <w:b/>
                <w:szCs w:val="20"/>
                <w:lang w:val="en-US" w:eastAsia="zh-CN"/>
              </w:rPr>
            </w:pPr>
            <w:r>
              <w:rPr>
                <w:rFonts w:hint="eastAsia" w:ascii="等线" w:hAnsi="等线" w:eastAsia="等线" w:cs="Times New Roman"/>
                <w:b/>
                <w:szCs w:val="20"/>
                <w:lang w:val="en-US" w:eastAsia="zh-CN"/>
              </w:rPr>
              <w:t>1</w:t>
            </w:r>
          </w:p>
        </w:tc>
        <w:tc>
          <w:tcPr>
            <w:tcW w:w="812" w:type="pct"/>
            <w:vAlign w:val="center"/>
          </w:tcPr>
          <w:p w14:paraId="01DDB5C4">
            <w:pPr>
              <w:jc w:val="left"/>
              <w:rPr>
                <w:rFonts w:hint="eastAsia" w:ascii="等线" w:hAnsi="等线" w:eastAsia="等线" w:cs="Times New Roman"/>
                <w:b/>
                <w:szCs w:val="20"/>
                <w:lang w:eastAsia="zh-CN"/>
              </w:rPr>
            </w:pPr>
            <w:r>
              <w:rPr>
                <w:rFonts w:hint="eastAsia" w:ascii="等线" w:hAnsi="等线" w:eastAsia="等线" w:cs="Times New Roman"/>
                <w:b/>
                <w:szCs w:val="20"/>
              </w:rPr>
              <w:t>喷枪（含枪接头）</w:t>
            </w:r>
          </w:p>
        </w:tc>
        <w:tc>
          <w:tcPr>
            <w:tcW w:w="308" w:type="pct"/>
            <w:vAlign w:val="center"/>
          </w:tcPr>
          <w:p w14:paraId="5754ED5A">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20</w:t>
            </w:r>
          </w:p>
        </w:tc>
        <w:tc>
          <w:tcPr>
            <w:tcW w:w="1386" w:type="pct"/>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387" w:type="pct"/>
            <w:vAlign w:val="center"/>
          </w:tcPr>
          <w:p w14:paraId="1E0AF0C2">
            <w:pPr>
              <w:jc w:val="center"/>
              <w:rPr>
                <w:rFonts w:ascii="Times New Roman" w:hAnsi="Times New Roman" w:eastAsia="宋体" w:cs="Times New Roman"/>
                <w:b/>
                <w:szCs w:val="20"/>
              </w:rPr>
            </w:pPr>
          </w:p>
        </w:tc>
        <w:tc>
          <w:tcPr>
            <w:tcW w:w="1016" w:type="pct"/>
            <w:vAlign w:val="center"/>
          </w:tcPr>
          <w:p w14:paraId="2516E961">
            <w:pPr>
              <w:jc w:val="center"/>
              <w:rPr>
                <w:rFonts w:ascii="Times New Roman" w:hAnsi="Times New Roman" w:eastAsia="宋体" w:cs="Times New Roman"/>
                <w:b/>
                <w:szCs w:val="20"/>
              </w:rPr>
            </w:pPr>
          </w:p>
        </w:tc>
        <w:tc>
          <w:tcPr>
            <w:tcW w:w="780" w:type="pct"/>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hint="eastAsia"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6381D8BE">
      <w:pPr>
        <w:spacing w:line="300" w:lineRule="auto"/>
        <w:rPr>
          <w:rFonts w:hint="eastAsia" w:ascii="宋体" w:hAnsi="宋体" w:eastAsia="宋体" w:cs="宋体"/>
          <w:b/>
          <w:szCs w:val="20"/>
          <w:lang w:val="en-US" w:eastAsia="zh-CN"/>
        </w:rPr>
      </w:pPr>
      <w:r>
        <w:rPr>
          <w:rFonts w:hint="eastAsia" w:ascii="宋体" w:hAnsi="宋体" w:eastAsia="宋体" w:cs="宋体"/>
          <w:b/>
          <w:szCs w:val="20"/>
          <w:lang w:val="en-US" w:eastAsia="zh-CN"/>
        </w:rPr>
        <w:t>3</w:t>
      </w:r>
      <w:r>
        <w:rPr>
          <w:rFonts w:hint="eastAsia" w:ascii="宋体" w:hAnsi="宋体" w:eastAsia="宋体" w:cs="宋体"/>
          <w:b/>
          <w:szCs w:val="20"/>
        </w:rPr>
        <w:t>.投标总价包括设备费、调试费、备品备件、特殊工具、运杂费、装卸费、技术服务费、保险费及增值税和其它税费。</w:t>
      </w:r>
    </w:p>
    <w:p w14:paraId="7CA9A866">
      <w:pPr>
        <w:pStyle w:val="15"/>
        <w:rPr>
          <w:rFonts w:hint="eastAsia" w:hAnsi="宋体" w:eastAsia="宋体" w:cs="Times New Roman"/>
          <w:b/>
          <w:bCs/>
          <w:szCs w:val="21"/>
          <w:highlight w:val="yellow"/>
        </w:rPr>
      </w:pPr>
    </w:p>
    <w:p w14:paraId="31061A95">
      <w:pPr>
        <w:pStyle w:val="15"/>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6"/>
        <w:bidi w:val="0"/>
      </w:pPr>
      <w:r>
        <w:t xml:space="preserve"> </w:t>
      </w:r>
    </w:p>
    <w:p w14:paraId="36B9F02A">
      <w:pPr>
        <w:pStyle w:val="76"/>
        <w:bidi w:val="0"/>
      </w:pPr>
    </w:p>
    <w:p w14:paraId="6E7F97B7">
      <w:pPr>
        <w:pStyle w:val="76"/>
        <w:bidi w:val="0"/>
      </w:pPr>
    </w:p>
    <w:p w14:paraId="0A484835">
      <w:pPr>
        <w:rPr>
          <w:rFonts w:hint="eastAsia" w:ascii="宋体" w:hAnsi="宋体" w:eastAsia="宋体" w:cs="宋体"/>
          <w:sz w:val="32"/>
          <w:szCs w:val="32"/>
          <w:highlight w:val="none"/>
          <w:lang w:val="en-US" w:eastAsia="zh-CN"/>
        </w:rPr>
      </w:pPr>
      <w:bookmarkStart w:id="29" w:name="_Toc4225"/>
      <w:bookmarkStart w:id="30" w:name="_Toc47976616"/>
      <w:r>
        <w:rPr>
          <w:rFonts w:hint="eastAsia" w:ascii="宋体" w:hAnsi="宋体" w:eastAsia="宋体" w:cs="宋体"/>
          <w:sz w:val="32"/>
          <w:szCs w:val="32"/>
          <w:highlight w:val="none"/>
          <w:lang w:val="en-US" w:eastAsia="zh-CN"/>
        </w:rPr>
        <w:br w:type="page"/>
      </w:r>
    </w:p>
    <w:p w14:paraId="230754D8">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w:t>
      </w:r>
      <w:bookmarkEnd w:id="29"/>
      <w:bookmarkEnd w:id="30"/>
      <w:r>
        <w:rPr>
          <w:rFonts w:hint="eastAsia" w:ascii="宋体" w:hAnsi="宋体" w:eastAsia="宋体" w:cs="宋体"/>
          <w:sz w:val="32"/>
          <w:szCs w:val="32"/>
          <w:highlight w:val="none"/>
          <w:lang w:val="en-US" w:eastAsia="zh-CN"/>
        </w:rPr>
        <w:t>5 投标函</w:t>
      </w:r>
    </w:p>
    <w:p w14:paraId="78BEF19D">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1A7AA2F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rPr>
        <w:t>致：</w:t>
      </w:r>
      <w:r>
        <w:rPr>
          <w:rFonts w:hint="eastAsia" w:ascii="宋体" w:hAnsi="宋体" w:cs="Times New Roman"/>
          <w:color w:val="000000"/>
          <w:sz w:val="24"/>
          <w:szCs w:val="24"/>
          <w:highlight w:val="none"/>
          <w:lang w:eastAsia="zh-CN"/>
        </w:rPr>
        <w:t>重汽（重庆）轻型汽车有限公司</w:t>
      </w:r>
      <w:r>
        <w:rPr>
          <w:rFonts w:hint="eastAsia" w:ascii="宋体" w:hAnsi="宋体" w:eastAsia="宋体" w:cs="Times New Roman"/>
          <w:color w:val="000000"/>
          <w:sz w:val="24"/>
          <w:szCs w:val="24"/>
          <w:highlight w:val="none"/>
        </w:rPr>
        <w:t>：</w:t>
      </w:r>
    </w:p>
    <w:p w14:paraId="251C176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根据贵方</w:t>
      </w:r>
      <w:r>
        <w:rPr>
          <w:rFonts w:hint="eastAsia" w:ascii="宋体" w:hAnsi="宋体" w:cs="Times New Roman"/>
          <w:color w:val="000000"/>
          <w:sz w:val="24"/>
          <w:szCs w:val="24"/>
          <w:highlight w:val="none"/>
          <w:u w:val="single"/>
          <w:lang w:val="en-US" w:eastAsia="zh-CN"/>
        </w:rPr>
        <w:t>涂装车间喷枪改造项目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cs="Times New Roman"/>
          <w:color w:val="000000"/>
          <w:sz w:val="24"/>
          <w:szCs w:val="24"/>
          <w:lang w:val="en-US" w:eastAsia="zh-CN"/>
        </w:rPr>
        <w:t>电子版</w:t>
      </w:r>
      <w:r>
        <w:rPr>
          <w:rFonts w:hint="eastAsia" w:ascii="宋体" w:hAnsi="宋体" w:eastAsia="宋体" w:cs="Times New Roman"/>
          <w:color w:val="000000"/>
          <w:sz w:val="24"/>
          <w:szCs w:val="24"/>
        </w:rPr>
        <w:t>投标文件：资质证明文件、商务文件和技术文件。</w:t>
      </w:r>
    </w:p>
    <w:p w14:paraId="65C45E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0880B3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6066011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5B0FEC9">
      <w:pPr>
        <w:spacing w:line="360" w:lineRule="auto"/>
        <w:ind w:firstLine="480" w:firstLineChars="200"/>
        <w:rPr>
          <w:rFonts w:hint="eastAsia" w:ascii="宋体" w:hAnsi="宋体" w:eastAsia="宋体" w:cs="Times New Roman"/>
          <w:color w:val="000000"/>
          <w:sz w:val="24"/>
          <w:szCs w:val="24"/>
          <w:lang w:eastAsia="zh-CN"/>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p>
    <w:p w14:paraId="48E1E95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74B689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2D730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0D70DD7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15A137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42217A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64E7D1C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770A28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76E3F3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696EA9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06F50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48E15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391EAE8">
      <w:pPr>
        <w:pStyle w:val="76"/>
        <w:bidi w:val="0"/>
      </w:pPr>
    </w:p>
    <w:p w14:paraId="391DF144">
      <w:pPr>
        <w:pStyle w:val="76"/>
        <w:bidi w:val="0"/>
      </w:pPr>
    </w:p>
    <w:p w14:paraId="4E421771">
      <w:pPr>
        <w:pStyle w:val="76"/>
        <w:bidi w:val="0"/>
      </w:pPr>
    </w:p>
    <w:p w14:paraId="32C9A5BE">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67214EB0">
      <w:pPr>
        <w:pStyle w:val="72"/>
        <w:numPr>
          <w:ilvl w:val="0"/>
          <w:numId w:val="0"/>
        </w:numPr>
        <w:ind w:leftChars="0"/>
        <w:rPr>
          <w:rFonts w:hint="default" w:ascii="宋体" w:hAnsi="宋体" w:eastAsia="宋体" w:cs="宋体"/>
          <w:sz w:val="32"/>
          <w:szCs w:val="32"/>
          <w:highlight w:val="none"/>
          <w:lang w:val="en-US" w:eastAsia="zh-CN"/>
        </w:rPr>
      </w:pPr>
      <w:r>
        <w:rPr>
          <w:rFonts w:hint="default" w:ascii="宋体" w:hAnsi="宋体" w:eastAsia="宋体" w:cs="宋体"/>
          <w:sz w:val="32"/>
          <w:szCs w:val="32"/>
          <w:highlight w:val="none"/>
          <w:lang w:val="en-US" w:eastAsia="zh-CN"/>
        </w:rPr>
        <w:t>附件</w:t>
      </w:r>
      <w:r>
        <w:rPr>
          <w:rFonts w:hint="eastAsia" w:ascii="宋体" w:hAnsi="宋体" w:eastAsia="宋体" w:cs="宋体"/>
          <w:sz w:val="32"/>
          <w:szCs w:val="32"/>
          <w:highlight w:val="none"/>
          <w:lang w:val="en-US" w:eastAsia="zh-CN"/>
        </w:rPr>
        <w:t>6</w:t>
      </w:r>
      <w:r>
        <w:rPr>
          <w:rFonts w:hint="default" w:ascii="宋体" w:hAnsi="宋体" w:eastAsia="宋体" w:cs="宋体"/>
          <w:sz w:val="32"/>
          <w:szCs w:val="32"/>
          <w:highlight w:val="none"/>
          <w:lang w:val="en-US" w:eastAsia="zh-CN"/>
        </w:rPr>
        <w:t xml:space="preserve"> 服务承诺函</w:t>
      </w:r>
    </w:p>
    <w:p w14:paraId="7E180CB3">
      <w:pPr>
        <w:spacing w:line="240" w:lineRule="exact"/>
        <w:jc w:val="both"/>
        <w:rPr>
          <w:rFonts w:hint="default" w:ascii="Times New Roman" w:hAnsi="Times New Roman" w:eastAsia="宋体" w:cs="Times New Roman"/>
          <w:b/>
          <w:bCs/>
          <w:sz w:val="36"/>
          <w:szCs w:val="20"/>
        </w:rPr>
      </w:pPr>
    </w:p>
    <w:p w14:paraId="006C53F8">
      <w:pPr>
        <w:spacing w:line="360" w:lineRule="auto"/>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项目名称：</w:t>
      </w:r>
      <w:r>
        <w:rPr>
          <w:rFonts w:hint="eastAsia" w:ascii="宋体" w:hAnsi="宋体" w:cs="宋体"/>
          <w:b/>
          <w:bCs/>
          <w:i w:val="0"/>
          <w:iCs w:val="0"/>
          <w:sz w:val="24"/>
          <w:szCs w:val="24"/>
          <w:highlight w:val="none"/>
          <w:u w:val="none"/>
          <w:lang w:val="en-US" w:eastAsia="zh-CN"/>
        </w:rPr>
        <w:t>涂装车间喷枪改造项目</w:t>
      </w:r>
    </w:p>
    <w:p w14:paraId="10308AC3">
      <w:pPr>
        <w:spacing w:line="360" w:lineRule="auto"/>
        <w:jc w:val="both"/>
        <w:rPr>
          <w:rFonts w:hint="default" w:ascii="Times New Roman" w:hAnsi="Times New Roman" w:eastAsia="宋体" w:cs="Times New Roman"/>
          <w:b/>
          <w:bCs/>
          <w:sz w:val="24"/>
          <w:szCs w:val="20"/>
        </w:rPr>
      </w:pPr>
      <w:r>
        <w:rPr>
          <w:rFonts w:hint="eastAsia" w:cs="Times New Roman"/>
          <w:b/>
          <w:bCs/>
          <w:sz w:val="24"/>
          <w:szCs w:val="20"/>
          <w:lang w:eastAsia="zh-CN"/>
        </w:rPr>
        <w:t>重汽（重庆）轻型汽车有限公司</w:t>
      </w:r>
      <w:r>
        <w:rPr>
          <w:rFonts w:hint="default" w:ascii="Times New Roman" w:hAnsi="Times New Roman" w:eastAsia="宋体" w:cs="Times New Roman"/>
          <w:b/>
          <w:bCs/>
          <w:sz w:val="24"/>
          <w:szCs w:val="20"/>
        </w:rPr>
        <w:t>：</w:t>
      </w:r>
    </w:p>
    <w:p w14:paraId="653A453F">
      <w:pPr>
        <w:spacing w:line="360" w:lineRule="auto"/>
        <w:ind w:firstLine="480"/>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lang w:eastAsia="zh-CN"/>
        </w:rPr>
        <w:t>投标人</w:t>
      </w:r>
      <w:r>
        <w:rPr>
          <w:rFonts w:hint="default" w:ascii="Times New Roman" w:hAnsi="Times New Roman" w:eastAsia="宋体" w:cs="Times New Roman"/>
          <w:sz w:val="24"/>
          <w:szCs w:val="20"/>
        </w:rPr>
        <w:t>名称）对中标合同产品的服务作如下承诺：</w:t>
      </w:r>
    </w:p>
    <w:p w14:paraId="39C7681B">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4B31E44A">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12A8186">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1AB823B">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1D92CDF">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BD8E353">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407A1E51">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4ECF59B">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EE1086A">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DEAA583">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57D7F67">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00D3D42">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95FC43D">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96D4396">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41E0902">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4250196">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4A4554B">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44E3E895">
      <w:pPr>
        <w:spacing w:line="360" w:lineRule="auto"/>
        <w:ind w:firstLine="480" w:firstLineChars="200"/>
        <w:jc w:val="both"/>
        <w:rPr>
          <w:rFonts w:hint="default" w:ascii="Times New Roman" w:hAnsi="Times New Roman" w:eastAsia="宋体" w:cs="Times New Roman"/>
          <w:sz w:val="24"/>
          <w:szCs w:val="20"/>
          <w:u w:val="single"/>
        </w:rPr>
      </w:pPr>
    </w:p>
    <w:p w14:paraId="3A8CE099">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0ECD7EDC">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5399ED64">
      <w:pPr>
        <w:rPr>
          <w:rFonts w:hint="eastAsia" w:ascii="宋体" w:hAnsi="宋体" w:eastAsia="宋体" w:cs="宋体"/>
          <w:sz w:val="32"/>
          <w:szCs w:val="32"/>
          <w:highlight w:val="none"/>
          <w:lang w:val="en-US" w:eastAsia="zh-CN"/>
        </w:rPr>
      </w:pPr>
      <w:r>
        <w:rPr>
          <w:rFonts w:hint="default" w:ascii="Times New Roman" w:hAnsi="Times New Roman" w:eastAsia="宋体" w:cs="Times New Roman"/>
          <w:color w:val="000000"/>
          <w:sz w:val="24"/>
          <w:szCs w:val="24"/>
        </w:rPr>
        <w:t>日  期：       年    月    日</w:t>
      </w:r>
      <w:r>
        <w:rPr>
          <w:rFonts w:hint="eastAsia" w:ascii="宋体" w:hAnsi="宋体" w:eastAsia="宋体" w:cs="宋体"/>
          <w:sz w:val="32"/>
          <w:szCs w:val="32"/>
          <w:highlight w:val="none"/>
          <w:lang w:val="en-US" w:eastAsia="zh-CN"/>
        </w:rPr>
        <w:br w:type="page"/>
      </w:r>
    </w:p>
    <w:p w14:paraId="4E91CA03">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附件7 商务条款偏离表</w:t>
      </w:r>
    </w:p>
    <w:p w14:paraId="38D36224">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商务条款偏离表</w:t>
      </w:r>
    </w:p>
    <w:tbl>
      <w:tblPr>
        <w:tblStyle w:val="3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AA7D60">
            <w:pPr>
              <w:jc w:val="center"/>
              <w:rPr>
                <w:rFonts w:hint="default" w:ascii="Times New Roman" w:hAnsi="Times New Roman" w:eastAsia="宋体" w:cs="Times New Roman"/>
                <w:b/>
                <w:szCs w:val="20"/>
                <w:lang w:val="en-US"/>
              </w:rPr>
            </w:pPr>
            <w:r>
              <w:rPr>
                <w:rFonts w:hint="eastAsia" w:ascii="宋体" w:hAnsi="宋体" w:cs="宋体"/>
                <w:b/>
                <w:bCs/>
                <w:i w:val="0"/>
                <w:iCs w:val="0"/>
                <w:sz w:val="24"/>
                <w:szCs w:val="24"/>
                <w:highlight w:val="none"/>
                <w:u w:val="none"/>
                <w:lang w:val="en-US" w:eastAsia="zh-CN"/>
              </w:rPr>
              <w:t>涂装车间喷枪改造项目</w:t>
            </w:r>
          </w:p>
        </w:tc>
        <w:tc>
          <w:tcPr>
            <w:tcW w:w="2875" w:type="dxa"/>
            <w:tcBorders>
              <w:top w:val="single" w:color="auto" w:sz="4" w:space="0"/>
              <w:left w:val="single" w:color="auto" w:sz="4" w:space="0"/>
              <w:bottom w:val="single" w:color="auto" w:sz="4" w:space="0"/>
              <w:right w:val="single" w:color="auto" w:sz="4" w:space="0"/>
            </w:tcBorders>
            <w:vAlign w:val="center"/>
          </w:tcPr>
          <w:p w14:paraId="11CC715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ascii="Times New Roman" w:hAnsi="Times New Roman" w:eastAsia="宋体" w:cs="Times New Roman"/>
                <w:b/>
                <w:szCs w:val="20"/>
              </w:rPr>
            </w:pPr>
            <w:r>
              <w:rPr>
                <w:rFonts w:hint="eastAsia" w:ascii="宋体" w:hAnsi="宋体" w:eastAsia="宋体" w:cs="宋体"/>
                <w:b/>
                <w:szCs w:val="20"/>
              </w:rPr>
              <w:t>是否偏离</w:t>
            </w:r>
          </w:p>
          <w:p w14:paraId="695C9B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3008E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1AB60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ascii="Times New Roman" w:hAnsi="Times New Roman" w:eastAsia="宋体" w:cs="Times New Roman"/>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873810">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C8F3F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ascii="Times New Roman" w:hAnsi="Times New Roman" w:eastAsia="宋体" w:cs="Times New Roman"/>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D4069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964D6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ascii="Times New Roman" w:hAnsi="Times New Roman" w:eastAsia="宋体" w:cs="Times New Roman"/>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D5B77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99352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ascii="Times New Roman" w:hAnsi="Times New Roman" w:eastAsia="宋体" w:cs="Times New Roman"/>
                <w:b/>
                <w:szCs w:val="21"/>
              </w:rPr>
            </w:pPr>
          </w:p>
          <w:p w14:paraId="2311C360">
            <w:pPr>
              <w:jc w:val="center"/>
              <w:rPr>
                <w:rFonts w:ascii="Times New Roman" w:hAnsi="Times New Roman" w:eastAsia="宋体" w:cs="Times New Roman"/>
                <w:b/>
                <w:szCs w:val="21"/>
              </w:rPr>
            </w:pPr>
          </w:p>
          <w:p w14:paraId="7FD0011A">
            <w:pPr>
              <w:jc w:val="center"/>
              <w:rPr>
                <w:rFonts w:ascii="Times New Roman" w:hAnsi="Times New Roman" w:eastAsia="宋体" w:cs="Times New Roman"/>
                <w:b/>
                <w:szCs w:val="21"/>
              </w:rPr>
            </w:pPr>
          </w:p>
          <w:p w14:paraId="7E133CE2">
            <w:pPr>
              <w:jc w:val="center"/>
              <w:rPr>
                <w:rFonts w:ascii="Times New Roman" w:hAnsi="Times New Roman" w:eastAsia="宋体" w:cs="Times New Roman"/>
                <w:b/>
                <w:szCs w:val="21"/>
              </w:rPr>
            </w:pPr>
          </w:p>
          <w:p w14:paraId="51AC5346">
            <w:pPr>
              <w:jc w:val="center"/>
              <w:rPr>
                <w:rFonts w:ascii="Times New Roman" w:hAnsi="Times New Roman" w:eastAsia="宋体" w:cs="Times New Roman"/>
                <w:b/>
                <w:szCs w:val="21"/>
              </w:rPr>
            </w:pPr>
          </w:p>
          <w:p w14:paraId="2BC45769">
            <w:pPr>
              <w:jc w:val="center"/>
              <w:rPr>
                <w:rFonts w:ascii="Times New Roman" w:hAnsi="Times New Roman" w:eastAsia="宋体" w:cs="Times New Roman"/>
                <w:b/>
                <w:szCs w:val="21"/>
              </w:rPr>
            </w:pPr>
          </w:p>
          <w:p w14:paraId="76CE503C">
            <w:pPr>
              <w:jc w:val="center"/>
              <w:rPr>
                <w:rFonts w:ascii="Times New Roman" w:hAnsi="Times New Roman" w:eastAsia="宋体" w:cs="Times New Roman"/>
                <w:b/>
                <w:szCs w:val="21"/>
              </w:rPr>
            </w:pPr>
          </w:p>
          <w:p w14:paraId="085D6DBC">
            <w:pPr>
              <w:jc w:val="center"/>
              <w:rPr>
                <w:rFonts w:ascii="Times New Roman" w:hAnsi="Times New Roman" w:eastAsia="宋体" w:cs="Times New Roman"/>
                <w:b/>
                <w:szCs w:val="21"/>
              </w:rPr>
            </w:pPr>
          </w:p>
          <w:p w14:paraId="1571192F">
            <w:pPr>
              <w:jc w:val="center"/>
              <w:rPr>
                <w:rFonts w:ascii="Times New Roman" w:hAnsi="Times New Roman" w:eastAsia="宋体" w:cs="Times New Roman"/>
                <w:b/>
                <w:szCs w:val="21"/>
              </w:rPr>
            </w:pPr>
          </w:p>
          <w:p w14:paraId="7D15E4F6">
            <w:pPr>
              <w:jc w:val="center"/>
              <w:rPr>
                <w:rFonts w:ascii="Times New Roman" w:hAnsi="Times New Roman" w:eastAsia="宋体" w:cs="Times New Roman"/>
                <w:b/>
                <w:szCs w:val="21"/>
              </w:rPr>
            </w:pPr>
          </w:p>
          <w:p w14:paraId="4542552C">
            <w:pPr>
              <w:jc w:val="center"/>
              <w:rPr>
                <w:rFonts w:ascii="Times New Roman" w:hAnsi="Times New Roman" w:eastAsia="宋体" w:cs="Times New Roman"/>
                <w:b/>
                <w:szCs w:val="21"/>
              </w:rPr>
            </w:pPr>
          </w:p>
          <w:p w14:paraId="53820639">
            <w:pPr>
              <w:jc w:val="center"/>
              <w:rPr>
                <w:rFonts w:ascii="Times New Roman" w:hAnsi="Times New Roman" w:eastAsia="宋体" w:cs="Times New Roman"/>
                <w:b/>
                <w:szCs w:val="21"/>
              </w:rPr>
            </w:pPr>
          </w:p>
          <w:p w14:paraId="58C55B20">
            <w:pPr>
              <w:jc w:val="center"/>
              <w:rPr>
                <w:rFonts w:ascii="Times New Roman" w:hAnsi="Times New Roman" w:eastAsia="宋体" w:cs="Times New Roman"/>
                <w:b/>
                <w:szCs w:val="21"/>
              </w:rPr>
            </w:pPr>
          </w:p>
          <w:p w14:paraId="0214A778">
            <w:pPr>
              <w:jc w:val="center"/>
              <w:rPr>
                <w:rFonts w:ascii="Times New Roman" w:hAnsi="Times New Roman" w:eastAsia="宋体" w:cs="Times New Roman"/>
                <w:b/>
                <w:szCs w:val="21"/>
              </w:rPr>
            </w:pPr>
          </w:p>
          <w:p w14:paraId="6EFAB8EF">
            <w:pPr>
              <w:jc w:val="center"/>
              <w:rPr>
                <w:rFonts w:ascii="Times New Roman" w:hAnsi="Times New Roman" w:eastAsia="宋体" w:cs="Times New Roman"/>
                <w:b/>
                <w:szCs w:val="21"/>
              </w:rPr>
            </w:pPr>
          </w:p>
          <w:p w14:paraId="576EE7F4">
            <w:pPr>
              <w:jc w:val="center"/>
              <w:rPr>
                <w:rFonts w:ascii="Times New Roman" w:hAnsi="Times New Roman" w:eastAsia="宋体" w:cs="Times New Roman"/>
                <w:b/>
                <w:szCs w:val="21"/>
              </w:rPr>
            </w:pPr>
          </w:p>
          <w:p w14:paraId="1C6A0C58">
            <w:pPr>
              <w:jc w:val="center"/>
              <w:rPr>
                <w:rFonts w:ascii="Times New Roman" w:hAnsi="Times New Roman" w:eastAsia="宋体" w:cs="Times New Roman"/>
                <w:b/>
                <w:szCs w:val="20"/>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68D7A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D9879D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6DF1D53">
            <w:pPr>
              <w:jc w:val="center"/>
              <w:rPr>
                <w:rFonts w:ascii="Times New Roman" w:hAnsi="Times New Roman" w:eastAsia="宋体" w:cs="Times New Roman"/>
                <w:b/>
                <w:szCs w:val="20"/>
              </w:rPr>
            </w:pPr>
          </w:p>
        </w:tc>
      </w:tr>
    </w:tbl>
    <w:p w14:paraId="1D46FA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ACA50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4A64866">
      <w:pPr>
        <w:pStyle w:val="11"/>
        <w:rPr>
          <w:rFonts w:hint="default"/>
          <w:lang w:val="en-US" w:eastAsia="zh-CN"/>
        </w:rPr>
      </w:pPr>
    </w:p>
    <w:p w14:paraId="0D0184EF">
      <w:pPr>
        <w:pStyle w:val="76"/>
        <w:rPr>
          <w:rFonts w:hint="default" w:hAnsi="宋体"/>
          <w:sz w:val="24"/>
          <w:lang w:val="en-US"/>
        </w:rPr>
      </w:pPr>
    </w:p>
    <w:p w14:paraId="25341579">
      <w:pPr>
        <w:pStyle w:val="76"/>
        <w:rPr>
          <w:rFonts w:hint="default" w:hAnsi="宋体"/>
          <w:sz w:val="24"/>
          <w:lang w:val="en-US"/>
        </w:rPr>
      </w:pPr>
    </w:p>
    <w:p w14:paraId="3D42EF00">
      <w:pPr>
        <w:pStyle w:val="76"/>
        <w:rPr>
          <w:rFonts w:hint="default" w:hAnsi="宋体"/>
          <w:sz w:val="24"/>
          <w:lang w:val="en-US"/>
        </w:rPr>
      </w:pPr>
    </w:p>
    <w:p w14:paraId="16DD544E">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71860C29">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附件8 分项报价表</w:t>
      </w:r>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4"/>
        <w:gridCol w:w="1349"/>
        <w:gridCol w:w="1191"/>
        <w:gridCol w:w="981"/>
        <w:gridCol w:w="1486"/>
        <w:gridCol w:w="580"/>
        <w:gridCol w:w="705"/>
        <w:gridCol w:w="1145"/>
        <w:gridCol w:w="1145"/>
      </w:tblGrid>
      <w:tr w14:paraId="476B3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trPr>
        <w:tc>
          <w:tcPr>
            <w:tcW w:w="0" w:type="auto"/>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B8CD5">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涂装车间喷枪改造项目分项报价表</w:t>
            </w:r>
          </w:p>
        </w:tc>
      </w:tr>
      <w:tr w14:paraId="1B761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E43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FF1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5E5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规格型号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14A3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具体参数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（规格型号的描述）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648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BB4A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计量单位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F50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B234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单价（元，未税）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8FAA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总价（元，未税）</w:t>
            </w:r>
          </w:p>
        </w:tc>
      </w:tr>
      <w:tr w14:paraId="64F9D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0E6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15C5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喷枪（含枪接头）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B55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HVLP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E755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详见技术要求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D5542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日本岩田/德国SATA/法国SAMES等一线品牌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6DB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3AB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374CCC2B">
            <w:pPr>
              <w:jc w:val="center"/>
              <w:rPr>
                <w:rFonts w:hint="eastAsia" w:ascii="宋体" w:hAnsi="宋体" w:eastAsia="宋体" w:cs="宋体"/>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6BB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r>
      <w:tr w14:paraId="30B1E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0A3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合计总价（元，未税）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D3506">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BAED7">
            <w:pPr>
              <w:jc w:val="center"/>
              <w:rPr>
                <w:rFonts w:hint="eastAsia" w:ascii="宋体" w:hAnsi="宋体" w:eastAsia="宋体" w:cs="宋体"/>
                <w:b/>
                <w:bCs/>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F8ADE">
            <w:pPr>
              <w:keepNext w:val="0"/>
              <w:keepLines w:val="0"/>
              <w:widowControl/>
              <w:suppressLineNumbers w:val="0"/>
              <w:jc w:val="center"/>
              <w:textAlignment w:val="center"/>
              <w:rPr>
                <w:rFonts w:hint="eastAsia" w:ascii="宋体" w:hAnsi="宋体" w:eastAsia="宋体" w:cs="宋体"/>
                <w:b/>
                <w:bCs/>
                <w:i w:val="0"/>
                <w:iCs w:val="0"/>
                <w:color w:val="FF0000"/>
                <w:sz w:val="24"/>
                <w:szCs w:val="24"/>
                <w:u w:val="none"/>
              </w:rPr>
            </w:pPr>
          </w:p>
        </w:tc>
      </w:tr>
      <w:tr w14:paraId="71237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919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税费/率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A757B">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000A0D53">
            <w:pPr>
              <w:jc w:val="center"/>
              <w:rPr>
                <w:rFonts w:hint="eastAsia" w:ascii="宋体" w:hAnsi="宋体" w:eastAsia="宋体" w:cs="宋体"/>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24D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r>
      <w:tr w14:paraId="56B36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4AF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合计总价（元，含税）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1183E">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79124">
            <w:pPr>
              <w:jc w:val="center"/>
              <w:rPr>
                <w:rFonts w:hint="eastAsia" w:ascii="宋体" w:hAnsi="宋体" w:eastAsia="宋体" w:cs="宋体"/>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DD5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r>
      <w:tr w14:paraId="6ED44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5" w:hRule="atLeast"/>
        </w:trPr>
        <w:tc>
          <w:tcPr>
            <w:tcW w:w="0" w:type="auto"/>
            <w:gridSpan w:val="9"/>
            <w:tcBorders>
              <w:top w:val="single" w:color="000000" w:sz="4" w:space="0"/>
              <w:left w:val="nil"/>
              <w:bottom w:val="nil"/>
              <w:right w:val="nil"/>
            </w:tcBorders>
            <w:shd w:val="clear" w:color="auto" w:fill="auto"/>
            <w:vAlign w:val="center"/>
          </w:tcPr>
          <w:p w14:paraId="2CBE510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Style w:val="116"/>
                <w:lang w:val="en-US" w:eastAsia="zh-CN" w:bidi="ar"/>
              </w:rPr>
              <w:t>备注：</w:t>
            </w:r>
            <w:r>
              <w:rPr>
                <w:rStyle w:val="116"/>
                <w:lang w:val="en-US" w:eastAsia="zh-CN" w:bidi="ar"/>
              </w:rPr>
              <w:br w:type="textWrapping"/>
            </w:r>
            <w:r>
              <w:rPr>
                <w:rStyle w:val="116"/>
                <w:lang w:val="en-US" w:eastAsia="zh-CN" w:bidi="ar"/>
              </w:rPr>
              <w:t>1、本项目以本表合计总价（未税）最低者，为本项目中标人</w:t>
            </w:r>
            <w:r>
              <w:rPr>
                <w:rStyle w:val="116"/>
                <w:lang w:val="en-US" w:eastAsia="zh-CN" w:bidi="ar"/>
              </w:rPr>
              <w:br w:type="textWrapping"/>
            </w:r>
            <w:r>
              <w:rPr>
                <w:rStyle w:val="116"/>
                <w:lang w:val="en-US" w:eastAsia="zh-CN" w:bidi="ar"/>
              </w:rPr>
              <w:t>2、本表总价为项目包干价，包括但不限于项目的</w:t>
            </w:r>
            <w:r>
              <w:rPr>
                <w:rStyle w:val="117"/>
                <w:lang w:val="en-US" w:eastAsia="zh-CN" w:bidi="ar"/>
              </w:rPr>
              <w:t>培训费</w:t>
            </w:r>
            <w:r>
              <w:rPr>
                <w:rStyle w:val="116"/>
                <w:lang w:val="en-US" w:eastAsia="zh-CN" w:bidi="ar"/>
              </w:rPr>
              <w:t>、材料费、各类税费、服务费、运输费、装卸费、检测检验费、等全部费用，议定后招标人不再另行支付其他任何费用。</w:t>
            </w:r>
            <w:r>
              <w:rPr>
                <w:rStyle w:val="116"/>
                <w:lang w:val="en-US" w:eastAsia="zh-CN" w:bidi="ar"/>
              </w:rPr>
              <w:br w:type="textWrapping"/>
            </w:r>
            <w:r>
              <w:rPr>
                <w:rStyle w:val="116"/>
                <w:lang w:val="en-US" w:eastAsia="zh-CN" w:bidi="ar"/>
              </w:rPr>
              <w:t>3、黄色部分请完整填写，其余部分请勿修改。</w:t>
            </w:r>
          </w:p>
        </w:tc>
      </w:tr>
    </w:tbl>
    <w:p w14:paraId="7E95F46C">
      <w:pPr>
        <w:spacing w:line="360" w:lineRule="auto"/>
        <w:jc w:val="center"/>
        <w:rPr>
          <w:rFonts w:hint="eastAsia" w:ascii="宋体" w:hAnsi="宋体" w:cs="宋体"/>
          <w:b/>
          <w:bCs/>
          <w:color w:val="000000"/>
          <w:sz w:val="32"/>
          <w:szCs w:val="32"/>
          <w:lang w:val="en-US" w:eastAsia="zh-CN"/>
        </w:rPr>
      </w:pPr>
    </w:p>
    <w:p w14:paraId="690158EE">
      <w:pPr>
        <w:rPr>
          <w:rFonts w:hint="default" w:hAnsi="宋体"/>
          <w:sz w:val="24"/>
          <w:lang w:val="en-US"/>
        </w:rPr>
      </w:pPr>
      <w:r>
        <w:rPr>
          <w:rFonts w:hint="default" w:hAnsi="宋体"/>
          <w:sz w:val="24"/>
          <w:lang w:val="en-US"/>
        </w:rPr>
        <w:br w:type="page"/>
      </w:r>
    </w:p>
    <w:p w14:paraId="7F7233A4">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附件9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5758815" cy="2764790"/>
                    </a:xfrm>
                    <a:prstGeom prst="rect">
                      <a:avLst/>
                    </a:prstGeom>
                    <a:noFill/>
                    <a:ln>
                      <a:noFill/>
                    </a:ln>
                  </pic:spPr>
                </pic:pic>
              </a:graphicData>
            </a:graphic>
          </wp:inline>
        </w:drawing>
      </w:r>
    </w:p>
    <w:p w14:paraId="2F94E78D">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6"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7"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8"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9" cstate="print"/>
                    <a:srcRect/>
                    <a:stretch>
                      <a:fillRect/>
                    </a:stretch>
                  </pic:blipFill>
                  <pic:spPr>
                    <a:xfrm>
                      <a:off x="0" y="0"/>
                      <a:ext cx="5760085" cy="2853055"/>
                    </a:xfrm>
                    <a:prstGeom prst="rect">
                      <a:avLst/>
                    </a:prstGeom>
                  </pic:spPr>
                </pic:pic>
              </a:graphicData>
            </a:graphic>
          </wp:inline>
        </w:drawing>
      </w:r>
    </w:p>
    <w:p w14:paraId="589FEC2E">
      <w:pPr>
        <w:numPr>
          <w:ilvl w:val="0"/>
          <w:numId w:val="35"/>
        </w:numPr>
        <w:spacing w:line="360" w:lineRule="auto"/>
        <w:rPr>
          <w:rFonts w:ascii="宋体" w:hAnsi="宋体" w:eastAsia="宋体" w:cs="宋体"/>
          <w:color w:val="000000"/>
        </w:rPr>
      </w:pPr>
      <w:r>
        <w:rPr>
          <w:rFonts w:ascii="宋体" w:hAnsi="宋体" w:eastAsia="宋体" w:cs="宋体"/>
          <w:color w:val="000000"/>
          <w:sz w:val="24"/>
          <w:szCs w:val="28"/>
        </w:rPr>
        <w:t>按要求填写所有信息，注意非生产类要填写合作单位，最后提交审批</w:t>
      </w:r>
    </w:p>
    <w:p w14:paraId="05C3E96C">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0"/>
                    <a:stretch>
                      <a:fillRect/>
                    </a:stretch>
                  </pic:blipFill>
                  <pic:spPr>
                    <a:xfrm>
                      <a:off x="0" y="0"/>
                      <a:ext cx="5758180" cy="3058795"/>
                    </a:xfrm>
                    <a:prstGeom prst="rect">
                      <a:avLst/>
                    </a:prstGeom>
                    <a:noFill/>
                    <a:ln>
                      <a:noFill/>
                    </a:ln>
                  </pic:spPr>
                </pic:pic>
              </a:graphicData>
            </a:graphic>
          </wp:inline>
        </w:drawing>
      </w: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7AAAB53F">
      <w:pPr>
        <w:pStyle w:val="15"/>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numPr>
          <w:ilvl w:val="0"/>
          <w:numId w:val="36"/>
        </w:numPr>
        <w:rPr>
          <w:rFonts w:hint="eastAsia" w:ascii="宋体" w:hAnsi="Courier New" w:eastAsia="宋体" w:cs="Times New Roman"/>
          <w:b/>
          <w:bCs/>
          <w:kern w:val="2"/>
          <w:sz w:val="21"/>
          <w:lang w:val="en-US" w:eastAsia="zh-CN" w:bidi="ar-SA"/>
        </w:rPr>
      </w:pPr>
      <w:r>
        <w:rPr>
          <w:rFonts w:hint="eastAsia" w:ascii="宋体" w:hAnsi="Courier New" w:eastAsia="宋体" w:cs="Times New Roman"/>
          <w:b/>
          <w:bCs/>
          <w:kern w:val="2"/>
          <w:sz w:val="21"/>
          <w:lang w:val="en-US" w:eastAsia="zh-CN" w:bidi="ar-SA"/>
        </w:rPr>
        <w:t>“项目名称”和“采购形式编号”见第一部分的“项目介绍”；</w:t>
      </w:r>
    </w:p>
    <w:p w14:paraId="19AE2730">
      <w:pPr>
        <w:numPr>
          <w:ilvl w:val="0"/>
          <w:numId w:val="36"/>
        </w:numPr>
      </w:pPr>
      <w:r>
        <w:rPr>
          <w:rFonts w:hint="eastAsia" w:ascii="宋体" w:hAnsi="Courier New" w:eastAsia="宋体" w:cs="Times New Roman"/>
          <w:b/>
          <w:bCs/>
          <w:kern w:val="2"/>
          <w:sz w:val="21"/>
          <w:lang w:val="en-US" w:eastAsia="zh-CN" w:bidi="ar-SA"/>
        </w:rPr>
        <w:t>基本信息完整填写，原则上要求供应商必须填写近三年财务指标情况；</w:t>
      </w:r>
    </w:p>
    <w:p w14:paraId="2D924935">
      <w:pPr>
        <w:pStyle w:val="15"/>
        <w:numPr>
          <w:ilvl w:val="0"/>
          <w:numId w:val="36"/>
        </w:numPr>
        <w:bidi w:val="0"/>
        <w:ind w:left="0" w:leftChars="0" w:firstLine="0" w:firstLineChars="0"/>
        <w:rPr>
          <w:rFonts w:hint="eastAsia"/>
          <w:b/>
          <w:bCs/>
        </w:rPr>
      </w:pPr>
      <w:r>
        <w:rPr>
          <w:rFonts w:hint="eastAsia"/>
          <w:b/>
          <w:bCs/>
        </w:rPr>
        <w:t>管理单位选择【直管单位】、意向配套单位选择【直管单位】</w:t>
      </w:r>
      <w:r>
        <w:rPr>
          <w:rFonts w:hint="eastAsia"/>
          <w:b/>
          <w:bCs/>
          <w:lang w:eastAsia="zh-CN"/>
        </w:rPr>
        <w:t>，</w:t>
      </w:r>
      <w:r>
        <w:rPr>
          <w:rFonts w:hint="eastAsia"/>
          <w:b/>
          <w:bCs/>
        </w:rPr>
        <w:t xml:space="preserve">配套能力“供货类别”填“直管单位非生产招标 </w:t>
      </w:r>
      <w:r>
        <w:rPr>
          <w:rFonts w:hint="eastAsia"/>
          <w:b/>
          <w:bCs/>
          <w:highlight w:val="none"/>
        </w:rPr>
        <w:t xml:space="preserve">/ </w:t>
      </w:r>
      <w:r>
        <w:rPr>
          <w:rFonts w:hint="eastAsia"/>
          <w:b/>
          <w:bCs/>
          <w:highlight w:val="none"/>
          <w:lang w:val="en-US" w:eastAsia="zh-CN"/>
        </w:rPr>
        <w:t>工艺设备 / 工艺设备</w:t>
      </w:r>
      <w:r>
        <w:rPr>
          <w:rFonts w:hint="eastAsia"/>
          <w:b/>
          <w:bCs/>
        </w:rPr>
        <w:t>”，业务主管部门选择“</w:t>
      </w:r>
      <w:r>
        <w:rPr>
          <w:rFonts w:hint="eastAsia"/>
          <w:b/>
          <w:bCs/>
          <w:highlight w:val="none"/>
        </w:rPr>
        <w:t>工艺研究院</w:t>
      </w:r>
      <w:r>
        <w:rPr>
          <w:rFonts w:hint="eastAsia"/>
          <w:b/>
          <w:bCs/>
        </w:rPr>
        <w:t>”。</w:t>
      </w:r>
    </w:p>
    <w:p w14:paraId="20937AAC">
      <w:pPr>
        <w:pStyle w:val="15"/>
        <w:numPr>
          <w:ilvl w:val="0"/>
          <w:numId w:val="0"/>
        </w:numPr>
        <w:bidi w:val="0"/>
        <w:ind w:leftChars="0"/>
        <w:rPr>
          <w:rFonts w:hint="eastAsia"/>
          <w:b/>
          <w:bCs/>
        </w:rPr>
      </w:pPr>
    </w:p>
    <w:p w14:paraId="09A59B69">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二、维护近三年财务指标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5DCEE86B">
      <w:pPr>
        <w:rPr>
          <w:rFonts w:hint="eastAsia" w:ascii="宋体" w:hAnsi="宋体" w:eastAsia="宋体" w:cs="宋体"/>
          <w:b/>
          <w:bCs/>
          <w:color w:val="000000"/>
          <w:sz w:val="24"/>
          <w:szCs w:val="24"/>
          <w:lang w:val="en-US" w:eastAsia="zh-CN"/>
        </w:r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2"/>
                    <a:stretch>
                      <a:fillRect/>
                    </a:stretch>
                  </pic:blipFill>
                  <pic:spPr>
                    <a:xfrm>
                      <a:off x="0" y="0"/>
                      <a:ext cx="5486400" cy="2661285"/>
                    </a:xfrm>
                    <a:prstGeom prst="rect">
                      <a:avLst/>
                    </a:prstGeom>
                    <a:noFill/>
                    <a:ln>
                      <a:noFill/>
                    </a:ln>
                  </pic:spPr>
                </pic:pic>
              </a:graphicData>
            </a:graphic>
          </wp:inline>
        </w:drawing>
      </w:r>
    </w:p>
    <w:p w14:paraId="00B8FD2D">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6FEFF112">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附件10 SRM系统供应商用户手册</w:t>
      </w:r>
    </w:p>
    <w:p w14:paraId="4F79C23C">
      <w:pPr>
        <w:snapToGrid/>
        <w:spacing w:before="0" w:after="0" w:line="360" w:lineRule="auto"/>
        <w:ind w:left="0" w:right="0" w:firstLine="0"/>
        <w:jc w:val="both"/>
        <w:rPr>
          <w:rStyle w:val="38"/>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38"/>
          <w:rFonts w:hint="eastAsia" w:ascii="宋体" w:hAnsi="宋体" w:eastAsia="宋体" w:cs="宋体"/>
          <w:sz w:val="24"/>
          <w:szCs w:val="24"/>
        </w:rPr>
        <w:fldChar w:fldCharType="begin"/>
      </w:r>
      <w:r>
        <w:rPr>
          <w:rStyle w:val="38"/>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8"/>
          <w:rFonts w:hint="eastAsia" w:ascii="宋体" w:hAnsi="宋体" w:eastAsia="宋体" w:cs="宋体"/>
          <w:sz w:val="24"/>
          <w:szCs w:val="24"/>
        </w:rPr>
        <w:fldChar w:fldCharType="separate"/>
      </w:r>
      <w:r>
        <w:rPr>
          <w:rStyle w:val="38"/>
          <w:rFonts w:hint="eastAsia" w:ascii="宋体" w:hAnsi="宋体" w:eastAsia="宋体" w:cs="宋体"/>
          <w:sz w:val="24"/>
          <w:szCs w:val="24"/>
        </w:rPr>
        <w:t>http</w:t>
      </w:r>
      <w:r>
        <w:rPr>
          <w:rStyle w:val="38"/>
          <w:rFonts w:hint="eastAsia" w:ascii="宋体" w:hAnsi="宋体" w:eastAsia="宋体" w:cs="宋体"/>
          <w:sz w:val="24"/>
          <w:szCs w:val="24"/>
          <w:lang w:val="en-US" w:eastAsia="zh-CN"/>
        </w:rPr>
        <w:t>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6EB598E2">
      <w:pPr>
        <w:pStyle w:val="11"/>
        <w:rPr>
          <w:rFonts w:hint="eastAsia"/>
        </w:rPr>
      </w:pPr>
      <w:r>
        <w:rPr>
          <w:rFonts w:hint="eastAsia"/>
          <w:sz w:val="24"/>
          <w:highlight w:val="none"/>
        </w:rPr>
        <w:t>初始密码为scm@2022或@2023</w:t>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3"/>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4"/>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15"/>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14:paraId="2C1CB367">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5"/>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6"/>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7"/>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8"/>
                    <a:stretch>
                      <a:fillRect/>
                    </a:stretch>
                  </pic:blipFill>
                  <pic:spPr>
                    <a:xfrm>
                      <a:off x="0" y="0"/>
                      <a:ext cx="5760085" cy="1956600"/>
                    </a:xfrm>
                    <a:prstGeom prst="rect">
                      <a:avLst/>
                    </a:prstGeom>
                  </pic:spPr>
                </pic:pic>
              </a:graphicData>
            </a:graphic>
          </wp:inline>
        </w:drawing>
      </w:r>
    </w:p>
    <w:p w14:paraId="6D948036">
      <w:pPr>
        <w:pStyle w:val="76"/>
        <w:rPr>
          <w:rFonts w:hint="default" w:hAnsi="宋体"/>
          <w:sz w:val="24"/>
          <w:lang w:val="en-US"/>
        </w:rPr>
      </w:pPr>
    </w:p>
    <w:sectPr>
      <w:headerReference r:id="rId10" w:type="first"/>
      <w:footerReference r:id="rId12" w:type="first"/>
      <w:footerReference r:id="rId11"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F351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0DB97">
                          <w:pPr>
                            <w:pStyle w:val="19"/>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640DB97">
                    <w:pPr>
                      <w:pStyle w:val="19"/>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9"/>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2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B20830A4"/>
    <w:multiLevelType w:val="multilevel"/>
    <w:tmpl w:val="B20830A4"/>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C680BC7B"/>
    <w:multiLevelType w:val="singleLevel"/>
    <w:tmpl w:val="C680BC7B"/>
    <w:lvl w:ilvl="0" w:tentative="0">
      <w:start w:val="1"/>
      <w:numFmt w:val="decimal"/>
      <w:suff w:val="space"/>
      <w:lvlText w:val="%1."/>
      <w:lvlJc w:val="left"/>
      <w:pPr>
        <w:ind w:left="0" w:leftChars="0" w:firstLine="420" w:firstLineChars="0"/>
      </w:pPr>
      <w:rPr>
        <w:rFonts w:hint="default"/>
        <w:b w:val="0"/>
        <w:bCs w:val="0"/>
        <w:color w:val="auto"/>
        <w:highlight w:val="none"/>
      </w:rPr>
    </w:lvl>
  </w:abstractNum>
  <w:abstractNum w:abstractNumId="5">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6">
    <w:nsid w:val="D05F1A21"/>
    <w:multiLevelType w:val="multilevel"/>
    <w:tmpl w:val="D05F1A2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D87ECBDD"/>
    <w:multiLevelType w:val="multilevel"/>
    <w:tmpl w:val="D87ECBDD"/>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8">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9">
    <w:nsid w:val="E8D42257"/>
    <w:multiLevelType w:val="singleLevel"/>
    <w:tmpl w:val="E8D42257"/>
    <w:lvl w:ilvl="0" w:tentative="0">
      <w:start w:val="1"/>
      <w:numFmt w:val="decimal"/>
      <w:lvlText w:val="%1."/>
      <w:lvlJc w:val="left"/>
      <w:pPr>
        <w:tabs>
          <w:tab w:val="left" w:pos="312"/>
        </w:tabs>
      </w:pPr>
    </w:lvl>
  </w:abstractNum>
  <w:abstractNum w:abstractNumId="10">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1">
    <w:nsid w:val="00000003"/>
    <w:multiLevelType w:val="singleLevel"/>
    <w:tmpl w:val="00000003"/>
    <w:lvl w:ilvl="0" w:tentative="0">
      <w:start w:val="5"/>
      <w:numFmt w:val="decimal"/>
      <w:lvlText w:val="%1."/>
      <w:lvlJc w:val="left"/>
      <w:pPr>
        <w:tabs>
          <w:tab w:val="left" w:pos="312"/>
        </w:tabs>
      </w:p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4">
    <w:nsid w:val="0AB75781"/>
    <w:multiLevelType w:val="singleLevel"/>
    <w:tmpl w:val="0AB75781"/>
    <w:lvl w:ilvl="0" w:tentative="0">
      <w:start w:val="1"/>
      <w:numFmt w:val="decimal"/>
      <w:suff w:val="nothing"/>
      <w:lvlText w:val="%1、"/>
      <w:lvlJc w:val="left"/>
    </w:lvl>
  </w:abstractNum>
  <w:abstractNum w:abstractNumId="15">
    <w:nsid w:val="0EEA20E9"/>
    <w:multiLevelType w:val="multilevel"/>
    <w:tmpl w:val="0EEA20E9"/>
    <w:lvl w:ilvl="0" w:tentative="0">
      <w:start w:val="1"/>
      <w:numFmt w:val="decimal"/>
      <w:suff w:val="nothing"/>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11906048"/>
    <w:multiLevelType w:val="multilevel"/>
    <w:tmpl w:val="11906048"/>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7">
    <w:nsid w:val="12D9A626"/>
    <w:multiLevelType w:val="singleLevel"/>
    <w:tmpl w:val="12D9A626"/>
    <w:lvl w:ilvl="0" w:tentative="0">
      <w:start w:val="3"/>
      <w:numFmt w:val="chineseCounting"/>
      <w:suff w:val="nothing"/>
      <w:lvlText w:val="第%1部分　"/>
      <w:lvlJc w:val="left"/>
      <w:rPr>
        <w:rFonts w:hint="eastAsia"/>
      </w:rPr>
    </w:lvl>
  </w:abstractNum>
  <w:abstractNum w:abstractNumId="18">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9">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20">
    <w:nsid w:val="199F58C0"/>
    <w:multiLevelType w:val="multilevel"/>
    <w:tmpl w:val="199F58C0"/>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1">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22">
    <w:nsid w:val="2975780E"/>
    <w:multiLevelType w:val="singleLevel"/>
    <w:tmpl w:val="2975780E"/>
    <w:lvl w:ilvl="0" w:tentative="0">
      <w:start w:val="3"/>
      <w:numFmt w:val="chineseCounting"/>
      <w:suff w:val="nothing"/>
      <w:lvlText w:val="%1、"/>
      <w:lvlJc w:val="left"/>
      <w:rPr>
        <w:rFonts w:hint="eastAsia"/>
      </w:rPr>
    </w:lvl>
  </w:abstractNum>
  <w:abstractNum w:abstractNumId="23">
    <w:nsid w:val="2B8672BE"/>
    <w:multiLevelType w:val="singleLevel"/>
    <w:tmpl w:val="2B8672BE"/>
    <w:lvl w:ilvl="0" w:tentative="0">
      <w:start w:val="1"/>
      <w:numFmt w:val="decimal"/>
      <w:lvlText w:val="%1."/>
      <w:lvlJc w:val="left"/>
      <w:pPr>
        <w:ind w:left="425" w:hanging="425"/>
      </w:pPr>
      <w:rPr>
        <w:rFonts w:hint="default"/>
      </w:rPr>
    </w:lvl>
  </w:abstractNum>
  <w:abstractNum w:abstractNumId="24">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5">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7">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8">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9">
    <w:nsid w:val="58A803A7"/>
    <w:multiLevelType w:val="singleLevel"/>
    <w:tmpl w:val="58A803A7"/>
    <w:lvl w:ilvl="0" w:tentative="0">
      <w:start w:val="1"/>
      <w:numFmt w:val="decimal"/>
      <w:suff w:val="nothing"/>
      <w:lvlText w:val="%1."/>
      <w:lvlJc w:val="left"/>
      <w:pPr>
        <w:ind w:left="454" w:leftChars="0" w:hanging="454" w:firstLineChars="0"/>
      </w:pPr>
      <w:rPr>
        <w:rFonts w:hint="default"/>
      </w:rPr>
    </w:lvl>
  </w:abstractNum>
  <w:abstractNum w:abstractNumId="30">
    <w:nsid w:val="5A6836EF"/>
    <w:multiLevelType w:val="singleLevel"/>
    <w:tmpl w:val="5A6836EF"/>
    <w:lvl w:ilvl="0" w:tentative="0">
      <w:start w:val="1"/>
      <w:numFmt w:val="decimal"/>
      <w:suff w:val="nothing"/>
      <w:lvlText w:val="%1."/>
      <w:lvlJc w:val="left"/>
      <w:pPr>
        <w:ind w:left="0" w:firstLine="0"/>
      </w:pPr>
    </w:lvl>
  </w:abstractNum>
  <w:abstractNum w:abstractNumId="31">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2">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33">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4">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num w:numId="1">
    <w:abstractNumId w:val="25"/>
  </w:num>
  <w:num w:numId="2">
    <w:abstractNumId w:val="33"/>
  </w:num>
  <w:num w:numId="3">
    <w:abstractNumId w:val="28"/>
  </w:num>
  <w:num w:numId="4">
    <w:abstractNumId w:val="26"/>
  </w:num>
  <w:num w:numId="5">
    <w:abstractNumId w:val="12"/>
  </w:num>
  <w:num w:numId="6">
    <w:abstractNumId w:val="19"/>
  </w:num>
  <w:num w:numId="7">
    <w:abstractNumId w:val="21"/>
  </w:num>
  <w:num w:numId="8">
    <w:abstractNumId w:val="27"/>
  </w:num>
  <w:num w:numId="9">
    <w:abstractNumId w:val="29"/>
  </w:num>
  <w:num w:numId="10">
    <w:abstractNumId w:val="18"/>
  </w:num>
  <w:num w:numId="11">
    <w:abstractNumId w:val="4"/>
  </w:num>
  <w:num w:numId="12">
    <w:abstractNumId w:val="16"/>
  </w:num>
  <w:num w:numId="13">
    <w:abstractNumId w:val="8"/>
  </w:num>
  <w:num w:numId="14">
    <w:abstractNumId w:val="34"/>
  </w:num>
  <w:num w:numId="15">
    <w:abstractNumId w:val="0"/>
  </w:num>
  <w:num w:numId="16">
    <w:abstractNumId w:val="5"/>
  </w:num>
  <w:num w:numId="17">
    <w:abstractNumId w:val="6"/>
  </w:num>
  <w:num w:numId="18">
    <w:abstractNumId w:val="3"/>
  </w:num>
  <w:num w:numId="19">
    <w:abstractNumId w:val="13"/>
  </w:num>
  <w:num w:numId="20">
    <w:abstractNumId w:val="20"/>
  </w:num>
  <w:num w:numId="21">
    <w:abstractNumId w:val="2"/>
  </w:num>
  <w:num w:numId="22">
    <w:abstractNumId w:val="32"/>
  </w:num>
  <w:num w:numId="23">
    <w:abstractNumId w:val="7"/>
  </w:num>
  <w:num w:numId="24">
    <w:abstractNumId w:val="31"/>
  </w:num>
  <w:num w:numId="25">
    <w:abstractNumId w:val="10"/>
  </w:num>
  <w:num w:numId="26">
    <w:abstractNumId w:val="1"/>
  </w:num>
  <w:num w:numId="27">
    <w:abstractNumId w:val="24"/>
  </w:num>
  <w:num w:numId="28">
    <w:abstractNumId w:val="30"/>
  </w:num>
  <w:num w:numId="29">
    <w:abstractNumId w:val="23"/>
  </w:num>
  <w:num w:numId="30">
    <w:abstractNumId w:val="15"/>
  </w:num>
  <w:num w:numId="31">
    <w:abstractNumId w:val="22"/>
  </w:num>
  <w:num w:numId="32">
    <w:abstractNumId w:val="14"/>
  </w:num>
  <w:num w:numId="33">
    <w:abstractNumId w:val="17"/>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9D1"/>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2CC3DCA"/>
    <w:rsid w:val="02FE76EF"/>
    <w:rsid w:val="034646F5"/>
    <w:rsid w:val="034E1239"/>
    <w:rsid w:val="03F033B0"/>
    <w:rsid w:val="05612989"/>
    <w:rsid w:val="057C1D39"/>
    <w:rsid w:val="05891259"/>
    <w:rsid w:val="05D554DB"/>
    <w:rsid w:val="0654565B"/>
    <w:rsid w:val="07253DF6"/>
    <w:rsid w:val="07613623"/>
    <w:rsid w:val="08633479"/>
    <w:rsid w:val="09630A6C"/>
    <w:rsid w:val="0A63147A"/>
    <w:rsid w:val="0ADB2EF0"/>
    <w:rsid w:val="0ADD4CBE"/>
    <w:rsid w:val="0B415BB4"/>
    <w:rsid w:val="0C144857"/>
    <w:rsid w:val="0C83309C"/>
    <w:rsid w:val="0CB51572"/>
    <w:rsid w:val="0D01045C"/>
    <w:rsid w:val="0DE73E36"/>
    <w:rsid w:val="0E4D31E3"/>
    <w:rsid w:val="0E530E38"/>
    <w:rsid w:val="10DC2AA3"/>
    <w:rsid w:val="10FA7C8C"/>
    <w:rsid w:val="12174CE2"/>
    <w:rsid w:val="121D1E44"/>
    <w:rsid w:val="12F64B6E"/>
    <w:rsid w:val="130B198F"/>
    <w:rsid w:val="13FA68E0"/>
    <w:rsid w:val="15BB1367"/>
    <w:rsid w:val="16A918E4"/>
    <w:rsid w:val="17D966D6"/>
    <w:rsid w:val="18146E94"/>
    <w:rsid w:val="18945E62"/>
    <w:rsid w:val="19517BDA"/>
    <w:rsid w:val="19581095"/>
    <w:rsid w:val="19AE68D1"/>
    <w:rsid w:val="19E33213"/>
    <w:rsid w:val="1A463A67"/>
    <w:rsid w:val="1A946145"/>
    <w:rsid w:val="1B481CDF"/>
    <w:rsid w:val="1BA3160C"/>
    <w:rsid w:val="1BC71D3B"/>
    <w:rsid w:val="1C59115B"/>
    <w:rsid w:val="1D596BD7"/>
    <w:rsid w:val="1DFE17D9"/>
    <w:rsid w:val="1E296445"/>
    <w:rsid w:val="1EFD1680"/>
    <w:rsid w:val="1F6C766B"/>
    <w:rsid w:val="1F6D42D7"/>
    <w:rsid w:val="1FB23E60"/>
    <w:rsid w:val="1FBA79B4"/>
    <w:rsid w:val="20DC3C0E"/>
    <w:rsid w:val="212F23EA"/>
    <w:rsid w:val="21893C3E"/>
    <w:rsid w:val="21F50ADF"/>
    <w:rsid w:val="2225345A"/>
    <w:rsid w:val="226A2E83"/>
    <w:rsid w:val="227640E7"/>
    <w:rsid w:val="227F2CA6"/>
    <w:rsid w:val="22C5630B"/>
    <w:rsid w:val="23EC0BA6"/>
    <w:rsid w:val="24701A48"/>
    <w:rsid w:val="247E07FE"/>
    <w:rsid w:val="25EC6AF8"/>
    <w:rsid w:val="268B0052"/>
    <w:rsid w:val="26CF6817"/>
    <w:rsid w:val="272A6A1B"/>
    <w:rsid w:val="27743C90"/>
    <w:rsid w:val="27B358EA"/>
    <w:rsid w:val="283931F7"/>
    <w:rsid w:val="284A307C"/>
    <w:rsid w:val="28B55739"/>
    <w:rsid w:val="29CA2459"/>
    <w:rsid w:val="2B271A58"/>
    <w:rsid w:val="2B4D164C"/>
    <w:rsid w:val="2B6304A7"/>
    <w:rsid w:val="2C642D3E"/>
    <w:rsid w:val="2CF6734C"/>
    <w:rsid w:val="2D4D284A"/>
    <w:rsid w:val="2D663463"/>
    <w:rsid w:val="2E112A52"/>
    <w:rsid w:val="2EDD38C8"/>
    <w:rsid w:val="2EF96EE4"/>
    <w:rsid w:val="2EFB779B"/>
    <w:rsid w:val="2FF10008"/>
    <w:rsid w:val="30C9346B"/>
    <w:rsid w:val="317E4255"/>
    <w:rsid w:val="31E37A09"/>
    <w:rsid w:val="32C207BF"/>
    <w:rsid w:val="3380787D"/>
    <w:rsid w:val="33822A0F"/>
    <w:rsid w:val="34F565DC"/>
    <w:rsid w:val="35D271A0"/>
    <w:rsid w:val="36254FE4"/>
    <w:rsid w:val="36AA39B8"/>
    <w:rsid w:val="372F61E0"/>
    <w:rsid w:val="38BE762D"/>
    <w:rsid w:val="39322FCA"/>
    <w:rsid w:val="3A503E1E"/>
    <w:rsid w:val="3AB90991"/>
    <w:rsid w:val="3AF66363"/>
    <w:rsid w:val="3B706131"/>
    <w:rsid w:val="3BF833EC"/>
    <w:rsid w:val="3C8E02FC"/>
    <w:rsid w:val="3DE11DF4"/>
    <w:rsid w:val="3E6F041E"/>
    <w:rsid w:val="3E846635"/>
    <w:rsid w:val="3EC02A3D"/>
    <w:rsid w:val="3ED328A1"/>
    <w:rsid w:val="3EDE747D"/>
    <w:rsid w:val="3EEC097A"/>
    <w:rsid w:val="3F9D2397"/>
    <w:rsid w:val="400B2005"/>
    <w:rsid w:val="40AC20A0"/>
    <w:rsid w:val="41A5482C"/>
    <w:rsid w:val="4275481E"/>
    <w:rsid w:val="428B617A"/>
    <w:rsid w:val="42CE288A"/>
    <w:rsid w:val="433D7BDC"/>
    <w:rsid w:val="437E1813"/>
    <w:rsid w:val="43A427AA"/>
    <w:rsid w:val="43E96A97"/>
    <w:rsid w:val="444E2202"/>
    <w:rsid w:val="45354CBC"/>
    <w:rsid w:val="4568104C"/>
    <w:rsid w:val="45BD47FC"/>
    <w:rsid w:val="45CC5FB2"/>
    <w:rsid w:val="46B75BA8"/>
    <w:rsid w:val="46E91D19"/>
    <w:rsid w:val="48C97955"/>
    <w:rsid w:val="48D805C0"/>
    <w:rsid w:val="492E2C7C"/>
    <w:rsid w:val="49880C8F"/>
    <w:rsid w:val="4A1A43A3"/>
    <w:rsid w:val="4A2007F8"/>
    <w:rsid w:val="4A8835F7"/>
    <w:rsid w:val="4B592E71"/>
    <w:rsid w:val="4BFA7044"/>
    <w:rsid w:val="4DF75369"/>
    <w:rsid w:val="4E9E572E"/>
    <w:rsid w:val="4EA23B01"/>
    <w:rsid w:val="4EB0217D"/>
    <w:rsid w:val="4F8B220C"/>
    <w:rsid w:val="504F4EAF"/>
    <w:rsid w:val="516C4BAA"/>
    <w:rsid w:val="51D51447"/>
    <w:rsid w:val="5258567C"/>
    <w:rsid w:val="52B9239A"/>
    <w:rsid w:val="52D52A7F"/>
    <w:rsid w:val="54287EA1"/>
    <w:rsid w:val="54BD78FD"/>
    <w:rsid w:val="552A3C28"/>
    <w:rsid w:val="555A2DA3"/>
    <w:rsid w:val="56671DEF"/>
    <w:rsid w:val="56901A99"/>
    <w:rsid w:val="571B2939"/>
    <w:rsid w:val="581925FA"/>
    <w:rsid w:val="58A86DDE"/>
    <w:rsid w:val="59154AD7"/>
    <w:rsid w:val="5A542AB4"/>
    <w:rsid w:val="5AB870CA"/>
    <w:rsid w:val="5ADF548D"/>
    <w:rsid w:val="5BF95104"/>
    <w:rsid w:val="5C4627AE"/>
    <w:rsid w:val="5C9249CA"/>
    <w:rsid w:val="5D5C60B4"/>
    <w:rsid w:val="5DA23E51"/>
    <w:rsid w:val="5E231AC4"/>
    <w:rsid w:val="5E5B22B9"/>
    <w:rsid w:val="60027C70"/>
    <w:rsid w:val="60651FB9"/>
    <w:rsid w:val="614E12EC"/>
    <w:rsid w:val="616D6769"/>
    <w:rsid w:val="62BD60DC"/>
    <w:rsid w:val="62C06BAF"/>
    <w:rsid w:val="63CC711C"/>
    <w:rsid w:val="63F04A69"/>
    <w:rsid w:val="646661E3"/>
    <w:rsid w:val="646A3D0C"/>
    <w:rsid w:val="64A82747"/>
    <w:rsid w:val="65336B29"/>
    <w:rsid w:val="662C7CA8"/>
    <w:rsid w:val="66526AE4"/>
    <w:rsid w:val="66A50B1E"/>
    <w:rsid w:val="67095CF1"/>
    <w:rsid w:val="674E3DF4"/>
    <w:rsid w:val="67B2063C"/>
    <w:rsid w:val="67C97AC3"/>
    <w:rsid w:val="67D5595A"/>
    <w:rsid w:val="67E30EC1"/>
    <w:rsid w:val="695D046C"/>
    <w:rsid w:val="6A4E3B2B"/>
    <w:rsid w:val="6AC838A9"/>
    <w:rsid w:val="6B481C3B"/>
    <w:rsid w:val="6B875383"/>
    <w:rsid w:val="6C1331A3"/>
    <w:rsid w:val="6C765676"/>
    <w:rsid w:val="6CA84BC1"/>
    <w:rsid w:val="6D170ADE"/>
    <w:rsid w:val="6D3E4756"/>
    <w:rsid w:val="6F12155D"/>
    <w:rsid w:val="6FC523EB"/>
    <w:rsid w:val="6FE22646"/>
    <w:rsid w:val="6FFA12C6"/>
    <w:rsid w:val="70825D63"/>
    <w:rsid w:val="71FE41EB"/>
    <w:rsid w:val="72427E2F"/>
    <w:rsid w:val="72895F2E"/>
    <w:rsid w:val="72C02EBE"/>
    <w:rsid w:val="72C507AD"/>
    <w:rsid w:val="72D028D8"/>
    <w:rsid w:val="73234831"/>
    <w:rsid w:val="745D47C3"/>
    <w:rsid w:val="75341FA7"/>
    <w:rsid w:val="755404B8"/>
    <w:rsid w:val="764F7753"/>
    <w:rsid w:val="76AC3757"/>
    <w:rsid w:val="77D4005C"/>
    <w:rsid w:val="78292927"/>
    <w:rsid w:val="787F7564"/>
    <w:rsid w:val="78D35C78"/>
    <w:rsid w:val="78D62583"/>
    <w:rsid w:val="78F33EC6"/>
    <w:rsid w:val="7A0129BF"/>
    <w:rsid w:val="7C6021A7"/>
    <w:rsid w:val="7CAB4D9F"/>
    <w:rsid w:val="7CB93F8E"/>
    <w:rsid w:val="7CED7FF7"/>
    <w:rsid w:val="7CF66B46"/>
    <w:rsid w:val="7D185B2A"/>
    <w:rsid w:val="7D4A0A5C"/>
    <w:rsid w:val="7D97125D"/>
    <w:rsid w:val="7DB618B0"/>
    <w:rsid w:val="7DBD28BA"/>
    <w:rsid w:val="7E736B66"/>
    <w:rsid w:val="7EE64005"/>
    <w:rsid w:val="7EEE33A0"/>
    <w:rsid w:val="7FA92D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11"/>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6"/>
    <w:qFormat/>
    <w:uiPriority w:val="99"/>
    <w:pPr>
      <w:jc w:val="left"/>
    </w:pPr>
  </w:style>
  <w:style w:type="paragraph" w:styleId="11">
    <w:name w:val="Body Text"/>
    <w:basedOn w:val="1"/>
    <w:next w:val="12"/>
    <w:link w:val="42"/>
    <w:semiHidden/>
    <w:qFormat/>
    <w:uiPriority w:val="98"/>
    <w:rPr>
      <w:rFonts w:ascii="仿宋_GB2312" w:eastAsia="仿宋_GB2312"/>
      <w:sz w:val="32"/>
    </w:rPr>
  </w:style>
  <w:style w:type="paragraph" w:customStyle="1" w:styleId="1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0"/>
    <w:next w:val="10"/>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1"/>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0"/>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3"/>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3"/>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1">
    <w:name w:val="章节"/>
    <w:basedOn w:val="15"/>
    <w:qFormat/>
    <w:uiPriority w:val="0"/>
    <w:pPr>
      <w:spacing w:line="360" w:lineRule="auto"/>
      <w:jc w:val="center"/>
      <w:outlineLvl w:val="0"/>
    </w:pPr>
    <w:rPr>
      <w:rFonts w:ascii="黑体" w:eastAsia="黑体"/>
      <w:b/>
      <w:bCs/>
      <w:sz w:val="36"/>
      <w:szCs w:val="36"/>
    </w:rPr>
  </w:style>
  <w:style w:type="paragraph" w:customStyle="1" w:styleId="72">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5"/>
    <w:qFormat/>
    <w:uiPriority w:val="2"/>
    <w:pPr>
      <w:numPr>
        <w:ilvl w:val="0"/>
        <w:numId w:val="3"/>
      </w:numPr>
      <w:spacing w:line="360" w:lineRule="auto"/>
      <w:outlineLvl w:val="2"/>
    </w:pPr>
    <w:rPr>
      <w:b/>
    </w:rPr>
  </w:style>
  <w:style w:type="paragraph" w:customStyle="1" w:styleId="74">
    <w:name w:val="3级标题"/>
    <w:basedOn w:val="15"/>
    <w:link w:val="102"/>
    <w:qFormat/>
    <w:uiPriority w:val="3"/>
    <w:pPr>
      <w:numPr>
        <w:ilvl w:val="0"/>
        <w:numId w:val="4"/>
      </w:numPr>
      <w:spacing w:line="360" w:lineRule="auto"/>
      <w:outlineLvl w:val="3"/>
    </w:pPr>
    <w:rPr>
      <w:b/>
    </w:rPr>
  </w:style>
  <w:style w:type="paragraph" w:customStyle="1" w:styleId="75">
    <w:name w:val="（4）级标题"/>
    <w:basedOn w:val="15"/>
    <w:qFormat/>
    <w:uiPriority w:val="8"/>
    <w:pPr>
      <w:numPr>
        <w:ilvl w:val="0"/>
        <w:numId w:val="5"/>
      </w:numPr>
      <w:spacing w:line="360" w:lineRule="auto"/>
      <w:outlineLvl w:val="4"/>
    </w:pPr>
  </w:style>
  <w:style w:type="paragraph" w:customStyle="1" w:styleId="76">
    <w:name w:val="标书正文"/>
    <w:basedOn w:val="15"/>
    <w:link w:val="97"/>
    <w:qFormat/>
    <w:uiPriority w:val="9"/>
    <w:pPr>
      <w:spacing w:line="360" w:lineRule="auto"/>
      <w:jc w:val="left"/>
    </w:pPr>
  </w:style>
  <w:style w:type="character" w:customStyle="1" w:styleId="77">
    <w:name w:val="标题 4 字符"/>
    <w:basedOn w:val="33"/>
    <w:link w:val="5"/>
    <w:semiHidden/>
    <w:qFormat/>
    <w:uiPriority w:val="0"/>
    <w:rPr>
      <w:rFonts w:ascii="Arial" w:hAnsi="Arial"/>
      <w:b/>
      <w:bCs/>
      <w:kern w:val="2"/>
      <w:sz w:val="21"/>
      <w:szCs w:val="28"/>
    </w:rPr>
  </w:style>
  <w:style w:type="character" w:customStyle="1" w:styleId="78">
    <w:name w:val="标题 5 字符"/>
    <w:basedOn w:val="33"/>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3"/>
    <w:link w:val="23"/>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3"/>
    <w:link w:val="17"/>
    <w:semiHidden/>
    <w:qFormat/>
    <w:uiPriority w:val="0"/>
    <w:rPr>
      <w:sz w:val="24"/>
    </w:rPr>
  </w:style>
  <w:style w:type="character" w:customStyle="1" w:styleId="87">
    <w:name w:val="日期 字符"/>
    <w:basedOn w:val="33"/>
    <w:link w:val="16"/>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3"/>
    <w:semiHidden/>
    <w:qFormat/>
    <w:uiPriority w:val="98"/>
    <w:rPr>
      <w:rFonts w:ascii="Microsoft YaHei UI" w:eastAsia="Microsoft YaHei UI"/>
      <w:kern w:val="2"/>
      <w:sz w:val="18"/>
      <w:szCs w:val="18"/>
    </w:rPr>
  </w:style>
  <w:style w:type="character" w:customStyle="1" w:styleId="93">
    <w:name w:val="文档结构图 字符1"/>
    <w:basedOn w:val="33"/>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3"/>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3"/>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3"/>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标题 3 Char"/>
    <w:link w:val="4"/>
    <w:qFormat/>
    <w:uiPriority w:val="0"/>
    <w:rPr>
      <w:b/>
      <w:sz w:val="32"/>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 w:type="character" w:customStyle="1" w:styleId="114">
    <w:name w:val="NormalCharacter"/>
    <w:qFormat/>
    <w:uiPriority w:val="0"/>
  </w:style>
  <w:style w:type="paragraph" w:styleId="115">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116">
    <w:name w:val="font11"/>
    <w:basedOn w:val="33"/>
    <w:qFormat/>
    <w:uiPriority w:val="0"/>
    <w:rPr>
      <w:rFonts w:hint="eastAsia" w:ascii="宋体" w:hAnsi="宋体" w:eastAsia="宋体" w:cs="宋体"/>
      <w:color w:val="000000"/>
      <w:sz w:val="24"/>
      <w:szCs w:val="24"/>
      <w:u w:val="none"/>
    </w:rPr>
  </w:style>
  <w:style w:type="character" w:customStyle="1" w:styleId="117">
    <w:name w:val="font51"/>
    <w:basedOn w:val="33"/>
    <w:uiPriority w:val="0"/>
    <w:rPr>
      <w:rFonts w:hint="eastAsia" w:ascii="宋体" w:hAnsi="宋体" w:eastAsia="宋体" w:cs="宋体"/>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30</Pages>
  <Words>9014</Words>
  <Characters>9392</Characters>
  <Lines>127</Lines>
  <Paragraphs>35</Paragraphs>
  <TotalTime>225</TotalTime>
  <ScaleCrop>false</ScaleCrop>
  <LinksUpToDate>false</LinksUpToDate>
  <CharactersWithSpaces>12209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吕熠頔</cp:lastModifiedBy>
  <cp:lastPrinted>2020-06-28T02:28:00Z</cp:lastPrinted>
  <dcterms:modified xsi:type="dcterms:W3CDTF">2025-12-23T08:29:23Z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9E16B888ADF647A490ED22C20F8C725E_13</vt:lpwstr>
  </property>
  <property fmtid="{D5CDD505-2E9C-101B-9397-08002B2CF9AE}" pid="4" name="KSOTemplateDocerSaveRecord">
    <vt:lpwstr>eyJoZGlkIjoiMWJmNDk2YTMyZTM3ZjA0M2I0Mjk2MzFhMmM3YmRjYzYiLCJ1c2VySWQiOiIxNzQ3MDQyODM0In0=</vt:lpwstr>
  </property>
</Properties>
</file>