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6418E5FF">
      <w:pPr>
        <w:jc w:val="center"/>
        <w:rPr>
          <w:rFonts w:ascii="宋体" w:hAnsi="宋体" w:cs="宋体"/>
          <w:sz w:val="72"/>
          <w:szCs w:val="72"/>
        </w:rPr>
      </w:pPr>
      <w:r>
        <w:rPr>
          <w:rFonts w:hint="eastAsia" w:ascii="楷体_GB2312" w:hAnsi="宋体" w:eastAsia="楷体_GB2312"/>
          <w:sz w:val="52"/>
          <w:szCs w:val="52"/>
          <w:highlight w:val="none"/>
          <w:lang w:val="en-US" w:eastAsia="zh-CN"/>
        </w:rPr>
        <w:t>喷涂废气排放口新增在线监测设施项目</w:t>
      </w: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249" w:firstLineChars="7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FSCZB2025120060</w:t>
      </w:r>
    </w:p>
    <w:p w14:paraId="10A10BC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人：重汽（重庆）轻型汽车有限公司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12</w:t>
      </w:r>
      <w:r>
        <w:rPr>
          <w:rFonts w:hint="eastAsia" w:ascii="宋体" w:hAnsi="宋体"/>
          <w:sz w:val="28"/>
          <w:szCs w:val="28"/>
          <w:u w:val="single"/>
        </w:rPr>
        <w:t>月</w:t>
      </w:r>
    </w:p>
    <w:p w14:paraId="2A256B4F">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31D57579">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47976587"/>
      <w:bookmarkStart w:id="1" w:name="_Toc7104"/>
      <w:r>
        <w:rPr>
          <w:rFonts w:hint="eastAsia"/>
        </w:rPr>
        <w:t>招标公告</w:t>
      </w:r>
      <w:bookmarkEnd w:id="0"/>
      <w:bookmarkEnd w:id="1"/>
    </w:p>
    <w:p w14:paraId="3B867C39">
      <w:pPr>
        <w:pStyle w:val="73"/>
        <w:rPr>
          <w:rFonts w:hint="eastAsia"/>
        </w:rPr>
      </w:pPr>
    </w:p>
    <w:p w14:paraId="2A47C58A">
      <w:pPr>
        <w:pStyle w:val="74"/>
      </w:pPr>
      <w:bookmarkStart w:id="2" w:name="_Toc47976588"/>
      <w:r>
        <w:rPr>
          <w:rFonts w:hint="eastAsia"/>
        </w:rPr>
        <w:t>项目名称及项目编号</w:t>
      </w:r>
      <w:bookmarkEnd w:id="2"/>
    </w:p>
    <w:p w14:paraId="1E71F649">
      <w:pPr>
        <w:pStyle w:val="75"/>
        <w:rPr>
          <w:highlight w:val="none"/>
        </w:rPr>
      </w:pPr>
      <w:r>
        <w:rPr>
          <w:rFonts w:hint="eastAsia"/>
          <w:highlight w:val="none"/>
        </w:rPr>
        <w:t>项目名称：</w:t>
      </w:r>
      <w:r>
        <w:rPr>
          <w:rFonts w:hint="eastAsia"/>
          <w:highlight w:val="none"/>
          <w:lang w:val="en-US" w:eastAsia="zh-CN"/>
        </w:rPr>
        <w:t>喷涂废气排放口新增在线监测设施项目</w:t>
      </w:r>
    </w:p>
    <w:p w14:paraId="15020D03">
      <w:pPr>
        <w:pStyle w:val="75"/>
      </w:pPr>
      <w:r>
        <w:rPr>
          <w:rFonts w:hint="eastAsia"/>
        </w:rPr>
        <w:t>项目编号：FSCZB2025120060</w:t>
      </w:r>
    </w:p>
    <w:p w14:paraId="0AB9F24D">
      <w:pPr>
        <w:pStyle w:val="74"/>
      </w:pPr>
      <w:bookmarkStart w:id="3" w:name="_Toc47976589"/>
      <w:r>
        <w:rPr>
          <w:rFonts w:hint="eastAsia"/>
          <w:lang w:val="en-US" w:eastAsia="zh-CN"/>
        </w:rPr>
        <w:t>项目概况</w:t>
      </w:r>
      <w:r>
        <w:rPr>
          <w:rFonts w:hint="eastAsia"/>
        </w:rPr>
        <w:t>及招标形式</w:t>
      </w:r>
      <w:bookmarkEnd w:id="3"/>
    </w:p>
    <w:p w14:paraId="1A912F05">
      <w:pPr>
        <w:pStyle w:val="75"/>
        <w:numPr>
          <w:ilvl w:val="0"/>
          <w:numId w:val="9"/>
        </w:numPr>
      </w:pPr>
      <w:r>
        <w:rPr>
          <w:rFonts w:hint="eastAsia"/>
          <w:highlight w:val="none"/>
          <w:lang w:val="en-US" w:eastAsia="zh-CN"/>
        </w:rPr>
        <w:t>项目概况</w:t>
      </w:r>
      <w:r>
        <w:rPr>
          <w:rFonts w:hint="eastAsia"/>
        </w:rPr>
        <w:t>：</w:t>
      </w:r>
    </w:p>
    <w:p w14:paraId="2E708E00">
      <w:pPr>
        <w:pStyle w:val="75"/>
        <w:numPr>
          <w:ilvl w:val="0"/>
          <w:numId w:val="0"/>
        </w:numPr>
        <w:ind w:left="710" w:leftChars="0"/>
        <w:rPr>
          <w:rFonts w:hint="eastAsia"/>
          <w:b w:val="0"/>
          <w:bCs/>
        </w:rPr>
      </w:pPr>
      <w:r>
        <w:rPr>
          <w:rFonts w:hint="eastAsia"/>
          <w:b w:val="0"/>
          <w:bCs/>
        </w:rPr>
        <w:t>重庆汽车公司在喷涂废气排放口现有废气在线监测设施及联网基础之上，建立起符合国家及地方环保规范标准的废气挥发性有机物连续监测系统。即是在喷涂废气排放口现有安装烟气温度、压力、流速、湿度在线实时监测基础之上，新增安装非甲烷总烃及配套氧含量在线实时监测，以满足环保局的监管要求。</w:t>
      </w:r>
    </w:p>
    <w:p w14:paraId="4EC58B63">
      <w:pPr>
        <w:pStyle w:val="75"/>
        <w:numPr>
          <w:ilvl w:val="0"/>
          <w:numId w:val="0"/>
        </w:numPr>
        <w:ind w:left="710" w:leftChars="0"/>
        <w:rPr>
          <w:rFonts w:hint="default"/>
          <w:lang w:val="en-US"/>
        </w:rPr>
      </w:pPr>
      <w:r>
        <w:rPr>
          <w:rFonts w:hint="eastAsia"/>
        </w:rPr>
        <w:t>招标形式：</w:t>
      </w:r>
      <w:r>
        <w:rPr>
          <w:rFonts w:hint="eastAsia"/>
          <w:b w:val="0"/>
          <w:bCs/>
          <w:highlight w:val="none"/>
          <w:lang w:val="en-US" w:eastAsia="zh-CN"/>
        </w:rPr>
        <w:t>公开招标</w:t>
      </w:r>
    </w:p>
    <w:p w14:paraId="0B813421">
      <w:pPr>
        <w:pStyle w:val="74"/>
        <w:rPr>
          <w:highlight w:val="none"/>
        </w:rPr>
      </w:pPr>
      <w:bookmarkStart w:id="4" w:name="_Toc47976590"/>
      <w:r>
        <w:rPr>
          <w:rFonts w:hint="eastAsia"/>
          <w:highlight w:val="none"/>
        </w:rPr>
        <w:t>投标人资格要求</w:t>
      </w:r>
      <w:bookmarkEnd w:id="4"/>
    </w:p>
    <w:p w14:paraId="41703A27">
      <w:pPr>
        <w:pStyle w:val="75"/>
        <w:numPr>
          <w:ilvl w:val="0"/>
          <w:numId w:val="10"/>
        </w:numPr>
        <w:bidi w:val="0"/>
        <w:rPr>
          <w:rFonts w:hint="eastAsia"/>
          <w:highlight w:val="none"/>
          <w:lang w:val="en-US" w:eastAsia="zh-CN"/>
        </w:rPr>
      </w:pPr>
      <w:r>
        <w:rPr>
          <w:rFonts w:hint="eastAsia"/>
          <w:highlight w:val="none"/>
          <w:lang w:val="en-US" w:eastAsia="zh-CN"/>
        </w:rPr>
        <w:t>应标报名投标人条件</w:t>
      </w:r>
    </w:p>
    <w:p w14:paraId="54AFEDD3">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1.投标人须遵守《中华人民共和国招标投标法》、《中华人民共和国民法典》及其它有关的法律和法规；为中华人民共和国境内注册的独立法人机构，具有独立承担民事责任能力；</w:t>
      </w:r>
    </w:p>
    <w:p w14:paraId="5AC88527">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2.投标方的注册资本不少于300万元人民币（或等值其他货币）。</w:t>
      </w:r>
    </w:p>
    <w:p w14:paraId="20CBB4D0">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3.近三年（截止到报名时）废气在线监测设施相关项目业绩不少于3个。</w:t>
      </w:r>
    </w:p>
    <w:p w14:paraId="7B131CD1">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4.投标人须具备行政主管部门颁发的有效的重庆市污染治理设施运行服务能力相关证书。</w:t>
      </w:r>
    </w:p>
    <w:p w14:paraId="2E8682DF">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5.投标人具有良好的商业信誉，未被列入过经营异常名录和未曾列入严重违法失信企业名单，未曾有过行政处罚及环境违法；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5D8234B8">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6.近三年内的经营活动中经营业绩良好、无招标违规、谎报年度报告信息、提供虚假资质资料等行为或其他行政处罚记录，没有违法违纪行为；</w:t>
      </w:r>
    </w:p>
    <w:p w14:paraId="01BA50D7">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7.投标方有专业售后服务团队，满足我司售后服务要求；</w:t>
      </w:r>
    </w:p>
    <w:p w14:paraId="25F7DFA8">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8.投标人没有被列入招标人《黑名单》（《黑名单》指投标人与招标人在以往或正在进行的合作中，存在招标人认为的违反合同约定或违反法律法规等的失信行为）的；</w:t>
      </w:r>
    </w:p>
    <w:p w14:paraId="411ED8C4">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9.投标方的直接或间接股东、法定代表人、董事、监事、高管非重汽员工及其亲属。</w:t>
      </w:r>
    </w:p>
    <w:p w14:paraId="70259D30">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10.法律法规对合格投标方的其他要求、规定。</w:t>
      </w:r>
    </w:p>
    <w:p w14:paraId="31A91D88">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11.不接受联合体及代理商投标。</w:t>
      </w:r>
    </w:p>
    <w:p w14:paraId="2254273A">
      <w:pPr>
        <w:adjustRightInd w:val="0"/>
        <w:snapToGrid w:val="0"/>
        <w:spacing w:line="400" w:lineRule="exact"/>
        <w:ind w:left="482" w:hanging="482" w:hangingChars="200"/>
        <w:jc w:val="left"/>
        <w:rPr>
          <w:rFonts w:hint="eastAsia"/>
          <w:b w:val="0"/>
          <w:bCs/>
          <w:sz w:val="20"/>
          <w:szCs w:val="18"/>
          <w:highlight w:val="none"/>
          <w:lang w:val="en-US" w:eastAsia="zh-CN"/>
        </w:rPr>
      </w:pPr>
      <w:r>
        <w:rPr>
          <w:rFonts w:hint="eastAsia" w:ascii="仿宋" w:hAnsi="仿宋" w:eastAsia="仿宋"/>
          <w:b/>
          <w:sz w:val="24"/>
          <w:szCs w:val="24"/>
        </w:rPr>
        <w:t>项目技术联系人：周英，</w:t>
      </w:r>
      <w:r>
        <w:rPr>
          <w:rFonts w:ascii="仿宋" w:hAnsi="仿宋" w:eastAsia="仿宋"/>
          <w:b/>
          <w:sz w:val="24"/>
          <w:szCs w:val="24"/>
        </w:rPr>
        <w:t>18523358811</w:t>
      </w:r>
      <w:r>
        <w:rPr>
          <w:rFonts w:hint="eastAsia" w:ascii="仿宋" w:hAnsi="仿宋" w:eastAsia="仿宋"/>
          <w:b/>
          <w:sz w:val="24"/>
          <w:szCs w:val="24"/>
        </w:rPr>
        <w:t>，</w:t>
      </w:r>
      <w:r>
        <w:rPr>
          <w:rFonts w:ascii="仿宋" w:hAnsi="仿宋" w:eastAsia="仿宋"/>
          <w:b/>
          <w:sz w:val="24"/>
          <w:szCs w:val="24"/>
        </w:rPr>
        <w:t>zhouying1@sinotruk.com</w:t>
      </w:r>
    </w:p>
    <w:p w14:paraId="76B97D53">
      <w:pPr>
        <w:pStyle w:val="74"/>
        <w:rPr>
          <w:highlight w:val="none"/>
        </w:rPr>
      </w:pPr>
      <w:bookmarkStart w:id="5" w:name="_Toc47976591"/>
      <w:r>
        <w:rPr>
          <w:rFonts w:hint="eastAsia"/>
          <w:highlight w:val="none"/>
        </w:rPr>
        <w:t>报名及招标文件的获取</w:t>
      </w:r>
      <w:bookmarkEnd w:id="5"/>
    </w:p>
    <w:p w14:paraId="485CA7D6">
      <w:pPr>
        <w:pStyle w:val="75"/>
        <w:numPr>
          <w:ilvl w:val="0"/>
          <w:numId w:val="11"/>
        </w:numPr>
        <w:bidi w:val="0"/>
        <w:rPr>
          <w:rFonts w:hint="eastAsia"/>
          <w:lang w:val="en-US" w:eastAsia="zh-CN"/>
        </w:rPr>
      </w:pPr>
      <w:r>
        <w:rPr>
          <w:rFonts w:hint="eastAsia"/>
          <w:lang w:val="en-US" w:eastAsia="zh-CN"/>
        </w:rPr>
        <w:t>应标报名截止时间：</w:t>
      </w:r>
      <w:r>
        <w:rPr>
          <w:rFonts w:hint="eastAsia"/>
          <w:highlight w:val="cyan"/>
          <w:lang w:val="en-US" w:eastAsia="zh-CN"/>
        </w:rPr>
        <w:t>2025年  12 月  20日17点</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eastAsia="宋体"/>
          <w:lang w:val="en-US" w:eastAsia="zh-CN"/>
        </w:rPr>
      </w:pPr>
      <w:r>
        <w:rPr>
          <w:rFonts w:hint="eastAsia"/>
          <w:b/>
          <w:bCs/>
          <w:lang w:val="en-US" w:eastAsia="zh-CN"/>
        </w:rPr>
        <w:t>注：请务必在应标截止时间前完成注册、</w:t>
      </w:r>
      <w:r>
        <w:rPr>
          <w:rFonts w:hint="eastAsia"/>
          <w:b/>
          <w:bCs/>
          <w:highlight w:val="yellow"/>
        </w:rPr>
        <w:t>E采通系统近三年财务数据信息更新</w:t>
      </w:r>
      <w:r>
        <w:rPr>
          <w:rFonts w:hint="eastAsia"/>
          <w:b/>
          <w:bCs/>
          <w:lang w:val="en-US" w:eastAsia="zh-CN"/>
        </w:rPr>
        <w:t>及应标操作，注册审核需2-4日，应标截止时间精确到秒，逾期将无法应标。请自行掌握时间，避免无法应标。</w:t>
      </w:r>
      <w:r>
        <w:rPr>
          <w:rFonts w:hint="eastAsia"/>
          <w:b/>
          <w:bCs/>
          <w:highlight w:val="yellow"/>
        </w:rPr>
        <w:t>E采通系统近三年财务数据信息更新</w:t>
      </w:r>
      <w:r>
        <w:rPr>
          <w:rFonts w:hint="eastAsia"/>
          <w:b/>
          <w:bCs/>
          <w:highlight w:val="yellow"/>
          <w:lang w:val="en-US" w:eastAsia="zh-CN"/>
        </w:rPr>
        <w:t>步骤：重汽e采通-供应商中心-供应商财务数据变更管理-发起变更。</w:t>
      </w:r>
    </w:p>
    <w:p w14:paraId="4509C0DA">
      <w:pPr>
        <w:pStyle w:val="74"/>
        <w:rPr>
          <w:highlight w:val="none"/>
        </w:rPr>
      </w:pPr>
      <w:bookmarkStart w:id="6" w:name="_Toc47976592"/>
      <w:r>
        <w:rPr>
          <w:rFonts w:hint="eastAsia"/>
          <w:highlight w:val="none"/>
        </w:rPr>
        <w:t>投标文件的递交</w:t>
      </w:r>
      <w:bookmarkEnd w:id="6"/>
    </w:p>
    <w:p w14:paraId="7FBD455B">
      <w:pPr>
        <w:pStyle w:val="75"/>
        <w:numPr>
          <w:ilvl w:val="0"/>
          <w:numId w:val="12"/>
        </w:numPr>
        <w:bidi w:val="0"/>
        <w:rPr>
          <w:rFonts w:hint="eastAsia"/>
          <w:lang w:val="en-US" w:eastAsia="zh-CN"/>
        </w:rPr>
      </w:pPr>
      <w:r>
        <w:rPr>
          <w:rFonts w:hint="eastAsia"/>
          <w:lang w:val="en-US" w:eastAsia="zh-CN"/>
        </w:rPr>
        <w:t>投标截止时间：</w:t>
      </w:r>
      <w:r>
        <w:rPr>
          <w:rFonts w:hint="eastAsia"/>
          <w:highlight w:val="cyan"/>
          <w:lang w:val="en-US" w:eastAsia="zh-CN"/>
        </w:rPr>
        <w:t xml:space="preserve">2025年 12 月  26日 9点   </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val="0"/>
          <w:lang w:val="en-US" w:eastAsia="zh-CN"/>
        </w:rPr>
      </w:pPr>
      <w:r>
        <w:rPr>
          <w:rFonts w:hint="default"/>
          <w:b w:val="0"/>
          <w:bCs w:val="0"/>
          <w:lang w:val="en-US" w:eastAsia="zh-CN"/>
        </w:rPr>
        <w:t>注：请务必在投标文件递交截止时间前完成投标操作，截止时间精确到秒，逾期将无法投标。请自行掌握时间，避免无法投标。</w:t>
      </w:r>
    </w:p>
    <w:p w14:paraId="787E4E9B">
      <w:pPr>
        <w:pStyle w:val="75"/>
        <w:bidi w:val="0"/>
        <w:rPr>
          <w:rFonts w:hint="eastAsia"/>
          <w:b w:val="0"/>
          <w:bCs/>
          <w:lang w:val="en-US" w:eastAsia="zh-CN"/>
        </w:rPr>
      </w:pPr>
      <w:r>
        <w:rPr>
          <w:rFonts w:hint="eastAsia"/>
          <w:b w:val="0"/>
          <w:bCs w:val="0"/>
          <w:lang w:val="en-US" w:eastAsia="zh-CN"/>
        </w:rPr>
        <w:t>投标文件的组成：项目投标文件为电子版投标文件（电子版为纸质盖章版的扫</w:t>
      </w:r>
      <w:r>
        <w:rPr>
          <w:rFonts w:hint="eastAsia"/>
          <w:b w:val="0"/>
          <w:bCs/>
          <w:lang w:val="en-US" w:eastAsia="zh-CN"/>
        </w:rPr>
        <w:t>描件或加盖电子章，不盖章无效），由</w:t>
      </w:r>
      <w:r>
        <w:rPr>
          <w:rFonts w:hint="eastAsia"/>
          <w:b w:val="0"/>
          <w:bCs/>
          <w:highlight w:val="none"/>
          <w:lang w:val="en-US" w:eastAsia="zh-CN"/>
        </w:rPr>
        <w:t>《投标文件（资质标）》、《投标文件（商务标）》（开标一览表）文</w:t>
      </w:r>
      <w:r>
        <w:rPr>
          <w:rFonts w:hint="eastAsia"/>
          <w:b w:val="0"/>
          <w:bCs/>
          <w:lang w:val="en-US" w:eastAsia="zh-CN"/>
        </w:rPr>
        <w:t>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highlight w:val="none"/>
          <w:lang w:val="en-US" w:eastAsia="zh-CN"/>
        </w:rPr>
      </w:pPr>
      <w:r>
        <w:rPr>
          <w:rFonts w:hint="default"/>
          <w:b w:val="0"/>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lang w:val="en-US" w:eastAsia="zh-CN"/>
        </w:rPr>
      </w:pPr>
      <w:r>
        <w:rPr>
          <w:rFonts w:hint="default"/>
          <w:b w:val="0"/>
          <w:bCs/>
          <w:lang w:val="en-US" w:eastAsia="zh-CN"/>
        </w:rPr>
        <w:t>注意不按此要求提供投标文件的，投标文件做无效标处理。以中国重汽e采通系统提交的材料为准。</w:t>
      </w:r>
    </w:p>
    <w:p w14:paraId="4B64074D">
      <w:pPr>
        <w:pStyle w:val="75"/>
        <w:bidi w:val="0"/>
        <w:rPr>
          <w:rFonts w:hint="default"/>
          <w:b w:val="0"/>
          <w:bCs/>
          <w:lang w:val="en-US" w:eastAsia="zh-CN"/>
        </w:rPr>
      </w:pPr>
      <w:r>
        <w:rPr>
          <w:rFonts w:hint="eastAsia"/>
          <w:b w:val="0"/>
          <w:bCs/>
          <w:lang w:val="en-US" w:eastAsia="zh-CN"/>
        </w:rPr>
        <w:t>投标方式：在中国重汽e采通平台应标成功后，进入“供应商投标”环节，投递盖章扫描版电子</w:t>
      </w:r>
      <w:r>
        <w:rPr>
          <w:rFonts w:hint="eastAsia"/>
          <w:b w:val="0"/>
          <w:bCs/>
          <w:highlight w:val="none"/>
          <w:lang w:val="en-US" w:eastAsia="zh-CN"/>
        </w:rPr>
        <w:t>标书（包含资质标书、商务标书）</w:t>
      </w:r>
      <w:r>
        <w:rPr>
          <w:rFonts w:hint="eastAsia"/>
          <w:b w:val="0"/>
          <w:bCs/>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3"/>
        </w:numPr>
        <w:bidi w:val="0"/>
        <w:rPr>
          <w:rFonts w:hint="default"/>
          <w:highlight w:val="cyan"/>
          <w:lang w:val="en-US" w:eastAsia="zh-CN"/>
        </w:rPr>
      </w:pPr>
      <w:r>
        <w:rPr>
          <w:rFonts w:hint="eastAsia"/>
          <w:highlight w:val="cyan"/>
          <w:lang w:val="en-US" w:eastAsia="zh-CN"/>
        </w:rPr>
        <w:t xml:space="preserve">开标时间：2025年 12 月  26日  9点  </w:t>
      </w:r>
    </w:p>
    <w:p w14:paraId="1EEA171A">
      <w:pPr>
        <w:pStyle w:val="75"/>
        <w:bidi w:val="0"/>
        <w:rPr>
          <w:rFonts w:hint="default"/>
          <w:highlight w:val="none"/>
          <w:lang w:val="en-US" w:eastAsia="zh-CN"/>
        </w:rPr>
      </w:pPr>
      <w:r>
        <w:rPr>
          <w:rFonts w:hint="eastAsia"/>
          <w:highlight w:val="none"/>
          <w:lang w:val="en-US" w:eastAsia="zh-CN"/>
        </w:rPr>
        <w:t>开标地点：线上</w:t>
      </w:r>
    </w:p>
    <w:p w14:paraId="22385406">
      <w:pPr>
        <w:pStyle w:val="74"/>
      </w:pPr>
      <w:bookmarkStart w:id="7" w:name="_Toc47976593"/>
      <w:r>
        <w:rPr>
          <w:rFonts w:hint="eastAsia"/>
        </w:rPr>
        <w:t>招标公告发布媒介</w:t>
      </w:r>
      <w:bookmarkEnd w:id="7"/>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4"/>
        <w:rPr>
          <w:highlight w:val="none"/>
        </w:rPr>
      </w:pPr>
      <w:bookmarkStart w:id="8" w:name="_Toc47976594"/>
      <w:r>
        <w:rPr>
          <w:rFonts w:hint="eastAsia"/>
          <w:highlight w:val="none"/>
        </w:rPr>
        <w:t>联系方式</w:t>
      </w:r>
      <w:bookmarkEnd w:id="8"/>
    </w:p>
    <w:p w14:paraId="6C22F13D">
      <w:pPr>
        <w:pStyle w:val="75"/>
        <w:numPr>
          <w:ilvl w:val="0"/>
          <w:numId w:val="14"/>
        </w:numPr>
        <w:bidi w:val="0"/>
        <w:rPr>
          <w:rFonts w:hint="default"/>
          <w:lang w:val="en-US" w:eastAsia="zh-CN"/>
        </w:rPr>
      </w:pPr>
      <w:r>
        <w:rPr>
          <w:rFonts w:hint="eastAsia"/>
          <w:lang w:val="en-US" w:eastAsia="zh-CN"/>
        </w:rPr>
        <w:t xml:space="preserve">技术联系人： </w:t>
      </w:r>
      <w:r>
        <w:rPr>
          <w:rFonts w:hint="eastAsia" w:ascii="仿宋" w:hAnsi="仿宋" w:eastAsia="仿宋"/>
          <w:b/>
          <w:sz w:val="24"/>
          <w:szCs w:val="24"/>
        </w:rPr>
        <w:t>周英，</w:t>
      </w:r>
      <w:r>
        <w:rPr>
          <w:rFonts w:ascii="仿宋" w:hAnsi="仿宋" w:eastAsia="仿宋"/>
          <w:b/>
          <w:sz w:val="24"/>
          <w:szCs w:val="24"/>
        </w:rPr>
        <w:t>18523358811</w:t>
      </w:r>
      <w:r>
        <w:rPr>
          <w:rFonts w:hint="eastAsia" w:ascii="仿宋" w:hAnsi="仿宋" w:eastAsia="仿宋"/>
          <w:b/>
          <w:sz w:val="24"/>
          <w:szCs w:val="24"/>
        </w:rPr>
        <w:t>，</w:t>
      </w:r>
      <w:r>
        <w:rPr>
          <w:rFonts w:ascii="Helvetica" w:hAnsi="Helvetica" w:eastAsia="Helvetica" w:cs="Helvetica"/>
          <w:i w:val="0"/>
          <w:iCs w:val="0"/>
          <w:caps w:val="0"/>
          <w:color w:val="111111"/>
          <w:spacing w:val="0"/>
          <w:sz w:val="24"/>
          <w:szCs w:val="24"/>
          <w:shd w:val="clear" w:fill="F6F7F8"/>
        </w:rPr>
        <w:t>刘玄</w:t>
      </w:r>
      <w:r>
        <w:rPr>
          <w:rFonts w:hint="eastAsia"/>
          <w:lang w:val="en-US" w:eastAsia="zh-CN"/>
        </w:rPr>
        <w:t xml:space="preserve">/19942238709   </w:t>
      </w:r>
    </w:p>
    <w:p w14:paraId="3A8424F3">
      <w:pPr>
        <w:pStyle w:val="75"/>
        <w:numPr>
          <w:ilvl w:val="0"/>
          <w:numId w:val="3"/>
        </w:numPr>
        <w:rPr>
          <w:rFonts w:hint="default"/>
          <w:lang w:val="en-US" w:eastAsia="zh-CN"/>
        </w:rPr>
      </w:pPr>
      <w:r>
        <w:rPr>
          <w:rFonts w:hint="eastAsia"/>
          <w:lang w:val="en-US" w:eastAsia="zh-CN"/>
        </w:rPr>
        <w:t xml:space="preserve">商务及招标联系人：李帅威/17860605079   </w:t>
      </w:r>
    </w:p>
    <w:p w14:paraId="5F538BD8">
      <w:pPr>
        <w:pStyle w:val="78"/>
      </w:pPr>
    </w:p>
    <w:p w14:paraId="04C96706">
      <w:pPr>
        <w:pStyle w:val="78"/>
      </w:pPr>
    </w:p>
    <w:p w14:paraId="3D820EEC">
      <w:pPr>
        <w:pStyle w:val="73"/>
      </w:pPr>
      <w:bookmarkStart w:id="9" w:name="_Toc7753"/>
      <w:bookmarkStart w:id="10" w:name="_Toc47976595"/>
      <w:r>
        <w:rPr>
          <w:rFonts w:hint="eastAsia"/>
        </w:rPr>
        <w:t>第一部分  投标人须知</w:t>
      </w:r>
      <w:bookmarkEnd w:id="9"/>
      <w:bookmarkEnd w:id="10"/>
    </w:p>
    <w:p w14:paraId="418340FC">
      <w:pPr>
        <w:pStyle w:val="74"/>
        <w:numPr>
          <w:ilvl w:val="0"/>
          <w:numId w:val="15"/>
        </w:numPr>
        <w:ind w:left="420"/>
        <w:jc w:val="left"/>
      </w:pPr>
      <w:bookmarkStart w:id="11" w:name="_Toc47976596"/>
      <w:r>
        <w:rPr>
          <w:rFonts w:hint="eastAsia"/>
        </w:rPr>
        <w:t>项目介绍</w:t>
      </w:r>
      <w:bookmarkEnd w:id="11"/>
    </w:p>
    <w:p w14:paraId="6360E7CD">
      <w:pPr>
        <w:pStyle w:val="78"/>
        <w:numPr>
          <w:ilvl w:val="0"/>
          <w:numId w:val="16"/>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喷涂废气排放口新增在线监测设施项目</w:t>
      </w:r>
    </w:p>
    <w:p w14:paraId="0BD015D9">
      <w:pPr>
        <w:pStyle w:val="78"/>
        <w:numPr>
          <w:ilvl w:val="0"/>
          <w:numId w:val="16"/>
        </w:numPr>
        <w:ind w:left="425" w:leftChars="0" w:hanging="425" w:firstLineChars="0"/>
        <w:rPr>
          <w:highlight w:val="none"/>
        </w:rPr>
      </w:pPr>
      <w:r>
        <w:rPr>
          <w:rFonts w:hint="eastAsia"/>
          <w:highlight w:val="none"/>
        </w:rPr>
        <w:t>项目编号：FSCZB2025120060</w:t>
      </w:r>
    </w:p>
    <w:p w14:paraId="68D05288">
      <w:pPr>
        <w:pStyle w:val="78"/>
        <w:numPr>
          <w:ilvl w:val="0"/>
          <w:numId w:val="0"/>
        </w:numPr>
        <w:ind w:leftChars="0"/>
        <w:rPr>
          <w:rFonts w:hint="eastAsia" w:cs="Times New Roman"/>
          <w:b w:val="0"/>
          <w:bCs w:val="0"/>
          <w:color w:val="auto"/>
          <w:highlight w:val="none"/>
          <w:u w:val="none"/>
          <w:lang w:val="en-US" w:eastAsia="zh-CN"/>
        </w:rPr>
      </w:pPr>
      <w:bookmarkStart w:id="12" w:name="_Toc47112482"/>
      <w:r>
        <w:rPr>
          <w:rFonts w:hint="eastAsia" w:cs="Times New Roman"/>
          <w:b w:val="0"/>
          <w:bCs w:val="0"/>
          <w:color w:val="auto"/>
          <w:highlight w:val="none"/>
          <w:u w:val="none"/>
          <w:lang w:val="en-US" w:eastAsia="zh-CN"/>
        </w:rPr>
        <w:t>（3</w:t>
      </w:r>
      <w:r>
        <w:rPr>
          <w:rFonts w:hint="eastAsia" w:cs="Times New Roman"/>
          <w:b w:val="0"/>
          <w:bCs w:val="0"/>
          <w:color w:val="auto"/>
          <w:highlight w:val="yellow"/>
          <w:u w:val="none"/>
          <w:lang w:val="en-US" w:eastAsia="zh-CN"/>
        </w:rPr>
        <w:t>）投标限价：人民币</w:t>
      </w:r>
      <w:r>
        <w:rPr>
          <w:rFonts w:hint="eastAsia"/>
          <w:b/>
          <w:bCs/>
          <w:highlight w:val="yellow"/>
          <w:u w:val="single"/>
          <w:lang w:val="en-US" w:eastAsia="zh-CN"/>
        </w:rPr>
        <w:t>29.5043</w:t>
      </w:r>
      <w:r>
        <w:rPr>
          <w:rFonts w:hint="eastAsia" w:cs="Times New Roman"/>
          <w:b w:val="0"/>
          <w:bCs w:val="0"/>
          <w:color w:val="auto"/>
          <w:highlight w:val="yellow"/>
          <w:u w:val="none"/>
          <w:lang w:val="en-US" w:eastAsia="zh-CN"/>
        </w:rPr>
        <w:t>（含税），超过投标限价无法投标。</w:t>
      </w:r>
    </w:p>
    <w:p w14:paraId="1CCE0EA0">
      <w:pPr>
        <w:pStyle w:val="78"/>
        <w:numPr>
          <w:ilvl w:val="0"/>
          <w:numId w:val="16"/>
        </w:numPr>
      </w:pPr>
      <w:r>
        <w:t>技术规范及服务</w:t>
      </w:r>
    </w:p>
    <w:p w14:paraId="2FE1EA7F">
      <w:pPr>
        <w:pStyle w:val="78"/>
      </w:pPr>
      <w:r>
        <w:rPr>
          <w:rFonts w:hint="eastAsia"/>
        </w:rPr>
        <w:t>（1）</w:t>
      </w:r>
      <w:r>
        <w:t>投标人应与招标人指派的答疑人员充分沟通，理解认可并接受相关技术规范及服务要求；</w:t>
      </w:r>
    </w:p>
    <w:p w14:paraId="4FC9E250">
      <w:pPr>
        <w:pStyle w:val="78"/>
        <w:rPr>
          <w:rFonts w:hint="default" w:cs="Times New Roman"/>
          <w:b w:val="0"/>
          <w:bCs w:val="0"/>
          <w:color w:val="auto"/>
          <w:highlight w:val="none"/>
          <w:u w:val="none"/>
          <w:lang w:val="en-US" w:eastAsia="zh-CN"/>
        </w:rPr>
      </w:pPr>
      <w:r>
        <w:rPr>
          <w:rFonts w:hint="eastAsia"/>
        </w:rPr>
        <w:t>（2）</w:t>
      </w:r>
      <w:r>
        <w:t>投标人可免费提供的、包含但不限于招标人所要求的其他相关服务内容，按本招标书“第二</w:t>
      </w:r>
      <w:r>
        <w:rPr>
          <w:rFonts w:hint="eastAsia"/>
        </w:rPr>
        <w:t>部分</w:t>
      </w:r>
      <w:r>
        <w:t xml:space="preserve"> 投标文件编制”要求，在其“开标一览表”中一并说明。</w:t>
      </w:r>
    </w:p>
    <w:bookmarkEnd w:id="12"/>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 xml:space="preserve">  12 </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 xml:space="preserve">  15</w:t>
      </w:r>
      <w:r>
        <w:rPr>
          <w:rFonts w:hint="eastAsia" w:ascii="宋体" w:hAnsi="Courier New" w:eastAsia="宋体" w:cs="Times New Roman"/>
          <w:highlight w:val="cyan"/>
          <w:u w:val="single"/>
          <w:lang w:val="en-US" w:eastAsia="zh-CN"/>
        </w:rPr>
        <w:t>日</w:t>
      </w:r>
    </w:p>
    <w:p w14:paraId="41FDA27A">
      <w:pPr>
        <w:pStyle w:val="78"/>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：电话答疑或将答疑问题以word文件格式发送至联系人邮件内，并电话联系工作人员查收，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AC1516">
      <w:pPr>
        <w:pStyle w:val="7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w:t>
      </w:r>
      <w:r>
        <w:rPr>
          <w:rFonts w:hint="eastAsia"/>
          <w:highlight w:val="none"/>
          <w:lang w:val="en-US" w:eastAsia="zh-CN"/>
        </w:rPr>
        <w:t>中“投标说明-投标文件的组成-资质文件”的要求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yellow"/>
          <w:lang w:val="en-US" w:eastAsia="zh-CN"/>
        </w:rPr>
        <w:t>投标文件</w:t>
      </w:r>
      <w:r>
        <w:rPr>
          <w:rFonts w:hint="eastAsia"/>
          <w:b w:val="0"/>
          <w:highlight w:val="none"/>
          <w:lang w:val="en-US" w:eastAsia="zh-CN"/>
        </w:rPr>
        <w:t>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6"/>
        <w:numPr>
          <w:ilvl w:val="0"/>
          <w:numId w:val="19"/>
        </w:numPr>
        <w:ind w:left="425" w:leftChars="0" w:hanging="425" w:firstLineChars="0"/>
        <w:rPr>
          <w:b w:val="0"/>
          <w:bCs/>
          <w:highlight w:val="yellow"/>
        </w:rPr>
      </w:pPr>
      <w:r>
        <w:rPr>
          <w:rFonts w:hint="eastAsia"/>
          <w:b w:val="0"/>
          <w:bCs/>
          <w:highlight w:val="yellow"/>
        </w:rPr>
        <w:t>资质文件：</w:t>
      </w:r>
    </w:p>
    <w:p w14:paraId="7B46681B">
      <w:pPr>
        <w:numPr>
          <w:ilvl w:val="0"/>
          <w:numId w:val="20"/>
        </w:numPr>
        <w:spacing w:line="360" w:lineRule="auto"/>
      </w:pPr>
      <w:r>
        <w:rPr>
          <w:rFonts w:hint="eastAsia"/>
        </w:rPr>
        <w:t>法定代表人身份证明；</w:t>
      </w:r>
    </w:p>
    <w:p w14:paraId="4B1F0268">
      <w:pPr>
        <w:numPr>
          <w:ilvl w:val="0"/>
          <w:numId w:val="20"/>
        </w:numPr>
        <w:spacing w:line="360" w:lineRule="auto"/>
      </w:pPr>
      <w:r>
        <w:rPr>
          <w:rFonts w:hint="eastAsia"/>
        </w:rPr>
        <w:t>法人授权委托书及身份证复印件；</w:t>
      </w:r>
    </w:p>
    <w:p w14:paraId="3ABA0783">
      <w:pPr>
        <w:numPr>
          <w:ilvl w:val="0"/>
          <w:numId w:val="20"/>
        </w:numPr>
        <w:spacing w:line="360" w:lineRule="auto"/>
      </w:pPr>
      <w:r>
        <w:rPr>
          <w:rFonts w:hint="eastAsia"/>
        </w:rPr>
        <w:t>营业执照副本复印件；</w:t>
      </w:r>
    </w:p>
    <w:p w14:paraId="6CC7C6A2">
      <w:pPr>
        <w:numPr>
          <w:ilvl w:val="0"/>
          <w:numId w:val="2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20"/>
        </w:numPr>
        <w:spacing w:line="360" w:lineRule="auto"/>
      </w:pPr>
      <w:r>
        <w:rPr>
          <w:rFonts w:hint="eastAsia"/>
        </w:rPr>
        <w:t>近三年类似项目业绩及合同复印件（加盖公章，须有客户联系方式及联系人以供招标人核实确认）；</w:t>
      </w:r>
    </w:p>
    <w:p w14:paraId="3D124A1C">
      <w:pPr>
        <w:numPr>
          <w:ilvl w:val="0"/>
          <w:numId w:val="20"/>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20"/>
        </w:numPr>
        <w:spacing w:line="360" w:lineRule="auto"/>
        <w:rPr>
          <w:b w:val="0"/>
          <w:bCs/>
          <w:highlight w:val="none"/>
        </w:rPr>
      </w:pPr>
      <w:r>
        <w:rPr>
          <w:rFonts w:hint="eastAsia"/>
          <w:highlight w:val="none"/>
        </w:rPr>
        <w:t>投标保证金缴纳凭证</w:t>
      </w:r>
    </w:p>
    <w:p w14:paraId="0FCAA68A">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6"/>
        <w:numPr>
          <w:ilvl w:val="0"/>
          <w:numId w:val="19"/>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22"/>
        </w:numPr>
        <w:spacing w:line="360" w:lineRule="auto"/>
        <w:ind w:left="0" w:firstLine="0"/>
      </w:pPr>
      <w:r>
        <w:rPr>
          <w:rFonts w:hint="eastAsia"/>
        </w:rPr>
        <w:t>投标函；</w:t>
      </w:r>
    </w:p>
    <w:p w14:paraId="39330535">
      <w:pPr>
        <w:numPr>
          <w:ilvl w:val="0"/>
          <w:numId w:val="22"/>
        </w:numPr>
        <w:spacing w:line="360" w:lineRule="auto"/>
        <w:ind w:left="0" w:firstLine="0"/>
      </w:pPr>
      <w:r>
        <w:rPr>
          <w:rFonts w:hint="eastAsia"/>
        </w:rPr>
        <w:t>开标一览表、分项报价表；</w:t>
      </w:r>
    </w:p>
    <w:p w14:paraId="66C37FD7">
      <w:pPr>
        <w:pStyle w:val="77"/>
        <w:numPr>
          <w:ilvl w:val="0"/>
          <w:numId w:val="22"/>
        </w:numPr>
        <w:rPr>
          <w:rFonts w:hint="eastAsia" w:cs="Times New Roman"/>
          <w:b w:val="0"/>
          <w:bCs/>
          <w:highlight w:val="none"/>
        </w:rPr>
      </w:pPr>
      <w:r>
        <w:rPr>
          <w:rFonts w:hint="eastAsia"/>
        </w:rPr>
        <w:t>商务条款偏离表；</w:t>
      </w:r>
    </w:p>
    <w:p w14:paraId="70E2A45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4"/>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w:t>
      </w:r>
      <w:r>
        <w:rPr>
          <w:rFonts w:hint="eastAsia"/>
          <w:highlight w:val="none"/>
          <w:u w:val="single"/>
        </w:rPr>
        <w:t>币</w:t>
      </w:r>
      <w:r>
        <w:rPr>
          <w:rFonts w:hint="eastAsia"/>
          <w:highlight w:val="none"/>
          <w:u w:val="single"/>
          <w:lang w:val="en-US" w:eastAsia="zh-CN"/>
        </w:rPr>
        <w:t>5000</w:t>
      </w:r>
      <w:r>
        <w:rPr>
          <w:rFonts w:hint="eastAsia"/>
          <w:highlight w:val="none"/>
          <w:u w:val="single"/>
        </w:rPr>
        <w:t>元</w:t>
      </w:r>
    </w:p>
    <w:p w14:paraId="509177D6">
      <w:pPr>
        <w:adjustRightInd w:val="0"/>
        <w:snapToGrid w:val="0"/>
        <w:spacing w:line="400" w:lineRule="exact"/>
        <w:jc w:val="left"/>
        <w:rPr>
          <w:rFonts w:ascii="仿宋" w:hAnsi="仿宋" w:eastAsia="仿宋" w:cs="仿宋_GB2312"/>
          <w:bCs/>
          <w:sz w:val="24"/>
          <w:szCs w:val="24"/>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仿宋" w:hAnsi="仿宋" w:eastAsia="仿宋" w:cs="仿宋_GB2312"/>
          <w:bCs/>
          <w:sz w:val="24"/>
          <w:szCs w:val="24"/>
        </w:rPr>
        <w:t>单位名称：</w:t>
      </w:r>
      <w:r>
        <w:rPr>
          <w:rFonts w:ascii="仿宋" w:hAnsi="仿宋" w:eastAsia="仿宋" w:cs="仿宋_GB2312"/>
          <w:b/>
          <w:bCs/>
          <w:sz w:val="24"/>
          <w:szCs w:val="24"/>
        </w:rPr>
        <w:t>重汽（重庆）轻型汽车有限公司</w:t>
      </w:r>
    </w:p>
    <w:p w14:paraId="40E1C313">
      <w:pPr>
        <w:adjustRightInd w:val="0"/>
        <w:snapToGrid w:val="0"/>
        <w:spacing w:line="400" w:lineRule="exact"/>
        <w:jc w:val="left"/>
        <w:rPr>
          <w:rFonts w:ascii="仿宋" w:hAnsi="仿宋" w:eastAsia="仿宋" w:cs="仿宋_GB2312"/>
          <w:bCs/>
          <w:sz w:val="24"/>
          <w:szCs w:val="24"/>
        </w:rPr>
      </w:pPr>
      <w:r>
        <w:rPr>
          <w:rFonts w:ascii="仿宋" w:hAnsi="仿宋" w:eastAsia="仿宋" w:cs="仿宋_GB2312"/>
          <w:bCs/>
          <w:sz w:val="24"/>
          <w:szCs w:val="24"/>
        </w:rPr>
        <w:t>收款账号：8112501012801267437</w:t>
      </w:r>
    </w:p>
    <w:p w14:paraId="1443A304">
      <w:pPr>
        <w:adjustRightInd w:val="0"/>
        <w:snapToGrid w:val="0"/>
        <w:spacing w:line="400" w:lineRule="exact"/>
        <w:jc w:val="left"/>
        <w:rPr>
          <w:rFonts w:ascii="仿宋" w:hAnsi="仿宋" w:eastAsia="仿宋" w:cs="仿宋_GB2312"/>
          <w:bCs/>
          <w:sz w:val="24"/>
          <w:szCs w:val="24"/>
        </w:rPr>
      </w:pPr>
      <w:r>
        <w:rPr>
          <w:rFonts w:ascii="仿宋" w:hAnsi="仿宋" w:eastAsia="仿宋" w:cs="仿宋_GB2312"/>
          <w:bCs/>
          <w:sz w:val="24"/>
          <w:szCs w:val="24"/>
        </w:rPr>
        <w:t>开户行名称：中信银行济南舜耕支行</w:t>
      </w:r>
    </w:p>
    <w:p w14:paraId="0C07B132">
      <w:pPr>
        <w:adjustRightInd w:val="0"/>
        <w:snapToGrid w:val="0"/>
        <w:spacing w:line="400" w:lineRule="exact"/>
        <w:jc w:val="left"/>
        <w:rPr>
          <w:rFonts w:hint="eastAsia" w:cs="Times New Roman"/>
          <w:b w:val="0"/>
          <w:bCs/>
          <w:highlight w:val="none"/>
          <w:lang w:val="en-US" w:eastAsia="zh-CN"/>
        </w:rPr>
      </w:pPr>
      <w:r>
        <w:rPr>
          <w:rFonts w:ascii="仿宋" w:hAnsi="仿宋" w:eastAsia="仿宋" w:cs="仿宋_GB2312"/>
          <w:bCs/>
          <w:sz w:val="24"/>
          <w:szCs w:val="24"/>
        </w:rPr>
        <w:t>开户行行号：302451037264</w:t>
      </w:r>
    </w:p>
    <w:p w14:paraId="1591D62C">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rPr>
        <w:t>30个工作日内</w:t>
      </w:r>
      <w:r>
        <w:rPr>
          <w:rFonts w:hint="eastAsia" w:ascii="宋体" w:hAnsi="宋体" w:eastAsia="宋体" w:cs="宋体"/>
        </w:rPr>
        <w:t>予以原路返还（无息）；对于中标方，投标保证金将在签订合同后</w:t>
      </w:r>
      <w:r>
        <w:rPr>
          <w:rFonts w:hint="eastAsia" w:ascii="宋体" w:hAnsi="宋体" w:cs="宋体"/>
        </w:rPr>
        <w:t>30个工作日内</w:t>
      </w:r>
      <w:r>
        <w:rPr>
          <w:rFonts w:hint="eastAsia" w:ascii="宋体" w:hAnsi="宋体" w:eastAsia="宋体" w:cs="宋体"/>
        </w:rPr>
        <w:t>原路返还（无息）。</w:t>
      </w:r>
    </w:p>
    <w:p w14:paraId="271EC8CF">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3"/>
    <w:p w14:paraId="368B6990">
      <w:pPr>
        <w:pStyle w:val="74"/>
      </w:pPr>
      <w:r>
        <w:rPr>
          <w:rFonts w:hint="eastAsia"/>
          <w:lang w:val="en-US" w:eastAsia="zh-CN"/>
        </w:rPr>
        <w:t>开评标</w:t>
      </w:r>
    </w:p>
    <w:p w14:paraId="00CC8C95">
      <w:pPr>
        <w:pStyle w:val="16"/>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4"/>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67F90367">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rPr>
        <w:t>合理最低价</w:t>
      </w:r>
      <w:r>
        <w:rPr>
          <w:rFonts w:hint="eastAsia" w:ascii="宋体" w:hAnsi="宋体" w:eastAsia="宋体" w:cs="宋体"/>
          <w:b w:val="0"/>
          <w:bCs w:val="0"/>
          <w:sz w:val="21"/>
          <w:szCs w:val="21"/>
        </w:rPr>
        <w:t>的原则选择中标厂家，对未中标单位不做任何解释。</w:t>
      </w:r>
    </w:p>
    <w:p w14:paraId="0B2A8F6D">
      <w:pPr>
        <w:pStyle w:val="74"/>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9"/>
      <w:bookmarkStart w:id="15" w:name="OLE_LINK25"/>
      <w:bookmarkStart w:id="16" w:name="OLE_LINK28"/>
      <w:bookmarkStart w:id="17" w:name="OLE_LINK27"/>
      <w:bookmarkStart w:id="18" w:name="OLE_LINK26"/>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4"/>
        <w:rPr>
          <w:highlight w:val="none"/>
        </w:rPr>
      </w:pPr>
      <w:r>
        <w:rPr>
          <w:rFonts w:hint="eastAsia"/>
          <w:highlight w:val="none"/>
          <w:lang w:val="en-US" w:eastAsia="zh-CN"/>
        </w:rPr>
        <w:t>付款</w:t>
      </w:r>
    </w:p>
    <w:p w14:paraId="7985E12D">
      <w:pPr>
        <w:pStyle w:val="65"/>
        <w:numPr>
          <w:ilvl w:val="0"/>
          <w:numId w:val="29"/>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付款方式：半年期商业汇票（包括银行承兑汇票和商业承兑汇票）；</w:t>
      </w:r>
    </w:p>
    <w:p w14:paraId="36D1B64E">
      <w:pPr>
        <w:pStyle w:val="65"/>
        <w:numPr>
          <w:ilvl w:val="0"/>
          <w:numId w:val="29"/>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付款节点:</w:t>
      </w:r>
      <w:r>
        <w:rPr>
          <w:rFonts w:hint="eastAsia" w:ascii="仿宋" w:hAnsi="仿宋" w:eastAsia="仿宋"/>
          <w:sz w:val="24"/>
          <w:szCs w:val="24"/>
        </w:rPr>
        <w:t xml:space="preserve"> 其他付款节点 3:6:1</w:t>
      </w:r>
    </w:p>
    <w:p w14:paraId="65E0B8EB">
      <w:pPr>
        <w:pStyle w:val="65"/>
        <w:numPr>
          <w:ilvl w:val="0"/>
          <w:numId w:val="30"/>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预付款：商务合同签订后，中标人开具合同总金额3</w:t>
      </w:r>
      <w:r>
        <w:rPr>
          <w:rFonts w:ascii="仿宋" w:hAnsi="仿宋" w:eastAsia="仿宋" w:cs="仿宋_GB2312"/>
          <w:bCs/>
          <w:sz w:val="24"/>
          <w:szCs w:val="24"/>
        </w:rPr>
        <w:t>0</w:t>
      </w:r>
      <w:r>
        <w:rPr>
          <w:rFonts w:hint="eastAsia" w:ascii="仿宋" w:hAnsi="仿宋" w:eastAsia="仿宋" w:cs="仿宋_GB2312"/>
          <w:bCs/>
          <w:sz w:val="24"/>
          <w:szCs w:val="24"/>
        </w:rPr>
        <w:t>%的发票到招标人财务挂账，挂账次月招标人向中标人支付合同总金额3</w:t>
      </w:r>
      <w:r>
        <w:rPr>
          <w:rFonts w:ascii="仿宋" w:hAnsi="仿宋" w:eastAsia="仿宋" w:cs="仿宋_GB2312"/>
          <w:bCs/>
          <w:sz w:val="24"/>
          <w:szCs w:val="24"/>
        </w:rPr>
        <w:t>0</w:t>
      </w:r>
      <w:r>
        <w:rPr>
          <w:rFonts w:hint="eastAsia" w:ascii="仿宋" w:hAnsi="仿宋" w:eastAsia="仿宋" w:cs="仿宋_GB2312"/>
          <w:bCs/>
          <w:sz w:val="24"/>
          <w:szCs w:val="24"/>
        </w:rPr>
        <w:t>%款项。</w:t>
      </w:r>
    </w:p>
    <w:p w14:paraId="775113C9">
      <w:pPr>
        <w:pStyle w:val="65"/>
        <w:numPr>
          <w:ilvl w:val="0"/>
          <w:numId w:val="30"/>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终验收款：中标人完成按合同约定完成项目实施，次月由招标人组织验收，验收合格后通知中标人开具合同总金额</w:t>
      </w:r>
      <w:r>
        <w:rPr>
          <w:rFonts w:ascii="仿宋" w:hAnsi="仿宋" w:eastAsia="仿宋" w:cs="仿宋_GB2312"/>
          <w:bCs/>
          <w:sz w:val="24"/>
          <w:szCs w:val="24"/>
        </w:rPr>
        <w:t>70</w:t>
      </w:r>
      <w:r>
        <w:rPr>
          <w:rFonts w:hint="eastAsia" w:ascii="仿宋" w:hAnsi="仿宋" w:eastAsia="仿宋" w:cs="仿宋_GB2312"/>
          <w:bCs/>
          <w:sz w:val="24"/>
          <w:szCs w:val="24"/>
        </w:rPr>
        <w:t>%的增值税专用发票到招标人财务挂账，挂账后次月招标人向中标人支付合同总金额</w:t>
      </w:r>
      <w:r>
        <w:rPr>
          <w:rFonts w:ascii="仿宋" w:hAnsi="仿宋" w:eastAsia="仿宋" w:cs="仿宋_GB2312"/>
          <w:bCs/>
          <w:sz w:val="24"/>
          <w:szCs w:val="24"/>
        </w:rPr>
        <w:t>60</w:t>
      </w:r>
      <w:r>
        <w:rPr>
          <w:rFonts w:hint="eastAsia" w:ascii="仿宋" w:hAnsi="仿宋" w:eastAsia="仿宋" w:cs="仿宋_GB2312"/>
          <w:bCs/>
          <w:sz w:val="24"/>
          <w:szCs w:val="24"/>
        </w:rPr>
        <w:t>%款项。</w:t>
      </w:r>
    </w:p>
    <w:p w14:paraId="24B1AE6E">
      <w:pPr>
        <w:pStyle w:val="65"/>
        <w:numPr>
          <w:ilvl w:val="0"/>
          <w:numId w:val="30"/>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质保金：合同总价款的10%作为本合同约定的质量保证金，质量保证金在质量保证期内不计利息。终验收后一年质保期满，经招标人审核不存在未解决的质量问题后支付。如有质量问题，质量保证金予以相应扣除。</w:t>
      </w:r>
    </w:p>
    <w:p w14:paraId="7A550442">
      <w:pPr>
        <w:pStyle w:val="74"/>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*注：付款方式及付款比例不允许偏离。</w:t>
      </w:r>
    </w:p>
    <w:p w14:paraId="08EEE773">
      <w:pPr>
        <w:pStyle w:val="74"/>
        <w:rPr>
          <w:rFonts w:ascii="仿宋" w:hAnsi="仿宋" w:eastAsia="仿宋" w:cs="仿宋"/>
          <w:sz w:val="32"/>
          <w:szCs w:val="32"/>
        </w:rPr>
      </w:pPr>
      <w:r>
        <w:rPr>
          <w:rFonts w:hint="eastAsia"/>
          <w:lang w:val="en-US" w:eastAsia="zh-CN"/>
        </w:rPr>
        <w:t>技术要求</w:t>
      </w:r>
    </w:p>
    <w:p w14:paraId="57921828">
      <w:pPr>
        <w:spacing w:line="480" w:lineRule="exact"/>
        <w:jc w:val="center"/>
        <w:rPr>
          <w:rFonts w:hint="eastAsia" w:ascii="仿宋" w:hAnsi="仿宋" w:eastAsia="仿宋" w:cs="仿宋"/>
          <w:sz w:val="32"/>
          <w:szCs w:val="32"/>
        </w:rPr>
      </w:pPr>
    </w:p>
    <w:p w14:paraId="25FE8493">
      <w:pPr>
        <w:spacing w:line="480" w:lineRule="exact"/>
        <w:jc w:val="center"/>
        <w:rPr>
          <w:rFonts w:hint="eastAsia" w:ascii="仿宋" w:hAnsi="仿宋" w:eastAsia="仿宋" w:cs="仿宋"/>
          <w:sz w:val="32"/>
          <w:szCs w:val="32"/>
        </w:rPr>
      </w:pPr>
    </w:p>
    <w:p w14:paraId="3F7984AB">
      <w:pPr>
        <w:spacing w:line="480" w:lineRule="exact"/>
        <w:jc w:val="center"/>
        <w:rPr>
          <w:rFonts w:hint="eastAsia" w:ascii="仿宋" w:hAnsi="仿宋" w:eastAsia="仿宋" w:cs="仿宋"/>
          <w:sz w:val="32"/>
          <w:szCs w:val="32"/>
        </w:rPr>
      </w:pPr>
    </w:p>
    <w:p w14:paraId="6A6AAD39">
      <w:pPr>
        <w:spacing w:line="860" w:lineRule="exact"/>
        <w:rPr>
          <w:rFonts w:ascii="华文仿宋" w:hAnsi="华文仿宋" w:eastAsia="华文仿宋"/>
          <w:b/>
          <w:bCs/>
          <w:sz w:val="32"/>
          <w:szCs w:val="28"/>
        </w:rPr>
      </w:pPr>
    </w:p>
    <w:p w14:paraId="4BC0AE4F">
      <w:pPr>
        <w:spacing w:line="860" w:lineRule="exact"/>
        <w:rPr>
          <w:rFonts w:ascii="华文仿宋" w:hAnsi="华文仿宋" w:eastAsia="华文仿宋"/>
          <w:b/>
          <w:bCs/>
          <w:sz w:val="32"/>
          <w:szCs w:val="28"/>
        </w:rPr>
      </w:pPr>
    </w:p>
    <w:p w14:paraId="664BE573">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07CBCE8D">
      <w:pPr>
        <w:spacing w:line="860" w:lineRule="exact"/>
        <w:rPr>
          <w:rFonts w:hint="eastAsia" w:ascii="华文仿宋" w:hAnsi="华文仿宋" w:eastAsia="华文仿宋"/>
          <w:b/>
          <w:bCs/>
          <w:sz w:val="32"/>
          <w:szCs w:val="28"/>
        </w:rPr>
      </w:pPr>
    </w:p>
    <w:p w14:paraId="02A53214">
      <w:pPr>
        <w:pStyle w:val="16"/>
        <w:rPr>
          <w:b/>
          <w:bCs/>
        </w:rPr>
      </w:pPr>
    </w:p>
    <w:p w14:paraId="0E03A0CA">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中国重汽集团有限公司</w:t>
      </w:r>
      <w:r>
        <w:rPr>
          <w:rFonts w:hint="eastAsia" w:ascii="宋体" w:hAnsi="宋体" w:eastAsia="宋体" w:cs="Times New Roman"/>
          <w:color w:val="000000"/>
          <w:sz w:val="28"/>
          <w:szCs w:val="28"/>
          <w:highlight w:val="none"/>
          <w:lang w:eastAsia="zh-CN"/>
        </w:rPr>
        <w:t>（</w:t>
      </w:r>
      <w:r>
        <w:rPr>
          <w:rFonts w:hint="eastAsia" w:ascii="宋体" w:hAnsi="宋体" w:eastAsia="宋体" w:cs="Times New Roman"/>
          <w:color w:val="000000"/>
          <w:sz w:val="28"/>
          <w:szCs w:val="28"/>
          <w:highlight w:val="none"/>
          <w:lang w:val="en-US" w:eastAsia="zh-CN"/>
        </w:rPr>
        <w:t>重汽（重庆）轻型汽车有限公司</w:t>
      </w:r>
      <w:r>
        <w:rPr>
          <w:rFonts w:hint="eastAsia" w:ascii="宋体" w:hAnsi="宋体" w:eastAsia="宋体" w:cs="Times New Roman"/>
          <w:color w:val="000000"/>
          <w:sz w:val="28"/>
          <w:szCs w:val="28"/>
          <w:highlight w:val="none"/>
          <w:lang w:eastAsia="zh-CN"/>
        </w:rPr>
        <w:t>）</w:t>
      </w:r>
    </w:p>
    <w:p w14:paraId="19E9744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7866ECC0">
      <w:pPr>
        <w:keepNext/>
        <w:keepLines/>
        <w:jc w:val="center"/>
        <w:rPr>
          <w:rFonts w:ascii="Calibri" w:hAnsi="Calibri" w:eastAsia="宋体" w:cs="Times New Roman"/>
          <w:b/>
          <w:bCs/>
          <w:kern w:val="44"/>
          <w:sz w:val="36"/>
          <w:szCs w:val="44"/>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455ECA55">
      <w:pPr>
        <w:keepNext/>
        <w:keepLines/>
        <w:jc w:val="center"/>
        <w:outlineLvl w:val="0"/>
        <w:rPr>
          <w:rFonts w:hint="eastAsia" w:ascii="Calibri" w:hAnsi="Calibri" w:eastAsia="宋体" w:cs="Times New Roman"/>
          <w:b/>
          <w:bCs/>
          <w:kern w:val="44"/>
          <w:sz w:val="36"/>
          <w:szCs w:val="44"/>
          <w:lang w:eastAsia="zh-CN"/>
        </w:rPr>
      </w:pPr>
      <w:bookmarkStart w:id="19" w:name="_Toc11980"/>
      <w:r>
        <w:rPr>
          <w:rFonts w:hint="eastAsia" w:ascii="Calibri" w:hAnsi="Calibri" w:eastAsia="宋体" w:cs="Times New Roman"/>
          <w:b/>
          <w:bCs/>
          <w:kern w:val="44"/>
          <w:sz w:val="36"/>
          <w:szCs w:val="44"/>
        </w:rPr>
        <w:t>第四部分 技术</w:t>
      </w:r>
      <w:bookmarkEnd w:id="19"/>
      <w:r>
        <w:rPr>
          <w:rFonts w:hint="eastAsia" w:ascii="Calibri" w:hAnsi="Calibri" w:eastAsia="宋体" w:cs="Times New Roman"/>
          <w:b/>
          <w:bCs/>
          <w:kern w:val="44"/>
          <w:sz w:val="36"/>
          <w:szCs w:val="44"/>
          <w:lang w:val="en-US" w:eastAsia="zh-CN"/>
        </w:rPr>
        <w:t>部分</w:t>
      </w:r>
    </w:p>
    <w:p w14:paraId="2818979C">
      <w:pPr>
        <w:pStyle w:val="2"/>
        <w:ind w:left="431" w:hanging="431"/>
        <w:rPr>
          <w:rFonts w:ascii="宋体" w:hAnsi="宋体" w:cs="宋体"/>
          <w:i w:val="0"/>
          <w:iCs w:val="0"/>
        </w:rPr>
      </w:pPr>
      <w:bookmarkStart w:id="20" w:name="_Toc12511"/>
      <w:bookmarkStart w:id="21" w:name="_Toc169605877"/>
      <w:r>
        <w:rPr>
          <w:rFonts w:hint="eastAsia" w:ascii="宋体" w:hAnsi="宋体" w:cs="宋体"/>
          <w:i w:val="0"/>
          <w:iCs w:val="0"/>
        </w:rPr>
        <w:t>第一章 项目要求</w:t>
      </w:r>
      <w:bookmarkEnd w:id="20"/>
    </w:p>
    <w:p w14:paraId="51429A5A">
      <w:pPr>
        <w:pStyle w:val="4"/>
        <w:numPr>
          <w:ilvl w:val="0"/>
          <w:numId w:val="0"/>
        </w:numPr>
        <w:snapToGrid w:val="0"/>
        <w:rPr>
          <w:rFonts w:ascii="宋体" w:hAnsi="宋体" w:cs="宋体"/>
          <w:szCs w:val="24"/>
        </w:rPr>
      </w:pPr>
      <w:bookmarkStart w:id="22" w:name="_Toc30332"/>
      <w:r>
        <w:rPr>
          <w:rFonts w:hint="eastAsia" w:ascii="宋体" w:hAnsi="宋体" w:cs="宋体"/>
          <w:szCs w:val="24"/>
          <w:lang w:val="en-US" w:eastAsia="zh-CN"/>
        </w:rPr>
        <w:t>一、</w:t>
      </w:r>
      <w:r>
        <w:rPr>
          <w:rFonts w:hint="eastAsia" w:ascii="宋体" w:hAnsi="宋体" w:cs="宋体"/>
          <w:szCs w:val="24"/>
        </w:rPr>
        <w:t>项目概况</w:t>
      </w:r>
      <w:bookmarkEnd w:id="22"/>
    </w:p>
    <w:p w14:paraId="267181C6">
      <w:pPr>
        <w:pStyle w:val="65"/>
        <w:numPr>
          <w:ilvl w:val="1"/>
          <w:numId w:val="31"/>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项目名称：喷涂废气排放口新增在线监测设施项目</w:t>
      </w:r>
    </w:p>
    <w:p w14:paraId="2DD2BE6E">
      <w:pPr>
        <w:snapToGrid w:val="0"/>
        <w:spacing w:line="360" w:lineRule="auto"/>
        <w:rPr>
          <w:rFonts w:ascii="宋体" w:hAnsi="宋体" w:eastAsia="宋体" w:cs="宋体"/>
          <w:sz w:val="24"/>
          <w:szCs w:val="24"/>
        </w:rPr>
      </w:pPr>
      <w:r>
        <w:rPr>
          <w:rFonts w:ascii="宋体" w:hAnsi="宋体" w:eastAsia="宋体" w:cs="宋体"/>
          <w:sz w:val="24"/>
          <w:szCs w:val="24"/>
        </w:rPr>
        <w:t>1.2</w:t>
      </w:r>
      <w:r>
        <w:rPr>
          <w:rFonts w:hint="eastAsia" w:ascii="宋体" w:hAnsi="宋体" w:eastAsia="宋体" w:cs="宋体"/>
          <w:sz w:val="24"/>
          <w:szCs w:val="24"/>
        </w:rPr>
        <w:t>建设地点：</w:t>
      </w:r>
      <w:r>
        <w:rPr>
          <w:rFonts w:hint="eastAsia" w:ascii="宋体" w:hAnsi="宋体" w:eastAsia="宋体" w:cs="宋体"/>
          <w:sz w:val="24"/>
          <w:szCs w:val="24"/>
          <w:lang w:val="en-US" w:eastAsia="zh-CN"/>
        </w:rPr>
        <w:t>重庆汽车公司涂装车间附近——VOC平台下方</w:t>
      </w:r>
      <w:r>
        <w:rPr>
          <w:rFonts w:ascii="宋体" w:hAnsi="宋体" w:eastAsia="宋体" w:cs="宋体"/>
          <w:sz w:val="24"/>
          <w:szCs w:val="24"/>
        </w:rPr>
        <w:t>。</w:t>
      </w:r>
    </w:p>
    <w:p w14:paraId="364C69A5">
      <w:pPr>
        <w:snapToGrid w:val="0"/>
        <w:spacing w:line="360" w:lineRule="auto"/>
        <w:rPr>
          <w:rFonts w:ascii="宋体" w:hAnsi="宋体" w:eastAsia="宋体" w:cs="宋体"/>
          <w:sz w:val="24"/>
          <w:szCs w:val="24"/>
        </w:rPr>
      </w:pPr>
      <w:r>
        <w:rPr>
          <w:rFonts w:hint="eastAsia" w:ascii="宋体" w:hAnsi="宋体" w:eastAsia="宋体" w:cs="宋体"/>
          <w:sz w:val="24"/>
          <w:szCs w:val="24"/>
        </w:rPr>
        <w:t>1.3工作制度：</w:t>
      </w:r>
      <w:r>
        <w:rPr>
          <w:rFonts w:hint="eastAsia" w:ascii="宋体" w:hAnsi="宋体" w:eastAsia="宋体" w:cs="宋体"/>
          <w:sz w:val="24"/>
          <w:szCs w:val="24"/>
          <w:lang w:val="en-US" w:eastAsia="zh-CN"/>
        </w:rPr>
        <w:t>300</w:t>
      </w:r>
      <w:r>
        <w:rPr>
          <w:rFonts w:hint="eastAsia" w:ascii="宋体" w:hAnsi="宋体" w:eastAsia="宋体" w:cs="宋体"/>
          <w:sz w:val="24"/>
          <w:szCs w:val="24"/>
        </w:rPr>
        <w:t>工作日/年，两班</w:t>
      </w:r>
      <w:r>
        <w:rPr>
          <w:rFonts w:hint="eastAsia" w:ascii="宋体" w:hAnsi="宋体" w:eastAsia="宋体" w:cs="宋体"/>
          <w:sz w:val="24"/>
          <w:szCs w:val="24"/>
          <w:lang w:val="en-US" w:eastAsia="zh-CN"/>
        </w:rPr>
        <w:t>20</w:t>
      </w:r>
      <w:r>
        <w:rPr>
          <w:rFonts w:hint="eastAsia" w:ascii="宋体" w:hAnsi="宋体" w:eastAsia="宋体" w:cs="宋体"/>
          <w:sz w:val="24"/>
          <w:szCs w:val="24"/>
        </w:rPr>
        <w:t>小时/工作日</w:t>
      </w:r>
    </w:p>
    <w:p w14:paraId="35BCDC1C">
      <w:pPr>
        <w:snapToGrid w:val="0"/>
        <w:spacing w:line="360" w:lineRule="auto"/>
        <w:rPr>
          <w:rFonts w:ascii="宋体" w:hAnsi="宋体" w:eastAsia="宋体" w:cs="宋体"/>
          <w:sz w:val="24"/>
          <w:szCs w:val="24"/>
        </w:rPr>
      </w:pPr>
      <w:r>
        <w:rPr>
          <w:rFonts w:ascii="宋体" w:hAnsi="宋体" w:eastAsia="宋体" w:cs="宋体"/>
          <w:sz w:val="24"/>
          <w:szCs w:val="24"/>
        </w:rPr>
        <w:t>1.4</w:t>
      </w:r>
      <w:r>
        <w:rPr>
          <w:rFonts w:hint="eastAsia" w:ascii="宋体" w:hAnsi="宋体" w:eastAsia="宋体" w:cs="宋体"/>
          <w:sz w:val="24"/>
          <w:szCs w:val="24"/>
        </w:rPr>
        <w:t>年时基数：设备年时基数</w:t>
      </w:r>
      <w:r>
        <w:rPr>
          <w:rFonts w:hint="eastAsia" w:ascii="宋体" w:hAnsi="宋体" w:eastAsia="宋体" w:cs="宋体"/>
          <w:sz w:val="24"/>
          <w:szCs w:val="24"/>
          <w:lang w:val="en-US" w:eastAsia="zh-CN"/>
        </w:rPr>
        <w:t>60</w:t>
      </w:r>
      <w:r>
        <w:rPr>
          <w:rFonts w:hint="eastAsia" w:ascii="宋体" w:hAnsi="宋体" w:eastAsia="宋体" w:cs="宋体"/>
          <w:sz w:val="24"/>
          <w:szCs w:val="24"/>
        </w:rPr>
        <w:t>00小时</w:t>
      </w:r>
    </w:p>
    <w:p w14:paraId="6A461B22">
      <w:pPr>
        <w:snapToGrid w:val="0"/>
        <w:spacing w:line="360" w:lineRule="auto"/>
        <w:rPr>
          <w:rFonts w:ascii="宋体" w:hAnsi="宋体" w:eastAsia="宋体" w:cs="宋体"/>
          <w:sz w:val="24"/>
          <w:szCs w:val="24"/>
        </w:rPr>
      </w:pPr>
      <w:r>
        <w:rPr>
          <w:rFonts w:ascii="宋体" w:hAnsi="宋体" w:eastAsia="宋体" w:cs="宋体"/>
          <w:sz w:val="24"/>
          <w:szCs w:val="24"/>
        </w:rPr>
        <w:t>1.5</w:t>
      </w:r>
      <w:r>
        <w:rPr>
          <w:rFonts w:hint="eastAsia" w:ascii="宋体" w:hAnsi="宋体" w:eastAsia="宋体" w:cs="宋体"/>
          <w:sz w:val="24"/>
          <w:szCs w:val="24"/>
        </w:rPr>
        <w:t>货物需求一览表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18"/>
        <w:gridCol w:w="816"/>
        <w:gridCol w:w="816"/>
        <w:gridCol w:w="816"/>
        <w:gridCol w:w="2813"/>
      </w:tblGrid>
      <w:tr w14:paraId="1F36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14:paraId="2BA498CB">
            <w:pPr>
              <w:jc w:val="center"/>
              <w:rPr>
                <w:rFonts w:ascii="宋体" w:hAnsi="宋体" w:eastAsia="宋体" w:cs="宋体"/>
                <w:szCs w:val="21"/>
              </w:rPr>
            </w:pPr>
            <w:r>
              <w:rPr>
                <w:rFonts w:hint="eastAsia" w:ascii="宋体" w:hAnsi="宋体" w:eastAsia="宋体" w:cs="宋体"/>
                <w:szCs w:val="21"/>
              </w:rPr>
              <w:t>序号</w:t>
            </w:r>
          </w:p>
        </w:tc>
        <w:tc>
          <w:tcPr>
            <w:tcW w:w="2618" w:type="dxa"/>
            <w:vAlign w:val="center"/>
          </w:tcPr>
          <w:p w14:paraId="32F3B2D8">
            <w:pPr>
              <w:jc w:val="center"/>
              <w:rPr>
                <w:rFonts w:ascii="宋体" w:hAnsi="宋体" w:eastAsia="宋体" w:cs="宋体"/>
                <w:szCs w:val="21"/>
              </w:rPr>
            </w:pPr>
            <w:r>
              <w:rPr>
                <w:rFonts w:hint="eastAsia" w:ascii="宋体" w:hAnsi="宋体" w:eastAsia="宋体" w:cs="宋体"/>
                <w:szCs w:val="21"/>
              </w:rPr>
              <w:t>名称</w:t>
            </w:r>
          </w:p>
        </w:tc>
        <w:tc>
          <w:tcPr>
            <w:tcW w:w="816" w:type="dxa"/>
            <w:vAlign w:val="center"/>
          </w:tcPr>
          <w:p w14:paraId="0136564A">
            <w:pPr>
              <w:jc w:val="center"/>
              <w:rPr>
                <w:rFonts w:ascii="宋体" w:hAnsi="宋体" w:eastAsia="宋体" w:cs="宋体"/>
                <w:szCs w:val="21"/>
              </w:rPr>
            </w:pPr>
            <w:r>
              <w:rPr>
                <w:rFonts w:hint="eastAsia" w:ascii="宋体" w:hAnsi="宋体" w:eastAsia="宋体" w:cs="宋体"/>
                <w:szCs w:val="21"/>
              </w:rPr>
              <w:t>规格</w:t>
            </w:r>
          </w:p>
        </w:tc>
        <w:tc>
          <w:tcPr>
            <w:tcW w:w="816" w:type="dxa"/>
            <w:vAlign w:val="center"/>
          </w:tcPr>
          <w:p w14:paraId="071D5028">
            <w:pPr>
              <w:jc w:val="center"/>
              <w:rPr>
                <w:rFonts w:ascii="宋体" w:hAnsi="宋体" w:eastAsia="宋体" w:cs="宋体"/>
                <w:szCs w:val="21"/>
              </w:rPr>
            </w:pPr>
            <w:r>
              <w:rPr>
                <w:rFonts w:hint="eastAsia" w:ascii="宋体" w:hAnsi="宋体" w:eastAsia="宋体" w:cs="宋体"/>
                <w:szCs w:val="21"/>
              </w:rPr>
              <w:t>单位</w:t>
            </w:r>
          </w:p>
        </w:tc>
        <w:tc>
          <w:tcPr>
            <w:tcW w:w="816" w:type="dxa"/>
            <w:vAlign w:val="center"/>
          </w:tcPr>
          <w:p w14:paraId="68E4614A">
            <w:pPr>
              <w:jc w:val="center"/>
              <w:rPr>
                <w:rFonts w:ascii="宋体" w:hAnsi="宋体" w:eastAsia="宋体" w:cs="宋体"/>
                <w:szCs w:val="21"/>
              </w:rPr>
            </w:pPr>
            <w:r>
              <w:rPr>
                <w:rFonts w:hint="eastAsia" w:ascii="宋体" w:hAnsi="宋体" w:eastAsia="宋体" w:cs="宋体"/>
                <w:szCs w:val="21"/>
              </w:rPr>
              <w:t>数量</w:t>
            </w:r>
          </w:p>
        </w:tc>
        <w:tc>
          <w:tcPr>
            <w:tcW w:w="2813" w:type="dxa"/>
            <w:vAlign w:val="center"/>
          </w:tcPr>
          <w:p w14:paraId="1F92149B">
            <w:pPr>
              <w:jc w:val="center"/>
              <w:rPr>
                <w:rFonts w:ascii="宋体" w:hAnsi="宋体" w:eastAsia="宋体" w:cs="宋体"/>
                <w:szCs w:val="21"/>
              </w:rPr>
            </w:pPr>
            <w:r>
              <w:rPr>
                <w:rFonts w:hint="eastAsia" w:ascii="宋体" w:hAnsi="宋体" w:eastAsia="宋体" w:cs="宋体"/>
                <w:szCs w:val="21"/>
              </w:rPr>
              <w:t>安装地点/服务对象</w:t>
            </w:r>
          </w:p>
        </w:tc>
      </w:tr>
      <w:tr w14:paraId="6286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9AEA987">
            <w:pPr>
              <w:jc w:val="center"/>
              <w:rPr>
                <w:rFonts w:ascii="宋体" w:hAnsi="宋体" w:eastAsia="宋体" w:cs="宋体"/>
                <w:szCs w:val="21"/>
              </w:rPr>
            </w:pPr>
            <w:r>
              <w:rPr>
                <w:rFonts w:hint="eastAsia" w:ascii="宋体" w:hAnsi="宋体" w:eastAsia="宋体" w:cs="宋体"/>
                <w:szCs w:val="21"/>
              </w:rPr>
              <w:t>1</w:t>
            </w:r>
          </w:p>
        </w:tc>
        <w:tc>
          <w:tcPr>
            <w:tcW w:w="2618" w:type="dxa"/>
            <w:vAlign w:val="center"/>
          </w:tcPr>
          <w:p w14:paraId="20DE2199">
            <w:pPr>
              <w:pStyle w:val="28"/>
              <w:spacing w:line="360" w:lineRule="auto"/>
              <w:ind w:right="74"/>
              <w:jc w:val="center"/>
              <w:rPr>
                <w:rFonts w:ascii="宋体" w:hAnsi="宋体" w:cs="宋体"/>
                <w:sz w:val="21"/>
                <w:szCs w:val="21"/>
              </w:rPr>
            </w:pPr>
            <w:r>
              <w:rPr>
                <w:rFonts w:hint="eastAsia" w:ascii="宋体" w:hAnsi="宋体" w:cs="宋体"/>
                <w:sz w:val="21"/>
                <w:szCs w:val="21"/>
              </w:rPr>
              <w:t>喷涂废气排放口新增在线监测设施项目</w:t>
            </w:r>
          </w:p>
        </w:tc>
        <w:tc>
          <w:tcPr>
            <w:tcW w:w="816" w:type="dxa"/>
            <w:vAlign w:val="center"/>
          </w:tcPr>
          <w:p w14:paraId="7CD70343">
            <w:pPr>
              <w:jc w:val="center"/>
              <w:rPr>
                <w:rFonts w:ascii="宋体" w:hAnsi="宋体" w:eastAsia="宋体" w:cs="宋体"/>
                <w:szCs w:val="21"/>
              </w:rPr>
            </w:pPr>
            <w:r>
              <w:rPr>
                <w:rFonts w:hint="eastAsia" w:ascii="宋体" w:hAnsi="宋体" w:eastAsia="宋体" w:cs="宋体"/>
                <w:szCs w:val="21"/>
              </w:rPr>
              <w:t>非标</w:t>
            </w:r>
          </w:p>
        </w:tc>
        <w:tc>
          <w:tcPr>
            <w:tcW w:w="816" w:type="dxa"/>
            <w:vAlign w:val="center"/>
          </w:tcPr>
          <w:p w14:paraId="432CF85C">
            <w:pPr>
              <w:jc w:val="center"/>
              <w:rPr>
                <w:rFonts w:ascii="宋体" w:hAnsi="宋体" w:eastAsia="宋体" w:cs="宋体"/>
                <w:szCs w:val="21"/>
              </w:rPr>
            </w:pPr>
            <w:r>
              <w:rPr>
                <w:rFonts w:hint="eastAsia" w:ascii="宋体" w:hAnsi="宋体" w:eastAsia="宋体" w:cs="宋体"/>
                <w:szCs w:val="21"/>
              </w:rPr>
              <w:t>套</w:t>
            </w:r>
          </w:p>
        </w:tc>
        <w:tc>
          <w:tcPr>
            <w:tcW w:w="816" w:type="dxa"/>
            <w:vAlign w:val="center"/>
          </w:tcPr>
          <w:p w14:paraId="71346EDE">
            <w:pPr>
              <w:jc w:val="center"/>
              <w:rPr>
                <w:rFonts w:ascii="宋体" w:hAnsi="宋体" w:eastAsia="宋体" w:cs="宋体"/>
                <w:szCs w:val="21"/>
              </w:rPr>
            </w:pPr>
            <w:r>
              <w:rPr>
                <w:rFonts w:ascii="宋体" w:hAnsi="宋体" w:eastAsia="宋体" w:cs="宋体"/>
                <w:szCs w:val="21"/>
              </w:rPr>
              <w:t>1</w:t>
            </w:r>
          </w:p>
        </w:tc>
        <w:tc>
          <w:tcPr>
            <w:tcW w:w="2813" w:type="dxa"/>
            <w:vAlign w:val="center"/>
          </w:tcPr>
          <w:p w14:paraId="1CC99CBC">
            <w:pPr>
              <w:jc w:val="center"/>
              <w:rPr>
                <w:rFonts w:ascii="宋体" w:hAnsi="宋体" w:eastAsia="宋体" w:cs="宋体"/>
                <w:szCs w:val="21"/>
              </w:rPr>
            </w:pPr>
            <w:r>
              <w:rPr>
                <w:rFonts w:hint="eastAsia" w:ascii="宋体" w:hAnsi="宋体" w:eastAsia="宋体" w:cs="宋体"/>
                <w:szCs w:val="21"/>
                <w:lang w:val="en-US" w:eastAsia="zh-CN"/>
              </w:rPr>
              <w:t>重庆汽车</w:t>
            </w:r>
            <w:r>
              <w:rPr>
                <w:rFonts w:hint="eastAsia" w:ascii="宋体" w:hAnsi="宋体" w:eastAsia="宋体" w:cs="宋体"/>
                <w:szCs w:val="21"/>
              </w:rPr>
              <w:t>公司</w:t>
            </w:r>
          </w:p>
        </w:tc>
      </w:tr>
    </w:tbl>
    <w:p w14:paraId="66BA5BA4">
      <w:pPr>
        <w:snapToGrid w:val="0"/>
        <w:spacing w:line="360" w:lineRule="auto"/>
        <w:rPr>
          <w:rFonts w:ascii="宋体" w:hAnsi="宋体" w:eastAsia="宋体" w:cs="宋体"/>
          <w:sz w:val="24"/>
          <w:szCs w:val="24"/>
        </w:rPr>
      </w:pPr>
      <w:r>
        <w:rPr>
          <w:rFonts w:hint="eastAsia" w:ascii="宋体" w:hAnsi="宋体" w:eastAsia="宋体" w:cs="宋体"/>
          <w:sz w:val="24"/>
          <w:szCs w:val="24"/>
        </w:rPr>
        <w:t>备注：</w:t>
      </w:r>
    </w:p>
    <w:p w14:paraId="49819B6A">
      <w:pPr>
        <w:snapToGrid w:val="0"/>
        <w:spacing w:line="360" w:lineRule="auto"/>
        <w:rPr>
          <w:rFonts w:hint="eastAsia" w:ascii="宋体" w:hAnsi="宋体" w:eastAsia="宋体" w:cs="宋体"/>
        </w:rPr>
      </w:pPr>
      <w:r>
        <w:rPr>
          <w:rFonts w:hint="eastAsia" w:ascii="宋体" w:hAnsi="宋体" w:eastAsia="宋体" w:cs="宋体"/>
        </w:rPr>
        <w:t>（1）本表所列采购设备仅为设备及相关配套设施供货明细，应配套供货以及</w:t>
      </w:r>
      <w:r>
        <w:rPr>
          <w:rFonts w:hint="eastAsia" w:ascii="宋体" w:hAnsi="宋体" w:eastAsia="宋体" w:cs="宋体"/>
          <w:lang w:val="en-US" w:eastAsia="zh-CN"/>
        </w:rPr>
        <w:t>本项目涉及的相关</w:t>
      </w:r>
      <w:r>
        <w:rPr>
          <w:rFonts w:hint="eastAsia" w:ascii="宋体" w:hAnsi="宋体" w:eastAsia="宋体" w:cs="宋体"/>
        </w:rPr>
        <w:t>货物（或设备）和服务，请</w:t>
      </w:r>
      <w:r>
        <w:rPr>
          <w:rFonts w:hint="eastAsia" w:ascii="宋体" w:hAnsi="宋体" w:eastAsia="宋体" w:cs="宋体"/>
          <w:lang w:eastAsia="zh-CN"/>
        </w:rPr>
        <w:t>供应商</w:t>
      </w:r>
      <w:r>
        <w:rPr>
          <w:rFonts w:hint="eastAsia" w:ascii="宋体" w:hAnsi="宋体" w:eastAsia="宋体" w:cs="宋体"/>
        </w:rPr>
        <w:t>认真阅读“供货范围”。若有异议，不管是多么微小，都应在</w:t>
      </w:r>
      <w:r>
        <w:rPr>
          <w:rFonts w:hint="eastAsia" w:ascii="宋体" w:hAnsi="宋体" w:eastAsia="宋体" w:cs="宋体"/>
          <w:lang w:val="en-US" w:eastAsia="zh-CN"/>
        </w:rPr>
        <w:t>技术</w:t>
      </w:r>
      <w:r>
        <w:rPr>
          <w:rFonts w:hint="eastAsia" w:ascii="宋体" w:hAnsi="宋体" w:eastAsia="宋体" w:cs="宋体"/>
        </w:rPr>
        <w:t>文件“商务偏离”章节中予以详细说明。</w:t>
      </w:r>
    </w:p>
    <w:p w14:paraId="23631016">
      <w:pPr>
        <w:snapToGrid w:val="0"/>
        <w:spacing w:line="360" w:lineRule="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）供应商</w:t>
      </w:r>
      <w:r>
        <w:rPr>
          <w:rFonts w:hint="eastAsia" w:ascii="宋体" w:hAnsi="宋体" w:eastAsia="宋体" w:cs="宋体"/>
        </w:rPr>
        <w:t>所供设备，必须符合中国最新版的法律、法规和相关标准、规范的要求，符合项目所在地政府有关特殊要求</w:t>
      </w:r>
      <w:r>
        <w:rPr>
          <w:rFonts w:hint="eastAsia" w:ascii="宋体" w:hAnsi="宋体" w:eastAsia="宋体" w:cs="宋体"/>
          <w:lang w:eastAsia="zh-CN"/>
        </w:rPr>
        <w:t>。</w:t>
      </w:r>
    </w:p>
    <w:p w14:paraId="485D45BD">
      <w:pPr>
        <w:snapToGrid w:val="0"/>
        <w:spacing w:line="360" w:lineRule="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）供应商</w:t>
      </w:r>
      <w:r>
        <w:rPr>
          <w:rFonts w:hint="eastAsia" w:ascii="宋体" w:hAnsi="宋体" w:eastAsia="宋体" w:cs="宋体"/>
        </w:rPr>
        <w:t>提出的各项技术要求同意进行技术（担保）承诺，并保证买方不因此受到任何侵权指控和实际损失；</w:t>
      </w:r>
    </w:p>
    <w:p w14:paraId="01B1090B">
      <w:pPr>
        <w:snapToGrid w:val="0"/>
        <w:spacing w:line="360" w:lineRule="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）供应商</w:t>
      </w:r>
      <w:r>
        <w:rPr>
          <w:rFonts w:hint="eastAsia" w:ascii="宋体" w:hAnsi="宋体" w:eastAsia="宋体" w:cs="宋体"/>
        </w:rPr>
        <w:t>应保证所供设备的先进性、可靠性、经济性和实用性，并为全新设备</w:t>
      </w:r>
      <w:r>
        <w:rPr>
          <w:rFonts w:hint="eastAsia" w:ascii="宋体" w:hAnsi="宋体" w:eastAsia="宋体" w:cs="宋体"/>
          <w:lang w:val="en-US" w:eastAsia="zh-CN"/>
        </w:rPr>
        <w:t>.</w:t>
      </w:r>
    </w:p>
    <w:p w14:paraId="461BDE83">
      <w:pPr>
        <w:snapToGrid w:val="0"/>
        <w:spacing w:line="36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lang w:eastAsia="zh-CN"/>
        </w:rPr>
        <w:t>供应商</w:t>
      </w:r>
      <w:r>
        <w:rPr>
          <w:rFonts w:hint="eastAsia" w:ascii="宋体" w:hAnsi="宋体" w:eastAsia="宋体" w:cs="宋体"/>
        </w:rPr>
        <w:t>应保证所供货物（或设备）为中国政府指定或规定的主管部门公布的非淘汰货物（或设备），并尽力提供中国政府指定或规定的主管部门认可的环保型和节能型货物（或设备），货物（或设备）不接受试验品（提供证据）。</w:t>
      </w:r>
    </w:p>
    <w:p w14:paraId="167535F8">
      <w:pPr>
        <w:snapToGrid w:val="0"/>
        <w:spacing w:line="360" w:lineRule="auto"/>
        <w:rPr>
          <w:rFonts w:hint="eastAsia" w:ascii="宋体" w:hAnsi="宋体" w:eastAsia="宋体" w:cs="宋体"/>
          <w:lang w:eastAsia="zh-CN"/>
        </w:rPr>
      </w:pPr>
      <w:r>
        <w:rPr>
          <w:rFonts w:hint="eastAsia" w:ascii="宋体" w:hAnsi="宋体" w:eastAsia="宋体" w:cs="宋体"/>
        </w:rPr>
        <w:t>（</w:t>
      </w:r>
      <w:r>
        <w:rPr>
          <w:rFonts w:hint="eastAsia" w:ascii="宋体" w:hAnsi="宋体" w:eastAsia="宋体" w:cs="宋体"/>
          <w:lang w:val="en-US" w:eastAsia="zh-CN"/>
        </w:rPr>
        <w:t>6</w:t>
      </w:r>
      <w:r>
        <w:rPr>
          <w:rFonts w:hint="eastAsia" w:ascii="宋体" w:hAnsi="宋体" w:eastAsia="宋体" w:cs="宋体"/>
        </w:rPr>
        <w:t>）本表“供货方式”指：交钥匙方式——包括制造、运输、定点卸货、安装、调试和协助验收以及约定培训等</w:t>
      </w:r>
      <w:r>
        <w:rPr>
          <w:rFonts w:hint="eastAsia" w:ascii="宋体" w:hAnsi="宋体" w:eastAsia="宋体" w:cs="宋体"/>
          <w:lang w:eastAsia="zh-CN"/>
        </w:rPr>
        <w:t>，</w:t>
      </w:r>
      <w:r>
        <w:rPr>
          <w:rFonts w:hint="eastAsia" w:ascii="宋体" w:hAnsi="宋体" w:eastAsia="宋体" w:cs="宋体"/>
        </w:rPr>
        <w:t>直到交付使用</w:t>
      </w:r>
      <w:r>
        <w:rPr>
          <w:rFonts w:hint="eastAsia" w:ascii="宋体" w:hAnsi="宋体" w:eastAsia="宋体" w:cs="宋体"/>
          <w:lang w:eastAsia="zh-CN"/>
        </w:rPr>
        <w:t>。</w:t>
      </w:r>
    </w:p>
    <w:p w14:paraId="537928CA">
      <w:pPr>
        <w:pStyle w:val="13"/>
      </w:pPr>
    </w:p>
    <w:p w14:paraId="72676764">
      <w:pPr>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1.6本项目包含范围： </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712"/>
        <w:gridCol w:w="1410"/>
        <w:gridCol w:w="708"/>
        <w:gridCol w:w="3835"/>
        <w:gridCol w:w="2402"/>
      </w:tblGrid>
      <w:tr w14:paraId="0573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4" w:hRule="atLeast"/>
        </w:trPr>
        <w:tc>
          <w:tcPr>
            <w:tcW w:w="712" w:type="dxa"/>
            <w:vAlign w:val="center"/>
          </w:tcPr>
          <w:p w14:paraId="12361F86">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序号</w:t>
            </w:r>
          </w:p>
        </w:tc>
        <w:tc>
          <w:tcPr>
            <w:tcW w:w="1410" w:type="dxa"/>
            <w:vAlign w:val="center"/>
          </w:tcPr>
          <w:p w14:paraId="4480EF98">
            <w:pPr>
              <w:pStyle w:val="9"/>
              <w:spacing w:line="360" w:lineRule="auto"/>
              <w:rPr>
                <w:rFonts w:ascii="宋体" w:hAnsi="宋体" w:eastAsia="宋体" w:cs="宋体"/>
                <w:b/>
                <w:sz w:val="21"/>
                <w:szCs w:val="21"/>
              </w:rPr>
            </w:pPr>
            <w:r>
              <w:rPr>
                <w:rFonts w:hint="eastAsia" w:ascii="宋体" w:hAnsi="宋体" w:eastAsia="宋体" w:cs="宋体"/>
                <w:b/>
                <w:sz w:val="21"/>
                <w:szCs w:val="21"/>
              </w:rPr>
              <w:t>项目</w:t>
            </w:r>
          </w:p>
        </w:tc>
        <w:tc>
          <w:tcPr>
            <w:tcW w:w="708" w:type="dxa"/>
            <w:vAlign w:val="center"/>
          </w:tcPr>
          <w:p w14:paraId="65C80DB5">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数量</w:t>
            </w:r>
          </w:p>
        </w:tc>
        <w:tc>
          <w:tcPr>
            <w:tcW w:w="3835" w:type="dxa"/>
            <w:vAlign w:val="center"/>
          </w:tcPr>
          <w:p w14:paraId="3154ACA8">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内容</w:t>
            </w:r>
          </w:p>
        </w:tc>
        <w:tc>
          <w:tcPr>
            <w:tcW w:w="2402" w:type="dxa"/>
            <w:vAlign w:val="center"/>
          </w:tcPr>
          <w:p w14:paraId="7164B4CA">
            <w:pPr>
              <w:pStyle w:val="9"/>
              <w:spacing w:line="360" w:lineRule="auto"/>
              <w:ind w:firstLine="0"/>
              <w:jc w:val="center"/>
              <w:rPr>
                <w:rFonts w:ascii="宋体" w:hAnsi="宋体" w:eastAsia="宋体" w:cs="宋体"/>
                <w:b/>
                <w:sz w:val="24"/>
                <w:szCs w:val="24"/>
              </w:rPr>
            </w:pPr>
            <w:r>
              <w:rPr>
                <w:rFonts w:hint="eastAsia" w:ascii="宋体" w:hAnsi="宋体" w:eastAsia="宋体" w:cs="宋体"/>
                <w:b/>
                <w:sz w:val="21"/>
                <w:szCs w:val="21"/>
              </w:rPr>
              <w:t>备注</w:t>
            </w:r>
          </w:p>
        </w:tc>
      </w:tr>
      <w:tr w14:paraId="4BF7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48" w:hRule="atLeast"/>
        </w:trPr>
        <w:tc>
          <w:tcPr>
            <w:tcW w:w="712" w:type="dxa"/>
            <w:vAlign w:val="center"/>
          </w:tcPr>
          <w:p w14:paraId="4DC528E2">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1</w:t>
            </w:r>
          </w:p>
        </w:tc>
        <w:tc>
          <w:tcPr>
            <w:tcW w:w="1410" w:type="dxa"/>
            <w:vAlign w:val="center"/>
          </w:tcPr>
          <w:p w14:paraId="4F11A8B4">
            <w:pPr>
              <w:adjustRightInd w:val="0"/>
              <w:snapToGrid w:val="0"/>
              <w:spacing w:line="240" w:lineRule="atLeast"/>
              <w:jc w:val="center"/>
              <w:textAlignment w:val="baseline"/>
              <w:outlineLvl w:val="3"/>
              <w:rPr>
                <w:rFonts w:hint="default" w:ascii="宋体" w:hAnsi="宋体" w:eastAsia="宋体" w:cs="宋体"/>
                <w:color w:val="000000"/>
                <w:spacing w:val="8"/>
                <w:sz w:val="24"/>
                <w:lang w:val="en-US" w:eastAsia="zh-CN"/>
              </w:rPr>
            </w:pPr>
            <w:r>
              <w:rPr>
                <w:rFonts w:hint="eastAsia" w:ascii="宋体" w:hAnsi="宋体" w:cs="宋体"/>
                <w:sz w:val="21"/>
                <w:szCs w:val="21"/>
              </w:rPr>
              <w:t>喷涂废气排放口新增在线监测设施项目</w:t>
            </w:r>
          </w:p>
        </w:tc>
        <w:tc>
          <w:tcPr>
            <w:tcW w:w="708" w:type="dxa"/>
            <w:vAlign w:val="center"/>
          </w:tcPr>
          <w:p w14:paraId="4973C2D7">
            <w:pPr>
              <w:adjustRightInd w:val="0"/>
              <w:snapToGrid w:val="0"/>
              <w:spacing w:line="240" w:lineRule="atLeast"/>
              <w:jc w:val="center"/>
              <w:textAlignment w:val="baseline"/>
              <w:outlineLvl w:val="3"/>
              <w:rPr>
                <w:rFonts w:hint="eastAsia" w:ascii="宋体" w:hAnsi="宋体" w:eastAsia="宋体" w:cs="宋体"/>
                <w:color w:val="000000"/>
                <w:spacing w:val="8"/>
                <w:sz w:val="24"/>
                <w:lang w:val="en-US" w:eastAsia="zh-CN"/>
              </w:rPr>
            </w:pPr>
            <w:r>
              <w:rPr>
                <w:rFonts w:hint="eastAsia" w:ascii="宋体" w:hAnsi="宋体" w:eastAsia="宋体" w:cs="宋体"/>
                <w:color w:val="000000"/>
                <w:lang w:val="en-US" w:eastAsia="zh-CN"/>
              </w:rPr>
              <w:t>1套</w:t>
            </w:r>
          </w:p>
        </w:tc>
        <w:tc>
          <w:tcPr>
            <w:tcW w:w="3835" w:type="dxa"/>
            <w:vAlign w:val="center"/>
          </w:tcPr>
          <w:p w14:paraId="2CA66D52">
            <w:pPr>
              <w:adjustRightInd w:val="0"/>
              <w:snapToGrid w:val="0"/>
              <w:spacing w:line="240" w:lineRule="atLeast"/>
              <w:jc w:val="center"/>
              <w:textAlignment w:val="baseline"/>
              <w:outlineLvl w:val="3"/>
              <w:rPr>
                <w:rFonts w:hint="eastAsia" w:ascii="宋体" w:hAnsi="宋体" w:eastAsia="宋体" w:cs="宋体"/>
                <w:szCs w:val="21"/>
              </w:rPr>
            </w:pPr>
            <w:r>
              <w:rPr>
                <w:rFonts w:hint="eastAsia" w:ascii="宋体" w:hAnsi="宋体" w:eastAsia="宋体" w:cs="宋体"/>
                <w:szCs w:val="21"/>
              </w:rPr>
              <w:t>包含烟气采样单元、采样复合伴热管线、在线气相色谱分析仪、烟气参数监测子系统（氧含量）、氢气发生器、在线除烃仪、机柜及预处理单元、空压机、标准气体、工控机、监测站房等</w:t>
            </w:r>
          </w:p>
        </w:tc>
        <w:tc>
          <w:tcPr>
            <w:tcW w:w="2402" w:type="dxa"/>
            <w:vAlign w:val="center"/>
          </w:tcPr>
          <w:p w14:paraId="051A3F43">
            <w:pPr>
              <w:pStyle w:val="9"/>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宋体" w:hAnsi="宋体" w:eastAsia="宋体" w:cs="宋体"/>
                <w:b/>
                <w:kern w:val="2"/>
                <w:sz w:val="24"/>
                <w:szCs w:val="24"/>
                <w:lang w:val="en-US"/>
              </w:rPr>
            </w:pPr>
            <w:r>
              <w:rPr>
                <w:rFonts w:hint="eastAsia" w:ascii="宋体" w:hAnsi="宋体" w:eastAsia="宋体" w:cs="宋体"/>
                <w:kern w:val="2"/>
                <w:sz w:val="21"/>
                <w:szCs w:val="21"/>
                <w:lang w:val="en-US" w:eastAsia="zh-CN" w:bidi="ar-SA"/>
              </w:rPr>
              <w:t>本项目可依托的利旧设备有：数采仪、烟气参数监测子系统（温度、压力、流速、湿度）、空调</w:t>
            </w:r>
          </w:p>
        </w:tc>
      </w:tr>
    </w:tbl>
    <w:p w14:paraId="167E78BB">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交货期：</w:t>
      </w:r>
      <w:r>
        <w:rPr>
          <w:rFonts w:hint="eastAsia" w:ascii="宋体" w:hAnsi="宋体" w:eastAsia="宋体" w:cs="宋体"/>
          <w:sz w:val="24"/>
          <w:szCs w:val="24"/>
          <w:highlight w:val="none"/>
        </w:rPr>
        <w:t>合同签订后</w:t>
      </w:r>
      <w:r>
        <w:rPr>
          <w:rFonts w:hint="eastAsia" w:ascii="宋体" w:hAnsi="宋体" w:eastAsia="宋体" w:cs="宋体"/>
          <w:sz w:val="24"/>
          <w:szCs w:val="24"/>
          <w:highlight w:val="none"/>
          <w:lang w:val="en-US" w:eastAsia="zh-CN"/>
        </w:rPr>
        <w:t>90</w:t>
      </w:r>
      <w:r>
        <w:rPr>
          <w:rFonts w:hint="eastAsia" w:ascii="宋体" w:hAnsi="宋体" w:eastAsia="宋体" w:cs="宋体"/>
          <w:sz w:val="24"/>
          <w:szCs w:val="24"/>
          <w:highlight w:val="none"/>
        </w:rPr>
        <w:t>个</w:t>
      </w:r>
      <w:r>
        <w:rPr>
          <w:rFonts w:ascii="宋体" w:hAnsi="宋体" w:eastAsia="宋体" w:cs="宋体"/>
          <w:sz w:val="24"/>
          <w:szCs w:val="24"/>
          <w:highlight w:val="none"/>
        </w:rPr>
        <w:t>日历日</w:t>
      </w:r>
      <w:r>
        <w:rPr>
          <w:rFonts w:hint="eastAsia" w:ascii="宋体" w:hAnsi="宋体" w:eastAsia="宋体" w:cs="宋体"/>
          <w:sz w:val="24"/>
          <w:szCs w:val="24"/>
          <w:highlight w:val="none"/>
        </w:rPr>
        <w:t>(包含设计、制造、运输、安装、调试、试运行、培训等，直至交付使用)；</w:t>
      </w:r>
      <w:r>
        <w:rPr>
          <w:rFonts w:hint="eastAsia" w:ascii="宋体" w:hAnsi="宋体" w:eastAsia="宋体" w:cs="宋体"/>
          <w:sz w:val="24"/>
          <w:szCs w:val="24"/>
          <w:highlight w:val="none"/>
          <w:lang w:val="en-US" w:eastAsia="zh-CN"/>
        </w:rPr>
        <w:t>本项目安装一</w:t>
      </w:r>
      <w:r>
        <w:rPr>
          <w:rFonts w:ascii="宋体" w:hAnsi="宋体" w:eastAsia="宋体" w:cs="宋体"/>
          <w:sz w:val="24"/>
          <w:szCs w:val="24"/>
          <w:highlight w:val="none"/>
        </w:rPr>
        <w:t>套</w:t>
      </w:r>
      <w:r>
        <w:rPr>
          <w:rFonts w:hint="eastAsia" w:ascii="宋体" w:hAnsi="宋体" w:eastAsia="宋体" w:cs="宋体"/>
          <w:sz w:val="24"/>
          <w:szCs w:val="24"/>
          <w:highlight w:val="none"/>
          <w:lang w:val="en-US" w:eastAsia="zh-CN"/>
        </w:rPr>
        <w:t>非甲烷总烃在线设备（位于本项目建设的监测站房内）及配套附属设施，并将可依托的利旧设备及附属设施搬迁至新建的监测站房，集合调试为一整套非甲烷总烃在线监测监控系统</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安装地点重庆汽车公司</w:t>
      </w:r>
      <w:r>
        <w:rPr>
          <w:rFonts w:ascii="宋体" w:hAnsi="宋体" w:eastAsia="宋体" w:cs="宋体"/>
          <w:sz w:val="24"/>
          <w:szCs w:val="24"/>
          <w:highlight w:val="none"/>
        </w:rPr>
        <w:t>。</w:t>
      </w:r>
    </w:p>
    <w:p w14:paraId="69EB5E7E">
      <w:pPr>
        <w:pStyle w:val="4"/>
        <w:snapToGrid w:val="0"/>
        <w:rPr>
          <w:rFonts w:ascii="宋体" w:hAnsi="宋体" w:cs="宋体"/>
          <w:szCs w:val="24"/>
        </w:rPr>
      </w:pPr>
      <w:bookmarkStart w:id="23" w:name="_Toc12697"/>
      <w:r>
        <w:rPr>
          <w:rFonts w:hint="eastAsia" w:ascii="宋体" w:hAnsi="宋体" w:cs="宋体"/>
          <w:szCs w:val="24"/>
        </w:rPr>
        <w:t>二、使用环境与能源供给</w:t>
      </w:r>
      <w:bookmarkEnd w:id="23"/>
    </w:p>
    <w:p w14:paraId="2208C99E">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2.1使用环境</w:t>
      </w:r>
    </w:p>
    <w:p w14:paraId="566A0ACA">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室内环境：温度：0℃～4</w:t>
      </w:r>
      <w:bookmarkStart w:id="24" w:name="_Hlk33180226"/>
      <w:r>
        <w:rPr>
          <w:rFonts w:hint="eastAsia" w:ascii="宋体" w:hAnsi="宋体" w:eastAsia="宋体" w:cs="宋体"/>
          <w:sz w:val="24"/>
          <w:szCs w:val="24"/>
        </w:rPr>
        <w:t>5℃</w:t>
      </w:r>
      <w:bookmarkEnd w:id="24"/>
      <w:r>
        <w:rPr>
          <w:rFonts w:hint="eastAsia" w:ascii="宋体" w:hAnsi="宋体" w:eastAsia="宋体" w:cs="宋体"/>
          <w:sz w:val="24"/>
          <w:szCs w:val="24"/>
        </w:rPr>
        <w:t>，相对湿度：≤95%（非结露环境）</w:t>
      </w:r>
    </w:p>
    <w:p w14:paraId="5EDC0FCF">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室外温度：</w:t>
      </w:r>
      <w:bookmarkStart w:id="25" w:name="_Hlk33180233"/>
      <w:bookmarkStart w:id="26" w:name="_Hlk33180260"/>
      <w:r>
        <w:rPr>
          <w:rFonts w:hint="eastAsia" w:ascii="宋体" w:hAnsi="宋体" w:eastAsia="宋体" w:cs="宋体"/>
          <w:sz w:val="24"/>
          <w:szCs w:val="24"/>
        </w:rPr>
        <w:t>日均最高温度</w:t>
      </w:r>
      <w:r>
        <w:rPr>
          <w:rFonts w:hint="eastAsia" w:ascii="宋体" w:hAnsi="宋体" w:eastAsia="宋体" w:cs="宋体"/>
          <w:sz w:val="24"/>
          <w:szCs w:val="24"/>
          <w:lang w:val="en-US" w:eastAsia="zh-CN"/>
        </w:rPr>
        <w:t>40</w:t>
      </w:r>
      <w:r>
        <w:rPr>
          <w:rFonts w:hint="eastAsia" w:ascii="宋体" w:hAnsi="宋体" w:eastAsia="宋体" w:cs="宋体"/>
          <w:sz w:val="24"/>
          <w:szCs w:val="24"/>
        </w:rPr>
        <w:t>℃</w:t>
      </w:r>
      <w:bookmarkEnd w:id="25"/>
      <w:r>
        <w:rPr>
          <w:rFonts w:hint="eastAsia" w:ascii="宋体" w:hAnsi="宋体" w:eastAsia="宋体" w:cs="宋体"/>
          <w:sz w:val="24"/>
          <w:szCs w:val="24"/>
        </w:rPr>
        <w:t>，日均最低温度</w:t>
      </w:r>
      <w:r>
        <w:rPr>
          <w:rFonts w:hint="eastAsia" w:ascii="宋体" w:hAnsi="宋体" w:eastAsia="宋体" w:cs="宋体"/>
          <w:sz w:val="24"/>
          <w:szCs w:val="24"/>
          <w:lang w:val="en-US" w:eastAsia="zh-CN"/>
        </w:rPr>
        <w:t>4</w:t>
      </w:r>
      <w:r>
        <w:rPr>
          <w:rFonts w:hint="eastAsia" w:ascii="宋体" w:hAnsi="宋体" w:eastAsia="宋体" w:cs="宋体"/>
          <w:sz w:val="24"/>
          <w:szCs w:val="24"/>
        </w:rPr>
        <w:t>℃</w:t>
      </w:r>
    </w:p>
    <w:bookmarkEnd w:id="26"/>
    <w:p w14:paraId="59A20D35">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年极端最高气温</w:t>
      </w:r>
      <w:r>
        <w:rPr>
          <w:rFonts w:hint="eastAsia" w:ascii="宋体" w:hAnsi="宋体" w:eastAsia="宋体" w:cs="宋体"/>
          <w:sz w:val="24"/>
          <w:szCs w:val="24"/>
          <w:lang w:val="en-US" w:eastAsia="zh-CN"/>
        </w:rPr>
        <w:t>44.5</w:t>
      </w:r>
      <w:r>
        <w:rPr>
          <w:rFonts w:hint="eastAsia" w:ascii="宋体" w:hAnsi="宋体" w:eastAsia="宋体" w:cs="宋体"/>
          <w:sz w:val="24"/>
          <w:szCs w:val="24"/>
        </w:rPr>
        <w:t>℃，年极端最低气温-</w:t>
      </w:r>
      <w:r>
        <w:rPr>
          <w:rFonts w:hint="eastAsia" w:ascii="宋体" w:hAnsi="宋体" w:eastAsia="宋体" w:cs="宋体"/>
          <w:sz w:val="24"/>
          <w:szCs w:val="24"/>
          <w:lang w:val="en-US" w:eastAsia="zh-CN"/>
        </w:rPr>
        <w:t>13.2</w:t>
      </w:r>
      <w:r>
        <w:rPr>
          <w:rFonts w:hint="eastAsia" w:ascii="宋体" w:hAnsi="宋体" w:eastAsia="宋体" w:cs="宋体"/>
          <w:sz w:val="24"/>
          <w:szCs w:val="24"/>
        </w:rPr>
        <w:t>℃</w:t>
      </w:r>
    </w:p>
    <w:p w14:paraId="6C9941B8">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年平均气温：</w:t>
      </w:r>
      <w:r>
        <w:rPr>
          <w:rFonts w:hint="eastAsia" w:ascii="宋体" w:hAnsi="宋体" w:eastAsia="宋体" w:cs="宋体"/>
          <w:sz w:val="24"/>
          <w:szCs w:val="24"/>
          <w:lang w:val="en-US" w:eastAsia="zh-CN"/>
        </w:rPr>
        <w:t>17.7</w:t>
      </w:r>
      <w:r>
        <w:rPr>
          <w:rFonts w:hint="eastAsia" w:ascii="宋体" w:hAnsi="宋体" w:eastAsia="宋体" w:cs="宋体"/>
          <w:sz w:val="24"/>
          <w:szCs w:val="24"/>
        </w:rPr>
        <w:t>℃，年平均相对湿度：</w:t>
      </w:r>
      <w:r>
        <w:rPr>
          <w:rFonts w:hint="eastAsia" w:ascii="宋体" w:hAnsi="宋体" w:eastAsia="宋体" w:cs="宋体"/>
          <w:sz w:val="24"/>
          <w:szCs w:val="24"/>
          <w:lang w:val="en-US" w:eastAsia="zh-CN"/>
        </w:rPr>
        <w:t>79.9</w:t>
      </w:r>
      <w:r>
        <w:rPr>
          <w:rFonts w:hint="eastAsia" w:ascii="宋体" w:hAnsi="宋体" w:eastAsia="宋体" w:cs="宋体"/>
          <w:sz w:val="24"/>
          <w:szCs w:val="24"/>
        </w:rPr>
        <w:t>%</w:t>
      </w:r>
    </w:p>
    <w:p w14:paraId="4EDC82F1">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2.2能源供给</w:t>
      </w:r>
    </w:p>
    <w:p w14:paraId="5A3E841B">
      <w:pPr>
        <w:numPr>
          <w:ilvl w:val="-1"/>
          <w:numId w:val="0"/>
        </w:num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电力：中国制式，三相五线制供电，供电电压380V±10%/220V±10%，供电频率50Hz±0.5Hz。</w:t>
      </w:r>
    </w:p>
    <w:p w14:paraId="477CC64E">
      <w:pPr>
        <w:pStyle w:val="4"/>
        <w:rPr>
          <w:rFonts w:ascii="宋体" w:hAnsi="宋体" w:cs="宋体"/>
          <w:sz w:val="30"/>
          <w:szCs w:val="30"/>
        </w:rPr>
      </w:pPr>
      <w:bookmarkStart w:id="27" w:name="_Toc16724"/>
      <w:r>
        <w:rPr>
          <w:rFonts w:hint="eastAsia" w:ascii="宋体" w:hAnsi="宋体" w:cs="宋体"/>
          <w:szCs w:val="24"/>
        </w:rPr>
        <w:t>三、</w:t>
      </w:r>
      <w:r>
        <w:rPr>
          <w:rFonts w:hint="eastAsia" w:ascii="宋体" w:hAnsi="宋体" w:cs="宋体"/>
          <w:sz w:val="30"/>
          <w:szCs w:val="30"/>
        </w:rPr>
        <w:t>技术要求</w:t>
      </w:r>
    </w:p>
    <w:p w14:paraId="1BB68262">
      <w:pPr>
        <w:pStyle w:val="5"/>
        <w:spacing w:before="0" w:after="0" w:line="360" w:lineRule="auto"/>
        <w:rPr>
          <w:rFonts w:ascii="宋体" w:hAnsi="宋体"/>
          <w:sz w:val="28"/>
          <w:szCs w:val="28"/>
        </w:rPr>
      </w:pPr>
      <w:bookmarkStart w:id="28" w:name="_Toc97410282"/>
      <w:r>
        <w:rPr>
          <w:rFonts w:hint="eastAsia" w:ascii="宋体" w:hAnsi="宋体"/>
          <w:sz w:val="28"/>
          <w:szCs w:val="28"/>
        </w:rPr>
        <w:t>3.1系统监测项目</w:t>
      </w:r>
      <w:bookmarkEnd w:id="28"/>
    </w:p>
    <w:p w14:paraId="29F8E0AC">
      <w:pPr>
        <w:pStyle w:val="118"/>
        <w:spacing w:line="360" w:lineRule="auto"/>
        <w:ind w:firstLine="480"/>
        <w:rPr>
          <w:rFonts w:ascii="宋体" w:hAnsi="宋体" w:cs="宋体"/>
          <w:sz w:val="24"/>
        </w:rPr>
      </w:pPr>
      <w:r>
        <w:rPr>
          <w:rFonts w:hint="eastAsia" w:ascii="宋体" w:hAnsi="宋体" w:cs="宋体"/>
          <w:sz w:val="24"/>
        </w:rPr>
        <w:t>测量对象：工业废气</w:t>
      </w:r>
    </w:p>
    <w:p w14:paraId="5E680F88">
      <w:pPr>
        <w:pStyle w:val="118"/>
        <w:spacing w:line="360" w:lineRule="auto"/>
        <w:ind w:firstLine="480"/>
        <w:rPr>
          <w:rFonts w:ascii="宋体" w:hAnsi="宋体" w:cs="宋体"/>
          <w:sz w:val="24"/>
        </w:rPr>
      </w:pPr>
      <w:r>
        <w:rPr>
          <w:rFonts w:hint="eastAsia" w:ascii="宋体" w:hAnsi="宋体" w:cs="宋体"/>
          <w:sz w:val="24"/>
        </w:rPr>
        <w:t>在线监测数量：</w:t>
      </w:r>
      <w:r>
        <w:rPr>
          <w:rFonts w:hint="eastAsia" w:ascii="宋体" w:hAnsi="宋体" w:cs="宋体"/>
          <w:sz w:val="24"/>
          <w:lang w:val="en-US" w:eastAsia="zh-CN"/>
        </w:rPr>
        <w:t>1</w:t>
      </w:r>
      <w:r>
        <w:rPr>
          <w:rFonts w:hint="eastAsia" w:ascii="宋体" w:hAnsi="宋体" w:cs="宋体"/>
          <w:sz w:val="24"/>
        </w:rPr>
        <w:t>套（</w:t>
      </w:r>
      <w:r>
        <w:rPr>
          <w:rFonts w:hint="eastAsia" w:ascii="宋体" w:hAnsi="宋体" w:cs="宋体"/>
          <w:sz w:val="24"/>
          <w:lang w:val="en-US" w:eastAsia="zh-CN"/>
        </w:rPr>
        <w:t>1</w:t>
      </w:r>
      <w:r>
        <w:rPr>
          <w:rFonts w:hint="eastAsia" w:ascii="宋体" w:hAnsi="宋体" w:cs="宋体"/>
          <w:sz w:val="24"/>
        </w:rPr>
        <w:t>个点位）</w:t>
      </w:r>
    </w:p>
    <w:p w14:paraId="59858ED8">
      <w:pPr>
        <w:pStyle w:val="118"/>
        <w:spacing w:line="360" w:lineRule="auto"/>
        <w:ind w:firstLine="480"/>
        <w:rPr>
          <w:rFonts w:ascii="宋体" w:hAnsi="宋体" w:cs="宋体"/>
          <w:sz w:val="24"/>
        </w:rPr>
      </w:pPr>
      <w:r>
        <w:rPr>
          <w:rFonts w:hint="eastAsia" w:ascii="宋体" w:hAnsi="宋体" w:cs="宋体"/>
          <w:sz w:val="24"/>
        </w:rPr>
        <w:t>测量参数：总烃、甲烷、非甲烷总烃、氧含量，分析仪预留检测苯系物等的功能参数。</w:t>
      </w:r>
    </w:p>
    <w:p w14:paraId="2FA91546">
      <w:pPr>
        <w:pStyle w:val="118"/>
        <w:spacing w:line="360" w:lineRule="auto"/>
        <w:ind w:firstLine="480"/>
        <w:rPr>
          <w:rFonts w:ascii="宋体" w:hAnsi="宋体" w:cs="宋体"/>
          <w:sz w:val="24"/>
        </w:rPr>
      </w:pPr>
      <w:bookmarkStart w:id="29" w:name="_Toc97410283"/>
      <w:bookmarkStart w:id="30" w:name="_Toc4255896"/>
      <w:r>
        <w:rPr>
          <w:rFonts w:hint="eastAsia" w:ascii="宋体" w:hAnsi="宋体" w:cs="宋体"/>
          <w:sz w:val="24"/>
        </w:rPr>
        <w:t>测量方法</w:t>
      </w:r>
      <w:bookmarkEnd w:id="29"/>
      <w:bookmarkEnd w:id="30"/>
    </w:p>
    <w:p w14:paraId="3E7BDA6E">
      <w:pPr>
        <w:pStyle w:val="66"/>
        <w:numPr>
          <w:ilvl w:val="0"/>
          <w:numId w:val="32"/>
        </w:numPr>
        <w:spacing w:line="360" w:lineRule="auto"/>
        <w:ind w:firstLine="153" w:firstLineChars="0"/>
        <w:contextualSpacing/>
        <w:rPr>
          <w:rFonts w:ascii="宋体" w:hAnsi="宋体" w:eastAsia="宋体" w:cs="宋体"/>
          <w:sz w:val="24"/>
        </w:rPr>
      </w:pPr>
      <w:r>
        <w:rPr>
          <w:rFonts w:hint="eastAsia" w:ascii="宋体" w:hAnsi="宋体" w:eastAsia="宋体" w:cs="宋体"/>
          <w:sz w:val="24"/>
        </w:rPr>
        <w:t>非甲烷总烃：在线气相色谱法</w:t>
      </w:r>
      <w:r>
        <w:rPr>
          <w:rFonts w:ascii="宋体" w:hAnsi="宋体" w:eastAsia="宋体" w:cs="宋体"/>
          <w:sz w:val="24"/>
        </w:rPr>
        <w:t xml:space="preserve"> FID</w:t>
      </w:r>
    </w:p>
    <w:p w14:paraId="39EE57A4">
      <w:pPr>
        <w:pStyle w:val="66"/>
        <w:numPr>
          <w:ilvl w:val="0"/>
          <w:numId w:val="32"/>
        </w:numPr>
        <w:spacing w:line="360" w:lineRule="auto"/>
        <w:ind w:firstLine="153" w:firstLineChars="0"/>
        <w:contextualSpacing/>
        <w:rPr>
          <w:rFonts w:ascii="宋体" w:hAnsi="宋体" w:eastAsia="宋体" w:cs="宋体"/>
          <w:sz w:val="24"/>
        </w:rPr>
      </w:pPr>
      <w:r>
        <w:rPr>
          <w:rFonts w:hint="eastAsia" w:ascii="宋体" w:hAnsi="宋体" w:eastAsia="宋体" w:cs="宋体"/>
          <w:sz w:val="24"/>
        </w:rPr>
        <w:t>烟气采样器：直接抽取式</w:t>
      </w:r>
      <w:r>
        <w:rPr>
          <w:rFonts w:ascii="宋体" w:hAnsi="宋体" w:eastAsia="宋体" w:cs="宋体"/>
          <w:sz w:val="24"/>
        </w:rPr>
        <w:t>+全热法</w:t>
      </w:r>
    </w:p>
    <w:p w14:paraId="52BA5597">
      <w:pPr>
        <w:pStyle w:val="5"/>
        <w:spacing w:before="0" w:after="0" w:line="360" w:lineRule="auto"/>
        <w:rPr>
          <w:rFonts w:ascii="宋体" w:hAnsi="宋体"/>
          <w:sz w:val="28"/>
          <w:szCs w:val="28"/>
        </w:rPr>
      </w:pPr>
      <w:bookmarkStart w:id="31" w:name="_Toc97410284"/>
      <w:bookmarkStart w:id="32" w:name="_Toc4255897"/>
      <w:r>
        <w:rPr>
          <w:rFonts w:ascii="宋体" w:hAnsi="宋体"/>
          <w:sz w:val="28"/>
          <w:szCs w:val="28"/>
        </w:rPr>
        <w:t xml:space="preserve">3.2 </w:t>
      </w:r>
      <w:r>
        <w:rPr>
          <w:rFonts w:hint="eastAsia" w:ascii="宋体" w:hAnsi="宋体"/>
          <w:sz w:val="28"/>
          <w:szCs w:val="28"/>
        </w:rPr>
        <w:t>系统组成</w:t>
      </w:r>
      <w:bookmarkEnd w:id="31"/>
      <w:bookmarkEnd w:id="32"/>
    </w:p>
    <w:p w14:paraId="18AE9095">
      <w:pPr>
        <w:spacing w:line="360" w:lineRule="auto"/>
        <w:ind w:firstLine="480" w:firstLineChars="200"/>
        <w:rPr>
          <w:rFonts w:ascii="宋体" w:hAnsi="宋体" w:eastAsia="宋体"/>
          <w:sz w:val="24"/>
        </w:rPr>
      </w:pPr>
      <w:r>
        <w:rPr>
          <w:rFonts w:hint="eastAsia" w:ascii="宋体" w:hAnsi="宋体" w:eastAsia="宋体"/>
          <w:sz w:val="24"/>
        </w:rPr>
        <w:t>固定污染源废气</w:t>
      </w:r>
      <w:r>
        <w:rPr>
          <w:rFonts w:hint="eastAsia" w:ascii="宋体" w:hAnsi="宋体" w:eastAsia="宋体"/>
          <w:sz w:val="24"/>
          <w:lang w:val="en-US" w:eastAsia="zh-CN"/>
        </w:rPr>
        <w:t>非甲烷总烃</w:t>
      </w:r>
      <w:r>
        <w:rPr>
          <w:rFonts w:ascii="宋体" w:hAnsi="宋体" w:eastAsia="宋体"/>
          <w:sz w:val="24"/>
        </w:rPr>
        <w:t>在线监测系统包括烟气采样单元、采样复合伴热管线、在线气相色谱分析仪、烟气参数监测子系统（氧含量）、氢气发生器、</w:t>
      </w:r>
      <w:r>
        <w:rPr>
          <w:rFonts w:hint="eastAsia" w:ascii="宋体" w:hAnsi="宋体" w:eastAsia="宋体"/>
          <w:sz w:val="24"/>
        </w:rPr>
        <w:t>在线除烃仪、机柜及预处理单元、空压机、标准气体、工控机、监测站房等。</w:t>
      </w:r>
    </w:p>
    <w:p w14:paraId="4A085D77">
      <w:pPr>
        <w:pStyle w:val="5"/>
        <w:spacing w:before="0" w:after="0" w:line="360" w:lineRule="auto"/>
        <w:rPr>
          <w:rFonts w:ascii="宋体" w:hAnsi="宋体"/>
          <w:sz w:val="28"/>
          <w:szCs w:val="28"/>
        </w:rPr>
      </w:pPr>
      <w:bookmarkStart w:id="33" w:name="_Toc72438648"/>
      <w:bookmarkStart w:id="34" w:name="_Toc24016753"/>
      <w:bookmarkStart w:id="35" w:name="_Toc39052509"/>
      <w:bookmarkStart w:id="36" w:name="_Toc23792847"/>
      <w:bookmarkStart w:id="37" w:name="_Toc24065182"/>
      <w:r>
        <w:rPr>
          <w:rFonts w:ascii="宋体" w:hAnsi="宋体"/>
          <w:sz w:val="28"/>
          <w:szCs w:val="28"/>
        </w:rPr>
        <w:t xml:space="preserve">3.3 </w:t>
      </w:r>
      <w:r>
        <w:rPr>
          <w:rFonts w:hint="eastAsia" w:ascii="宋体" w:hAnsi="宋体"/>
          <w:sz w:val="28"/>
          <w:szCs w:val="28"/>
        </w:rPr>
        <w:t>项目执行标准</w:t>
      </w:r>
      <w:bookmarkEnd w:id="33"/>
      <w:bookmarkEnd w:id="34"/>
      <w:bookmarkEnd w:id="35"/>
      <w:bookmarkEnd w:id="36"/>
      <w:bookmarkEnd w:id="37"/>
    </w:p>
    <w:p w14:paraId="2993F3B2">
      <w:pPr>
        <w:spacing w:line="360" w:lineRule="auto"/>
        <w:ind w:firstLine="482"/>
        <w:rPr>
          <w:rFonts w:ascii="宋体" w:hAnsi="宋体" w:eastAsia="宋体" w:cs="宋体"/>
          <w:sz w:val="24"/>
        </w:rPr>
      </w:pPr>
      <w:r>
        <w:rPr>
          <w:rFonts w:hint="eastAsia" w:ascii="宋体" w:hAnsi="宋体" w:eastAsia="宋体" w:cs="宋体"/>
          <w:sz w:val="24"/>
        </w:rPr>
        <w:t>本系统的设计、制造、验收规范主要按下列标准和技术规范进行：</w:t>
      </w:r>
    </w:p>
    <w:tbl>
      <w:tblPr>
        <w:tblStyle w:val="32"/>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6252"/>
      </w:tblGrid>
      <w:tr w14:paraId="7890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 w:hRule="atLeast"/>
          <w:jc w:val="center"/>
        </w:trPr>
        <w:tc>
          <w:tcPr>
            <w:tcW w:w="2824" w:type="dxa"/>
            <w:vAlign w:val="center"/>
          </w:tcPr>
          <w:p w14:paraId="75130A5E">
            <w:pPr>
              <w:adjustRightInd w:val="0"/>
              <w:snapToGrid w:val="0"/>
              <w:jc w:val="center"/>
              <w:rPr>
                <w:rFonts w:ascii="宋体" w:hAnsi="宋体" w:eastAsia="宋体"/>
                <w:szCs w:val="21"/>
              </w:rPr>
            </w:pPr>
            <w:r>
              <w:rPr>
                <w:rFonts w:hint="eastAsia" w:ascii="宋体" w:hAnsi="宋体" w:eastAsia="宋体"/>
                <w:szCs w:val="21"/>
              </w:rPr>
              <w:t>HJ1286-2023</w:t>
            </w:r>
          </w:p>
        </w:tc>
        <w:tc>
          <w:tcPr>
            <w:tcW w:w="6252" w:type="dxa"/>
            <w:vAlign w:val="center"/>
          </w:tcPr>
          <w:p w14:paraId="108780CD">
            <w:pPr>
              <w:adjustRightInd w:val="0"/>
              <w:snapToGrid w:val="0"/>
              <w:jc w:val="left"/>
              <w:rPr>
                <w:rFonts w:ascii="宋体" w:hAnsi="宋体" w:eastAsia="宋体"/>
                <w:szCs w:val="21"/>
              </w:rPr>
            </w:pPr>
            <w:r>
              <w:rPr>
                <w:rFonts w:hint="eastAsia" w:ascii="宋体" w:hAnsi="宋体" w:eastAsia="宋体"/>
                <w:szCs w:val="21"/>
              </w:rPr>
              <w:t>固定</w:t>
            </w:r>
            <w:r>
              <w:rPr>
                <w:rFonts w:ascii="宋体" w:hAnsi="宋体" w:eastAsia="宋体"/>
                <w:szCs w:val="21"/>
              </w:rPr>
              <w:t>污染源废气</w:t>
            </w:r>
            <w:r>
              <w:rPr>
                <w:rFonts w:hint="eastAsia" w:ascii="宋体" w:hAnsi="宋体" w:eastAsia="宋体"/>
                <w:szCs w:val="21"/>
              </w:rPr>
              <w:t xml:space="preserve"> 非甲烷</w:t>
            </w:r>
            <w:r>
              <w:rPr>
                <w:rFonts w:ascii="宋体" w:hAnsi="宋体" w:eastAsia="宋体"/>
                <w:szCs w:val="21"/>
              </w:rPr>
              <w:t>总烃连续监测技术规范</w:t>
            </w:r>
          </w:p>
        </w:tc>
      </w:tr>
      <w:tr w14:paraId="0943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710AB86A">
            <w:pPr>
              <w:adjustRightInd w:val="0"/>
              <w:snapToGrid w:val="0"/>
              <w:jc w:val="center"/>
              <w:rPr>
                <w:rFonts w:ascii="宋体" w:hAnsi="宋体" w:eastAsia="宋体"/>
                <w:szCs w:val="21"/>
              </w:rPr>
            </w:pPr>
            <w:r>
              <w:rPr>
                <w:rFonts w:hint="eastAsia" w:ascii="宋体" w:hAnsi="宋体" w:eastAsia="宋体"/>
                <w:szCs w:val="21"/>
              </w:rPr>
              <w:t>渝环规〔2023〕4号</w:t>
            </w:r>
          </w:p>
        </w:tc>
        <w:tc>
          <w:tcPr>
            <w:tcW w:w="6252" w:type="dxa"/>
            <w:vAlign w:val="center"/>
          </w:tcPr>
          <w:p w14:paraId="412F57C8">
            <w:pPr>
              <w:adjustRightInd w:val="0"/>
              <w:snapToGrid w:val="0"/>
              <w:jc w:val="left"/>
              <w:rPr>
                <w:rFonts w:ascii="宋体" w:hAnsi="宋体" w:eastAsia="宋体"/>
                <w:szCs w:val="21"/>
              </w:rPr>
            </w:pPr>
            <w:r>
              <w:rPr>
                <w:rFonts w:hint="eastAsia" w:ascii="宋体" w:hAnsi="宋体" w:eastAsia="宋体"/>
                <w:szCs w:val="21"/>
              </w:rPr>
              <w:t>重庆市生态环境局关于印发《重庆市污染源自动监控管理办法》的通知</w:t>
            </w:r>
          </w:p>
        </w:tc>
      </w:tr>
      <w:tr w14:paraId="783B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540BEAF2">
            <w:pPr>
              <w:adjustRightInd w:val="0"/>
              <w:snapToGrid w:val="0"/>
              <w:jc w:val="center"/>
              <w:rPr>
                <w:rFonts w:ascii="宋体" w:hAnsi="宋体" w:eastAsia="宋体"/>
                <w:szCs w:val="21"/>
              </w:rPr>
            </w:pPr>
            <w:r>
              <w:rPr>
                <w:rFonts w:hint="eastAsia" w:ascii="宋体" w:hAnsi="宋体" w:eastAsia="宋体"/>
                <w:szCs w:val="21"/>
              </w:rPr>
              <w:t>环办环监〔</w:t>
            </w:r>
            <w:r>
              <w:rPr>
                <w:rFonts w:ascii="宋体" w:hAnsi="宋体" w:eastAsia="宋体"/>
                <w:szCs w:val="21"/>
              </w:rPr>
              <w:t>2017〕61号</w:t>
            </w:r>
          </w:p>
        </w:tc>
        <w:tc>
          <w:tcPr>
            <w:tcW w:w="6252" w:type="dxa"/>
            <w:vAlign w:val="center"/>
          </w:tcPr>
          <w:p w14:paraId="5E3419FE">
            <w:pPr>
              <w:adjustRightInd w:val="0"/>
              <w:snapToGrid w:val="0"/>
              <w:jc w:val="left"/>
              <w:rPr>
                <w:rFonts w:ascii="宋体" w:hAnsi="宋体" w:eastAsia="宋体"/>
                <w:szCs w:val="21"/>
              </w:rPr>
            </w:pPr>
            <w:r>
              <w:rPr>
                <w:rFonts w:hint="eastAsia" w:ascii="宋体" w:hAnsi="宋体" w:eastAsia="宋体"/>
                <w:szCs w:val="21"/>
              </w:rPr>
              <w:t>《关于加快重点行业重点地区重点排污单位自动监控工作的通知》</w:t>
            </w:r>
          </w:p>
        </w:tc>
      </w:tr>
      <w:tr w14:paraId="4D92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504986FF">
            <w:pPr>
              <w:adjustRightInd w:val="0"/>
              <w:snapToGrid w:val="0"/>
              <w:jc w:val="center"/>
              <w:rPr>
                <w:rFonts w:ascii="宋体" w:hAnsi="宋体" w:eastAsia="宋体"/>
                <w:szCs w:val="21"/>
              </w:rPr>
            </w:pPr>
            <w:r>
              <w:rPr>
                <w:rFonts w:hint="eastAsia" w:ascii="宋体" w:hAnsi="宋体" w:eastAsia="宋体"/>
                <w:szCs w:val="21"/>
              </w:rPr>
              <w:t>环办监测函〔</w:t>
            </w:r>
            <w:r>
              <w:rPr>
                <w:rFonts w:ascii="宋体" w:hAnsi="宋体" w:eastAsia="宋体"/>
                <w:szCs w:val="21"/>
              </w:rPr>
              <w:t>2020〕90号</w:t>
            </w:r>
          </w:p>
        </w:tc>
        <w:tc>
          <w:tcPr>
            <w:tcW w:w="6252" w:type="dxa"/>
            <w:vAlign w:val="center"/>
          </w:tcPr>
          <w:p w14:paraId="44A39E89">
            <w:pPr>
              <w:adjustRightInd w:val="0"/>
              <w:snapToGrid w:val="0"/>
              <w:jc w:val="left"/>
              <w:rPr>
                <w:rFonts w:ascii="宋体" w:hAnsi="宋体" w:eastAsia="宋体"/>
                <w:szCs w:val="21"/>
              </w:rPr>
            </w:pPr>
            <w:r>
              <w:rPr>
                <w:rFonts w:hint="eastAsia" w:ascii="宋体" w:hAnsi="宋体" w:eastAsia="宋体"/>
                <w:szCs w:val="21"/>
              </w:rPr>
              <w:t>关于印发《固定污染源废气中非甲烷总烃排放连续监测技术指南（试行）</w:t>
            </w:r>
            <w:r>
              <w:rPr>
                <w:rFonts w:ascii="宋体" w:hAnsi="宋体" w:eastAsia="宋体"/>
                <w:szCs w:val="21"/>
              </w:rPr>
              <w:t>&gt;</w:t>
            </w:r>
            <w:r>
              <w:rPr>
                <w:rFonts w:hint="eastAsia" w:ascii="宋体" w:hAnsi="宋体" w:eastAsia="宋体"/>
                <w:szCs w:val="21"/>
              </w:rPr>
              <w:t>的通知》</w:t>
            </w:r>
          </w:p>
        </w:tc>
      </w:tr>
      <w:tr w14:paraId="6228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00F8DD1E">
            <w:pPr>
              <w:adjustRightInd w:val="0"/>
              <w:snapToGrid w:val="0"/>
              <w:jc w:val="center"/>
              <w:rPr>
                <w:rFonts w:ascii="宋体" w:hAnsi="宋体" w:eastAsia="宋体"/>
                <w:szCs w:val="21"/>
              </w:rPr>
            </w:pPr>
            <w:r>
              <w:rPr>
                <w:rFonts w:ascii="宋体" w:hAnsi="宋体" w:eastAsia="宋体"/>
                <w:color w:val="000000"/>
                <w:szCs w:val="21"/>
              </w:rPr>
              <w:t>DB37/2801.5/2017</w:t>
            </w:r>
          </w:p>
        </w:tc>
        <w:tc>
          <w:tcPr>
            <w:tcW w:w="6252" w:type="dxa"/>
            <w:vAlign w:val="center"/>
          </w:tcPr>
          <w:p w14:paraId="05A90B5F">
            <w:pPr>
              <w:adjustRightInd w:val="0"/>
              <w:snapToGrid w:val="0"/>
              <w:jc w:val="left"/>
              <w:rPr>
                <w:rFonts w:ascii="宋体" w:hAnsi="宋体" w:eastAsia="宋体"/>
                <w:szCs w:val="21"/>
              </w:rPr>
            </w:pPr>
            <w:r>
              <w:rPr>
                <w:rFonts w:hint="eastAsia" w:ascii="宋体" w:hAnsi="宋体" w:eastAsia="宋体"/>
                <w:color w:val="000000"/>
                <w:szCs w:val="21"/>
              </w:rPr>
              <w:t>《挥发性有机物排放标准</w:t>
            </w:r>
            <w:r>
              <w:rPr>
                <w:rFonts w:ascii="宋体" w:hAnsi="宋体" w:eastAsia="宋体"/>
                <w:color w:val="000000"/>
                <w:szCs w:val="21"/>
              </w:rPr>
              <w:t xml:space="preserve"> </w:t>
            </w:r>
            <w:r>
              <w:rPr>
                <w:rFonts w:hint="eastAsia" w:ascii="宋体" w:hAnsi="宋体" w:eastAsia="宋体"/>
                <w:color w:val="000000"/>
                <w:szCs w:val="21"/>
              </w:rPr>
              <w:t>第五部分：表面涂装行业》</w:t>
            </w:r>
          </w:p>
        </w:tc>
      </w:tr>
      <w:tr w14:paraId="1DF4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4C1154A3">
            <w:pPr>
              <w:adjustRightInd w:val="0"/>
              <w:snapToGrid w:val="0"/>
              <w:jc w:val="center"/>
              <w:rPr>
                <w:rFonts w:ascii="宋体" w:hAnsi="宋体" w:eastAsia="宋体"/>
                <w:szCs w:val="21"/>
              </w:rPr>
            </w:pPr>
            <w:r>
              <w:rPr>
                <w:rFonts w:ascii="宋体" w:hAnsi="宋体" w:eastAsia="宋体"/>
                <w:szCs w:val="21"/>
              </w:rPr>
              <w:t>HJ75-2017</w:t>
            </w:r>
          </w:p>
        </w:tc>
        <w:tc>
          <w:tcPr>
            <w:tcW w:w="6252" w:type="dxa"/>
            <w:vAlign w:val="center"/>
          </w:tcPr>
          <w:p w14:paraId="2C1E7BA4">
            <w:pPr>
              <w:adjustRightInd w:val="0"/>
              <w:snapToGrid w:val="0"/>
              <w:jc w:val="left"/>
              <w:rPr>
                <w:rFonts w:ascii="宋体" w:hAnsi="宋体" w:eastAsia="宋体"/>
                <w:szCs w:val="21"/>
              </w:rPr>
            </w:pPr>
            <w:r>
              <w:rPr>
                <w:rFonts w:hint="eastAsia" w:ascii="宋体" w:hAnsi="宋体" w:eastAsia="宋体"/>
                <w:szCs w:val="21"/>
              </w:rPr>
              <w:t>《固定污染源烟气</w:t>
            </w:r>
            <w:r>
              <w:rPr>
                <w:rFonts w:ascii="宋体" w:hAnsi="宋体" w:eastAsia="宋体"/>
                <w:szCs w:val="21"/>
              </w:rPr>
              <w:t>(SO2</w:t>
            </w:r>
            <w:r>
              <w:rPr>
                <w:rFonts w:hint="eastAsia" w:ascii="宋体" w:hAnsi="宋体" w:eastAsia="宋体"/>
                <w:szCs w:val="21"/>
              </w:rPr>
              <w:t>、</w:t>
            </w:r>
            <w:r>
              <w:rPr>
                <w:rFonts w:ascii="宋体" w:hAnsi="宋体" w:eastAsia="宋体"/>
                <w:szCs w:val="21"/>
              </w:rPr>
              <w:t>NOX</w:t>
            </w:r>
            <w:r>
              <w:rPr>
                <w:rFonts w:hint="eastAsia" w:ascii="宋体" w:hAnsi="宋体" w:eastAsia="宋体"/>
                <w:szCs w:val="21"/>
              </w:rPr>
              <w:t>、颗粒物</w:t>
            </w:r>
            <w:r>
              <w:rPr>
                <w:rFonts w:ascii="宋体" w:hAnsi="宋体" w:eastAsia="宋体"/>
                <w:szCs w:val="21"/>
              </w:rPr>
              <w:t>)排放连续监测技术规范》</w:t>
            </w:r>
          </w:p>
        </w:tc>
      </w:tr>
      <w:tr w14:paraId="4993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2530119E">
            <w:pPr>
              <w:adjustRightInd w:val="0"/>
              <w:snapToGrid w:val="0"/>
              <w:jc w:val="center"/>
              <w:rPr>
                <w:rFonts w:ascii="宋体" w:hAnsi="宋体" w:eastAsia="宋体"/>
                <w:szCs w:val="21"/>
              </w:rPr>
            </w:pPr>
            <w:r>
              <w:rPr>
                <w:rFonts w:ascii="宋体" w:hAnsi="宋体" w:eastAsia="宋体"/>
                <w:szCs w:val="21"/>
              </w:rPr>
              <w:t>HJ76-2017</w:t>
            </w:r>
          </w:p>
        </w:tc>
        <w:tc>
          <w:tcPr>
            <w:tcW w:w="6252" w:type="dxa"/>
            <w:vAlign w:val="center"/>
          </w:tcPr>
          <w:p w14:paraId="4CBA62AF">
            <w:pPr>
              <w:adjustRightInd w:val="0"/>
              <w:snapToGrid w:val="0"/>
              <w:jc w:val="left"/>
              <w:rPr>
                <w:rFonts w:ascii="宋体" w:hAnsi="宋体" w:eastAsia="宋体"/>
                <w:szCs w:val="21"/>
              </w:rPr>
            </w:pPr>
            <w:r>
              <w:rPr>
                <w:rFonts w:hint="eastAsia" w:ascii="宋体" w:hAnsi="宋体" w:eastAsia="宋体"/>
                <w:szCs w:val="21"/>
              </w:rPr>
              <w:t>《固定污染源烟气</w:t>
            </w:r>
            <w:r>
              <w:rPr>
                <w:rFonts w:ascii="宋体" w:hAnsi="宋体" w:eastAsia="宋体"/>
                <w:szCs w:val="21"/>
              </w:rPr>
              <w:t>(SO2</w:t>
            </w:r>
            <w:r>
              <w:rPr>
                <w:rFonts w:hint="eastAsia" w:ascii="宋体" w:hAnsi="宋体" w:eastAsia="宋体"/>
                <w:szCs w:val="21"/>
              </w:rPr>
              <w:t>、</w:t>
            </w:r>
            <w:r>
              <w:rPr>
                <w:rFonts w:ascii="宋体" w:hAnsi="宋体" w:eastAsia="宋体"/>
                <w:szCs w:val="21"/>
              </w:rPr>
              <w:t>NOX</w:t>
            </w:r>
            <w:r>
              <w:rPr>
                <w:rFonts w:hint="eastAsia" w:ascii="宋体" w:hAnsi="宋体" w:eastAsia="宋体"/>
                <w:szCs w:val="21"/>
              </w:rPr>
              <w:t>、颗粒物</w:t>
            </w:r>
            <w:r>
              <w:rPr>
                <w:rFonts w:ascii="宋体" w:hAnsi="宋体" w:eastAsia="宋体"/>
                <w:szCs w:val="21"/>
              </w:rPr>
              <w:t>)排放连续监测系统技术要求及检测方法》</w:t>
            </w:r>
          </w:p>
        </w:tc>
      </w:tr>
      <w:tr w14:paraId="4958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824" w:type="dxa"/>
            <w:vAlign w:val="center"/>
          </w:tcPr>
          <w:p w14:paraId="1C3A0320">
            <w:pPr>
              <w:adjustRightInd w:val="0"/>
              <w:snapToGrid w:val="0"/>
              <w:jc w:val="center"/>
              <w:rPr>
                <w:rFonts w:ascii="宋体" w:hAnsi="宋体" w:eastAsia="宋体"/>
                <w:szCs w:val="21"/>
              </w:rPr>
            </w:pPr>
            <w:r>
              <w:rPr>
                <w:rFonts w:ascii="宋体" w:hAnsi="宋体" w:eastAsia="宋体"/>
                <w:szCs w:val="21"/>
              </w:rPr>
              <w:t>HJ38-2017</w:t>
            </w:r>
          </w:p>
        </w:tc>
        <w:tc>
          <w:tcPr>
            <w:tcW w:w="6252" w:type="dxa"/>
            <w:vAlign w:val="center"/>
          </w:tcPr>
          <w:p w14:paraId="416F6E2B">
            <w:pPr>
              <w:adjustRightInd w:val="0"/>
              <w:snapToGrid w:val="0"/>
              <w:jc w:val="left"/>
              <w:rPr>
                <w:rFonts w:ascii="宋体" w:hAnsi="宋体" w:eastAsia="宋体"/>
                <w:szCs w:val="21"/>
              </w:rPr>
            </w:pPr>
            <w:r>
              <w:rPr>
                <w:rFonts w:hint="eastAsia" w:ascii="宋体" w:hAnsi="宋体" w:eastAsia="宋体"/>
                <w:szCs w:val="21"/>
              </w:rPr>
              <w:t>《固定污染源废气</w:t>
            </w:r>
            <w:r>
              <w:rPr>
                <w:rFonts w:ascii="宋体" w:hAnsi="宋体" w:eastAsia="宋体"/>
                <w:szCs w:val="21"/>
              </w:rPr>
              <w:t xml:space="preserve"> </w:t>
            </w:r>
            <w:r>
              <w:rPr>
                <w:rFonts w:hint="eastAsia" w:ascii="宋体" w:hAnsi="宋体" w:eastAsia="宋体"/>
                <w:szCs w:val="21"/>
              </w:rPr>
              <w:t>总烃、甲烷和非甲烷总烃的测定</w:t>
            </w:r>
            <w:r>
              <w:rPr>
                <w:rFonts w:ascii="宋体" w:hAnsi="宋体" w:eastAsia="宋体"/>
                <w:szCs w:val="21"/>
              </w:rPr>
              <w:t xml:space="preserve"> </w:t>
            </w:r>
            <w:r>
              <w:rPr>
                <w:rFonts w:hint="eastAsia" w:ascii="宋体" w:hAnsi="宋体" w:eastAsia="宋体"/>
                <w:szCs w:val="21"/>
              </w:rPr>
              <w:t>气相色谱法》</w:t>
            </w:r>
          </w:p>
        </w:tc>
      </w:tr>
      <w:tr w14:paraId="7245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0678E18E">
            <w:pPr>
              <w:adjustRightInd w:val="0"/>
              <w:snapToGrid w:val="0"/>
              <w:jc w:val="center"/>
              <w:rPr>
                <w:rFonts w:ascii="宋体" w:hAnsi="宋体" w:eastAsia="宋体"/>
                <w:szCs w:val="21"/>
              </w:rPr>
            </w:pPr>
            <w:r>
              <w:rPr>
                <w:rFonts w:ascii="宋体" w:hAnsi="宋体" w:eastAsia="宋体"/>
                <w:szCs w:val="21"/>
              </w:rPr>
              <w:t>HJ1013-2018</w:t>
            </w:r>
          </w:p>
        </w:tc>
        <w:tc>
          <w:tcPr>
            <w:tcW w:w="6252" w:type="dxa"/>
            <w:vAlign w:val="center"/>
          </w:tcPr>
          <w:p w14:paraId="1917D8A3">
            <w:pPr>
              <w:adjustRightInd w:val="0"/>
              <w:snapToGrid w:val="0"/>
              <w:jc w:val="left"/>
              <w:rPr>
                <w:rFonts w:ascii="宋体" w:hAnsi="宋体" w:eastAsia="宋体"/>
                <w:szCs w:val="21"/>
              </w:rPr>
            </w:pPr>
            <w:r>
              <w:rPr>
                <w:rFonts w:hint="eastAsia" w:ascii="宋体" w:hAnsi="宋体" w:eastAsia="宋体"/>
                <w:szCs w:val="21"/>
              </w:rPr>
              <w:t>《固定污染源废气非甲烷总烃连续监测系统技术要求及检测方法》</w:t>
            </w:r>
          </w:p>
        </w:tc>
      </w:tr>
      <w:tr w14:paraId="3685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824" w:type="dxa"/>
            <w:vAlign w:val="center"/>
          </w:tcPr>
          <w:p w14:paraId="2F226276">
            <w:pPr>
              <w:adjustRightInd w:val="0"/>
              <w:snapToGrid w:val="0"/>
              <w:jc w:val="center"/>
              <w:rPr>
                <w:rFonts w:ascii="宋体" w:hAnsi="宋体" w:eastAsia="宋体"/>
                <w:szCs w:val="21"/>
              </w:rPr>
            </w:pPr>
            <w:r>
              <w:rPr>
                <w:rFonts w:ascii="宋体" w:hAnsi="宋体" w:eastAsia="宋体"/>
                <w:szCs w:val="21"/>
              </w:rPr>
              <w:t>DB 37/T 3535—2019</w:t>
            </w:r>
          </w:p>
        </w:tc>
        <w:tc>
          <w:tcPr>
            <w:tcW w:w="6252" w:type="dxa"/>
            <w:vAlign w:val="center"/>
          </w:tcPr>
          <w:p w14:paraId="2D5189A6">
            <w:pPr>
              <w:adjustRightInd w:val="0"/>
              <w:snapToGrid w:val="0"/>
              <w:jc w:val="left"/>
              <w:rPr>
                <w:rFonts w:ascii="宋体" w:hAnsi="宋体" w:eastAsia="宋体"/>
                <w:szCs w:val="21"/>
              </w:rPr>
            </w:pPr>
            <w:r>
              <w:rPr>
                <w:rFonts w:hint="eastAsia" w:ascii="宋体" w:hAnsi="宋体" w:eastAsia="宋体"/>
                <w:szCs w:val="21"/>
              </w:rPr>
              <w:t>《固定污染源废气监测点位设置技术规范》</w:t>
            </w:r>
          </w:p>
        </w:tc>
      </w:tr>
      <w:tr w14:paraId="537A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5905E89C">
            <w:pPr>
              <w:adjustRightInd w:val="0"/>
              <w:snapToGrid w:val="0"/>
              <w:jc w:val="center"/>
              <w:rPr>
                <w:rFonts w:ascii="宋体" w:hAnsi="宋体" w:eastAsia="宋体"/>
                <w:szCs w:val="21"/>
              </w:rPr>
            </w:pPr>
            <w:r>
              <w:rPr>
                <w:rFonts w:ascii="宋体" w:hAnsi="宋体" w:eastAsia="宋体"/>
                <w:szCs w:val="21"/>
              </w:rPr>
              <w:t>GB/T15157-1996</w:t>
            </w:r>
          </w:p>
        </w:tc>
        <w:tc>
          <w:tcPr>
            <w:tcW w:w="6252" w:type="dxa"/>
            <w:vAlign w:val="center"/>
          </w:tcPr>
          <w:p w14:paraId="082F8BFB">
            <w:pPr>
              <w:adjustRightInd w:val="0"/>
              <w:snapToGrid w:val="0"/>
              <w:jc w:val="left"/>
              <w:rPr>
                <w:rFonts w:ascii="宋体" w:hAnsi="宋体" w:eastAsia="宋体"/>
                <w:szCs w:val="21"/>
              </w:rPr>
            </w:pPr>
            <w:r>
              <w:rPr>
                <w:rFonts w:hint="eastAsia" w:ascii="宋体" w:hAnsi="宋体" w:eastAsia="宋体"/>
                <w:szCs w:val="21"/>
              </w:rPr>
              <w:t>《固定污染源排气中颗粒物测定与气态污染物采样方法》</w:t>
            </w:r>
          </w:p>
        </w:tc>
      </w:tr>
      <w:tr w14:paraId="2782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11844175">
            <w:pPr>
              <w:adjustRightInd w:val="0"/>
              <w:snapToGrid w:val="0"/>
              <w:jc w:val="center"/>
              <w:rPr>
                <w:rFonts w:ascii="宋体" w:hAnsi="宋体" w:eastAsia="宋体"/>
                <w:szCs w:val="21"/>
              </w:rPr>
            </w:pPr>
            <w:r>
              <w:rPr>
                <w:rFonts w:ascii="宋体" w:hAnsi="宋体" w:eastAsia="宋体"/>
                <w:szCs w:val="21"/>
              </w:rPr>
              <w:t>T/CAEPI 11-2017</w:t>
            </w:r>
          </w:p>
        </w:tc>
        <w:tc>
          <w:tcPr>
            <w:tcW w:w="6252" w:type="dxa"/>
            <w:vAlign w:val="center"/>
          </w:tcPr>
          <w:p w14:paraId="355F008A">
            <w:pPr>
              <w:adjustRightInd w:val="0"/>
              <w:snapToGrid w:val="0"/>
              <w:jc w:val="left"/>
              <w:rPr>
                <w:rFonts w:ascii="宋体" w:hAnsi="宋体" w:eastAsia="宋体"/>
                <w:szCs w:val="21"/>
              </w:rPr>
            </w:pPr>
            <w:r>
              <w:rPr>
                <w:rFonts w:hint="eastAsia" w:ascii="宋体" w:hAnsi="宋体" w:eastAsia="宋体"/>
                <w:color w:val="000000"/>
                <w:szCs w:val="21"/>
              </w:rPr>
              <w:t>《固定污染源自动监控（监测）系统现场端建设技术规范》</w:t>
            </w:r>
          </w:p>
        </w:tc>
      </w:tr>
      <w:tr w14:paraId="2C1D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54AC9109">
            <w:pPr>
              <w:adjustRightInd w:val="0"/>
              <w:snapToGrid w:val="0"/>
              <w:jc w:val="center"/>
              <w:rPr>
                <w:rFonts w:ascii="宋体" w:hAnsi="宋体" w:eastAsia="宋体"/>
                <w:szCs w:val="21"/>
              </w:rPr>
            </w:pPr>
            <w:r>
              <w:rPr>
                <w:rFonts w:ascii="宋体" w:hAnsi="宋体" w:eastAsia="宋体"/>
                <w:szCs w:val="21"/>
              </w:rPr>
              <w:t>HJ/T 212</w:t>
            </w:r>
          </w:p>
        </w:tc>
        <w:tc>
          <w:tcPr>
            <w:tcW w:w="6252" w:type="dxa"/>
            <w:vAlign w:val="center"/>
          </w:tcPr>
          <w:p w14:paraId="7B812BE0">
            <w:pPr>
              <w:jc w:val="left"/>
              <w:rPr>
                <w:rFonts w:ascii="宋体" w:hAnsi="宋体" w:eastAsia="宋体"/>
                <w:color w:val="000000"/>
                <w:szCs w:val="21"/>
              </w:rPr>
            </w:pPr>
            <w:r>
              <w:rPr>
                <w:rFonts w:hint="eastAsia" w:ascii="宋体" w:hAnsi="宋体" w:eastAsia="宋体"/>
                <w:color w:val="000000"/>
                <w:szCs w:val="21"/>
              </w:rPr>
              <w:t>《污染物在线监控（监测）系统数据传输标准》</w:t>
            </w:r>
          </w:p>
        </w:tc>
      </w:tr>
      <w:tr w14:paraId="32D6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824" w:type="dxa"/>
            <w:vAlign w:val="center"/>
          </w:tcPr>
          <w:p w14:paraId="7F1DA89B">
            <w:pPr>
              <w:adjustRightInd w:val="0"/>
              <w:snapToGrid w:val="0"/>
              <w:jc w:val="center"/>
              <w:rPr>
                <w:rFonts w:ascii="宋体" w:hAnsi="宋体" w:eastAsia="宋体"/>
                <w:szCs w:val="21"/>
              </w:rPr>
            </w:pPr>
            <w:r>
              <w:rPr>
                <w:rFonts w:ascii="宋体" w:hAnsi="宋体" w:eastAsia="宋体"/>
                <w:szCs w:val="21"/>
              </w:rPr>
              <w:t>HJ 477</w:t>
            </w:r>
          </w:p>
        </w:tc>
        <w:tc>
          <w:tcPr>
            <w:tcW w:w="6252" w:type="dxa"/>
            <w:vAlign w:val="center"/>
          </w:tcPr>
          <w:p w14:paraId="135A66F4">
            <w:pPr>
              <w:spacing w:line="340" w:lineRule="exact"/>
              <w:jc w:val="left"/>
              <w:rPr>
                <w:rFonts w:ascii="宋体" w:hAnsi="宋体" w:eastAsia="宋体" w:cs="AdobeHeitiStd-Regular"/>
                <w:kern w:val="0"/>
                <w:szCs w:val="21"/>
              </w:rPr>
            </w:pPr>
            <w:r>
              <w:rPr>
                <w:rFonts w:hint="eastAsia" w:ascii="宋体" w:hAnsi="宋体" w:eastAsia="宋体" w:cs="AdobeHeitiStd-Regular"/>
                <w:kern w:val="0"/>
                <w:szCs w:val="21"/>
              </w:rPr>
              <w:t>《污染源在线自动监控（监测）数据采集传输仪技术要求》</w:t>
            </w:r>
          </w:p>
        </w:tc>
      </w:tr>
      <w:tr w14:paraId="523C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4" w:type="dxa"/>
            <w:vAlign w:val="center"/>
          </w:tcPr>
          <w:p w14:paraId="57D95E99">
            <w:pPr>
              <w:adjustRightInd w:val="0"/>
              <w:snapToGrid w:val="0"/>
              <w:jc w:val="center"/>
              <w:rPr>
                <w:rFonts w:ascii="宋体" w:hAnsi="宋体" w:eastAsia="宋体"/>
                <w:szCs w:val="21"/>
              </w:rPr>
            </w:pPr>
            <w:r>
              <w:rPr>
                <w:rFonts w:ascii="宋体" w:hAnsi="宋体" w:eastAsia="宋体"/>
                <w:szCs w:val="21"/>
              </w:rPr>
              <w:t>DB37/T</w:t>
            </w:r>
          </w:p>
        </w:tc>
        <w:tc>
          <w:tcPr>
            <w:tcW w:w="6252" w:type="dxa"/>
            <w:vAlign w:val="center"/>
          </w:tcPr>
          <w:p w14:paraId="126FB2FB">
            <w:pPr>
              <w:adjustRightInd w:val="0"/>
              <w:snapToGrid w:val="0"/>
              <w:jc w:val="left"/>
              <w:rPr>
                <w:rFonts w:ascii="宋体" w:hAnsi="宋体" w:eastAsia="宋体"/>
                <w:szCs w:val="21"/>
              </w:rPr>
            </w:pPr>
            <w:r>
              <w:rPr>
                <w:rFonts w:hint="eastAsia" w:ascii="宋体" w:hAnsi="宋体" w:eastAsia="宋体"/>
                <w:szCs w:val="21"/>
              </w:rPr>
              <w:t>《固定污染源烟气在线监测系统运行维护技术规范》</w:t>
            </w:r>
          </w:p>
        </w:tc>
      </w:tr>
      <w:tr w14:paraId="54E4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824" w:type="dxa"/>
            <w:vAlign w:val="center"/>
          </w:tcPr>
          <w:p w14:paraId="07637207">
            <w:pPr>
              <w:adjustRightInd w:val="0"/>
              <w:snapToGrid w:val="0"/>
              <w:jc w:val="center"/>
              <w:rPr>
                <w:rFonts w:ascii="宋体" w:hAnsi="宋体" w:eastAsia="宋体"/>
                <w:szCs w:val="21"/>
              </w:rPr>
            </w:pPr>
            <w:r>
              <w:rPr>
                <w:rFonts w:ascii="宋体" w:hAnsi="宋体" w:eastAsia="宋体"/>
                <w:szCs w:val="21"/>
              </w:rPr>
              <w:t>HJ 477-2009</w:t>
            </w:r>
          </w:p>
        </w:tc>
        <w:tc>
          <w:tcPr>
            <w:tcW w:w="6252" w:type="dxa"/>
            <w:vAlign w:val="center"/>
          </w:tcPr>
          <w:p w14:paraId="5C8436AC">
            <w:pPr>
              <w:adjustRightInd w:val="0"/>
              <w:snapToGrid w:val="0"/>
              <w:jc w:val="left"/>
              <w:rPr>
                <w:rFonts w:ascii="宋体" w:hAnsi="宋体" w:eastAsia="宋体"/>
                <w:szCs w:val="21"/>
              </w:rPr>
            </w:pPr>
            <w:r>
              <w:rPr>
                <w:rFonts w:hint="eastAsia" w:ascii="宋体" w:hAnsi="宋体" w:eastAsia="宋体"/>
                <w:szCs w:val="21"/>
              </w:rPr>
              <w:t>《</w:t>
            </w:r>
            <w:r>
              <w:rPr>
                <w:rFonts w:ascii="宋体" w:hAnsi="宋体" w:eastAsia="宋体"/>
                <w:szCs w:val="21"/>
              </w:rPr>
              <w:t>污染源在线自动监控（监测）数据采集仪技术要求</w:t>
            </w:r>
            <w:r>
              <w:rPr>
                <w:rFonts w:hint="eastAsia" w:ascii="宋体" w:hAnsi="宋体" w:eastAsia="宋体"/>
                <w:szCs w:val="21"/>
              </w:rPr>
              <w:t>》</w:t>
            </w:r>
          </w:p>
        </w:tc>
      </w:tr>
      <w:tr w14:paraId="7A9F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824" w:type="dxa"/>
            <w:vAlign w:val="center"/>
          </w:tcPr>
          <w:p w14:paraId="5B6BE1BD">
            <w:pPr>
              <w:adjustRightInd w:val="0"/>
              <w:snapToGrid w:val="0"/>
              <w:jc w:val="center"/>
              <w:rPr>
                <w:rFonts w:ascii="宋体" w:hAnsi="宋体" w:eastAsia="宋体"/>
                <w:szCs w:val="21"/>
              </w:rPr>
            </w:pPr>
            <w:r>
              <w:rPr>
                <w:rFonts w:ascii="宋体" w:hAnsi="宋体" w:eastAsia="宋体"/>
                <w:szCs w:val="21"/>
              </w:rPr>
              <w:t>GB15297</w:t>
            </w:r>
          </w:p>
        </w:tc>
        <w:tc>
          <w:tcPr>
            <w:tcW w:w="6252" w:type="dxa"/>
            <w:vAlign w:val="center"/>
          </w:tcPr>
          <w:p w14:paraId="4E0CB646">
            <w:pPr>
              <w:adjustRightInd w:val="0"/>
              <w:snapToGrid w:val="0"/>
              <w:jc w:val="left"/>
              <w:rPr>
                <w:rFonts w:ascii="宋体" w:hAnsi="宋体" w:eastAsia="宋体"/>
                <w:szCs w:val="21"/>
              </w:rPr>
            </w:pPr>
            <w:r>
              <w:rPr>
                <w:rFonts w:hint="eastAsia" w:ascii="宋体" w:hAnsi="宋体" w:eastAsia="宋体"/>
                <w:szCs w:val="21"/>
              </w:rPr>
              <w:t>《大气污染物综合排放标准》</w:t>
            </w:r>
          </w:p>
        </w:tc>
      </w:tr>
      <w:tr w14:paraId="2B4D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824" w:type="dxa"/>
            <w:vAlign w:val="center"/>
          </w:tcPr>
          <w:p w14:paraId="20AB656E">
            <w:pPr>
              <w:adjustRightInd w:val="0"/>
              <w:snapToGrid w:val="0"/>
              <w:jc w:val="center"/>
              <w:rPr>
                <w:rFonts w:ascii="宋体" w:hAnsi="宋体" w:eastAsia="宋体"/>
                <w:szCs w:val="21"/>
              </w:rPr>
            </w:pPr>
            <w:r>
              <w:rPr>
                <w:rFonts w:hint="eastAsia" w:ascii="宋体" w:hAnsi="宋体" w:eastAsia="宋体"/>
                <w:szCs w:val="21"/>
              </w:rPr>
              <w:t>DB 50／577-2015</w:t>
            </w:r>
          </w:p>
        </w:tc>
        <w:tc>
          <w:tcPr>
            <w:tcW w:w="6252" w:type="dxa"/>
            <w:vAlign w:val="center"/>
          </w:tcPr>
          <w:p w14:paraId="0E537E49">
            <w:pPr>
              <w:adjustRightInd w:val="0"/>
              <w:snapToGrid w:val="0"/>
              <w:jc w:val="left"/>
              <w:rPr>
                <w:rFonts w:ascii="宋体" w:hAnsi="宋体" w:eastAsia="宋体"/>
                <w:szCs w:val="21"/>
              </w:rPr>
            </w:pPr>
            <w:r>
              <w:rPr>
                <w:rFonts w:hint="eastAsia" w:ascii="宋体" w:hAnsi="宋体" w:eastAsia="宋体"/>
                <w:szCs w:val="21"/>
              </w:rPr>
              <w:t>《汽车整车制造表面涂装大气污染物排放标准（DB 50／577-2015）》</w:t>
            </w:r>
          </w:p>
        </w:tc>
      </w:tr>
      <w:tr w14:paraId="2364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4" w:type="dxa"/>
            <w:vAlign w:val="center"/>
          </w:tcPr>
          <w:p w14:paraId="7741B435">
            <w:pPr>
              <w:adjustRightInd w:val="0"/>
              <w:snapToGrid w:val="0"/>
              <w:jc w:val="center"/>
              <w:rPr>
                <w:rFonts w:ascii="宋体" w:hAnsi="宋体" w:eastAsia="宋体"/>
                <w:szCs w:val="21"/>
              </w:rPr>
            </w:pPr>
            <w:r>
              <w:rPr>
                <w:rFonts w:ascii="宋体" w:hAnsi="宋体" w:eastAsia="宋体"/>
                <w:szCs w:val="21"/>
              </w:rPr>
              <w:t>GB50093</w:t>
            </w:r>
          </w:p>
        </w:tc>
        <w:tc>
          <w:tcPr>
            <w:tcW w:w="6252" w:type="dxa"/>
            <w:vAlign w:val="center"/>
          </w:tcPr>
          <w:p w14:paraId="0F6D6F22">
            <w:pPr>
              <w:adjustRightInd w:val="0"/>
              <w:snapToGrid w:val="0"/>
              <w:jc w:val="left"/>
              <w:rPr>
                <w:rFonts w:ascii="宋体" w:hAnsi="宋体" w:eastAsia="宋体"/>
                <w:szCs w:val="21"/>
              </w:rPr>
            </w:pPr>
            <w:r>
              <w:rPr>
                <w:rFonts w:hint="eastAsia" w:ascii="宋体" w:hAnsi="宋体" w:eastAsia="宋体"/>
                <w:szCs w:val="21"/>
              </w:rPr>
              <w:t>《自动化仪表工程施工及验收规范》</w:t>
            </w:r>
          </w:p>
        </w:tc>
      </w:tr>
      <w:tr w14:paraId="5BDA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824" w:type="dxa"/>
            <w:vAlign w:val="center"/>
          </w:tcPr>
          <w:p w14:paraId="0E71B609">
            <w:pPr>
              <w:adjustRightInd w:val="0"/>
              <w:snapToGrid w:val="0"/>
              <w:jc w:val="center"/>
              <w:rPr>
                <w:rFonts w:ascii="宋体" w:hAnsi="宋体" w:eastAsia="宋体"/>
                <w:szCs w:val="21"/>
              </w:rPr>
            </w:pPr>
            <w:r>
              <w:rPr>
                <w:rFonts w:ascii="宋体" w:hAnsi="宋体" w:eastAsia="宋体"/>
                <w:szCs w:val="21"/>
              </w:rPr>
              <w:t>HJ/T 47—1999</w:t>
            </w:r>
          </w:p>
        </w:tc>
        <w:tc>
          <w:tcPr>
            <w:tcW w:w="6252" w:type="dxa"/>
            <w:vAlign w:val="center"/>
          </w:tcPr>
          <w:p w14:paraId="1377811C">
            <w:pPr>
              <w:adjustRightInd w:val="0"/>
              <w:snapToGrid w:val="0"/>
              <w:jc w:val="left"/>
              <w:rPr>
                <w:rFonts w:ascii="宋体" w:hAnsi="宋体" w:eastAsia="宋体"/>
                <w:szCs w:val="21"/>
              </w:rPr>
            </w:pPr>
            <w:r>
              <w:rPr>
                <w:rFonts w:hint="eastAsia" w:ascii="宋体" w:hAnsi="宋体" w:eastAsia="宋体"/>
                <w:szCs w:val="21"/>
              </w:rPr>
              <w:t>《烟气采样器技术条件》</w:t>
            </w:r>
          </w:p>
        </w:tc>
      </w:tr>
      <w:tr w14:paraId="12D7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824" w:type="dxa"/>
            <w:vAlign w:val="center"/>
          </w:tcPr>
          <w:p w14:paraId="3813D942">
            <w:pPr>
              <w:adjustRightInd w:val="0"/>
              <w:snapToGrid w:val="0"/>
              <w:jc w:val="center"/>
              <w:rPr>
                <w:rFonts w:ascii="宋体" w:hAnsi="宋体" w:eastAsia="宋体"/>
                <w:szCs w:val="21"/>
              </w:rPr>
            </w:pPr>
            <w:r>
              <w:rPr>
                <w:rFonts w:ascii="宋体" w:hAnsi="宋体" w:eastAsia="宋体"/>
                <w:szCs w:val="21"/>
              </w:rPr>
              <w:t>GB15562.1-1995</w:t>
            </w:r>
          </w:p>
        </w:tc>
        <w:tc>
          <w:tcPr>
            <w:tcW w:w="6252" w:type="dxa"/>
            <w:vAlign w:val="center"/>
          </w:tcPr>
          <w:p w14:paraId="1C08277C">
            <w:pPr>
              <w:adjustRightInd w:val="0"/>
              <w:snapToGrid w:val="0"/>
              <w:jc w:val="left"/>
              <w:rPr>
                <w:rFonts w:ascii="宋体" w:hAnsi="宋体" w:eastAsia="宋体"/>
                <w:szCs w:val="21"/>
              </w:rPr>
            </w:pPr>
            <w:r>
              <w:rPr>
                <w:rFonts w:hint="eastAsia" w:ascii="宋体" w:hAnsi="宋体" w:eastAsia="宋体"/>
                <w:color w:val="000000"/>
                <w:szCs w:val="21"/>
              </w:rPr>
              <w:t>《环境保护图形标志</w:t>
            </w:r>
            <w:r>
              <w:rPr>
                <w:rFonts w:ascii="宋体" w:hAnsi="宋体" w:eastAsia="宋体"/>
                <w:color w:val="000000"/>
                <w:szCs w:val="21"/>
              </w:rPr>
              <w:t>--排放口（源）》</w:t>
            </w:r>
          </w:p>
        </w:tc>
      </w:tr>
      <w:tr w14:paraId="0A5A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23E51363">
            <w:pPr>
              <w:adjustRightInd w:val="0"/>
              <w:snapToGrid w:val="0"/>
              <w:jc w:val="center"/>
              <w:rPr>
                <w:rFonts w:ascii="宋体" w:hAnsi="宋体" w:eastAsia="宋体"/>
                <w:szCs w:val="21"/>
              </w:rPr>
            </w:pPr>
            <w:r>
              <w:rPr>
                <w:rFonts w:ascii="宋体" w:hAnsi="宋体" w:eastAsia="宋体"/>
                <w:szCs w:val="21"/>
              </w:rPr>
              <w:t>HJ/T 352-2007</w:t>
            </w:r>
          </w:p>
        </w:tc>
        <w:tc>
          <w:tcPr>
            <w:tcW w:w="6252" w:type="dxa"/>
            <w:vAlign w:val="center"/>
          </w:tcPr>
          <w:p w14:paraId="6E5AF159">
            <w:pPr>
              <w:adjustRightInd w:val="0"/>
              <w:snapToGrid w:val="0"/>
              <w:jc w:val="left"/>
              <w:rPr>
                <w:rFonts w:ascii="宋体" w:hAnsi="宋体" w:eastAsia="宋体"/>
                <w:szCs w:val="21"/>
              </w:rPr>
            </w:pPr>
            <w:r>
              <w:rPr>
                <w:rFonts w:hint="eastAsia" w:ascii="宋体" w:hAnsi="宋体" w:eastAsia="宋体"/>
                <w:szCs w:val="21"/>
              </w:rPr>
              <w:t>《环境污染源自动监控信息传输、交换技术规范》</w:t>
            </w:r>
          </w:p>
        </w:tc>
      </w:tr>
      <w:tr w14:paraId="77D2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18FEFFC8">
            <w:pPr>
              <w:adjustRightInd w:val="0"/>
              <w:snapToGrid w:val="0"/>
              <w:jc w:val="center"/>
              <w:rPr>
                <w:rFonts w:ascii="宋体" w:hAnsi="宋体" w:eastAsia="宋体"/>
                <w:szCs w:val="21"/>
              </w:rPr>
            </w:pPr>
            <w:r>
              <w:rPr>
                <w:rFonts w:ascii="宋体" w:hAnsi="宋体" w:eastAsia="宋体"/>
                <w:szCs w:val="21"/>
              </w:rPr>
              <w:t>HJ/T 373-2007</w:t>
            </w:r>
          </w:p>
        </w:tc>
        <w:tc>
          <w:tcPr>
            <w:tcW w:w="6252" w:type="dxa"/>
            <w:vAlign w:val="center"/>
          </w:tcPr>
          <w:p w14:paraId="25AD477F">
            <w:pPr>
              <w:adjustRightInd w:val="0"/>
              <w:snapToGrid w:val="0"/>
              <w:jc w:val="left"/>
              <w:rPr>
                <w:rFonts w:ascii="宋体" w:hAnsi="宋体" w:eastAsia="宋体"/>
                <w:szCs w:val="21"/>
              </w:rPr>
            </w:pPr>
            <w:r>
              <w:rPr>
                <w:rFonts w:hint="eastAsia" w:ascii="宋体" w:hAnsi="宋体" w:eastAsia="宋体"/>
                <w:szCs w:val="21"/>
              </w:rPr>
              <w:t>《固定污染源监测质量保证与质量控制技术规范（试行）》</w:t>
            </w:r>
          </w:p>
        </w:tc>
      </w:tr>
      <w:tr w14:paraId="0B92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46E80672">
            <w:pPr>
              <w:adjustRightInd w:val="0"/>
              <w:snapToGrid w:val="0"/>
              <w:jc w:val="center"/>
              <w:rPr>
                <w:rFonts w:ascii="宋体" w:hAnsi="宋体" w:eastAsia="宋体"/>
                <w:szCs w:val="21"/>
              </w:rPr>
            </w:pPr>
            <w:r>
              <w:rPr>
                <w:rFonts w:ascii="宋体" w:hAnsi="宋体" w:eastAsia="宋体"/>
                <w:szCs w:val="21"/>
              </w:rPr>
              <w:t>HJ/T 397-2007</w:t>
            </w:r>
          </w:p>
        </w:tc>
        <w:tc>
          <w:tcPr>
            <w:tcW w:w="6252" w:type="dxa"/>
            <w:vAlign w:val="center"/>
          </w:tcPr>
          <w:p w14:paraId="4F5D3111">
            <w:pPr>
              <w:adjustRightInd w:val="0"/>
              <w:snapToGrid w:val="0"/>
              <w:jc w:val="left"/>
              <w:rPr>
                <w:rFonts w:ascii="宋体" w:hAnsi="宋体" w:eastAsia="宋体"/>
                <w:szCs w:val="21"/>
              </w:rPr>
            </w:pPr>
            <w:r>
              <w:rPr>
                <w:rFonts w:hint="eastAsia" w:ascii="宋体" w:hAnsi="宋体" w:eastAsia="宋体"/>
                <w:szCs w:val="21"/>
              </w:rPr>
              <w:t>《固定源废气监测技术规范》</w:t>
            </w:r>
          </w:p>
        </w:tc>
      </w:tr>
      <w:tr w14:paraId="27C4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737B64D9">
            <w:pPr>
              <w:adjustRightInd w:val="0"/>
              <w:snapToGrid w:val="0"/>
              <w:jc w:val="center"/>
              <w:rPr>
                <w:rFonts w:ascii="宋体" w:hAnsi="宋体" w:eastAsia="宋体"/>
                <w:szCs w:val="21"/>
              </w:rPr>
            </w:pPr>
            <w:r>
              <w:rPr>
                <w:rFonts w:ascii="宋体" w:hAnsi="宋体" w:eastAsia="宋体"/>
                <w:szCs w:val="21"/>
              </w:rPr>
              <w:t>GB 3095</w:t>
            </w:r>
          </w:p>
        </w:tc>
        <w:tc>
          <w:tcPr>
            <w:tcW w:w="6252" w:type="dxa"/>
            <w:vAlign w:val="center"/>
          </w:tcPr>
          <w:p w14:paraId="7FB2ECCA">
            <w:pPr>
              <w:adjustRightInd w:val="0"/>
              <w:snapToGrid w:val="0"/>
              <w:jc w:val="left"/>
              <w:rPr>
                <w:rFonts w:ascii="宋体" w:hAnsi="宋体" w:eastAsia="宋体"/>
                <w:szCs w:val="21"/>
              </w:rPr>
            </w:pPr>
            <w:r>
              <w:rPr>
                <w:rFonts w:hint="eastAsia" w:ascii="宋体" w:hAnsi="宋体" w:eastAsia="宋体"/>
                <w:szCs w:val="21"/>
              </w:rPr>
              <w:t>《环境空气质量标准》</w:t>
            </w:r>
          </w:p>
        </w:tc>
      </w:tr>
      <w:tr w14:paraId="3006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73350A7F">
            <w:pPr>
              <w:adjustRightInd w:val="0"/>
              <w:snapToGrid w:val="0"/>
              <w:jc w:val="center"/>
              <w:rPr>
                <w:rFonts w:ascii="宋体" w:hAnsi="宋体" w:eastAsia="宋体"/>
                <w:szCs w:val="21"/>
              </w:rPr>
            </w:pPr>
            <w:r>
              <w:rPr>
                <w:rFonts w:ascii="宋体" w:hAnsi="宋体" w:eastAsia="宋体"/>
                <w:szCs w:val="21"/>
              </w:rPr>
              <w:t>GB 12519</w:t>
            </w:r>
          </w:p>
        </w:tc>
        <w:tc>
          <w:tcPr>
            <w:tcW w:w="6252" w:type="dxa"/>
            <w:vAlign w:val="center"/>
          </w:tcPr>
          <w:p w14:paraId="49F25EC1">
            <w:pPr>
              <w:adjustRightInd w:val="0"/>
              <w:snapToGrid w:val="0"/>
              <w:jc w:val="left"/>
              <w:rPr>
                <w:rFonts w:ascii="宋体" w:hAnsi="宋体" w:eastAsia="宋体"/>
                <w:szCs w:val="21"/>
              </w:rPr>
            </w:pPr>
            <w:r>
              <w:rPr>
                <w:rFonts w:hint="eastAsia" w:ascii="宋体" w:hAnsi="宋体" w:eastAsia="宋体"/>
                <w:szCs w:val="21"/>
              </w:rPr>
              <w:t>《分析仪器通用技术条件》</w:t>
            </w:r>
          </w:p>
        </w:tc>
      </w:tr>
      <w:tr w14:paraId="1722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45497A06">
            <w:pPr>
              <w:adjustRightInd w:val="0"/>
              <w:snapToGrid w:val="0"/>
              <w:jc w:val="center"/>
              <w:rPr>
                <w:rFonts w:ascii="宋体" w:hAnsi="宋体" w:eastAsia="宋体"/>
                <w:szCs w:val="21"/>
              </w:rPr>
            </w:pPr>
            <w:r>
              <w:rPr>
                <w:rFonts w:ascii="宋体" w:hAnsi="宋体" w:eastAsia="宋体"/>
                <w:szCs w:val="21"/>
              </w:rPr>
              <w:t>GB50017-2003</w:t>
            </w:r>
          </w:p>
        </w:tc>
        <w:tc>
          <w:tcPr>
            <w:tcW w:w="6252" w:type="dxa"/>
            <w:vAlign w:val="center"/>
          </w:tcPr>
          <w:p w14:paraId="53BFCDAC">
            <w:pPr>
              <w:adjustRightInd w:val="0"/>
              <w:snapToGrid w:val="0"/>
              <w:jc w:val="left"/>
              <w:rPr>
                <w:rFonts w:ascii="宋体" w:hAnsi="宋体" w:eastAsia="宋体"/>
                <w:szCs w:val="21"/>
              </w:rPr>
            </w:pPr>
            <w:r>
              <w:rPr>
                <w:rFonts w:hint="eastAsia" w:ascii="宋体" w:hAnsi="宋体" w:eastAsia="宋体"/>
                <w:szCs w:val="21"/>
              </w:rPr>
              <w:t>《钢结构设计规范》</w:t>
            </w:r>
          </w:p>
        </w:tc>
      </w:tr>
      <w:tr w14:paraId="29B3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550F2486">
            <w:pPr>
              <w:adjustRightInd w:val="0"/>
              <w:snapToGrid w:val="0"/>
              <w:jc w:val="center"/>
              <w:rPr>
                <w:rFonts w:ascii="宋体" w:hAnsi="宋体" w:eastAsia="宋体"/>
                <w:szCs w:val="21"/>
              </w:rPr>
            </w:pPr>
            <w:r>
              <w:rPr>
                <w:rFonts w:ascii="宋体" w:hAnsi="宋体" w:eastAsia="宋体"/>
                <w:szCs w:val="21"/>
              </w:rPr>
              <w:t>GB50007-2011</w:t>
            </w:r>
          </w:p>
        </w:tc>
        <w:tc>
          <w:tcPr>
            <w:tcW w:w="6252" w:type="dxa"/>
            <w:vAlign w:val="center"/>
          </w:tcPr>
          <w:p w14:paraId="1C68B6A8">
            <w:pPr>
              <w:adjustRightInd w:val="0"/>
              <w:snapToGrid w:val="0"/>
              <w:jc w:val="left"/>
              <w:rPr>
                <w:rFonts w:ascii="宋体" w:hAnsi="宋体" w:eastAsia="宋体"/>
                <w:szCs w:val="21"/>
              </w:rPr>
            </w:pPr>
            <w:r>
              <w:rPr>
                <w:rFonts w:hint="eastAsia" w:ascii="宋体" w:hAnsi="宋体" w:eastAsia="宋体"/>
                <w:szCs w:val="21"/>
              </w:rPr>
              <w:t>《建筑地基基础设计规范》</w:t>
            </w:r>
          </w:p>
        </w:tc>
      </w:tr>
      <w:tr w14:paraId="6FB7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11241FFB">
            <w:pPr>
              <w:adjustRightInd w:val="0"/>
              <w:snapToGrid w:val="0"/>
              <w:jc w:val="center"/>
              <w:rPr>
                <w:rFonts w:ascii="宋体" w:hAnsi="宋体" w:eastAsia="宋体"/>
                <w:szCs w:val="21"/>
              </w:rPr>
            </w:pPr>
            <w:r>
              <w:rPr>
                <w:rFonts w:ascii="宋体" w:hAnsi="宋体" w:eastAsia="宋体"/>
                <w:szCs w:val="21"/>
              </w:rPr>
              <w:t>JGJ181-2002</w:t>
            </w:r>
          </w:p>
        </w:tc>
        <w:tc>
          <w:tcPr>
            <w:tcW w:w="6252" w:type="dxa"/>
            <w:vAlign w:val="center"/>
          </w:tcPr>
          <w:p w14:paraId="32538390">
            <w:pPr>
              <w:adjustRightInd w:val="0"/>
              <w:snapToGrid w:val="0"/>
              <w:jc w:val="left"/>
              <w:rPr>
                <w:rFonts w:ascii="宋体" w:hAnsi="宋体" w:eastAsia="宋体"/>
                <w:szCs w:val="21"/>
              </w:rPr>
            </w:pPr>
            <w:r>
              <w:rPr>
                <w:rFonts w:hint="eastAsia" w:ascii="宋体" w:hAnsi="宋体" w:eastAsia="宋体"/>
                <w:szCs w:val="21"/>
              </w:rPr>
              <w:t>《建筑钢结构焊接规程》</w:t>
            </w:r>
          </w:p>
        </w:tc>
      </w:tr>
      <w:tr w14:paraId="7669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691D8AA7">
            <w:pPr>
              <w:adjustRightInd w:val="0"/>
              <w:snapToGrid w:val="0"/>
              <w:jc w:val="center"/>
              <w:rPr>
                <w:rFonts w:ascii="宋体" w:hAnsi="宋体" w:eastAsia="宋体"/>
                <w:szCs w:val="21"/>
              </w:rPr>
            </w:pPr>
            <w:r>
              <w:rPr>
                <w:rFonts w:ascii="宋体" w:hAnsi="宋体" w:eastAsia="宋体"/>
                <w:szCs w:val="21"/>
              </w:rPr>
              <w:t>02J401</w:t>
            </w:r>
          </w:p>
        </w:tc>
        <w:tc>
          <w:tcPr>
            <w:tcW w:w="6252" w:type="dxa"/>
            <w:vAlign w:val="center"/>
          </w:tcPr>
          <w:p w14:paraId="63846363">
            <w:pPr>
              <w:adjustRightInd w:val="0"/>
              <w:snapToGrid w:val="0"/>
              <w:jc w:val="left"/>
              <w:rPr>
                <w:rFonts w:ascii="宋体" w:hAnsi="宋体" w:eastAsia="宋体"/>
                <w:szCs w:val="21"/>
              </w:rPr>
            </w:pPr>
            <w:r>
              <w:rPr>
                <w:rFonts w:hint="eastAsia" w:ascii="宋体" w:hAnsi="宋体" w:eastAsia="宋体"/>
                <w:szCs w:val="21"/>
              </w:rPr>
              <w:t>《钢梯标准设计图集》</w:t>
            </w:r>
          </w:p>
        </w:tc>
      </w:tr>
      <w:tr w14:paraId="3413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609DBA0A">
            <w:pPr>
              <w:adjustRightInd w:val="0"/>
              <w:snapToGrid w:val="0"/>
              <w:jc w:val="center"/>
              <w:rPr>
                <w:rFonts w:ascii="宋体" w:hAnsi="宋体" w:eastAsia="宋体"/>
                <w:szCs w:val="21"/>
              </w:rPr>
            </w:pPr>
            <w:r>
              <w:rPr>
                <w:rFonts w:ascii="宋体" w:hAnsi="宋体" w:eastAsia="宋体"/>
                <w:szCs w:val="21"/>
              </w:rPr>
              <w:t>GB/T31255-2014</w:t>
            </w:r>
          </w:p>
        </w:tc>
        <w:tc>
          <w:tcPr>
            <w:tcW w:w="6252" w:type="dxa"/>
            <w:vAlign w:val="center"/>
          </w:tcPr>
          <w:p w14:paraId="26B26004">
            <w:pPr>
              <w:adjustRightInd w:val="0"/>
              <w:snapToGrid w:val="0"/>
              <w:jc w:val="left"/>
              <w:rPr>
                <w:rFonts w:ascii="宋体" w:hAnsi="宋体" w:eastAsia="宋体"/>
                <w:szCs w:val="21"/>
              </w:rPr>
            </w:pPr>
            <w:r>
              <w:rPr>
                <w:rFonts w:hint="eastAsia" w:ascii="宋体" w:hAnsi="宋体" w:eastAsia="宋体"/>
                <w:szCs w:val="21"/>
              </w:rPr>
              <w:t>《机械安全工业楼梯工作平台和通道的安全设计规范》</w:t>
            </w:r>
          </w:p>
        </w:tc>
      </w:tr>
    </w:tbl>
    <w:p w14:paraId="3F416B25">
      <w:pPr>
        <w:pStyle w:val="5"/>
        <w:spacing w:before="0" w:after="0" w:line="360" w:lineRule="auto"/>
        <w:rPr>
          <w:rFonts w:ascii="宋体" w:hAnsi="宋体"/>
          <w:sz w:val="28"/>
          <w:szCs w:val="28"/>
        </w:rPr>
      </w:pPr>
      <w:r>
        <w:rPr>
          <w:rFonts w:ascii="宋体" w:hAnsi="宋体"/>
          <w:sz w:val="28"/>
          <w:szCs w:val="28"/>
        </w:rPr>
        <w:t xml:space="preserve">3.4 </w:t>
      </w:r>
      <w:r>
        <w:rPr>
          <w:rFonts w:hint="eastAsia" w:ascii="宋体" w:hAnsi="宋体"/>
          <w:sz w:val="28"/>
          <w:szCs w:val="28"/>
        </w:rPr>
        <w:t>系统设备技术要求</w:t>
      </w:r>
    </w:p>
    <w:p w14:paraId="72FB44E1">
      <w:pPr>
        <w:pStyle w:val="41"/>
        <w:spacing w:line="360" w:lineRule="auto"/>
        <w:ind w:firstLine="422"/>
        <w:outlineLvl w:val="3"/>
        <w:rPr>
          <w:rFonts w:ascii="宋体" w:hAnsi="宋体" w:eastAsia="宋体" w:cs="FZZD Extra JW"/>
          <w:b/>
        </w:rPr>
      </w:pPr>
      <w:r>
        <w:rPr>
          <w:rFonts w:ascii="宋体" w:hAnsi="宋体" w:eastAsia="宋体" w:cs="FZZD Extra JW"/>
          <w:b/>
        </w:rPr>
        <w:t xml:space="preserve">3.4.1 </w:t>
      </w:r>
      <w:r>
        <w:rPr>
          <w:rFonts w:hint="eastAsia" w:ascii="宋体" w:hAnsi="宋体" w:eastAsia="宋体" w:cs="FZZD Extra JW"/>
          <w:b/>
        </w:rPr>
        <w:t>烟气采样器</w:t>
      </w:r>
    </w:p>
    <w:p w14:paraId="680965F3">
      <w:pPr>
        <w:spacing w:line="360" w:lineRule="auto"/>
        <w:ind w:firstLine="480" w:firstLineChars="200"/>
        <w:rPr>
          <w:rFonts w:ascii="宋体" w:hAnsi="宋体" w:eastAsia="宋体" w:cs="宋体"/>
          <w:sz w:val="24"/>
        </w:rPr>
      </w:pPr>
      <w:r>
        <w:rPr>
          <w:rFonts w:hint="eastAsia" w:ascii="宋体" w:hAnsi="宋体" w:eastAsia="宋体" w:cs="宋体"/>
          <w:sz w:val="24"/>
        </w:rPr>
        <w:t>烟气采样器系统由采样单元、加热单元、过滤单元和反吹单元共同组成，适合在各种高温、高湿、高油气环境中进行烟气采样。</w:t>
      </w:r>
    </w:p>
    <w:p w14:paraId="7A8A9A2D">
      <w:pPr>
        <w:spacing w:line="360" w:lineRule="auto"/>
        <w:ind w:firstLine="480" w:firstLineChars="200"/>
        <w:rPr>
          <w:rFonts w:ascii="宋体" w:hAnsi="宋体" w:eastAsia="宋体" w:cs="宋体"/>
          <w:sz w:val="24"/>
        </w:rPr>
      </w:pPr>
      <w:r>
        <w:rPr>
          <w:rFonts w:hint="eastAsia" w:ascii="宋体" w:hAnsi="宋体" w:eastAsia="宋体" w:cs="宋体"/>
          <w:sz w:val="24"/>
        </w:rPr>
        <w:t>从烟气采样探头、伴热管线、预处理系统全程</w:t>
      </w:r>
      <w:r>
        <w:rPr>
          <w:rFonts w:ascii="宋体" w:hAnsi="宋体" w:eastAsia="宋体" w:cs="宋体"/>
          <w:sz w:val="24"/>
        </w:rPr>
        <w:t>120</w:t>
      </w:r>
      <w:r>
        <w:rPr>
          <w:rFonts w:hint="eastAsia" w:ascii="宋体" w:hAnsi="宋体" w:eastAsia="宋体" w:cs="宋体"/>
          <w:sz w:val="24"/>
          <w:lang w:val="en-US" w:eastAsia="zh-CN"/>
        </w:rPr>
        <w:t>℃</w:t>
      </w:r>
      <w:r>
        <w:rPr>
          <w:rFonts w:hint="eastAsia" w:ascii="宋体" w:hAnsi="宋体" w:eastAsia="宋体" w:cs="宋体"/>
          <w:sz w:val="24"/>
        </w:rPr>
        <w:t>以上伴热，以保证烟气的温度一直高于烟气中所有有机成分的露点温度，烟气在传输的过程中不会结露，进入分析仪后的气体成分和烟筒里面一致。</w:t>
      </w:r>
    </w:p>
    <w:p w14:paraId="04C4CF47">
      <w:pPr>
        <w:spacing w:line="360" w:lineRule="auto"/>
        <w:ind w:firstLine="480" w:firstLineChars="200"/>
        <w:rPr>
          <w:rFonts w:hint="eastAsia" w:ascii="宋体" w:hAnsi="宋体" w:eastAsia="宋体" w:cs="宋体"/>
          <w:sz w:val="24"/>
        </w:rPr>
      </w:pPr>
      <w:r>
        <w:rPr>
          <w:rFonts w:hint="eastAsia" w:ascii="宋体" w:hAnsi="宋体" w:eastAsia="宋体" w:cs="宋体"/>
          <w:sz w:val="24"/>
        </w:rPr>
        <w:t>加热单元，被测样气在取样过程中样气始终处于高温状态下，使样气中的水汽不在过滤器中发生冷凝，从而改善了过滤器的工作条件。</w:t>
      </w:r>
    </w:p>
    <w:p w14:paraId="364EA174">
      <w:pPr>
        <w:spacing w:line="360" w:lineRule="auto"/>
        <w:ind w:firstLine="480" w:firstLineChars="200"/>
        <w:rPr>
          <w:rFonts w:ascii="宋体" w:hAnsi="宋体" w:eastAsia="宋体" w:cs="宋体"/>
          <w:sz w:val="24"/>
        </w:rPr>
      </w:pPr>
      <w:r>
        <w:rPr>
          <w:rFonts w:hint="eastAsia" w:ascii="宋体" w:hAnsi="宋体" w:eastAsia="宋体" w:cs="宋体"/>
          <w:sz w:val="24"/>
        </w:rPr>
        <w:t>采样单元，烟气采样器是具有全程标定功能的产品，在采样的时候，样气从采样探头经过伴热管线进入预处理系统，在标定的时候，系统标气从探头经过伴热管线进入预处理系统，在反吹的时候，反吹气体吹扫探头及过滤器，把附着在采样管、探头、过滤器上的粉尘吹回烟道。</w:t>
      </w:r>
    </w:p>
    <w:p w14:paraId="10909F1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样品采集与传输装置预热时间不大于半小时。</w:t>
      </w:r>
    </w:p>
    <w:p w14:paraId="6BBAC5B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反吹控制，烟气采样器设有反吹口，具有反吹功能。反吹采用</w:t>
      </w:r>
      <w:r>
        <w:rPr>
          <w:rFonts w:ascii="宋体" w:hAnsi="宋体" w:eastAsia="宋体" w:cs="宋体"/>
          <w:sz w:val="24"/>
          <w:highlight w:val="none"/>
        </w:rPr>
        <w:t>0.4～0.6MPa洁净无油的压缩空气吹扫附在过滤器外表面的浮尘，将其吹扫回烟道内。</w:t>
      </w:r>
    </w:p>
    <w:p w14:paraId="16988293">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highlight w:val="none"/>
        </w:rPr>
        <w:t>样品采集装置应具备颗粒物过滤功能。其采样设备的前端或后端应具备便于更换或清洗的颗粒物过滤器，过滤器滤料的材质</w:t>
      </w:r>
      <w:r>
        <w:rPr>
          <w:rFonts w:hint="eastAsia" w:ascii="宋体" w:hAnsi="宋体" w:eastAsia="宋体" w:cs="宋体"/>
          <w:sz w:val="24"/>
        </w:rPr>
        <w:t>应采用不吸附和不与气态污染物发生反应的材质</w:t>
      </w:r>
      <w:r>
        <w:rPr>
          <w:rFonts w:ascii="宋体" w:hAnsi="宋体" w:eastAsia="宋体" w:cs="宋体"/>
          <w:sz w:val="24"/>
        </w:rPr>
        <w:t>。</w:t>
      </w:r>
    </w:p>
    <w:p w14:paraId="5458F04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采样泵应具备克服烟道负压的足够抽气能力，并保障采样流量准确可靠、相对稳定。</w:t>
      </w:r>
    </w:p>
    <w:p w14:paraId="3D42A20E">
      <w:pPr>
        <w:pStyle w:val="41"/>
        <w:spacing w:line="360" w:lineRule="auto"/>
        <w:ind w:firstLine="422"/>
        <w:outlineLvl w:val="3"/>
        <w:rPr>
          <w:rFonts w:ascii="宋体" w:hAnsi="宋体" w:eastAsia="宋体" w:cs="FZZD Extra JW"/>
          <w:b/>
        </w:rPr>
      </w:pPr>
      <w:r>
        <w:rPr>
          <w:rFonts w:ascii="宋体" w:hAnsi="宋体" w:eastAsia="宋体" w:cs="FZZD Extra JW"/>
          <w:b/>
        </w:rPr>
        <w:t xml:space="preserve">3.4.2 </w:t>
      </w:r>
      <w:r>
        <w:rPr>
          <w:rFonts w:hint="eastAsia" w:ascii="宋体" w:hAnsi="宋体" w:eastAsia="宋体" w:cs="FZZD Extra JW"/>
          <w:b/>
        </w:rPr>
        <w:t>采样复合伴热管线</w:t>
      </w:r>
    </w:p>
    <w:p w14:paraId="3154690D">
      <w:pPr>
        <w:spacing w:line="360" w:lineRule="auto"/>
        <w:ind w:firstLine="525" w:firstLineChars="0"/>
        <w:rPr>
          <w:rFonts w:ascii="宋体" w:hAnsi="宋体" w:eastAsia="宋体" w:cs="宋体"/>
          <w:sz w:val="24"/>
        </w:rPr>
      </w:pPr>
      <w:r>
        <w:rPr>
          <w:rFonts w:hint="eastAsia" w:ascii="宋体" w:hAnsi="宋体" w:eastAsia="宋体" w:cs="宋体"/>
          <w:sz w:val="24"/>
        </w:rPr>
        <w:t>采样气体通过伴热管输送到烟气处理单元</w:t>
      </w:r>
      <w:r>
        <w:rPr>
          <w:rFonts w:ascii="宋体" w:hAnsi="宋体" w:eastAsia="宋体" w:cs="宋体"/>
          <w:sz w:val="24"/>
        </w:rPr>
        <w:t>。烟气在采样管内不会结露，确保采样器与监测系统连续、正确地采集样气。</w:t>
      </w:r>
      <w:r>
        <w:rPr>
          <w:rFonts w:hint="eastAsia" w:ascii="宋体" w:hAnsi="宋体" w:eastAsia="宋体" w:cs="宋体"/>
          <w:sz w:val="24"/>
        </w:rPr>
        <w:t>样品传输管线加热、保温、控温一体化设计，全程</w:t>
      </w:r>
      <w:r>
        <w:rPr>
          <w:rFonts w:ascii="宋体" w:hAnsi="宋体" w:eastAsia="宋体" w:cs="宋体"/>
          <w:sz w:val="24"/>
        </w:rPr>
        <w:t>120℃以上高温伴热，加热均匀，智能控温，</w:t>
      </w:r>
      <w:r>
        <w:rPr>
          <w:rFonts w:hint="eastAsia" w:ascii="宋体" w:hAnsi="宋体" w:eastAsia="宋体" w:cs="宋体"/>
          <w:sz w:val="24"/>
        </w:rPr>
        <w:t>保证样气中被监测物质完整无损。</w:t>
      </w:r>
    </w:p>
    <w:p w14:paraId="6D6BE397">
      <w:pPr>
        <w:pStyle w:val="41"/>
        <w:spacing w:line="360" w:lineRule="auto"/>
        <w:ind w:firstLine="422"/>
        <w:outlineLvl w:val="3"/>
        <w:rPr>
          <w:rFonts w:ascii="宋体" w:hAnsi="宋体" w:eastAsia="宋体" w:cs="FZZD Extra JW"/>
          <w:b/>
        </w:rPr>
      </w:pPr>
      <w:r>
        <w:rPr>
          <w:rFonts w:ascii="宋体" w:hAnsi="宋体" w:eastAsia="宋体" w:cs="FZZD Extra JW"/>
          <w:b/>
        </w:rPr>
        <w:t xml:space="preserve">3.4.3 </w:t>
      </w:r>
      <w:r>
        <w:rPr>
          <w:rFonts w:hint="eastAsia" w:ascii="宋体" w:hAnsi="宋体" w:eastAsia="宋体" w:cs="FZZD Extra JW"/>
          <w:b/>
        </w:rPr>
        <w:t>预处理单元</w:t>
      </w:r>
    </w:p>
    <w:p w14:paraId="1615D13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预处理设备及其部件应方便清理和更换，材质应使用不吸附、不与待测气态污染物发生反应的材料。</w:t>
      </w:r>
      <w:r>
        <w:rPr>
          <w:rFonts w:ascii="宋体" w:hAnsi="宋体" w:eastAsia="宋体" w:cs="宋体"/>
          <w:sz w:val="24"/>
        </w:rPr>
        <w:t xml:space="preserve"> </w:t>
      </w:r>
    </w:p>
    <w:p w14:paraId="2A58A00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预处理设备应该能够保证样品气全程高温无冷凝，保证全程以恒定温度传输样品气至分析仪入口。</w:t>
      </w:r>
      <w:r>
        <w:rPr>
          <w:rFonts w:ascii="宋体" w:hAnsi="宋体" w:eastAsia="宋体" w:cs="宋体"/>
          <w:sz w:val="24"/>
        </w:rPr>
        <w:t xml:space="preserve"> </w:t>
      </w:r>
    </w:p>
    <w:p w14:paraId="300F9CB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预处理设备应该设置原路反吹接口以及仪表校准接口。</w:t>
      </w:r>
    </w:p>
    <w:p w14:paraId="576F03B9">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为防止颗粒物污染分析仪，在气体样品进入分析仪之前可设置精细过滤器。</w:t>
      </w:r>
    </w:p>
    <w:p w14:paraId="72752DCB">
      <w:pPr>
        <w:pStyle w:val="41"/>
        <w:spacing w:line="360" w:lineRule="auto"/>
        <w:ind w:firstLine="422"/>
        <w:outlineLvl w:val="3"/>
        <w:rPr>
          <w:rFonts w:ascii="宋体" w:hAnsi="宋体" w:eastAsia="宋体" w:cs="FZZD Extra JW"/>
          <w:b/>
        </w:rPr>
      </w:pPr>
      <w:r>
        <w:rPr>
          <w:rFonts w:ascii="宋体" w:hAnsi="宋体" w:eastAsia="宋体" w:cs="FZZD Extra JW"/>
          <w:b/>
        </w:rPr>
        <w:t xml:space="preserve">3.4.4 </w:t>
      </w:r>
      <w:r>
        <w:rPr>
          <w:rFonts w:hint="eastAsia" w:ascii="宋体" w:hAnsi="宋体" w:eastAsia="宋体" w:cs="FZZD Extra JW"/>
          <w:b/>
        </w:rPr>
        <w:t>在线气相色谱仪</w:t>
      </w:r>
    </w:p>
    <w:p w14:paraId="10F15FD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检测因子：总烃、甲烷、非甲烷总烃，根据要求后期还能扩容苯系物的因子；</w:t>
      </w:r>
    </w:p>
    <w:p w14:paraId="09CCA0FB">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非甲烷总烃的分析，严格遵循《</w:t>
      </w:r>
      <w:r>
        <w:rPr>
          <w:rFonts w:ascii="宋体" w:hAnsi="宋体" w:eastAsia="宋体" w:cs="宋体"/>
          <w:sz w:val="24"/>
        </w:rPr>
        <w:t xml:space="preserve">HJ 38固定污染源废气总烃、甲烷和非甲烷的测定 </w:t>
      </w:r>
      <w:r>
        <w:rPr>
          <w:rFonts w:hint="eastAsia" w:ascii="宋体" w:hAnsi="宋体" w:eastAsia="宋体" w:cs="宋体"/>
          <w:sz w:val="24"/>
        </w:rPr>
        <w:t>气相色谱法》规定，检测方法</w:t>
      </w:r>
      <w:r>
        <w:rPr>
          <w:rFonts w:ascii="宋体" w:hAnsi="宋体" w:eastAsia="宋体" w:cs="宋体"/>
          <w:sz w:val="24"/>
        </w:rPr>
        <w:t>FID；</w:t>
      </w:r>
    </w:p>
    <w:p w14:paraId="5CB3F931">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rPr>
        <w:t>★</w:t>
      </w:r>
      <w:r>
        <w:rPr>
          <w:rFonts w:hint="eastAsia" w:ascii="宋体" w:hAnsi="宋体" w:eastAsia="宋体" w:cs="宋体"/>
          <w:sz w:val="24"/>
          <w:highlight w:val="none"/>
        </w:rPr>
        <w:t>采用至少两个进口多通膜片阀</w:t>
      </w:r>
      <w:r>
        <w:rPr>
          <w:rFonts w:hint="eastAsia" w:ascii="宋体" w:hAnsi="宋体" w:eastAsia="宋体" w:cs="宋体"/>
          <w:sz w:val="24"/>
          <w:highlight w:val="none"/>
          <w:lang w:val="en-US" w:eastAsia="zh-CN"/>
        </w:rPr>
        <w:t>或者</w:t>
      </w:r>
      <w:r>
        <w:rPr>
          <w:rFonts w:hint="eastAsia" w:ascii="宋体" w:hAnsi="宋体" w:eastAsia="宋体" w:cs="宋体"/>
          <w:sz w:val="24"/>
          <w:highlight w:val="none"/>
        </w:rPr>
        <w:t>十四通转子阀</w:t>
      </w:r>
      <w:r>
        <w:rPr>
          <w:rFonts w:hint="eastAsia" w:ascii="宋体" w:hAnsi="宋体" w:eastAsia="宋体" w:cs="宋体"/>
          <w:sz w:val="24"/>
          <w:highlight w:val="none"/>
          <w:lang w:val="en-US" w:eastAsia="zh-CN"/>
        </w:rPr>
        <w:t>等相同效果设备部件</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保障</w:t>
      </w:r>
      <w:r>
        <w:rPr>
          <w:rFonts w:hint="eastAsia" w:ascii="宋体" w:hAnsi="宋体" w:eastAsia="宋体" w:cs="宋体"/>
          <w:sz w:val="24"/>
          <w:highlight w:val="none"/>
        </w:rPr>
        <w:t>色谱具备反吹功能，延长色谱柱寿命；</w:t>
      </w:r>
    </w:p>
    <w:p w14:paraId="1E9179D7">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rPr>
        <w:t>★</w:t>
      </w:r>
      <w:r>
        <w:rPr>
          <w:rFonts w:hint="eastAsia" w:ascii="宋体" w:hAnsi="宋体" w:eastAsia="宋体" w:cs="宋体"/>
          <w:sz w:val="24"/>
          <w:lang w:val="en-US" w:eastAsia="zh-CN"/>
        </w:rPr>
        <w:t>品牌：华电智控、泽天春来、聚光谱育等同等水平品牌</w:t>
      </w:r>
    </w:p>
    <w:p w14:paraId="666E1C1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分析仪能够不间断采样，保证样品实时更新；</w:t>
      </w:r>
    </w:p>
    <w:p w14:paraId="49038D3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分析仪具有对每一种组分进行独立校准的功能；</w:t>
      </w:r>
    </w:p>
    <w:p w14:paraId="68C3BF3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采用氢火焰离子化检测器的分析仪，须具有实时或周期性的检测当前火焰状态的功能，具有通过自动火焰检测功能检测到火焰熄灭故障状态后，自动点火，恢复仪器正常运行或者启动熄火保护的功能，并提供报警输出功能；</w:t>
      </w:r>
    </w:p>
    <w:p w14:paraId="698BFB1A">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色谱分析软件具备历史谱图查看、异常报警等功能；</w:t>
      </w:r>
    </w:p>
    <w:p w14:paraId="009BC31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应具有色谱图文件自动记录、历史谱图查询、历史数据查询等功能；</w:t>
      </w:r>
    </w:p>
    <w:p w14:paraId="6580E75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highlight w:val="none"/>
        </w:rPr>
        <w:t>控制软件</w:t>
      </w:r>
      <w:r>
        <w:rPr>
          <w:rFonts w:ascii="宋体" w:hAnsi="宋体" w:eastAsia="宋体" w:cs="宋体"/>
          <w:sz w:val="24"/>
          <w:highlight w:val="none"/>
        </w:rPr>
        <w:t>界面友好，操作方便，</w:t>
      </w:r>
      <w:r>
        <w:rPr>
          <w:rFonts w:ascii="宋体" w:hAnsi="宋体" w:eastAsia="宋体" w:cs="宋体"/>
          <w:sz w:val="24"/>
        </w:rPr>
        <w:t>支持有线传输、无线传输等多种数据接口；</w:t>
      </w:r>
    </w:p>
    <w:p w14:paraId="402E348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分析仪能够与数采仪直连；</w:t>
      </w:r>
    </w:p>
    <w:p w14:paraId="6CB8D55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应能够提供</w:t>
      </w:r>
      <w:r>
        <w:rPr>
          <w:rFonts w:ascii="宋体" w:hAnsi="宋体" w:eastAsia="宋体" w:cs="宋体"/>
          <w:sz w:val="24"/>
        </w:rPr>
        <w:t xml:space="preserve"> RS232、RJ45、RS485、RS422等多种通讯接口；</w:t>
      </w:r>
    </w:p>
    <w:p w14:paraId="398E60C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★设备应具有中国环境保护产品认证证书、环境保护部环境监测仪器质量监督检验中心检测报告等相关材料，产品类型应为在线气相色谱仪，检测器应为氢火焰离子化检测器（</w:t>
      </w:r>
      <w:r>
        <w:rPr>
          <w:rFonts w:ascii="宋体" w:hAnsi="宋体" w:eastAsia="宋体" w:cs="宋体"/>
          <w:sz w:val="24"/>
        </w:rPr>
        <w:t>FID），包括废气非甲烷总烃连续监测系统及配套的相关仪器仪表（采样探头等），认证内容必须与提供的产品规格、型号</w:t>
      </w:r>
      <w:r>
        <w:rPr>
          <w:rFonts w:hint="eastAsia" w:ascii="宋体" w:hAnsi="宋体" w:eastAsia="宋体" w:cs="宋体"/>
          <w:sz w:val="24"/>
        </w:rPr>
        <w:t>一致。</w:t>
      </w:r>
    </w:p>
    <w:p w14:paraId="7E17778D">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5</w:t>
      </w:r>
      <w:r>
        <w:rPr>
          <w:rFonts w:ascii="宋体" w:hAnsi="宋体" w:eastAsia="宋体" w:cs="FZZD Extra JW"/>
          <w:b/>
        </w:rPr>
        <w:t xml:space="preserve"> </w:t>
      </w:r>
      <w:r>
        <w:rPr>
          <w:rFonts w:hint="eastAsia" w:ascii="宋体" w:hAnsi="宋体" w:eastAsia="宋体" w:cs="FZZD Extra JW"/>
          <w:b/>
        </w:rPr>
        <w:t>氧含量检测仪</w:t>
      </w:r>
    </w:p>
    <w:p w14:paraId="243A534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含氧量测量方法：氧化锆法或电化学法（使用直插式氧化锆法测量，必须确定该监测点在所有状态下可燃性气体排气浓度低于起火、爆炸下限）；</w:t>
      </w:r>
    </w:p>
    <w:p w14:paraId="3041DB77">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具备校准功能</w:t>
      </w:r>
      <w:r>
        <w:rPr>
          <w:rFonts w:hint="eastAsia" w:ascii="宋体" w:hAnsi="宋体" w:eastAsia="宋体" w:cs="宋体"/>
          <w:sz w:val="24"/>
          <w:lang w:eastAsia="zh-CN"/>
        </w:rPr>
        <w:t>。</w:t>
      </w:r>
    </w:p>
    <w:p w14:paraId="32300EED">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6</w:t>
      </w:r>
      <w:r>
        <w:rPr>
          <w:rFonts w:ascii="宋体" w:hAnsi="宋体" w:eastAsia="宋体" w:cs="FZZD Extra JW"/>
          <w:b/>
        </w:rPr>
        <w:t xml:space="preserve"> </w:t>
      </w:r>
      <w:r>
        <w:rPr>
          <w:rFonts w:hint="eastAsia" w:ascii="宋体" w:hAnsi="宋体" w:eastAsia="宋体" w:cs="FZZD Extra JW"/>
          <w:b/>
        </w:rPr>
        <w:t>氢气发生器</w:t>
      </w:r>
    </w:p>
    <w:p w14:paraId="38D81299">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使用电解水的方法制造氢气，氢气纯度为</w:t>
      </w:r>
      <w:r>
        <w:rPr>
          <w:rFonts w:ascii="宋体" w:hAnsi="宋体" w:eastAsia="宋体" w:cs="宋体"/>
          <w:sz w:val="24"/>
        </w:rPr>
        <w:t>99.999%，工作压力 0-0.6MPa；</w:t>
      </w:r>
    </w:p>
    <w:p w14:paraId="3BDB3997">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系统应该设置氢气安全阀，在接收到分析仪熄火或故障报警时，切断氢气供应</w:t>
      </w:r>
      <w:r>
        <w:rPr>
          <w:rFonts w:hint="eastAsia" w:ascii="宋体" w:hAnsi="宋体" w:eastAsia="宋体" w:cs="宋体"/>
          <w:sz w:val="24"/>
          <w:lang w:eastAsia="zh-CN"/>
        </w:rPr>
        <w:t>。</w:t>
      </w:r>
    </w:p>
    <w:p w14:paraId="09579E3A">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7</w:t>
      </w:r>
      <w:r>
        <w:rPr>
          <w:rFonts w:ascii="宋体" w:hAnsi="宋体" w:eastAsia="宋体" w:cs="FZZD Extra JW"/>
          <w:b/>
        </w:rPr>
        <w:t xml:space="preserve"> </w:t>
      </w:r>
      <w:r>
        <w:rPr>
          <w:rFonts w:hint="eastAsia" w:ascii="宋体" w:hAnsi="宋体" w:eastAsia="宋体" w:cs="FZZD Extra JW"/>
          <w:b/>
        </w:rPr>
        <w:t>在线除烃仪（零气发生器）</w:t>
      </w:r>
    </w:p>
    <w:p w14:paraId="50D84529">
      <w:pPr>
        <w:adjustRightInd w:val="0"/>
        <w:snapToGrid w:val="0"/>
        <w:spacing w:line="360" w:lineRule="auto"/>
        <w:ind w:firstLine="480" w:firstLineChars="200"/>
        <w:rPr>
          <w:rFonts w:ascii="宋体" w:hAnsi="宋体" w:eastAsia="宋体" w:cs="宋体"/>
          <w:color w:val="000000"/>
          <w:sz w:val="24"/>
        </w:rPr>
      </w:pPr>
      <w:r>
        <w:rPr>
          <w:rFonts w:ascii="宋体" w:hAnsi="宋体" w:eastAsia="宋体" w:cs="宋体"/>
          <w:color w:val="000000"/>
          <w:sz w:val="24"/>
        </w:rPr>
        <w:t>满足气相色谱对零级空气的质量需求。</w:t>
      </w:r>
    </w:p>
    <w:p w14:paraId="0D61DCC0">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 xml:space="preserve">8 </w:t>
      </w:r>
      <w:r>
        <w:rPr>
          <w:rFonts w:ascii="宋体" w:hAnsi="宋体" w:eastAsia="宋体" w:cs="FZZD Extra JW"/>
          <w:b/>
        </w:rPr>
        <w:t>工控机及软件</w:t>
      </w:r>
    </w:p>
    <w:p w14:paraId="62D3DAEA">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采用</w:t>
      </w:r>
      <w:r>
        <w:rPr>
          <w:rFonts w:ascii="宋体" w:hAnsi="宋体" w:eastAsia="宋体" w:cs="宋体"/>
          <w:color w:val="000000"/>
          <w:sz w:val="24"/>
        </w:rPr>
        <w:t>Windows操作系统；</w:t>
      </w:r>
    </w:p>
    <w:p w14:paraId="3A03685D">
      <w:pPr>
        <w:adjustRightInd w:val="0"/>
        <w:snapToGrid w:val="0"/>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详细存储每一组采样分析单元的详细数据，检索方面支持按监测物质、监测时间等多种查询条件自定义查询各类日、月、年报表信息并导出</w:t>
      </w:r>
      <w:r>
        <w:rPr>
          <w:rFonts w:hint="eastAsia" w:ascii="宋体" w:hAnsi="宋体" w:eastAsia="宋体" w:cs="宋体"/>
          <w:color w:val="000000"/>
          <w:sz w:val="24"/>
          <w:lang w:eastAsia="zh-CN"/>
        </w:rPr>
        <w:t>。</w:t>
      </w:r>
    </w:p>
    <w:p w14:paraId="2CA7D8C3">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9</w:t>
      </w:r>
      <w:r>
        <w:rPr>
          <w:rFonts w:ascii="宋体" w:hAnsi="宋体" w:eastAsia="宋体" w:cs="FZZD Extra JW"/>
          <w:b/>
        </w:rPr>
        <w:t xml:space="preserve"> </w:t>
      </w:r>
      <w:r>
        <w:rPr>
          <w:rFonts w:hint="eastAsia" w:ascii="宋体" w:hAnsi="宋体" w:eastAsia="宋体" w:cs="FZZD Extra JW"/>
          <w:b/>
        </w:rPr>
        <w:t>机柜</w:t>
      </w:r>
    </w:p>
    <w:p w14:paraId="0DF9FF29">
      <w:pPr>
        <w:adjustRightInd w:val="0"/>
        <w:snapToGrid w:val="0"/>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主要材料：选用</w:t>
      </w:r>
      <w:r>
        <w:rPr>
          <w:rFonts w:ascii="宋体" w:hAnsi="宋体" w:eastAsia="宋体" w:cs="宋体"/>
          <w:color w:val="000000"/>
          <w:sz w:val="24"/>
        </w:rPr>
        <w:t>钢板</w:t>
      </w:r>
      <w:r>
        <w:rPr>
          <w:rFonts w:hint="eastAsia" w:ascii="宋体" w:hAnsi="宋体" w:eastAsia="宋体" w:cs="宋体"/>
          <w:color w:val="000000"/>
          <w:sz w:val="24"/>
          <w:lang w:eastAsia="zh-CN"/>
        </w:rPr>
        <w:t>。</w:t>
      </w:r>
    </w:p>
    <w:p w14:paraId="30C86DD4">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10</w:t>
      </w:r>
      <w:r>
        <w:rPr>
          <w:rFonts w:ascii="宋体" w:hAnsi="宋体" w:eastAsia="宋体" w:cs="FZZD Extra JW"/>
          <w:b/>
        </w:rPr>
        <w:t xml:space="preserve"> </w:t>
      </w:r>
      <w:r>
        <w:rPr>
          <w:rFonts w:hint="eastAsia" w:ascii="宋体" w:hAnsi="宋体" w:eastAsia="宋体" w:cs="FZZD Extra JW"/>
          <w:b/>
        </w:rPr>
        <w:t>标准气体</w:t>
      </w:r>
    </w:p>
    <w:p w14:paraId="3486179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标气能够满足项目中各分析仪器的校准校对工作以及技术规范要求，质量满足国家或国际标准要求。配置系统正常运行需要的标气，包含：</w:t>
      </w:r>
    </w:p>
    <w:p w14:paraId="0DA3965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rPr>
        <w:t>甲烷标准气体（高</w:t>
      </w:r>
      <w:r>
        <w:rPr>
          <w:rFonts w:ascii="宋体" w:hAnsi="宋体" w:eastAsia="宋体" w:cs="宋体"/>
          <w:sz w:val="24"/>
        </w:rPr>
        <w:t>/中/低浓度）：</w:t>
      </w:r>
      <w:r>
        <w:rPr>
          <w:rFonts w:ascii="宋体" w:hAnsi="宋体" w:eastAsia="宋体" w:cs="宋体"/>
          <w:sz w:val="24"/>
          <w:highlight w:val="none"/>
        </w:rPr>
        <w:t>根据量程定制浓度，8L，含钢瓶和减压阀；</w:t>
      </w:r>
    </w:p>
    <w:p w14:paraId="395F516B">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所有存储标气的点位均需配套标气防倾倒支架</w:t>
      </w:r>
      <w:r>
        <w:rPr>
          <w:rFonts w:hint="eastAsia" w:ascii="宋体" w:hAnsi="宋体" w:eastAsia="宋体" w:cs="宋体"/>
          <w:sz w:val="24"/>
          <w:lang w:eastAsia="zh-CN"/>
        </w:rPr>
        <w:t>。</w:t>
      </w:r>
    </w:p>
    <w:p w14:paraId="1CAA1DF7">
      <w:pPr>
        <w:pStyle w:val="41"/>
        <w:spacing w:line="360" w:lineRule="auto"/>
        <w:ind w:firstLine="422"/>
        <w:outlineLvl w:val="3"/>
        <w:rPr>
          <w:rFonts w:ascii="宋体" w:hAnsi="宋体" w:eastAsia="宋体" w:cs="FZZD Extra JW"/>
          <w:b/>
        </w:rPr>
      </w:pPr>
      <w:bookmarkStart w:id="38" w:name="_Toc78715957"/>
      <w:bookmarkStart w:id="39" w:name="_Toc13061546"/>
      <w:bookmarkStart w:id="40" w:name="_Toc99652550"/>
      <w:bookmarkStart w:id="41" w:name="_Toc45629788"/>
      <w:bookmarkStart w:id="42" w:name="_Toc20507"/>
      <w:r>
        <w:rPr>
          <w:rFonts w:ascii="宋体" w:hAnsi="宋体" w:eastAsia="宋体" w:cs="FZZD Extra JW"/>
          <w:b/>
        </w:rPr>
        <w:t>3.4.1</w:t>
      </w:r>
      <w:bookmarkEnd w:id="38"/>
      <w:bookmarkEnd w:id="39"/>
      <w:bookmarkEnd w:id="40"/>
      <w:bookmarkEnd w:id="41"/>
      <w:bookmarkEnd w:id="42"/>
      <w:r>
        <w:rPr>
          <w:rFonts w:hint="eastAsia" w:ascii="宋体" w:hAnsi="宋体" w:eastAsia="宋体" w:cs="FZZD Extra JW"/>
          <w:b/>
          <w:lang w:val="en-US" w:eastAsia="zh-CN"/>
        </w:rPr>
        <w:t>1</w:t>
      </w:r>
      <w:r>
        <w:rPr>
          <w:rFonts w:ascii="宋体" w:hAnsi="宋体" w:eastAsia="宋体" w:cs="FZZD Extra JW"/>
          <w:b/>
        </w:rPr>
        <w:t xml:space="preserve"> </w:t>
      </w:r>
      <w:r>
        <w:rPr>
          <w:rFonts w:hint="eastAsia" w:ascii="宋体" w:hAnsi="宋体" w:eastAsia="宋体" w:cs="FZZD Extra JW"/>
          <w:b/>
        </w:rPr>
        <w:t>监测站房</w:t>
      </w:r>
    </w:p>
    <w:p w14:paraId="45B08073">
      <w:pPr>
        <w:spacing w:line="360" w:lineRule="auto"/>
        <w:ind w:firstLine="480"/>
        <w:rPr>
          <w:rFonts w:ascii="宋体" w:hAnsi="宋体" w:eastAsia="宋体"/>
          <w:color w:val="000000"/>
          <w:sz w:val="24"/>
        </w:rPr>
      </w:pPr>
      <w:r>
        <w:rPr>
          <w:rFonts w:ascii="宋体" w:hAnsi="宋体" w:eastAsia="宋体"/>
          <w:color w:val="000000"/>
          <w:sz w:val="24"/>
        </w:rPr>
        <w:t>1）监测站房专室专用，为设计用防雨、防尘、防火、保温等功能。</w:t>
      </w:r>
    </w:p>
    <w:p w14:paraId="645D3AD0">
      <w:pPr>
        <w:autoSpaceDE w:val="0"/>
        <w:autoSpaceDN w:val="0"/>
        <w:adjustRightInd w:val="0"/>
        <w:spacing w:line="360" w:lineRule="auto"/>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）监测站房为钢结构，</w:t>
      </w:r>
      <w:r>
        <w:rPr>
          <w:rFonts w:hint="eastAsia" w:ascii="宋体" w:hAnsi="宋体" w:eastAsia="宋体"/>
          <w:kern w:val="0"/>
          <w:sz w:val="24"/>
          <w:highlight w:val="none"/>
          <w:lang w:val="en-US" w:eastAsia="zh-CN"/>
        </w:rPr>
        <w:t>建设地点：重庆汽车公司涂装车间外VOCs平台下方、紧挨着喷涂废气排放口的地面位置</w:t>
      </w:r>
      <w:r>
        <w:rPr>
          <w:rFonts w:hint="eastAsia" w:ascii="宋体" w:hAnsi="宋体" w:eastAsia="宋体"/>
          <w:kern w:val="0"/>
          <w:sz w:val="24"/>
          <w:lang w:val="en-US" w:eastAsia="zh-CN"/>
        </w:rPr>
        <w:t>，</w:t>
      </w:r>
      <w:r>
        <w:rPr>
          <w:rFonts w:hint="eastAsia" w:ascii="宋体" w:hAnsi="宋体" w:eastAsia="宋体"/>
          <w:kern w:val="0"/>
          <w:sz w:val="24"/>
        </w:rPr>
        <w:t>站房建在标高大于</w:t>
      </w:r>
      <w:r>
        <w:rPr>
          <w:rFonts w:ascii="宋体" w:hAnsi="宋体" w:eastAsia="宋体"/>
          <w:kern w:val="0"/>
          <w:sz w:val="24"/>
        </w:rPr>
        <w:t>0米处，基础荷载强度大于2000kg/m</w:t>
      </w:r>
      <w:r>
        <w:rPr>
          <w:rFonts w:ascii="宋体" w:hAnsi="宋体" w:eastAsia="宋体"/>
          <w:kern w:val="0"/>
          <w:sz w:val="24"/>
          <w:vertAlign w:val="superscript"/>
        </w:rPr>
        <w:t>2</w:t>
      </w:r>
      <w:r>
        <w:rPr>
          <w:rFonts w:ascii="宋体" w:hAnsi="宋体" w:eastAsia="宋体"/>
          <w:kern w:val="0"/>
          <w:sz w:val="24"/>
        </w:rPr>
        <w:t>；</w:t>
      </w:r>
    </w:p>
    <w:p w14:paraId="071AEC38">
      <w:pPr>
        <w:autoSpaceDE w:val="0"/>
        <w:autoSpaceDN w:val="0"/>
        <w:adjustRightInd w:val="0"/>
        <w:spacing w:line="360" w:lineRule="auto"/>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）监测站房室内净面积≥</w:t>
      </w:r>
      <w:r>
        <w:rPr>
          <w:rFonts w:ascii="宋体" w:hAnsi="宋体" w:eastAsia="宋体"/>
          <w:kern w:val="0"/>
          <w:sz w:val="24"/>
        </w:rPr>
        <w:t>1</w:t>
      </w:r>
      <w:r>
        <w:rPr>
          <w:rFonts w:hint="eastAsia" w:ascii="宋体" w:hAnsi="宋体" w:eastAsia="宋体"/>
          <w:kern w:val="0"/>
          <w:sz w:val="24"/>
          <w:lang w:val="en-US" w:eastAsia="zh-CN"/>
        </w:rPr>
        <w:t>4</w:t>
      </w:r>
      <w:r>
        <w:rPr>
          <w:rFonts w:hint="eastAsia" w:ascii="宋体" w:hAnsi="宋体" w:eastAsia="宋体"/>
          <w:kern w:val="0"/>
          <w:sz w:val="24"/>
        </w:rPr>
        <w:t>平米，室内净尺寸大于等于</w:t>
      </w:r>
      <w:r>
        <w:rPr>
          <w:rFonts w:ascii="宋体" w:hAnsi="宋体" w:eastAsia="宋体"/>
          <w:kern w:val="0"/>
          <w:sz w:val="24"/>
        </w:rPr>
        <w:t>3</w:t>
      </w:r>
      <w:r>
        <w:rPr>
          <w:rFonts w:hint="eastAsia" w:ascii="宋体" w:hAnsi="宋体" w:eastAsia="宋体"/>
          <w:kern w:val="0"/>
          <w:sz w:val="24"/>
          <w:lang w:val="en-US" w:eastAsia="zh-CN"/>
        </w:rPr>
        <w:t>5</w:t>
      </w:r>
      <w:r>
        <w:rPr>
          <w:rFonts w:ascii="宋体" w:hAnsi="宋体" w:eastAsia="宋体"/>
          <w:kern w:val="0"/>
          <w:sz w:val="24"/>
        </w:rPr>
        <w:t>00mm(L)×4000mm(W)，室内房顶最低处高度不低于2800mm</w:t>
      </w:r>
      <w:r>
        <w:rPr>
          <w:rFonts w:hint="eastAsia" w:ascii="宋体" w:hAnsi="宋体" w:eastAsia="宋体"/>
          <w:kern w:val="0"/>
          <w:sz w:val="24"/>
        </w:rPr>
        <w:t>；</w:t>
      </w:r>
    </w:p>
    <w:p w14:paraId="06414AC0">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rPr>
        <w:t>4</w:t>
      </w:r>
      <w:r>
        <w:rPr>
          <w:rFonts w:hint="eastAsia" w:ascii="宋体" w:hAnsi="宋体" w:eastAsia="宋体"/>
          <w:kern w:val="0"/>
          <w:sz w:val="24"/>
        </w:rPr>
        <w:t>）</w:t>
      </w:r>
      <w:r>
        <w:rPr>
          <w:rFonts w:hint="eastAsia" w:ascii="宋体" w:hAnsi="宋体" w:eastAsia="宋体"/>
          <w:kern w:val="0"/>
          <w:sz w:val="24"/>
          <w:highlight w:val="none"/>
        </w:rPr>
        <w:t>监测站房门可依据现场情况选择开口并安装防盗门（单扇门、向外开、</w:t>
      </w:r>
      <w:r>
        <w:rPr>
          <w:rFonts w:ascii="宋体" w:hAnsi="宋体" w:eastAsia="宋体"/>
          <w:kern w:val="0"/>
          <w:sz w:val="24"/>
          <w:highlight w:val="none"/>
        </w:rPr>
        <w:t>尺寸为2000（H）×900（W）mm</w:t>
      </w:r>
      <w:r>
        <w:rPr>
          <w:rFonts w:hint="eastAsia" w:ascii="宋体" w:hAnsi="宋体" w:eastAsia="宋体"/>
          <w:kern w:val="0"/>
          <w:sz w:val="24"/>
          <w:highlight w:val="none"/>
        </w:rPr>
        <w:t>），要求密封性良好，并配有锁具；窗户面积为</w:t>
      </w:r>
      <w:r>
        <w:rPr>
          <w:rFonts w:ascii="宋体" w:hAnsi="宋体" w:eastAsia="宋体"/>
          <w:kern w:val="0"/>
          <w:sz w:val="24"/>
          <w:highlight w:val="none"/>
        </w:rPr>
        <w:t>1.5平方米（长1500mm×宽1000mm），窗台距地面高度为0.9米，窗户外部加装防盗网；</w:t>
      </w:r>
    </w:p>
    <w:p w14:paraId="299EED92">
      <w:pPr>
        <w:autoSpaceDE w:val="0"/>
        <w:autoSpaceDN w:val="0"/>
        <w:adjustRightInd w:val="0"/>
        <w:spacing w:line="360" w:lineRule="auto"/>
        <w:ind w:left="959" w:leftChars="228" w:hanging="480" w:hangingChars="200"/>
        <w:jc w:val="left"/>
        <w:rPr>
          <w:rFonts w:ascii="宋体" w:hAnsi="宋体" w:eastAsia="宋体"/>
          <w:kern w:val="0"/>
          <w:sz w:val="24"/>
          <w:highlight w:val="none"/>
        </w:rPr>
      </w:pPr>
      <w:r>
        <w:rPr>
          <w:rFonts w:ascii="宋体" w:hAnsi="宋体" w:eastAsia="宋体"/>
          <w:kern w:val="0"/>
          <w:sz w:val="24"/>
          <w:highlight w:val="none"/>
        </w:rPr>
        <w:t>5</w:t>
      </w:r>
      <w:r>
        <w:rPr>
          <w:rFonts w:hint="eastAsia" w:ascii="宋体" w:hAnsi="宋体" w:eastAsia="宋体"/>
          <w:kern w:val="0"/>
          <w:sz w:val="24"/>
          <w:highlight w:val="none"/>
        </w:rPr>
        <w:t>）</w:t>
      </w:r>
      <w:r>
        <w:rPr>
          <w:rFonts w:ascii="宋体" w:hAnsi="宋体" w:eastAsia="宋体"/>
          <w:kern w:val="0"/>
          <w:sz w:val="24"/>
          <w:highlight w:val="none"/>
        </w:rPr>
        <w:t>站房外墙和</w:t>
      </w:r>
      <w:r>
        <w:rPr>
          <w:rFonts w:hint="eastAsia" w:ascii="宋体" w:hAnsi="宋体" w:eastAsia="宋体"/>
          <w:kern w:val="0"/>
          <w:sz w:val="24"/>
          <w:highlight w:val="none"/>
        </w:rPr>
        <w:t>外顶采用碳钢钢板，钢板厚度为</w:t>
      </w:r>
      <w:r>
        <w:rPr>
          <w:rFonts w:ascii="宋体" w:hAnsi="宋体" w:eastAsia="宋体"/>
          <w:kern w:val="0"/>
          <w:sz w:val="24"/>
          <w:highlight w:val="none"/>
        </w:rPr>
        <w:t>1.5mm，中间保温层厚度75mm，保温层为岩棉，内墙和内顶为1.5mm厚的碳钢涂塑钢板，内置方管龙骨80mm×40mm×1.5mm厚，间距60cm-80cm。</w:t>
      </w:r>
    </w:p>
    <w:p w14:paraId="71FC37F1">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6</w:t>
      </w:r>
      <w:r>
        <w:rPr>
          <w:rFonts w:hint="eastAsia" w:ascii="宋体" w:hAnsi="宋体" w:eastAsia="宋体"/>
          <w:kern w:val="0"/>
          <w:sz w:val="24"/>
          <w:highlight w:val="none"/>
        </w:rPr>
        <w:t>）</w:t>
      </w:r>
      <w:r>
        <w:rPr>
          <w:rFonts w:ascii="宋体" w:hAnsi="宋体" w:eastAsia="宋体"/>
          <w:kern w:val="0"/>
          <w:sz w:val="24"/>
          <w:highlight w:val="none"/>
        </w:rPr>
        <w:t>站房地面为5层结构，第一层底座框架为12＃槽钢，底座檩条为40mm×60mmx1.5mm的镀锌方钢400mmx700mm田子空，框架整体防腐，第二层为15mm防火地板、第三层为防潮垫、第四层为防静电木地板、第五层为4mm花纹钢板。</w:t>
      </w:r>
    </w:p>
    <w:p w14:paraId="60FAA6C4">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7）站房所有板缝全部</w:t>
      </w:r>
      <w:r>
        <w:rPr>
          <w:rFonts w:hint="eastAsia" w:ascii="宋体" w:hAnsi="宋体" w:eastAsia="宋体"/>
          <w:kern w:val="0"/>
          <w:sz w:val="24"/>
          <w:highlight w:val="none"/>
        </w:rPr>
        <w:t>打结构胶。</w:t>
      </w:r>
    </w:p>
    <w:p w14:paraId="08544BB9">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8）站房需美观大方，可吊装并且吊装不变形，不漏水。</w:t>
      </w:r>
    </w:p>
    <w:p w14:paraId="5DABB027">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9）站房内布线采用PVC线槽明布</w:t>
      </w:r>
      <w:r>
        <w:rPr>
          <w:rFonts w:hint="eastAsia" w:ascii="宋体" w:hAnsi="宋体" w:eastAsia="宋体"/>
          <w:kern w:val="0"/>
          <w:sz w:val="24"/>
          <w:highlight w:val="none"/>
        </w:rPr>
        <w:t>，采样管线必须固定</w:t>
      </w:r>
      <w:r>
        <w:rPr>
          <w:rFonts w:ascii="宋体" w:hAnsi="宋体" w:eastAsia="宋体"/>
          <w:kern w:val="0"/>
          <w:sz w:val="24"/>
          <w:highlight w:val="none"/>
        </w:rPr>
        <w:t>。</w:t>
      </w:r>
    </w:p>
    <w:p w14:paraId="31FBEDE9">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10）站房内预留桥架孔（规格长100mm×宽100mm）、排风扇安装孔（规格长200mm×宽200mm）；</w:t>
      </w:r>
    </w:p>
    <w:p w14:paraId="1C1498AB">
      <w:pPr>
        <w:autoSpaceDE w:val="0"/>
        <w:autoSpaceDN w:val="0"/>
        <w:adjustRightInd w:val="0"/>
        <w:spacing w:line="360" w:lineRule="auto"/>
        <w:ind w:firstLine="480" w:firstLineChars="200"/>
        <w:jc w:val="left"/>
        <w:rPr>
          <w:rFonts w:ascii="宋体" w:hAnsi="宋体" w:eastAsia="宋体"/>
          <w:kern w:val="0"/>
          <w:sz w:val="24"/>
        </w:rPr>
      </w:pPr>
      <w:r>
        <w:rPr>
          <w:rFonts w:ascii="宋体" w:hAnsi="宋体" w:eastAsia="宋体"/>
          <w:kern w:val="0"/>
          <w:sz w:val="24"/>
        </w:rPr>
        <w:t>11）</w:t>
      </w:r>
      <w:r>
        <w:rPr>
          <w:rFonts w:ascii="宋体" w:hAnsi="宋体" w:eastAsia="宋体"/>
          <w:bCs/>
          <w:sz w:val="24"/>
        </w:rPr>
        <w:t>监测站</w:t>
      </w:r>
      <w:r>
        <w:rPr>
          <w:rFonts w:hint="eastAsia" w:ascii="宋体" w:hAnsi="宋体" w:eastAsia="宋体"/>
          <w:bCs/>
          <w:sz w:val="24"/>
        </w:rPr>
        <w:t>房配套设备</w:t>
      </w:r>
    </w:p>
    <w:p w14:paraId="1F4F2F64">
      <w:pPr>
        <w:spacing w:line="336" w:lineRule="auto"/>
        <w:ind w:firstLine="480"/>
        <w:rPr>
          <w:rFonts w:ascii="宋体" w:hAnsi="宋体" w:eastAsia="宋体"/>
          <w:bCs/>
          <w:sz w:val="24"/>
        </w:rPr>
      </w:pPr>
      <w:r>
        <w:rPr>
          <w:rFonts w:ascii="宋体" w:hAnsi="宋体" w:eastAsia="宋体"/>
          <w:bCs/>
          <w:sz w:val="24"/>
        </w:rPr>
        <w:t>A.</w:t>
      </w:r>
      <w:r>
        <w:rPr>
          <w:rFonts w:hint="eastAsia" w:ascii="宋体" w:hAnsi="宋体" w:eastAsia="宋体"/>
          <w:bCs/>
          <w:sz w:val="24"/>
        </w:rPr>
        <w:t>配电</w:t>
      </w:r>
    </w:p>
    <w:p w14:paraId="21B00E42">
      <w:pPr>
        <w:spacing w:line="336" w:lineRule="auto"/>
        <w:ind w:firstLine="1274" w:firstLineChars="531"/>
        <w:rPr>
          <w:rFonts w:ascii="宋体" w:hAnsi="宋体" w:eastAsia="宋体"/>
          <w:bCs/>
          <w:sz w:val="24"/>
        </w:rPr>
      </w:pPr>
      <w:r>
        <w:rPr>
          <w:rFonts w:hint="eastAsia" w:ascii="宋体" w:hAnsi="宋体" w:eastAsia="宋体"/>
          <w:bCs/>
          <w:sz w:val="24"/>
        </w:rPr>
        <w:t>电源配电箱</w:t>
      </w:r>
      <w:r>
        <w:rPr>
          <w:rFonts w:ascii="宋体" w:hAnsi="宋体" w:eastAsia="宋体"/>
          <w:bCs/>
          <w:sz w:val="24"/>
        </w:rPr>
        <w:t xml:space="preserve">                                 1</w:t>
      </w:r>
      <w:r>
        <w:rPr>
          <w:rFonts w:hint="eastAsia" w:ascii="宋体" w:hAnsi="宋体" w:eastAsia="宋体"/>
          <w:bCs/>
          <w:sz w:val="24"/>
        </w:rPr>
        <w:t>个</w:t>
      </w:r>
    </w:p>
    <w:p w14:paraId="393513FF">
      <w:pPr>
        <w:spacing w:line="336" w:lineRule="auto"/>
        <w:ind w:firstLine="1274" w:firstLineChars="531"/>
        <w:rPr>
          <w:rFonts w:ascii="宋体" w:hAnsi="宋体" w:eastAsia="宋体"/>
          <w:bCs/>
          <w:sz w:val="24"/>
        </w:rPr>
      </w:pPr>
      <w:r>
        <w:rPr>
          <w:rFonts w:ascii="宋体" w:hAnsi="宋体" w:eastAsia="宋体"/>
          <w:bCs/>
          <w:sz w:val="24"/>
        </w:rPr>
        <w:t>UPS电源8KW，</w:t>
      </w:r>
      <w:r>
        <w:rPr>
          <w:rFonts w:hint="eastAsia" w:ascii="宋体" w:hAnsi="宋体" w:eastAsia="宋体"/>
          <w:bCs/>
          <w:sz w:val="24"/>
        </w:rPr>
        <w:t>续电</w:t>
      </w:r>
      <w:r>
        <w:rPr>
          <w:rFonts w:hint="eastAsia" w:ascii="宋体" w:hAnsi="宋体" w:eastAsia="宋体"/>
          <w:bCs/>
          <w:sz w:val="24"/>
          <w:lang w:val="en-US" w:eastAsia="zh-CN"/>
        </w:rPr>
        <w:t>4</w:t>
      </w:r>
      <w:r>
        <w:rPr>
          <w:rFonts w:ascii="宋体" w:hAnsi="宋体" w:eastAsia="宋体"/>
          <w:bCs/>
          <w:sz w:val="24"/>
        </w:rPr>
        <w:t>小时                    1</w:t>
      </w:r>
      <w:r>
        <w:rPr>
          <w:rFonts w:hint="eastAsia" w:ascii="宋体" w:hAnsi="宋体" w:eastAsia="宋体"/>
          <w:bCs/>
          <w:sz w:val="24"/>
        </w:rPr>
        <w:t>套</w:t>
      </w:r>
    </w:p>
    <w:p w14:paraId="5673C4DC">
      <w:pPr>
        <w:spacing w:line="336" w:lineRule="auto"/>
        <w:ind w:firstLine="480"/>
        <w:rPr>
          <w:rFonts w:ascii="宋体" w:hAnsi="宋体" w:eastAsia="宋体"/>
          <w:bCs/>
          <w:sz w:val="24"/>
        </w:rPr>
      </w:pPr>
      <w:r>
        <w:rPr>
          <w:rFonts w:ascii="宋体" w:hAnsi="宋体" w:eastAsia="宋体"/>
          <w:bCs/>
          <w:sz w:val="24"/>
        </w:rPr>
        <w:t xml:space="preserve">       </w:t>
      </w:r>
      <w:r>
        <w:rPr>
          <w:rFonts w:hint="eastAsia" w:ascii="宋体" w:hAnsi="宋体" w:eastAsia="宋体"/>
          <w:bCs/>
          <w:sz w:val="24"/>
        </w:rPr>
        <w:t>开关</w:t>
      </w:r>
      <w:r>
        <w:rPr>
          <w:rFonts w:ascii="宋体" w:hAnsi="宋体" w:eastAsia="宋体"/>
          <w:bCs/>
          <w:sz w:val="24"/>
        </w:rPr>
        <w:t xml:space="preserve">                                       1</w:t>
      </w:r>
      <w:r>
        <w:rPr>
          <w:rFonts w:hint="eastAsia" w:ascii="宋体" w:hAnsi="宋体" w:eastAsia="宋体"/>
          <w:bCs/>
          <w:sz w:val="24"/>
        </w:rPr>
        <w:t>个</w:t>
      </w:r>
    </w:p>
    <w:p w14:paraId="6C390911">
      <w:pPr>
        <w:spacing w:line="336" w:lineRule="auto"/>
        <w:ind w:firstLine="1274" w:firstLineChars="531"/>
        <w:rPr>
          <w:rFonts w:ascii="宋体" w:hAnsi="宋体" w:eastAsia="宋体"/>
          <w:bCs/>
          <w:sz w:val="24"/>
        </w:rPr>
      </w:pPr>
      <w:r>
        <w:rPr>
          <w:rFonts w:hint="eastAsia" w:ascii="宋体" w:hAnsi="宋体" w:eastAsia="宋体"/>
          <w:bCs/>
          <w:sz w:val="24"/>
        </w:rPr>
        <w:t>插座</w:t>
      </w:r>
      <w:r>
        <w:rPr>
          <w:rFonts w:ascii="宋体" w:hAnsi="宋体" w:eastAsia="宋体"/>
          <w:bCs/>
          <w:sz w:val="24"/>
        </w:rPr>
        <w:t xml:space="preserve">                                       5</w:t>
      </w:r>
      <w:r>
        <w:rPr>
          <w:rFonts w:hint="eastAsia" w:ascii="宋体" w:hAnsi="宋体" w:eastAsia="宋体"/>
          <w:bCs/>
          <w:sz w:val="24"/>
        </w:rPr>
        <w:t>个</w:t>
      </w:r>
    </w:p>
    <w:p w14:paraId="0D25734D">
      <w:pPr>
        <w:spacing w:line="336" w:lineRule="auto"/>
        <w:ind w:firstLine="480"/>
        <w:rPr>
          <w:rFonts w:ascii="宋体" w:hAnsi="宋体" w:eastAsia="宋体"/>
          <w:bCs/>
          <w:sz w:val="24"/>
        </w:rPr>
      </w:pPr>
      <w:r>
        <w:rPr>
          <w:rFonts w:ascii="宋体" w:hAnsi="宋体" w:eastAsia="宋体"/>
          <w:bCs/>
          <w:sz w:val="24"/>
        </w:rPr>
        <w:t>B.</w:t>
      </w:r>
      <w:r>
        <w:rPr>
          <w:rFonts w:hint="eastAsia" w:ascii="宋体" w:hAnsi="宋体" w:eastAsia="宋体"/>
          <w:bCs/>
          <w:sz w:val="24"/>
        </w:rPr>
        <w:t>采暖与排风</w:t>
      </w:r>
    </w:p>
    <w:p w14:paraId="54DBD332">
      <w:pPr>
        <w:spacing w:line="336" w:lineRule="auto"/>
        <w:ind w:firstLine="1320" w:firstLineChars="550"/>
        <w:rPr>
          <w:rFonts w:ascii="宋体" w:hAnsi="宋体" w:eastAsia="宋体"/>
          <w:bCs/>
          <w:sz w:val="24"/>
        </w:rPr>
      </w:pPr>
      <w:r>
        <w:rPr>
          <w:rFonts w:hint="eastAsia" w:ascii="宋体" w:hAnsi="宋体" w:eastAsia="宋体"/>
          <w:bCs/>
          <w:sz w:val="24"/>
        </w:rPr>
        <w:t>排风扇</w:t>
      </w:r>
      <w:r>
        <w:rPr>
          <w:rFonts w:ascii="宋体" w:hAnsi="宋体" w:eastAsia="宋体"/>
          <w:bCs/>
          <w:sz w:val="24"/>
        </w:rPr>
        <w:t xml:space="preserve">                                     1</w:t>
      </w:r>
      <w:r>
        <w:rPr>
          <w:rFonts w:hint="eastAsia" w:ascii="宋体" w:hAnsi="宋体" w:eastAsia="宋体"/>
          <w:bCs/>
          <w:sz w:val="24"/>
        </w:rPr>
        <w:t>个</w:t>
      </w:r>
    </w:p>
    <w:p w14:paraId="1D74F8DE">
      <w:pPr>
        <w:spacing w:line="336" w:lineRule="auto"/>
        <w:ind w:firstLine="1320" w:firstLineChars="550"/>
        <w:rPr>
          <w:rFonts w:ascii="宋体" w:hAnsi="宋体" w:eastAsia="宋体"/>
          <w:bCs/>
          <w:sz w:val="24"/>
        </w:rPr>
      </w:pPr>
      <w:r>
        <w:rPr>
          <w:rFonts w:hint="eastAsia" w:ascii="宋体" w:hAnsi="宋体" w:eastAsia="宋体"/>
          <w:bCs/>
          <w:sz w:val="24"/>
        </w:rPr>
        <w:t>空调</w:t>
      </w:r>
      <w:r>
        <w:rPr>
          <w:rFonts w:hint="eastAsia" w:ascii="宋体" w:hAnsi="宋体" w:eastAsia="宋体"/>
          <w:bCs/>
          <w:sz w:val="24"/>
          <w:lang w:eastAsia="zh-CN"/>
        </w:rPr>
        <w:t>（</w:t>
      </w:r>
      <w:r>
        <w:rPr>
          <w:rFonts w:hint="eastAsia" w:ascii="宋体" w:hAnsi="宋体" w:eastAsia="宋体"/>
          <w:bCs/>
          <w:sz w:val="24"/>
          <w:lang w:val="en-US" w:eastAsia="zh-CN"/>
        </w:rPr>
        <w:t>利旧</w:t>
      </w:r>
      <w:r>
        <w:rPr>
          <w:rFonts w:hint="eastAsia" w:ascii="宋体" w:hAnsi="宋体" w:eastAsia="宋体"/>
          <w:bCs/>
          <w:sz w:val="24"/>
          <w:lang w:eastAsia="zh-CN"/>
        </w:rPr>
        <w:t>）</w:t>
      </w:r>
      <w:r>
        <w:rPr>
          <w:rFonts w:ascii="宋体" w:hAnsi="宋体" w:eastAsia="宋体"/>
          <w:bCs/>
          <w:sz w:val="24"/>
        </w:rPr>
        <w:t xml:space="preserve">                       </w:t>
      </w:r>
      <w:r>
        <w:rPr>
          <w:rFonts w:hint="eastAsia" w:ascii="宋体" w:hAnsi="宋体" w:eastAsia="宋体"/>
          <w:bCs/>
          <w:sz w:val="24"/>
          <w:lang w:val="en-US" w:eastAsia="zh-CN"/>
        </w:rPr>
        <w:t xml:space="preserve">        </w:t>
      </w:r>
      <w:r>
        <w:rPr>
          <w:rFonts w:ascii="宋体" w:hAnsi="宋体" w:eastAsia="宋体"/>
          <w:bCs/>
          <w:sz w:val="24"/>
        </w:rPr>
        <w:t>1</w:t>
      </w:r>
      <w:r>
        <w:rPr>
          <w:rFonts w:hint="eastAsia" w:ascii="宋体" w:hAnsi="宋体" w:eastAsia="宋体"/>
          <w:bCs/>
          <w:sz w:val="24"/>
        </w:rPr>
        <w:t>个</w:t>
      </w:r>
    </w:p>
    <w:p w14:paraId="3F0502E2">
      <w:pPr>
        <w:spacing w:line="336" w:lineRule="auto"/>
        <w:ind w:firstLine="480"/>
        <w:rPr>
          <w:rFonts w:ascii="宋体" w:hAnsi="宋体" w:eastAsia="宋体"/>
          <w:bCs/>
          <w:sz w:val="24"/>
        </w:rPr>
      </w:pPr>
      <w:r>
        <w:rPr>
          <w:rFonts w:ascii="宋体" w:hAnsi="宋体" w:eastAsia="宋体"/>
          <w:bCs/>
          <w:sz w:val="24"/>
        </w:rPr>
        <w:t>C.</w:t>
      </w:r>
      <w:r>
        <w:rPr>
          <w:rFonts w:hint="eastAsia" w:ascii="宋体" w:hAnsi="宋体" w:eastAsia="宋体"/>
          <w:bCs/>
          <w:sz w:val="24"/>
        </w:rPr>
        <w:t>照明</w:t>
      </w:r>
    </w:p>
    <w:p w14:paraId="19C6B81D">
      <w:pPr>
        <w:spacing w:line="336" w:lineRule="auto"/>
        <w:ind w:firstLine="1320" w:firstLineChars="550"/>
        <w:rPr>
          <w:rFonts w:ascii="宋体" w:hAnsi="宋体" w:eastAsia="宋体"/>
          <w:bCs/>
          <w:sz w:val="24"/>
        </w:rPr>
      </w:pPr>
      <w:r>
        <w:rPr>
          <w:rFonts w:ascii="宋体" w:hAnsi="宋体" w:eastAsia="宋体"/>
          <w:bCs/>
          <w:sz w:val="24"/>
        </w:rPr>
        <w:t>LED</w:t>
      </w:r>
      <w:r>
        <w:rPr>
          <w:rFonts w:hint="eastAsia" w:ascii="宋体" w:hAnsi="宋体" w:eastAsia="宋体"/>
          <w:bCs/>
          <w:sz w:val="24"/>
        </w:rPr>
        <w:t>灯</w:t>
      </w:r>
      <w:r>
        <w:rPr>
          <w:rFonts w:ascii="宋体" w:hAnsi="宋体" w:eastAsia="宋体"/>
          <w:bCs/>
          <w:sz w:val="24"/>
        </w:rPr>
        <w:t xml:space="preserve">                                      2</w:t>
      </w:r>
      <w:r>
        <w:rPr>
          <w:rFonts w:hint="eastAsia" w:ascii="宋体" w:hAnsi="宋体" w:eastAsia="宋体"/>
          <w:bCs/>
          <w:sz w:val="24"/>
        </w:rPr>
        <w:t>个</w:t>
      </w:r>
    </w:p>
    <w:p w14:paraId="0B2E7EA7">
      <w:pPr>
        <w:spacing w:line="336" w:lineRule="auto"/>
        <w:ind w:firstLine="480"/>
        <w:rPr>
          <w:rFonts w:ascii="宋体" w:hAnsi="宋体" w:eastAsia="宋体"/>
          <w:bCs/>
          <w:sz w:val="24"/>
        </w:rPr>
      </w:pPr>
      <w:r>
        <w:rPr>
          <w:rFonts w:ascii="宋体" w:hAnsi="宋体" w:eastAsia="宋体"/>
          <w:bCs/>
          <w:sz w:val="24"/>
        </w:rPr>
        <w:t>D.</w:t>
      </w:r>
      <w:r>
        <w:rPr>
          <w:rFonts w:hint="eastAsia" w:ascii="宋体" w:hAnsi="宋体" w:eastAsia="宋体"/>
          <w:bCs/>
          <w:sz w:val="24"/>
        </w:rPr>
        <w:t>报警联锁系统</w:t>
      </w:r>
    </w:p>
    <w:p w14:paraId="53DF47C5">
      <w:pPr>
        <w:spacing w:line="336" w:lineRule="auto"/>
        <w:ind w:firstLine="480"/>
        <w:rPr>
          <w:rFonts w:ascii="宋体" w:hAnsi="宋体" w:eastAsia="宋体"/>
          <w:bCs/>
          <w:sz w:val="24"/>
        </w:rPr>
      </w:pPr>
      <w:r>
        <w:rPr>
          <w:rFonts w:ascii="宋体" w:hAnsi="宋体" w:eastAsia="宋体"/>
          <w:bCs/>
          <w:sz w:val="24"/>
        </w:rPr>
        <w:t xml:space="preserve">       </w:t>
      </w:r>
      <w:r>
        <w:rPr>
          <w:rFonts w:hint="eastAsia" w:ascii="宋体" w:hAnsi="宋体" w:eastAsia="宋体"/>
          <w:bCs/>
          <w:sz w:val="24"/>
        </w:rPr>
        <w:t>可燃气体报警器（</w:t>
      </w:r>
      <w:r>
        <w:rPr>
          <w:rFonts w:ascii="宋体" w:hAnsi="宋体" w:eastAsia="宋体"/>
          <w:bCs/>
          <w:sz w:val="24"/>
        </w:rPr>
        <w:t>H2</w:t>
      </w:r>
      <w:r>
        <w:rPr>
          <w:rFonts w:hint="eastAsia" w:ascii="宋体" w:hAnsi="宋体" w:eastAsia="宋体"/>
          <w:bCs/>
          <w:sz w:val="24"/>
        </w:rPr>
        <w:t>）</w:t>
      </w:r>
      <w:r>
        <w:rPr>
          <w:rFonts w:ascii="宋体" w:hAnsi="宋体" w:eastAsia="宋体"/>
          <w:bCs/>
          <w:sz w:val="24"/>
        </w:rPr>
        <w:t xml:space="preserve">                       1</w:t>
      </w:r>
      <w:r>
        <w:rPr>
          <w:rFonts w:hint="eastAsia" w:ascii="宋体" w:hAnsi="宋体" w:eastAsia="宋体"/>
          <w:bCs/>
          <w:sz w:val="24"/>
        </w:rPr>
        <w:t>个</w:t>
      </w:r>
    </w:p>
    <w:p w14:paraId="0759A18B">
      <w:pPr>
        <w:spacing w:line="336" w:lineRule="auto"/>
        <w:ind w:firstLine="480"/>
        <w:rPr>
          <w:rFonts w:ascii="宋体" w:hAnsi="宋体" w:eastAsia="宋体"/>
          <w:bCs/>
          <w:sz w:val="24"/>
        </w:rPr>
      </w:pPr>
      <w:r>
        <w:rPr>
          <w:rFonts w:ascii="宋体" w:hAnsi="宋体" w:eastAsia="宋体"/>
          <w:bCs/>
          <w:sz w:val="24"/>
        </w:rPr>
        <w:t xml:space="preserve">       </w:t>
      </w:r>
      <w:r>
        <w:rPr>
          <w:rFonts w:hint="eastAsia" w:ascii="宋体" w:hAnsi="宋体" w:eastAsia="宋体"/>
          <w:bCs/>
          <w:sz w:val="24"/>
        </w:rPr>
        <w:t>声光报警器</w:t>
      </w:r>
      <w:r>
        <w:rPr>
          <w:rFonts w:ascii="宋体" w:hAnsi="宋体" w:eastAsia="宋体"/>
          <w:bCs/>
          <w:sz w:val="24"/>
        </w:rPr>
        <w:t xml:space="preserve">                                 1</w:t>
      </w:r>
      <w:r>
        <w:rPr>
          <w:rFonts w:hint="eastAsia" w:ascii="宋体" w:hAnsi="宋体" w:eastAsia="宋体"/>
          <w:bCs/>
          <w:sz w:val="24"/>
        </w:rPr>
        <w:t>个</w:t>
      </w:r>
    </w:p>
    <w:p w14:paraId="5F7170A4">
      <w:pPr>
        <w:pStyle w:val="41"/>
        <w:spacing w:line="360" w:lineRule="auto"/>
        <w:ind w:firstLine="422"/>
        <w:outlineLvl w:val="3"/>
        <w:rPr>
          <w:rFonts w:hint="eastAsia" w:ascii="宋体" w:hAnsi="宋体" w:eastAsia="宋体" w:cs="FZZD Extra JW"/>
          <w:b/>
        </w:rPr>
      </w:pPr>
      <w:r>
        <w:rPr>
          <w:rFonts w:hint="eastAsia" w:ascii="宋体" w:hAnsi="宋体" w:eastAsia="宋体" w:cs="FZZD Extra JW"/>
          <w:b/>
          <w:lang w:val="en-US" w:eastAsia="zh-CN"/>
        </w:rPr>
        <w:t xml:space="preserve">3.4.12 </w:t>
      </w:r>
      <w:r>
        <w:rPr>
          <w:rFonts w:hint="eastAsia" w:ascii="宋体" w:hAnsi="宋体" w:eastAsia="宋体" w:cs="FZZD Extra JW"/>
          <w:b/>
        </w:rPr>
        <w:t>视频监控系统</w:t>
      </w:r>
    </w:p>
    <w:p w14:paraId="73FFB74B">
      <w:pPr>
        <w:spacing w:line="336" w:lineRule="auto"/>
        <w:ind w:firstLine="480"/>
        <w:rPr>
          <w:rFonts w:hint="eastAsia" w:ascii="宋体" w:hAnsi="宋体" w:eastAsia="宋体"/>
          <w:bCs/>
          <w:sz w:val="24"/>
        </w:rPr>
      </w:pPr>
      <w:r>
        <w:rPr>
          <w:rFonts w:hint="eastAsia" w:ascii="宋体" w:hAnsi="宋体" w:eastAsia="宋体"/>
          <w:bCs/>
          <w:sz w:val="24"/>
        </w:rPr>
        <w:t>视频监控系统符合</w:t>
      </w:r>
      <w:r>
        <w:rPr>
          <w:rFonts w:hint="eastAsia" w:ascii="宋体" w:hAnsi="宋体" w:eastAsia="宋体"/>
          <w:bCs/>
          <w:sz w:val="24"/>
          <w:lang w:eastAsia="zh-CN"/>
        </w:rPr>
        <w:t>重庆市生态环境局办公室关于印发《重庆市固定污染源视频监控建设技术要求》的通知</w:t>
      </w:r>
      <w:r>
        <w:rPr>
          <w:rFonts w:hint="eastAsia" w:ascii="宋体" w:hAnsi="宋体" w:eastAsia="宋体"/>
          <w:bCs/>
          <w:sz w:val="24"/>
          <w:lang w:val="en-US" w:eastAsia="zh-CN"/>
        </w:rPr>
        <w:t>要</w:t>
      </w:r>
      <w:r>
        <w:rPr>
          <w:rFonts w:hint="eastAsia" w:ascii="宋体" w:hAnsi="宋体" w:eastAsia="宋体"/>
          <w:bCs/>
          <w:sz w:val="24"/>
        </w:rPr>
        <w:t>或在项目验收前日的最新规定或标准设计制作并安装调试视频监控系统，确保视频监控系统合法稳定运行。</w:t>
      </w:r>
    </w:p>
    <w:p w14:paraId="5CDF4967">
      <w:pPr>
        <w:pStyle w:val="13"/>
        <w:rPr>
          <w:rFonts w:hint="default" w:eastAsia="宋体"/>
          <w:lang w:val="en-US" w:eastAsia="zh-CN"/>
        </w:rPr>
      </w:pPr>
      <w:r>
        <w:rPr>
          <w:rFonts w:hint="eastAsia" w:eastAsia="宋体"/>
          <w:bCs/>
          <w:sz w:val="24"/>
          <w:lang w:val="en-US" w:eastAsia="zh-CN"/>
        </w:rPr>
        <w:t>视频监控系统配置清单：</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4585"/>
        <w:gridCol w:w="1283"/>
        <w:gridCol w:w="999"/>
        <w:gridCol w:w="999"/>
      </w:tblGrid>
      <w:tr w14:paraId="0B44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65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5583C">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规格型号</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62B0">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需求数量</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04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单位</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AD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8E3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C2C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视频摄像机</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416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kern w:val="0"/>
                <w:sz w:val="24"/>
                <w:szCs w:val="24"/>
                <w:u w:val="none"/>
                <w:lang w:val="en-US" w:eastAsia="zh-CN" w:bidi="ar"/>
              </w:rPr>
              <w:t>不低于200万像素，可360°旋转，光学变倍不小于20倍，夜视距离不低于</w:t>
            </w:r>
            <w:r>
              <w:rPr>
                <w:rFonts w:hint="eastAsia" w:ascii="宋体" w:hAnsi="宋体" w:eastAsia="宋体" w:cs="宋体"/>
                <w:i w:val="0"/>
                <w:iCs w:val="0"/>
                <w:color w:val="000000"/>
                <w:kern w:val="0"/>
                <w:sz w:val="24"/>
                <w:szCs w:val="24"/>
                <w:u w:val="none"/>
                <w:lang w:val="en-US" w:eastAsia="zh-CN" w:bidi="ar"/>
              </w:rPr>
              <w:t>10</w:t>
            </w:r>
            <w:r>
              <w:rPr>
                <w:rFonts w:hint="default" w:ascii="宋体" w:hAnsi="宋体" w:eastAsia="宋体" w:cs="宋体"/>
                <w:i w:val="0"/>
                <w:iCs w:val="0"/>
                <w:color w:val="000000"/>
                <w:kern w:val="0"/>
                <w:sz w:val="24"/>
                <w:szCs w:val="24"/>
                <w:u w:val="none"/>
                <w:lang w:val="en-US" w:eastAsia="zh-CN" w:bidi="ar"/>
              </w:rPr>
              <w:t>0米</w:t>
            </w:r>
            <w:r>
              <w:rPr>
                <w:rFonts w:hint="eastAsia" w:ascii="宋体" w:hAnsi="宋体" w:eastAsia="宋体" w:cs="宋体"/>
                <w:i w:val="0"/>
                <w:iCs w:val="0"/>
                <w:color w:val="000000"/>
                <w:kern w:val="0"/>
                <w:sz w:val="24"/>
                <w:szCs w:val="24"/>
                <w:u w:val="none"/>
                <w:lang w:val="en-US" w:eastAsia="zh-CN" w:bidi="ar"/>
              </w:rPr>
              <w:t xml:space="preserve">；支持H.265，H.264编码；支持ONVIF协议，GB28181协议； </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DA6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1E9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项</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8E0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r>
      <w:tr w14:paraId="15CF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F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视频录像机</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01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至少支持8路1080P高清摄像机输入，便于后期扩展；支持H.265，H.264编码；支持ONVIF协议，GB28181协议；最少支持3块硬盘，保证视频录像存储时间不低于1年；支持VGA、HDMI输出接口。存贮时间不少于1年</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E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D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9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D55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8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监控硬盘</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94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12000G，全新机械硬盘。硬盘质保3年。</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C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D5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D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3064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4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交换机</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956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8口百兆交换机、16口百兆交换机</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8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D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9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31D5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E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监视器</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FD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尺寸不低于21寸</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5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0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2E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73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6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安装附件</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3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机柜、电缆等</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D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4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B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按需</w:t>
            </w:r>
          </w:p>
        </w:tc>
      </w:tr>
    </w:tbl>
    <w:p w14:paraId="4167F08E">
      <w:pPr>
        <w:pStyle w:val="13"/>
        <w:rPr>
          <w:rFonts w:hint="eastAsia" w:ascii="宋体" w:hAnsi="宋体" w:eastAsia="宋体"/>
          <w:bCs/>
          <w:sz w:val="24"/>
        </w:rPr>
      </w:pPr>
    </w:p>
    <w:p w14:paraId="20E503AD">
      <w:pPr>
        <w:rPr>
          <w:rFonts w:hint="eastAsia"/>
        </w:rPr>
      </w:pPr>
    </w:p>
    <w:p w14:paraId="6FF39BC9">
      <w:pPr>
        <w:pStyle w:val="41"/>
        <w:spacing w:line="360" w:lineRule="auto"/>
        <w:ind w:firstLine="422"/>
        <w:outlineLvl w:val="3"/>
        <w:rPr>
          <w:rFonts w:hint="eastAsia" w:ascii="宋体" w:hAnsi="宋体" w:eastAsia="宋体" w:cs="FZZD Extra JW"/>
          <w:b/>
          <w:lang w:val="en-US" w:eastAsia="zh-CN"/>
        </w:rPr>
      </w:pPr>
      <w:r>
        <w:rPr>
          <w:rFonts w:ascii="宋体" w:hAnsi="宋体" w:eastAsia="宋体" w:cs="FZZD Extra JW"/>
          <w:b/>
        </w:rPr>
        <w:t>3.4.1</w:t>
      </w:r>
      <w:r>
        <w:rPr>
          <w:rFonts w:hint="eastAsia" w:ascii="宋体" w:hAnsi="宋体" w:eastAsia="宋体" w:cs="FZZD Extra JW"/>
          <w:b/>
          <w:lang w:val="en-US" w:eastAsia="zh-CN"/>
        </w:rPr>
        <w:t>3</w:t>
      </w:r>
      <w:r>
        <w:rPr>
          <w:rFonts w:ascii="宋体" w:hAnsi="宋体" w:eastAsia="宋体" w:cs="FZZD Extra JW"/>
          <w:b/>
        </w:rPr>
        <w:t xml:space="preserve"> </w:t>
      </w:r>
      <w:r>
        <w:rPr>
          <w:rFonts w:hint="eastAsia" w:ascii="宋体" w:hAnsi="宋体" w:eastAsia="宋体" w:cs="FZZD Extra JW"/>
          <w:b/>
        </w:rPr>
        <w:t>温压流检测仪</w:t>
      </w:r>
      <w:r>
        <w:rPr>
          <w:rFonts w:hint="eastAsia" w:ascii="宋体" w:hAnsi="宋体" w:eastAsia="宋体" w:cs="FZZD Extra JW"/>
          <w:b/>
          <w:lang w:val="en-US" w:eastAsia="zh-CN"/>
        </w:rPr>
        <w:t>（利旧）</w:t>
      </w:r>
    </w:p>
    <w:p w14:paraId="7450A309">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温压流一体机，1套，型号TFP-400，品牌：康测，</w:t>
      </w:r>
    </w:p>
    <w:p w14:paraId="7A1C70D6">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 xml:space="preserve">设置量程：温度测量范围：0～400℃ </w:t>
      </w:r>
    </w:p>
    <w:p w14:paraId="785015E5">
      <w:pPr>
        <w:spacing w:line="336" w:lineRule="auto"/>
        <w:ind w:firstLine="1742" w:firstLineChars="726"/>
        <w:rPr>
          <w:rFonts w:hint="eastAsia" w:ascii="宋体" w:hAnsi="宋体" w:eastAsia="宋体"/>
          <w:bCs/>
          <w:sz w:val="24"/>
          <w:lang w:val="en-US" w:eastAsia="zh-CN"/>
        </w:rPr>
      </w:pPr>
      <w:r>
        <w:rPr>
          <w:rFonts w:hint="eastAsia" w:ascii="宋体" w:hAnsi="宋体" w:eastAsia="宋体"/>
          <w:bCs/>
          <w:sz w:val="24"/>
          <w:lang w:val="en-US" w:eastAsia="zh-CN"/>
        </w:rPr>
        <w:t xml:space="preserve">压力测量范围：-5～5kPa </w:t>
      </w:r>
    </w:p>
    <w:p w14:paraId="04A684A3">
      <w:pPr>
        <w:spacing w:line="336" w:lineRule="auto"/>
        <w:ind w:firstLine="1742" w:firstLineChars="726"/>
        <w:rPr>
          <w:rFonts w:hint="default" w:ascii="宋体" w:hAnsi="宋体" w:eastAsia="宋体"/>
          <w:bCs/>
          <w:sz w:val="24"/>
          <w:lang w:val="en-US" w:eastAsia="zh-CN"/>
        </w:rPr>
      </w:pPr>
      <w:r>
        <w:rPr>
          <w:rFonts w:hint="eastAsia" w:ascii="宋体" w:hAnsi="宋体" w:eastAsia="宋体"/>
          <w:bCs/>
          <w:sz w:val="24"/>
          <w:lang w:val="en-US" w:eastAsia="zh-CN"/>
        </w:rPr>
        <w:t xml:space="preserve">流速测量范围：0～40m/s </w:t>
      </w:r>
    </w:p>
    <w:p w14:paraId="30AA2AEA">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湿度仪，1套，型号RHD-400，品牌：康测 湿度量程 0-40%v/v</w:t>
      </w:r>
    </w:p>
    <w:p w14:paraId="210CBFE3">
      <w:pPr>
        <w:pStyle w:val="41"/>
        <w:spacing w:line="360" w:lineRule="auto"/>
        <w:ind w:firstLine="422"/>
        <w:outlineLvl w:val="3"/>
        <w:rPr>
          <w:rFonts w:hint="eastAsia" w:ascii="宋体" w:hAnsi="宋体" w:eastAsia="宋体" w:cs="FZZD Extra JW"/>
          <w:b/>
          <w:lang w:val="en-US" w:eastAsia="zh-CN"/>
        </w:rPr>
      </w:pPr>
      <w:r>
        <w:rPr>
          <w:rFonts w:ascii="宋体" w:hAnsi="宋体" w:eastAsia="宋体" w:cs="FZZD Extra JW"/>
          <w:b/>
        </w:rPr>
        <w:t>3.4.1</w:t>
      </w:r>
      <w:r>
        <w:rPr>
          <w:rFonts w:hint="eastAsia" w:ascii="宋体" w:hAnsi="宋体" w:eastAsia="宋体" w:cs="FZZD Extra JW"/>
          <w:b/>
          <w:lang w:val="en-US" w:eastAsia="zh-CN"/>
        </w:rPr>
        <w:t>4</w:t>
      </w:r>
      <w:r>
        <w:rPr>
          <w:rFonts w:ascii="宋体" w:hAnsi="宋体" w:eastAsia="宋体" w:cs="FZZD Extra JW"/>
          <w:b/>
        </w:rPr>
        <w:t xml:space="preserve"> </w:t>
      </w:r>
      <w:r>
        <w:rPr>
          <w:rFonts w:hint="eastAsia" w:ascii="宋体" w:hAnsi="宋体" w:eastAsia="宋体" w:cs="FZZD Extra JW"/>
          <w:b/>
          <w:lang w:val="en-US" w:eastAsia="zh-CN"/>
        </w:rPr>
        <w:t>数采仪（利旧）</w:t>
      </w:r>
    </w:p>
    <w:p w14:paraId="110D2733">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数采仪，1台，型号K37A，品牌：博控</w:t>
      </w:r>
    </w:p>
    <w:p w14:paraId="021FAD98">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通讯传输：移动，传输方式：光纤</w:t>
      </w:r>
    </w:p>
    <w:p w14:paraId="74439DEF">
      <w:pPr>
        <w:pStyle w:val="13"/>
      </w:pPr>
    </w:p>
    <w:p w14:paraId="46214AF2">
      <w:pPr>
        <w:pStyle w:val="5"/>
        <w:spacing w:before="0" w:after="0" w:line="360" w:lineRule="auto"/>
        <w:rPr>
          <w:rFonts w:ascii="宋体" w:hAnsi="宋体"/>
          <w:sz w:val="28"/>
          <w:szCs w:val="28"/>
        </w:rPr>
      </w:pPr>
      <w:r>
        <w:rPr>
          <w:rFonts w:ascii="宋体" w:hAnsi="宋体"/>
          <w:sz w:val="28"/>
          <w:szCs w:val="28"/>
        </w:rPr>
        <w:t xml:space="preserve">3.5 </w:t>
      </w:r>
      <w:r>
        <w:rPr>
          <w:rFonts w:hint="eastAsia" w:ascii="宋体" w:hAnsi="宋体"/>
          <w:sz w:val="28"/>
          <w:szCs w:val="28"/>
        </w:rPr>
        <w:t>其他要求</w:t>
      </w:r>
    </w:p>
    <w:p w14:paraId="656D3F53">
      <w:pPr>
        <w:pStyle w:val="41"/>
        <w:spacing w:line="360" w:lineRule="auto"/>
        <w:ind w:firstLine="422"/>
        <w:outlineLvl w:val="3"/>
        <w:rPr>
          <w:rFonts w:ascii="宋体" w:hAnsi="宋体" w:eastAsia="宋体" w:cs="FZZD Extra JW"/>
          <w:b/>
        </w:rPr>
      </w:pPr>
      <w:r>
        <w:rPr>
          <w:rFonts w:ascii="宋体" w:hAnsi="宋体" w:eastAsia="宋体" w:cs="FZZD Extra JW"/>
          <w:b/>
        </w:rPr>
        <w:t xml:space="preserve">3.5.1 </w:t>
      </w:r>
      <w:r>
        <w:rPr>
          <w:rFonts w:hint="eastAsia" w:ascii="宋体" w:hAnsi="宋体" w:eastAsia="宋体" w:cs="FZZD Extra JW"/>
          <w:b/>
        </w:rPr>
        <w:t>联网备案</w:t>
      </w:r>
    </w:p>
    <w:p w14:paraId="6E9C838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负责现场端和监控平台的数据传输，数据传输需执行《污染物在线监控（监测）系统数据传输标准》（</w:t>
      </w:r>
      <w:r>
        <w:rPr>
          <w:rFonts w:ascii="宋体" w:hAnsi="宋体" w:eastAsia="宋体" w:cs="宋体"/>
          <w:color w:val="000000"/>
          <w:sz w:val="24"/>
        </w:rPr>
        <w:t>HJ 212），自动监控设施数据采集</w:t>
      </w:r>
      <w:r>
        <w:rPr>
          <w:rFonts w:hint="eastAsia" w:ascii="宋体" w:hAnsi="宋体" w:eastAsia="宋体" w:cs="宋体"/>
          <w:color w:val="000000"/>
          <w:sz w:val="24"/>
        </w:rPr>
        <w:t>传输仪需满足《污染源在线自动监控（监测）数据采集传输仪技术要求》（</w:t>
      </w:r>
      <w:r>
        <w:rPr>
          <w:rFonts w:ascii="宋体" w:hAnsi="宋体" w:eastAsia="宋体" w:cs="宋体"/>
          <w:color w:val="000000"/>
          <w:sz w:val="24"/>
        </w:rPr>
        <w:t>HJ 477），不得添加其他可能干扰监测数据存储、处理、传输的软件或设备。如国家或</w:t>
      </w:r>
      <w:r>
        <w:rPr>
          <w:rFonts w:hint="eastAsia" w:ascii="宋体" w:hAnsi="宋体" w:eastAsia="宋体" w:cs="宋体"/>
          <w:color w:val="000000"/>
          <w:sz w:val="24"/>
          <w:lang w:val="en-US" w:eastAsia="zh-CN"/>
        </w:rPr>
        <w:t>重庆</w:t>
      </w:r>
      <w:r>
        <w:rPr>
          <w:rFonts w:ascii="宋体" w:hAnsi="宋体" w:eastAsia="宋体" w:cs="宋体"/>
          <w:color w:val="000000"/>
          <w:sz w:val="24"/>
        </w:rPr>
        <w:t>出台新的数据传输技术要求，</w:t>
      </w:r>
      <w:r>
        <w:rPr>
          <w:rFonts w:hint="eastAsia" w:ascii="宋体" w:hAnsi="宋体" w:eastAsia="宋体" w:cs="宋体"/>
          <w:color w:val="000000"/>
          <w:sz w:val="24"/>
          <w:lang w:eastAsia="zh-CN"/>
        </w:rPr>
        <w:t>供应商</w:t>
      </w:r>
      <w:r>
        <w:rPr>
          <w:rFonts w:ascii="宋体" w:hAnsi="宋体" w:eastAsia="宋体" w:cs="宋体"/>
          <w:color w:val="000000"/>
          <w:sz w:val="24"/>
        </w:rPr>
        <w:t>须配合</w:t>
      </w:r>
      <w:r>
        <w:rPr>
          <w:rFonts w:hint="eastAsia" w:ascii="宋体" w:hAnsi="宋体" w:eastAsia="宋体" w:cs="宋体"/>
          <w:color w:val="000000"/>
          <w:sz w:val="24"/>
          <w:lang w:eastAsia="zh-CN"/>
        </w:rPr>
        <w:t>我方</w:t>
      </w:r>
      <w:r>
        <w:rPr>
          <w:rFonts w:ascii="宋体" w:hAnsi="宋体" w:eastAsia="宋体" w:cs="宋体"/>
          <w:color w:val="000000"/>
          <w:sz w:val="24"/>
        </w:rPr>
        <w:t>按要求及时更新。</w:t>
      </w:r>
      <w:r>
        <w:rPr>
          <w:rFonts w:hint="eastAsia" w:ascii="宋体" w:hAnsi="宋体" w:eastAsia="宋体" w:cs="宋体"/>
          <w:color w:val="000000"/>
          <w:sz w:val="24"/>
          <w:lang w:eastAsia="zh-CN"/>
        </w:rPr>
        <w:t>我方</w:t>
      </w:r>
      <w:r>
        <w:rPr>
          <w:rFonts w:ascii="宋体" w:hAnsi="宋体" w:eastAsia="宋体" w:cs="宋体"/>
          <w:color w:val="000000"/>
          <w:sz w:val="24"/>
        </w:rPr>
        <w:t>有权选择</w:t>
      </w:r>
      <w:r>
        <w:rPr>
          <w:rFonts w:hint="eastAsia" w:ascii="宋体" w:hAnsi="宋体" w:eastAsia="宋体" w:cs="宋体"/>
          <w:color w:val="000000"/>
          <w:sz w:val="24"/>
        </w:rPr>
        <w:t>最经济、适用的第三方单位实施。</w:t>
      </w:r>
    </w:p>
    <w:p w14:paraId="36BDC634">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自动监控设备完成安装、调试检测并和主管部门联网后，应及时进行备案收录。由</w:t>
      </w:r>
      <w:r>
        <w:rPr>
          <w:rFonts w:hint="eastAsia" w:ascii="宋体" w:hAnsi="宋体" w:eastAsia="宋体" w:cs="宋体"/>
          <w:color w:val="000000"/>
          <w:sz w:val="24"/>
          <w:lang w:eastAsia="zh-CN"/>
        </w:rPr>
        <w:t>供应商</w:t>
      </w:r>
      <w:r>
        <w:rPr>
          <w:rFonts w:hint="eastAsia" w:ascii="宋体" w:hAnsi="宋体" w:eastAsia="宋体" w:cs="宋体"/>
          <w:color w:val="000000"/>
          <w:sz w:val="24"/>
        </w:rPr>
        <w:t>组织进行备案文件的编制，将相关材料形成《自动监控设备备案文件》，文件完成后</w:t>
      </w:r>
      <w:r>
        <w:rPr>
          <w:rFonts w:ascii="宋体" w:hAnsi="宋体" w:eastAsia="宋体" w:cs="宋体"/>
          <w:color w:val="000000"/>
          <w:sz w:val="24"/>
        </w:rPr>
        <w:t>5个工作日内</w:t>
      </w:r>
      <w:r>
        <w:rPr>
          <w:rFonts w:hint="eastAsia" w:ascii="宋体" w:hAnsi="宋体" w:eastAsia="宋体" w:cs="宋体"/>
          <w:color w:val="000000"/>
          <w:sz w:val="24"/>
          <w:lang w:eastAsia="zh-CN"/>
        </w:rPr>
        <w:t>供应商</w:t>
      </w:r>
      <w:r>
        <w:rPr>
          <w:rFonts w:ascii="宋体" w:hAnsi="宋体" w:eastAsia="宋体" w:cs="宋体"/>
          <w:color w:val="000000"/>
          <w:sz w:val="24"/>
        </w:rPr>
        <w:t>将备案文件（含电子版）报送至辖区环保主管部门备案收录。</w:t>
      </w:r>
    </w:p>
    <w:p w14:paraId="106E2059">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免费提供系统备案前所需的设备、试剂、标准物质，应注明制备单位、制备人员、制备日期、物质浓度和有效期限等重要信息。</w:t>
      </w:r>
    </w:p>
    <w:p w14:paraId="5C47D760">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联网备案需要的比对由</w:t>
      </w:r>
      <w:r>
        <w:rPr>
          <w:rFonts w:hint="eastAsia" w:ascii="宋体" w:hAnsi="宋体" w:eastAsia="宋体" w:cs="宋体"/>
          <w:color w:val="000000"/>
          <w:sz w:val="24"/>
          <w:lang w:eastAsia="zh-CN"/>
        </w:rPr>
        <w:t>供应商</w:t>
      </w:r>
      <w:r>
        <w:rPr>
          <w:rFonts w:hint="eastAsia" w:ascii="宋体" w:hAnsi="宋体" w:eastAsia="宋体" w:cs="宋体"/>
          <w:color w:val="000000"/>
          <w:sz w:val="24"/>
        </w:rPr>
        <w:t>负责，</w:t>
      </w:r>
      <w:r>
        <w:rPr>
          <w:rFonts w:hint="eastAsia" w:ascii="宋体" w:hAnsi="宋体" w:eastAsia="宋体" w:cs="宋体"/>
          <w:color w:val="000000"/>
          <w:sz w:val="24"/>
          <w:lang w:eastAsia="zh-CN"/>
        </w:rPr>
        <w:t>供应商</w:t>
      </w:r>
      <w:r>
        <w:rPr>
          <w:rFonts w:hint="eastAsia" w:ascii="宋体" w:hAnsi="宋体" w:eastAsia="宋体" w:cs="宋体"/>
          <w:color w:val="000000"/>
          <w:sz w:val="24"/>
        </w:rPr>
        <w:t>负责委托第三方比对机构进行现场比对检测，并出具有效的比对报告。</w:t>
      </w:r>
    </w:p>
    <w:p w14:paraId="60A0A0ED">
      <w:pPr>
        <w:pStyle w:val="41"/>
        <w:spacing w:line="360" w:lineRule="auto"/>
        <w:ind w:firstLine="422"/>
        <w:outlineLvl w:val="3"/>
        <w:rPr>
          <w:rFonts w:ascii="宋体" w:hAnsi="宋体" w:eastAsia="宋体" w:cs="FZZD Extra JW"/>
          <w:b/>
        </w:rPr>
      </w:pPr>
      <w:r>
        <w:rPr>
          <w:rFonts w:ascii="宋体" w:hAnsi="宋体" w:eastAsia="宋体" w:cs="FZZD Extra JW"/>
          <w:b/>
        </w:rPr>
        <w:t xml:space="preserve">3.5.2 </w:t>
      </w:r>
      <w:r>
        <w:rPr>
          <w:rFonts w:hint="eastAsia" w:ascii="宋体" w:hAnsi="宋体" w:eastAsia="宋体" w:cs="FZZD Extra JW"/>
          <w:b/>
        </w:rPr>
        <w:t>产品质量及保证</w:t>
      </w:r>
    </w:p>
    <w:p w14:paraId="53F08B7C">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保证所供产品必须是全新的，原装正品，完全符合国家规定的质量标准，并提供产品合格证明。</w:t>
      </w:r>
    </w:p>
    <w:p w14:paraId="5A10F1D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在质量保证期内，发现货物的质量或规格与合同规定不符，或证明货物有缺陷，</w:t>
      </w:r>
      <w:r>
        <w:rPr>
          <w:rFonts w:hint="eastAsia" w:ascii="宋体" w:hAnsi="宋体" w:eastAsia="宋体" w:cs="宋体"/>
          <w:color w:val="000000"/>
          <w:sz w:val="24"/>
          <w:lang w:eastAsia="zh-CN"/>
        </w:rPr>
        <w:t>我方</w:t>
      </w:r>
      <w:r>
        <w:rPr>
          <w:rFonts w:hint="eastAsia" w:ascii="宋体" w:hAnsi="宋体" w:eastAsia="宋体" w:cs="宋体"/>
          <w:color w:val="000000"/>
          <w:sz w:val="24"/>
        </w:rPr>
        <w:t>有权向供方提出索赔。</w:t>
      </w:r>
    </w:p>
    <w:p w14:paraId="33E417DC">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在质量保证期内，货物出现非人为质量问题，</w:t>
      </w:r>
      <w:r>
        <w:rPr>
          <w:rFonts w:hint="eastAsia" w:ascii="宋体" w:hAnsi="宋体" w:eastAsia="宋体" w:cs="宋体"/>
          <w:color w:val="000000"/>
          <w:sz w:val="24"/>
          <w:lang w:eastAsia="zh-CN"/>
        </w:rPr>
        <w:t>供应商</w:t>
      </w:r>
      <w:r>
        <w:rPr>
          <w:rFonts w:hint="eastAsia" w:ascii="宋体" w:hAnsi="宋体" w:eastAsia="宋体" w:cs="宋体"/>
          <w:color w:val="000000"/>
          <w:sz w:val="24"/>
        </w:rPr>
        <w:t>应负责维修或更换。</w:t>
      </w:r>
    </w:p>
    <w:p w14:paraId="5EAA04E7">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每台仪器须经检验合格后方可出厂，并附有产品合格证书。提供的设备符合投标文件承诺和所签合同规定的技术要求。</w:t>
      </w:r>
    </w:p>
    <w:p w14:paraId="2B613AB7">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安全要求：设备安全防护装置齐全，安全标识规范并汉化，符合有关</w:t>
      </w:r>
      <w:r>
        <w:rPr>
          <w:rFonts w:hint="eastAsia" w:ascii="宋体" w:hAnsi="宋体" w:eastAsia="宋体" w:cs="宋体"/>
          <w:color w:val="000000"/>
          <w:sz w:val="24"/>
          <w:lang w:eastAsia="zh-CN"/>
        </w:rPr>
        <w:t>我方</w:t>
      </w:r>
      <w:r>
        <w:rPr>
          <w:rFonts w:hint="eastAsia" w:ascii="宋体" w:hAnsi="宋体" w:eastAsia="宋体" w:cs="宋体"/>
          <w:color w:val="000000"/>
          <w:sz w:val="24"/>
        </w:rPr>
        <w:t>安全生产标准化及有关安全生产规定要求。</w:t>
      </w:r>
    </w:p>
    <w:p w14:paraId="1E7202BB">
      <w:pPr>
        <w:pStyle w:val="41"/>
        <w:spacing w:line="360" w:lineRule="auto"/>
        <w:ind w:firstLine="422"/>
        <w:outlineLvl w:val="3"/>
        <w:rPr>
          <w:rFonts w:ascii="宋体" w:hAnsi="宋体" w:eastAsia="宋体" w:cs="宋体"/>
        </w:rPr>
      </w:pPr>
      <w:r>
        <w:rPr>
          <w:rFonts w:ascii="宋体" w:hAnsi="宋体" w:eastAsia="宋体" w:cs="FZZD Extra JW"/>
          <w:b/>
        </w:rPr>
        <w:t xml:space="preserve">3.5.3 </w:t>
      </w:r>
      <w:bookmarkStart w:id="43" w:name="_Toc31125"/>
      <w:bookmarkStart w:id="44" w:name="_Toc40372019"/>
      <w:r>
        <w:rPr>
          <w:rFonts w:hint="eastAsia" w:ascii="宋体" w:hAnsi="宋体" w:eastAsia="宋体" w:cs="FZZD Extra JW"/>
          <w:b/>
        </w:rPr>
        <w:t>软件</w:t>
      </w:r>
      <w:bookmarkEnd w:id="43"/>
      <w:bookmarkEnd w:id="44"/>
    </w:p>
    <w:p w14:paraId="47D302E8">
      <w:pPr>
        <w:adjustRightInd w:val="0"/>
        <w:snapToGrid w:val="0"/>
        <w:spacing w:line="360" w:lineRule="auto"/>
        <w:ind w:firstLine="480" w:firstLineChars="200"/>
        <w:rPr>
          <w:rFonts w:ascii="宋体" w:hAnsi="宋体" w:eastAsia="宋体" w:cs="宋体"/>
          <w:color w:val="000000"/>
          <w:sz w:val="24"/>
        </w:rPr>
      </w:pPr>
      <w:r>
        <w:rPr>
          <w:rFonts w:ascii="宋体" w:hAnsi="宋体" w:eastAsia="宋体" w:cs="宋体"/>
          <w:color w:val="000000"/>
          <w:sz w:val="24"/>
        </w:rPr>
        <w:t>1.操作系统为中文正版WINDOWS专业版系统。</w:t>
      </w:r>
    </w:p>
    <w:p w14:paraId="3A88B9E4">
      <w:pPr>
        <w:adjustRightInd w:val="0"/>
        <w:snapToGrid w:val="0"/>
        <w:spacing w:line="360" w:lineRule="auto"/>
        <w:ind w:firstLine="480" w:firstLineChars="200"/>
        <w:rPr>
          <w:rFonts w:ascii="宋体" w:hAnsi="宋体" w:eastAsia="宋体" w:cs="宋体"/>
          <w:color w:val="000000"/>
          <w:sz w:val="24"/>
        </w:rPr>
      </w:pPr>
      <w:r>
        <w:rPr>
          <w:rFonts w:ascii="宋体" w:hAnsi="宋体" w:eastAsia="宋体" w:cs="宋体"/>
          <w:color w:val="000000"/>
          <w:sz w:val="24"/>
        </w:rPr>
        <w:t>2.管理人员可以根据预设的权限在系统内进行各项资料的存取和监控。</w:t>
      </w:r>
    </w:p>
    <w:p w14:paraId="06F48461">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val="en-US" w:eastAsia="zh-CN"/>
        </w:rPr>
        <w:t>3.</w:t>
      </w:r>
      <w:r>
        <w:rPr>
          <w:rFonts w:ascii="宋体" w:hAnsi="宋体" w:eastAsia="宋体" w:cs="宋体"/>
          <w:color w:val="000000"/>
          <w:sz w:val="24"/>
        </w:rPr>
        <w:t>系统应具有数据实时备份功能，备份的方式应符合实际场地条件等。</w:t>
      </w:r>
    </w:p>
    <w:p w14:paraId="4840AE8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val="en-US" w:eastAsia="zh-CN"/>
        </w:rPr>
        <w:t>4</w:t>
      </w:r>
      <w:r>
        <w:rPr>
          <w:rFonts w:ascii="宋体" w:hAnsi="宋体" w:eastAsia="宋体" w:cs="宋体"/>
          <w:color w:val="000000"/>
          <w:sz w:val="24"/>
        </w:rPr>
        <w:t>.供方需提供生产过程中突发停电情况下，软硬件系统处理方案</w:t>
      </w:r>
      <w:r>
        <w:rPr>
          <w:rFonts w:hint="eastAsia" w:ascii="宋体" w:hAnsi="宋体" w:eastAsia="宋体" w:cs="宋体"/>
          <w:color w:val="000000"/>
          <w:sz w:val="24"/>
        </w:rPr>
        <w:t>。</w:t>
      </w:r>
    </w:p>
    <w:p w14:paraId="02E94E4B">
      <w:pPr>
        <w:pStyle w:val="41"/>
        <w:spacing w:line="360" w:lineRule="auto"/>
        <w:ind w:firstLine="422"/>
        <w:outlineLvl w:val="3"/>
        <w:rPr>
          <w:rFonts w:ascii="宋体" w:hAnsi="宋体" w:eastAsia="宋体" w:cs="FZZD Extra JW"/>
          <w:b/>
        </w:rPr>
      </w:pPr>
      <w:bookmarkStart w:id="45" w:name="_Toc7074"/>
      <w:bookmarkStart w:id="46" w:name="_Toc40372022"/>
      <w:r>
        <w:rPr>
          <w:rFonts w:ascii="宋体" w:hAnsi="宋体" w:eastAsia="宋体" w:cs="FZZD Extra JW"/>
          <w:b/>
        </w:rPr>
        <w:t>3.5.4 安全环保要求</w:t>
      </w:r>
      <w:bookmarkEnd w:id="45"/>
      <w:bookmarkEnd w:id="46"/>
    </w:p>
    <w:p w14:paraId="155244BF">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（1）设备需满足</w:t>
      </w:r>
      <w:r>
        <w:rPr>
          <w:rFonts w:ascii="宋体" w:hAnsi="宋体" w:eastAsia="宋体" w:cs="宋体"/>
          <w:color w:val="000000"/>
          <w:sz w:val="24"/>
        </w:rPr>
        <w:t>EHS相关法规，保证操作人员安全。提供详细的安全防护指引，防止人员使用过程受伤害。系统或设备应考虑人身、操作和设备安全，设置必要的警示、防护、控制、显示、故障连锁等有效可靠的机械防护结构和安全控制装置。</w:t>
      </w:r>
    </w:p>
    <w:p w14:paraId="446C78AE">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（2）电气控制应设有过载保护、短路保护、漏电保护、缺相保护、欠压及失压保护和连锁等保护装置，以确保系统工作安全可靠、稳定。</w:t>
      </w:r>
    </w:p>
    <w:p w14:paraId="5EB762E3">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（3）控制柜必须有良好接地保护，防止触电事故发生。</w:t>
      </w:r>
    </w:p>
    <w:p w14:paraId="17208183">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（4）低压接线（</w:t>
      </w:r>
      <w:r>
        <w:rPr>
          <w:rFonts w:ascii="宋体" w:hAnsi="宋体" w:eastAsia="宋体" w:cs="宋体"/>
          <w:color w:val="000000"/>
          <w:sz w:val="24"/>
        </w:rPr>
        <w:t>24VDC和通讯/信号线路）应与控制盒中的控制电压和较高的电压隔离开。</w:t>
      </w:r>
    </w:p>
    <w:p w14:paraId="494C281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（5）仪器仪表及传感器应符合相应行业的国家标准安全规范和</w:t>
      </w:r>
      <w:r>
        <w:rPr>
          <w:rFonts w:ascii="宋体" w:hAnsi="宋体" w:eastAsia="宋体" w:cs="宋体"/>
          <w:color w:val="000000"/>
          <w:sz w:val="24"/>
        </w:rPr>
        <w:t>GB50131-2013。</w:t>
      </w:r>
    </w:p>
    <w:p w14:paraId="11FCABFD">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（6）突然停电时设备应进入安全状态，全部关闭，当恢复供电，没有信号输出，设备不能重新启动。</w:t>
      </w:r>
    </w:p>
    <w:p w14:paraId="334F2688">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（7）设备的噪音等级应该尽可能的低，设备周围</w:t>
      </w:r>
      <w:r>
        <w:rPr>
          <w:rFonts w:ascii="宋体" w:hAnsi="宋体" w:eastAsia="宋体" w:cs="宋体"/>
          <w:color w:val="000000"/>
          <w:sz w:val="24"/>
        </w:rPr>
        <w:t>1米噪声不得超过75分贝。</w:t>
      </w:r>
    </w:p>
    <w:p w14:paraId="011DFFE2">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（8）设备应有清晰、醒目、耐用的安全标识。</w:t>
      </w:r>
    </w:p>
    <w:p w14:paraId="0B85AA1B">
      <w:pPr>
        <w:pStyle w:val="41"/>
        <w:spacing w:line="360" w:lineRule="auto"/>
        <w:ind w:firstLine="422"/>
        <w:outlineLvl w:val="3"/>
        <w:rPr>
          <w:rFonts w:ascii="宋体" w:hAnsi="宋体" w:eastAsia="宋体" w:cs="FZZD Extra JW"/>
          <w:b/>
        </w:rPr>
      </w:pPr>
      <w:bookmarkStart w:id="47" w:name="_Toc40372023"/>
      <w:bookmarkStart w:id="48" w:name="_Toc24422"/>
      <w:r>
        <w:rPr>
          <w:rFonts w:ascii="宋体" w:hAnsi="宋体" w:eastAsia="宋体" w:cs="FZZD Extra JW"/>
          <w:b/>
        </w:rPr>
        <w:t>3.5.</w:t>
      </w:r>
      <w:bookmarkEnd w:id="47"/>
      <w:bookmarkEnd w:id="48"/>
      <w:bookmarkStart w:id="49" w:name="_Toc40372024"/>
      <w:bookmarkStart w:id="50" w:name="_Toc24621"/>
      <w:r>
        <w:rPr>
          <w:rFonts w:ascii="宋体" w:hAnsi="宋体" w:eastAsia="宋体" w:cs="FZZD Extra JW"/>
          <w:b/>
        </w:rPr>
        <w:t>5 施工要求</w:t>
      </w:r>
      <w:bookmarkEnd w:id="49"/>
      <w:bookmarkEnd w:id="50"/>
    </w:p>
    <w:p w14:paraId="5031221E">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（1）有详细的工程组织计划，如人员配置、工程进度等；涉及危险作业的必须办理相关手续方可开始作业。</w:t>
      </w:r>
    </w:p>
    <w:p w14:paraId="6FD8AE23">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（2）工程过程中的文件资料和安装测试资料须真实、准确的填写并保存。</w:t>
      </w:r>
    </w:p>
    <w:p w14:paraId="4E8DD32E">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（3）供方负责项目自控系统的安装、调试，需方工程师配合供方。</w:t>
      </w:r>
    </w:p>
    <w:p w14:paraId="61EF38F0">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（4）试运行阶段供方需派专人负责现场故障处理，配合需方做好试运行。</w:t>
      </w:r>
    </w:p>
    <w:p w14:paraId="7659D840">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5）供方施工时须遵守国家标准及行业相关标准，每根线路应标明线号，现场元器件应标明编号，控制柜应可靠接地或接零，确保自控系统的施工质量。施工期间供方人员及设备的安全由供方负责，供方人员必须遵守需方的相关规章制度，文明施工。</w:t>
      </w:r>
    </w:p>
    <w:p w14:paraId="3E1E7D1B">
      <w:pPr>
        <w:pStyle w:val="4"/>
        <w:rPr>
          <w:rFonts w:ascii="宋体" w:hAnsi="宋体" w:cs="宋体"/>
          <w:szCs w:val="24"/>
        </w:rPr>
      </w:pPr>
      <w:r>
        <w:rPr>
          <w:rFonts w:ascii="宋体" w:hAnsi="宋体" w:cs="宋体"/>
          <w:szCs w:val="24"/>
        </w:rPr>
        <w:t xml:space="preserve">3.6 </w:t>
      </w:r>
      <w:r>
        <w:rPr>
          <w:rFonts w:hint="eastAsia" w:ascii="宋体" w:hAnsi="宋体" w:cs="宋体"/>
          <w:szCs w:val="24"/>
        </w:rPr>
        <w:t>供电</w:t>
      </w:r>
      <w:r>
        <w:rPr>
          <w:rFonts w:ascii="宋体" w:hAnsi="宋体" w:cs="宋体"/>
          <w:szCs w:val="24"/>
        </w:rPr>
        <w:t>方案</w:t>
      </w:r>
    </w:p>
    <w:p w14:paraId="222DD600">
      <w:pPr>
        <w:spacing w:line="360" w:lineRule="auto"/>
        <w:ind w:firstLine="480"/>
        <w:rPr>
          <w:rFonts w:ascii="宋体" w:hAnsi="宋体" w:eastAsia="宋体" w:cs="宋体"/>
          <w:color w:val="000000"/>
          <w:sz w:val="24"/>
        </w:rPr>
      </w:pPr>
      <w:r>
        <w:rPr>
          <w:rFonts w:ascii="宋体" w:hAnsi="宋体" w:eastAsia="宋体" w:cs="宋体"/>
          <w:color w:val="000000"/>
          <w:sz w:val="24"/>
        </w:rPr>
        <w:t>站房供电：</w:t>
      </w:r>
      <w:r>
        <w:rPr>
          <w:rFonts w:ascii="宋体" w:hAnsi="宋体" w:eastAsia="宋体" w:cs="宋体"/>
          <w:color w:val="000000"/>
          <w:sz w:val="24"/>
          <w:highlight w:val="none"/>
        </w:rPr>
        <w:t>380V 50Hz、三相五线制（零线和地线不可共用）12KW；</w:t>
      </w:r>
    </w:p>
    <w:p w14:paraId="42CE41FD">
      <w:pPr>
        <w:spacing w:line="360" w:lineRule="auto"/>
        <w:ind w:firstLine="480"/>
        <w:rPr>
          <w:rFonts w:ascii="宋体" w:hAnsi="宋体" w:eastAsia="宋体" w:cs="宋体"/>
          <w:color w:val="000000"/>
          <w:sz w:val="24"/>
        </w:rPr>
      </w:pPr>
      <w:r>
        <w:rPr>
          <w:rFonts w:hint="eastAsia" w:ascii="宋体" w:hAnsi="宋体" w:eastAsia="宋体" w:cs="宋体"/>
          <w:color w:val="000000"/>
          <w:sz w:val="24"/>
          <w:highlight w:val="none"/>
          <w:lang w:val="en-US" w:eastAsia="zh-CN"/>
        </w:rPr>
        <w:t>我方</w:t>
      </w:r>
      <w:r>
        <w:rPr>
          <w:rFonts w:hint="eastAsia" w:ascii="宋体" w:hAnsi="宋体" w:eastAsia="宋体" w:cs="宋体"/>
          <w:color w:val="000000"/>
          <w:sz w:val="24"/>
          <w:highlight w:val="none"/>
        </w:rPr>
        <w:t>提供</w:t>
      </w:r>
      <w:r>
        <w:rPr>
          <w:rFonts w:ascii="宋体" w:hAnsi="宋体" w:eastAsia="宋体" w:cs="宋体"/>
          <w:color w:val="000000"/>
          <w:sz w:val="24"/>
          <w:highlight w:val="none"/>
        </w:rPr>
        <w:t>接电点</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涂装车间调漆间附近应急电源配电柜</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w:t>
      </w:r>
      <w:r>
        <w:rPr>
          <w:rFonts w:ascii="宋体" w:hAnsi="宋体" w:eastAsia="宋体" w:cs="宋体"/>
          <w:color w:val="000000"/>
          <w:sz w:val="24"/>
          <w:highlight w:val="none"/>
        </w:rPr>
        <w:t>由</w:t>
      </w:r>
      <w:r>
        <w:rPr>
          <w:rFonts w:hint="eastAsia" w:ascii="宋体" w:hAnsi="宋体" w:eastAsia="宋体" w:cs="宋体"/>
          <w:color w:val="000000"/>
          <w:sz w:val="24"/>
          <w:highlight w:val="none"/>
          <w:lang w:eastAsia="zh-CN"/>
        </w:rPr>
        <w:t>供应商</w:t>
      </w:r>
      <w:r>
        <w:rPr>
          <w:rFonts w:ascii="宋体" w:hAnsi="宋体" w:eastAsia="宋体" w:cs="宋体"/>
          <w:color w:val="000000"/>
          <w:sz w:val="24"/>
          <w:highlight w:val="none"/>
        </w:rPr>
        <w:t>自行接电</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接电路线走桥架</w:t>
      </w:r>
      <w:r>
        <w:rPr>
          <w:rFonts w:ascii="宋体" w:hAnsi="宋体" w:eastAsia="宋体" w:cs="宋体"/>
          <w:color w:val="000000"/>
          <w:sz w:val="24"/>
        </w:rPr>
        <w:t>。</w:t>
      </w:r>
      <w:r>
        <w:rPr>
          <w:rFonts w:hint="eastAsia" w:ascii="宋体" w:hAnsi="宋体" w:eastAsia="宋体" w:cs="宋体"/>
          <w:color w:val="000000"/>
          <w:sz w:val="24"/>
        </w:rPr>
        <w:t>如</w:t>
      </w:r>
      <w:r>
        <w:rPr>
          <w:rFonts w:ascii="宋体" w:hAnsi="宋体" w:eastAsia="宋体" w:cs="宋体"/>
          <w:color w:val="000000"/>
          <w:sz w:val="24"/>
        </w:rPr>
        <w:t>断路器不合适，可自备更换</w:t>
      </w:r>
      <w:r>
        <w:rPr>
          <w:rFonts w:hint="eastAsia" w:ascii="宋体" w:hAnsi="宋体" w:eastAsia="宋体" w:cs="宋体"/>
          <w:color w:val="000000"/>
          <w:sz w:val="24"/>
        </w:rPr>
        <w:t>。</w:t>
      </w:r>
    </w:p>
    <w:bookmarkEnd w:id="27"/>
    <w:p w14:paraId="1B975C2A">
      <w:pPr>
        <w:pStyle w:val="13"/>
      </w:pPr>
    </w:p>
    <w:p w14:paraId="2A7422F6"/>
    <w:p w14:paraId="1E732095">
      <w:pPr>
        <w:pStyle w:val="2"/>
        <w:numPr>
          <w:ilvl w:val="255"/>
          <w:numId w:val="0"/>
        </w:numPr>
        <w:tabs>
          <w:tab w:val="left" w:pos="0"/>
        </w:tabs>
        <w:snapToGrid w:val="0"/>
        <w:spacing w:line="360" w:lineRule="auto"/>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二</w:t>
      </w:r>
      <w:r>
        <w:rPr>
          <w:rFonts w:hint="eastAsia" w:ascii="宋体" w:hAnsi="宋体" w:cs="宋体"/>
          <w:bCs w:val="0"/>
          <w:i w:val="0"/>
          <w:iCs w:val="0"/>
        </w:rPr>
        <w:t>章 技术资料</w:t>
      </w:r>
    </w:p>
    <w:p w14:paraId="330F242A">
      <w:pPr>
        <w:pStyle w:val="4"/>
        <w:rPr>
          <w:rFonts w:ascii="宋体" w:hAnsi="宋体" w:cs="宋体"/>
          <w:szCs w:val="24"/>
        </w:rPr>
      </w:pPr>
      <w:r>
        <w:rPr>
          <w:rFonts w:hint="eastAsia" w:ascii="宋体" w:hAnsi="宋体" w:cs="宋体"/>
          <w:szCs w:val="24"/>
        </w:rPr>
        <w:t>一</w:t>
      </w:r>
      <w:r>
        <w:rPr>
          <w:rFonts w:ascii="宋体" w:hAnsi="宋体" w:cs="宋体"/>
          <w:szCs w:val="24"/>
        </w:rPr>
        <w:t>、</w:t>
      </w:r>
      <w:r>
        <w:rPr>
          <w:rFonts w:hint="eastAsia" w:ascii="宋体" w:hAnsi="宋体" w:cs="宋体"/>
          <w:szCs w:val="24"/>
        </w:rPr>
        <w:t>硬件资料</w:t>
      </w:r>
    </w:p>
    <w:p w14:paraId="53156EC3">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提供的资料应包括涉及所有系统部件的安装、运行、注意事项和维护方法的详细说明，此外还应包括所购设备的完整设备清单和详细指南。</w:t>
      </w:r>
      <w:r>
        <w:rPr>
          <w:rFonts w:hint="eastAsia" w:ascii="宋体" w:hAnsi="宋体" w:eastAsia="宋体" w:cs="宋体"/>
          <w:sz w:val="24"/>
          <w:szCs w:val="24"/>
          <w:lang w:eastAsia="zh-CN"/>
        </w:rPr>
        <w:t>供应商</w:t>
      </w:r>
      <w:r>
        <w:rPr>
          <w:rFonts w:hint="eastAsia" w:ascii="宋体" w:hAnsi="宋体" w:eastAsia="宋体" w:cs="宋体"/>
          <w:sz w:val="24"/>
          <w:szCs w:val="24"/>
        </w:rPr>
        <w:t>提供下列手册和图纸：</w:t>
      </w:r>
    </w:p>
    <w:p w14:paraId="356B96DA">
      <w:pPr>
        <w:snapToGrid w:val="0"/>
        <w:spacing w:line="360" w:lineRule="auto"/>
        <w:rPr>
          <w:rFonts w:ascii="宋体" w:hAnsi="宋体" w:eastAsia="宋体" w:cs="宋体"/>
          <w:sz w:val="24"/>
          <w:szCs w:val="24"/>
        </w:rPr>
      </w:pPr>
      <w:r>
        <w:rPr>
          <w:rFonts w:hint="eastAsia" w:ascii="宋体" w:hAnsi="宋体" w:eastAsia="宋体" w:cs="宋体"/>
          <w:sz w:val="24"/>
          <w:szCs w:val="24"/>
        </w:rPr>
        <w:t>--设备硬件手册。</w:t>
      </w:r>
    </w:p>
    <w:p w14:paraId="1200A834">
      <w:pPr>
        <w:snapToGrid w:val="0"/>
        <w:spacing w:line="360" w:lineRule="auto"/>
        <w:rPr>
          <w:rFonts w:ascii="宋体" w:hAnsi="宋体" w:eastAsia="宋体" w:cs="宋体"/>
          <w:sz w:val="24"/>
          <w:szCs w:val="24"/>
        </w:rPr>
      </w:pPr>
      <w:r>
        <w:rPr>
          <w:rFonts w:hint="eastAsia" w:ascii="宋体" w:hAnsi="宋体" w:eastAsia="宋体" w:cs="宋体"/>
          <w:sz w:val="24"/>
          <w:szCs w:val="24"/>
        </w:rPr>
        <w:t>--设备操作手册（含安全操作规程、操作和安全事项的使用说明书）。</w:t>
      </w:r>
    </w:p>
    <w:p w14:paraId="7517927A">
      <w:pPr>
        <w:snapToGrid w:val="0"/>
        <w:spacing w:line="360" w:lineRule="auto"/>
        <w:rPr>
          <w:rFonts w:ascii="宋体" w:hAnsi="宋体" w:eastAsia="宋体" w:cs="宋体"/>
          <w:sz w:val="24"/>
          <w:szCs w:val="24"/>
        </w:rPr>
      </w:pPr>
      <w:r>
        <w:rPr>
          <w:rFonts w:hint="eastAsia" w:ascii="宋体" w:hAnsi="宋体" w:eastAsia="宋体" w:cs="宋体"/>
          <w:sz w:val="24"/>
          <w:szCs w:val="24"/>
        </w:rPr>
        <w:t>--设备维护手册（含润滑图表、含有易损件的检查更换指南、易损件使用时间）。</w:t>
      </w:r>
    </w:p>
    <w:p w14:paraId="698DEB5B">
      <w:pPr>
        <w:snapToGrid w:val="0"/>
        <w:spacing w:line="360" w:lineRule="auto"/>
        <w:rPr>
          <w:rFonts w:ascii="宋体" w:hAnsi="宋体" w:eastAsia="宋体" w:cs="宋体"/>
          <w:sz w:val="24"/>
          <w:szCs w:val="24"/>
        </w:rPr>
      </w:pPr>
      <w:r>
        <w:rPr>
          <w:rFonts w:hint="eastAsia" w:ascii="宋体" w:hAnsi="宋体" w:eastAsia="宋体" w:cs="宋体"/>
          <w:sz w:val="24"/>
          <w:szCs w:val="24"/>
        </w:rPr>
        <w:t>--材料清册，包括备件、易损件和耗材清单。</w:t>
      </w:r>
    </w:p>
    <w:p w14:paraId="547BDB3E">
      <w:pPr>
        <w:snapToGrid w:val="0"/>
        <w:spacing w:line="360" w:lineRule="auto"/>
        <w:rPr>
          <w:rFonts w:ascii="宋体" w:hAnsi="宋体" w:eastAsia="宋体" w:cs="宋体"/>
          <w:sz w:val="24"/>
          <w:szCs w:val="24"/>
        </w:rPr>
      </w:pPr>
      <w:r>
        <w:rPr>
          <w:rFonts w:hint="eastAsia" w:ascii="宋体" w:hAnsi="宋体" w:eastAsia="宋体" w:cs="宋体"/>
          <w:sz w:val="24"/>
          <w:szCs w:val="24"/>
        </w:rPr>
        <w:t>--产品合格证。</w:t>
      </w:r>
    </w:p>
    <w:p w14:paraId="7309AFFB">
      <w:pPr>
        <w:snapToGrid w:val="0"/>
        <w:spacing w:line="360" w:lineRule="auto"/>
        <w:rPr>
          <w:rFonts w:ascii="宋体" w:hAnsi="宋体" w:eastAsia="宋体" w:cs="宋体"/>
          <w:sz w:val="24"/>
          <w:szCs w:val="24"/>
        </w:rPr>
      </w:pPr>
      <w:r>
        <w:rPr>
          <w:rFonts w:hint="eastAsia" w:ascii="宋体" w:hAnsi="宋体" w:eastAsia="宋体" w:cs="宋体"/>
          <w:sz w:val="24"/>
          <w:szCs w:val="24"/>
        </w:rPr>
        <w:t>--开箱记录等随机文件材料。</w:t>
      </w:r>
    </w:p>
    <w:p w14:paraId="5002F690">
      <w:pPr>
        <w:snapToGrid w:val="0"/>
        <w:spacing w:line="360" w:lineRule="auto"/>
        <w:rPr>
          <w:rFonts w:ascii="宋体" w:hAnsi="宋体" w:eastAsia="宋体" w:cs="宋体"/>
          <w:sz w:val="24"/>
          <w:szCs w:val="24"/>
        </w:rPr>
      </w:pPr>
      <w:r>
        <w:rPr>
          <w:rFonts w:hint="eastAsia" w:ascii="宋体" w:hAnsi="宋体" w:eastAsia="宋体" w:cs="宋体"/>
          <w:sz w:val="24"/>
          <w:szCs w:val="24"/>
        </w:rPr>
        <w:t>--用于说明采购件名称、型号、规格、厂家等的采购件明细表。</w:t>
      </w:r>
    </w:p>
    <w:p w14:paraId="35A30B73">
      <w:pPr>
        <w:snapToGrid w:val="0"/>
        <w:spacing w:line="360" w:lineRule="auto"/>
        <w:rPr>
          <w:rFonts w:ascii="宋体" w:hAnsi="宋体" w:eastAsia="宋体" w:cs="宋体"/>
          <w:sz w:val="24"/>
          <w:szCs w:val="24"/>
        </w:rPr>
      </w:pPr>
      <w:r>
        <w:rPr>
          <w:rFonts w:hint="eastAsia" w:ascii="宋体" w:hAnsi="宋体" w:eastAsia="宋体" w:cs="宋体"/>
          <w:sz w:val="24"/>
          <w:szCs w:val="24"/>
        </w:rPr>
        <w:t>--设备出厂所必须的性能测试记录报告</w:t>
      </w:r>
      <w:r>
        <w:rPr>
          <w:rFonts w:hint="eastAsia" w:ascii="宋体" w:hAnsi="宋体" w:eastAsia="宋体" w:cs="宋体"/>
          <w:sz w:val="24"/>
          <w:szCs w:val="24"/>
          <w:lang w:val="en-US" w:eastAsia="zh-CN"/>
        </w:rPr>
        <w:t>等</w:t>
      </w:r>
      <w:r>
        <w:rPr>
          <w:rFonts w:hint="eastAsia" w:ascii="宋体" w:hAnsi="宋体" w:eastAsia="宋体" w:cs="宋体"/>
          <w:sz w:val="24"/>
          <w:szCs w:val="24"/>
        </w:rPr>
        <w:t>。</w:t>
      </w:r>
    </w:p>
    <w:p w14:paraId="3FFDE73E">
      <w:pPr>
        <w:pStyle w:val="4"/>
      </w:pPr>
      <w:r>
        <w:rPr>
          <w:rFonts w:hint="eastAsia" w:ascii="宋体" w:hAnsi="宋体" w:cs="宋体"/>
          <w:szCs w:val="24"/>
        </w:rPr>
        <w:t>二</w:t>
      </w:r>
      <w:r>
        <w:rPr>
          <w:rFonts w:ascii="宋体" w:hAnsi="宋体" w:cs="宋体"/>
          <w:szCs w:val="24"/>
        </w:rPr>
        <w:t>、</w:t>
      </w:r>
      <w:r>
        <w:rPr>
          <w:rFonts w:hint="eastAsia"/>
        </w:rPr>
        <w:t>软件资料</w:t>
      </w:r>
    </w:p>
    <w:p w14:paraId="350EC50B">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应提供足以使</w:t>
      </w:r>
      <w:r>
        <w:rPr>
          <w:rFonts w:hint="eastAsia" w:ascii="宋体" w:hAnsi="宋体" w:eastAsia="宋体" w:cs="宋体"/>
          <w:sz w:val="24"/>
          <w:szCs w:val="24"/>
          <w:lang w:eastAsia="zh-CN"/>
        </w:rPr>
        <w:t>我方</w:t>
      </w:r>
      <w:r>
        <w:rPr>
          <w:rFonts w:hint="eastAsia" w:ascii="宋体" w:hAnsi="宋体" w:eastAsia="宋体" w:cs="宋体"/>
          <w:sz w:val="24"/>
          <w:szCs w:val="24"/>
        </w:rPr>
        <w:t>能够进行检查和修改的所有详图程序和组态文件，这些文件包括电子文件和打印出来的程序，并装订成册。</w:t>
      </w:r>
    </w:p>
    <w:p w14:paraId="0367FD91">
      <w:pPr>
        <w:pStyle w:val="13"/>
      </w:pPr>
    </w:p>
    <w:p w14:paraId="209A1211">
      <w:pPr>
        <w:pStyle w:val="2"/>
        <w:numPr>
          <w:ilvl w:val="255"/>
          <w:numId w:val="0"/>
        </w:numPr>
        <w:tabs>
          <w:tab w:val="left" w:pos="0"/>
        </w:tabs>
        <w:snapToGrid w:val="0"/>
        <w:spacing w:line="360" w:lineRule="auto"/>
        <w:rPr>
          <w:rFonts w:ascii="宋体" w:hAnsi="宋体" w:cs="宋体"/>
          <w:bCs w:val="0"/>
          <w:i w:val="0"/>
          <w:iCs w:val="0"/>
          <w:szCs w:val="36"/>
        </w:rPr>
      </w:pPr>
      <w:r>
        <w:rPr>
          <w:rFonts w:hint="eastAsia" w:ascii="宋体" w:hAnsi="宋体" w:cs="宋体"/>
          <w:bCs w:val="0"/>
          <w:i w:val="0"/>
          <w:iCs w:val="0"/>
          <w:szCs w:val="36"/>
        </w:rPr>
        <w:t>第</w:t>
      </w:r>
      <w:r>
        <w:rPr>
          <w:rFonts w:hint="eastAsia" w:ascii="宋体" w:hAnsi="宋体" w:cs="宋体"/>
          <w:bCs w:val="0"/>
          <w:i w:val="0"/>
          <w:iCs w:val="0"/>
          <w:szCs w:val="36"/>
          <w:lang w:val="en-US" w:eastAsia="zh-CN"/>
        </w:rPr>
        <w:t>三</w:t>
      </w:r>
      <w:r>
        <w:rPr>
          <w:rFonts w:hint="eastAsia" w:ascii="宋体" w:hAnsi="宋体" w:cs="宋体"/>
          <w:bCs w:val="0"/>
          <w:i w:val="0"/>
          <w:iCs w:val="0"/>
          <w:szCs w:val="36"/>
        </w:rPr>
        <w:t>章 包装运输</w:t>
      </w:r>
    </w:p>
    <w:p w14:paraId="277B0646">
      <w:pPr>
        <w:pStyle w:val="4"/>
        <w:rPr>
          <w:rFonts w:ascii="宋体" w:hAnsi="宋体" w:cs="宋体"/>
          <w:szCs w:val="24"/>
        </w:rPr>
      </w:pPr>
      <w:r>
        <w:rPr>
          <w:rFonts w:hint="eastAsia" w:ascii="宋体" w:hAnsi="宋体" w:cs="宋体"/>
          <w:szCs w:val="24"/>
        </w:rPr>
        <w:t>一、包装</w:t>
      </w:r>
    </w:p>
    <w:p w14:paraId="63F69EDA">
      <w:pPr>
        <w:tabs>
          <w:tab w:val="left" w:pos="0"/>
        </w:tabs>
        <w:adjustRightInd w:val="0"/>
        <w:snapToGrid w:val="0"/>
        <w:spacing w:line="360" w:lineRule="auto"/>
        <w:ind w:left="480" w:hanging="480" w:hangingChars="200"/>
        <w:rPr>
          <w:rFonts w:ascii="宋体" w:hAnsi="宋体" w:eastAsia="宋体" w:cs="宋体"/>
          <w:sz w:val="24"/>
          <w:szCs w:val="24"/>
        </w:rPr>
      </w:pPr>
      <w:r>
        <w:rPr>
          <w:rFonts w:ascii="宋体" w:hAnsi="宋体" w:eastAsia="宋体" w:cs="宋体"/>
          <w:sz w:val="24"/>
          <w:szCs w:val="24"/>
        </w:rPr>
        <w:t>1.1</w:t>
      </w:r>
      <w:r>
        <w:rPr>
          <w:rFonts w:hint="eastAsia" w:ascii="宋体" w:hAnsi="宋体" w:eastAsia="宋体" w:cs="宋体"/>
          <w:sz w:val="24"/>
          <w:szCs w:val="24"/>
          <w:lang w:eastAsia="zh-CN"/>
        </w:rPr>
        <w:t>供应商</w:t>
      </w:r>
      <w:r>
        <w:rPr>
          <w:rFonts w:hint="eastAsia" w:ascii="宋体" w:hAnsi="宋体" w:eastAsia="宋体" w:cs="宋体"/>
          <w:sz w:val="24"/>
          <w:szCs w:val="24"/>
        </w:rPr>
        <w:t>所提供货物（或设备）的包装，应遵照国家标准和有关包装、包皮的技术条件，或按照最好的商业惯例进行包装。</w:t>
      </w:r>
    </w:p>
    <w:p w14:paraId="3041F95D">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14:paraId="56FEBD97">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所提供货物（或设备）的包装，应能防止其一般性被窃或受外力破坏；一般不得采用有大缝隙的板条包装。</w:t>
      </w:r>
    </w:p>
    <w:p w14:paraId="26837BA2">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应对包装件做必要的加固和固定，以防止运输可能造成的损坏。</w:t>
      </w:r>
    </w:p>
    <w:p w14:paraId="74BDDE72">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还应按照不同的装运要求在包装箱上标明“小心轻放”、“箭头向上”、“防潮”、“防磁”、“不准平放”等标志，以及其它适用的国标通用标志。</w:t>
      </w:r>
    </w:p>
    <w:p w14:paraId="050F58E9">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包装箱应连续编号，不应出现重复编号。</w:t>
      </w:r>
    </w:p>
    <w:p w14:paraId="26014923">
      <w:pPr>
        <w:pStyle w:val="4"/>
        <w:rPr>
          <w:rFonts w:ascii="宋体" w:hAnsi="宋体" w:cs="宋体"/>
          <w:szCs w:val="24"/>
        </w:rPr>
      </w:pPr>
      <w:r>
        <w:rPr>
          <w:rFonts w:hint="eastAsia" w:ascii="宋体" w:hAnsi="宋体" w:cs="宋体"/>
          <w:szCs w:val="24"/>
        </w:rPr>
        <w:t>二、运输</w:t>
      </w:r>
    </w:p>
    <w:p w14:paraId="16F2514B">
      <w:pPr>
        <w:tabs>
          <w:tab w:val="left" w:pos="0"/>
        </w:tabs>
        <w:adjustRightInd w:val="0"/>
        <w:snapToGrid w:val="0"/>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2.1</w:t>
      </w:r>
      <w:r>
        <w:rPr>
          <w:rFonts w:ascii="宋体" w:hAnsi="宋体" w:eastAsia="宋体" w:cs="宋体"/>
          <w:sz w:val="24"/>
          <w:szCs w:val="24"/>
        </w:rPr>
        <w:t xml:space="preserve"> </w:t>
      </w:r>
      <w:r>
        <w:rPr>
          <w:rFonts w:hint="eastAsia" w:ascii="宋体" w:hAnsi="宋体" w:eastAsia="宋体" w:cs="宋体"/>
          <w:sz w:val="24"/>
          <w:szCs w:val="24"/>
          <w:lang w:eastAsia="zh-CN"/>
        </w:rPr>
        <w:t>供应商</w:t>
      </w:r>
      <w:r>
        <w:rPr>
          <w:rFonts w:hint="eastAsia" w:ascii="宋体" w:hAnsi="宋体" w:eastAsia="宋体" w:cs="宋体"/>
          <w:sz w:val="24"/>
          <w:szCs w:val="24"/>
        </w:rPr>
        <w:t>应负责将货物（或设备）运到目的地，并必须做到货物（或设备）在任何运输过程中不受损坏和遗失。</w:t>
      </w:r>
    </w:p>
    <w:p w14:paraId="371B5867">
      <w:pPr>
        <w:pStyle w:val="65"/>
        <w:numPr>
          <w:ilvl w:val="1"/>
          <w:numId w:val="34"/>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货物（或设备）运抵</w:t>
      </w:r>
      <w:r>
        <w:rPr>
          <w:rFonts w:hint="eastAsia" w:ascii="宋体" w:hAnsi="宋体" w:eastAsia="宋体" w:cs="宋体"/>
          <w:sz w:val="24"/>
          <w:szCs w:val="24"/>
          <w:lang w:val="en-US" w:eastAsia="zh-CN"/>
        </w:rPr>
        <w:t>我方</w:t>
      </w:r>
      <w:r>
        <w:rPr>
          <w:rFonts w:hint="eastAsia" w:ascii="宋体" w:hAnsi="宋体" w:eastAsia="宋体" w:cs="宋体"/>
          <w:sz w:val="24"/>
          <w:szCs w:val="24"/>
        </w:rPr>
        <w:t>现场后，</w:t>
      </w:r>
      <w:r>
        <w:rPr>
          <w:rFonts w:hint="eastAsia" w:ascii="宋体" w:hAnsi="宋体" w:eastAsia="宋体" w:cs="宋体"/>
          <w:sz w:val="24"/>
          <w:szCs w:val="24"/>
          <w:lang w:eastAsia="zh-CN"/>
        </w:rPr>
        <w:t>供应商</w:t>
      </w:r>
      <w:r>
        <w:rPr>
          <w:rFonts w:hint="eastAsia" w:ascii="宋体" w:hAnsi="宋体" w:eastAsia="宋体" w:cs="宋体"/>
          <w:sz w:val="24"/>
          <w:szCs w:val="24"/>
        </w:rPr>
        <w:t>应负责货物（或设备）的卸货、搬运、保管等事宜。卖方在设备及材料运进工厂时，应确保不损坏车间地表面和厂房内设施，并按买方规定位置存放，堆放整齐。</w:t>
      </w:r>
    </w:p>
    <w:p w14:paraId="455632F4">
      <w:pPr>
        <w:pStyle w:val="65"/>
        <w:tabs>
          <w:tab w:val="left" w:pos="0"/>
        </w:tabs>
        <w:adjustRightInd w:val="0"/>
        <w:snapToGrid w:val="0"/>
        <w:spacing w:line="360" w:lineRule="auto"/>
        <w:ind w:left="720" w:firstLine="0" w:firstLineChars="0"/>
        <w:rPr>
          <w:rFonts w:ascii="宋体" w:hAnsi="宋体" w:eastAsia="宋体" w:cs="宋体"/>
          <w:sz w:val="24"/>
          <w:szCs w:val="24"/>
        </w:rPr>
      </w:pPr>
    </w:p>
    <w:p w14:paraId="210EB26B">
      <w:pPr>
        <w:pStyle w:val="2"/>
        <w:numPr>
          <w:ilvl w:val="255"/>
          <w:numId w:val="0"/>
        </w:numPr>
        <w:tabs>
          <w:tab w:val="left" w:pos="0"/>
        </w:tabs>
        <w:snapToGrid w:val="0"/>
        <w:spacing w:line="360" w:lineRule="auto"/>
      </w:pPr>
      <w:r>
        <w:rPr>
          <w:rFonts w:hint="eastAsia" w:ascii="宋体" w:hAnsi="宋体" w:cs="宋体"/>
          <w:bCs w:val="0"/>
          <w:i w:val="0"/>
          <w:iCs w:val="0"/>
        </w:rPr>
        <w:t>第</w:t>
      </w:r>
      <w:r>
        <w:rPr>
          <w:rFonts w:hint="eastAsia" w:ascii="宋体" w:hAnsi="宋体" w:cs="宋体"/>
          <w:bCs w:val="0"/>
          <w:i w:val="0"/>
          <w:iCs w:val="0"/>
          <w:lang w:val="en-US" w:eastAsia="zh-CN"/>
        </w:rPr>
        <w:t>四</w:t>
      </w:r>
      <w:r>
        <w:rPr>
          <w:rFonts w:hint="eastAsia" w:ascii="宋体" w:hAnsi="宋体" w:cs="宋体"/>
          <w:bCs w:val="0"/>
          <w:i w:val="0"/>
          <w:iCs w:val="0"/>
        </w:rPr>
        <w:t>章 安装调试</w:t>
      </w:r>
    </w:p>
    <w:p w14:paraId="04F5C4AE">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安装调试与验收期间，若</w:t>
      </w:r>
      <w:r>
        <w:rPr>
          <w:rFonts w:hint="eastAsia" w:ascii="宋体" w:hAnsi="宋体" w:eastAsia="宋体" w:cs="宋体"/>
          <w:sz w:val="24"/>
          <w:szCs w:val="24"/>
          <w:lang w:eastAsia="zh-CN"/>
        </w:rPr>
        <w:t>供应商</w:t>
      </w:r>
      <w:r>
        <w:rPr>
          <w:rFonts w:hint="eastAsia" w:ascii="宋体" w:hAnsi="宋体" w:eastAsia="宋体" w:cs="宋体"/>
          <w:sz w:val="24"/>
          <w:szCs w:val="24"/>
        </w:rPr>
        <w:t>提供设备的技术质量等，与</w:t>
      </w:r>
      <w:r>
        <w:rPr>
          <w:rFonts w:hint="eastAsia" w:ascii="宋体" w:hAnsi="宋体" w:eastAsia="宋体" w:cs="宋体"/>
          <w:sz w:val="24"/>
          <w:szCs w:val="24"/>
          <w:lang w:eastAsia="zh-CN"/>
        </w:rPr>
        <w:t>供应商</w:t>
      </w:r>
      <w:r>
        <w:rPr>
          <w:rFonts w:hint="eastAsia" w:ascii="宋体" w:hAnsi="宋体" w:eastAsia="宋体" w:cs="宋体"/>
          <w:sz w:val="24"/>
          <w:szCs w:val="24"/>
        </w:rPr>
        <w:t>外购的设备技术质量等有较大或直接关联时，</w:t>
      </w:r>
      <w:r>
        <w:rPr>
          <w:rFonts w:hint="eastAsia" w:ascii="宋体" w:hAnsi="宋体" w:eastAsia="宋体" w:cs="宋体"/>
          <w:sz w:val="24"/>
          <w:szCs w:val="24"/>
          <w:lang w:eastAsia="zh-CN"/>
        </w:rPr>
        <w:t>供应商</w:t>
      </w:r>
      <w:r>
        <w:rPr>
          <w:rFonts w:hint="eastAsia" w:ascii="宋体" w:hAnsi="宋体" w:eastAsia="宋体" w:cs="宋体"/>
          <w:sz w:val="24"/>
          <w:szCs w:val="24"/>
        </w:rPr>
        <w:t>应能得到其外购设备制造厂商（或供应商）的技术支持，并免费为</w:t>
      </w:r>
      <w:r>
        <w:rPr>
          <w:rFonts w:hint="eastAsia" w:ascii="宋体" w:hAnsi="宋体" w:eastAsia="宋体" w:cs="宋体"/>
          <w:sz w:val="24"/>
          <w:szCs w:val="24"/>
          <w:lang w:eastAsia="zh-CN"/>
        </w:rPr>
        <w:t>我方</w:t>
      </w:r>
      <w:r>
        <w:rPr>
          <w:rFonts w:hint="eastAsia" w:ascii="宋体" w:hAnsi="宋体" w:eastAsia="宋体" w:cs="宋体"/>
          <w:sz w:val="24"/>
          <w:szCs w:val="24"/>
        </w:rPr>
        <w:t>提供安装使用现场的指导与协调；</w:t>
      </w:r>
    </w:p>
    <w:p w14:paraId="69F22B8A">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免费负责设备的安装、调试，并接受用户的技术咨询；</w:t>
      </w:r>
    </w:p>
    <w:p w14:paraId="0B1BBD00">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设备的运输和到货后卸车、设备的安装调试工作和安装时的起重由卖方负责。</w:t>
      </w:r>
    </w:p>
    <w:p w14:paraId="7E7EF478">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rPr>
        <w:t>电缆管线敷设以明敷为宜。</w:t>
      </w:r>
    </w:p>
    <w:p w14:paraId="767F30BA">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rPr>
        <w:t>未尽事宜以现行相关规范为准。</w:t>
      </w:r>
    </w:p>
    <w:p w14:paraId="722D3886">
      <w:pPr>
        <w:tabs>
          <w:tab w:val="left" w:pos="0"/>
        </w:tabs>
        <w:snapToGrid w:val="0"/>
        <w:spacing w:line="360" w:lineRule="auto"/>
        <w:rPr>
          <w:rFonts w:ascii="宋体" w:hAnsi="宋体" w:eastAsia="宋体" w:cs="宋体"/>
          <w:sz w:val="24"/>
          <w:szCs w:val="24"/>
        </w:rPr>
      </w:pPr>
    </w:p>
    <w:p w14:paraId="19E2D7AE">
      <w:pPr>
        <w:pStyle w:val="13"/>
      </w:pPr>
    </w:p>
    <w:p w14:paraId="00B59DC1">
      <w:pPr>
        <w:pStyle w:val="2"/>
        <w:numPr>
          <w:ilvl w:val="255"/>
          <w:numId w:val="0"/>
        </w:numPr>
        <w:tabs>
          <w:tab w:val="left" w:pos="0"/>
        </w:tabs>
        <w:snapToGrid w:val="0"/>
        <w:spacing w:line="360" w:lineRule="auto"/>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五</w:t>
      </w:r>
      <w:r>
        <w:rPr>
          <w:rFonts w:hint="eastAsia" w:ascii="宋体" w:hAnsi="宋体" w:cs="宋体"/>
          <w:bCs w:val="0"/>
          <w:i w:val="0"/>
          <w:iCs w:val="0"/>
        </w:rPr>
        <w:t>章 验收</w:t>
      </w:r>
    </w:p>
    <w:p w14:paraId="5FF1F0E8">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终验收时执行的标准：执行国家最新相关标准或行业标准、规范，终验收时的实际数据应满足国家标准、本标书及验收方案中的相关规定；</w:t>
      </w:r>
    </w:p>
    <w:p w14:paraId="0A986CE1">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终验收在安装调试完成后的买方现场进行。</w:t>
      </w:r>
    </w:p>
    <w:p w14:paraId="2D7EF9C0">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一</w:t>
      </w:r>
      <w:r>
        <w:rPr>
          <w:rFonts w:ascii="宋体" w:hAnsi="宋体" w:eastAsia="宋体" w:cs="宋体"/>
          <w:sz w:val="24"/>
          <w:szCs w:val="24"/>
        </w:rPr>
        <w:t>、</w:t>
      </w:r>
      <w:r>
        <w:rPr>
          <w:rFonts w:hint="eastAsia" w:ascii="宋体" w:hAnsi="宋体" w:eastAsia="宋体" w:cs="宋体"/>
          <w:sz w:val="24"/>
          <w:szCs w:val="24"/>
        </w:rPr>
        <w:t>终验收规程：</w:t>
      </w:r>
    </w:p>
    <w:p w14:paraId="273F7406">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none"/>
        </w:rPr>
        <w:t>在生产工况满足的情况下，按照《固定污染源废气 非甲烷总烃连续监测技术规范》（HJ 1286—2023）要求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开展验收工作，并完成当地生态环境部门联网备案工作。</w:t>
      </w:r>
      <w:r>
        <w:rPr>
          <w:rFonts w:hint="eastAsia" w:ascii="宋体" w:hAnsi="宋体" w:eastAsia="宋体" w:cs="宋体"/>
          <w:sz w:val="24"/>
          <w:szCs w:val="24"/>
        </w:rPr>
        <w:t>终验收通过后买卖双方共同签署终验收报告。</w:t>
      </w:r>
    </w:p>
    <w:p w14:paraId="286417CE">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二</w:t>
      </w:r>
      <w:r>
        <w:rPr>
          <w:rFonts w:ascii="宋体" w:hAnsi="宋体" w:eastAsia="宋体" w:cs="宋体"/>
          <w:sz w:val="24"/>
          <w:szCs w:val="24"/>
        </w:rPr>
        <w:t>、</w:t>
      </w:r>
      <w:r>
        <w:rPr>
          <w:rFonts w:hint="eastAsia" w:ascii="宋体" w:hAnsi="宋体" w:eastAsia="宋体" w:cs="宋体"/>
          <w:sz w:val="24"/>
          <w:szCs w:val="24"/>
        </w:rPr>
        <w:t>设备终验收的一般标准与要求：</w:t>
      </w:r>
    </w:p>
    <w:p w14:paraId="430C543F">
      <w:pPr>
        <w:snapToGrid w:val="0"/>
        <w:spacing w:line="360" w:lineRule="auto"/>
        <w:rPr>
          <w:rFonts w:ascii="宋体" w:hAnsi="宋体" w:eastAsia="宋体" w:cs="宋体"/>
          <w:sz w:val="24"/>
          <w:szCs w:val="24"/>
        </w:rPr>
      </w:pPr>
      <w:r>
        <w:rPr>
          <w:rFonts w:hint="eastAsia" w:ascii="宋体" w:hAnsi="宋体" w:eastAsia="宋体" w:cs="宋体"/>
          <w:sz w:val="24"/>
          <w:szCs w:val="24"/>
        </w:rPr>
        <w:t>2.1 备案验收资料齐全性、完整性和有效性。</w:t>
      </w:r>
    </w:p>
    <w:p w14:paraId="2C598D60">
      <w:pPr>
        <w:snapToGrid w:val="0"/>
        <w:spacing w:line="360" w:lineRule="auto"/>
        <w:ind w:left="480" w:hanging="480" w:hangingChars="200"/>
        <w:rPr>
          <w:rFonts w:ascii="宋体" w:hAnsi="宋体" w:eastAsia="宋体" w:cs="宋体"/>
          <w:sz w:val="24"/>
          <w:szCs w:val="24"/>
        </w:rPr>
      </w:pPr>
      <w:r>
        <w:rPr>
          <w:rFonts w:ascii="宋体" w:hAnsi="宋体" w:eastAsia="宋体" w:cs="宋体"/>
          <w:sz w:val="24"/>
          <w:szCs w:val="24"/>
        </w:rPr>
        <w:t xml:space="preserve">2.2 </w:t>
      </w:r>
      <w:r>
        <w:rPr>
          <w:rFonts w:hint="eastAsia" w:ascii="宋体" w:hAnsi="宋体" w:eastAsia="宋体" w:cs="宋体"/>
          <w:sz w:val="24"/>
          <w:szCs w:val="24"/>
        </w:rPr>
        <w:t>设备应运行灵活、稳定、可靠、安全，无异常声音和非正常振动。设备不允许出现漏水、漏液、漏气（汽）。运动的零部件（应动作平稳、没有异常声音，不松动或易于调整；</w:t>
      </w:r>
    </w:p>
    <w:p w14:paraId="39959A17">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设备外观应无损伤，设备应该完整且所有的零部件应该安装牢固，所有的焊缝饱满、无残渣等缺陷；</w:t>
      </w:r>
    </w:p>
    <w:p w14:paraId="371879A3">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所有的管道和电缆线等，应排列有序（正确、牢固、整齐）无皱褶、收缩和裂缝，电缆线在整个长度范围内，所有的接头应完全正确地连接；</w:t>
      </w:r>
    </w:p>
    <w:p w14:paraId="4AB4FDCD">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设备应有的标牌、</w:t>
      </w:r>
      <w:r>
        <w:rPr>
          <w:rFonts w:ascii="宋体" w:hAnsi="宋体" w:eastAsia="宋体" w:cs="宋体"/>
          <w:sz w:val="24"/>
          <w:szCs w:val="24"/>
        </w:rPr>
        <w:t>铭牌齐全</w:t>
      </w:r>
      <w:r>
        <w:rPr>
          <w:rFonts w:hint="eastAsia" w:ascii="宋体" w:hAnsi="宋体" w:eastAsia="宋体" w:cs="宋体"/>
          <w:sz w:val="24"/>
          <w:szCs w:val="24"/>
        </w:rPr>
        <w:t>，且清晰易见；</w:t>
      </w:r>
    </w:p>
    <w:p w14:paraId="47F9302B">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设备的安全要求符合中国最新的相关法律、法规、标准和规范以及合同要求；</w:t>
      </w:r>
    </w:p>
    <w:p w14:paraId="0CA10069">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地线连接和地极符合国际（ISO/IEC）标准规范；</w:t>
      </w:r>
    </w:p>
    <w:p w14:paraId="4B49672A">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所有的压力容器应具备合格证（如果有压力容器）；</w:t>
      </w:r>
    </w:p>
    <w:p w14:paraId="54443F4C">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计量仪器、仪表配套合理，采用中国的法定计量单位，计量准确、灵敏可靠。保证设计指标和仪器说明书的参数的实现，要求竣工验收交付一次合格，返修更换校调不超过  48 小时，特殊情况除外</w:t>
      </w:r>
      <w:r>
        <w:rPr>
          <w:rFonts w:hint="eastAsia" w:ascii="宋体" w:hAnsi="宋体" w:eastAsia="宋体" w:cs="宋体"/>
          <w:sz w:val="24"/>
          <w:szCs w:val="24"/>
          <w:lang w:eastAsia="zh-CN"/>
        </w:rPr>
        <w:t>。</w:t>
      </w:r>
    </w:p>
    <w:p w14:paraId="7F371BF6">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三</w:t>
      </w:r>
      <w:r>
        <w:rPr>
          <w:rFonts w:ascii="宋体" w:hAnsi="宋体" w:eastAsia="宋体" w:cs="宋体"/>
          <w:sz w:val="24"/>
          <w:szCs w:val="24"/>
        </w:rPr>
        <w:t>、</w:t>
      </w:r>
      <w:r>
        <w:rPr>
          <w:rFonts w:hint="eastAsia" w:ascii="宋体" w:hAnsi="宋体" w:eastAsia="宋体" w:cs="宋体"/>
          <w:sz w:val="24"/>
          <w:szCs w:val="24"/>
        </w:rPr>
        <w:t>终验收条件</w:t>
      </w:r>
    </w:p>
    <w:p w14:paraId="567E0BEB">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依据招标文件、投标文件、答疑文件、技术交流文件等形成并达成一致的技术协议书和合同规定的终验收条件验收。</w:t>
      </w:r>
    </w:p>
    <w:p w14:paraId="0C030A43">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验收合格后双方代表在验收报告上签字生效。</w:t>
      </w:r>
    </w:p>
    <w:p w14:paraId="5796553B">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若属于国家相关机关单位强制要求检验校准的设备，以通过相关检查校准，作为项目终验收合格的依据。</w:t>
      </w:r>
    </w:p>
    <w:p w14:paraId="04B33B46">
      <w:pPr>
        <w:pStyle w:val="2"/>
        <w:tabs>
          <w:tab w:val="left" w:pos="0"/>
        </w:tabs>
        <w:snapToGrid w:val="0"/>
        <w:spacing w:line="360" w:lineRule="auto"/>
        <w:ind w:left="0"/>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六</w:t>
      </w:r>
      <w:r>
        <w:rPr>
          <w:rFonts w:hint="eastAsia" w:ascii="宋体" w:hAnsi="宋体" w:cs="宋体"/>
          <w:bCs w:val="0"/>
          <w:i w:val="0"/>
          <w:iCs w:val="0"/>
        </w:rPr>
        <w:t>章 培训</w:t>
      </w:r>
    </w:p>
    <w:p w14:paraId="3A5149A7">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卖方免费负责买方技术人员、操作人员和维修人员的培训。</w:t>
      </w:r>
    </w:p>
    <w:p w14:paraId="5A3BCC57">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培训内容：设备的工作原理、结构性能、使用注意事项、操作方法、程序及其它相关内容。</w:t>
      </w:r>
    </w:p>
    <w:p w14:paraId="045571F7">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培训教材：设备的相关图纸及技术文件</w:t>
      </w:r>
    </w:p>
    <w:p w14:paraId="6EA57DF0">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培训方式：在终验收前，卖方专业技术人员讲课，使买方人员达到具有独立操作及排除故障的能力。</w:t>
      </w:r>
    </w:p>
    <w:p w14:paraId="466D02F7">
      <w:pPr>
        <w:pStyle w:val="41"/>
        <w:spacing w:line="360" w:lineRule="auto"/>
        <w:ind w:firstLine="422"/>
        <w:outlineLvl w:val="3"/>
        <w:rPr>
          <w:rFonts w:ascii="宋体" w:hAnsi="宋体" w:eastAsia="宋体" w:cs="FZZD Extra JW"/>
          <w:b/>
        </w:rPr>
      </w:pPr>
      <w:r>
        <w:rPr>
          <w:rFonts w:hint="eastAsia" w:ascii="宋体" w:hAnsi="宋体" w:eastAsia="宋体" w:cs="宋体"/>
        </w:rPr>
        <w:t>设备出厂前及在买方现场安装调试过程中，对买方人员进行培训，使之熟悉、掌握该设备的结构、性能、操作方法和一般常见故障的分析、判断、排除技能。</w:t>
      </w:r>
    </w:p>
    <w:p w14:paraId="01AA5EE8">
      <w:pPr>
        <w:tabs>
          <w:tab w:val="left" w:pos="0"/>
        </w:tabs>
        <w:snapToGrid w:val="0"/>
        <w:spacing w:line="360" w:lineRule="auto"/>
        <w:rPr>
          <w:rFonts w:ascii="宋体" w:hAnsi="宋体" w:eastAsia="宋体" w:cs="宋体"/>
        </w:rPr>
      </w:pPr>
    </w:p>
    <w:p w14:paraId="66390165">
      <w:pPr>
        <w:pStyle w:val="2"/>
        <w:numPr>
          <w:ilvl w:val="255"/>
          <w:numId w:val="0"/>
        </w:numPr>
        <w:tabs>
          <w:tab w:val="left" w:pos="0"/>
        </w:tabs>
        <w:snapToGrid w:val="0"/>
        <w:spacing w:line="360" w:lineRule="auto"/>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七</w:t>
      </w:r>
      <w:r>
        <w:rPr>
          <w:rFonts w:hint="eastAsia" w:ascii="宋体" w:hAnsi="宋体" w:cs="宋体"/>
          <w:bCs w:val="0"/>
          <w:i w:val="0"/>
          <w:iCs w:val="0"/>
        </w:rPr>
        <w:t>章 质量保证及售后服务</w:t>
      </w:r>
    </w:p>
    <w:p w14:paraId="2179BF69">
      <w:pPr>
        <w:tabs>
          <w:tab w:val="left" w:pos="0"/>
        </w:tabs>
        <w:snapToGrid w:val="0"/>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rPr>
        <w:t>设备质保期为从最终验收之日起</w:t>
      </w:r>
      <w:r>
        <w:rPr>
          <w:rFonts w:ascii="宋体" w:hAnsi="宋体" w:eastAsia="宋体" w:cs="宋体"/>
          <w:sz w:val="24"/>
          <w:szCs w:val="24"/>
          <w:highlight w:val="none"/>
        </w:rPr>
        <w:t>12个月</w:t>
      </w:r>
      <w:r>
        <w:rPr>
          <w:rFonts w:hint="eastAsia" w:ascii="宋体" w:hAnsi="宋体" w:eastAsia="宋体" w:cs="宋体"/>
          <w:sz w:val="24"/>
          <w:szCs w:val="24"/>
          <w:highlight w:val="none"/>
        </w:rPr>
        <w:t>。在此期间由于设备缺陷而引起的故障及机械电气损坏</w:t>
      </w:r>
      <w:r>
        <w:rPr>
          <w:rFonts w:ascii="宋体" w:hAnsi="宋体" w:eastAsia="宋体" w:cs="宋体"/>
          <w:sz w:val="24"/>
          <w:szCs w:val="24"/>
          <w:highlight w:val="none"/>
        </w:rPr>
        <w:t>,均应由卖方免费维修和置换。</w:t>
      </w:r>
    </w:p>
    <w:p w14:paraId="7CCF10B8">
      <w:pPr>
        <w:tabs>
          <w:tab w:val="left" w:pos="0"/>
        </w:tabs>
        <w:snapToGrid w:val="0"/>
        <w:spacing w:line="360" w:lineRule="auto"/>
        <w:rPr>
          <w:rFonts w:ascii="宋体" w:hAnsi="宋体" w:eastAsia="宋体" w:cs="宋体"/>
          <w:szCs w:val="24"/>
          <w:highlight w:val="none"/>
        </w:rPr>
      </w:pPr>
      <w:r>
        <w:rPr>
          <w:rFonts w:ascii="宋体" w:hAnsi="宋体" w:eastAsia="宋体" w:cs="宋体"/>
          <w:sz w:val="24"/>
          <w:szCs w:val="24"/>
          <w:highlight w:val="none"/>
        </w:rPr>
        <w:t xml:space="preserve">    </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必须提供全天候</w:t>
      </w:r>
      <w:r>
        <w:rPr>
          <w:rFonts w:ascii="宋体" w:hAnsi="宋体" w:eastAsia="宋体" w:cs="宋体"/>
          <w:sz w:val="24"/>
          <w:szCs w:val="24"/>
          <w:highlight w:val="none"/>
        </w:rPr>
        <w:t>7×24小时服务，在确认用户的服务请求后,</w:t>
      </w:r>
      <w:r>
        <w:rPr>
          <w:rFonts w:hint="eastAsia" w:ascii="宋体" w:hAnsi="宋体" w:eastAsia="宋体" w:cs="宋体"/>
          <w:sz w:val="24"/>
          <w:szCs w:val="24"/>
          <w:highlight w:val="none"/>
          <w:lang w:val="en-US" w:eastAsia="zh-CN"/>
        </w:rPr>
        <w:t>2h</w:t>
      </w:r>
      <w:r>
        <w:rPr>
          <w:rFonts w:ascii="宋体" w:hAnsi="宋体" w:eastAsia="宋体" w:cs="宋体"/>
          <w:sz w:val="24"/>
          <w:szCs w:val="24"/>
          <w:highlight w:val="none"/>
        </w:rPr>
        <w:t>内响应，</w:t>
      </w:r>
      <w:r>
        <w:rPr>
          <w:rFonts w:hint="eastAsia" w:ascii="宋体" w:hAnsi="宋体" w:eastAsia="宋体" w:cs="宋体"/>
          <w:sz w:val="24"/>
          <w:szCs w:val="24"/>
          <w:highlight w:val="none"/>
          <w:lang w:val="en-US" w:eastAsia="zh-CN"/>
        </w:rPr>
        <w:t>24</w:t>
      </w:r>
      <w:r>
        <w:rPr>
          <w:rFonts w:hint="eastAsia" w:ascii="宋体" w:hAnsi="宋体" w:eastAsia="宋体" w:cs="宋体"/>
          <w:sz w:val="24"/>
          <w:szCs w:val="24"/>
          <w:highlight w:val="none"/>
        </w:rPr>
        <w:t>小时之内修复解决问题。</w:t>
      </w:r>
    </w:p>
    <w:p w14:paraId="0915228D">
      <w:pPr>
        <w:tabs>
          <w:tab w:val="left" w:pos="0"/>
        </w:tabs>
        <w:snapToGrid w:val="0"/>
        <w:spacing w:line="360" w:lineRule="auto"/>
        <w:ind w:firstLine="480" w:firstLineChars="200"/>
        <w:rPr>
          <w:rFonts w:ascii="宋体" w:hAnsi="宋体" w:eastAsia="宋体" w:cs="宋体"/>
          <w:szCs w:val="24"/>
          <w:highlight w:val="none"/>
        </w:rPr>
      </w:pPr>
      <w:r>
        <w:rPr>
          <w:rFonts w:hint="eastAsia" w:ascii="宋体" w:hAnsi="宋体" w:eastAsia="宋体" w:cs="宋体"/>
          <w:sz w:val="24"/>
          <w:szCs w:val="24"/>
          <w:highlight w:val="none"/>
        </w:rPr>
        <w:t>质保期内</w:t>
      </w:r>
      <w:r>
        <w:rPr>
          <w:rFonts w:ascii="宋体" w:hAnsi="宋体" w:eastAsia="宋体" w:cs="宋体"/>
          <w:sz w:val="24"/>
          <w:szCs w:val="24"/>
          <w:highlight w:val="none"/>
        </w:rPr>
        <w:t>,卖方应提供免费维修服务,并免费提供因设备缺陷所至的维修零配件；质保期过后,卖方应提供终身维修服务,并只收成本费</w:t>
      </w:r>
      <w:r>
        <w:rPr>
          <w:rFonts w:hint="eastAsia" w:ascii="宋体" w:hAnsi="宋体" w:eastAsia="宋体" w:cs="宋体"/>
          <w:sz w:val="24"/>
          <w:szCs w:val="24"/>
          <w:highlight w:val="none"/>
        </w:rPr>
        <w:t>。</w:t>
      </w:r>
    </w:p>
    <w:p w14:paraId="7A63C679">
      <w:pPr>
        <w:rPr>
          <w:rFonts w:ascii="宋体" w:hAnsi="宋体" w:eastAsia="宋体" w:cs="宋体"/>
        </w:rPr>
      </w:pPr>
    </w:p>
    <w:p w14:paraId="34F5D6BE">
      <w:pPr>
        <w:pStyle w:val="13"/>
      </w:pPr>
    </w:p>
    <w:p w14:paraId="02C0F3AF">
      <w:pPr>
        <w:pStyle w:val="13"/>
      </w:pPr>
    </w:p>
    <w:bookmarkEnd w:id="21"/>
    <w:p w14:paraId="3D6E6B24">
      <w:pPr>
        <w:pStyle w:val="2"/>
        <w:tabs>
          <w:tab w:val="right" w:leader="dot" w:pos="9061"/>
        </w:tabs>
        <w:ind w:left="0"/>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2"/>
        <w:gridCol w:w="2266"/>
        <w:gridCol w:w="3906"/>
        <w:gridCol w:w="734"/>
        <w:gridCol w:w="720"/>
        <w:gridCol w:w="787"/>
      </w:tblGrid>
      <w:tr w14:paraId="3DF21D98">
        <w:tblPrEx>
          <w:shd w:val="clear" w:color="auto" w:fill="auto"/>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9B2CE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220"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7F7873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名称</w:t>
            </w:r>
          </w:p>
        </w:tc>
        <w:tc>
          <w:tcPr>
            <w:tcW w:w="2103"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6F97B2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规格型号及功能参数</w:t>
            </w:r>
          </w:p>
        </w:tc>
        <w:tc>
          <w:tcPr>
            <w:tcW w:w="395"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3491DE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c>
          <w:tcPr>
            <w:tcW w:w="387"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52CC16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63F0C0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6B76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1EA117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49E112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样品采集传输单元</w:t>
            </w:r>
          </w:p>
        </w:tc>
      </w:tr>
      <w:tr w14:paraId="477B0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63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A4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样品采集传输单元</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53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316L 不锈钢</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DF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F6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C1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49FC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F0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2E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伴热管线</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F7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双管路设计，带保温层与测温电阻，长度不低于50 米/套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27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B5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3D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63D8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D544B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726414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辅助单元</w:t>
            </w:r>
          </w:p>
        </w:tc>
      </w:tr>
      <w:tr w14:paraId="38340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D3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38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反吹系统</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F5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集线箱</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06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14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88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328C6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85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DC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辅材</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32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满足使用需求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D8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E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55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32B2B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89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1A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空气压缩机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0A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压力0.7Mpa、7L/min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8B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7D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BE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92ED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07C194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78AD97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非甲烷总烃 监测主机单元</w:t>
            </w:r>
          </w:p>
        </w:tc>
      </w:tr>
      <w:tr w14:paraId="486D9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83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D7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废气非甲烷总烃连续监测系统</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B6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监测非甲烷总烃、甲烷、总烃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量程范围：0-</w:t>
            </w:r>
            <w:r>
              <w:rPr>
                <w:rFonts w:hint="default" w:ascii="宋体" w:hAnsi="宋体" w:eastAsia="宋体" w:cs="宋体"/>
                <w:i w:val="0"/>
                <w:iCs w:val="0"/>
                <w:color w:val="000000"/>
                <w:kern w:val="0"/>
                <w:sz w:val="24"/>
                <w:szCs w:val="24"/>
                <w:highlight w:val="none"/>
                <w:u w:val="none"/>
                <w:lang w:val="en-US" w:eastAsia="zh-CN" w:bidi="ar"/>
              </w:rPr>
              <w:t>200</w:t>
            </w:r>
            <w:r>
              <w:rPr>
                <w:rFonts w:hint="eastAsia" w:ascii="宋体" w:hAnsi="宋体" w:eastAsia="宋体" w:cs="宋体"/>
                <w:i w:val="0"/>
                <w:iCs w:val="0"/>
                <w:color w:val="000000"/>
                <w:kern w:val="0"/>
                <w:sz w:val="24"/>
                <w:szCs w:val="24"/>
                <w:highlight w:val="none"/>
                <w:u w:val="none"/>
                <w:lang w:val="en-US" w:eastAsia="zh-CN" w:bidi="ar"/>
              </w:rPr>
              <w:t xml:space="preserve">mg/m3（可调）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分析时间：≤3min </w:t>
            </w:r>
          </w:p>
          <w:p w14:paraId="7FC18D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当量程＞100mg/m</w:t>
            </w:r>
            <w:r>
              <w:rPr>
                <w:rFonts w:hint="eastAsia" w:ascii="宋体" w:hAnsi="宋体" w:eastAsia="宋体" w:cs="宋体"/>
                <w:i w:val="0"/>
                <w:iCs w:val="0"/>
                <w:color w:val="000000"/>
                <w:kern w:val="0"/>
                <w:sz w:val="24"/>
                <w:szCs w:val="24"/>
                <w:highlight w:val="none"/>
                <w:u w:val="none"/>
                <w:vertAlign w:val="superscript"/>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时， 示值误差应在标准气体的标称值±5%以内； 当量程≤100mg/m</w:t>
            </w:r>
            <w:r>
              <w:rPr>
                <w:rFonts w:hint="eastAsia" w:ascii="宋体" w:hAnsi="宋体" w:eastAsia="宋体" w:cs="宋体"/>
                <w:i w:val="0"/>
                <w:iCs w:val="0"/>
                <w:color w:val="000000"/>
                <w:kern w:val="0"/>
                <w:sz w:val="24"/>
                <w:szCs w:val="24"/>
                <w:highlight w:val="none"/>
                <w:u w:val="none"/>
                <w:vertAlign w:val="superscript"/>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时， 示值误差应在 F.S.的±2.5%以内。</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512Mb 内存，4Gb 硬盘</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E4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DA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5A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60326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E5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23E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湿检测仪</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72F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机柜内安装，湿度量程 0-40%，氧 量程 0-25%</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4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FD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67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88B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E0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B3B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在线氢气发生器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BF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电解碱液 0～0.4MPa，0-300mL/mi</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F3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6E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CE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84E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92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07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在线除烃仪</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5B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0～0.4MPa，5000L/min</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F6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F2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A1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F5E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D0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090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预处理单元</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30E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全程高温伴热</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FD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B2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7D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1B2F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E5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C4B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油水分离器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97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除水除油</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64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1E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4C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36CC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85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3.6</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91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采集、传输及处理软件</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007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符合HJ1013要求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0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E0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E7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2D13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32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3.7</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3DE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工控机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CB9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非标定制</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A6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61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B0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3C5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30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3.8</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B35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机柜</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51B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非标定制</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91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C00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34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BF7D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6D4A0C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04654F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温压流监测单元</w:t>
            </w:r>
          </w:p>
        </w:tc>
      </w:tr>
      <w:tr w14:paraId="39B8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12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8C7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温压流一体化监系统</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83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bCs/>
                <w:sz w:val="24"/>
                <w:highlight w:val="none"/>
                <w:lang w:val="en-US" w:eastAsia="zh-CN"/>
              </w:rPr>
              <w:t>温压流一体机 型号TFP-400</w:t>
            </w:r>
            <w:r>
              <w:rPr>
                <w:rFonts w:hint="eastAsia" w:ascii="宋体" w:hAnsi="宋体" w:eastAsia="宋体" w:cs="宋体"/>
                <w:i w:val="0"/>
                <w:iCs w:val="0"/>
                <w:color w:val="000000"/>
                <w:kern w:val="0"/>
                <w:sz w:val="24"/>
                <w:szCs w:val="24"/>
                <w:highlight w:val="none"/>
                <w:u w:val="none"/>
                <w:lang w:val="en-US" w:eastAsia="zh-CN" w:bidi="ar"/>
              </w:rPr>
              <w:t xml:space="preserve"> </w:t>
            </w:r>
          </w:p>
          <w:p w14:paraId="25325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Cs/>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 xml:space="preserve">温度测量范围：0～400℃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压力测量范围：-5～5kPa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流速测量范围：0～40m/s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bCs/>
                <w:sz w:val="24"/>
                <w:highlight w:val="none"/>
                <w:lang w:val="en-US" w:eastAsia="zh-CN"/>
              </w:rPr>
              <w:t>湿度仪，型号RHD-400</w:t>
            </w:r>
          </w:p>
          <w:p w14:paraId="2FD912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bCs/>
                <w:sz w:val="24"/>
                <w:highlight w:val="none"/>
                <w:lang w:val="en-US" w:eastAsia="zh-CN"/>
              </w:rPr>
              <w:t>量程 0-40%v/v</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B3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E9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0B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6A24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2C22CE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1EFD84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环保数据采集传输</w:t>
            </w:r>
          </w:p>
        </w:tc>
      </w:tr>
      <w:tr w14:paraId="30162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B0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80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环保数采仪</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CA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E9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76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AB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19D6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B0166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497162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 供电电源</w:t>
            </w:r>
          </w:p>
        </w:tc>
      </w:tr>
      <w:tr w14:paraId="316D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DC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57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 电源</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066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10kVA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50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8E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12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C19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36C93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60AB2C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设备安装及调试</w:t>
            </w:r>
          </w:p>
        </w:tc>
      </w:tr>
      <w:tr w14:paraId="15828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30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5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非甲烷总烃 在线监测设备安装</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26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F5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93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78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D881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92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AB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采样管路安装</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F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管路敷设及桥架搭建</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A3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09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85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E8A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C0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B5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72/168 调试报告</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90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8A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AF6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37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26E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65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7.4</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0C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环保比对验收</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89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22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62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C8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06A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585521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455FDA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载气与标气</w:t>
            </w:r>
          </w:p>
        </w:tc>
      </w:tr>
      <w:tr w14:paraId="5BF59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E9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8.1</w:t>
            </w:r>
          </w:p>
        </w:tc>
        <w:tc>
          <w:tcPr>
            <w:tcW w:w="12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36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高纯氮气</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D7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40L 含钢瓶，纯度：99.999%；减压阀 1 个。</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00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74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886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41D1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1A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8.2</w:t>
            </w:r>
          </w:p>
        </w:tc>
        <w:tc>
          <w:tcPr>
            <w:tcW w:w="12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CB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27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8L 含钢瓶，纯度：99.999%；减压阀 1 个</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1C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CF1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8A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13FE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52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8.3</w:t>
            </w:r>
          </w:p>
        </w:tc>
        <w:tc>
          <w:tcPr>
            <w:tcW w:w="12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B6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标气</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F9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每套含 8L（甲烷、丙烷）高、中、低浓度标气各一瓶，含钢瓶、含减压阀 1 个，带有效期证书；</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EC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6D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BD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989A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37D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8.4</w:t>
            </w:r>
          </w:p>
        </w:tc>
        <w:tc>
          <w:tcPr>
            <w:tcW w:w="12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4F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D4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每套含 8L O</w:t>
            </w:r>
            <w:r>
              <w:rPr>
                <w:rFonts w:hint="eastAsia" w:ascii="宋体" w:hAnsi="宋体" w:eastAsia="宋体" w:cs="宋体"/>
                <w:i w:val="0"/>
                <w:iCs w:val="0"/>
                <w:color w:val="000000"/>
                <w:kern w:val="0"/>
                <w:sz w:val="16"/>
                <w:szCs w:val="16"/>
                <w:highlight w:val="none"/>
                <w:u w:val="none"/>
                <w:vertAlign w:val="subscript"/>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 xml:space="preserve"> 高、中、低浓度标气各一瓶，含钢瓶、减压阀 1 个，带有效期证书；</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44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3A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9F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934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92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8.5</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AF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配套耗材</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89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非标 满足要求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6A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81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01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r>
      <w:tr w14:paraId="45C3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302C84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1D6A6C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监测站房</w:t>
            </w:r>
          </w:p>
        </w:tc>
      </w:tr>
      <w:tr w14:paraId="2B57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26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7C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空调</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71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冷暖两用空调</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5C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7E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15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5D8B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CF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7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排风扇</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7D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300*300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89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5A5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7D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2A48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E3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A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日光灯</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AF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6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3D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08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D0D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E5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9.4</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03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标识标牌</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A6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F5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A7F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8D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21A3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6F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9.5</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01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在线监测站房</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11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钢结构 14 平米</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6A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E8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3A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2958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3E1D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3323" w:type="pct"/>
            <w:gridSpan w:val="2"/>
            <w:tcBorders>
              <w:top w:val="single" w:color="000000" w:sz="4" w:space="0"/>
              <w:left w:val="single" w:color="000000" w:sz="4" w:space="0"/>
              <w:bottom w:val="single" w:color="000000" w:sz="4" w:space="0"/>
              <w:right w:val="single" w:color="000000" w:sz="4" w:space="0"/>
            </w:tcBorders>
            <w:shd w:val="clear" w:color="auto" w:fill="E2EFDA"/>
            <w:vAlign w:val="center"/>
          </w:tcPr>
          <w:p w14:paraId="264047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视频监控</w:t>
            </w:r>
          </w:p>
        </w:tc>
        <w:tc>
          <w:tcPr>
            <w:tcW w:w="395"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04AC9D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87" w:type="pct"/>
            <w:tcBorders>
              <w:top w:val="single" w:color="000000" w:sz="4" w:space="0"/>
              <w:left w:val="nil"/>
              <w:bottom w:val="single" w:color="000000" w:sz="4" w:space="0"/>
              <w:right w:val="nil"/>
            </w:tcBorders>
            <w:shd w:val="clear" w:color="auto" w:fill="E2EFDA"/>
            <w:noWrap/>
            <w:vAlign w:val="center"/>
          </w:tcPr>
          <w:p w14:paraId="3DF0BD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423" w:type="pct"/>
            <w:tcBorders>
              <w:top w:val="single" w:color="000000" w:sz="4" w:space="0"/>
              <w:left w:val="nil"/>
              <w:bottom w:val="single" w:color="000000" w:sz="4" w:space="0"/>
              <w:right w:val="single" w:color="000000" w:sz="4" w:space="0"/>
            </w:tcBorders>
            <w:shd w:val="clear" w:color="auto" w:fill="E2EFDA"/>
            <w:noWrap/>
            <w:vAlign w:val="center"/>
          </w:tcPr>
          <w:p w14:paraId="09BA7E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r>
      <w:tr w14:paraId="4C33E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30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9E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视频摄像机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C5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不低于200万像素，可360°旋转，光学变倍不小于20倍，夜视距离不低于100米；支持H.265，H.264编码；支持ONVIF协议，GB28181协议；</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C8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19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B1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F21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9E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F6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视频录像机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E9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至少支持8路1080P高清摄像机输入，便于后期扩展；支持H.265，H.264编码；支持ONVIF协议，GB28181协议；最少支持3块硬盘，保证视频录像存储时间不低于1年；支持VGA、HDMI输出接口。存贮时间不少于1年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1C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C8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51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4ACF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95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3E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监控硬盘</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D8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12000G，全新机械硬盘。硬盘质保3年。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9A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60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E0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6C4E7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AA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10.4</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CD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交换机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83D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8口百兆交换机、16口百兆交换机</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36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7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D1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CC4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E4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10.5</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A1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监视器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660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尺寸不低于21寸</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6C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9F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ED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2CF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D3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10.6</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0F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安装附件</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57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电缆等，按需</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63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39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E3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8640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16786E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09C38C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w:t>
            </w:r>
          </w:p>
        </w:tc>
      </w:tr>
      <w:tr w14:paraId="3C2AD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23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5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可燃气体报警器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11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满足使用需求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90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4D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69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D5D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AC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8D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声光报警器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E9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满足使用需求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0E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92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2B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CC1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66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CF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其他附属设施</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07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A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8A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EB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B2C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DE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11.4</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F3E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现在在线监测站房设施设备搬迁和投入使用</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CB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11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F8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E8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bl>
    <w:p w14:paraId="267D9A1B">
      <w:pPr>
        <w:rPr>
          <w:rFonts w:hint="eastAsia" w:ascii="黑体" w:hAnsi="黑体" w:eastAsia="黑体" w:cstheme="minorEastAsia"/>
          <w:b w:val="0"/>
          <w:sz w:val="28"/>
          <w:szCs w:val="28"/>
        </w:rPr>
      </w:pPr>
    </w:p>
    <w:p w14:paraId="0AE0B458">
      <w:pPr>
        <w:pStyle w:val="2"/>
        <w:tabs>
          <w:tab w:val="right" w:leader="dot" w:pos="9061"/>
        </w:tabs>
        <w:ind w:left="0"/>
        <w:jc w:val="both"/>
        <w:rPr>
          <w:rFonts w:asciiTheme="minorEastAsia" w:hAnsiTheme="minorEastAsia" w:eastAsiaTheme="minorEastAsia" w:cstheme="minorEastAsia"/>
          <w:sz w:val="20"/>
        </w:rPr>
      </w:pPr>
    </w:p>
    <w:p w14:paraId="2041EA61">
      <w:pPr>
        <w:rPr>
          <w:rFonts w:asciiTheme="minorEastAsia" w:hAnsiTheme="minorEastAsia" w:eastAsiaTheme="minorEastAsia" w:cstheme="minorEastAsia"/>
          <w:sz w:val="20"/>
        </w:rPr>
      </w:pPr>
    </w:p>
    <w:p w14:paraId="2526C0CB">
      <w:pPr>
        <w:rPr>
          <w:rFonts w:asciiTheme="minorEastAsia" w:hAnsiTheme="minorEastAsia" w:eastAsiaTheme="minorEastAsia" w:cstheme="minorEastAsia"/>
          <w:sz w:val="20"/>
        </w:rPr>
      </w:pPr>
    </w:p>
    <w:p w14:paraId="1C19E935">
      <w:pPr>
        <w:rPr>
          <w:rFonts w:asciiTheme="minorEastAsia" w:hAnsiTheme="minorEastAsia" w:eastAsiaTheme="minorEastAsia" w:cstheme="minorEastAsia"/>
          <w:sz w:val="20"/>
        </w:rPr>
      </w:pPr>
    </w:p>
    <w:p w14:paraId="076C432B">
      <w:pPr>
        <w:rPr>
          <w:rFonts w:asciiTheme="minorEastAsia" w:hAnsiTheme="minorEastAsia" w:eastAsiaTheme="minorEastAsia" w:cstheme="minorEastAsia"/>
          <w:sz w:val="20"/>
        </w:rPr>
      </w:pPr>
    </w:p>
    <w:p w14:paraId="63A34227">
      <w:pPr>
        <w:rPr>
          <w:rFonts w:asciiTheme="minorEastAsia" w:hAnsiTheme="minorEastAsia" w:eastAsiaTheme="minorEastAsia" w:cstheme="minorEastAsia"/>
          <w:sz w:val="20"/>
        </w:rPr>
      </w:pPr>
    </w:p>
    <w:p w14:paraId="53CDCBF2">
      <w:pPr>
        <w:rPr>
          <w:rFonts w:asciiTheme="minorEastAsia" w:hAnsiTheme="minorEastAsia" w:eastAsiaTheme="minorEastAsia" w:cstheme="minorEastAsia"/>
          <w:sz w:val="20"/>
        </w:rPr>
      </w:pPr>
    </w:p>
    <w:p w14:paraId="5842CE71">
      <w:pPr>
        <w:rPr>
          <w:rFonts w:asciiTheme="minorEastAsia" w:hAnsiTheme="minorEastAsia" w:eastAsiaTheme="minorEastAsia" w:cstheme="minorEastAsia"/>
          <w:sz w:val="20"/>
        </w:rPr>
      </w:pPr>
    </w:p>
    <w:p w14:paraId="5FC4045D">
      <w:pPr>
        <w:rPr>
          <w:rFonts w:asciiTheme="minorEastAsia" w:hAnsiTheme="minorEastAsia" w:eastAsiaTheme="minorEastAsia" w:cstheme="minorEastAsia"/>
          <w:sz w:val="20"/>
        </w:rPr>
      </w:pPr>
    </w:p>
    <w:p w14:paraId="1C729977">
      <w:pPr>
        <w:rPr>
          <w:rFonts w:asciiTheme="minorEastAsia" w:hAnsiTheme="minorEastAsia" w:eastAsiaTheme="minorEastAsia" w:cstheme="minorEastAsia"/>
          <w:sz w:val="20"/>
        </w:rPr>
      </w:pPr>
    </w:p>
    <w:p w14:paraId="67E9D608">
      <w:pPr>
        <w:rPr>
          <w:rFonts w:asciiTheme="minorEastAsia" w:hAnsiTheme="minorEastAsia" w:eastAsiaTheme="minorEastAsia" w:cstheme="minorEastAsia"/>
          <w:sz w:val="20"/>
        </w:rPr>
      </w:pPr>
    </w:p>
    <w:p w14:paraId="4E44A72E">
      <w:pPr>
        <w:rPr>
          <w:rFonts w:asciiTheme="minorEastAsia" w:hAnsiTheme="minorEastAsia" w:eastAsiaTheme="minorEastAsia" w:cstheme="minorEastAsia"/>
          <w:sz w:val="20"/>
        </w:rPr>
      </w:pPr>
    </w:p>
    <w:p w14:paraId="6CC39D1C">
      <w:pPr>
        <w:rPr>
          <w:rFonts w:asciiTheme="minorEastAsia" w:hAnsiTheme="minorEastAsia" w:eastAsiaTheme="minorEastAsia" w:cstheme="minorEastAsia"/>
          <w:sz w:val="20"/>
        </w:rPr>
      </w:pPr>
    </w:p>
    <w:p w14:paraId="2D7AC6B1"/>
    <w:p w14:paraId="2BA3AED1">
      <w:pPr>
        <w:rPr>
          <w:rFonts w:eastAsia="黑体"/>
          <w:b/>
          <w:bCs/>
          <w:sz w:val="28"/>
        </w:rPr>
      </w:pPr>
      <w:r>
        <w:rPr>
          <w:rFonts w:hint="eastAsia" w:eastAsia="黑体"/>
          <w:b/>
          <w:bCs/>
          <w:sz w:val="28"/>
        </w:rPr>
        <w:t>格式1</w:t>
      </w:r>
    </w:p>
    <w:p w14:paraId="3A24F7F6">
      <w:pPr>
        <w:rPr>
          <w:rFonts w:ascii="宋体" w:hAnsi="宋体"/>
        </w:rPr>
      </w:pPr>
      <w:r>
        <w:rPr>
          <w:rFonts w:hint="eastAsia" w:ascii="宋体" w:hAnsi="宋体"/>
        </w:rPr>
        <w:t>项目名称：</w:t>
      </w:r>
      <w:r>
        <w:rPr>
          <w:rFonts w:ascii="宋体" w:hAnsi="宋体"/>
        </w:rPr>
        <w:t xml:space="preserve"> </w:t>
      </w:r>
    </w:p>
    <w:p w14:paraId="3E193BD2">
      <w:pPr>
        <w:jc w:val="center"/>
        <w:rPr>
          <w:rFonts w:eastAsia="黑体"/>
          <w:b/>
          <w:bCs/>
          <w:sz w:val="28"/>
        </w:rPr>
      </w:pPr>
      <w:r>
        <w:rPr>
          <w:rFonts w:hint="eastAsia" w:eastAsia="黑体"/>
          <w:b/>
          <w:bCs/>
          <w:sz w:val="28"/>
        </w:rPr>
        <w:t>投标书</w:t>
      </w:r>
    </w:p>
    <w:p w14:paraId="3E4A497D">
      <w:pPr>
        <w:rPr>
          <w:rFonts w:ascii="宋体" w:hAnsi="宋体"/>
          <w:u w:val="single"/>
        </w:rPr>
      </w:pPr>
      <w:r>
        <w:rPr>
          <w:rFonts w:hint="eastAsia" w:ascii="宋体" w:hAnsi="宋体"/>
        </w:rPr>
        <w:t>致</w:t>
      </w:r>
      <w:r>
        <w:rPr>
          <w:rFonts w:hint="eastAsia" w:ascii="宋体" w:hAnsi="宋体"/>
          <w:u w:val="single"/>
        </w:rPr>
        <w:t>（招标人名称）                            ：</w:t>
      </w:r>
    </w:p>
    <w:p w14:paraId="336C0FD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01F2E9BF">
      <w:pPr>
        <w:rPr>
          <w:rFonts w:ascii="宋体" w:hAnsi="宋体"/>
        </w:rPr>
      </w:pPr>
      <w:r>
        <w:rPr>
          <w:rFonts w:hint="eastAsia" w:ascii="宋体" w:hAnsi="宋体"/>
        </w:rPr>
        <w:t>据此，签字代表宣布同意如下：</w:t>
      </w:r>
    </w:p>
    <w:p w14:paraId="0AF708DC">
      <w:pPr>
        <w:ind w:firstLine="420" w:firstLineChars="200"/>
        <w:rPr>
          <w:rFonts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2F93668F">
      <w:pPr>
        <w:rPr>
          <w:rFonts w:ascii="宋体" w:hAnsi="宋体"/>
          <w:u w:val="single"/>
        </w:rPr>
      </w:pPr>
      <w:r>
        <w:rPr>
          <w:rFonts w:hint="eastAsia" w:ascii="宋体" w:hAnsi="宋体"/>
          <w:u w:val="single"/>
        </w:rPr>
        <w:t xml:space="preserve">即（中文文字描述）                                      </w:t>
      </w:r>
      <w:r>
        <w:rPr>
          <w:rFonts w:hint="eastAsia" w:ascii="宋体" w:hAnsi="宋体"/>
        </w:rPr>
        <w:t>。</w:t>
      </w:r>
    </w:p>
    <w:p w14:paraId="76163369">
      <w:pPr>
        <w:ind w:left="435"/>
        <w:rPr>
          <w:rFonts w:ascii="宋体" w:hAnsi="宋体"/>
        </w:rPr>
      </w:pPr>
      <w:r>
        <w:rPr>
          <w:rFonts w:hint="eastAsia" w:ascii="宋体" w:hAnsi="宋体"/>
        </w:rPr>
        <w:t>2.投标人将按招标文件的规定履行合同责任和义务。</w:t>
      </w:r>
    </w:p>
    <w:p w14:paraId="1B4A36F2">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0DD2BBC">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77AC6BDE">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6CE24970">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A995030">
      <w:pPr>
        <w:ind w:left="435"/>
        <w:rPr>
          <w:rFonts w:ascii="宋体" w:hAnsi="宋体"/>
        </w:rPr>
      </w:pPr>
      <w:r>
        <w:rPr>
          <w:rFonts w:hint="eastAsia" w:ascii="宋体" w:hAnsi="宋体"/>
        </w:rPr>
        <w:t>7.与本投标有关的一切正式往来通讯请寄：</w:t>
      </w:r>
    </w:p>
    <w:p w14:paraId="1EAE8FEE">
      <w:pPr>
        <w:ind w:left="795"/>
        <w:rPr>
          <w:rFonts w:ascii="宋体" w:hAnsi="宋体"/>
        </w:rPr>
      </w:pPr>
      <w:r>
        <w:rPr>
          <w:rFonts w:hint="eastAsia" w:ascii="宋体" w:hAnsi="宋体"/>
        </w:rPr>
        <w:t>地址：                                   邮编：</w:t>
      </w:r>
    </w:p>
    <w:p w14:paraId="1BCC5593">
      <w:pPr>
        <w:ind w:left="795"/>
        <w:rPr>
          <w:rFonts w:ascii="宋体" w:hAnsi="宋体"/>
        </w:rPr>
      </w:pPr>
      <w:r>
        <w:rPr>
          <w:rFonts w:hint="eastAsia" w:ascii="宋体" w:hAnsi="宋体"/>
        </w:rPr>
        <w:t>电话：                                   传真：</w:t>
      </w:r>
    </w:p>
    <w:p w14:paraId="15680086">
      <w:pPr>
        <w:ind w:left="795"/>
      </w:pPr>
    </w:p>
    <w:p w14:paraId="3010C71E">
      <w:pPr>
        <w:ind w:left="795"/>
      </w:pPr>
    </w:p>
    <w:p w14:paraId="3FAC7A4A">
      <w:pPr>
        <w:pStyle w:val="113"/>
      </w:pPr>
    </w:p>
    <w:p w14:paraId="77AAF397">
      <w:pPr>
        <w:pStyle w:val="113"/>
      </w:pPr>
    </w:p>
    <w:p w14:paraId="35EDB55D">
      <w:pPr>
        <w:spacing w:line="480" w:lineRule="auto"/>
        <w:ind w:left="795"/>
      </w:pPr>
      <w:r>
        <w:rPr>
          <w:rFonts w:hint="eastAsia"/>
        </w:rPr>
        <w:t>投标人授权代表签字：                 职务：                 日期：</w:t>
      </w:r>
    </w:p>
    <w:p w14:paraId="2BDE24FD">
      <w:pPr>
        <w:spacing w:line="480" w:lineRule="auto"/>
        <w:ind w:left="795"/>
      </w:pPr>
      <w:r>
        <w:rPr>
          <w:rFonts w:hint="eastAsia"/>
        </w:rPr>
        <w:t>投标人名称（及公章）：</w:t>
      </w:r>
    </w:p>
    <w:p w14:paraId="325DBB39">
      <w:pPr>
        <w:spacing w:line="480" w:lineRule="auto"/>
        <w:ind w:left="795"/>
      </w:pPr>
      <w:r>
        <w:rPr>
          <w:rFonts w:hint="eastAsia"/>
        </w:rPr>
        <w:t>日期：        年       月       日</w:t>
      </w:r>
    </w:p>
    <w:p w14:paraId="0B0B21A0">
      <w:pPr>
        <w:rPr>
          <w:rFonts w:ascii="黑体" w:eastAsia="黑体"/>
          <w:sz w:val="30"/>
        </w:rPr>
      </w:pPr>
    </w:p>
    <w:p w14:paraId="7269E975">
      <w:pPr>
        <w:rPr>
          <w:rFonts w:ascii="黑体" w:eastAsia="黑体"/>
          <w:sz w:val="30"/>
        </w:rPr>
      </w:pPr>
    </w:p>
    <w:p w14:paraId="53E65E0C">
      <w:pPr>
        <w:rPr>
          <w:rFonts w:ascii="黑体" w:eastAsia="黑体"/>
          <w:sz w:val="30"/>
        </w:rPr>
      </w:pPr>
    </w:p>
    <w:p w14:paraId="34F62B94">
      <w:pPr>
        <w:rPr>
          <w:rFonts w:eastAsia="黑体"/>
          <w:b/>
          <w:bCs/>
          <w:sz w:val="28"/>
        </w:rPr>
      </w:pPr>
      <w:r>
        <w:rPr>
          <w:rFonts w:ascii="黑体" w:eastAsia="黑体"/>
          <w:sz w:val="30"/>
        </w:rPr>
        <w:br w:type="page"/>
      </w:r>
      <w:r>
        <w:rPr>
          <w:rFonts w:hint="eastAsia" w:eastAsia="黑体"/>
          <w:b/>
          <w:bCs/>
          <w:sz w:val="28"/>
        </w:rPr>
        <w:t>格式2</w:t>
      </w:r>
    </w:p>
    <w:p w14:paraId="221B7315">
      <w:pPr>
        <w:rPr>
          <w:rFonts w:ascii="宋体" w:hAnsi="宋体"/>
        </w:rPr>
      </w:pPr>
      <w:r>
        <w:rPr>
          <w:rFonts w:hint="eastAsia" w:ascii="宋体" w:hAnsi="宋体"/>
        </w:rPr>
        <w:t>项目名称：</w:t>
      </w:r>
      <w:r>
        <w:rPr>
          <w:rFonts w:ascii="宋体" w:hAnsi="宋体"/>
        </w:rPr>
        <w:t xml:space="preserve"> </w:t>
      </w:r>
    </w:p>
    <w:p w14:paraId="2C871400">
      <w:pPr>
        <w:rPr>
          <w:rFonts w:ascii="宋体" w:hAnsi="宋体"/>
          <w:szCs w:val="21"/>
        </w:rPr>
      </w:pPr>
      <w:r>
        <w:rPr>
          <w:rFonts w:hint="eastAsia" w:ascii="宋体" w:hAnsi="宋体"/>
          <w:szCs w:val="21"/>
        </w:rPr>
        <w:t>日期：  年   月   日</w:t>
      </w:r>
    </w:p>
    <w:p w14:paraId="40FE05DD">
      <w:pPr>
        <w:jc w:val="center"/>
        <w:rPr>
          <w:rFonts w:ascii="黑体" w:eastAsia="黑体"/>
          <w:sz w:val="30"/>
        </w:rPr>
      </w:pPr>
      <w:r>
        <w:rPr>
          <w:rFonts w:hint="eastAsia" w:ascii="黑体" w:eastAsia="黑体"/>
          <w:sz w:val="30"/>
        </w:rPr>
        <w:t>投标文件目录</w:t>
      </w:r>
    </w:p>
    <w:tbl>
      <w:tblPr>
        <w:tblStyle w:val="32"/>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415443">
            <w:pPr>
              <w:jc w:val="center"/>
              <w:rPr>
                <w:sz w:val="28"/>
              </w:rPr>
            </w:pPr>
            <w:r>
              <w:rPr>
                <w:rFonts w:hint="eastAsia"/>
                <w:sz w:val="28"/>
              </w:rPr>
              <w:t>序号</w:t>
            </w:r>
          </w:p>
        </w:tc>
        <w:tc>
          <w:tcPr>
            <w:tcW w:w="6520" w:type="dxa"/>
            <w:vAlign w:val="center"/>
          </w:tcPr>
          <w:p w14:paraId="5F9FA67C">
            <w:pPr>
              <w:jc w:val="center"/>
              <w:rPr>
                <w:sz w:val="28"/>
              </w:rPr>
            </w:pPr>
            <w:r>
              <w:rPr>
                <w:rFonts w:hint="eastAsia"/>
                <w:sz w:val="28"/>
              </w:rPr>
              <w:t>主要内容</w:t>
            </w:r>
          </w:p>
        </w:tc>
        <w:tc>
          <w:tcPr>
            <w:tcW w:w="1276" w:type="dxa"/>
            <w:vAlign w:val="center"/>
          </w:tcPr>
          <w:p w14:paraId="77AD3B54">
            <w:pPr>
              <w:jc w:val="center"/>
              <w:rPr>
                <w:sz w:val="28"/>
              </w:rPr>
            </w:pPr>
            <w:r>
              <w:rPr>
                <w:rFonts w:hint="eastAsia"/>
                <w:sz w:val="28"/>
              </w:rPr>
              <w:t>索引</w:t>
            </w:r>
          </w:p>
        </w:tc>
      </w:tr>
      <w:tr w14:paraId="459D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2A43E5">
            <w:pPr>
              <w:jc w:val="center"/>
            </w:pPr>
          </w:p>
        </w:tc>
        <w:tc>
          <w:tcPr>
            <w:tcW w:w="6520" w:type="dxa"/>
            <w:vAlign w:val="center"/>
          </w:tcPr>
          <w:p w14:paraId="0F58F8BB">
            <w:pPr>
              <w:jc w:val="center"/>
            </w:pPr>
          </w:p>
        </w:tc>
        <w:tc>
          <w:tcPr>
            <w:tcW w:w="1276" w:type="dxa"/>
            <w:vAlign w:val="center"/>
          </w:tcPr>
          <w:p w14:paraId="337545B6">
            <w:pPr>
              <w:jc w:val="center"/>
            </w:pPr>
          </w:p>
        </w:tc>
      </w:tr>
      <w:tr w14:paraId="671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3D9216">
            <w:pPr>
              <w:jc w:val="center"/>
            </w:pPr>
          </w:p>
        </w:tc>
        <w:tc>
          <w:tcPr>
            <w:tcW w:w="6520" w:type="dxa"/>
            <w:vAlign w:val="center"/>
          </w:tcPr>
          <w:p w14:paraId="550C53C2">
            <w:pPr>
              <w:jc w:val="center"/>
            </w:pPr>
          </w:p>
        </w:tc>
        <w:tc>
          <w:tcPr>
            <w:tcW w:w="1276" w:type="dxa"/>
            <w:vAlign w:val="center"/>
          </w:tcPr>
          <w:p w14:paraId="780195C6">
            <w:pPr>
              <w:jc w:val="center"/>
            </w:pPr>
          </w:p>
        </w:tc>
      </w:tr>
      <w:tr w14:paraId="3AB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DEFEB5">
            <w:pPr>
              <w:jc w:val="center"/>
            </w:pPr>
          </w:p>
        </w:tc>
        <w:tc>
          <w:tcPr>
            <w:tcW w:w="6520" w:type="dxa"/>
            <w:vAlign w:val="center"/>
          </w:tcPr>
          <w:p w14:paraId="6A8C1491">
            <w:pPr>
              <w:jc w:val="center"/>
            </w:pPr>
          </w:p>
        </w:tc>
        <w:tc>
          <w:tcPr>
            <w:tcW w:w="1276" w:type="dxa"/>
            <w:vAlign w:val="center"/>
          </w:tcPr>
          <w:p w14:paraId="2CFBC95E">
            <w:pPr>
              <w:jc w:val="center"/>
            </w:pPr>
          </w:p>
        </w:tc>
      </w:tr>
      <w:tr w14:paraId="524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0F24DB">
            <w:pPr>
              <w:jc w:val="center"/>
            </w:pPr>
          </w:p>
        </w:tc>
        <w:tc>
          <w:tcPr>
            <w:tcW w:w="6520" w:type="dxa"/>
            <w:vAlign w:val="center"/>
          </w:tcPr>
          <w:p w14:paraId="5DA9E6C6">
            <w:pPr>
              <w:jc w:val="center"/>
            </w:pPr>
          </w:p>
        </w:tc>
        <w:tc>
          <w:tcPr>
            <w:tcW w:w="1276" w:type="dxa"/>
            <w:vAlign w:val="center"/>
          </w:tcPr>
          <w:p w14:paraId="6217CBD7">
            <w:pPr>
              <w:jc w:val="center"/>
            </w:pPr>
          </w:p>
        </w:tc>
      </w:tr>
      <w:tr w14:paraId="2F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2409CA">
            <w:pPr>
              <w:jc w:val="center"/>
            </w:pPr>
          </w:p>
        </w:tc>
        <w:tc>
          <w:tcPr>
            <w:tcW w:w="6520" w:type="dxa"/>
            <w:vAlign w:val="center"/>
          </w:tcPr>
          <w:p w14:paraId="69DC271F">
            <w:pPr>
              <w:jc w:val="center"/>
            </w:pPr>
          </w:p>
        </w:tc>
        <w:tc>
          <w:tcPr>
            <w:tcW w:w="1276" w:type="dxa"/>
            <w:vAlign w:val="center"/>
          </w:tcPr>
          <w:p w14:paraId="5EBED633">
            <w:pPr>
              <w:jc w:val="center"/>
            </w:pPr>
          </w:p>
        </w:tc>
      </w:tr>
      <w:tr w14:paraId="717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8AA3CD">
            <w:pPr>
              <w:jc w:val="center"/>
            </w:pPr>
          </w:p>
        </w:tc>
        <w:tc>
          <w:tcPr>
            <w:tcW w:w="6520" w:type="dxa"/>
            <w:vAlign w:val="center"/>
          </w:tcPr>
          <w:p w14:paraId="4169A6AF">
            <w:pPr>
              <w:jc w:val="center"/>
            </w:pPr>
          </w:p>
        </w:tc>
        <w:tc>
          <w:tcPr>
            <w:tcW w:w="1276" w:type="dxa"/>
            <w:vAlign w:val="center"/>
          </w:tcPr>
          <w:p w14:paraId="737FBE4B">
            <w:pPr>
              <w:jc w:val="center"/>
            </w:pPr>
          </w:p>
        </w:tc>
      </w:tr>
      <w:tr w14:paraId="554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7939C">
            <w:pPr>
              <w:jc w:val="center"/>
            </w:pPr>
          </w:p>
        </w:tc>
        <w:tc>
          <w:tcPr>
            <w:tcW w:w="6520" w:type="dxa"/>
            <w:vAlign w:val="center"/>
          </w:tcPr>
          <w:p w14:paraId="65DCCC80">
            <w:pPr>
              <w:jc w:val="center"/>
            </w:pPr>
          </w:p>
        </w:tc>
        <w:tc>
          <w:tcPr>
            <w:tcW w:w="1276" w:type="dxa"/>
            <w:vAlign w:val="center"/>
          </w:tcPr>
          <w:p w14:paraId="5E1EB7AD">
            <w:pPr>
              <w:jc w:val="center"/>
            </w:pPr>
          </w:p>
        </w:tc>
      </w:tr>
      <w:tr w14:paraId="743C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DAAC76">
            <w:pPr>
              <w:jc w:val="center"/>
            </w:pPr>
          </w:p>
        </w:tc>
        <w:tc>
          <w:tcPr>
            <w:tcW w:w="6520" w:type="dxa"/>
            <w:vAlign w:val="center"/>
          </w:tcPr>
          <w:p w14:paraId="5B8310A2">
            <w:pPr>
              <w:jc w:val="center"/>
            </w:pPr>
          </w:p>
        </w:tc>
        <w:tc>
          <w:tcPr>
            <w:tcW w:w="1276" w:type="dxa"/>
            <w:vAlign w:val="center"/>
          </w:tcPr>
          <w:p w14:paraId="700AF87B">
            <w:pPr>
              <w:jc w:val="center"/>
            </w:pPr>
          </w:p>
        </w:tc>
      </w:tr>
      <w:tr w14:paraId="7CD7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1F6606">
            <w:pPr>
              <w:jc w:val="center"/>
            </w:pPr>
          </w:p>
        </w:tc>
        <w:tc>
          <w:tcPr>
            <w:tcW w:w="6520" w:type="dxa"/>
            <w:vAlign w:val="center"/>
          </w:tcPr>
          <w:p w14:paraId="746208D3">
            <w:pPr>
              <w:jc w:val="center"/>
            </w:pPr>
          </w:p>
        </w:tc>
        <w:tc>
          <w:tcPr>
            <w:tcW w:w="1276" w:type="dxa"/>
            <w:vAlign w:val="center"/>
          </w:tcPr>
          <w:p w14:paraId="77D72FBE">
            <w:pPr>
              <w:jc w:val="center"/>
            </w:pPr>
          </w:p>
        </w:tc>
      </w:tr>
      <w:tr w14:paraId="657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E64229">
            <w:pPr>
              <w:jc w:val="center"/>
            </w:pPr>
          </w:p>
        </w:tc>
        <w:tc>
          <w:tcPr>
            <w:tcW w:w="6520" w:type="dxa"/>
            <w:vAlign w:val="center"/>
          </w:tcPr>
          <w:p w14:paraId="51E7BE2C">
            <w:pPr>
              <w:jc w:val="center"/>
            </w:pPr>
          </w:p>
        </w:tc>
        <w:tc>
          <w:tcPr>
            <w:tcW w:w="1276" w:type="dxa"/>
            <w:vAlign w:val="center"/>
          </w:tcPr>
          <w:p w14:paraId="0CAA60B4">
            <w:pPr>
              <w:jc w:val="center"/>
            </w:pPr>
          </w:p>
        </w:tc>
      </w:tr>
      <w:tr w14:paraId="796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39E692">
            <w:pPr>
              <w:jc w:val="center"/>
            </w:pPr>
          </w:p>
        </w:tc>
        <w:tc>
          <w:tcPr>
            <w:tcW w:w="6520" w:type="dxa"/>
            <w:vAlign w:val="center"/>
          </w:tcPr>
          <w:p w14:paraId="3A81BD99">
            <w:pPr>
              <w:jc w:val="center"/>
            </w:pPr>
          </w:p>
        </w:tc>
        <w:tc>
          <w:tcPr>
            <w:tcW w:w="1276" w:type="dxa"/>
            <w:vAlign w:val="center"/>
          </w:tcPr>
          <w:p w14:paraId="2FEDA394">
            <w:pPr>
              <w:jc w:val="center"/>
            </w:pPr>
          </w:p>
        </w:tc>
      </w:tr>
      <w:tr w14:paraId="61DD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AF6BCD">
            <w:pPr>
              <w:jc w:val="center"/>
            </w:pPr>
          </w:p>
        </w:tc>
        <w:tc>
          <w:tcPr>
            <w:tcW w:w="6520" w:type="dxa"/>
            <w:vAlign w:val="center"/>
          </w:tcPr>
          <w:p w14:paraId="60E8F72B">
            <w:pPr>
              <w:jc w:val="center"/>
            </w:pPr>
          </w:p>
        </w:tc>
        <w:tc>
          <w:tcPr>
            <w:tcW w:w="1276" w:type="dxa"/>
            <w:vAlign w:val="center"/>
          </w:tcPr>
          <w:p w14:paraId="568C19EA">
            <w:pPr>
              <w:jc w:val="center"/>
            </w:pPr>
          </w:p>
        </w:tc>
      </w:tr>
    </w:tbl>
    <w:p w14:paraId="78EA6DD9">
      <w:pPr>
        <w:rPr>
          <w:rFonts w:ascii="宋体" w:hAnsi="宋体"/>
          <w:sz w:val="24"/>
          <w:szCs w:val="24"/>
        </w:rPr>
      </w:pPr>
      <w:r>
        <w:rPr>
          <w:rFonts w:hint="eastAsia" w:ascii="宋体" w:hAnsi="宋体"/>
          <w:sz w:val="24"/>
          <w:szCs w:val="24"/>
        </w:rPr>
        <w:t>投标人名称（盖章）：              法定代表人或授权代表签字：</w:t>
      </w:r>
    </w:p>
    <w:p w14:paraId="3F79D742">
      <w:pPr>
        <w:rPr>
          <w:rFonts w:ascii="宋体" w:hAnsi="宋体"/>
          <w:sz w:val="24"/>
        </w:rPr>
      </w:pPr>
    </w:p>
    <w:p w14:paraId="58800AE4">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22F5D25">
      <w:pPr>
        <w:ind w:firstLine="480"/>
        <w:rPr>
          <w:rFonts w:ascii="宋体" w:hAnsi="宋体"/>
          <w:sz w:val="24"/>
        </w:rPr>
      </w:pPr>
      <w:r>
        <w:rPr>
          <w:rFonts w:hint="eastAsia" w:ascii="宋体" w:hAnsi="宋体"/>
          <w:sz w:val="24"/>
        </w:rPr>
        <w:t>2．“索引”一栏填写该主要内容对应于投标文件的“条款号/页号”。</w:t>
      </w:r>
    </w:p>
    <w:p w14:paraId="0C08F853">
      <w:pPr>
        <w:ind w:firstLine="480"/>
        <w:rPr>
          <w:rFonts w:ascii="宋体" w:hAnsi="宋体"/>
          <w:sz w:val="24"/>
        </w:rPr>
      </w:pPr>
    </w:p>
    <w:p w14:paraId="11BDF40C">
      <w:pPr>
        <w:rPr>
          <w:rFonts w:eastAsia="黑体"/>
          <w:b/>
          <w:bCs/>
          <w:sz w:val="28"/>
        </w:rPr>
      </w:pPr>
      <w:r>
        <w:rPr>
          <w:rFonts w:hint="eastAsia" w:eastAsia="黑体"/>
          <w:b/>
          <w:bCs/>
          <w:sz w:val="28"/>
        </w:rPr>
        <w:br w:type="page"/>
      </w:r>
    </w:p>
    <w:p w14:paraId="069B347E">
      <w:pPr>
        <w:rPr>
          <w:rFonts w:eastAsia="黑体"/>
          <w:b/>
          <w:bCs/>
          <w:sz w:val="28"/>
        </w:rPr>
      </w:pPr>
      <w:r>
        <w:rPr>
          <w:rFonts w:hint="eastAsia" w:eastAsia="黑体"/>
          <w:b/>
          <w:bCs/>
          <w:sz w:val="28"/>
        </w:rPr>
        <w:t>格式3</w:t>
      </w:r>
    </w:p>
    <w:p w14:paraId="58117D95">
      <w:pPr>
        <w:rPr>
          <w:rFonts w:ascii="宋体" w:hAnsi="宋体"/>
        </w:rPr>
      </w:pPr>
      <w:r>
        <w:rPr>
          <w:rFonts w:hint="eastAsia" w:ascii="宋体" w:hAnsi="宋体"/>
        </w:rPr>
        <w:t>项目名称：</w:t>
      </w:r>
      <w:r>
        <w:rPr>
          <w:rFonts w:ascii="宋体" w:hAnsi="宋体"/>
        </w:rPr>
        <w:t xml:space="preserve"> </w:t>
      </w:r>
    </w:p>
    <w:p w14:paraId="0DDEA457">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61E35EAF">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7A98F9DF">
      <w:pPr>
        <w:adjustRightInd w:val="0"/>
        <w:snapToGrid w:val="0"/>
        <w:spacing w:line="540" w:lineRule="exact"/>
        <w:jc w:val="left"/>
        <w:rPr>
          <w:rFonts w:hint="eastAsia" w:ascii="仿宋" w:hAnsi="仿宋" w:eastAsia="仿宋"/>
          <w:sz w:val="24"/>
          <w:szCs w:val="28"/>
        </w:rPr>
      </w:pPr>
      <w:r>
        <w:rPr>
          <w:rFonts w:hint="eastAsia" w:ascii="仿宋" w:hAnsi="仿宋" w:eastAsia="仿宋"/>
          <w:sz w:val="24"/>
          <w:szCs w:val="28"/>
        </w:rPr>
        <w:t>项目名称：</w:t>
      </w:r>
    </w:p>
    <w:tbl>
      <w:tblPr>
        <w:tblStyle w:val="32"/>
        <w:tblW w:w="0" w:type="auto"/>
        <w:tblInd w:w="118" w:type="dxa"/>
        <w:tblLayout w:type="autofit"/>
        <w:tblCellMar>
          <w:top w:w="0" w:type="dxa"/>
          <w:left w:w="108" w:type="dxa"/>
          <w:bottom w:w="0" w:type="dxa"/>
          <w:right w:w="108" w:type="dxa"/>
        </w:tblCellMar>
      </w:tblPr>
      <w:tblGrid>
        <w:gridCol w:w="656"/>
        <w:gridCol w:w="1096"/>
        <w:gridCol w:w="656"/>
        <w:gridCol w:w="656"/>
        <w:gridCol w:w="1536"/>
        <w:gridCol w:w="1536"/>
        <w:gridCol w:w="656"/>
        <w:gridCol w:w="444"/>
      </w:tblGrid>
      <w:tr w14:paraId="105ABE3C">
        <w:tblPrEx>
          <w:tblCellMar>
            <w:top w:w="0" w:type="dxa"/>
            <w:left w:w="108" w:type="dxa"/>
            <w:bottom w:w="0" w:type="dxa"/>
            <w:right w:w="108" w:type="dxa"/>
          </w:tblCellMar>
        </w:tblPrEx>
        <w:trPr>
          <w:gridAfter w:val="1"/>
          <w:wAfter w:w="0" w:type="auto"/>
          <w:trHeight w:val="1005" w:hRule="atLeast"/>
        </w:trPr>
        <w:tc>
          <w:tcPr>
            <w:tcW w:w="0" w:type="auto"/>
            <w:tcBorders>
              <w:top w:val="single" w:color="auto" w:sz="8" w:space="0"/>
              <w:left w:val="single" w:color="auto" w:sz="8" w:space="0"/>
              <w:bottom w:val="single" w:color="auto" w:sz="8" w:space="0"/>
              <w:right w:val="single" w:color="auto" w:sz="8" w:space="0"/>
            </w:tcBorders>
            <w:noWrap w:val="0"/>
            <w:vAlign w:val="center"/>
          </w:tcPr>
          <w:p w14:paraId="0437A69B">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0" w:type="auto"/>
            <w:tcBorders>
              <w:top w:val="single" w:color="auto" w:sz="8" w:space="0"/>
              <w:left w:val="nil"/>
              <w:bottom w:val="single" w:color="auto" w:sz="8" w:space="0"/>
              <w:right w:val="nil"/>
            </w:tcBorders>
            <w:noWrap w:val="0"/>
            <w:vAlign w:val="center"/>
          </w:tcPr>
          <w:p w14:paraId="66C390C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0" w:type="auto"/>
            <w:tcBorders>
              <w:top w:val="single" w:color="auto" w:sz="8" w:space="0"/>
              <w:left w:val="single" w:color="auto" w:sz="8" w:space="0"/>
              <w:bottom w:val="single" w:color="auto" w:sz="8" w:space="0"/>
              <w:right w:val="single" w:color="auto" w:sz="8" w:space="0"/>
            </w:tcBorders>
            <w:noWrap w:val="0"/>
            <w:vAlign w:val="center"/>
          </w:tcPr>
          <w:p w14:paraId="1B3F2C5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0" w:type="auto"/>
            <w:tcBorders>
              <w:top w:val="single" w:color="auto" w:sz="8" w:space="0"/>
              <w:left w:val="nil"/>
              <w:bottom w:val="single" w:color="auto" w:sz="8" w:space="0"/>
              <w:right w:val="single" w:color="auto" w:sz="8" w:space="0"/>
            </w:tcBorders>
            <w:noWrap w:val="0"/>
            <w:vAlign w:val="center"/>
          </w:tcPr>
          <w:p w14:paraId="7B15043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0" w:type="auto"/>
            <w:tcBorders>
              <w:top w:val="single" w:color="auto" w:sz="8" w:space="0"/>
              <w:left w:val="nil"/>
              <w:bottom w:val="single" w:color="auto" w:sz="8" w:space="0"/>
              <w:right w:val="single" w:color="auto" w:sz="8" w:space="0"/>
            </w:tcBorders>
            <w:noWrap w:val="0"/>
            <w:vAlign w:val="center"/>
          </w:tcPr>
          <w:p w14:paraId="5FB5D23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总</w:t>
            </w:r>
            <w:r>
              <w:rPr>
                <w:rFonts w:hint="eastAsia" w:ascii="仿宋" w:hAnsi="仿宋" w:eastAsia="仿宋" w:cs="宋体"/>
                <w:color w:val="000000"/>
                <w:kern w:val="0"/>
                <w:sz w:val="22"/>
                <w:szCs w:val="22"/>
              </w:rPr>
              <w:t>价（未税）</w:t>
            </w:r>
          </w:p>
        </w:tc>
        <w:tc>
          <w:tcPr>
            <w:tcW w:w="0" w:type="auto"/>
            <w:tcBorders>
              <w:top w:val="single" w:color="auto" w:sz="8" w:space="0"/>
              <w:left w:val="nil"/>
              <w:bottom w:val="single" w:color="auto" w:sz="8" w:space="0"/>
              <w:right w:val="single" w:color="auto" w:sz="8" w:space="0"/>
            </w:tcBorders>
            <w:noWrap w:val="0"/>
            <w:vAlign w:val="center"/>
          </w:tcPr>
          <w:p w14:paraId="437D0E1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0" w:type="auto"/>
            <w:tcBorders>
              <w:top w:val="single" w:color="auto" w:sz="8" w:space="0"/>
              <w:left w:val="nil"/>
              <w:bottom w:val="single" w:color="auto" w:sz="8" w:space="0"/>
              <w:right w:val="single" w:color="auto" w:sz="8" w:space="0"/>
            </w:tcBorders>
            <w:noWrap w:val="0"/>
            <w:vAlign w:val="center"/>
          </w:tcPr>
          <w:p w14:paraId="4D29184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5B46A2E9">
        <w:tblPrEx>
          <w:tblCellMar>
            <w:top w:w="0" w:type="dxa"/>
            <w:left w:w="108" w:type="dxa"/>
            <w:bottom w:w="0" w:type="dxa"/>
            <w:right w:w="108" w:type="dxa"/>
          </w:tblCellMar>
        </w:tblPrEx>
        <w:trPr>
          <w:gridAfter w:val="1"/>
          <w:wAfter w:w="0" w:type="auto"/>
          <w:trHeight w:val="660" w:hRule="atLeast"/>
        </w:trPr>
        <w:tc>
          <w:tcPr>
            <w:tcW w:w="0" w:type="auto"/>
            <w:vMerge w:val="restart"/>
            <w:tcBorders>
              <w:top w:val="nil"/>
              <w:left w:val="single" w:color="auto" w:sz="8" w:space="0"/>
              <w:bottom w:val="single" w:color="000000" w:sz="8" w:space="0"/>
              <w:right w:val="single" w:color="auto" w:sz="8" w:space="0"/>
            </w:tcBorders>
            <w:noWrap w:val="0"/>
            <w:vAlign w:val="center"/>
          </w:tcPr>
          <w:p w14:paraId="2B13176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3D842B57">
            <w:pPr>
              <w:widowControl/>
              <w:jc w:val="center"/>
              <w:rPr>
                <w:rFonts w:hint="eastAsia" w:ascii="仿宋" w:hAnsi="仿宋" w:eastAsia="仿宋" w:cs="宋体"/>
                <w:color w:val="000000"/>
                <w:kern w:val="0"/>
                <w:sz w:val="22"/>
                <w:szCs w:val="22"/>
              </w:rPr>
            </w:pPr>
          </w:p>
        </w:tc>
        <w:tc>
          <w:tcPr>
            <w:tcW w:w="0" w:type="auto"/>
            <w:vMerge w:val="restart"/>
            <w:tcBorders>
              <w:top w:val="nil"/>
              <w:left w:val="single" w:color="auto" w:sz="8" w:space="0"/>
              <w:bottom w:val="single" w:color="000000" w:sz="8" w:space="0"/>
              <w:right w:val="single" w:color="auto" w:sz="8" w:space="0"/>
            </w:tcBorders>
            <w:noWrap w:val="0"/>
            <w:vAlign w:val="center"/>
          </w:tcPr>
          <w:p w14:paraId="264F806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0" w:type="auto"/>
            <w:vMerge w:val="restart"/>
            <w:tcBorders>
              <w:top w:val="nil"/>
              <w:left w:val="single" w:color="auto" w:sz="8" w:space="0"/>
              <w:bottom w:val="single" w:color="000000" w:sz="8" w:space="0"/>
              <w:right w:val="single" w:color="auto" w:sz="8" w:space="0"/>
            </w:tcBorders>
            <w:noWrap w:val="0"/>
            <w:vAlign w:val="center"/>
          </w:tcPr>
          <w:p w14:paraId="2EF5D43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16D3D49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0" w:type="auto"/>
            <w:vMerge w:val="restart"/>
            <w:tcBorders>
              <w:top w:val="nil"/>
              <w:left w:val="single" w:color="auto" w:sz="8" w:space="0"/>
              <w:bottom w:val="single" w:color="000000" w:sz="8" w:space="0"/>
              <w:right w:val="single" w:color="auto" w:sz="8" w:space="0"/>
            </w:tcBorders>
            <w:noWrap w:val="0"/>
            <w:vAlign w:val="center"/>
          </w:tcPr>
          <w:p w14:paraId="175297C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0" w:type="auto"/>
            <w:vMerge w:val="restart"/>
            <w:tcBorders>
              <w:top w:val="nil"/>
              <w:left w:val="single" w:color="auto" w:sz="8" w:space="0"/>
              <w:right w:val="single" w:color="auto" w:sz="8" w:space="0"/>
            </w:tcBorders>
            <w:noWrap w:val="0"/>
            <w:vAlign w:val="center"/>
          </w:tcPr>
          <w:p w14:paraId="60AEBC6D">
            <w:pPr>
              <w:widowControl/>
              <w:jc w:val="center"/>
              <w:rPr>
                <w:rFonts w:hint="eastAsia"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　</w:t>
            </w:r>
            <w:r>
              <w:rPr>
                <w:rFonts w:hint="eastAsia" w:ascii="仿宋" w:hAnsi="仿宋" w:eastAsia="仿宋" w:cs="宋体"/>
                <w:color w:val="000000"/>
                <w:kern w:val="0"/>
                <w:sz w:val="22"/>
                <w:szCs w:val="22"/>
                <w:lang w:val="en-US" w:eastAsia="zh-CN"/>
              </w:rPr>
              <w:t>无</w:t>
            </w:r>
          </w:p>
        </w:tc>
      </w:tr>
      <w:tr w14:paraId="406A3CAA">
        <w:tblPrEx>
          <w:tblCellMar>
            <w:top w:w="0" w:type="dxa"/>
            <w:left w:w="108" w:type="dxa"/>
            <w:bottom w:w="0" w:type="dxa"/>
            <w:right w:w="108" w:type="dxa"/>
          </w:tblCellMar>
        </w:tblPrEx>
        <w:trPr>
          <w:trHeight w:val="675" w:hRule="atLeast"/>
        </w:trPr>
        <w:tc>
          <w:tcPr>
            <w:tcW w:w="0" w:type="auto"/>
            <w:vMerge w:val="continue"/>
            <w:tcBorders>
              <w:top w:val="nil"/>
              <w:left w:val="single" w:color="auto" w:sz="8" w:space="0"/>
              <w:bottom w:val="single" w:color="000000" w:sz="8" w:space="0"/>
              <w:right w:val="single" w:color="auto" w:sz="8" w:space="0"/>
            </w:tcBorders>
            <w:noWrap w:val="0"/>
            <w:vAlign w:val="center"/>
          </w:tcPr>
          <w:p w14:paraId="074577BE">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67FA26A">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7447E88E">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228FF16C">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CD5B2C2">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44E2FA32">
            <w:pPr>
              <w:widowControl/>
              <w:jc w:val="left"/>
              <w:rPr>
                <w:rFonts w:ascii="仿宋" w:hAnsi="仿宋" w:eastAsia="仿宋" w:cs="宋体"/>
                <w:color w:val="000000"/>
                <w:kern w:val="0"/>
                <w:sz w:val="22"/>
                <w:szCs w:val="22"/>
              </w:rPr>
            </w:pPr>
          </w:p>
        </w:tc>
        <w:tc>
          <w:tcPr>
            <w:tcW w:w="0" w:type="auto"/>
            <w:vMerge w:val="continue"/>
            <w:tcBorders>
              <w:left w:val="single" w:color="auto" w:sz="8" w:space="0"/>
              <w:bottom w:val="single" w:color="000000" w:sz="8" w:space="0"/>
              <w:right w:val="single" w:color="auto" w:sz="8" w:space="0"/>
            </w:tcBorders>
            <w:noWrap w:val="0"/>
            <w:vAlign w:val="center"/>
          </w:tcPr>
          <w:p w14:paraId="6DBA7A93">
            <w:pPr>
              <w:widowControl/>
              <w:jc w:val="left"/>
              <w:rPr>
                <w:rFonts w:ascii="仿宋" w:hAnsi="仿宋" w:eastAsia="仿宋" w:cs="宋体"/>
                <w:color w:val="000000"/>
                <w:kern w:val="0"/>
                <w:sz w:val="22"/>
                <w:szCs w:val="22"/>
              </w:rPr>
            </w:pPr>
          </w:p>
        </w:tc>
        <w:tc>
          <w:tcPr>
            <w:tcW w:w="0" w:type="auto"/>
            <w:tcBorders>
              <w:top w:val="nil"/>
              <w:left w:val="nil"/>
              <w:bottom w:val="nil"/>
              <w:right w:val="nil"/>
            </w:tcBorders>
            <w:noWrap/>
            <w:vAlign w:val="bottom"/>
          </w:tcPr>
          <w:p w14:paraId="280F69E8">
            <w:pPr>
              <w:widowControl/>
              <w:jc w:val="center"/>
              <w:rPr>
                <w:rFonts w:hint="eastAsia" w:ascii="仿宋" w:hAnsi="仿宋" w:eastAsia="仿宋" w:cs="宋体"/>
                <w:color w:val="000000"/>
                <w:kern w:val="0"/>
                <w:sz w:val="22"/>
                <w:szCs w:val="22"/>
              </w:rPr>
            </w:pPr>
          </w:p>
        </w:tc>
      </w:tr>
      <w:tr w14:paraId="1927B646">
        <w:tblPrEx>
          <w:tblCellMar>
            <w:top w:w="0" w:type="dxa"/>
            <w:left w:w="108" w:type="dxa"/>
            <w:bottom w:w="0" w:type="dxa"/>
            <w:right w:w="108" w:type="dxa"/>
          </w:tblCellMar>
        </w:tblPrEx>
        <w:trPr>
          <w:trHeight w:val="923" w:hRule="atLeast"/>
        </w:trPr>
        <w:tc>
          <w:tcPr>
            <w:tcW w:w="6792" w:type="dxa"/>
            <w:gridSpan w:val="7"/>
            <w:tcBorders>
              <w:top w:val="single" w:color="auto" w:sz="8" w:space="0"/>
              <w:left w:val="single" w:color="auto" w:sz="8" w:space="0"/>
              <w:bottom w:val="single" w:color="auto" w:sz="8" w:space="0"/>
              <w:right w:val="single" w:color="000000" w:sz="8" w:space="0"/>
            </w:tcBorders>
            <w:noWrap w:val="0"/>
            <w:vAlign w:val="center"/>
          </w:tcPr>
          <w:p w14:paraId="4E02BF9B">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商务条款是否偏离</w:t>
            </w:r>
            <w:r>
              <w:rPr>
                <w:rFonts w:hint="eastAsia" w:ascii="仿宋" w:hAnsi="仿宋" w:eastAsia="仿宋" w:cs="宋体"/>
                <w:color w:val="000000"/>
                <w:kern w:val="0"/>
                <w:sz w:val="22"/>
                <w:szCs w:val="22"/>
              </w:rPr>
              <w:t xml:space="preserve">：               </w:t>
            </w:r>
          </w:p>
        </w:tc>
        <w:tc>
          <w:tcPr>
            <w:tcW w:w="444" w:type="dxa"/>
            <w:noWrap w:val="0"/>
            <w:vAlign w:val="center"/>
          </w:tcPr>
          <w:p w14:paraId="12674B9A">
            <w:pPr>
              <w:widowControl/>
              <w:jc w:val="left"/>
              <w:rPr>
                <w:rFonts w:eastAsia="Times New Roman"/>
                <w:kern w:val="0"/>
                <w:sz w:val="20"/>
                <w:szCs w:val="20"/>
              </w:rPr>
            </w:pPr>
          </w:p>
        </w:tc>
      </w:tr>
      <w:tr w14:paraId="2F540F0A">
        <w:tblPrEx>
          <w:tblCellMar>
            <w:top w:w="0" w:type="dxa"/>
            <w:left w:w="108" w:type="dxa"/>
            <w:bottom w:w="0" w:type="dxa"/>
            <w:right w:w="108" w:type="dxa"/>
          </w:tblCellMar>
        </w:tblPrEx>
        <w:trPr>
          <w:trHeight w:val="932" w:hRule="atLeast"/>
        </w:trPr>
        <w:tc>
          <w:tcPr>
            <w:tcW w:w="6792" w:type="dxa"/>
            <w:gridSpan w:val="7"/>
            <w:tcBorders>
              <w:top w:val="single" w:color="auto" w:sz="8" w:space="0"/>
              <w:left w:val="single" w:color="auto" w:sz="8" w:space="0"/>
              <w:bottom w:val="single" w:color="auto" w:sz="8" w:space="0"/>
              <w:right w:val="single" w:color="000000" w:sz="8" w:space="0"/>
            </w:tcBorders>
            <w:noWrap w:val="0"/>
            <w:vAlign w:val="center"/>
          </w:tcPr>
          <w:p w14:paraId="56A26A48">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444" w:type="dxa"/>
            <w:noWrap w:val="0"/>
            <w:vAlign w:val="center"/>
          </w:tcPr>
          <w:p w14:paraId="7E55577E">
            <w:pPr>
              <w:widowControl/>
              <w:jc w:val="left"/>
              <w:rPr>
                <w:rFonts w:eastAsia="Times New Roman"/>
                <w:kern w:val="0"/>
                <w:sz w:val="20"/>
                <w:szCs w:val="20"/>
              </w:rPr>
            </w:pPr>
          </w:p>
        </w:tc>
      </w:tr>
    </w:tbl>
    <w:p w14:paraId="379D7B97">
      <w:pPr>
        <w:pStyle w:val="14"/>
        <w:spacing w:line="460" w:lineRule="exact"/>
        <w:rPr>
          <w:rFonts w:ascii="宋体" w:hAnsi="宋体"/>
          <w:b/>
          <w:bCs/>
        </w:rPr>
      </w:pPr>
    </w:p>
    <w:p w14:paraId="267380FA">
      <w:pPr>
        <w:pStyle w:val="14"/>
        <w:spacing w:line="460" w:lineRule="exact"/>
        <w:rPr>
          <w:rFonts w:ascii="宋体" w:hAnsi="宋体"/>
        </w:rPr>
      </w:pPr>
      <w:r>
        <w:rPr>
          <w:rFonts w:hint="eastAsia" w:ascii="宋体" w:hAnsi="宋体"/>
          <w:b/>
          <w:bCs/>
        </w:rPr>
        <w:t>注：</w:t>
      </w:r>
    </w:p>
    <w:p w14:paraId="34434AEA">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17D923A">
      <w:pPr>
        <w:spacing w:line="360" w:lineRule="auto"/>
        <w:rPr>
          <w:rFonts w:ascii="宋体" w:hAnsi="宋体"/>
          <w:b/>
          <w:bCs/>
        </w:rPr>
      </w:pPr>
      <w:r>
        <w:rPr>
          <w:rFonts w:hint="eastAsia" w:ascii="宋体" w:hAnsi="宋体"/>
          <w:b/>
          <w:bCs/>
        </w:rPr>
        <w:t>2、本表除附在投标文件中外，还应一式贰份单独密封，以便唱标。</w:t>
      </w:r>
    </w:p>
    <w:p w14:paraId="0751DC99">
      <w:pPr>
        <w:spacing w:line="360" w:lineRule="auto"/>
        <w:rPr>
          <w:rFonts w:ascii="宋体" w:hAnsi="宋体"/>
          <w:sz w:val="24"/>
        </w:rPr>
      </w:pPr>
      <w:r>
        <w:rPr>
          <w:rFonts w:hint="eastAsia" w:ascii="宋体" w:hAnsi="宋体"/>
          <w:sz w:val="24"/>
        </w:rPr>
        <w:t>投标人：（盖章）</w:t>
      </w:r>
    </w:p>
    <w:p w14:paraId="10B7B4B5">
      <w:pPr>
        <w:spacing w:line="360" w:lineRule="auto"/>
        <w:rPr>
          <w:rFonts w:ascii="宋体" w:hAnsi="宋体"/>
          <w:sz w:val="24"/>
        </w:rPr>
      </w:pPr>
      <w:r>
        <w:rPr>
          <w:rFonts w:hint="eastAsia" w:ascii="宋体" w:hAnsi="宋体"/>
          <w:sz w:val="24"/>
        </w:rPr>
        <w:t>法定代表人（授权代表）：（签字）</w:t>
      </w:r>
    </w:p>
    <w:p w14:paraId="7E75D71A">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98054CE">
      <w:pPr>
        <w:rPr>
          <w:rFonts w:ascii="宋体" w:hAnsi="宋体"/>
          <w:sz w:val="24"/>
        </w:rPr>
      </w:pPr>
      <w:r>
        <w:rPr>
          <w:rFonts w:hint="eastAsia" w:ascii="宋体" w:hAnsi="宋体"/>
          <w:sz w:val="24"/>
        </w:rPr>
        <w:br w:type="page"/>
      </w:r>
    </w:p>
    <w:p w14:paraId="0782A8F8">
      <w:pPr>
        <w:rPr>
          <w:rFonts w:ascii="仿宋_GB2312" w:hAnsi="宋体" w:eastAsia="仿宋_GB2312"/>
          <w:sz w:val="24"/>
        </w:rPr>
      </w:pPr>
      <w:bookmarkStart w:id="52" w:name="_GoBack"/>
      <w:bookmarkEnd w:id="52"/>
    </w:p>
    <w:p w14:paraId="1DED7A8F">
      <w:pPr>
        <w:rPr>
          <w:rFonts w:eastAsia="黑体"/>
          <w:b/>
          <w:bCs/>
          <w:sz w:val="28"/>
        </w:rPr>
      </w:pPr>
      <w:bookmarkStart w:id="51" w:name="_Hlk70069772"/>
    </w:p>
    <w:p w14:paraId="4C33DE6A">
      <w:r>
        <w:rPr>
          <w:rFonts w:hint="eastAsia" w:ascii="宋体" w:hAnsi="宋体"/>
        </w:rPr>
        <w:t>项目名称：</w:t>
      </w:r>
      <w:r>
        <w:t xml:space="preserve"> </w:t>
      </w:r>
    </w:p>
    <w:p w14:paraId="2C715FF5"/>
    <w:p w14:paraId="6F81B6E3">
      <w:pPr>
        <w:rPr>
          <w:rFonts w:ascii="宋体" w:hAnsi="宋体"/>
          <w:szCs w:val="21"/>
        </w:rPr>
      </w:pPr>
      <w:r>
        <w:rPr>
          <w:rFonts w:hint="eastAsia" w:ascii="宋体" w:hAnsi="宋体"/>
          <w:szCs w:val="21"/>
        </w:rPr>
        <w:t>日期：  年   月   日</w:t>
      </w:r>
    </w:p>
    <w:p w14:paraId="029481E9">
      <w:pPr>
        <w:jc w:val="center"/>
        <w:rPr>
          <w:rFonts w:eastAsia="黑体"/>
          <w:b/>
          <w:bCs/>
          <w:sz w:val="28"/>
        </w:rPr>
      </w:pPr>
    </w:p>
    <w:p w14:paraId="705AB67B">
      <w:pPr>
        <w:jc w:val="center"/>
        <w:rPr>
          <w:rFonts w:eastAsia="黑体"/>
          <w:b/>
          <w:bCs/>
          <w:sz w:val="28"/>
        </w:rPr>
      </w:pPr>
      <w:r>
        <w:rPr>
          <w:rFonts w:hint="eastAsia" w:eastAsia="黑体"/>
          <w:b/>
          <w:bCs/>
          <w:sz w:val="28"/>
        </w:rPr>
        <w:t>相关条款偏离表（含商务偏离及技术偏离）</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23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A695A3">
            <w:pPr>
              <w:jc w:val="center"/>
              <w:rPr>
                <w:rFonts w:ascii="宋体" w:hAnsi="宋体"/>
                <w:sz w:val="24"/>
              </w:rPr>
            </w:pPr>
            <w:r>
              <w:rPr>
                <w:rFonts w:hint="eastAsia" w:ascii="宋体" w:hAnsi="宋体"/>
                <w:sz w:val="24"/>
              </w:rPr>
              <w:t>序号</w:t>
            </w:r>
          </w:p>
        </w:tc>
        <w:tc>
          <w:tcPr>
            <w:tcW w:w="4140" w:type="dxa"/>
            <w:gridSpan w:val="2"/>
            <w:vAlign w:val="center"/>
          </w:tcPr>
          <w:p w14:paraId="50538610">
            <w:pPr>
              <w:jc w:val="center"/>
              <w:rPr>
                <w:rFonts w:ascii="宋体" w:hAnsi="宋体"/>
                <w:sz w:val="24"/>
              </w:rPr>
            </w:pPr>
            <w:r>
              <w:rPr>
                <w:rFonts w:hint="eastAsia" w:ascii="宋体" w:hAnsi="宋体"/>
                <w:sz w:val="24"/>
              </w:rPr>
              <w:t>招标文件条款</w:t>
            </w:r>
          </w:p>
        </w:tc>
        <w:tc>
          <w:tcPr>
            <w:tcW w:w="3554" w:type="dxa"/>
            <w:vMerge w:val="restart"/>
            <w:vAlign w:val="center"/>
          </w:tcPr>
          <w:p w14:paraId="02218800">
            <w:pPr>
              <w:jc w:val="center"/>
              <w:rPr>
                <w:rFonts w:ascii="宋体" w:hAnsi="宋体"/>
                <w:sz w:val="24"/>
              </w:rPr>
            </w:pPr>
            <w:r>
              <w:rPr>
                <w:rFonts w:hint="eastAsia" w:ascii="宋体" w:hAnsi="宋体"/>
                <w:sz w:val="24"/>
              </w:rPr>
              <w:t>偏离内容</w:t>
            </w:r>
          </w:p>
        </w:tc>
      </w:tr>
      <w:tr w14:paraId="7A26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53824BF">
            <w:pPr>
              <w:rPr>
                <w:rFonts w:ascii="宋体" w:hAnsi="宋体"/>
                <w:sz w:val="24"/>
              </w:rPr>
            </w:pPr>
          </w:p>
        </w:tc>
        <w:tc>
          <w:tcPr>
            <w:tcW w:w="1080" w:type="dxa"/>
            <w:vAlign w:val="center"/>
          </w:tcPr>
          <w:p w14:paraId="24577905">
            <w:pPr>
              <w:jc w:val="center"/>
              <w:rPr>
                <w:rFonts w:ascii="宋体" w:hAnsi="宋体"/>
                <w:sz w:val="24"/>
              </w:rPr>
            </w:pPr>
            <w:r>
              <w:rPr>
                <w:rFonts w:hint="eastAsia" w:ascii="宋体" w:hAnsi="宋体"/>
                <w:sz w:val="24"/>
              </w:rPr>
              <w:t>条款号</w:t>
            </w:r>
          </w:p>
        </w:tc>
        <w:tc>
          <w:tcPr>
            <w:tcW w:w="3060" w:type="dxa"/>
            <w:vAlign w:val="center"/>
          </w:tcPr>
          <w:p w14:paraId="1A099EF2">
            <w:pPr>
              <w:jc w:val="center"/>
              <w:rPr>
                <w:rFonts w:ascii="宋体" w:hAnsi="宋体"/>
                <w:sz w:val="24"/>
              </w:rPr>
            </w:pPr>
            <w:r>
              <w:rPr>
                <w:rFonts w:hint="eastAsia" w:ascii="宋体" w:hAnsi="宋体"/>
                <w:sz w:val="24"/>
              </w:rPr>
              <w:t>条款要求</w:t>
            </w:r>
          </w:p>
        </w:tc>
        <w:tc>
          <w:tcPr>
            <w:tcW w:w="3554" w:type="dxa"/>
            <w:vMerge w:val="continue"/>
            <w:vAlign w:val="center"/>
          </w:tcPr>
          <w:p w14:paraId="0323C0C7">
            <w:pPr>
              <w:jc w:val="center"/>
              <w:rPr>
                <w:rFonts w:ascii="宋体" w:hAnsi="宋体"/>
                <w:sz w:val="24"/>
              </w:rPr>
            </w:pPr>
          </w:p>
        </w:tc>
      </w:tr>
      <w:tr w14:paraId="41E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773992">
            <w:pPr>
              <w:jc w:val="center"/>
              <w:rPr>
                <w:rFonts w:ascii="宋体" w:hAnsi="宋体"/>
                <w:sz w:val="24"/>
              </w:rPr>
            </w:pPr>
            <w:r>
              <w:rPr>
                <w:rFonts w:hint="eastAsia" w:ascii="宋体" w:hAnsi="宋体"/>
                <w:sz w:val="24"/>
              </w:rPr>
              <w:t>1</w:t>
            </w:r>
          </w:p>
        </w:tc>
        <w:tc>
          <w:tcPr>
            <w:tcW w:w="1080" w:type="dxa"/>
            <w:vAlign w:val="center"/>
          </w:tcPr>
          <w:p w14:paraId="04B1B4BD">
            <w:pPr>
              <w:rPr>
                <w:rFonts w:ascii="宋体" w:hAnsi="宋体"/>
                <w:sz w:val="24"/>
              </w:rPr>
            </w:pPr>
          </w:p>
        </w:tc>
        <w:tc>
          <w:tcPr>
            <w:tcW w:w="3060" w:type="dxa"/>
            <w:vAlign w:val="center"/>
          </w:tcPr>
          <w:p w14:paraId="1A125F5D">
            <w:pPr>
              <w:rPr>
                <w:rFonts w:ascii="宋体" w:hAnsi="宋体"/>
                <w:sz w:val="24"/>
              </w:rPr>
            </w:pPr>
          </w:p>
        </w:tc>
        <w:tc>
          <w:tcPr>
            <w:tcW w:w="3554" w:type="dxa"/>
            <w:vAlign w:val="center"/>
          </w:tcPr>
          <w:p w14:paraId="01DD74FE">
            <w:pPr>
              <w:rPr>
                <w:rFonts w:ascii="宋体" w:hAnsi="宋体"/>
                <w:sz w:val="24"/>
              </w:rPr>
            </w:pPr>
          </w:p>
        </w:tc>
      </w:tr>
      <w:tr w14:paraId="343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3FD8EC">
            <w:pPr>
              <w:jc w:val="center"/>
              <w:rPr>
                <w:rFonts w:ascii="宋体" w:hAnsi="宋体"/>
                <w:sz w:val="24"/>
              </w:rPr>
            </w:pPr>
            <w:r>
              <w:rPr>
                <w:rFonts w:hint="eastAsia" w:ascii="宋体" w:hAnsi="宋体"/>
                <w:sz w:val="24"/>
              </w:rPr>
              <w:t>2</w:t>
            </w:r>
          </w:p>
        </w:tc>
        <w:tc>
          <w:tcPr>
            <w:tcW w:w="1080" w:type="dxa"/>
            <w:vAlign w:val="center"/>
          </w:tcPr>
          <w:p w14:paraId="79C52B98">
            <w:pPr>
              <w:rPr>
                <w:rFonts w:ascii="宋体" w:hAnsi="宋体"/>
                <w:sz w:val="24"/>
              </w:rPr>
            </w:pPr>
          </w:p>
        </w:tc>
        <w:tc>
          <w:tcPr>
            <w:tcW w:w="3060" w:type="dxa"/>
            <w:vAlign w:val="center"/>
          </w:tcPr>
          <w:p w14:paraId="0C8EEE3C">
            <w:pPr>
              <w:rPr>
                <w:rFonts w:ascii="宋体" w:hAnsi="宋体"/>
                <w:sz w:val="24"/>
              </w:rPr>
            </w:pPr>
          </w:p>
        </w:tc>
        <w:tc>
          <w:tcPr>
            <w:tcW w:w="3554" w:type="dxa"/>
            <w:vAlign w:val="center"/>
          </w:tcPr>
          <w:p w14:paraId="4BCF1767">
            <w:pPr>
              <w:rPr>
                <w:rFonts w:ascii="宋体" w:hAnsi="宋体"/>
                <w:sz w:val="24"/>
              </w:rPr>
            </w:pPr>
          </w:p>
        </w:tc>
      </w:tr>
      <w:tr w14:paraId="17CB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C68F66">
            <w:pPr>
              <w:jc w:val="center"/>
              <w:rPr>
                <w:rFonts w:ascii="宋体" w:hAnsi="宋体"/>
                <w:sz w:val="24"/>
              </w:rPr>
            </w:pPr>
            <w:r>
              <w:rPr>
                <w:rFonts w:hint="eastAsia" w:ascii="宋体" w:hAnsi="宋体"/>
                <w:sz w:val="24"/>
              </w:rPr>
              <w:t>3</w:t>
            </w:r>
          </w:p>
        </w:tc>
        <w:tc>
          <w:tcPr>
            <w:tcW w:w="1080" w:type="dxa"/>
            <w:vAlign w:val="center"/>
          </w:tcPr>
          <w:p w14:paraId="66CDB1DB">
            <w:pPr>
              <w:rPr>
                <w:rFonts w:ascii="宋体" w:hAnsi="宋体"/>
                <w:sz w:val="24"/>
              </w:rPr>
            </w:pPr>
          </w:p>
        </w:tc>
        <w:tc>
          <w:tcPr>
            <w:tcW w:w="3060" w:type="dxa"/>
            <w:vAlign w:val="center"/>
          </w:tcPr>
          <w:p w14:paraId="18DCD6C3">
            <w:pPr>
              <w:rPr>
                <w:rFonts w:ascii="宋体" w:hAnsi="宋体"/>
                <w:sz w:val="24"/>
              </w:rPr>
            </w:pPr>
          </w:p>
        </w:tc>
        <w:tc>
          <w:tcPr>
            <w:tcW w:w="3554" w:type="dxa"/>
            <w:vAlign w:val="center"/>
          </w:tcPr>
          <w:p w14:paraId="689EF6CE">
            <w:pPr>
              <w:rPr>
                <w:rFonts w:ascii="宋体" w:hAnsi="宋体"/>
                <w:sz w:val="24"/>
              </w:rPr>
            </w:pPr>
          </w:p>
        </w:tc>
      </w:tr>
      <w:tr w14:paraId="7FF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02AAEE">
            <w:pPr>
              <w:jc w:val="center"/>
              <w:rPr>
                <w:rFonts w:ascii="宋体" w:hAnsi="宋体"/>
                <w:sz w:val="24"/>
              </w:rPr>
            </w:pPr>
            <w:r>
              <w:rPr>
                <w:rFonts w:hint="eastAsia" w:ascii="宋体" w:hAnsi="宋体"/>
                <w:sz w:val="24"/>
              </w:rPr>
              <w:t>4</w:t>
            </w:r>
          </w:p>
        </w:tc>
        <w:tc>
          <w:tcPr>
            <w:tcW w:w="1080" w:type="dxa"/>
            <w:vAlign w:val="center"/>
          </w:tcPr>
          <w:p w14:paraId="7127A700">
            <w:pPr>
              <w:rPr>
                <w:rFonts w:ascii="宋体" w:hAnsi="宋体"/>
                <w:sz w:val="24"/>
              </w:rPr>
            </w:pPr>
          </w:p>
        </w:tc>
        <w:tc>
          <w:tcPr>
            <w:tcW w:w="3060" w:type="dxa"/>
            <w:vAlign w:val="center"/>
          </w:tcPr>
          <w:p w14:paraId="4DE97532">
            <w:pPr>
              <w:rPr>
                <w:rFonts w:ascii="宋体" w:hAnsi="宋体"/>
                <w:sz w:val="24"/>
              </w:rPr>
            </w:pPr>
          </w:p>
        </w:tc>
        <w:tc>
          <w:tcPr>
            <w:tcW w:w="3554" w:type="dxa"/>
            <w:vAlign w:val="center"/>
          </w:tcPr>
          <w:p w14:paraId="2F9B2078">
            <w:pPr>
              <w:rPr>
                <w:rFonts w:ascii="宋体" w:hAnsi="宋体"/>
                <w:sz w:val="24"/>
              </w:rPr>
            </w:pPr>
          </w:p>
        </w:tc>
      </w:tr>
      <w:tr w14:paraId="6157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93F">
            <w:pPr>
              <w:jc w:val="center"/>
              <w:rPr>
                <w:rFonts w:ascii="宋体" w:hAnsi="宋体"/>
                <w:sz w:val="24"/>
              </w:rPr>
            </w:pPr>
            <w:r>
              <w:rPr>
                <w:rFonts w:hint="eastAsia" w:ascii="宋体" w:hAnsi="宋体"/>
                <w:sz w:val="24"/>
              </w:rPr>
              <w:t>5</w:t>
            </w:r>
          </w:p>
        </w:tc>
        <w:tc>
          <w:tcPr>
            <w:tcW w:w="1080" w:type="dxa"/>
            <w:vAlign w:val="center"/>
          </w:tcPr>
          <w:p w14:paraId="7FD37B59">
            <w:pPr>
              <w:rPr>
                <w:rFonts w:ascii="宋体" w:hAnsi="宋体"/>
                <w:sz w:val="24"/>
              </w:rPr>
            </w:pPr>
          </w:p>
        </w:tc>
        <w:tc>
          <w:tcPr>
            <w:tcW w:w="3060" w:type="dxa"/>
            <w:vAlign w:val="center"/>
          </w:tcPr>
          <w:p w14:paraId="2964A6DA">
            <w:pPr>
              <w:rPr>
                <w:rFonts w:ascii="宋体" w:hAnsi="宋体"/>
                <w:sz w:val="24"/>
              </w:rPr>
            </w:pPr>
          </w:p>
        </w:tc>
        <w:tc>
          <w:tcPr>
            <w:tcW w:w="3554" w:type="dxa"/>
            <w:vAlign w:val="center"/>
          </w:tcPr>
          <w:p w14:paraId="64916131">
            <w:pPr>
              <w:rPr>
                <w:rFonts w:ascii="宋体" w:hAnsi="宋体"/>
                <w:sz w:val="24"/>
              </w:rPr>
            </w:pPr>
          </w:p>
        </w:tc>
      </w:tr>
      <w:tr w14:paraId="4F35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2C8576">
            <w:pPr>
              <w:jc w:val="center"/>
              <w:rPr>
                <w:rFonts w:ascii="宋体" w:hAnsi="宋体"/>
                <w:sz w:val="24"/>
              </w:rPr>
            </w:pPr>
            <w:r>
              <w:rPr>
                <w:rFonts w:hint="eastAsia" w:ascii="宋体" w:hAnsi="宋体"/>
                <w:sz w:val="24"/>
              </w:rPr>
              <w:t>6</w:t>
            </w:r>
          </w:p>
        </w:tc>
        <w:tc>
          <w:tcPr>
            <w:tcW w:w="1080" w:type="dxa"/>
            <w:vAlign w:val="center"/>
          </w:tcPr>
          <w:p w14:paraId="7B5A45D2">
            <w:pPr>
              <w:rPr>
                <w:rFonts w:ascii="宋体" w:hAnsi="宋体"/>
                <w:sz w:val="24"/>
              </w:rPr>
            </w:pPr>
          </w:p>
        </w:tc>
        <w:tc>
          <w:tcPr>
            <w:tcW w:w="3060" w:type="dxa"/>
            <w:vAlign w:val="center"/>
          </w:tcPr>
          <w:p w14:paraId="4FD68114">
            <w:pPr>
              <w:rPr>
                <w:rFonts w:ascii="宋体" w:hAnsi="宋体"/>
                <w:sz w:val="24"/>
              </w:rPr>
            </w:pPr>
          </w:p>
        </w:tc>
        <w:tc>
          <w:tcPr>
            <w:tcW w:w="3554" w:type="dxa"/>
            <w:vAlign w:val="center"/>
          </w:tcPr>
          <w:p w14:paraId="0CB759FC">
            <w:pPr>
              <w:rPr>
                <w:rFonts w:ascii="宋体" w:hAnsi="宋体"/>
                <w:sz w:val="24"/>
              </w:rPr>
            </w:pPr>
          </w:p>
        </w:tc>
      </w:tr>
      <w:tr w14:paraId="3C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B2DC6A">
            <w:pPr>
              <w:jc w:val="center"/>
              <w:rPr>
                <w:rFonts w:ascii="宋体" w:hAnsi="宋体"/>
                <w:sz w:val="24"/>
              </w:rPr>
            </w:pPr>
            <w:r>
              <w:rPr>
                <w:rFonts w:hint="eastAsia" w:ascii="宋体" w:hAnsi="宋体"/>
                <w:sz w:val="24"/>
              </w:rPr>
              <w:t>7</w:t>
            </w:r>
          </w:p>
        </w:tc>
        <w:tc>
          <w:tcPr>
            <w:tcW w:w="1080" w:type="dxa"/>
            <w:vAlign w:val="center"/>
          </w:tcPr>
          <w:p w14:paraId="7F42BFAA">
            <w:pPr>
              <w:rPr>
                <w:rFonts w:ascii="宋体" w:hAnsi="宋体"/>
                <w:sz w:val="24"/>
              </w:rPr>
            </w:pPr>
          </w:p>
        </w:tc>
        <w:tc>
          <w:tcPr>
            <w:tcW w:w="3060" w:type="dxa"/>
            <w:vAlign w:val="center"/>
          </w:tcPr>
          <w:p w14:paraId="3D6D55E8">
            <w:pPr>
              <w:rPr>
                <w:rFonts w:ascii="宋体" w:hAnsi="宋体"/>
                <w:sz w:val="24"/>
              </w:rPr>
            </w:pPr>
          </w:p>
        </w:tc>
        <w:tc>
          <w:tcPr>
            <w:tcW w:w="3554" w:type="dxa"/>
            <w:vAlign w:val="center"/>
          </w:tcPr>
          <w:p w14:paraId="4CB8F95D">
            <w:pPr>
              <w:rPr>
                <w:rFonts w:ascii="宋体" w:hAnsi="宋体"/>
                <w:sz w:val="24"/>
              </w:rPr>
            </w:pPr>
          </w:p>
        </w:tc>
      </w:tr>
      <w:tr w14:paraId="6AFE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FB3B9C">
            <w:pPr>
              <w:jc w:val="center"/>
              <w:rPr>
                <w:rFonts w:ascii="宋体" w:hAnsi="宋体"/>
                <w:sz w:val="24"/>
              </w:rPr>
            </w:pPr>
            <w:r>
              <w:rPr>
                <w:rFonts w:hint="eastAsia" w:ascii="宋体" w:hAnsi="宋体"/>
                <w:sz w:val="24"/>
              </w:rPr>
              <w:t>8</w:t>
            </w:r>
          </w:p>
        </w:tc>
        <w:tc>
          <w:tcPr>
            <w:tcW w:w="1080" w:type="dxa"/>
            <w:vAlign w:val="center"/>
          </w:tcPr>
          <w:p w14:paraId="4541E386">
            <w:pPr>
              <w:rPr>
                <w:rFonts w:ascii="宋体" w:hAnsi="宋体"/>
                <w:sz w:val="24"/>
              </w:rPr>
            </w:pPr>
          </w:p>
        </w:tc>
        <w:tc>
          <w:tcPr>
            <w:tcW w:w="3060" w:type="dxa"/>
            <w:vAlign w:val="center"/>
          </w:tcPr>
          <w:p w14:paraId="3565C3E4">
            <w:pPr>
              <w:rPr>
                <w:rFonts w:ascii="宋体" w:hAnsi="宋体"/>
                <w:sz w:val="24"/>
              </w:rPr>
            </w:pPr>
          </w:p>
        </w:tc>
        <w:tc>
          <w:tcPr>
            <w:tcW w:w="3554" w:type="dxa"/>
            <w:vAlign w:val="center"/>
          </w:tcPr>
          <w:p w14:paraId="2BADEEC8">
            <w:pPr>
              <w:rPr>
                <w:rFonts w:ascii="宋体" w:hAnsi="宋体"/>
                <w:sz w:val="24"/>
              </w:rPr>
            </w:pPr>
          </w:p>
        </w:tc>
      </w:tr>
      <w:tr w14:paraId="1C7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D39D1D">
            <w:pPr>
              <w:jc w:val="center"/>
              <w:rPr>
                <w:rFonts w:ascii="宋体" w:hAnsi="宋体"/>
                <w:sz w:val="24"/>
              </w:rPr>
            </w:pPr>
            <w:r>
              <w:rPr>
                <w:rFonts w:hint="eastAsia" w:ascii="宋体" w:hAnsi="宋体"/>
                <w:sz w:val="24"/>
              </w:rPr>
              <w:t>9</w:t>
            </w:r>
          </w:p>
        </w:tc>
        <w:tc>
          <w:tcPr>
            <w:tcW w:w="1080" w:type="dxa"/>
            <w:vAlign w:val="center"/>
          </w:tcPr>
          <w:p w14:paraId="270E7B3B">
            <w:pPr>
              <w:rPr>
                <w:rFonts w:ascii="宋体" w:hAnsi="宋体"/>
                <w:sz w:val="24"/>
              </w:rPr>
            </w:pPr>
          </w:p>
        </w:tc>
        <w:tc>
          <w:tcPr>
            <w:tcW w:w="3060" w:type="dxa"/>
            <w:vAlign w:val="center"/>
          </w:tcPr>
          <w:p w14:paraId="4CB4B1E7">
            <w:pPr>
              <w:rPr>
                <w:rFonts w:ascii="宋体" w:hAnsi="宋体"/>
                <w:sz w:val="24"/>
              </w:rPr>
            </w:pPr>
          </w:p>
        </w:tc>
        <w:tc>
          <w:tcPr>
            <w:tcW w:w="3554" w:type="dxa"/>
            <w:vAlign w:val="center"/>
          </w:tcPr>
          <w:p w14:paraId="6F62B968">
            <w:pPr>
              <w:rPr>
                <w:rFonts w:ascii="宋体" w:hAnsi="宋体"/>
                <w:sz w:val="24"/>
              </w:rPr>
            </w:pPr>
          </w:p>
        </w:tc>
      </w:tr>
      <w:tr w14:paraId="6099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742296F">
            <w:pPr>
              <w:jc w:val="center"/>
              <w:rPr>
                <w:rFonts w:ascii="宋体" w:hAnsi="宋体"/>
                <w:sz w:val="24"/>
              </w:rPr>
            </w:pPr>
            <w:r>
              <w:rPr>
                <w:rFonts w:hint="eastAsia" w:ascii="宋体" w:hAnsi="宋体"/>
                <w:sz w:val="24"/>
              </w:rPr>
              <w:t>10</w:t>
            </w:r>
          </w:p>
        </w:tc>
        <w:tc>
          <w:tcPr>
            <w:tcW w:w="1080" w:type="dxa"/>
            <w:vAlign w:val="center"/>
          </w:tcPr>
          <w:p w14:paraId="3E62A192">
            <w:pPr>
              <w:rPr>
                <w:rFonts w:ascii="宋体" w:hAnsi="宋体"/>
                <w:sz w:val="24"/>
              </w:rPr>
            </w:pPr>
          </w:p>
        </w:tc>
        <w:tc>
          <w:tcPr>
            <w:tcW w:w="3060" w:type="dxa"/>
            <w:vAlign w:val="center"/>
          </w:tcPr>
          <w:p w14:paraId="2C178D5F">
            <w:pPr>
              <w:rPr>
                <w:rFonts w:ascii="宋体" w:hAnsi="宋体"/>
                <w:sz w:val="24"/>
              </w:rPr>
            </w:pPr>
          </w:p>
        </w:tc>
        <w:tc>
          <w:tcPr>
            <w:tcW w:w="3554" w:type="dxa"/>
            <w:vAlign w:val="center"/>
          </w:tcPr>
          <w:p w14:paraId="652723FD">
            <w:pPr>
              <w:rPr>
                <w:rFonts w:ascii="宋体" w:hAnsi="宋体"/>
                <w:sz w:val="24"/>
              </w:rPr>
            </w:pPr>
          </w:p>
        </w:tc>
      </w:tr>
    </w:tbl>
    <w:p w14:paraId="09293447">
      <w:pPr>
        <w:rPr>
          <w:rFonts w:ascii="宋体" w:hAnsi="宋体"/>
          <w:sz w:val="24"/>
        </w:rPr>
      </w:pPr>
    </w:p>
    <w:p w14:paraId="4382E116">
      <w:pPr>
        <w:rPr>
          <w:rFonts w:ascii="宋体" w:hAnsi="宋体"/>
          <w:sz w:val="24"/>
        </w:rPr>
      </w:pPr>
      <w:r>
        <w:rPr>
          <w:rFonts w:hint="eastAsia" w:ascii="仿宋_GB2312" w:hAnsi="宋体" w:eastAsia="仿宋_GB2312"/>
          <w:sz w:val="24"/>
        </w:rPr>
        <w:t>投标人名称（盖章）：              法定代表人或授权代表签字：</w:t>
      </w:r>
    </w:p>
    <w:p w14:paraId="465748FC">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DB5E8">
      <w:pPr>
        <w:rPr>
          <w:rFonts w:ascii="宋体" w:hAnsi="宋体"/>
          <w:sz w:val="24"/>
        </w:rPr>
      </w:pPr>
    </w:p>
    <w:bookmarkEnd w:id="51"/>
    <w:p w14:paraId="14907BC9">
      <w:pPr>
        <w:widowControl/>
        <w:jc w:val="left"/>
        <w:rPr>
          <w:rFonts w:eastAsia="黑体"/>
          <w:b/>
          <w:bCs/>
          <w:sz w:val="28"/>
        </w:rPr>
      </w:pPr>
    </w:p>
    <w:p w14:paraId="77F23887">
      <w:pPr>
        <w:rPr>
          <w:rFonts w:eastAsia="黑体"/>
          <w:b/>
          <w:bCs/>
          <w:sz w:val="28"/>
        </w:rPr>
      </w:pPr>
      <w:r>
        <w:rPr>
          <w:rFonts w:hint="eastAsia" w:eastAsia="黑体"/>
          <w:b/>
          <w:bCs/>
          <w:sz w:val="28"/>
        </w:rPr>
        <w:t>格式7</w:t>
      </w:r>
    </w:p>
    <w:p w14:paraId="738F941F">
      <w:pPr>
        <w:rPr>
          <w:rFonts w:ascii="宋体" w:hAnsi="宋体"/>
        </w:rPr>
      </w:pPr>
      <w:r>
        <w:rPr>
          <w:rFonts w:hint="eastAsia" w:ascii="宋体" w:hAnsi="宋体"/>
        </w:rPr>
        <w:t>项目名称：</w:t>
      </w:r>
      <w:r>
        <w:rPr>
          <w:rFonts w:ascii="宋体" w:hAnsi="宋体"/>
        </w:rPr>
        <w:t xml:space="preserve"> </w:t>
      </w:r>
    </w:p>
    <w:p w14:paraId="1B7C19CA">
      <w:pPr>
        <w:rPr>
          <w:rFonts w:ascii="宋体" w:hAnsi="宋体"/>
        </w:rPr>
      </w:pPr>
    </w:p>
    <w:p w14:paraId="4F75A1AD">
      <w:pPr>
        <w:pStyle w:val="16"/>
        <w:spacing w:line="360" w:lineRule="auto"/>
        <w:rPr>
          <w:rFonts w:hAnsi="宋体"/>
          <w:szCs w:val="21"/>
        </w:rPr>
      </w:pPr>
      <w:r>
        <w:rPr>
          <w:rFonts w:hint="eastAsia" w:hAnsi="宋体"/>
          <w:szCs w:val="21"/>
        </w:rPr>
        <w:t>日期：  年   月   日</w:t>
      </w:r>
    </w:p>
    <w:p w14:paraId="520059B8">
      <w:pPr>
        <w:jc w:val="center"/>
        <w:rPr>
          <w:rFonts w:eastAsia="黑体"/>
          <w:b/>
          <w:bCs/>
          <w:sz w:val="28"/>
        </w:rPr>
      </w:pPr>
      <w:r>
        <w:rPr>
          <w:rFonts w:hint="eastAsia" w:eastAsia="黑体"/>
          <w:b/>
          <w:bCs/>
          <w:sz w:val="28"/>
        </w:rPr>
        <w:t>法人授权委托书</w:t>
      </w:r>
    </w:p>
    <w:p w14:paraId="5B71A578">
      <w:pPr>
        <w:rPr>
          <w:rFonts w:ascii="宋体" w:hAnsi="宋体"/>
          <w:u w:val="single"/>
        </w:rPr>
      </w:pPr>
      <w:r>
        <w:rPr>
          <w:rFonts w:hint="eastAsia" w:ascii="宋体" w:hAnsi="宋体"/>
        </w:rPr>
        <w:t>致</w:t>
      </w:r>
      <w:r>
        <w:rPr>
          <w:rFonts w:hint="eastAsia" w:ascii="宋体" w:hAnsi="宋体"/>
          <w:u w:val="single"/>
        </w:rPr>
        <w:t>（招标人名称）                            ：</w:t>
      </w:r>
    </w:p>
    <w:p w14:paraId="394B90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9E990B5">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1A4FD6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5BCE3F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F589F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11F508E">
      <w:pPr>
        <w:spacing w:line="360" w:lineRule="auto"/>
        <w:ind w:firstLine="420" w:firstLineChars="200"/>
        <w:rPr>
          <w:rFonts w:ascii="宋体"/>
          <w:kern w:val="0"/>
          <w:szCs w:val="21"/>
        </w:rPr>
      </w:pPr>
      <w:r>
        <w:rPr>
          <w:rFonts w:hint="eastAsia" w:ascii="宋体" w:hAnsi="宋体"/>
          <w:kern w:val="0"/>
          <w:szCs w:val="21"/>
        </w:rPr>
        <w:t>投标人名称：（盖单位公章）</w:t>
      </w:r>
    </w:p>
    <w:p w14:paraId="304A69AF">
      <w:pPr>
        <w:spacing w:line="360" w:lineRule="auto"/>
        <w:ind w:firstLine="420" w:firstLineChars="200"/>
        <w:rPr>
          <w:rFonts w:ascii="宋体"/>
          <w:kern w:val="0"/>
          <w:szCs w:val="21"/>
        </w:rPr>
      </w:pPr>
      <w:r>
        <w:rPr>
          <w:rFonts w:hint="eastAsia" w:ascii="宋体" w:hAnsi="宋体"/>
          <w:kern w:val="0"/>
          <w:szCs w:val="21"/>
        </w:rPr>
        <w:t>法定代表人：（签字）</w:t>
      </w:r>
    </w:p>
    <w:p w14:paraId="58F8358F">
      <w:pPr>
        <w:spacing w:line="360" w:lineRule="auto"/>
        <w:ind w:firstLine="420" w:firstLineChars="200"/>
        <w:rPr>
          <w:rFonts w:ascii="宋体"/>
          <w:kern w:val="0"/>
          <w:szCs w:val="21"/>
        </w:rPr>
      </w:pPr>
    </w:p>
    <w:p w14:paraId="7E2771FB">
      <w:pPr>
        <w:spacing w:line="360" w:lineRule="auto"/>
        <w:ind w:firstLine="420" w:firstLineChars="200"/>
        <w:rPr>
          <w:rFonts w:ascii="宋体"/>
          <w:kern w:val="0"/>
          <w:szCs w:val="21"/>
        </w:rPr>
      </w:pPr>
    </w:p>
    <w:p w14:paraId="043E08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8E8C054">
      <w:pPr>
        <w:spacing w:line="360" w:lineRule="auto"/>
        <w:rPr>
          <w:rFonts w:ascii="宋体"/>
          <w:kern w:val="0"/>
          <w:szCs w:val="21"/>
        </w:rPr>
      </w:pPr>
    </w:p>
    <w:p w14:paraId="6AFDC201">
      <w:pPr>
        <w:spacing w:line="360" w:lineRule="auto"/>
        <w:rPr>
          <w:rFonts w:ascii="宋体"/>
          <w:kern w:val="0"/>
          <w:szCs w:val="21"/>
        </w:rPr>
      </w:pPr>
    </w:p>
    <w:p w14:paraId="4B34D44A">
      <w:pPr>
        <w:spacing w:line="360" w:lineRule="auto"/>
        <w:rPr>
          <w:rFonts w:ascii="宋体"/>
          <w:kern w:val="0"/>
          <w:szCs w:val="21"/>
        </w:rPr>
      </w:pPr>
    </w:p>
    <w:p w14:paraId="3D887707">
      <w:pPr>
        <w:spacing w:line="360" w:lineRule="auto"/>
        <w:rPr>
          <w:rFonts w:ascii="宋体"/>
          <w:kern w:val="0"/>
          <w:szCs w:val="21"/>
        </w:rPr>
      </w:pPr>
    </w:p>
    <w:p w14:paraId="76B38CD8">
      <w:pPr>
        <w:spacing w:line="360" w:lineRule="auto"/>
        <w:ind w:right="560" w:firstLine="420" w:firstLineChars="200"/>
        <w:rPr>
          <w:rFonts w:ascii="宋体"/>
          <w:kern w:val="0"/>
          <w:szCs w:val="21"/>
        </w:rPr>
      </w:pPr>
    </w:p>
    <w:p w14:paraId="19BBACEF">
      <w:pPr>
        <w:pStyle w:val="16"/>
        <w:spacing w:line="360" w:lineRule="auto"/>
        <w:rPr>
          <w:rFonts w:hAnsi="宋体"/>
          <w:b/>
          <w:sz w:val="24"/>
          <w:szCs w:val="24"/>
        </w:rPr>
      </w:pPr>
    </w:p>
    <w:p w14:paraId="28E8E8FC">
      <w:pPr>
        <w:pStyle w:val="16"/>
        <w:spacing w:line="360" w:lineRule="auto"/>
        <w:rPr>
          <w:rFonts w:hAnsi="宋体"/>
          <w:b/>
          <w:sz w:val="24"/>
          <w:szCs w:val="24"/>
        </w:rPr>
      </w:pPr>
    </w:p>
    <w:p w14:paraId="283BFD6D">
      <w:pPr>
        <w:pStyle w:val="16"/>
        <w:spacing w:line="360" w:lineRule="auto"/>
        <w:rPr>
          <w:rFonts w:hAnsi="宋体"/>
          <w:b/>
          <w:sz w:val="24"/>
          <w:szCs w:val="24"/>
        </w:rPr>
      </w:pPr>
    </w:p>
    <w:p w14:paraId="3876A06B">
      <w:pPr>
        <w:pStyle w:val="16"/>
        <w:spacing w:line="360" w:lineRule="auto"/>
        <w:jc w:val="center"/>
        <w:rPr>
          <w:rFonts w:ascii="黑体" w:eastAsia="黑体"/>
          <w:b/>
          <w:bCs/>
          <w:sz w:val="36"/>
          <w:szCs w:val="36"/>
        </w:rPr>
      </w:pPr>
    </w:p>
    <w:p w14:paraId="2C870E1D">
      <w:pPr>
        <w:pStyle w:val="78"/>
      </w:pPr>
    </w:p>
    <w:p w14:paraId="5D35037D">
      <w:pPr>
        <w:pStyle w:val="73"/>
      </w:pPr>
      <w:r>
        <w:rPr>
          <w:rFonts w:hint="eastAsia"/>
        </w:rPr>
        <w:t>第五部分　</w:t>
      </w:r>
      <w:r>
        <w:rPr>
          <w:rFonts w:hint="eastAsia"/>
          <w:lang w:val="en-US" w:eastAsia="zh-CN"/>
        </w:rPr>
        <w:t>重汽e采通供应商使用说明</w:t>
      </w:r>
    </w:p>
    <w:p w14:paraId="2B160738">
      <w:pPr>
        <w:pStyle w:val="16"/>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7F90BF48">
      <w:pPr>
        <w:numPr>
          <w:ilvl w:val="0"/>
          <w:numId w:val="3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16"/>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14:paraId="63EECCF8">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1" cstate="print"/>
                    <a:srcRect/>
                    <a:stretch>
                      <a:fillRect/>
                    </a:stretch>
                  </pic:blipFill>
                  <pic:spPr>
                    <a:xfrm>
                      <a:off x="0" y="0"/>
                      <a:ext cx="5760085" cy="2820035"/>
                    </a:xfrm>
                    <a:prstGeom prst="rect">
                      <a:avLst/>
                    </a:prstGeom>
                  </pic:spPr>
                </pic:pic>
              </a:graphicData>
            </a:graphic>
          </wp:inline>
        </w:drawing>
      </w:r>
    </w:p>
    <w:p w14:paraId="2635F1D5">
      <w:pPr>
        <w:pStyle w:val="16"/>
      </w:pPr>
    </w:p>
    <w:p w14:paraId="11152A11">
      <w:pPr>
        <w:pStyle w:val="16"/>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16"/>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16"/>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7312B151">
      <w:pPr>
        <w:pStyle w:val="16"/>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https://ecaitong.sinotruk.com:8012/</w:t>
      </w:r>
      <w:r>
        <w:rPr>
          <w:rStyle w:val="39"/>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2"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3"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16"/>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4"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5"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6"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7" cstate="print"/>
                    <a:srcRect/>
                    <a:stretch>
                      <a:fillRect/>
                    </a:stretch>
                  </pic:blipFill>
                  <pic:spPr>
                    <a:xfrm>
                      <a:off x="0" y="0"/>
                      <a:ext cx="5760085" cy="1956435"/>
                    </a:xfrm>
                    <a:prstGeom prst="rect">
                      <a:avLst/>
                    </a:prstGeom>
                  </pic:spPr>
                </pic:pic>
              </a:graphicData>
            </a:graphic>
          </wp:inline>
        </w:drawing>
      </w:r>
    </w:p>
    <w:p w14:paraId="719CDE6A">
      <w:pPr>
        <w:pStyle w:val="16"/>
        <w:rPr>
          <w:rFonts w:hAnsi="宋体"/>
          <w:b/>
          <w:color w:val="000000"/>
          <w:sz w:val="24"/>
          <w:szCs w:val="24"/>
        </w:rPr>
      </w:pPr>
    </w:p>
    <w:p w14:paraId="5CA7CAEF">
      <w:pPr>
        <w:pStyle w:val="16"/>
        <w:rPr>
          <w:rFonts w:hAnsi="宋体"/>
          <w:b/>
          <w:color w:val="000000"/>
          <w:sz w:val="24"/>
          <w:szCs w:val="24"/>
        </w:rPr>
      </w:pPr>
    </w:p>
    <w:p w14:paraId="085FB2E7">
      <w:pPr>
        <w:pStyle w:val="78"/>
        <w:rPr>
          <w:rFonts w:hAnsi="宋体"/>
          <w:sz w:val="24"/>
        </w:rPr>
      </w:pPr>
    </w:p>
    <w:p w14:paraId="5ECEAAC2">
      <w:pPr>
        <w:pStyle w:val="78"/>
        <w:rPr>
          <w:rFonts w:hAnsi="宋体"/>
          <w:sz w:val="24"/>
        </w:rPr>
      </w:pPr>
    </w:p>
    <w:p w14:paraId="028B8E52">
      <w:pPr>
        <w:pStyle w:val="73"/>
        <w:jc w:val="center"/>
        <w:rPr>
          <w:rFonts w:hint="default" w:eastAsia="黑体"/>
          <w:lang w:val="en-US" w:eastAsia="zh-CN"/>
        </w:rPr>
      </w:pPr>
    </w:p>
    <w:p w14:paraId="52772E40">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23E75332">
      <w:pPr>
        <w:pStyle w:val="78"/>
        <w:rPr>
          <w:rFonts w:hint="default" w:hAnsi="宋体"/>
          <w:sz w:val="24"/>
          <w:lang w:val="en-US"/>
        </w:rPr>
      </w:pPr>
    </w:p>
    <w:sectPr>
      <w:headerReference r:id="rId12" w:type="first"/>
      <w:footerReference r:id="rId13"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AdobeHeitiStd-Regular">
    <w:altName w:val="宋体"/>
    <w:panose1 w:val="00000000000000000000"/>
    <w:charset w:val="86"/>
    <w:family w:val="auto"/>
    <w:pitch w:val="default"/>
    <w:sig w:usb0="00000000" w:usb1="00000000" w:usb2="00000010" w:usb3="00000000" w:csb0="00040000" w:csb1="00000000"/>
  </w:font>
  <w:font w:name="FZZD Extra JW">
    <w:altName w:val="宋体"/>
    <w:panose1 w:val="00000000000000000000"/>
    <w:charset w:val="86"/>
    <w:family w:val="script"/>
    <w:pitch w:val="default"/>
    <w:sig w:usb0="00000000" w:usb1="00000000" w:usb2="00000010" w:usb3="00000000" w:csb0="00040000" w:csb1="00000000"/>
  </w:font>
  <w:font w:name="KSOF0B79BE30">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A249E">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7BB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EB7BB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E13E">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C01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87C01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2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BC52">
    <w:pPr>
      <w:pStyle w:val="21"/>
    </w:pPr>
    <w:r>
      <w:rPr>
        <w:sz w:val="18"/>
      </w:rPr>
      <w:pict>
        <v:shape id="PowerPlusWaterMarkObject15738367" o:spid="_x0000_s2075" o:spt="136" type="#_x0000_t136" style="position:absolute;left:0pt;margin-left:458.8pt;margin-top:555.3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5341232" o:spid="_x0000_s2076" o:spt="136" type="#_x0000_t136" style="position:absolute;left:0pt;margin-left:349.2pt;margin-top:664.9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4811351" o:spid="_x0000_s2077" o:spt="136" type="#_x0000_t136" style="position:absolute;left:0pt;margin-left:239.6pt;margin-top:774.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4011413" o:spid="_x0000_s2078" o:spt="136" type="#_x0000_t136" style="position:absolute;left:0pt;margin-left:458.8pt;margin-top:350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3372389" o:spid="_x0000_s2079" o:spt="136" type="#_x0000_t136" style="position:absolute;left:0pt;margin-left:349.2pt;margin-top:459.6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2739665" o:spid="_x0000_s2080" o:spt="136" type="#_x0000_t136" style="position:absolute;left:0pt;margin-left:239.6pt;margin-top:569.2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2126824" o:spid="_x0000_s2081" o:spt="136" type="#_x0000_t136" style="position:absolute;left:0pt;margin-left:130pt;margin-top:678.8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1618809" o:spid="_x0000_s2082" o:spt="136" type="#_x0000_t136" style="position:absolute;left:0pt;margin-left:20.4pt;margin-top:788.4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0690619" o:spid="_x0000_s2083" o:spt="136" type="#_x0000_t136" style="position:absolute;left:0pt;margin-left:458.8pt;margin-top:144.7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0258511" o:spid="_x0000_s2084" o:spt="136" type="#_x0000_t136" style="position:absolute;left:0pt;margin-left:349.2pt;margin-top:254.3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9862020" o:spid="_x0000_s2085" o:spt="136" type="#_x0000_t136" style="position:absolute;left:0pt;margin-left:239.6pt;margin-top:363.9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8976519" o:spid="_x0000_s2086" o:spt="136" type="#_x0000_t136" style="position:absolute;left:0pt;margin-left:130pt;margin-top:473.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8226934" o:spid="_x0000_s2087" o:spt="136" type="#_x0000_t136" style="position:absolute;left:0pt;margin-left:20.4pt;margin-top:583.1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8215584" o:spid="_x0000_s2088" o:spt="136" type="#_x0000_t136" style="position:absolute;left:0pt;margin-left:-89.2pt;margin-top:692.7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7362702" o:spid="_x0000_s2089" o:spt="136" type="#_x0000_t136" style="position:absolute;left:0pt;margin-left:458.8pt;margin-top:-60.6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7199842" o:spid="_x0000_s2090" o:spt="136" type="#_x0000_t136" style="position:absolute;left:0pt;margin-left:349.2pt;margin-top:48.9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6766999" o:spid="_x0000_s2091" o:spt="136" type="#_x0000_t136" style="position:absolute;left:0pt;margin-left:239.6pt;margin-top:158.5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6083894" o:spid="_x0000_s2092" o:spt="136" type="#_x0000_t136" style="position:absolute;left:0pt;margin-left:130pt;margin-top:268.1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5289219" o:spid="_x0000_s2093" o:spt="136" type="#_x0000_t136" style="position:absolute;left:0pt;margin-left:20.4pt;margin-top:377.7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4992266" o:spid="_x0000_s2094" o:spt="136" type="#_x0000_t136" style="position:absolute;left:0pt;margin-left:-89.2pt;margin-top:487.3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4046705" o:spid="_x0000_s2095" o:spt="136" type="#_x0000_t136" style="position:absolute;left:0pt;margin-left:239.6pt;margin-top:-46.7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3106725" o:spid="_x0000_s2096" o:spt="136" type="#_x0000_t136" style="position:absolute;left:0pt;margin-left:130pt;margin-top:62.85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07850" o:spid="_x0000_s2097" o:spt="136" type="#_x0000_t136" style="position:absolute;left:0pt;margin-left:20.4pt;margin-top:172.45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031501" o:spid="_x0000_s2098" o:spt="136" type="#_x0000_t136" style="position:absolute;left:0pt;margin-left:-89.2pt;margin-top:282.0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146419" o:spid="_x0000_s2099" o:spt="136" type="#_x0000_t136" style="position:absolute;left:0pt;margin-left:20.4pt;margin-top:-32.8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442108" o:spid="_x0000_s2100" o:spt="136" type="#_x0000_t136" style="position:absolute;left:0pt;margin-left:-89.2pt;margin-top:76.7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2850">
    <w:pPr>
      <w:pStyle w:val="21"/>
    </w:pPr>
    <w:r>
      <w:rPr>
        <w:sz w:val="18"/>
      </w:rPr>
      <w:pict>
        <v:shape id="PowerPlusWaterMarkObject31174553" o:spid="_x0000_s2049" o:spt="136" type="#_x0000_t136" style="position:absolute;left:0pt;margin-left:458.8pt;margin-top:555.3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30255820" o:spid="_x0000_s2050" o:spt="136" type="#_x0000_t136" style="position:absolute;left:0pt;margin-left:349.2pt;margin-top:664.9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997028" o:spid="_x0000_s2051" o:spt="136" type="#_x0000_t136" style="position:absolute;left:0pt;margin-left:239.6pt;margin-top:774.5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932748" o:spid="_x0000_s2052" o:spt="136" type="#_x0000_t136" style="position:absolute;left:0pt;margin-left:458.8pt;margin-top:350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163476" o:spid="_x0000_s2053" o:spt="136" type="#_x0000_t136" style="position:absolute;left:0pt;margin-left:349.2pt;margin-top:459.6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8712905" o:spid="_x0000_s2054" o:spt="136" type="#_x0000_t136" style="position:absolute;left:0pt;margin-left:239.6pt;margin-top:569.2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8603899" o:spid="_x0000_s2055" o:spt="136" type="#_x0000_t136" style="position:absolute;left:0pt;margin-left:130pt;margin-top:678.8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7737173" o:spid="_x0000_s2056" o:spt="136" type="#_x0000_t136" style="position:absolute;left:0pt;margin-left:20.4pt;margin-top:788.4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6792015" o:spid="_x0000_s2057" o:spt="136" type="#_x0000_t136" style="position:absolute;left:0pt;margin-left:458.8pt;margin-top:144.7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6014256" o:spid="_x0000_s2058" o:spt="136" type="#_x0000_t136" style="position:absolute;left:0pt;margin-left:349.2pt;margin-top:254.3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5718804" o:spid="_x0000_s2059" o:spt="136" type="#_x0000_t136" style="position:absolute;left:0pt;margin-left:239.6pt;margin-top:363.9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4913983" o:spid="_x0000_s2060" o:spt="136" type="#_x0000_t136" style="position:absolute;left:0pt;margin-left:130pt;margin-top:473.5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4746665" o:spid="_x0000_s2061" o:spt="136" type="#_x0000_t136" style="position:absolute;left:0pt;margin-left:20.4pt;margin-top:583.1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3846902" o:spid="_x0000_s2062" o:spt="136" type="#_x0000_t136" style="position:absolute;left:0pt;margin-left:-89.2pt;margin-top:692.7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3021079" o:spid="_x0000_s2063" o:spt="136" type="#_x0000_t136" style="position:absolute;left:0pt;margin-left:458.8pt;margin-top:-60.6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2757286" o:spid="_x0000_s2064" o:spt="136" type="#_x0000_t136" style="position:absolute;left:0pt;margin-left:349.2pt;margin-top:48.9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1864673" o:spid="_x0000_s2065" o:spt="136" type="#_x0000_t136" style="position:absolute;left:0pt;margin-left:239.6pt;margin-top:158.5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1131831" o:spid="_x0000_s2066" o:spt="136" type="#_x0000_t136" style="position:absolute;left:0pt;margin-left:130pt;margin-top:268.1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0282826" o:spid="_x0000_s2067" o:spt="136" type="#_x0000_t136" style="position:absolute;left:0pt;margin-left:20.4pt;margin-top:377.7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9739974" o:spid="_x0000_s2068" o:spt="136" type="#_x0000_t136" style="position:absolute;left:0pt;margin-left:-89.2pt;margin-top:487.35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8853634" o:spid="_x0000_s2069" o:spt="136" type="#_x0000_t136" style="position:absolute;left:0pt;margin-left:239.6pt;margin-top:-46.75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8493529" o:spid="_x0000_s2070" o:spt="136" type="#_x0000_t136" style="position:absolute;left:0pt;margin-left:130pt;margin-top:62.85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8481121" o:spid="_x0000_s2071" o:spt="136" type="#_x0000_t136" style="position:absolute;left:0pt;margin-left:20.4pt;margin-top:172.4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7626769" o:spid="_x0000_s2072" o:spt="136" type="#_x0000_t136" style="position:absolute;left:0pt;margin-left:-89.2pt;margin-top:282.0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6700177" o:spid="_x0000_s2073" o:spt="136" type="#_x0000_t136" style="position:absolute;left:0pt;margin-left:20.4pt;margin-top:-32.8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6063128" o:spid="_x0000_s2074" o:spt="136" type="#_x0000_t136" style="position:absolute;left:0pt;margin-left:-89.2pt;margin-top:76.7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21"/>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1FB81619"/>
    <w:multiLevelType w:val="multilevel"/>
    <w:tmpl w:val="1FB8161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33464089"/>
    <w:multiLevelType w:val="multilevel"/>
    <w:tmpl w:val="33464089"/>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DD9550A"/>
    <w:multiLevelType w:val="multilevel"/>
    <w:tmpl w:val="4DD9550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3FD545C"/>
    <w:multiLevelType w:val="multilevel"/>
    <w:tmpl w:val="53FD545C"/>
    <w:lvl w:ilvl="0" w:tentative="0">
      <w:start w:val="2"/>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2">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25742D4"/>
    <w:multiLevelType w:val="multilevel"/>
    <w:tmpl w:val="725742D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6">
    <w:nsid w:val="79BE47E4"/>
    <w:multiLevelType w:val="multilevel"/>
    <w:tmpl w:val="79BE47E4"/>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7CE20C09"/>
    <w:multiLevelType w:val="singleLevel"/>
    <w:tmpl w:val="7CE20C09"/>
    <w:lvl w:ilvl="0" w:tentative="0">
      <w:start w:val="1"/>
      <w:numFmt w:val="decimal"/>
      <w:lvlText w:val="%1."/>
      <w:lvlJc w:val="left"/>
      <w:pPr>
        <w:tabs>
          <w:tab w:val="left" w:pos="312"/>
        </w:tabs>
      </w:pPr>
    </w:lvl>
  </w:abstractNum>
  <w:num w:numId="1">
    <w:abstractNumId w:val="18"/>
  </w:num>
  <w:num w:numId="2">
    <w:abstractNumId w:val="24"/>
  </w:num>
  <w:num w:numId="3">
    <w:abstractNumId w:val="23"/>
  </w:num>
  <w:num w:numId="4">
    <w:abstractNumId w:val="20"/>
  </w:num>
  <w:num w:numId="5">
    <w:abstractNumId w:val="10"/>
  </w:num>
  <w:num w:numId="6">
    <w:abstractNumId w:val="12"/>
  </w:num>
  <w:num w:numId="7">
    <w:abstractNumId w:val="13"/>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0"/>
  </w:num>
  <w:num w:numId="19">
    <w:abstractNumId w:val="1"/>
  </w:num>
  <w:num w:numId="20">
    <w:abstractNumId w:val="16"/>
  </w:num>
  <w:num w:numId="21">
    <w:abstractNumId w:val="27"/>
  </w:num>
  <w:num w:numId="22">
    <w:abstractNumId w:val="7"/>
  </w:num>
  <w:num w:numId="23">
    <w:abstractNumId w:val="28"/>
  </w:num>
  <w:num w:numId="24">
    <w:abstractNumId w:val="2"/>
  </w:num>
  <w:num w:numId="25">
    <w:abstractNumId w:val="3"/>
  </w:num>
  <w:num w:numId="26">
    <w:abstractNumId w:val="5"/>
  </w:num>
  <w:num w:numId="27">
    <w:abstractNumId w:val="8"/>
  </w:num>
  <w:num w:numId="28">
    <w:abstractNumId w:val="17"/>
  </w:num>
  <w:num w:numId="29">
    <w:abstractNumId w:val="11"/>
  </w:num>
  <w:num w:numId="30">
    <w:abstractNumId w:val="19"/>
  </w:num>
  <w:num w:numId="31">
    <w:abstractNumId w:val="25"/>
  </w:num>
  <w:num w:numId="32">
    <w:abstractNumId w:val="14"/>
  </w:num>
  <w:num w:numId="33">
    <w:abstractNumId w:val="15"/>
  </w:num>
  <w:num w:numId="34">
    <w:abstractNumId w:val="26"/>
  </w:num>
  <w:num w:numId="35">
    <w:abstractNumId w:val="2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22110"/>
    <w:rsid w:val="0256755B"/>
    <w:rsid w:val="02C464F6"/>
    <w:rsid w:val="02CC3DCA"/>
    <w:rsid w:val="02FB2420"/>
    <w:rsid w:val="02FE76EF"/>
    <w:rsid w:val="03343D40"/>
    <w:rsid w:val="035241C7"/>
    <w:rsid w:val="03BA1683"/>
    <w:rsid w:val="03E72B61"/>
    <w:rsid w:val="03F033B0"/>
    <w:rsid w:val="04446205"/>
    <w:rsid w:val="046917C8"/>
    <w:rsid w:val="04E62E18"/>
    <w:rsid w:val="0543236E"/>
    <w:rsid w:val="057C1D39"/>
    <w:rsid w:val="05891259"/>
    <w:rsid w:val="05E76E48"/>
    <w:rsid w:val="068F128E"/>
    <w:rsid w:val="08633479"/>
    <w:rsid w:val="089E76AC"/>
    <w:rsid w:val="0A28069F"/>
    <w:rsid w:val="0B0A2C8B"/>
    <w:rsid w:val="0B765E47"/>
    <w:rsid w:val="0BBA4FFF"/>
    <w:rsid w:val="0C525237"/>
    <w:rsid w:val="0CB51572"/>
    <w:rsid w:val="0CFB1178"/>
    <w:rsid w:val="0E1E2B65"/>
    <w:rsid w:val="0E4D31E3"/>
    <w:rsid w:val="0E76345F"/>
    <w:rsid w:val="0F7200CA"/>
    <w:rsid w:val="0FFF6FF0"/>
    <w:rsid w:val="10DC2AA3"/>
    <w:rsid w:val="10FA7C8C"/>
    <w:rsid w:val="12EA7F78"/>
    <w:rsid w:val="130B198F"/>
    <w:rsid w:val="135A334F"/>
    <w:rsid w:val="137C646B"/>
    <w:rsid w:val="145205A8"/>
    <w:rsid w:val="16406649"/>
    <w:rsid w:val="16A918E4"/>
    <w:rsid w:val="17D966D6"/>
    <w:rsid w:val="181B06E1"/>
    <w:rsid w:val="18952734"/>
    <w:rsid w:val="189C1D14"/>
    <w:rsid w:val="18F659B5"/>
    <w:rsid w:val="198C1722"/>
    <w:rsid w:val="1A11228E"/>
    <w:rsid w:val="1A381F10"/>
    <w:rsid w:val="1ABF7F3C"/>
    <w:rsid w:val="1B3E669F"/>
    <w:rsid w:val="1B6603B7"/>
    <w:rsid w:val="1B6739C6"/>
    <w:rsid w:val="1B824429"/>
    <w:rsid w:val="1BC71D3B"/>
    <w:rsid w:val="1C59115B"/>
    <w:rsid w:val="1C8C02F2"/>
    <w:rsid w:val="1CD00D9F"/>
    <w:rsid w:val="1F5E5F75"/>
    <w:rsid w:val="1F672950"/>
    <w:rsid w:val="1FB23E60"/>
    <w:rsid w:val="20E64474"/>
    <w:rsid w:val="21E73D66"/>
    <w:rsid w:val="21F91F85"/>
    <w:rsid w:val="22A7378F"/>
    <w:rsid w:val="22C5630B"/>
    <w:rsid w:val="23EC0BA6"/>
    <w:rsid w:val="24701A48"/>
    <w:rsid w:val="252E1F46"/>
    <w:rsid w:val="25B508B9"/>
    <w:rsid w:val="25DC2738"/>
    <w:rsid w:val="268B0052"/>
    <w:rsid w:val="26FE1DEC"/>
    <w:rsid w:val="27743C90"/>
    <w:rsid w:val="27CC3FD4"/>
    <w:rsid w:val="28A864B3"/>
    <w:rsid w:val="28F214DC"/>
    <w:rsid w:val="292673D8"/>
    <w:rsid w:val="29B844D4"/>
    <w:rsid w:val="29CA2459"/>
    <w:rsid w:val="2ACD0453"/>
    <w:rsid w:val="2B0F6376"/>
    <w:rsid w:val="2B271A58"/>
    <w:rsid w:val="2B6304A7"/>
    <w:rsid w:val="2B8A0ED3"/>
    <w:rsid w:val="2BB138D1"/>
    <w:rsid w:val="2BFD7C12"/>
    <w:rsid w:val="2CA63F77"/>
    <w:rsid w:val="2CF6734C"/>
    <w:rsid w:val="2D2E5EBF"/>
    <w:rsid w:val="2D663463"/>
    <w:rsid w:val="2E1212F1"/>
    <w:rsid w:val="2E204D3E"/>
    <w:rsid w:val="2E4E18AB"/>
    <w:rsid w:val="2EF96EE4"/>
    <w:rsid w:val="30006BD5"/>
    <w:rsid w:val="30971A1F"/>
    <w:rsid w:val="30A151CF"/>
    <w:rsid w:val="30B31E99"/>
    <w:rsid w:val="310778B5"/>
    <w:rsid w:val="32146967"/>
    <w:rsid w:val="32C06917"/>
    <w:rsid w:val="33304827"/>
    <w:rsid w:val="337E22EA"/>
    <w:rsid w:val="34572B3B"/>
    <w:rsid w:val="35CF7EC5"/>
    <w:rsid w:val="36254FE4"/>
    <w:rsid w:val="36A55DE0"/>
    <w:rsid w:val="372F61E0"/>
    <w:rsid w:val="37E36EC1"/>
    <w:rsid w:val="389B56ED"/>
    <w:rsid w:val="39322FCA"/>
    <w:rsid w:val="39DC4F34"/>
    <w:rsid w:val="3AB90991"/>
    <w:rsid w:val="3ABB02C8"/>
    <w:rsid w:val="3B585B17"/>
    <w:rsid w:val="3B706131"/>
    <w:rsid w:val="3BA93AD1"/>
    <w:rsid w:val="3BCA1B24"/>
    <w:rsid w:val="3C681D8A"/>
    <w:rsid w:val="3D2008B6"/>
    <w:rsid w:val="3D29776B"/>
    <w:rsid w:val="3DFB03D8"/>
    <w:rsid w:val="3E6F041E"/>
    <w:rsid w:val="3FBB6674"/>
    <w:rsid w:val="3FCC6AD3"/>
    <w:rsid w:val="405D597D"/>
    <w:rsid w:val="4081341A"/>
    <w:rsid w:val="40D8240F"/>
    <w:rsid w:val="411C3143"/>
    <w:rsid w:val="41582A5C"/>
    <w:rsid w:val="41CC2DBB"/>
    <w:rsid w:val="4275481E"/>
    <w:rsid w:val="428B617A"/>
    <w:rsid w:val="433D7BDC"/>
    <w:rsid w:val="437E1813"/>
    <w:rsid w:val="43EF0FE2"/>
    <w:rsid w:val="43F20826"/>
    <w:rsid w:val="44CA7C7F"/>
    <w:rsid w:val="45BD47FC"/>
    <w:rsid w:val="45CC5FB2"/>
    <w:rsid w:val="464529FA"/>
    <w:rsid w:val="46B75BA8"/>
    <w:rsid w:val="46C53BA3"/>
    <w:rsid w:val="46DC75FC"/>
    <w:rsid w:val="487970CD"/>
    <w:rsid w:val="48BC6665"/>
    <w:rsid w:val="48C97955"/>
    <w:rsid w:val="48CA6646"/>
    <w:rsid w:val="48E24BBA"/>
    <w:rsid w:val="49184B37"/>
    <w:rsid w:val="494F67AB"/>
    <w:rsid w:val="49880C8F"/>
    <w:rsid w:val="4A8561FD"/>
    <w:rsid w:val="4A8835F7"/>
    <w:rsid w:val="4B592E71"/>
    <w:rsid w:val="4BE60F1D"/>
    <w:rsid w:val="4CE74F4D"/>
    <w:rsid w:val="4CF539DF"/>
    <w:rsid w:val="4D2E0486"/>
    <w:rsid w:val="4D371A30"/>
    <w:rsid w:val="4DD45540"/>
    <w:rsid w:val="4DDA060D"/>
    <w:rsid w:val="4F195165"/>
    <w:rsid w:val="50615016"/>
    <w:rsid w:val="52650D16"/>
    <w:rsid w:val="526B3F2A"/>
    <w:rsid w:val="52B9239A"/>
    <w:rsid w:val="53193986"/>
    <w:rsid w:val="53422EDD"/>
    <w:rsid w:val="539D6365"/>
    <w:rsid w:val="53C34BA7"/>
    <w:rsid w:val="54BD78FD"/>
    <w:rsid w:val="552D196B"/>
    <w:rsid w:val="572A3CDF"/>
    <w:rsid w:val="580C557C"/>
    <w:rsid w:val="58A86DDE"/>
    <w:rsid w:val="58C6010C"/>
    <w:rsid w:val="59154AD7"/>
    <w:rsid w:val="593D49CE"/>
    <w:rsid w:val="59CF4D9E"/>
    <w:rsid w:val="5A9A35FE"/>
    <w:rsid w:val="5AC71F19"/>
    <w:rsid w:val="5ADF548D"/>
    <w:rsid w:val="5C68504C"/>
    <w:rsid w:val="5C814A76"/>
    <w:rsid w:val="5CC42BB4"/>
    <w:rsid w:val="5D5C60B4"/>
    <w:rsid w:val="5E08087F"/>
    <w:rsid w:val="5E135BA1"/>
    <w:rsid w:val="5F6E12AA"/>
    <w:rsid w:val="5FD316B9"/>
    <w:rsid w:val="60031C46"/>
    <w:rsid w:val="60DD58EC"/>
    <w:rsid w:val="60F577E0"/>
    <w:rsid w:val="61C94742"/>
    <w:rsid w:val="639826A5"/>
    <w:rsid w:val="63E1229E"/>
    <w:rsid w:val="63F04A69"/>
    <w:rsid w:val="642B176B"/>
    <w:rsid w:val="652561BA"/>
    <w:rsid w:val="652811A1"/>
    <w:rsid w:val="663E5786"/>
    <w:rsid w:val="66A50B1E"/>
    <w:rsid w:val="676C6322"/>
    <w:rsid w:val="67B2063C"/>
    <w:rsid w:val="67C97AC3"/>
    <w:rsid w:val="67E30EC1"/>
    <w:rsid w:val="68534DEC"/>
    <w:rsid w:val="68CA77A4"/>
    <w:rsid w:val="68F3328F"/>
    <w:rsid w:val="695F613F"/>
    <w:rsid w:val="69620955"/>
    <w:rsid w:val="69747710"/>
    <w:rsid w:val="6A06480C"/>
    <w:rsid w:val="6A4E3B2B"/>
    <w:rsid w:val="6B481C3B"/>
    <w:rsid w:val="6B8E2D0B"/>
    <w:rsid w:val="6B99345E"/>
    <w:rsid w:val="6BF1329A"/>
    <w:rsid w:val="6C1331A3"/>
    <w:rsid w:val="6CA84BC1"/>
    <w:rsid w:val="6D0E1A3E"/>
    <w:rsid w:val="6D3E4756"/>
    <w:rsid w:val="6D940381"/>
    <w:rsid w:val="6F0E5A30"/>
    <w:rsid w:val="6FC523EB"/>
    <w:rsid w:val="700532A9"/>
    <w:rsid w:val="714D0F73"/>
    <w:rsid w:val="72895F2E"/>
    <w:rsid w:val="72B55613"/>
    <w:rsid w:val="72C02EBE"/>
    <w:rsid w:val="72C507AD"/>
    <w:rsid w:val="72D028D8"/>
    <w:rsid w:val="73100ED3"/>
    <w:rsid w:val="732E0930"/>
    <w:rsid w:val="745D47C3"/>
    <w:rsid w:val="76AC3757"/>
    <w:rsid w:val="775F37AE"/>
    <w:rsid w:val="77E84083"/>
    <w:rsid w:val="78A51694"/>
    <w:rsid w:val="78E73A5B"/>
    <w:rsid w:val="79676168"/>
    <w:rsid w:val="79E36624"/>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9"/>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39"/>
    <w:pPr>
      <w:adjustRightInd w:val="0"/>
      <w:spacing w:line="312" w:lineRule="atLeast"/>
      <w:ind w:left="840" w:leftChars="400"/>
      <w:textAlignment w:val="baseline"/>
    </w:pPr>
    <w:rPr>
      <w:kern w:val="0"/>
      <w:sz w:val="24"/>
    </w:rPr>
  </w:style>
  <w:style w:type="paragraph" w:styleId="8">
    <w:name w:val="E-mail Signature"/>
    <w:basedOn w:val="1"/>
    <w:link w:val="106"/>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44"/>
    <w:qFormat/>
    <w:uiPriority w:val="98"/>
    <w:rPr>
      <w:rFonts w:ascii="仿宋_GB2312" w:eastAsia="仿宋_GB2312"/>
      <w:sz w:val="32"/>
    </w:rPr>
  </w:style>
  <w:style w:type="paragraph" w:styleId="15">
    <w:name w:val="Body Text Indent"/>
    <w:basedOn w:val="1"/>
    <w:link w:val="51"/>
    <w:semiHidden/>
    <w:qFormat/>
    <w:uiPriority w:val="0"/>
    <w:pPr>
      <w:spacing w:after="120"/>
      <w:ind w:left="420" w:leftChars="200"/>
    </w:pPr>
    <w:rPr>
      <w:rFonts w:ascii="Calibri" w:hAnsi="Calibri"/>
      <w:szCs w:val="22"/>
    </w:rPr>
  </w:style>
  <w:style w:type="paragraph" w:styleId="16">
    <w:name w:val="Plain Text"/>
    <w:basedOn w:val="1"/>
    <w:link w:val="53"/>
    <w:qFormat/>
    <w:uiPriority w:val="0"/>
    <w:rPr>
      <w:rFonts w:ascii="宋体" w:hAnsi="Courier New"/>
    </w:rPr>
  </w:style>
  <w:style w:type="paragraph" w:styleId="17">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50"/>
    <w:semiHidden/>
    <w:qFormat/>
    <w:uiPriority w:val="0"/>
    <w:rPr>
      <w:sz w:val="18"/>
      <w:szCs w:val="18"/>
    </w:rPr>
  </w:style>
  <w:style w:type="paragraph" w:styleId="20">
    <w:name w:val="footer"/>
    <w:basedOn w:val="1"/>
    <w:link w:val="45"/>
    <w:semiHidden/>
    <w:qFormat/>
    <w:uiPriority w:val="0"/>
    <w:pPr>
      <w:tabs>
        <w:tab w:val="center" w:pos="4153"/>
        <w:tab w:val="right" w:pos="8306"/>
      </w:tabs>
      <w:snapToGrid w:val="0"/>
      <w:jc w:val="left"/>
    </w:pPr>
    <w:rPr>
      <w:sz w:val="18"/>
      <w:szCs w:val="18"/>
    </w:rPr>
  </w:style>
  <w:style w:type="paragraph" w:styleId="21">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6"/>
    <w:semiHidden/>
    <w:qFormat/>
    <w:uiPriority w:val="98"/>
    <w:rPr>
      <w:b/>
      <w:bCs/>
    </w:rPr>
  </w:style>
  <w:style w:type="paragraph" w:styleId="31">
    <w:name w:val="Body Text First Indent 2"/>
    <w:basedOn w:val="15"/>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paragraph" w:customStyle="1" w:styleId="4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4"/>
    <w:semiHidden/>
    <w:qFormat/>
    <w:uiPriority w:val="98"/>
    <w:rPr>
      <w:rFonts w:ascii="仿宋_GB2312" w:eastAsia="仿宋_GB2312"/>
      <w:kern w:val="2"/>
      <w:sz w:val="32"/>
    </w:rPr>
  </w:style>
  <w:style w:type="character" w:customStyle="1" w:styleId="45">
    <w:name w:val="页脚 字符"/>
    <w:link w:val="20"/>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4"/>
    <w:semiHidden/>
    <w:qFormat/>
    <w:uiPriority w:val="98"/>
  </w:style>
  <w:style w:type="character" w:customStyle="1" w:styleId="50">
    <w:name w:val="批注框文本 字符"/>
    <w:link w:val="19"/>
    <w:semiHidden/>
    <w:qFormat/>
    <w:uiPriority w:val="98"/>
    <w:rPr>
      <w:kern w:val="2"/>
      <w:sz w:val="18"/>
      <w:szCs w:val="18"/>
    </w:rPr>
  </w:style>
  <w:style w:type="character" w:customStyle="1" w:styleId="51">
    <w:name w:val="正文文本缩进 字符"/>
    <w:link w:val="15"/>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6"/>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1"/>
    <w:semiHidden/>
    <w:qFormat/>
    <w:uiPriority w:val="0"/>
    <w:rPr>
      <w:kern w:val="2"/>
      <w:sz w:val="18"/>
      <w:szCs w:val="18"/>
    </w:rPr>
  </w:style>
  <w:style w:type="character" w:customStyle="1" w:styleId="56">
    <w:name w:val="批注主题 字符"/>
    <w:link w:val="30"/>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character" w:customStyle="1" w:styleId="68">
    <w:name w:val="style61"/>
    <w:semiHidden/>
    <w:qFormat/>
    <w:uiPriority w:val="98"/>
  </w:style>
  <w:style w:type="character" w:customStyle="1" w:styleId="69">
    <w:name w:val="标题 1 字符"/>
    <w:basedOn w:val="34"/>
    <w:link w:val="2"/>
    <w:semiHidden/>
    <w:qFormat/>
    <w:uiPriority w:val="0"/>
    <w:rPr>
      <w:b/>
      <w:bCs/>
      <w:kern w:val="44"/>
      <w:sz w:val="44"/>
      <w:szCs w:val="44"/>
    </w:rPr>
  </w:style>
  <w:style w:type="paragraph" w:customStyle="1" w:styleId="7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3">
    <w:name w:val="章节"/>
    <w:basedOn w:val="16"/>
    <w:qFormat/>
    <w:uiPriority w:val="0"/>
    <w:pPr>
      <w:spacing w:line="360" w:lineRule="auto"/>
      <w:jc w:val="center"/>
      <w:outlineLvl w:val="0"/>
    </w:pPr>
    <w:rPr>
      <w:rFonts w:ascii="黑体" w:eastAsia="黑体"/>
      <w:b/>
      <w:bCs/>
      <w:sz w:val="36"/>
      <w:szCs w:val="36"/>
    </w:rPr>
  </w:style>
  <w:style w:type="paragraph" w:customStyle="1" w:styleId="7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6"/>
    <w:qFormat/>
    <w:uiPriority w:val="2"/>
    <w:pPr>
      <w:numPr>
        <w:ilvl w:val="0"/>
        <w:numId w:val="3"/>
      </w:numPr>
      <w:spacing w:line="360" w:lineRule="auto"/>
      <w:outlineLvl w:val="2"/>
    </w:pPr>
    <w:rPr>
      <w:b/>
    </w:rPr>
  </w:style>
  <w:style w:type="paragraph" w:customStyle="1" w:styleId="76">
    <w:name w:val="3级标题"/>
    <w:basedOn w:val="16"/>
    <w:link w:val="104"/>
    <w:qFormat/>
    <w:uiPriority w:val="3"/>
    <w:pPr>
      <w:numPr>
        <w:ilvl w:val="0"/>
        <w:numId w:val="4"/>
      </w:numPr>
      <w:spacing w:line="360" w:lineRule="auto"/>
      <w:outlineLvl w:val="3"/>
    </w:pPr>
    <w:rPr>
      <w:b/>
    </w:rPr>
  </w:style>
  <w:style w:type="paragraph" w:customStyle="1" w:styleId="77">
    <w:name w:val="（4）级标题"/>
    <w:basedOn w:val="16"/>
    <w:qFormat/>
    <w:uiPriority w:val="8"/>
    <w:pPr>
      <w:numPr>
        <w:ilvl w:val="0"/>
        <w:numId w:val="5"/>
      </w:numPr>
      <w:spacing w:line="360" w:lineRule="auto"/>
      <w:outlineLvl w:val="4"/>
    </w:pPr>
  </w:style>
  <w:style w:type="paragraph" w:customStyle="1" w:styleId="78">
    <w:name w:val="标书正文"/>
    <w:basedOn w:val="16"/>
    <w:link w:val="99"/>
    <w:qFormat/>
    <w:uiPriority w:val="9"/>
    <w:pPr>
      <w:spacing w:line="360" w:lineRule="auto"/>
      <w:jc w:val="left"/>
    </w:pPr>
  </w:style>
  <w:style w:type="character" w:customStyle="1" w:styleId="79">
    <w:name w:val="标题 4 字符"/>
    <w:basedOn w:val="34"/>
    <w:link w:val="6"/>
    <w:semiHidden/>
    <w:qFormat/>
    <w:uiPriority w:val="0"/>
    <w:rPr>
      <w:rFonts w:ascii="Arial" w:hAnsi="Arial"/>
      <w:b/>
      <w:bCs/>
      <w:kern w:val="2"/>
      <w:sz w:val="21"/>
      <w:szCs w:val="28"/>
    </w:rPr>
  </w:style>
  <w:style w:type="character" w:customStyle="1" w:styleId="80">
    <w:name w:val="标题 5 字符"/>
    <w:basedOn w:val="34"/>
    <w:link w:val="7"/>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4"/>
    <w:link w:val="24"/>
    <w:semiHidden/>
    <w:qFormat/>
    <w:uiPriority w:val="0"/>
    <w:rPr>
      <w:rFonts w:ascii="宋体" w:hAnsi="宋体"/>
      <w:color w:val="FF0000"/>
      <w:kern w:val="2"/>
      <w:sz w:val="24"/>
      <w:szCs w:val="24"/>
    </w:rPr>
  </w:style>
  <w:style w:type="paragraph" w:customStyle="1" w:styleId="86">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4"/>
    <w:link w:val="18"/>
    <w:semiHidden/>
    <w:qFormat/>
    <w:uiPriority w:val="0"/>
    <w:rPr>
      <w:sz w:val="24"/>
    </w:rPr>
  </w:style>
  <w:style w:type="character" w:customStyle="1" w:styleId="89">
    <w:name w:val="日期 字符"/>
    <w:basedOn w:val="34"/>
    <w:link w:val="17"/>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4"/>
    <w:semiHidden/>
    <w:qFormat/>
    <w:uiPriority w:val="98"/>
    <w:rPr>
      <w:rFonts w:ascii="Microsoft YaHei UI" w:eastAsia="Microsoft YaHei UI"/>
      <w:kern w:val="2"/>
      <w:sz w:val="18"/>
      <w:szCs w:val="18"/>
    </w:rPr>
  </w:style>
  <w:style w:type="character" w:customStyle="1" w:styleId="95">
    <w:name w:val="文档结构图 字符1"/>
    <w:basedOn w:val="34"/>
    <w:link w:val="11"/>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4"/>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3"/>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4"/>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3"/>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8"/>
    <w:semiHidden/>
    <w:qFormat/>
    <w:locked/>
    <w:uiPriority w:val="99"/>
    <w:rPr>
      <w:sz w:val="21"/>
      <w:szCs w:val="21"/>
    </w:rPr>
  </w:style>
  <w:style w:type="character" w:customStyle="1" w:styleId="107">
    <w:name w:val="电子邮件签名 字符1"/>
    <w:basedOn w:val="34"/>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7"/>
    <w:semiHidden/>
    <w:qFormat/>
    <w:locked/>
    <w:uiPriority w:val="99"/>
    <w:rPr>
      <w:rFonts w:ascii="Cambria" w:hAnsi="Cambria" w:cs="Cambria"/>
      <w:sz w:val="24"/>
      <w:szCs w:val="24"/>
      <w:shd w:val="pct20" w:color="auto" w:fill="auto"/>
    </w:rPr>
  </w:style>
  <w:style w:type="character" w:customStyle="1" w:styleId="111">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customStyle="1" w:styleId="113">
    <w:name w:val="首行缩进"/>
    <w:basedOn w:val="1"/>
    <w:qFormat/>
    <w:uiPriority w:val="0"/>
    <w:pPr>
      <w:spacing w:line="360" w:lineRule="auto"/>
      <w:ind w:firstLine="480" w:firstLineChars="200"/>
    </w:pPr>
    <w:rPr>
      <w:rFonts w:ascii="宋体" w:hAnsi="宋体" w:cs="宋体"/>
      <w:kern w:val="0"/>
      <w:sz w:val="24"/>
    </w:rPr>
  </w:style>
  <w:style w:type="character" w:customStyle="1" w:styleId="114">
    <w:name w:val="font11"/>
    <w:basedOn w:val="34"/>
    <w:qFormat/>
    <w:uiPriority w:val="0"/>
    <w:rPr>
      <w:rFonts w:hint="eastAsia" w:ascii="宋体" w:hAnsi="宋体" w:eastAsia="宋体" w:cs="宋体"/>
      <w:color w:val="000000"/>
      <w:sz w:val="24"/>
      <w:szCs w:val="24"/>
      <w:u w:val="single"/>
    </w:rPr>
  </w:style>
  <w:style w:type="character" w:customStyle="1" w:styleId="115">
    <w:name w:val="font21"/>
    <w:basedOn w:val="34"/>
    <w:qFormat/>
    <w:uiPriority w:val="0"/>
    <w:rPr>
      <w:rFonts w:hint="eastAsia" w:ascii="宋体" w:hAnsi="宋体" w:eastAsia="宋体" w:cs="宋体"/>
      <w:color w:val="000000"/>
      <w:sz w:val="24"/>
      <w:szCs w:val="24"/>
      <w:u w:val="none"/>
    </w:rPr>
  </w:style>
  <w:style w:type="paragraph" w:customStyle="1" w:styleId="116">
    <w:name w:val="标书三级标题"/>
    <w:basedOn w:val="5"/>
    <w:qFormat/>
    <w:uiPriority w:val="0"/>
    <w:pPr>
      <w:spacing w:line="240" w:lineRule="auto"/>
      <w:ind w:firstLine="482" w:firstLineChars="200"/>
    </w:pPr>
    <w:rPr>
      <w:color w:val="000000"/>
      <w:kern w:val="0"/>
      <w:sz w:val="24"/>
      <w:szCs w:val="24"/>
    </w:rPr>
  </w:style>
  <w:style w:type="paragraph" w:customStyle="1" w:styleId="117">
    <w:name w:val="标书正文格式"/>
    <w:basedOn w:val="16"/>
    <w:qFormat/>
    <w:uiPriority w:val="0"/>
    <w:pPr>
      <w:spacing w:line="360" w:lineRule="auto"/>
      <w:ind w:firstLine="200" w:firstLineChars="200"/>
    </w:pPr>
    <w:rPr>
      <w:rFonts w:hAnsi="宋体"/>
      <w:color w:val="000000"/>
      <w:kern w:val="0"/>
      <w:sz w:val="24"/>
      <w:szCs w:val="24"/>
    </w:rPr>
  </w:style>
  <w:style w:type="paragraph" w:customStyle="1" w:styleId="118">
    <w:name w:val="_Style 2"/>
    <w:basedOn w:val="1"/>
    <w:qFormat/>
    <w:uiPriority w:val="0"/>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8373</Words>
  <Characters>8767</Characters>
  <Lines>127</Lines>
  <Paragraphs>35</Paragraphs>
  <TotalTime>4</TotalTime>
  <ScaleCrop>false</ScaleCrop>
  <LinksUpToDate>false</LinksUpToDate>
  <CharactersWithSpaces>9457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2025-12-15T07:45:56Z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CD1578BBC16E46C3BD9A3C16349D83C5_13</vt:lpwstr>
  </property>
  <property fmtid="{D5CDD505-2E9C-101B-9397-08002B2CF9AE}" pid="4" name="KSOTemplateDocerSaveRecord">
    <vt:lpwstr>eyJoZGlkIjoiZDZiY2E3MTk3OWVkMDZmNDgwYmUwNDViMmIxMTA0OGYiLCJ1c2VySWQiOiIxMTQwNDY2NTAwIn0=</vt:lpwstr>
  </property>
</Properties>
</file>