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1"/>
      <w:bookmarkStart w:id="1" w:name="OLE_LINK30"/>
    </w:p>
    <w:p>
      <w:pPr>
        <w:pStyle w:val="17"/>
        <w:rPr>
          <w:rFonts w:hint="eastAsia"/>
          <w:lang w:eastAsia="zh-CN"/>
        </w:rPr>
      </w:pPr>
      <w:r>
        <w:rPr>
          <w:rFonts w:hint="eastAsia" w:ascii="Calibri" w:hAnsi="宋体" w:eastAsia="宋体" w:cs="Times New Roman"/>
          <w:b/>
          <w:bCs/>
          <w:color w:val="000000"/>
          <w:spacing w:val="-8"/>
          <w:sz w:val="48"/>
          <w:szCs w:val="44"/>
        </w:rPr>
        <w:t>济南卡车制造公司总装二部行车搬迁项目</w:t>
      </w: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编制：</w:t>
      </w:r>
    </w:p>
    <w:p>
      <w:pPr>
        <w:spacing w:line="860" w:lineRule="exact"/>
        <w:jc w:val="center"/>
        <w:rPr>
          <w:rFonts w:hint="eastAsia" w:ascii="华文仿宋" w:hAnsi="华文仿宋" w:eastAsia="华文仿宋"/>
          <w:b/>
          <w:bCs/>
          <w:sz w:val="32"/>
          <w:szCs w:val="28"/>
        </w:rPr>
      </w:pPr>
      <w:r>
        <w:rPr>
          <w:rFonts w:hint="eastAsia" w:ascii="华文仿宋" w:hAnsi="华文仿宋" w:eastAsia="华文仿宋"/>
          <w:b/>
          <w:bCs/>
          <w:sz w:val="32"/>
          <w:szCs w:val="28"/>
        </w:rPr>
        <w:t>审核：</w:t>
      </w:r>
    </w:p>
    <w:p>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批准：</w:t>
      </w:r>
    </w:p>
    <w:p>
      <w:pPr>
        <w:pStyle w:val="17"/>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人：中国重汽集团济南卡车股份有限公司制造公司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12</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4"/>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4"/>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pPr>
            <w:pStyle w:val="24"/>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pPr>
            <w:pStyle w:val="17"/>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17"/>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7"/>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9"/>
                <w:rFonts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29"/>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lang w:val="en-US"/>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济南卡车制造公司总装二部行车搬迁项目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编号：FSCZB2025120299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highlight w:val="none"/>
                <w:lang w:val="en-US"/>
              </w:rPr>
            </w:pPr>
            <w:r>
              <w:rPr>
                <w:rFonts w:hint="eastAsia" w:ascii="宋体" w:hAnsi="宋体" w:eastAsia="宋体" w:cs="宋体"/>
                <w:b/>
                <w:bCs/>
                <w:sz w:val="24"/>
                <w:szCs w:val="24"/>
                <w:highlight w:val="none"/>
              </w:rPr>
              <w:t>招标内容：</w:t>
            </w:r>
            <w:r>
              <w:rPr>
                <w:rFonts w:hint="eastAsia" w:ascii="宋体" w:hAnsi="宋体" w:eastAsia="宋体" w:cs="宋体"/>
                <w:sz w:val="24"/>
                <w:szCs w:val="24"/>
                <w:u w:val="single"/>
                <w:lang w:val="en-US" w:eastAsia="zh-CN"/>
              </w:rPr>
              <w:t>新增纯水机项目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20" w:firstLineChars="200"/>
              <w:rPr>
                <w:rFonts w:hint="eastAsia"/>
              </w:rPr>
            </w:pPr>
            <w:r>
              <w:rPr>
                <w:rFonts w:hint="eastAsia"/>
              </w:rPr>
              <w:t>招标人名称：中国重汽集团济南卡车股份有限公司制造公司</w:t>
            </w:r>
          </w:p>
          <w:p>
            <w:pPr>
              <w:ind w:firstLine="420" w:firstLineChars="200"/>
              <w:rPr>
                <w:rFonts w:hint="eastAsia"/>
                <w:lang w:val="en-US" w:eastAsia="zh-CN"/>
              </w:rPr>
            </w:pPr>
            <w:r>
              <w:rPr>
                <w:rFonts w:hint="eastAsia"/>
                <w:lang w:val="en-US" w:eastAsia="zh-CN"/>
              </w:rPr>
              <w:t>技术</w:t>
            </w:r>
            <w:r>
              <w:rPr>
                <w:rFonts w:hint="eastAsia"/>
              </w:rPr>
              <w:t>联系人：李资和</w:t>
            </w:r>
          </w:p>
          <w:p>
            <w:pPr>
              <w:ind w:firstLine="420" w:firstLineChars="200"/>
              <w:rPr>
                <w:rFonts w:hint="default"/>
                <w:lang w:val="en-US" w:eastAsia="zh-CN"/>
              </w:rPr>
            </w:pPr>
            <w:r>
              <w:rPr>
                <w:rFonts w:hint="eastAsia"/>
              </w:rPr>
              <w:t>电话：13954157375</w:t>
            </w:r>
          </w:p>
          <w:p>
            <w:pPr>
              <w:ind w:firstLine="420" w:firstLineChars="200"/>
              <w:rPr>
                <w:rFonts w:hint="eastAsia"/>
              </w:rPr>
            </w:pPr>
            <w:r>
              <w:rPr>
                <w:rFonts w:hint="eastAsia"/>
                <w:lang w:val="en-US" w:eastAsia="zh-CN"/>
              </w:rPr>
              <w:t>邮箱</w:t>
            </w:r>
            <w:r>
              <w:rPr>
                <w:rFonts w:hint="eastAsia"/>
              </w:rPr>
              <w:t>：</w:t>
            </w:r>
            <w:r>
              <w:rPr>
                <w:rFonts w:hint="eastAsia"/>
              </w:rPr>
              <w:fldChar w:fldCharType="begin"/>
            </w:r>
            <w:r>
              <w:rPr>
                <w:rFonts w:hint="eastAsia"/>
              </w:rPr>
              <w:instrText xml:space="preserve"> HYPERLINK "mailto:lizihe@sinotruk.com" </w:instrText>
            </w:r>
            <w:r>
              <w:rPr>
                <w:rFonts w:hint="eastAsia"/>
              </w:rPr>
              <w:fldChar w:fldCharType="separate"/>
            </w:r>
            <w:r>
              <w:rPr>
                <w:rStyle w:val="44"/>
                <w:rFonts w:hint="eastAsia"/>
              </w:rPr>
              <w:t>lizihe@sinotruk.com</w:t>
            </w:r>
            <w:r>
              <w:rPr>
                <w:rFonts w:hint="eastAsia"/>
              </w:rPr>
              <w:fldChar w:fldCharType="end"/>
            </w:r>
          </w:p>
          <w:p>
            <w:pPr>
              <w:ind w:firstLine="420" w:firstLineChars="200"/>
              <w:rPr>
                <w:rFonts w:hint="eastAsia"/>
                <w:lang w:val="en-US" w:eastAsia="zh-CN"/>
              </w:rPr>
            </w:pPr>
            <w:r>
              <w:rPr>
                <w:rFonts w:hint="eastAsia"/>
                <w:lang w:val="en-US" w:eastAsia="zh-CN"/>
              </w:rPr>
              <w:t>商务联系人：赵力</w:t>
            </w:r>
          </w:p>
          <w:p>
            <w:pPr>
              <w:ind w:firstLine="420" w:firstLineChars="200"/>
              <w:rPr>
                <w:rFonts w:hint="default"/>
                <w:lang w:val="en-US" w:eastAsia="zh-CN"/>
              </w:rPr>
            </w:pPr>
            <w:r>
              <w:rPr>
                <w:rFonts w:hint="eastAsia"/>
                <w:lang w:val="en-US" w:eastAsia="zh-CN"/>
              </w:rPr>
              <w:t>电话：17860606595</w:t>
            </w:r>
          </w:p>
          <w:p>
            <w:pPr>
              <w:ind w:firstLine="420" w:firstLineChars="200"/>
              <w:rPr>
                <w:rFonts w:hint="eastAsia"/>
                <w:lang w:val="en-US" w:eastAsia="zh-CN"/>
              </w:rPr>
            </w:pPr>
            <w:r>
              <w:rPr>
                <w:rFonts w:hint="eastAsia"/>
                <w:lang w:val="en-US" w:eastAsia="zh-CN"/>
              </w:rPr>
              <w:t>邮箱：zhaoli@sinotruk.com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pPr>
              <w:pStyle w:val="17"/>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color w:val="auto"/>
                <w:sz w:val="24"/>
                <w:szCs w:val="24"/>
                <w:highlight w:val="none"/>
                <w:lang w:val="en-US" w:eastAsia="zh-CN"/>
              </w:rPr>
              <w:t>17.190000</w:t>
            </w:r>
            <w:r>
              <w:rPr>
                <w:rFonts w:hint="eastAsia" w:hAnsi="宋体" w:eastAsia="宋体" w:cs="Times New Roman"/>
                <w:color w:val="000000"/>
                <w:sz w:val="24"/>
                <w:szCs w:val="24"/>
                <w:highlight w:val="none"/>
                <w:lang w:val="en-US" w:eastAsia="zh-CN"/>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ascii="宋体" w:hAnsi="宋体" w:cs="宋体"/>
                <w:b/>
                <w:bCs/>
                <w:color w:val="000000"/>
                <w:sz w:val="24"/>
                <w:szCs w:val="24"/>
              </w:rPr>
            </w:pPr>
            <w:r>
              <w:rPr>
                <w:rFonts w:hint="eastAsia" w:hAnsi="宋体" w:eastAsia="宋体" w:cs="宋体"/>
                <w:b/>
                <w:bCs/>
                <w:color w:val="000000"/>
                <w:sz w:val="24"/>
                <w:szCs w:val="24"/>
              </w:rPr>
              <w:t>投标人条件：</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cs="宋体"/>
                <w:b/>
                <w:bCs/>
                <w:sz w:val="24"/>
                <w:szCs w:val="24"/>
              </w:rPr>
            </w:pPr>
            <w:r>
              <w:rPr>
                <w:rFonts w:ascii="宋体" w:hAnsi="宋体" w:cs="宋体"/>
                <w:b/>
                <w:bCs/>
                <w:color w:val="000000"/>
                <w:sz w:val="24"/>
                <w:szCs w:val="24"/>
              </w:rPr>
              <w:t>1</w:t>
            </w:r>
            <w:r>
              <w:rPr>
                <w:rFonts w:hint="eastAsia" w:ascii="宋体" w:hAnsi="宋体" w:cs="宋体"/>
                <w:b/>
                <w:bCs/>
                <w:sz w:val="24"/>
                <w:szCs w:val="24"/>
              </w:rPr>
              <w:t>、公司注册资本不少于</w:t>
            </w:r>
            <w:r>
              <w:rPr>
                <w:rFonts w:hint="eastAsia" w:ascii="宋体" w:hAnsi="宋体" w:cs="宋体"/>
                <w:b/>
                <w:bCs/>
                <w:sz w:val="24"/>
                <w:szCs w:val="24"/>
                <w:lang w:val="en-US" w:eastAsia="zh-CN"/>
              </w:rPr>
              <w:t>3</w:t>
            </w:r>
            <w:r>
              <w:rPr>
                <w:rFonts w:ascii="宋体" w:hAnsi="宋体" w:cs="宋体"/>
                <w:b/>
                <w:bCs/>
                <w:sz w:val="24"/>
                <w:szCs w:val="24"/>
                <w:u w:val="single"/>
              </w:rPr>
              <w:t>00</w:t>
            </w:r>
            <w:r>
              <w:rPr>
                <w:rFonts w:hint="eastAsia" w:ascii="宋体" w:hAnsi="宋体" w:cs="宋体"/>
                <w:b/>
                <w:bCs/>
                <w:sz w:val="24"/>
                <w:szCs w:val="24"/>
              </w:rPr>
              <w:t>万元（人民币）；</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b/>
                <w:bCs/>
                <w:color w:val="000000"/>
                <w:sz w:val="24"/>
                <w:szCs w:val="24"/>
                <w:lang w:eastAsia="zh-CN"/>
              </w:rPr>
            </w:pPr>
            <w:r>
              <w:rPr>
                <w:rFonts w:ascii="宋体" w:hAnsi="宋体"/>
                <w:b/>
                <w:bCs/>
                <w:color w:val="000000"/>
                <w:sz w:val="24"/>
                <w:szCs w:val="24"/>
              </w:rPr>
              <w:t>2</w:t>
            </w:r>
            <w:r>
              <w:rPr>
                <w:rFonts w:hint="eastAsia" w:ascii="宋体" w:hAnsi="宋体"/>
                <w:b/>
                <w:bCs/>
                <w:color w:val="000000"/>
                <w:sz w:val="24"/>
                <w:szCs w:val="24"/>
              </w:rPr>
              <w:t>、</w:t>
            </w:r>
            <w:r>
              <w:rPr>
                <w:rFonts w:hint="eastAsia" w:ascii="宋体" w:hAnsi="宋体"/>
                <w:b/>
                <w:bCs/>
                <w:color w:val="000000"/>
                <w:sz w:val="24"/>
                <w:szCs w:val="24"/>
                <w:lang w:val="en-US" w:eastAsia="zh-CN"/>
              </w:rPr>
              <w:t>公司需成立两年以上，或</w:t>
            </w:r>
            <w:r>
              <w:rPr>
                <w:rFonts w:hint="eastAsia" w:ascii="宋体" w:hAnsi="宋体" w:cs="宋体"/>
                <w:b/>
                <w:bCs/>
                <w:color w:val="000000"/>
                <w:sz w:val="24"/>
                <w:szCs w:val="24"/>
                <w:shd w:val="clear" w:color="auto" w:fill="FCFCFC"/>
              </w:rPr>
              <w:t>有相关工作经历</w:t>
            </w:r>
            <w:r>
              <w:rPr>
                <w:rFonts w:hint="eastAsia" w:ascii="宋体" w:hAnsi="宋体" w:cs="宋体"/>
                <w:b/>
                <w:bCs/>
                <w:color w:val="000000"/>
                <w:sz w:val="24"/>
                <w:szCs w:val="24"/>
                <w:shd w:val="clear" w:color="auto" w:fill="FCFCFC"/>
                <w:lang w:val="en-US" w:eastAsia="zh-CN"/>
              </w:rPr>
              <w:t>和</w:t>
            </w:r>
            <w:r>
              <w:rPr>
                <w:rFonts w:hint="eastAsia" w:ascii="宋体" w:hAnsi="宋体" w:cs="宋体"/>
                <w:b/>
                <w:bCs/>
                <w:color w:val="000000"/>
                <w:sz w:val="24"/>
                <w:szCs w:val="24"/>
                <w:shd w:val="clear" w:color="auto" w:fill="FCFCFC"/>
              </w:rPr>
              <w:t>成功的工程案例；</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cs="宋体"/>
                <w:b/>
                <w:bCs/>
                <w:sz w:val="24"/>
                <w:szCs w:val="24"/>
              </w:rPr>
            </w:pPr>
            <w:r>
              <w:rPr>
                <w:rFonts w:ascii="宋体" w:hAnsi="宋体" w:cs="宋体"/>
                <w:b/>
                <w:bCs/>
                <w:sz w:val="24"/>
                <w:szCs w:val="24"/>
              </w:rPr>
              <w:t>3</w:t>
            </w:r>
            <w:r>
              <w:rPr>
                <w:rFonts w:hint="eastAsia" w:ascii="宋体" w:hAnsi="宋体" w:cs="宋体"/>
                <w:b/>
                <w:bCs/>
                <w:sz w:val="24"/>
                <w:szCs w:val="24"/>
              </w:rPr>
              <w:t>、在社会上和重汽集团内的其它招标过程中没有不良行为记录；无招标违规、谎报年度报告信息、提供虚假资质资料等行为和行政处罚记录；</w:t>
            </w:r>
          </w:p>
          <w:p>
            <w:pPr>
              <w:pStyle w:val="2"/>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b/>
                <w:bCs/>
                <w:sz w:val="24"/>
                <w:szCs w:val="24"/>
              </w:rPr>
            </w:pPr>
            <w:r>
              <w:rPr>
                <w:rFonts w:ascii="宋体" w:hAnsi="宋体" w:cs="宋体"/>
                <w:b/>
                <w:bCs/>
                <w:sz w:val="24"/>
                <w:szCs w:val="24"/>
              </w:rPr>
              <w:t>4</w:t>
            </w:r>
            <w:r>
              <w:rPr>
                <w:rFonts w:hint="eastAsia" w:ascii="宋体" w:hAnsi="宋体" w:cs="宋体"/>
                <w:b/>
                <w:bCs/>
                <w:sz w:val="24"/>
                <w:szCs w:val="24"/>
              </w:rPr>
              <w:t>、公司财务良好，经营稳定，有全面履约的能力；供方之间有良好的竞争关系；</w:t>
            </w:r>
          </w:p>
          <w:p>
            <w:pPr>
              <w:pStyle w:val="2"/>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ascii="宋体" w:cs="宋体"/>
                <w:b/>
                <w:bCs/>
                <w:sz w:val="24"/>
                <w:szCs w:val="24"/>
              </w:rPr>
            </w:pPr>
            <w:r>
              <w:rPr>
                <w:rFonts w:ascii="宋体" w:hAnsi="宋体" w:cs="宋体"/>
                <w:b/>
                <w:bCs/>
                <w:sz w:val="24"/>
                <w:szCs w:val="24"/>
              </w:rPr>
              <w:t>5</w:t>
            </w:r>
            <w:r>
              <w:rPr>
                <w:rFonts w:hint="eastAsia" w:ascii="宋体" w:hAnsi="宋体" w:cs="宋体"/>
                <w:b/>
                <w:bCs/>
                <w:sz w:val="24"/>
                <w:szCs w:val="24"/>
              </w:rPr>
              <w:t>、</w:t>
            </w:r>
            <w:r>
              <w:rPr>
                <w:rFonts w:hint="eastAsia" w:ascii="宋体" w:hAnsi="宋体" w:cs="宋体"/>
                <w:b/>
                <w:bCs/>
                <w:color w:val="000000"/>
                <w:kern w:val="0"/>
                <w:sz w:val="24"/>
                <w:szCs w:val="24"/>
              </w:rPr>
              <w:t>投标单位应具有良好的商业信誉，没有被处于责令停产、财产被冻结、接管、破产、且财务状况良好。投标单位未在“信用中国”网站（</w:t>
            </w:r>
            <w:r>
              <w:rPr>
                <w:rFonts w:ascii="宋体" w:hAnsi="宋体" w:cs="宋体"/>
                <w:b/>
                <w:bCs/>
                <w:color w:val="000000"/>
                <w:kern w:val="0"/>
                <w:sz w:val="24"/>
                <w:szCs w:val="24"/>
              </w:rPr>
              <w:t>www.creditchina.gov.cn</w:t>
            </w:r>
            <w:r>
              <w:rPr>
                <w:rFonts w:hint="eastAsia" w:ascii="宋体" w:hAnsi="宋体" w:cs="宋体"/>
                <w:b/>
                <w:bCs/>
                <w:color w:val="000000"/>
                <w:kern w:val="0"/>
                <w:sz w:val="24"/>
                <w:szCs w:val="24"/>
              </w:rPr>
              <w:t>）或各级信用信息共享平台列入失信被执行人名单。</w:t>
            </w:r>
          </w:p>
          <w:p>
            <w:pPr>
              <w:pStyle w:val="3"/>
              <w:keepNext w:val="0"/>
              <w:keepLines w:val="0"/>
              <w:pageBreakBefore w:val="0"/>
              <w:widowControl w:val="0"/>
              <w:kinsoku/>
              <w:wordWrap/>
              <w:overflowPunct/>
              <w:topLinePunct w:val="0"/>
              <w:bidi w:val="0"/>
              <w:adjustRightInd w:val="0"/>
              <w:snapToGrid w:val="0"/>
              <w:spacing w:line="360" w:lineRule="auto"/>
              <w:textAlignment w:val="auto"/>
              <w:rPr>
                <w:rFonts w:ascii="宋体" w:cs="宋体"/>
                <w:b/>
                <w:bCs/>
                <w:sz w:val="24"/>
                <w:szCs w:val="24"/>
              </w:rPr>
            </w:pPr>
            <w:r>
              <w:rPr>
                <w:rFonts w:ascii="宋体" w:hAnsi="宋体" w:cs="宋体"/>
                <w:b/>
                <w:bCs/>
                <w:sz w:val="24"/>
                <w:szCs w:val="24"/>
              </w:rPr>
              <w:t>6</w:t>
            </w:r>
            <w:r>
              <w:rPr>
                <w:rFonts w:hint="eastAsia" w:ascii="宋体" w:hAnsi="宋体" w:cs="宋体"/>
                <w:b/>
                <w:bCs/>
                <w:sz w:val="24"/>
                <w:szCs w:val="24"/>
              </w:rPr>
              <w:t>、投标方的直接或间接股东、法定代表人、董事、监事、高管非重汽员工及其亲属；</w:t>
            </w:r>
          </w:p>
          <w:p>
            <w:pPr>
              <w:pStyle w:val="3"/>
              <w:keepNext w:val="0"/>
              <w:keepLines w:val="0"/>
              <w:pageBreakBefore w:val="0"/>
              <w:widowControl w:val="0"/>
              <w:kinsoku/>
              <w:wordWrap/>
              <w:overflowPunct/>
              <w:topLinePunct w:val="0"/>
              <w:bidi w:val="0"/>
              <w:adjustRightInd w:val="0"/>
              <w:snapToGrid w:val="0"/>
              <w:spacing w:line="360" w:lineRule="auto"/>
              <w:textAlignment w:val="auto"/>
              <w:rPr>
                <w:rFonts w:ascii="宋体" w:cs="宋体"/>
                <w:b/>
                <w:bCs/>
                <w:sz w:val="24"/>
                <w:szCs w:val="24"/>
              </w:rPr>
            </w:pPr>
            <w:r>
              <w:rPr>
                <w:rFonts w:ascii="宋体" w:hAnsi="宋体" w:cs="宋体"/>
                <w:b/>
                <w:bCs/>
                <w:sz w:val="24"/>
                <w:szCs w:val="24"/>
              </w:rPr>
              <w:t>7</w:t>
            </w:r>
            <w:r>
              <w:rPr>
                <w:rFonts w:hint="eastAsia" w:ascii="宋体" w:hAnsi="宋体" w:cs="宋体"/>
                <w:b/>
                <w:bCs/>
                <w:sz w:val="24"/>
                <w:szCs w:val="24"/>
              </w:rPr>
              <w:t>、应签订“安全协议书”明确双方安全责任与义务；严禁拍照；</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cs="宋体"/>
                <w:b/>
                <w:bCs/>
                <w:sz w:val="24"/>
                <w:szCs w:val="24"/>
              </w:rPr>
            </w:pPr>
            <w:r>
              <w:rPr>
                <w:rFonts w:ascii="宋体" w:hAnsi="宋体" w:cs="宋体"/>
                <w:b/>
                <w:bCs/>
                <w:sz w:val="24"/>
                <w:szCs w:val="24"/>
              </w:rPr>
              <w:t>8</w:t>
            </w:r>
            <w:r>
              <w:rPr>
                <w:rFonts w:hint="eastAsia" w:ascii="宋体" w:hAnsi="宋体" w:cs="宋体"/>
                <w:b/>
                <w:bCs/>
                <w:sz w:val="24"/>
                <w:szCs w:val="24"/>
              </w:rPr>
              <w:t>、维修队伍中主要作业人员必须具有</w:t>
            </w:r>
            <w:r>
              <w:rPr>
                <w:rFonts w:hint="eastAsia" w:ascii="宋体" w:hAnsi="宋体" w:cs="宋体"/>
                <w:b/>
                <w:bCs/>
                <w:color w:val="000000"/>
                <w:sz w:val="24"/>
                <w:szCs w:val="24"/>
              </w:rPr>
              <w:t>合规的特种设备作业人员证，主要负责人应持有特种设备安全管理人员证</w:t>
            </w:r>
            <w:r>
              <w:rPr>
                <w:rFonts w:hint="eastAsia" w:ascii="宋体" w:hAnsi="宋体" w:cs="宋体"/>
                <w:b/>
                <w:bCs/>
                <w:sz w:val="24"/>
                <w:szCs w:val="24"/>
              </w:rPr>
              <w:t>；危险作业（登高、动火、临时线等）应经审批后实施。</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9、</w:t>
            </w:r>
            <w:r>
              <w:rPr>
                <w:rFonts w:hint="eastAsia" w:ascii="宋体" w:hAnsi="宋体" w:cs="宋体"/>
                <w:b/>
                <w:bCs/>
                <w:sz w:val="24"/>
                <w:szCs w:val="24"/>
              </w:rPr>
              <w:t>招标采购项目采用供应商直销模式进行采购，原则上不允许代理商投标</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hAnsi="宋体" w:eastAsia="宋体" w:cs="宋体"/>
                <w:color w:val="000000"/>
                <w:sz w:val="24"/>
                <w:szCs w:val="24"/>
                <w:highlight w:val="none"/>
              </w:rPr>
            </w:pPr>
            <w:r>
              <w:rPr>
                <w:rFonts w:hint="eastAsia" w:ascii="宋体" w:hAnsi="宋体" w:cs="宋体"/>
                <w:b/>
                <w:bCs/>
                <w:sz w:val="24"/>
                <w:szCs w:val="24"/>
                <w:lang w:val="en-US" w:eastAsia="zh-CN"/>
              </w:rPr>
              <w:t>10、投标方需具备起重机械安装（含修理）B级及以上资质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23</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28</w:t>
            </w:r>
            <w:r>
              <w:rPr>
                <w:rFonts w:hint="eastAsia" w:ascii="宋体" w:hAnsi="宋体" w:eastAsia="宋体" w:cs="宋体"/>
                <w:bCs/>
                <w:sz w:val="24"/>
                <w:szCs w:val="24"/>
                <w:highlight w:val="yellow"/>
              </w:rPr>
              <w:t>日17:00前；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12</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28</w:t>
            </w:r>
            <w:r>
              <w:rPr>
                <w:rFonts w:hint="eastAsia" w:ascii="宋体" w:hAnsi="宋体" w:eastAsia="宋体" w:cs="宋体"/>
                <w:sz w:val="24"/>
                <w:szCs w:val="24"/>
                <w:highlight w:val="yellow"/>
              </w:rPr>
              <w:t>日1</w:t>
            </w: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hint="eastAsia" w:eastAsia="宋体" w:cs="宋体"/>
                <w:highlight w:val="yellow"/>
                <w:lang w:val="en-US" w:eastAsia="zh-CN"/>
              </w:rPr>
              <w:t>12</w:t>
            </w:r>
            <w:r>
              <w:rPr>
                <w:rFonts w:hint="eastAsia" w:eastAsia="宋体" w:cs="宋体"/>
                <w:highlight w:val="yellow"/>
              </w:rPr>
              <w:t>月</w:t>
            </w:r>
            <w:r>
              <w:rPr>
                <w:rFonts w:hint="eastAsia" w:eastAsia="宋体" w:cs="宋体"/>
                <w:highlight w:val="yellow"/>
                <w:lang w:val="en-US" w:eastAsia="zh-CN"/>
              </w:rPr>
              <w:t>28</w:t>
            </w:r>
            <w:r>
              <w:rPr>
                <w:rFonts w:hint="eastAsia" w:eastAsia="宋体" w:cs="宋体"/>
                <w:highlight w:val="yellow"/>
              </w:rPr>
              <w:t>日</w:t>
            </w:r>
            <w:r>
              <w:rPr>
                <w:rFonts w:hint="eastAsia" w:eastAsia="宋体" w:cs="宋体"/>
                <w:highlight w:val="yellow"/>
                <w:lang w:val="en-US" w:eastAsia="zh-CN"/>
              </w:rPr>
              <w:t>17时00分00秒</w:t>
            </w:r>
          </w:p>
          <w:p>
            <w:pPr>
              <w:pStyle w:val="112"/>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本次招标不需要提交纸质版文件，应标、投标均在中国重汽e采通平台应标投标。</w:t>
            </w:r>
            <w:r>
              <w:rPr>
                <w:rFonts w:hint="eastAsia" w:eastAsia="宋体" w:cs="宋体"/>
                <w:b/>
                <w:bCs w:val="0"/>
                <w:color w:val="auto"/>
                <w:sz w:val="24"/>
                <w:szCs w:val="24"/>
                <w:highlight w:val="yellow"/>
                <w:lang w:val="en-US" w:eastAsia="zh-CN"/>
              </w:rPr>
              <w:t>操作方式参考附件15、16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6</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1</w:t>
            </w:r>
            <w:r>
              <w:rPr>
                <w:rFonts w:hint="eastAsia" w:ascii="宋体" w:hAnsi="宋体" w:eastAsia="宋体" w:cs="宋体"/>
                <w:sz w:val="24"/>
                <w:szCs w:val="24"/>
                <w:highlight w:val="yellow"/>
              </w:rPr>
              <w:t>月</w:t>
            </w:r>
            <w:r>
              <w:rPr>
                <w:rFonts w:hint="eastAsia" w:hAnsi="宋体" w:eastAsia="宋体" w:cs="宋体"/>
                <w:sz w:val="24"/>
                <w:szCs w:val="24"/>
                <w:highlight w:val="yellow"/>
                <w:lang w:val="en-US" w:eastAsia="zh-CN"/>
              </w:rPr>
              <w:t>2</w:t>
            </w:r>
            <w:r>
              <w:rPr>
                <w:rFonts w:hint="eastAsia" w:ascii="宋体" w:hAnsi="宋体" w:eastAsia="宋体" w:cs="宋体"/>
                <w:sz w:val="24"/>
                <w:szCs w:val="24"/>
                <w:highlight w:val="yellow"/>
              </w:rPr>
              <w:t>日</w:t>
            </w:r>
            <w:r>
              <w:rPr>
                <w:rFonts w:hint="eastAsia" w:hAnsi="宋体" w:eastAsia="宋体" w:cs="宋体"/>
                <w:kern w:val="0"/>
                <w:sz w:val="24"/>
                <w:szCs w:val="24"/>
                <w:highlight w:val="yellow"/>
                <w:lang w:val="en-US" w:eastAsia="zh-CN"/>
              </w:rPr>
              <w:t>17</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17"/>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keepNext w:val="0"/>
              <w:keepLines w:val="0"/>
              <w:pageBreakBefore w:val="0"/>
              <w:widowControl/>
              <w:kinsoku/>
              <w:wordWrap/>
              <w:overflowPunct/>
              <w:topLinePunct w:val="0"/>
              <w:autoSpaceDE/>
              <w:autoSpaceDN/>
              <w:bidi w:val="0"/>
              <w:adjustRightInd/>
              <w:snapToGrid w:val="0"/>
              <w:spacing w:after="0" w:line="360" w:lineRule="auto"/>
              <w:ind w:firstLine="420" w:firstLineChars="200"/>
              <w:textAlignment w:val="auto"/>
              <w:rPr>
                <w:rFonts w:hint="eastAsia" w:ascii="宋体" w:hAnsi="宋体" w:cs="宋体"/>
                <w:color w:val="FF0000"/>
                <w:sz w:val="21"/>
                <w:szCs w:val="21"/>
                <w:lang w:val="en-US" w:eastAsia="zh-CN"/>
              </w:rPr>
            </w:pPr>
            <w:r>
              <w:rPr>
                <w:rFonts w:hint="eastAsia" w:ascii="宋体" w:hAnsi="宋体" w:cs="宋体"/>
                <w:color w:val="auto"/>
                <w:sz w:val="21"/>
                <w:szCs w:val="21"/>
                <w:lang w:val="en-US" w:eastAsia="zh-CN"/>
              </w:rPr>
              <w:t>招标文件的获取以报名单位通过资质审核并缴纳投标保证金之后，招标项目联系人通过微信形式发送投标人。（投标人应提交人民币</w:t>
            </w:r>
            <w:r>
              <w:rPr>
                <w:rFonts w:hint="eastAsia" w:ascii="宋体" w:hAnsi="宋体" w:cs="宋体"/>
                <w:color w:val="FF0000"/>
                <w:sz w:val="21"/>
                <w:szCs w:val="21"/>
                <w:u w:val="single"/>
                <w:lang w:val="en-US" w:eastAsia="zh-CN"/>
              </w:rPr>
              <w:t>伍仟元</w:t>
            </w:r>
            <w:r>
              <w:rPr>
                <w:rFonts w:hint="eastAsia" w:ascii="宋体" w:hAnsi="宋体" w:cs="宋体"/>
                <w:color w:val="auto"/>
                <w:sz w:val="21"/>
                <w:szCs w:val="21"/>
                <w:lang w:val="en-US" w:eastAsia="zh-CN"/>
              </w:rPr>
              <w:t>投标保证金，并在保证金上注明项目名称，并截图发给招标联系人，</w:t>
            </w:r>
            <w:r>
              <w:rPr>
                <w:rFonts w:hint="eastAsia" w:ascii="宋体" w:hAnsi="宋体" w:cs="宋体"/>
                <w:color w:val="FF0000"/>
                <w:sz w:val="21"/>
                <w:szCs w:val="21"/>
                <w:lang w:val="en-US" w:eastAsia="zh-CN"/>
              </w:rPr>
              <w:t>李工：13954157375微信同号）</w:t>
            </w:r>
          </w:p>
          <w:p>
            <w:pPr>
              <w:pStyle w:val="2"/>
              <w:keepNext w:val="0"/>
              <w:keepLines w:val="0"/>
              <w:pageBreakBefore w:val="0"/>
              <w:widowControl/>
              <w:kinsoku/>
              <w:wordWrap/>
              <w:overflowPunct/>
              <w:topLinePunct w:val="0"/>
              <w:autoSpaceDE/>
              <w:autoSpaceDN/>
              <w:bidi w:val="0"/>
              <w:adjustRightInd/>
              <w:snapToGrid w:val="0"/>
              <w:spacing w:after="0" w:line="360" w:lineRule="auto"/>
              <w:textAlignment w:val="auto"/>
              <w:rPr>
                <w:rFonts w:hint="eastAsia" w:ascii="宋体" w:hAnsi="宋体" w:cs="宋体"/>
                <w:color w:val="FF0000"/>
                <w:sz w:val="21"/>
                <w:szCs w:val="21"/>
                <w:lang w:val="en-US" w:eastAsia="zh-CN"/>
              </w:rPr>
            </w:pPr>
            <w:r>
              <w:rPr>
                <w:rFonts w:hint="eastAsia" w:ascii="宋体" w:hAnsi="宋体" w:cs="宋体"/>
                <w:color w:val="FF0000"/>
                <w:sz w:val="21"/>
                <w:szCs w:val="21"/>
                <w:lang w:val="en-US" w:eastAsia="zh-CN"/>
              </w:rPr>
              <w:t>账号：531900051810601</w:t>
            </w:r>
            <w:r>
              <w:rPr>
                <w:rFonts w:hint="eastAsia" w:ascii="宋体" w:hAnsi="宋体" w:cs="宋体"/>
                <w:color w:val="FF0000"/>
                <w:sz w:val="21"/>
                <w:szCs w:val="21"/>
                <w:lang w:val="en-US" w:eastAsia="zh-CN"/>
              </w:rPr>
              <w:br w:type="textWrapping"/>
            </w:r>
            <w:r>
              <w:rPr>
                <w:rFonts w:hint="eastAsia" w:ascii="宋体" w:hAnsi="宋体" w:cs="宋体"/>
                <w:color w:val="FF0000"/>
                <w:sz w:val="21"/>
                <w:szCs w:val="21"/>
                <w:lang w:val="en-US" w:eastAsia="zh-CN"/>
              </w:rPr>
              <w:t>户名：中国重汽集团济南卡车股份有限公司</w:t>
            </w:r>
            <w:r>
              <w:rPr>
                <w:rFonts w:hint="eastAsia" w:ascii="宋体" w:hAnsi="宋体" w:cs="宋体"/>
                <w:color w:val="FF0000"/>
                <w:sz w:val="21"/>
                <w:szCs w:val="21"/>
                <w:lang w:val="en-US" w:eastAsia="zh-CN"/>
              </w:rPr>
              <w:br w:type="textWrapping"/>
            </w:r>
            <w:r>
              <w:rPr>
                <w:rFonts w:hint="eastAsia" w:ascii="宋体" w:hAnsi="宋体" w:cs="宋体"/>
                <w:color w:val="FF0000"/>
                <w:sz w:val="21"/>
                <w:szCs w:val="21"/>
                <w:lang w:val="en-US" w:eastAsia="zh-CN"/>
              </w:rPr>
              <w:t>开户银行：招商银行股份有限公司济南分行营业部</w:t>
            </w:r>
            <w:r>
              <w:rPr>
                <w:rFonts w:hint="eastAsia" w:ascii="宋体" w:hAnsi="宋体" w:cs="宋体"/>
                <w:color w:val="FF0000"/>
                <w:sz w:val="21"/>
                <w:szCs w:val="21"/>
                <w:lang w:val="en-US" w:eastAsia="zh-CN"/>
              </w:rPr>
              <w:br w:type="textWrapping"/>
            </w:r>
            <w:r>
              <w:rPr>
                <w:rFonts w:hint="eastAsia" w:ascii="宋体" w:hAnsi="宋体" w:cs="宋体"/>
                <w:color w:val="FF0000"/>
                <w:sz w:val="21"/>
                <w:szCs w:val="21"/>
                <w:lang w:val="en-US" w:eastAsia="zh-CN"/>
              </w:rPr>
              <w:t>联行号：308451028020 投标保证金等需要支付到此账号</w:t>
            </w:r>
          </w:p>
          <w:p>
            <w:pPr>
              <w:pStyle w:val="2"/>
              <w:keepNext w:val="0"/>
              <w:keepLines w:val="0"/>
              <w:pageBreakBefore w:val="0"/>
              <w:widowControl/>
              <w:kinsoku/>
              <w:wordWrap/>
              <w:overflowPunct/>
              <w:topLinePunct w:val="0"/>
              <w:autoSpaceDE/>
              <w:autoSpaceDN/>
              <w:bidi w:val="0"/>
              <w:adjustRightInd/>
              <w:snapToGrid w:val="0"/>
              <w:spacing w:after="0" w:line="360" w:lineRule="auto"/>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在摘要、用途或备注上明确项目名称：如下</w:t>
            </w:r>
          </w:p>
          <w:p>
            <w:pPr>
              <w:pStyle w:val="2"/>
              <w:keepNext w:val="0"/>
              <w:keepLines w:val="0"/>
              <w:pageBreakBefore w:val="0"/>
              <w:widowControl/>
              <w:kinsoku/>
              <w:wordWrap/>
              <w:overflowPunct/>
              <w:topLinePunct w:val="0"/>
              <w:autoSpaceDE/>
              <w:autoSpaceDN/>
              <w:bidi w:val="0"/>
              <w:adjustRightInd/>
              <w:snapToGrid w:val="0"/>
              <w:spacing w:after="0" w:line="360" w:lineRule="auto"/>
              <w:textAlignment w:val="auto"/>
              <w:rPr>
                <w:rFonts w:hint="eastAsia" w:ascii="宋体" w:hAnsi="宋体" w:cs="宋体"/>
                <w:color w:val="FF0000"/>
                <w:sz w:val="21"/>
                <w:szCs w:val="21"/>
                <w:lang w:val="en-US" w:eastAsia="zh-CN"/>
              </w:rPr>
            </w:pPr>
            <w:r>
              <w:rPr>
                <w:rFonts w:hint="eastAsia" w:ascii="宋体" w:hAnsi="宋体" w:cs="宋体"/>
                <w:color w:val="FF0000"/>
                <w:sz w:val="21"/>
                <w:szCs w:val="21"/>
                <w:lang w:val="en-US" w:eastAsia="zh-CN"/>
              </w:rPr>
              <w:t>电子回单请注明（设备动能部--济南卡车制造公司总装二部行车搬迁项目投标保证金）</w:t>
            </w:r>
          </w:p>
          <w:p>
            <w:pPr>
              <w:pStyle w:val="2"/>
              <w:keepNext w:val="0"/>
              <w:keepLines w:val="0"/>
              <w:pageBreakBefore w:val="0"/>
              <w:widowControl/>
              <w:kinsoku/>
              <w:wordWrap/>
              <w:overflowPunct/>
              <w:topLinePunct w:val="0"/>
              <w:autoSpaceDE/>
              <w:autoSpaceDN/>
              <w:bidi w:val="0"/>
              <w:adjustRightInd/>
              <w:snapToGrid w:val="0"/>
              <w:spacing w:after="0" w:line="360" w:lineRule="auto"/>
              <w:textAlignment w:val="auto"/>
              <w:rPr>
                <w:rFonts w:hint="eastAsia" w:ascii="宋体" w:hAnsi="宋体" w:cs="宋体"/>
                <w:color w:val="FF0000"/>
                <w:sz w:val="21"/>
                <w:szCs w:val="21"/>
                <w:lang w:val="en-US" w:eastAsia="zh-CN"/>
              </w:rPr>
            </w:pPr>
            <w:r>
              <w:rPr>
                <w:rFonts w:hint="eastAsia" w:ascii="宋体" w:hAnsi="宋体" w:cs="宋体"/>
                <w:color w:val="auto"/>
                <w:sz w:val="21"/>
                <w:szCs w:val="21"/>
                <w:lang w:val="en-US" w:eastAsia="zh-CN"/>
              </w:rPr>
              <w:t>注：</w:t>
            </w:r>
            <w:r>
              <w:rPr>
                <w:rFonts w:hint="eastAsia" w:ascii="宋体" w:hAnsi="宋体" w:cs="宋体"/>
                <w:color w:val="FF0000"/>
                <w:sz w:val="21"/>
                <w:szCs w:val="21"/>
                <w:lang w:val="en-US" w:eastAsia="zh-CN"/>
              </w:rPr>
              <w:t>经应标审核通过后，投标厂家在两天内交投标保证金，需从对方单位账户转出，如无保证金的备注，保证金将无法退回。</w:t>
            </w:r>
          </w:p>
          <w:p>
            <w:pPr>
              <w:ind w:firstLine="480" w:firstLineChars="200"/>
              <w:rPr>
                <w:rFonts w:hint="eastAsia" w:ascii="宋体" w:hAnsi="宋体" w:eastAsia="宋体" w:cs="宋体"/>
                <w:sz w:val="24"/>
                <w:szCs w:val="24"/>
                <w:highlight w:val="cyan"/>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5"/>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日1</w:t>
            </w:r>
            <w:r>
              <w:rPr>
                <w:rFonts w:hint="eastAsia" w:ascii="宋体" w:hAnsi="宋体" w:cs="宋体"/>
                <w:sz w:val="24"/>
                <w:szCs w:val="24"/>
                <w:highlight w:val="yellow"/>
                <w:lang w:val="en-US" w:eastAsia="zh-CN"/>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p>
          <w:p>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3</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r>
              <w:rPr>
                <w:rFonts w:hint="eastAsia" w:ascii="宋体" w:hAnsi="宋体" w:eastAsia="宋体" w:cs="宋体"/>
                <w:kern w:val="0"/>
                <w:sz w:val="24"/>
                <w:szCs w:val="24"/>
                <w:highlight w:val="yellow"/>
                <w:lang w:eastAsia="zh-CN"/>
              </w:rPr>
              <w:t>（</w:t>
            </w:r>
            <w:r>
              <w:rPr>
                <w:rFonts w:ascii="宋体" w:hAnsi="宋体" w:eastAsia="宋体" w:cs="宋体"/>
                <w:sz w:val="24"/>
                <w:szCs w:val="24"/>
                <w:highlight w:val="yellow"/>
              </w:rPr>
              <w:t>暂定，以实际通知为准</w:t>
            </w:r>
            <w:r>
              <w:rPr>
                <w:rFonts w:hint="eastAsia" w:ascii="宋体" w:hAnsi="宋体" w:eastAsia="宋体" w:cs="宋体"/>
                <w:kern w:val="0"/>
                <w:sz w:val="24"/>
                <w:szCs w:val="24"/>
                <w:highlight w:val="yellow"/>
                <w:lang w:eastAsia="zh-CN"/>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p>
        </w:tc>
      </w:tr>
      <w:bookmarkEnd w:id="3"/>
    </w:tbl>
    <w:p>
      <w:pPr>
        <w:pStyle w:val="17"/>
        <w:numPr>
          <w:ilvl w:val="0"/>
          <w:numId w:val="1"/>
        </w:numPr>
        <w:jc w:val="center"/>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cols w:space="720" w:num="1"/>
          <w:docGrid w:linePitch="290" w:charSpace="-3931"/>
        </w:sectPr>
      </w:pPr>
    </w:p>
    <w:p>
      <w:pPr>
        <w:pStyle w:val="17"/>
        <w:jc w:val="center"/>
        <w:outlineLvl w:val="0"/>
        <w:rPr>
          <w:rFonts w:hint="eastAsia" w:ascii="Calibri" w:hAnsi="Calibri" w:eastAsia="宋体" w:cs="Times New Roman"/>
          <w:b/>
          <w:bCs/>
          <w:kern w:val="44"/>
          <w:sz w:val="36"/>
          <w:szCs w:val="44"/>
          <w:lang w:val="en-US" w:eastAsia="zh-CN"/>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 xml:space="preserve">部分 </w:t>
      </w:r>
      <w:bookmarkEnd w:id="4"/>
      <w:r>
        <w:rPr>
          <w:rFonts w:hint="eastAsia" w:ascii="Calibri" w:hAnsi="Calibri" w:eastAsia="宋体" w:cs="Times New Roman"/>
          <w:b/>
          <w:bCs/>
          <w:kern w:val="44"/>
          <w:sz w:val="36"/>
          <w:szCs w:val="44"/>
          <w:lang w:val="en-US" w:eastAsia="zh-CN"/>
        </w:rPr>
        <w:t>技术标</w:t>
      </w:r>
    </w:p>
    <w:p>
      <w:pPr>
        <w:pStyle w:val="2"/>
        <w:ind w:firstLine="2811" w:firstLineChars="1000"/>
        <w:rPr>
          <w:rFonts w:hint="default"/>
          <w:b/>
          <w:bCs/>
          <w:sz w:val="28"/>
          <w:szCs w:val="28"/>
          <w:lang w:val="en-US" w:eastAsia="zh-CN"/>
        </w:rPr>
      </w:pPr>
      <w:r>
        <w:rPr>
          <w:rFonts w:hint="eastAsia"/>
          <w:b/>
          <w:bCs/>
          <w:sz w:val="28"/>
          <w:szCs w:val="28"/>
          <w:lang w:val="en-US" w:eastAsia="zh-CN"/>
        </w:rPr>
        <w:t>主要内容和基本要求</w:t>
      </w:r>
    </w:p>
    <w:p>
      <w:pPr>
        <w:keepNext w:val="0"/>
        <w:keepLines w:val="0"/>
        <w:pageBreakBefore w:val="0"/>
        <w:widowControl w:val="0"/>
        <w:kinsoku/>
        <w:wordWrap/>
        <w:overflowPunct/>
        <w:topLinePunct w:val="0"/>
        <w:autoSpaceDE/>
        <w:autoSpaceDN/>
        <w:bidi w:val="0"/>
        <w:adjustRightInd/>
        <w:spacing w:line="360" w:lineRule="auto"/>
        <w:textAlignment w:val="auto"/>
        <w:rPr>
          <w:rFonts w:ascii="宋体" w:cs="宋体"/>
          <w:b/>
          <w:bCs/>
          <w:highlight w:val="none"/>
        </w:rPr>
      </w:pPr>
      <w:bookmarkStart w:id="5" w:name="_Toc772"/>
      <w:r>
        <w:rPr>
          <w:rFonts w:hint="eastAsia" w:ascii="宋体" w:hAnsi="宋体" w:cs="宋体"/>
          <w:b/>
          <w:bCs/>
          <w:highlight w:val="none"/>
          <w:lang w:val="en-US" w:eastAsia="zh-CN"/>
        </w:rPr>
        <w:t>一、</w:t>
      </w:r>
      <w:r>
        <w:rPr>
          <w:rFonts w:hint="eastAsia" w:ascii="宋体" w:hAnsi="宋体" w:cs="宋体"/>
          <w:b/>
          <w:bCs/>
          <w:highlight w:val="none"/>
        </w:rPr>
        <w:t>项目概况</w:t>
      </w:r>
      <w:bookmarkEnd w:id="5"/>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cs="宋体"/>
          <w:highlight w:val="none"/>
        </w:rPr>
      </w:pPr>
      <w:bookmarkStart w:id="6" w:name="_Toc31678"/>
      <w:r>
        <w:rPr>
          <w:rFonts w:hint="eastAsia" w:ascii="宋体" w:hAnsi="宋体" w:cs="宋体"/>
          <w:highlight w:val="none"/>
          <w:lang w:val="en-US" w:eastAsia="zh-CN"/>
        </w:rPr>
        <w:t>1、</w:t>
      </w:r>
      <w:r>
        <w:rPr>
          <w:rFonts w:hint="eastAsia" w:ascii="宋体" w:hAnsi="宋体" w:cs="宋体"/>
          <w:highlight w:val="none"/>
        </w:rPr>
        <w:t>项目名称：</w:t>
      </w:r>
      <w:bookmarkEnd w:id="6"/>
      <w:r>
        <w:rPr>
          <w:rFonts w:hint="eastAsia" w:ascii="宋体" w:hAnsi="宋体" w:cs="宋体"/>
          <w:highlight w:val="none"/>
          <w:lang w:val="en-US" w:eastAsia="zh-CN"/>
        </w:rPr>
        <w:t>济南卡车制造公司总装二部行车搬迁项目</w:t>
      </w:r>
    </w:p>
    <w:p>
      <w:pPr>
        <w:pStyle w:val="2"/>
        <w:rPr>
          <w:rFonts w:hint="default" w:eastAsiaTheme="minorEastAsia"/>
          <w:lang w:val="en-US" w:eastAsia="zh-CN"/>
        </w:rPr>
      </w:pPr>
      <w:r>
        <w:rPr>
          <w:rFonts w:hint="eastAsia" w:ascii="宋体" w:hAnsi="宋体" w:cs="宋体"/>
          <w:highlight w:val="none"/>
          <w:lang w:val="en-US" w:eastAsia="zh-CN"/>
        </w:rPr>
        <w:t xml:space="preserve">    2、项目实施单位：中国重汽集团济南卡车股份有限公司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lang w:val="en-US" w:eastAsia="zh-CN"/>
        </w:rPr>
      </w:pPr>
      <w:bookmarkStart w:id="7" w:name="_Toc10333"/>
      <w:r>
        <w:rPr>
          <w:rFonts w:hint="eastAsia" w:ascii="宋体" w:hAnsi="宋体" w:cs="宋体"/>
          <w:lang w:val="en-US" w:eastAsia="zh-CN"/>
        </w:rPr>
        <w:t>3、</w:t>
      </w:r>
      <w:r>
        <w:rPr>
          <w:rFonts w:hint="eastAsia" w:ascii="宋体" w:hAnsi="宋体" w:cs="宋体"/>
        </w:rPr>
        <w:t>招标方式：公开招标</w:t>
      </w:r>
      <w:r>
        <w:rPr>
          <w:rFonts w:hint="eastAsia" w:ascii="宋体" w:hAnsi="宋体" w:cs="宋体"/>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宋体" w:hAnsi="宋体" w:cs="宋体"/>
          <w:highlight w:val="red"/>
          <w:lang w:val="en-US" w:eastAsia="zh-CN"/>
        </w:rPr>
      </w:pPr>
      <w:r>
        <w:rPr>
          <w:rFonts w:hint="eastAsia"/>
          <w:lang w:val="en-US" w:eastAsia="zh-CN"/>
        </w:rPr>
        <w:t>4、项目等级</w:t>
      </w:r>
      <w:r>
        <w:rPr>
          <w:rFonts w:hint="eastAsia" w:ascii="宋体" w:hAnsi="宋体" w:cs="宋体"/>
          <w:highlight w:val="none"/>
          <w:lang w:val="en-US" w:eastAsia="zh-CN"/>
        </w:rPr>
        <w:t>：</w:t>
      </w:r>
      <w:r>
        <w:rPr>
          <w:rFonts w:hint="eastAsia"/>
          <w:lang w:val="en-US" w:eastAsia="zh-CN"/>
        </w:rPr>
        <w:t xml:space="preserve">D 级     预算：17.19（万元、含税） </w:t>
      </w:r>
    </w:p>
    <w:p>
      <w:pPr>
        <w:pStyle w:val="2"/>
        <w:ind w:firstLine="420" w:firstLineChars="200"/>
        <w:rPr>
          <w:rFonts w:hint="default" w:ascii="宋体" w:hAnsi="宋体" w:cs="宋体"/>
          <w:highlight w:val="none"/>
          <w:lang w:val="en-US" w:eastAsia="zh-CN"/>
        </w:rPr>
      </w:pPr>
      <w:r>
        <w:rPr>
          <w:rFonts w:hint="eastAsia" w:ascii="宋体" w:hAnsi="宋体" w:cs="宋体"/>
          <w:highlight w:val="none"/>
          <w:lang w:val="en-US" w:eastAsia="zh-CN"/>
        </w:rPr>
        <w:t>5、业务主管部门：制造工程部      类别：设备维修    费用归口：维修费-设备</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lang w:val="en-US" w:eastAsia="zh-CN"/>
        </w:rPr>
      </w:pPr>
      <w:r>
        <w:rPr>
          <w:rFonts w:hint="eastAsia"/>
          <w:lang w:val="en-US" w:eastAsia="zh-CN"/>
        </w:rPr>
        <w:t>6、项目简介：因生产需要，要将单梁行车5T-22.5m由总二东跨搬迁至总二西跨，需要将单梁行车3T-22.5m由总二西跨搬迁至总二中跨，要将单梁行车3T-16.5m由试制车间搬迁至总装翻转车间，需要将单梁行车2T-13.5m先改造成2T-10M,并且将行车由翻转车间搬迁至多合一分装车间，需要将单梁行车5T-22.5m由特种车物理仓库搬迁至卡车党家庄备料车间</w:t>
      </w:r>
    </w:p>
    <w:bookmarkEnd w:id="7"/>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hAnsi="宋体"/>
          <w:highlight w:val="none"/>
        </w:rPr>
      </w:pPr>
      <w:r>
        <w:rPr>
          <w:rFonts w:hint="eastAsia" w:ascii="宋体" w:hAnsi="宋体"/>
          <w:highlight w:val="none"/>
        </w:rPr>
        <w:t>工作制度：全年工作</w:t>
      </w:r>
      <w:r>
        <w:rPr>
          <w:rFonts w:hint="eastAsia" w:ascii="宋体" w:hAnsi="宋体"/>
          <w:highlight w:val="none"/>
          <w:u w:val="single"/>
        </w:rPr>
        <w:t xml:space="preserve"> 3</w:t>
      </w:r>
      <w:r>
        <w:rPr>
          <w:rFonts w:hint="eastAsia" w:ascii="宋体" w:hAnsi="宋体"/>
          <w:highlight w:val="none"/>
          <w:u w:val="single"/>
          <w:lang w:val="en-US" w:eastAsia="zh-CN"/>
        </w:rPr>
        <w:t>65</w:t>
      </w:r>
      <w:r>
        <w:rPr>
          <w:rFonts w:hint="eastAsia" w:ascii="宋体" w:hAnsi="宋体"/>
          <w:highlight w:val="none"/>
          <w:u w:val="single"/>
        </w:rPr>
        <w:t xml:space="preserve"> </w:t>
      </w:r>
      <w:r>
        <w:rPr>
          <w:rFonts w:hint="eastAsia" w:ascii="宋体" w:hAnsi="宋体"/>
          <w:highlight w:val="none"/>
        </w:rPr>
        <w:t>天、</w:t>
      </w:r>
      <w:r>
        <w:rPr>
          <w:rFonts w:hint="eastAsia" w:ascii="宋体" w:hAnsi="宋体"/>
          <w:highlight w:val="none"/>
          <w:u w:val="single"/>
        </w:rPr>
        <w:t xml:space="preserve"> 双 </w:t>
      </w:r>
      <w:r>
        <w:rPr>
          <w:rFonts w:hint="eastAsia" w:ascii="宋体" w:hAnsi="宋体"/>
          <w:highlight w:val="none"/>
        </w:rPr>
        <w:t>班制、</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hAnsi="宋体"/>
          <w:bCs/>
          <w:highlight w:val="none"/>
        </w:rPr>
      </w:pPr>
      <w:r>
        <w:rPr>
          <w:rFonts w:hint="eastAsia" w:ascii="宋体" w:hAnsi="宋体"/>
          <w:highlight w:val="none"/>
        </w:rPr>
        <w:t>使用环境：</w:t>
      </w:r>
      <w:r>
        <w:rPr>
          <w:rFonts w:hint="eastAsia" w:ascii="宋体" w:hAnsi="宋体"/>
          <w:highlight w:val="none"/>
          <w:u w:val="single"/>
        </w:rPr>
        <w:t>钢结构厂房</w:t>
      </w:r>
      <w:r>
        <w:rPr>
          <w:rFonts w:hint="eastAsia" w:ascii="宋体" w:hAnsi="宋体"/>
          <w:highlight w:val="none"/>
          <w:u w:val="single"/>
          <w:lang w:eastAsia="zh-CN"/>
        </w:rPr>
        <w:t>内部</w:t>
      </w:r>
      <w:r>
        <w:rPr>
          <w:rFonts w:hint="eastAsia" w:ascii="宋体" w:hAnsi="宋体"/>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315" w:firstLineChars="150"/>
        <w:textAlignment w:val="auto"/>
        <w:rPr>
          <w:rFonts w:ascii="宋体" w:hAnsi="宋体" w:cs="宋体"/>
          <w:bCs/>
          <w:kern w:val="1"/>
          <w:highlight w:val="none"/>
        </w:rPr>
      </w:pPr>
      <w:r>
        <w:rPr>
          <w:rFonts w:hint="eastAsia" w:ascii="宋体" w:hAnsi="宋体" w:cs="宋体"/>
          <w:bCs/>
          <w:kern w:val="1"/>
          <w:highlight w:val="none"/>
        </w:rPr>
        <w:t>1）海拔高度：1000m以下；2）环境温度-</w:t>
      </w:r>
      <w:r>
        <w:rPr>
          <w:rFonts w:hint="eastAsia" w:ascii="宋体" w:hAnsi="宋体" w:cs="宋体"/>
          <w:bCs/>
          <w:kern w:val="1"/>
          <w:highlight w:val="none"/>
          <w:lang w:val="en-US" w:eastAsia="zh-CN"/>
        </w:rPr>
        <w:t>20</w:t>
      </w:r>
      <w:r>
        <w:rPr>
          <w:rFonts w:hint="eastAsia" w:ascii="宋体" w:hAnsi="宋体" w:cs="宋体"/>
          <w:bCs/>
          <w:kern w:val="1"/>
          <w:highlight w:val="none"/>
        </w:rPr>
        <w:t>--+45℃，最大日温差：25℃；</w:t>
      </w:r>
    </w:p>
    <w:p>
      <w:pPr>
        <w:keepNext w:val="0"/>
        <w:keepLines w:val="0"/>
        <w:pageBreakBefore w:val="0"/>
        <w:widowControl w:val="0"/>
        <w:kinsoku/>
        <w:wordWrap/>
        <w:overflowPunct/>
        <w:topLinePunct w:val="0"/>
        <w:autoSpaceDE/>
        <w:autoSpaceDN/>
        <w:bidi w:val="0"/>
        <w:adjustRightInd w:val="0"/>
        <w:snapToGrid w:val="0"/>
        <w:spacing w:line="360" w:lineRule="auto"/>
        <w:ind w:firstLine="315" w:firstLineChars="150"/>
        <w:textAlignment w:val="auto"/>
        <w:rPr>
          <w:rFonts w:hint="eastAsia" w:ascii="宋体" w:hAnsi="宋体" w:cs="宋体"/>
          <w:bCs/>
          <w:kern w:val="1"/>
          <w:highlight w:val="none"/>
        </w:rPr>
      </w:pPr>
      <w:r>
        <w:rPr>
          <w:rFonts w:hint="eastAsia" w:ascii="宋体" w:hAnsi="宋体" w:cs="宋体"/>
          <w:bCs/>
          <w:kern w:val="1"/>
          <w:highlight w:val="none"/>
        </w:rPr>
        <w:t xml:space="preserve">3）年平均湿度：59%       </w:t>
      </w:r>
    </w:p>
    <w:p>
      <w:pPr>
        <w:keepNext w:val="0"/>
        <w:keepLines w:val="0"/>
        <w:pageBreakBefore w:val="0"/>
        <w:widowControl w:val="0"/>
        <w:kinsoku/>
        <w:wordWrap/>
        <w:overflowPunct/>
        <w:topLinePunct w:val="0"/>
        <w:autoSpaceDE/>
        <w:autoSpaceDN/>
        <w:bidi w:val="0"/>
        <w:adjustRightInd w:val="0"/>
        <w:snapToGrid w:val="0"/>
        <w:spacing w:line="360" w:lineRule="auto"/>
        <w:ind w:firstLine="315" w:firstLineChars="150"/>
        <w:textAlignment w:val="auto"/>
        <w:rPr>
          <w:rFonts w:hint="eastAsia" w:ascii="宋体" w:hAnsi="宋体" w:cs="宋体"/>
          <w:bCs/>
          <w:kern w:val="1"/>
          <w:highlight w:val="none"/>
        </w:rPr>
      </w:pPr>
      <w:r>
        <w:rPr>
          <w:rFonts w:hint="eastAsia" w:ascii="宋体" w:hAnsi="宋体" w:cs="宋体"/>
          <w:bCs/>
          <w:kern w:val="1"/>
          <w:highlight w:val="none"/>
        </w:rPr>
        <w:t>4）地震裂度：七度</w:t>
      </w:r>
    </w:p>
    <w:p>
      <w:pPr>
        <w:keepNext w:val="0"/>
        <w:keepLines w:val="0"/>
        <w:pageBreakBefore w:val="0"/>
        <w:widowControl w:val="0"/>
        <w:kinsoku/>
        <w:wordWrap/>
        <w:overflowPunct/>
        <w:topLinePunct w:val="0"/>
        <w:autoSpaceDE/>
        <w:autoSpaceDN/>
        <w:bidi w:val="0"/>
        <w:adjustRightInd w:val="0"/>
        <w:snapToGrid w:val="0"/>
        <w:spacing w:line="360" w:lineRule="auto"/>
        <w:ind w:firstLine="315" w:firstLineChars="150"/>
        <w:textAlignment w:val="auto"/>
        <w:rPr>
          <w:rFonts w:hint="eastAsia" w:ascii="宋体" w:hAnsi="宋体" w:cs="宋体"/>
          <w:highlight w:val="none"/>
        </w:rPr>
      </w:pPr>
      <w:r>
        <w:rPr>
          <w:rFonts w:hint="eastAsia" w:ascii="宋体" w:hAnsi="宋体" w:cs="宋体"/>
          <w:bCs/>
          <w:kern w:val="1"/>
          <w:highlight w:val="none"/>
        </w:rPr>
        <w:t>5）使用地点：</w:t>
      </w:r>
      <w:r>
        <w:rPr>
          <w:rFonts w:hint="eastAsia" w:ascii="宋体" w:hAnsi="宋体" w:cs="宋体"/>
          <w:highlight w:val="none"/>
        </w:rPr>
        <w:t>济南卡车股份有限公司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315" w:firstLineChars="150"/>
        <w:textAlignment w:val="auto"/>
        <w:rPr>
          <w:rFonts w:ascii="宋体" w:hAnsi="宋体" w:cs="宋体"/>
          <w:kern w:val="1"/>
          <w:highlight w:val="none"/>
        </w:rPr>
      </w:pPr>
      <w:r>
        <w:rPr>
          <w:rFonts w:hint="eastAsia" w:ascii="宋体" w:hAnsi="宋体" w:cs="宋体"/>
          <w:bCs/>
          <w:kern w:val="1"/>
          <w:highlight w:val="none"/>
        </w:rPr>
        <w:t>6）电源：符合中国制式，供电电压：380V±15%，供电频率50</w:t>
      </w:r>
      <w:r>
        <w:rPr>
          <w:rFonts w:hint="eastAsia" w:ascii="宋体" w:hAnsi="宋体" w:cs="宋体"/>
          <w:bCs/>
          <w:kern w:val="1"/>
          <w:highlight w:val="none"/>
          <w:lang w:eastAsia="zh-CN"/>
        </w:rPr>
        <w:t>Hz</w:t>
      </w:r>
      <w:r>
        <w:rPr>
          <w:rFonts w:hint="eastAsia" w:ascii="宋体" w:hAnsi="宋体" w:cs="宋体"/>
          <w:bCs/>
          <w:kern w:val="1"/>
          <w:highlight w:val="none"/>
        </w:rPr>
        <w:t>±2%</w:t>
      </w:r>
    </w:p>
    <w:p>
      <w:pPr>
        <w:keepNext w:val="0"/>
        <w:keepLines w:val="0"/>
        <w:pageBreakBefore w:val="0"/>
        <w:widowControl w:val="0"/>
        <w:kinsoku/>
        <w:wordWrap/>
        <w:overflowPunct/>
        <w:topLinePunct w:val="0"/>
        <w:autoSpaceDE/>
        <w:autoSpaceDN/>
        <w:bidi w:val="0"/>
        <w:adjustRightInd w:val="0"/>
        <w:snapToGrid w:val="0"/>
        <w:spacing w:line="360" w:lineRule="auto"/>
        <w:ind w:firstLine="315" w:firstLineChars="150"/>
        <w:textAlignment w:val="auto"/>
        <w:rPr>
          <w:rFonts w:hint="eastAsia" w:ascii="宋体" w:hAnsi="宋体" w:cs="宋体"/>
          <w:bCs/>
          <w:kern w:val="1"/>
          <w:highlight w:val="none"/>
          <w:lang w:val="en-US" w:eastAsia="zh-CN"/>
        </w:rPr>
      </w:pPr>
      <w:r>
        <w:rPr>
          <w:rFonts w:hint="eastAsia" w:ascii="宋体" w:hAnsi="宋体" w:cs="宋体"/>
          <w:highlight w:val="none"/>
          <w:lang w:val="en-US" w:eastAsia="zh-CN"/>
        </w:rPr>
        <w:t>7、技术联系人：</w:t>
      </w:r>
      <w:r>
        <w:rPr>
          <w:rFonts w:hint="eastAsia" w:ascii="宋体" w:hAnsi="宋体" w:cs="宋体"/>
          <w:bCs/>
          <w:kern w:val="1"/>
          <w:highlight w:val="none"/>
          <w:lang w:val="en-US" w:eastAsia="zh-CN"/>
        </w:rPr>
        <w:t>总装二部滕军岭</w:t>
      </w:r>
      <w:r>
        <w:rPr>
          <w:rFonts w:hint="eastAsia" w:ascii="宋体" w:hAnsi="宋体" w:cs="宋体"/>
          <w:bCs/>
          <w:kern w:val="1"/>
          <w:highlight w:val="none"/>
          <w:lang w:eastAsia="zh-CN"/>
        </w:rPr>
        <w:t>（</w:t>
      </w:r>
      <w:r>
        <w:rPr>
          <w:rFonts w:hint="eastAsia" w:ascii="宋体" w:hAnsi="宋体" w:cs="宋体"/>
          <w:bCs/>
          <w:kern w:val="1"/>
          <w:highlight w:val="none"/>
          <w:lang w:val="en-US" w:eastAsia="zh-CN"/>
        </w:rPr>
        <w:t>工号052060）</w:t>
      </w:r>
    </w:p>
    <w:p>
      <w:pPr>
        <w:pStyle w:val="3"/>
        <w:rPr>
          <w:rFonts w:hint="eastAsia" w:ascii="宋体" w:hAnsi="宋体" w:eastAsia="宋体" w:cs="宋体"/>
          <w:color w:val="auto"/>
          <w:sz w:val="21"/>
          <w:szCs w:val="21"/>
          <w:highlight w:val="red"/>
          <w:lang w:val="en-US" w:eastAsia="zh-CN"/>
        </w:rPr>
      </w:pPr>
    </w:p>
    <w:p>
      <w:pPr>
        <w:pStyle w:val="3"/>
        <w:rPr>
          <w:rFonts w:hint="eastAsia" w:ascii="宋体" w:hAnsi="宋体" w:eastAsia="宋体" w:cs="宋体"/>
          <w:color w:val="auto"/>
          <w:sz w:val="21"/>
          <w:szCs w:val="21"/>
          <w:highlight w:val="red"/>
          <w:lang w:val="en-US" w:eastAsia="zh-CN"/>
        </w:rPr>
      </w:pPr>
    </w:p>
    <w:p>
      <w:pPr>
        <w:pStyle w:val="3"/>
        <w:rPr>
          <w:rFonts w:hint="eastAsia" w:ascii="宋体" w:hAnsi="宋体" w:eastAsia="宋体" w:cs="宋体"/>
          <w:color w:val="auto"/>
          <w:sz w:val="21"/>
          <w:szCs w:val="21"/>
          <w:highlight w:val="red"/>
          <w:lang w:val="en-US" w:eastAsia="zh-CN"/>
        </w:rPr>
      </w:pPr>
    </w:p>
    <w:p>
      <w:pPr>
        <w:ind w:firstLine="2801" w:firstLineChars="1000"/>
        <w:jc w:val="left"/>
        <w:rPr>
          <w:rFonts w:hint="eastAsia" w:ascii="宋体" w:hAnsi="宋体" w:eastAsia="宋体"/>
          <w:b/>
          <w:sz w:val="21"/>
          <w:szCs w:val="21"/>
          <w:lang w:eastAsia="zh-CN"/>
        </w:rPr>
      </w:pPr>
      <w:r>
        <w:rPr>
          <w:rFonts w:hint="eastAsia"/>
          <w:b/>
          <w:bCs/>
          <w:sz w:val="28"/>
          <w:szCs w:val="28"/>
          <w:lang w:val="en-US" w:eastAsia="zh-CN"/>
        </w:rPr>
        <w:t>技术文件要求</w:t>
      </w:r>
    </w:p>
    <w:p>
      <w:pPr>
        <w:jc w:val="left"/>
        <w:rPr>
          <w:rFonts w:ascii="宋体" w:hAnsi="宋体" w:eastAsia="宋体"/>
          <w:b/>
          <w:sz w:val="21"/>
          <w:szCs w:val="21"/>
        </w:rPr>
      </w:pPr>
      <w:r>
        <w:rPr>
          <w:rFonts w:hint="eastAsia" w:ascii="宋体" w:hAnsi="宋体" w:eastAsia="宋体"/>
          <w:b/>
          <w:sz w:val="21"/>
          <w:szCs w:val="21"/>
          <w:lang w:val="en-US" w:eastAsia="zh-CN"/>
        </w:rPr>
        <w:t>一</w:t>
      </w:r>
      <w:r>
        <w:rPr>
          <w:rFonts w:hint="eastAsia" w:ascii="宋体" w:hAnsi="宋体"/>
          <w:b/>
          <w:sz w:val="21"/>
          <w:szCs w:val="21"/>
          <w:lang w:val="en-US" w:eastAsia="zh-CN"/>
        </w:rPr>
        <w:t>、</w:t>
      </w:r>
      <w:r>
        <w:rPr>
          <w:rFonts w:hint="eastAsia" w:ascii="宋体" w:hAnsi="宋体" w:eastAsia="宋体"/>
          <w:b/>
          <w:sz w:val="21"/>
          <w:szCs w:val="21"/>
        </w:rPr>
        <w:t>问题描述：</w:t>
      </w:r>
    </w:p>
    <w:p>
      <w:pPr>
        <w:snapToGrid w:val="0"/>
        <w:spacing w:line="360" w:lineRule="auto"/>
        <w:rPr>
          <w:rFonts w:hint="eastAsia" w:ascii="宋体" w:hAnsi="宋体" w:cs="宋体"/>
          <w:b w:val="0"/>
          <w:bCs w:val="0"/>
        </w:rPr>
      </w:pPr>
      <w:r>
        <w:rPr>
          <w:rFonts w:hint="eastAsia" w:ascii="宋体" w:hAnsi="宋体" w:cs="宋体"/>
          <w:b w:val="0"/>
          <w:bCs w:val="0"/>
          <w:lang w:val="en-US" w:eastAsia="zh-CN"/>
        </w:rPr>
        <w:t>1</w:t>
      </w:r>
      <w:r>
        <w:rPr>
          <w:rFonts w:hint="eastAsia" w:ascii="宋体" w:hAnsi="宋体" w:cs="宋体"/>
          <w:b w:val="0"/>
          <w:bCs w:val="0"/>
        </w:rPr>
        <w:t>、因生产需要，需要将单梁行车5T-22.5m由总二东跨搬迁至总二西跨，以适应车间需要。</w:t>
      </w:r>
    </w:p>
    <w:p>
      <w:pPr>
        <w:snapToGrid w:val="0"/>
        <w:spacing w:line="360" w:lineRule="auto"/>
        <w:rPr>
          <w:rFonts w:hint="eastAsia" w:ascii="宋体" w:hAnsi="宋体" w:cs="宋体"/>
          <w:b w:val="0"/>
          <w:bCs w:val="0"/>
        </w:rPr>
      </w:pPr>
      <w:r>
        <w:rPr>
          <w:rFonts w:hint="eastAsia" w:ascii="宋体" w:hAnsi="宋体" w:cs="宋体"/>
          <w:b w:val="0"/>
          <w:bCs w:val="0"/>
          <w:lang w:val="en-US" w:eastAsia="zh-CN"/>
        </w:rPr>
        <w:t>2</w:t>
      </w:r>
      <w:r>
        <w:rPr>
          <w:rFonts w:hint="eastAsia" w:ascii="宋体" w:hAnsi="宋体" w:cs="宋体"/>
          <w:b w:val="0"/>
          <w:bCs w:val="0"/>
        </w:rPr>
        <w:t>、因生产需要，需要将单梁行车3T-22.5m由总二西跨搬迁至总二中跨，以适应车间需要。</w:t>
      </w:r>
    </w:p>
    <w:p>
      <w:pPr>
        <w:snapToGrid w:val="0"/>
        <w:spacing w:line="360" w:lineRule="auto"/>
        <w:rPr>
          <w:rFonts w:hint="eastAsia" w:ascii="宋体" w:hAnsi="宋体" w:cs="宋体"/>
          <w:b w:val="0"/>
          <w:bCs w:val="0"/>
        </w:rPr>
      </w:pPr>
      <w:r>
        <w:rPr>
          <w:rFonts w:hint="eastAsia" w:ascii="宋体" w:hAnsi="宋体" w:cs="宋体"/>
          <w:b w:val="0"/>
          <w:bCs w:val="0"/>
          <w:lang w:val="en-US" w:eastAsia="zh-CN"/>
        </w:rPr>
        <w:t>3</w:t>
      </w:r>
      <w:r>
        <w:rPr>
          <w:rFonts w:hint="eastAsia" w:ascii="宋体" w:hAnsi="宋体" w:cs="宋体"/>
          <w:b w:val="0"/>
          <w:bCs w:val="0"/>
        </w:rPr>
        <w:t>、因生产需要，需要将单梁行车3T-16.5m由试制车间搬迁至总装翻转</w:t>
      </w:r>
      <w:r>
        <w:rPr>
          <w:rFonts w:hint="eastAsia" w:ascii="宋体" w:hAnsi="宋体" w:cs="宋体"/>
          <w:b w:val="0"/>
          <w:bCs w:val="0"/>
          <w:lang w:val="en-US" w:eastAsia="zh-CN"/>
        </w:rPr>
        <w:t>车间</w:t>
      </w:r>
      <w:r>
        <w:rPr>
          <w:rFonts w:hint="eastAsia" w:ascii="宋体" w:hAnsi="宋体" w:cs="宋体"/>
          <w:b w:val="0"/>
          <w:bCs w:val="0"/>
        </w:rPr>
        <w:t>，以适应车间需要。</w:t>
      </w:r>
    </w:p>
    <w:p>
      <w:pPr>
        <w:snapToGrid w:val="0"/>
        <w:spacing w:line="360" w:lineRule="auto"/>
        <w:rPr>
          <w:rFonts w:hint="eastAsia" w:ascii="宋体" w:hAnsi="宋体" w:cs="宋体"/>
          <w:b w:val="0"/>
          <w:bCs w:val="0"/>
        </w:rPr>
      </w:pPr>
      <w:r>
        <w:rPr>
          <w:rFonts w:hint="eastAsia" w:ascii="宋体" w:hAnsi="宋体" w:cs="宋体"/>
          <w:b w:val="0"/>
          <w:bCs w:val="0"/>
          <w:lang w:val="en-US" w:eastAsia="zh-CN"/>
        </w:rPr>
        <w:t>4</w:t>
      </w:r>
      <w:r>
        <w:rPr>
          <w:rFonts w:hint="eastAsia" w:ascii="宋体" w:hAnsi="宋体" w:cs="宋体"/>
          <w:b w:val="0"/>
          <w:bCs w:val="0"/>
        </w:rPr>
        <w:t>、因生产需要，需要将单梁行车2T-13.5m先改造成2T-10M,并且将行车由翻转车间搬迁至多合一分装车间，以适应车间需要。</w:t>
      </w:r>
    </w:p>
    <w:p>
      <w:pPr>
        <w:snapToGrid w:val="0"/>
        <w:spacing w:line="360" w:lineRule="auto"/>
        <w:rPr>
          <w:rFonts w:hint="eastAsia" w:ascii="宋体" w:hAnsi="宋体" w:cs="宋体"/>
          <w:b w:val="0"/>
          <w:bCs w:val="0"/>
        </w:rPr>
      </w:pPr>
      <w:r>
        <w:rPr>
          <w:rFonts w:hint="eastAsia" w:ascii="宋体" w:hAnsi="宋体" w:cs="宋体"/>
          <w:b w:val="0"/>
          <w:bCs w:val="0"/>
          <w:lang w:val="en-US" w:eastAsia="zh-CN"/>
        </w:rPr>
        <w:t>5</w:t>
      </w:r>
      <w:r>
        <w:rPr>
          <w:rFonts w:hint="eastAsia" w:ascii="宋体" w:hAnsi="宋体" w:cs="宋体"/>
          <w:b w:val="0"/>
          <w:bCs w:val="0"/>
        </w:rPr>
        <w:t>、因生产需要，需要将单梁行车5T-22.5m由特种车物理仓库搬迁至卡车党家庄备料车间，以适应车间需要。</w:t>
      </w:r>
    </w:p>
    <w:p>
      <w:pPr>
        <w:spacing w:line="360" w:lineRule="auto"/>
        <w:rPr>
          <w:rFonts w:hint="eastAsia" w:ascii="宋体" w:hAnsi="宋体" w:cs="宋体"/>
          <w:b/>
          <w:bCs/>
          <w:sz w:val="24"/>
          <w:szCs w:val="24"/>
          <w:highlight w:val="none"/>
          <w:lang w:val="en-US" w:eastAsia="zh-CN"/>
        </w:rPr>
      </w:pPr>
    </w:p>
    <w:p>
      <w:pPr>
        <w:spacing w:line="360" w:lineRule="auto"/>
        <w:rPr>
          <w:rFonts w:hint="eastAsia" w:ascii="宋体" w:hAnsi="宋体" w:eastAsia="宋体" w:cs="宋体"/>
          <w:b/>
          <w:bCs/>
          <w:sz w:val="24"/>
          <w:szCs w:val="24"/>
          <w:highlight w:val="none"/>
        </w:rPr>
      </w:pPr>
      <w:r>
        <w:rPr>
          <w:rFonts w:hint="eastAsia" w:ascii="宋体" w:hAnsi="宋体" w:cs="宋体"/>
          <w:b/>
          <w:bCs/>
          <w:sz w:val="24"/>
          <w:szCs w:val="24"/>
          <w:highlight w:val="none"/>
          <w:lang w:val="en-US" w:eastAsia="zh-CN"/>
        </w:rPr>
        <w:t>二</w:t>
      </w:r>
      <w:r>
        <w:rPr>
          <w:rFonts w:hint="eastAsia" w:ascii="宋体" w:hAnsi="宋体" w:eastAsia="宋体" w:cs="宋体"/>
          <w:b/>
          <w:bCs/>
          <w:sz w:val="24"/>
          <w:szCs w:val="24"/>
          <w:highlight w:val="none"/>
          <w:lang w:val="en-US" w:eastAsia="zh-CN"/>
        </w:rPr>
        <w:t>、</w:t>
      </w:r>
      <w:r>
        <w:rPr>
          <w:rFonts w:hint="eastAsia" w:ascii="宋体" w:hAnsi="宋体" w:eastAsia="宋体" w:cs="宋体"/>
          <w:b/>
          <w:bCs/>
          <w:sz w:val="24"/>
          <w:szCs w:val="24"/>
          <w:highlight w:val="none"/>
        </w:rPr>
        <w:t>技术标准:</w:t>
      </w:r>
    </w:p>
    <w:p>
      <w:pPr>
        <w:snapToGrid w:val="0"/>
        <w:spacing w:line="360" w:lineRule="auto"/>
        <w:rPr>
          <w:rFonts w:ascii="宋体" w:hAnsi="宋体" w:cs="宋体"/>
          <w:b w:val="0"/>
          <w:bCs w:val="0"/>
        </w:rPr>
      </w:pPr>
      <w:r>
        <w:rPr>
          <w:rFonts w:hint="eastAsia" w:ascii="宋体" w:hAnsi="宋体" w:cs="宋体"/>
          <w:b w:val="0"/>
          <w:bCs w:val="0"/>
          <w:kern w:val="0"/>
        </w:rPr>
        <w:t>GB50169-2016</w:t>
      </w:r>
      <w:r>
        <w:rPr>
          <w:rFonts w:hint="eastAsia" w:ascii="宋体" w:hAnsi="宋体" w:cs="宋体"/>
          <w:b w:val="0"/>
          <w:bCs w:val="0"/>
        </w:rPr>
        <w:t>《电气装置安装工程接地装置施工及验收规范》</w:t>
      </w:r>
    </w:p>
    <w:p>
      <w:pPr>
        <w:pStyle w:val="2"/>
        <w:snapToGrid w:val="0"/>
        <w:spacing w:after="0" w:line="360" w:lineRule="auto"/>
        <w:rPr>
          <w:rFonts w:ascii="宋体" w:hAnsi="宋体" w:cs="宋体"/>
          <w:b w:val="0"/>
          <w:bCs w:val="0"/>
        </w:rPr>
      </w:pPr>
      <w:r>
        <w:rPr>
          <w:rFonts w:hint="eastAsia" w:ascii="宋体" w:hAnsi="宋体" w:cs="宋体"/>
          <w:b w:val="0"/>
          <w:bCs w:val="0"/>
        </w:rPr>
        <w:t>DB37/T1933-2011《山东省工贸企业有限空间作业安全规范》</w:t>
      </w:r>
    </w:p>
    <w:p>
      <w:pPr>
        <w:pStyle w:val="2"/>
        <w:snapToGrid w:val="0"/>
        <w:spacing w:after="0" w:line="360" w:lineRule="auto"/>
        <w:rPr>
          <w:rFonts w:ascii="宋体" w:hAnsi="宋体" w:cs="宋体"/>
          <w:b w:val="0"/>
          <w:bCs w:val="0"/>
        </w:rPr>
      </w:pPr>
      <w:r>
        <w:rPr>
          <w:rFonts w:hint="eastAsia" w:ascii="宋体" w:hAnsi="宋体" w:cs="宋体"/>
          <w:b w:val="0"/>
          <w:bCs w:val="0"/>
        </w:rPr>
        <w:t>GB8196-2018《机械设备防护罩要求》</w:t>
      </w:r>
    </w:p>
    <w:p>
      <w:pPr>
        <w:pStyle w:val="3"/>
        <w:snapToGrid w:val="0"/>
        <w:spacing w:line="360" w:lineRule="auto"/>
        <w:rPr>
          <w:rFonts w:ascii="宋体" w:hAnsi="宋体" w:cs="宋体"/>
          <w:b w:val="0"/>
          <w:bCs w:val="0"/>
        </w:rPr>
      </w:pPr>
      <w:r>
        <w:rPr>
          <w:rFonts w:hint="eastAsia" w:ascii="宋体" w:hAnsi="宋体" w:cs="宋体"/>
          <w:b w:val="0"/>
          <w:bCs w:val="0"/>
          <w:color w:val="333333"/>
          <w:shd w:val="clear" w:color="auto" w:fill="FFFFFF"/>
        </w:rPr>
        <w:t>GBZ-2010</w:t>
      </w:r>
      <w:r>
        <w:rPr>
          <w:rFonts w:hint="eastAsia" w:ascii="宋体" w:hAnsi="宋体" w:cs="宋体"/>
          <w:b w:val="0"/>
          <w:bCs w:val="0"/>
        </w:rPr>
        <w:t>《工业企业设计卫生标准》</w:t>
      </w:r>
    </w:p>
    <w:p>
      <w:pPr>
        <w:pStyle w:val="3"/>
        <w:snapToGrid w:val="0"/>
        <w:spacing w:line="360" w:lineRule="auto"/>
        <w:rPr>
          <w:rFonts w:ascii="宋体" w:hAnsi="宋体" w:cs="宋体"/>
          <w:b w:val="0"/>
          <w:bCs w:val="0"/>
        </w:rPr>
      </w:pPr>
      <w:r>
        <w:rPr>
          <w:rFonts w:hint="eastAsia" w:ascii="宋体" w:hAnsi="宋体" w:cs="宋体"/>
          <w:b w:val="0"/>
          <w:bCs w:val="0"/>
        </w:rPr>
        <w:t>GB50231-2009《机械设备安装工程施工及验收通用规范》</w:t>
      </w:r>
    </w:p>
    <w:p>
      <w:pPr>
        <w:pStyle w:val="3"/>
        <w:snapToGrid w:val="0"/>
        <w:spacing w:line="360" w:lineRule="auto"/>
        <w:rPr>
          <w:rFonts w:hint="eastAsia" w:ascii="宋体" w:hAnsi="宋体" w:cs="宋体"/>
          <w:b w:val="0"/>
          <w:bCs w:val="0"/>
        </w:rPr>
      </w:pPr>
      <w:r>
        <w:rPr>
          <w:rFonts w:hint="eastAsia" w:ascii="宋体" w:hAnsi="宋体" w:cs="宋体"/>
          <w:b w:val="0"/>
          <w:bCs w:val="0"/>
          <w:color w:val="auto"/>
        </w:rPr>
        <w:t>JGJ46-2005</w:t>
      </w:r>
      <w:r>
        <w:rPr>
          <w:rFonts w:hint="eastAsia" w:ascii="宋体" w:hAnsi="宋体" w:cs="宋体"/>
          <w:b w:val="0"/>
          <w:bCs w:val="0"/>
        </w:rPr>
        <w:t>《</w:t>
      </w:r>
      <w:r>
        <w:rPr>
          <w:rFonts w:hint="eastAsia" w:ascii="宋体" w:hAnsi="宋体" w:cs="宋体"/>
          <w:b w:val="0"/>
          <w:bCs w:val="0"/>
          <w:color w:val="auto"/>
        </w:rPr>
        <w:t>施工现场临时用电安全技术规范</w:t>
      </w:r>
      <w:r>
        <w:rPr>
          <w:rFonts w:hint="eastAsia" w:ascii="宋体" w:hAnsi="宋体" w:cs="宋体"/>
          <w:b w:val="0"/>
          <w:bCs w:val="0"/>
        </w:rPr>
        <w:t>》</w:t>
      </w:r>
    </w:p>
    <w:p>
      <w:pPr>
        <w:pStyle w:val="3"/>
        <w:snapToGrid w:val="0"/>
        <w:spacing w:line="360" w:lineRule="auto"/>
        <w:rPr>
          <w:rFonts w:hint="eastAsia" w:ascii="宋体" w:hAnsi="宋体" w:cs="宋体"/>
          <w:b w:val="0"/>
          <w:bCs w:val="0"/>
        </w:rPr>
      </w:pPr>
      <w:r>
        <w:rPr>
          <w:rFonts w:hint="eastAsia" w:ascii="宋体" w:hAnsi="宋体" w:cs="宋体"/>
          <w:b w:val="0"/>
          <w:bCs w:val="0"/>
        </w:rPr>
        <w:t>GB/T 6067.1-2010《起重机械安全规程》</w:t>
      </w:r>
    </w:p>
    <w:p>
      <w:pPr>
        <w:pStyle w:val="3"/>
        <w:snapToGrid w:val="0"/>
        <w:spacing w:line="360" w:lineRule="auto"/>
        <w:rPr>
          <w:rFonts w:hint="eastAsia" w:ascii="宋体" w:hAnsi="宋体" w:cs="宋体"/>
          <w:b w:val="0"/>
          <w:bCs w:val="0"/>
        </w:rPr>
      </w:pPr>
      <w:r>
        <w:rPr>
          <w:rFonts w:hint="eastAsia" w:ascii="宋体" w:hAnsi="宋体" w:cs="宋体"/>
          <w:b w:val="0"/>
          <w:bCs w:val="0"/>
        </w:rPr>
        <w:t>GB/T 23723.5-2025《起重机 安全使用 第 5 部分：桥式和门式起重机》</w:t>
      </w:r>
    </w:p>
    <w:p>
      <w:pPr>
        <w:pStyle w:val="3"/>
        <w:snapToGrid w:val="0"/>
        <w:spacing w:line="360" w:lineRule="auto"/>
        <w:rPr>
          <w:rFonts w:hint="eastAsia" w:ascii="宋体" w:hAnsi="宋体" w:cs="宋体"/>
          <w:b w:val="0"/>
          <w:bCs w:val="0"/>
        </w:rPr>
      </w:pPr>
      <w:r>
        <w:rPr>
          <w:rFonts w:hint="eastAsia" w:ascii="宋体" w:hAnsi="宋体" w:cs="宋体"/>
          <w:b w:val="0"/>
          <w:bCs w:val="0"/>
        </w:rPr>
        <w:t>GB 50278-2010《起重设备安装工程施工及验收规范》</w:t>
      </w:r>
    </w:p>
    <w:p>
      <w:pPr>
        <w:pStyle w:val="3"/>
        <w:snapToGrid w:val="0"/>
        <w:spacing w:line="360" w:lineRule="auto"/>
        <w:rPr>
          <w:rFonts w:hint="eastAsia" w:ascii="宋体" w:hAnsi="宋体" w:cs="宋体"/>
          <w:b w:val="0"/>
          <w:bCs w:val="0"/>
        </w:rPr>
      </w:pPr>
      <w:r>
        <w:rPr>
          <w:rFonts w:hint="eastAsia" w:ascii="宋体" w:hAnsi="宋体" w:cs="宋体"/>
          <w:b w:val="0"/>
          <w:bCs w:val="0"/>
        </w:rPr>
        <w:t>GB/T 3811-2008《起重机设计规范》</w:t>
      </w:r>
    </w:p>
    <w:p>
      <w:pPr>
        <w:pStyle w:val="3"/>
        <w:snapToGrid w:val="0"/>
        <w:spacing w:line="360" w:lineRule="auto"/>
        <w:rPr>
          <w:rFonts w:hint="eastAsia" w:ascii="宋体" w:hAnsi="宋体" w:cs="宋体"/>
          <w:b w:val="0"/>
          <w:bCs w:val="0"/>
        </w:rPr>
      </w:pPr>
      <w:r>
        <w:rPr>
          <w:rFonts w:hint="eastAsia" w:ascii="宋体" w:hAnsi="宋体" w:cs="宋体"/>
          <w:b w:val="0"/>
          <w:bCs w:val="0"/>
        </w:rPr>
        <w:t>DB51/T 968-2025《桥、门式起重机 修理及维护保养技术规范》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b/>
          <w:bCs/>
          <w:sz w:val="24"/>
          <w:szCs w:val="24"/>
        </w:rPr>
      </w:pPr>
      <w:r>
        <w:rPr>
          <w:rFonts w:hint="eastAsia" w:ascii="宋体" w:hAnsi="宋体" w:cs="宋体"/>
          <w:b/>
          <w:bCs/>
          <w:lang w:val="en-US" w:eastAsia="zh-CN" w:bidi="ar"/>
        </w:rPr>
        <w:t>（三）、维修方式：</w:t>
      </w:r>
      <w:r>
        <w:rPr>
          <w:rFonts w:hint="eastAsia" w:ascii="宋体" w:hAnsi="宋体"/>
          <w:b/>
          <w:bCs/>
          <w:sz w:val="24"/>
          <w:szCs w:val="24"/>
        </w:rPr>
        <w:t xml:space="preserve">  </w:t>
      </w:r>
    </w:p>
    <w:p>
      <w:pPr>
        <w:keepNext w:val="0"/>
        <w:keepLines w:val="0"/>
        <w:pageBreakBefore w:val="0"/>
        <w:widowControl w:val="0"/>
        <w:tabs>
          <w:tab w:val="center" w:pos="4153"/>
        </w:tabs>
        <w:kinsoku/>
        <w:wordWrap/>
        <w:overflowPunct/>
        <w:topLinePunct w:val="0"/>
        <w:autoSpaceDE/>
        <w:autoSpaceDN/>
        <w:bidi w:val="0"/>
        <w:adjustRightInd/>
        <w:snapToGrid/>
        <w:spacing w:line="360" w:lineRule="auto"/>
        <w:ind w:firstLine="240" w:firstLineChars="100"/>
        <w:jc w:val="left"/>
        <w:textAlignment w:val="auto"/>
        <w:rPr>
          <w:rFonts w:hint="default" w:ascii="宋体" w:hAnsi="宋体" w:eastAsia="宋体" w:cs="宋体"/>
          <w:color w:val="auto"/>
          <w:sz w:val="24"/>
          <w:szCs w:val="24"/>
          <w:lang w:val="en-US" w:eastAsia="zh-CN"/>
        </w:rPr>
      </w:pPr>
      <w:r>
        <w:rPr>
          <w:rFonts w:hint="eastAsia" w:ascii="宋体" w:hAnsi="宋体"/>
          <w:color w:val="auto"/>
          <w:sz w:val="24"/>
          <w:szCs w:val="24"/>
          <w:lang w:val="en-US" w:eastAsia="zh-CN"/>
        </w:rPr>
        <w:t>1、承揽人</w:t>
      </w:r>
      <w:r>
        <w:rPr>
          <w:rFonts w:hint="eastAsia" w:ascii="宋体" w:hAnsi="宋体"/>
          <w:color w:val="auto"/>
          <w:sz w:val="24"/>
          <w:szCs w:val="24"/>
        </w:rPr>
        <w:t>提供维</w:t>
      </w:r>
      <w:r>
        <w:rPr>
          <w:rFonts w:hint="eastAsia" w:ascii="宋体" w:hAnsi="宋体"/>
          <w:color w:val="auto"/>
          <w:sz w:val="24"/>
          <w:szCs w:val="24"/>
          <w:lang w:val="en-US" w:eastAsia="zh-CN"/>
        </w:rPr>
        <w:t>修更换</w:t>
      </w:r>
      <w:r>
        <w:rPr>
          <w:rFonts w:hint="eastAsia" w:ascii="宋体" w:hAnsi="宋体"/>
          <w:color w:val="auto"/>
          <w:sz w:val="24"/>
          <w:szCs w:val="24"/>
        </w:rPr>
        <w:t>所需的</w:t>
      </w:r>
      <w:r>
        <w:rPr>
          <w:rFonts w:hint="eastAsia" w:ascii="宋体" w:hAnsi="宋体"/>
          <w:color w:val="auto"/>
          <w:sz w:val="24"/>
          <w:szCs w:val="24"/>
          <w:lang w:val="en-US" w:eastAsia="zh-CN"/>
        </w:rPr>
        <w:t>内容（参考明细表）</w:t>
      </w:r>
      <w:r>
        <w:rPr>
          <w:rFonts w:hint="eastAsia" w:ascii="宋体" w:hAnsi="宋体"/>
          <w:color w:val="auto"/>
          <w:sz w:val="24"/>
          <w:szCs w:val="24"/>
        </w:rPr>
        <w:t>，提供维</w:t>
      </w:r>
      <w:r>
        <w:rPr>
          <w:rFonts w:hint="eastAsia" w:ascii="宋体" w:hAnsi="宋体"/>
          <w:color w:val="auto"/>
          <w:sz w:val="24"/>
          <w:szCs w:val="24"/>
          <w:lang w:val="en-US" w:eastAsia="zh-CN"/>
        </w:rPr>
        <w:t>修更换</w:t>
      </w:r>
      <w:r>
        <w:rPr>
          <w:rFonts w:hint="eastAsia" w:ascii="宋体" w:hAnsi="宋体"/>
          <w:color w:val="auto"/>
          <w:sz w:val="24"/>
          <w:szCs w:val="24"/>
        </w:rPr>
        <w:t>所用的仪器工具</w:t>
      </w:r>
      <w:r>
        <w:rPr>
          <w:rFonts w:hint="eastAsia" w:ascii="宋体" w:hAnsi="宋体"/>
          <w:color w:val="auto"/>
          <w:sz w:val="24"/>
          <w:szCs w:val="24"/>
          <w:lang w:eastAsia="zh-CN"/>
        </w:rPr>
        <w:t>，</w:t>
      </w:r>
      <w:r>
        <w:rPr>
          <w:rFonts w:hint="eastAsia" w:ascii="宋体" w:hAnsi="宋体"/>
          <w:color w:val="auto"/>
          <w:sz w:val="24"/>
          <w:szCs w:val="24"/>
          <w:lang w:val="en-US" w:eastAsia="zh-CN"/>
        </w:rPr>
        <w:t>承揽方</w:t>
      </w:r>
      <w:r>
        <w:rPr>
          <w:rFonts w:hint="eastAsia" w:ascii="宋体" w:hAnsi="宋体"/>
          <w:color w:val="auto"/>
          <w:sz w:val="24"/>
          <w:szCs w:val="24"/>
        </w:rPr>
        <w:t>派遣技术人员到现场</w:t>
      </w:r>
      <w:r>
        <w:rPr>
          <w:rFonts w:hint="eastAsia" w:ascii="宋体" w:hAnsi="宋体"/>
          <w:color w:val="auto"/>
          <w:sz w:val="24"/>
          <w:szCs w:val="24"/>
          <w:lang w:val="en-US" w:eastAsia="zh-CN"/>
        </w:rPr>
        <w:t>安装、升级、更换及</w:t>
      </w:r>
      <w:r>
        <w:rPr>
          <w:rFonts w:hint="eastAsia" w:ascii="宋体" w:hAnsi="宋体"/>
          <w:color w:val="auto"/>
          <w:sz w:val="24"/>
          <w:szCs w:val="24"/>
        </w:rPr>
        <w:t>维</w:t>
      </w:r>
      <w:r>
        <w:rPr>
          <w:rFonts w:hint="eastAsia" w:ascii="宋体" w:hAnsi="宋体"/>
          <w:color w:val="auto"/>
          <w:sz w:val="24"/>
          <w:szCs w:val="24"/>
          <w:lang w:val="en-US" w:eastAsia="zh-CN"/>
        </w:rPr>
        <w:t>修</w:t>
      </w:r>
      <w:r>
        <w:rPr>
          <w:rFonts w:hint="eastAsia" w:ascii="宋体" w:hAnsi="宋体"/>
          <w:color w:val="auto"/>
          <w:sz w:val="24"/>
          <w:szCs w:val="24"/>
        </w:rPr>
        <w:t>，</w:t>
      </w:r>
      <w:r>
        <w:rPr>
          <w:rFonts w:hint="eastAsia" w:ascii="宋体" w:hAnsi="宋体"/>
          <w:color w:val="auto"/>
          <w:sz w:val="24"/>
          <w:szCs w:val="24"/>
          <w:lang w:val="en-US" w:eastAsia="zh-CN"/>
        </w:rPr>
        <w:t>包工包料包运输，</w:t>
      </w:r>
      <w:r>
        <w:rPr>
          <w:rFonts w:hint="eastAsia" w:ascii="宋体" w:hAnsi="宋体"/>
          <w:color w:val="auto"/>
          <w:sz w:val="24"/>
          <w:szCs w:val="24"/>
        </w:rPr>
        <w:t>并对</w:t>
      </w:r>
      <w:r>
        <w:rPr>
          <w:rFonts w:hint="eastAsia" w:ascii="宋体" w:hAnsi="宋体"/>
          <w:color w:val="auto"/>
          <w:sz w:val="24"/>
          <w:szCs w:val="24"/>
          <w:lang w:val="en-US" w:eastAsia="zh-CN"/>
        </w:rPr>
        <w:t>更换</w:t>
      </w:r>
      <w:r>
        <w:rPr>
          <w:rFonts w:hint="eastAsia" w:ascii="宋体" w:hAnsi="宋体"/>
          <w:color w:val="auto"/>
          <w:sz w:val="24"/>
          <w:szCs w:val="24"/>
        </w:rPr>
        <w:t>维</w:t>
      </w:r>
      <w:r>
        <w:rPr>
          <w:rFonts w:hint="eastAsia" w:ascii="宋体" w:hAnsi="宋体"/>
          <w:color w:val="auto"/>
          <w:sz w:val="24"/>
          <w:szCs w:val="24"/>
          <w:lang w:val="en-US" w:eastAsia="zh-CN"/>
        </w:rPr>
        <w:t>修</w:t>
      </w:r>
      <w:r>
        <w:rPr>
          <w:rFonts w:hint="eastAsia" w:ascii="宋体" w:hAnsi="宋体"/>
          <w:color w:val="auto"/>
          <w:sz w:val="24"/>
          <w:szCs w:val="24"/>
        </w:rPr>
        <w:t xml:space="preserve">效果负责。  </w:t>
      </w:r>
      <w:r>
        <w:rPr>
          <w:rFonts w:hint="eastAsia" w:ascii="宋体" w:hAnsi="宋体"/>
          <w:color w:val="auto"/>
          <w:sz w:val="24"/>
          <w:szCs w:val="24"/>
          <w:lang w:val="en-US" w:eastAsia="zh-CN"/>
        </w:rPr>
        <w:t xml:space="preserve">  </w:t>
      </w:r>
    </w:p>
    <w:p>
      <w:pPr>
        <w:keepNext w:val="0"/>
        <w:keepLines w:val="0"/>
        <w:pageBreakBefore w:val="0"/>
        <w:widowControl w:val="0"/>
        <w:tabs>
          <w:tab w:val="center" w:pos="4153"/>
        </w:tabs>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b w:val="0"/>
          <w:bCs w:val="0"/>
          <w:color w:val="auto"/>
          <w:sz w:val="24"/>
          <w:szCs w:val="24"/>
          <w:lang w:val="en-US" w:eastAsia="zh-CN"/>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w:t>
      </w:r>
      <w:r>
        <w:rPr>
          <w:rFonts w:hint="eastAsia" w:ascii="宋体" w:hAnsi="宋体" w:eastAsia="宋体" w:cs="宋体"/>
          <w:b w:val="0"/>
          <w:bCs w:val="0"/>
          <w:color w:val="auto"/>
          <w:sz w:val="24"/>
          <w:szCs w:val="24"/>
        </w:rPr>
        <w:t>技术能力方面</w:t>
      </w:r>
      <w:r>
        <w:rPr>
          <w:rFonts w:hint="eastAsia" w:ascii="宋体" w:hAnsi="宋体" w:eastAsia="宋体" w:cs="宋体"/>
          <w:b w:val="0"/>
          <w:bCs w:val="0"/>
          <w:color w:val="auto"/>
          <w:sz w:val="24"/>
          <w:szCs w:val="24"/>
          <w:lang w:eastAsia="zh-CN"/>
        </w:rPr>
        <w:t>：</w:t>
      </w:r>
      <w:r>
        <w:rPr>
          <w:rFonts w:hint="eastAsia" w:ascii="宋体" w:hAnsi="宋体" w:cs="宋体"/>
          <w:b w:val="0"/>
          <w:bCs w:val="0"/>
          <w:color w:val="auto"/>
          <w:sz w:val="24"/>
          <w:szCs w:val="24"/>
          <w:lang w:val="en-US" w:eastAsia="zh-CN"/>
        </w:rPr>
        <w:t>熟悉</w:t>
      </w:r>
      <w:r>
        <w:rPr>
          <w:rFonts w:hint="eastAsia" w:ascii="宋体" w:hAnsi="宋体"/>
          <w:b w:val="0"/>
          <w:bCs w:val="0"/>
          <w:color w:val="auto"/>
          <w:sz w:val="24"/>
          <w:szCs w:val="24"/>
          <w:lang w:val="en-US" w:eastAsia="zh-CN"/>
        </w:rPr>
        <w:t>行车</w:t>
      </w:r>
      <w:r>
        <w:rPr>
          <w:rFonts w:hint="eastAsia" w:ascii="宋体" w:hAnsi="宋体" w:eastAsia="宋体"/>
          <w:b w:val="0"/>
          <w:bCs w:val="0"/>
          <w:color w:val="auto"/>
          <w:sz w:val="24"/>
          <w:szCs w:val="24"/>
        </w:rPr>
        <w:t>系统</w:t>
      </w:r>
      <w:r>
        <w:rPr>
          <w:rFonts w:hint="eastAsia" w:ascii="宋体" w:hAnsi="宋体" w:cs="宋体"/>
          <w:b w:val="0"/>
          <w:bCs w:val="0"/>
          <w:color w:val="auto"/>
          <w:sz w:val="24"/>
          <w:szCs w:val="24"/>
          <w:lang w:val="en-US" w:eastAsia="zh-CN"/>
        </w:rPr>
        <w:t>工作原理、结构及控制系统</w:t>
      </w:r>
      <w:r>
        <w:rPr>
          <w:rFonts w:hint="eastAsia" w:ascii="宋体" w:hAnsi="宋体" w:eastAsia="宋体" w:cs="宋体"/>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color w:val="auto"/>
          <w:sz w:val="24"/>
          <w:szCs w:val="24"/>
          <w:lang w:val="en-US" w:eastAsia="zh-CN"/>
        </w:rPr>
      </w:pPr>
      <w:r>
        <w:rPr>
          <w:rFonts w:hint="eastAsia" w:ascii="宋体" w:hAnsi="宋体" w:cs="宋体"/>
          <w:b w:val="0"/>
          <w:bCs w:val="0"/>
          <w:color w:val="auto"/>
          <w:sz w:val="24"/>
          <w:szCs w:val="24"/>
          <w:lang w:val="en-US" w:eastAsia="zh-CN"/>
        </w:rPr>
        <w:t xml:space="preserve">  3、</w:t>
      </w:r>
      <w:r>
        <w:rPr>
          <w:rFonts w:hint="eastAsia" w:ascii="宋体" w:hAnsi="宋体" w:eastAsia="宋体"/>
          <w:b w:val="0"/>
          <w:bCs w:val="0"/>
          <w:sz w:val="24"/>
          <w:szCs w:val="24"/>
        </w:rPr>
        <w:t>对</w:t>
      </w:r>
      <w:r>
        <w:rPr>
          <w:rFonts w:hint="eastAsia" w:ascii="宋体" w:hAnsi="宋体"/>
          <w:b w:val="0"/>
          <w:bCs w:val="0"/>
          <w:sz w:val="24"/>
          <w:szCs w:val="24"/>
          <w:lang w:val="en-US" w:eastAsia="zh-CN"/>
        </w:rPr>
        <w:t>行车</w:t>
      </w:r>
      <w:r>
        <w:rPr>
          <w:rFonts w:hint="eastAsia" w:ascii="宋体" w:hAnsi="宋体" w:eastAsia="宋体"/>
          <w:b w:val="0"/>
          <w:bCs w:val="0"/>
          <w:sz w:val="24"/>
          <w:szCs w:val="24"/>
        </w:rPr>
        <w:t>系统进行专业</w:t>
      </w:r>
      <w:r>
        <w:rPr>
          <w:rFonts w:hint="eastAsia" w:ascii="宋体" w:hAnsi="宋体"/>
          <w:b w:val="0"/>
          <w:bCs w:val="0"/>
          <w:sz w:val="24"/>
          <w:szCs w:val="24"/>
          <w:lang w:val="en-US" w:eastAsia="zh-CN"/>
        </w:rPr>
        <w:t>搬迁安装及维修</w:t>
      </w:r>
      <w:r>
        <w:rPr>
          <w:rFonts w:hint="eastAsia" w:ascii="宋体" w:hAnsi="宋体" w:eastAsia="宋体"/>
          <w:b w:val="0"/>
          <w:bCs w:val="0"/>
          <w:sz w:val="24"/>
          <w:szCs w:val="24"/>
          <w:lang w:eastAsia="zh-CN"/>
        </w:rPr>
        <w:t>，</w:t>
      </w:r>
      <w:r>
        <w:rPr>
          <w:rFonts w:hint="eastAsia" w:ascii="宋体" w:hAnsi="宋体" w:cs="宋体"/>
          <w:b w:val="0"/>
          <w:bCs w:val="0"/>
          <w:color w:val="auto"/>
          <w:sz w:val="24"/>
          <w:szCs w:val="24"/>
          <w:lang w:val="en-US" w:eastAsia="zh-CN"/>
        </w:rPr>
        <w:t>施工前承揽方先制定施工方案，经甲方评审同意后进行实施。</w:t>
      </w:r>
    </w:p>
    <w:p>
      <w:pPr>
        <w:pStyle w:val="3"/>
        <w:snapToGrid w:val="0"/>
        <w:spacing w:line="360" w:lineRule="auto"/>
        <w:rPr>
          <w:rFonts w:hint="eastAsia" w:ascii="宋体" w:hAnsi="宋体" w:cs="宋体"/>
          <w:b w:val="0"/>
          <w:bCs w:val="0"/>
        </w:rPr>
      </w:pPr>
    </w:p>
    <w:p>
      <w:pPr>
        <w:pStyle w:val="3"/>
        <w:numPr>
          <w:ilvl w:val="0"/>
          <w:numId w:val="0"/>
        </w:numPr>
        <w:snapToGrid w:val="0"/>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四、</w:t>
      </w:r>
      <w:r>
        <w:rPr>
          <w:rFonts w:hint="eastAsia" w:ascii="宋体" w:hAnsi="宋体" w:eastAsia="宋体" w:cs="宋体"/>
          <w:b/>
          <w:bCs/>
          <w:sz w:val="24"/>
          <w:szCs w:val="24"/>
          <w:highlight w:val="none"/>
        </w:rPr>
        <w:t>通用安全要求：</w:t>
      </w:r>
    </w:p>
    <w:p>
      <w:pPr>
        <w:numPr>
          <w:ilvl w:val="0"/>
          <w:numId w:val="2"/>
        </w:numPr>
        <w:autoSpaceDE w:val="0"/>
        <w:snapToGrid w:val="0"/>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投标单位施工前须提供详细的安全施工措施并经招标方认可，签订《安全协议》；</w:t>
      </w:r>
    </w:p>
    <w:p>
      <w:pPr>
        <w:pStyle w:val="2"/>
        <w:numPr>
          <w:ilvl w:val="0"/>
          <w:numId w:val="2"/>
        </w:numPr>
        <w:snapToGrid w:val="0"/>
        <w:spacing w:after="0" w:line="360" w:lineRule="auto"/>
        <w:rPr>
          <w:rFonts w:hint="eastAsia" w:ascii="宋体" w:hAnsi="宋体" w:eastAsia="宋体" w:cs="宋体"/>
          <w:sz w:val="24"/>
          <w:szCs w:val="24"/>
          <w:highlight w:val="none"/>
        </w:rPr>
      </w:pPr>
      <w:r>
        <w:rPr>
          <w:rFonts w:hint="eastAsia" w:ascii="宋体" w:hAnsi="宋体" w:eastAsia="宋体" w:cs="宋体"/>
          <w:bCs/>
          <w:sz w:val="24"/>
          <w:szCs w:val="24"/>
          <w:highlight w:val="none"/>
        </w:rPr>
        <w:t>投标单位对</w:t>
      </w:r>
      <w:r>
        <w:rPr>
          <w:rFonts w:hint="eastAsia" w:ascii="宋体" w:hAnsi="宋体" w:eastAsia="宋体" w:cs="宋体"/>
          <w:bCs/>
          <w:sz w:val="24"/>
          <w:szCs w:val="24"/>
          <w:highlight w:val="none"/>
          <w:lang w:val="en-US" w:eastAsia="zh-CN"/>
        </w:rPr>
        <w:t>加注机设备</w:t>
      </w:r>
      <w:r>
        <w:rPr>
          <w:rFonts w:hint="eastAsia" w:ascii="宋体" w:hAnsi="宋体" w:eastAsia="宋体" w:cs="宋体"/>
          <w:bCs/>
          <w:sz w:val="24"/>
          <w:szCs w:val="24"/>
          <w:highlight w:val="none"/>
        </w:rPr>
        <w:t>的</w:t>
      </w:r>
      <w:r>
        <w:rPr>
          <w:rFonts w:hint="eastAsia" w:ascii="宋体" w:hAnsi="宋体" w:eastAsia="宋体" w:cs="宋体"/>
          <w:bCs/>
          <w:sz w:val="24"/>
          <w:szCs w:val="24"/>
          <w:highlight w:val="none"/>
          <w:lang w:val="en-US" w:eastAsia="zh-CN"/>
        </w:rPr>
        <w:t>改造</w:t>
      </w:r>
      <w:r>
        <w:rPr>
          <w:rFonts w:hint="eastAsia" w:ascii="宋体" w:hAnsi="宋体" w:eastAsia="宋体" w:cs="宋体"/>
          <w:bCs/>
          <w:sz w:val="24"/>
          <w:szCs w:val="24"/>
          <w:highlight w:val="none"/>
        </w:rPr>
        <w:t>和</w:t>
      </w:r>
      <w:r>
        <w:rPr>
          <w:rFonts w:hint="eastAsia" w:ascii="宋体" w:hAnsi="宋体" w:eastAsia="宋体" w:cs="宋体"/>
          <w:bCs/>
          <w:sz w:val="24"/>
          <w:szCs w:val="24"/>
          <w:highlight w:val="none"/>
          <w:lang w:val="en-US" w:eastAsia="zh-CN"/>
        </w:rPr>
        <w:t>维修</w:t>
      </w:r>
      <w:r>
        <w:rPr>
          <w:rFonts w:hint="eastAsia" w:ascii="宋体" w:hAnsi="宋体" w:eastAsia="宋体" w:cs="宋体"/>
          <w:bCs/>
          <w:sz w:val="24"/>
          <w:szCs w:val="24"/>
          <w:highlight w:val="none"/>
        </w:rPr>
        <w:t>必须严格遵循或高于所涉及的中国国家标准、行业标准执行及招标方相关规范和企业标准；</w:t>
      </w:r>
    </w:p>
    <w:p>
      <w:pPr>
        <w:pStyle w:val="3"/>
        <w:numPr>
          <w:ilvl w:val="0"/>
          <w:numId w:val="2"/>
        </w:numPr>
        <w:snapToGrid w:val="0"/>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投标单位在整个项目过程中必须严格执行招标方及国家相关安全、消防等法律、法规；</w:t>
      </w:r>
    </w:p>
    <w:p>
      <w:pPr>
        <w:pStyle w:val="3"/>
        <w:numPr>
          <w:ilvl w:val="0"/>
          <w:numId w:val="2"/>
        </w:numPr>
        <w:snapToGrid w:val="0"/>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进入现场所有的特种工必须持有操作资格证（如电工、焊工、高空作业证、有限空间作业证等）；</w:t>
      </w:r>
    </w:p>
    <w:p>
      <w:pPr>
        <w:pStyle w:val="3"/>
        <w:numPr>
          <w:ilvl w:val="0"/>
          <w:numId w:val="2"/>
        </w:numPr>
        <w:snapToGrid w:val="0"/>
        <w:spacing w:line="360" w:lineRule="auto"/>
        <w:rPr>
          <w:rFonts w:hint="eastAsia" w:ascii="宋体" w:hAnsi="宋体" w:eastAsia="宋体" w:cs="宋体"/>
          <w:bCs/>
          <w:sz w:val="24"/>
          <w:szCs w:val="24"/>
          <w:highlight w:val="none"/>
        </w:rPr>
      </w:pPr>
      <w:r>
        <w:rPr>
          <w:rFonts w:hint="eastAsia" w:ascii="宋体" w:hAnsi="宋体" w:eastAsia="宋体" w:cs="宋体"/>
          <w:sz w:val="24"/>
          <w:szCs w:val="24"/>
          <w:highlight w:val="none"/>
        </w:rPr>
        <w:t>保证生产及安全，需采用隔栏或围墙的形式将施工区域与生产区域隔开，</w:t>
      </w:r>
      <w:r>
        <w:rPr>
          <w:rFonts w:hint="eastAsia" w:ascii="宋体" w:hAnsi="宋体" w:eastAsia="宋体" w:cs="宋体"/>
          <w:sz w:val="24"/>
          <w:szCs w:val="24"/>
          <w:highlight w:val="none"/>
          <w:shd w:val="clear" w:color="auto" w:fill="FCFCFC"/>
        </w:rPr>
        <w:t>可靠封闭，防止围栏带电、倒塌，防止无关人员进入，并设专人值守，下班后与现场值班人员做好安全交底。</w:t>
      </w:r>
      <w:r>
        <w:rPr>
          <w:rFonts w:hint="eastAsia" w:ascii="宋体" w:hAnsi="宋体" w:eastAsia="宋体" w:cs="宋体"/>
          <w:sz w:val="24"/>
          <w:szCs w:val="24"/>
          <w:highlight w:val="none"/>
        </w:rPr>
        <w:t>不能影响生产；</w:t>
      </w:r>
    </w:p>
    <w:p>
      <w:pPr>
        <w:pStyle w:val="3"/>
        <w:snapToGrid w:val="0"/>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6、</w:t>
      </w:r>
      <w:r>
        <w:rPr>
          <w:rFonts w:hint="eastAsia" w:ascii="宋体" w:hAnsi="宋体" w:eastAsia="宋体" w:cs="宋体"/>
          <w:sz w:val="24"/>
          <w:szCs w:val="24"/>
          <w:highlight w:val="none"/>
        </w:rPr>
        <w:t>施工前</w:t>
      </w:r>
      <w:r>
        <w:rPr>
          <w:rFonts w:hint="eastAsia" w:ascii="宋体" w:hAnsi="宋体" w:eastAsia="宋体" w:cs="宋体"/>
          <w:bCs/>
          <w:sz w:val="24"/>
          <w:szCs w:val="24"/>
          <w:highlight w:val="none"/>
        </w:rPr>
        <w:t>进入现场，需按要求办理出入证件，</w:t>
      </w:r>
      <w:r>
        <w:rPr>
          <w:rFonts w:hint="eastAsia" w:ascii="宋体" w:hAnsi="宋体" w:eastAsia="宋体" w:cs="宋体"/>
          <w:sz w:val="24"/>
          <w:szCs w:val="24"/>
          <w:highlight w:val="none"/>
          <w:shd w:val="clear" w:color="auto" w:fill="FCFCFC"/>
        </w:rPr>
        <w:t>进场施工人员相对固定，</w:t>
      </w:r>
      <w:r>
        <w:rPr>
          <w:rFonts w:hint="eastAsia" w:ascii="宋体" w:hAnsi="宋体" w:eastAsia="宋体" w:cs="宋体"/>
          <w:bCs/>
          <w:sz w:val="24"/>
          <w:szCs w:val="24"/>
          <w:highlight w:val="none"/>
        </w:rPr>
        <w:t>招标方协助相关证件的办理；须提供安全施工技术方案；</w:t>
      </w:r>
    </w:p>
    <w:p>
      <w:pPr>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7、所有进入现场的人员必须穿戴合适的劳保用品，例如劳保鞋、安全帽、带侧面保护的眼镜等，并对现场施工做安全标识、警示标识；</w:t>
      </w:r>
    </w:p>
    <w:p>
      <w:pPr>
        <w:autoSpaceDE w:val="0"/>
        <w:autoSpaceDN w:val="0"/>
        <w:adjustRightInd w:val="0"/>
        <w:spacing w:line="360" w:lineRule="auto"/>
        <w:jc w:val="left"/>
        <w:rPr>
          <w:rFonts w:hint="eastAsia" w:ascii="宋体" w:hAnsi="宋体" w:eastAsia="宋体" w:cs="宋体"/>
          <w:bCs/>
          <w:sz w:val="24"/>
          <w:szCs w:val="24"/>
          <w:highlight w:val="none"/>
        </w:rPr>
      </w:pPr>
      <w:r>
        <w:rPr>
          <w:rFonts w:hint="eastAsia" w:ascii="宋体" w:hAnsi="宋体" w:eastAsia="宋体" w:cs="宋体"/>
          <w:bCs/>
          <w:sz w:val="24"/>
          <w:szCs w:val="24"/>
          <w:highlight w:val="none"/>
        </w:rPr>
        <w:t>8、高处作业施工人员，严禁投掷物料，并</w:t>
      </w:r>
      <w:r>
        <w:rPr>
          <w:rFonts w:hint="eastAsia" w:ascii="宋体" w:hAnsi="宋体" w:cs="宋体"/>
          <w:bCs/>
          <w:sz w:val="24"/>
          <w:szCs w:val="24"/>
          <w:highlight w:val="none"/>
          <w:lang w:eastAsia="zh-CN"/>
        </w:rPr>
        <w:t>做好</w:t>
      </w:r>
      <w:r>
        <w:rPr>
          <w:rFonts w:hint="eastAsia" w:ascii="宋体" w:hAnsi="宋体" w:eastAsia="宋体" w:cs="宋体"/>
          <w:bCs/>
          <w:sz w:val="24"/>
          <w:szCs w:val="24"/>
          <w:highlight w:val="none"/>
        </w:rPr>
        <w:t>安全标识，做好防高处坠落、物体打击、防触电、防机械伤害的各项安全防护工作；</w:t>
      </w:r>
    </w:p>
    <w:p>
      <w:pPr>
        <w:autoSpaceDE w:val="0"/>
        <w:autoSpaceDN w:val="0"/>
        <w:adjustRightInd w:val="0"/>
        <w:spacing w:line="360" w:lineRule="auto"/>
        <w:jc w:val="left"/>
        <w:rPr>
          <w:rFonts w:hint="eastAsia" w:ascii="宋体" w:hAnsi="宋体" w:eastAsia="宋体" w:cs="宋体"/>
          <w:bCs/>
          <w:sz w:val="24"/>
          <w:szCs w:val="24"/>
          <w:highlight w:val="none"/>
        </w:rPr>
      </w:pPr>
      <w:r>
        <w:rPr>
          <w:rFonts w:hint="eastAsia" w:ascii="宋体" w:hAnsi="宋体" w:eastAsia="宋体" w:cs="宋体"/>
          <w:sz w:val="24"/>
          <w:szCs w:val="24"/>
          <w:highlight w:val="none"/>
        </w:rPr>
        <w:t>9、</w:t>
      </w:r>
      <w:r>
        <w:rPr>
          <w:rFonts w:hint="eastAsia" w:ascii="宋体" w:hAnsi="宋体" w:eastAsia="宋体" w:cs="宋体"/>
          <w:bCs/>
          <w:sz w:val="24"/>
          <w:szCs w:val="24"/>
          <w:highlight w:val="none"/>
        </w:rPr>
        <w:t>现场的各种安全防护设施，未经招标方批准，任何人不准随意拆改；</w:t>
      </w:r>
    </w:p>
    <w:p>
      <w:pPr>
        <w:spacing w:line="360" w:lineRule="auto"/>
        <w:rPr>
          <w:rFonts w:hint="eastAsia" w:ascii="宋体" w:hAnsi="宋体" w:eastAsia="宋体" w:cs="宋体"/>
          <w:bCs/>
          <w:sz w:val="24"/>
          <w:szCs w:val="24"/>
          <w:highlight w:val="none"/>
        </w:rPr>
      </w:pPr>
      <w:r>
        <w:rPr>
          <w:rFonts w:hint="eastAsia" w:ascii="宋体" w:hAnsi="宋体" w:eastAsia="宋体" w:cs="宋体"/>
          <w:sz w:val="24"/>
          <w:szCs w:val="24"/>
          <w:highlight w:val="none"/>
        </w:rPr>
        <w:t>10、</w:t>
      </w:r>
      <w:r>
        <w:rPr>
          <w:rFonts w:hint="eastAsia" w:ascii="宋体" w:hAnsi="宋体" w:eastAsia="宋体" w:cs="宋体"/>
          <w:bCs/>
          <w:sz w:val="24"/>
          <w:szCs w:val="24"/>
          <w:highlight w:val="none"/>
        </w:rPr>
        <w:t>设备的安全与环保要求必须符合国家标准，在运转过程中应保证安全、可靠，无漏电、漏气现象；</w:t>
      </w:r>
    </w:p>
    <w:p>
      <w:pPr>
        <w:spacing w:line="360" w:lineRule="auto"/>
        <w:rPr>
          <w:rFonts w:hint="eastAsia" w:ascii="宋体" w:hAnsi="宋体" w:eastAsia="宋体" w:cs="宋体"/>
          <w:bCs/>
          <w:sz w:val="24"/>
          <w:szCs w:val="24"/>
          <w:highlight w:val="none"/>
        </w:rPr>
      </w:pPr>
      <w:r>
        <w:rPr>
          <w:rFonts w:hint="eastAsia" w:ascii="宋体" w:hAnsi="宋体" w:eastAsia="宋体" w:cs="宋体"/>
          <w:sz w:val="24"/>
          <w:szCs w:val="24"/>
          <w:highlight w:val="none"/>
        </w:rPr>
        <w:t>11、</w:t>
      </w:r>
      <w:r>
        <w:rPr>
          <w:rFonts w:hint="eastAsia" w:ascii="宋体" w:hAnsi="宋体" w:eastAsia="宋体" w:cs="宋体"/>
          <w:bCs/>
          <w:sz w:val="24"/>
          <w:szCs w:val="24"/>
          <w:highlight w:val="none"/>
        </w:rPr>
        <w:t>现场施工时，必须严格遵守招标方制定的安全、防火规定和其它规章制度，遵守国家各项安全制度，并制订安全预案，文明施工，如因投标单位施工不遵守规章制度而造成的各种损失由投标单位负全责；</w:t>
      </w:r>
    </w:p>
    <w:p>
      <w:pPr>
        <w:spacing w:line="360" w:lineRule="auto"/>
        <w:rPr>
          <w:rFonts w:hint="eastAsia" w:ascii="宋体" w:hAnsi="宋体" w:eastAsia="宋体" w:cs="宋体"/>
          <w:sz w:val="24"/>
          <w:szCs w:val="24"/>
          <w:highlight w:val="none"/>
        </w:rPr>
      </w:pPr>
      <w:r>
        <w:rPr>
          <w:rFonts w:hint="eastAsia" w:ascii="宋体" w:hAnsi="宋体" w:eastAsia="宋体" w:cs="宋体"/>
          <w:bCs/>
          <w:sz w:val="24"/>
          <w:szCs w:val="24"/>
          <w:highlight w:val="none"/>
        </w:rPr>
        <w:t>12、</w:t>
      </w:r>
      <w:r>
        <w:rPr>
          <w:rFonts w:hint="eastAsia" w:ascii="宋体" w:hAnsi="宋体" w:eastAsia="宋体" w:cs="宋体"/>
          <w:sz w:val="24"/>
          <w:szCs w:val="24"/>
          <w:highlight w:val="none"/>
        </w:rPr>
        <w:t>在进入厂房前，所有的车辆，包括起重机、叉车、运营车、运输车辆等达到安全使用标准，须听从招标方指挥。</w:t>
      </w:r>
    </w:p>
    <w:p>
      <w:pPr>
        <w:pStyle w:val="2"/>
        <w:rPr>
          <w:rFonts w:hint="eastAsia"/>
        </w:rPr>
      </w:pPr>
    </w:p>
    <w:p>
      <w:pPr>
        <w:pStyle w:val="2"/>
        <w:numPr>
          <w:ilvl w:val="0"/>
          <w:numId w:val="3"/>
        </w:numPr>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施工基本要求：</w:t>
      </w:r>
    </w:p>
    <w:p>
      <w:pPr>
        <w:numPr>
          <w:ilvl w:val="0"/>
          <w:numId w:val="4"/>
        </w:numPr>
        <w:spacing w:line="360" w:lineRule="auto"/>
        <w:ind w:left="0" w:leftChars="0" w:firstLine="420" w:firstLineChars="200"/>
        <w:jc w:val="left"/>
        <w:rPr>
          <w:rFonts w:hint="default" w:ascii="宋体" w:hAnsi="宋体" w:eastAsia="宋体" w:cs="宋体"/>
          <w:lang w:val="en-US" w:eastAsia="zh-CN"/>
        </w:rPr>
      </w:pPr>
      <w:r>
        <w:rPr>
          <w:rFonts w:hint="eastAsia" w:ascii="宋体" w:hAnsi="宋体" w:eastAsia="宋体" w:cs="宋体"/>
        </w:rPr>
        <w:t>地点：中国重汽集团济南卡车制造公司</w:t>
      </w:r>
      <w:r>
        <w:rPr>
          <w:rFonts w:hint="eastAsia" w:ascii="宋体" w:hAnsi="宋体" w:eastAsia="宋体" w:cs="宋体"/>
          <w:lang w:val="en-US" w:eastAsia="zh-CN"/>
        </w:rPr>
        <w:t xml:space="preserve">党家庄工厂  </w:t>
      </w:r>
    </w:p>
    <w:p>
      <w:pPr>
        <w:numPr>
          <w:ilvl w:val="0"/>
          <w:numId w:val="4"/>
        </w:numPr>
        <w:spacing w:line="360" w:lineRule="auto"/>
        <w:ind w:left="0" w:leftChars="0" w:firstLine="420" w:firstLineChars="200"/>
        <w:jc w:val="left"/>
        <w:rPr>
          <w:rFonts w:hint="eastAsia" w:ascii="宋体" w:hAnsi="宋体" w:eastAsia="宋体" w:cs="宋体"/>
        </w:rPr>
      </w:pPr>
      <w:r>
        <w:rPr>
          <w:rFonts w:hint="eastAsia" w:ascii="宋体" w:hAnsi="宋体" w:eastAsia="宋体" w:cs="宋体"/>
        </w:rPr>
        <w:t>时间：自合同签定之日起根据招标方生产安排施工，</w:t>
      </w:r>
      <w:r>
        <w:rPr>
          <w:rFonts w:hint="eastAsia" w:ascii="宋体" w:hAnsi="宋体" w:eastAsia="宋体" w:cs="宋体"/>
          <w:lang w:val="en-US" w:eastAsia="zh-CN"/>
        </w:rPr>
        <w:t>施工周期30天（含设备采购期）。</w:t>
      </w:r>
    </w:p>
    <w:p>
      <w:pPr>
        <w:numPr>
          <w:ilvl w:val="0"/>
          <w:numId w:val="4"/>
        </w:numPr>
        <w:spacing w:line="360" w:lineRule="auto"/>
        <w:ind w:left="0" w:leftChars="0" w:firstLine="420" w:firstLineChars="200"/>
        <w:jc w:val="left"/>
        <w:rPr>
          <w:rFonts w:hint="eastAsia" w:ascii="宋体" w:hAnsi="宋体" w:eastAsia="宋体" w:cs="宋体"/>
        </w:rPr>
      </w:pPr>
      <w:r>
        <w:rPr>
          <w:rFonts w:hint="eastAsia" w:ascii="宋体" w:hAnsi="宋体" w:eastAsia="宋体" w:cs="宋体"/>
        </w:rPr>
        <w:t>质保期：投标方所提供承揽服务/技术涉及的全部供货范围内的配件、材料、资料、技术等，除合同特别约定外，均自终验收签字生效之日起，不低于12个月（如有更长时间质保期，可在投标文件中说明）。在质保期内，承包内容出现的任何质量问题，施工方在接到业主的通知后2小时内到达现场整改，并按要求期限整改完毕。（费用由责任方承担）</w:t>
      </w:r>
    </w:p>
    <w:p>
      <w:pPr>
        <w:numPr>
          <w:ilvl w:val="0"/>
          <w:numId w:val="4"/>
        </w:numPr>
        <w:spacing w:line="360" w:lineRule="auto"/>
        <w:ind w:left="0" w:leftChars="0" w:firstLine="420" w:firstLineChars="200"/>
        <w:jc w:val="left"/>
        <w:rPr>
          <w:rFonts w:hint="eastAsia" w:ascii="宋体" w:hAnsi="宋体" w:eastAsia="宋体" w:cs="宋体"/>
        </w:rPr>
      </w:pPr>
      <w:r>
        <w:rPr>
          <w:rFonts w:hint="eastAsia" w:ascii="宋体" w:hAnsi="宋体" w:eastAsia="宋体" w:cs="宋体"/>
        </w:rPr>
        <w:t>施工方须按招标方指定的时间、地点</w:t>
      </w:r>
      <w:r>
        <w:rPr>
          <w:rFonts w:hint="eastAsia" w:ascii="宋体" w:hAnsi="宋体" w:eastAsia="宋体" w:cs="宋体"/>
          <w:lang w:val="en-US" w:eastAsia="zh-CN"/>
        </w:rPr>
        <w:t>进行安装、更换、维修</w:t>
      </w:r>
      <w:r>
        <w:rPr>
          <w:rFonts w:hint="eastAsia" w:ascii="宋体" w:hAnsi="宋体" w:eastAsia="宋体" w:cs="宋体"/>
        </w:rPr>
        <w:t>。</w:t>
      </w:r>
    </w:p>
    <w:p>
      <w:pPr>
        <w:numPr>
          <w:ilvl w:val="0"/>
          <w:numId w:val="4"/>
        </w:numPr>
        <w:spacing w:line="360" w:lineRule="auto"/>
        <w:ind w:left="0" w:leftChars="0" w:firstLine="420" w:firstLineChars="200"/>
        <w:jc w:val="left"/>
        <w:rPr>
          <w:rFonts w:hint="eastAsia" w:ascii="宋体" w:hAnsi="宋体" w:eastAsia="宋体" w:cs="宋体"/>
        </w:rPr>
      </w:pPr>
      <w:r>
        <w:rPr>
          <w:rFonts w:hint="eastAsia" w:ascii="宋体" w:hAnsi="宋体" w:eastAsia="宋体" w:cs="宋体"/>
        </w:rPr>
        <w:t>根据设备设施工作状况、脏污程度及设备所处的环境温度确定合理完善的施工方案。</w:t>
      </w:r>
    </w:p>
    <w:p>
      <w:pPr>
        <w:numPr>
          <w:ilvl w:val="0"/>
          <w:numId w:val="4"/>
        </w:numPr>
        <w:spacing w:line="360" w:lineRule="auto"/>
        <w:ind w:left="0" w:leftChars="0" w:firstLine="420" w:firstLineChars="200"/>
        <w:jc w:val="left"/>
        <w:rPr>
          <w:rFonts w:hint="eastAsia" w:ascii="宋体" w:hAnsi="宋体" w:eastAsia="宋体" w:cs="宋体"/>
        </w:rPr>
      </w:pPr>
      <w:r>
        <w:rPr>
          <w:rFonts w:hint="eastAsia" w:ascii="宋体" w:hAnsi="宋体" w:eastAsia="宋体" w:cs="宋体"/>
        </w:rPr>
        <w:t>检修维护前后双方需视频记录或拍照留存，作为项目开展的实际工作及项目验收依据之一。</w:t>
      </w:r>
    </w:p>
    <w:p>
      <w:pPr>
        <w:numPr>
          <w:ilvl w:val="0"/>
          <w:numId w:val="4"/>
        </w:numPr>
        <w:spacing w:line="360" w:lineRule="auto"/>
        <w:ind w:left="0" w:leftChars="0" w:firstLine="420" w:firstLineChars="200"/>
        <w:jc w:val="left"/>
        <w:rPr>
          <w:rFonts w:hint="eastAsia" w:ascii="宋体" w:hAnsi="宋体" w:eastAsia="宋体" w:cs="宋体"/>
        </w:rPr>
      </w:pPr>
      <w:r>
        <w:rPr>
          <w:rFonts w:hint="eastAsia" w:ascii="宋体" w:hAnsi="宋体" w:eastAsia="宋体" w:cs="宋体"/>
        </w:rPr>
        <w:t>施工方检修维护完毕后，需清理现场产生的垃圾并负责合规处置。</w:t>
      </w:r>
    </w:p>
    <w:p>
      <w:pPr>
        <w:numPr>
          <w:ilvl w:val="0"/>
          <w:numId w:val="4"/>
        </w:numPr>
        <w:spacing w:line="360" w:lineRule="auto"/>
        <w:ind w:left="0" w:leftChars="0" w:firstLine="420" w:firstLineChars="200"/>
        <w:jc w:val="left"/>
        <w:rPr>
          <w:rFonts w:hint="eastAsia" w:ascii="宋体" w:hAnsi="宋体" w:eastAsia="宋体" w:cs="宋体"/>
        </w:rPr>
      </w:pPr>
      <w:r>
        <w:rPr>
          <w:rFonts w:hint="eastAsia" w:ascii="宋体" w:hAnsi="宋体" w:eastAsia="宋体" w:cs="宋体"/>
        </w:rPr>
        <w:t>施工方应严格按照相关规范操作并遵守卡车公司相关规章制度，切记佩戴好个人防护措施，安全作业。</w:t>
      </w:r>
    </w:p>
    <w:p>
      <w:pPr>
        <w:numPr>
          <w:ilvl w:val="0"/>
          <w:numId w:val="4"/>
        </w:numPr>
        <w:spacing w:line="360" w:lineRule="auto"/>
        <w:ind w:left="0" w:leftChars="0" w:firstLine="420" w:firstLineChars="200"/>
        <w:jc w:val="left"/>
        <w:rPr>
          <w:rFonts w:hint="eastAsia" w:ascii="宋体" w:hAnsi="宋体" w:eastAsia="宋体" w:cs="宋体"/>
        </w:rPr>
      </w:pPr>
      <w:r>
        <w:rPr>
          <w:rFonts w:hint="eastAsia" w:ascii="宋体" w:hAnsi="宋体" w:eastAsia="宋体" w:cs="宋体"/>
        </w:rPr>
        <w:t>在维护过程中、后，由于施工方维护不当造成招标方设备、零部件损坏的、人员受伤等，由施工方承担由此造成的损失并负全部责任。</w:t>
      </w:r>
    </w:p>
    <w:p>
      <w:pPr>
        <w:numPr>
          <w:ilvl w:val="0"/>
          <w:numId w:val="4"/>
        </w:numPr>
        <w:spacing w:line="360" w:lineRule="auto"/>
        <w:ind w:left="0" w:leftChars="0" w:firstLine="420" w:firstLineChars="200"/>
        <w:jc w:val="left"/>
        <w:rPr>
          <w:rFonts w:hint="eastAsia" w:ascii="宋体" w:hAnsi="宋体" w:eastAsia="宋体" w:cs="宋体"/>
        </w:rPr>
      </w:pPr>
      <w:r>
        <w:rPr>
          <w:rFonts w:hint="eastAsia" w:ascii="宋体" w:hAnsi="宋体" w:eastAsia="宋体" w:cs="宋体"/>
        </w:rPr>
        <w:t>施工过</w:t>
      </w:r>
      <w:r>
        <w:rPr>
          <w:rFonts w:hint="eastAsia" w:ascii="宋体" w:hAnsi="宋体" w:eastAsia="宋体" w:cs="宋体"/>
          <w:lang w:eastAsia="zh-CN"/>
        </w:rPr>
        <w:t>程中</w:t>
      </w:r>
      <w:r>
        <w:rPr>
          <w:rFonts w:hint="eastAsia" w:ascii="宋体" w:hAnsi="宋体" w:eastAsia="宋体" w:cs="宋体"/>
        </w:rPr>
        <w:t>必须</w:t>
      </w:r>
      <w:r>
        <w:rPr>
          <w:rFonts w:hint="eastAsia" w:ascii="宋体" w:hAnsi="宋体" w:eastAsia="宋体" w:cs="宋体"/>
          <w:lang w:eastAsia="zh-CN"/>
        </w:rPr>
        <w:t>设置</w:t>
      </w:r>
      <w:r>
        <w:rPr>
          <w:rFonts w:hint="eastAsia" w:ascii="宋体" w:hAnsi="宋体" w:eastAsia="宋体" w:cs="宋体"/>
        </w:rPr>
        <w:t>安全警示标识，施工人员必须经过安全技术交底，且技能素质必须符合规定要求，取得相关带电作业资质，持证上岗。</w:t>
      </w:r>
    </w:p>
    <w:p>
      <w:pPr>
        <w:numPr>
          <w:ilvl w:val="0"/>
          <w:numId w:val="4"/>
        </w:numPr>
        <w:spacing w:line="360" w:lineRule="auto"/>
        <w:ind w:left="0" w:leftChars="0" w:firstLine="420" w:firstLineChars="200"/>
        <w:jc w:val="left"/>
        <w:rPr>
          <w:rFonts w:hint="eastAsia" w:ascii="宋体" w:hAnsi="宋体" w:eastAsia="宋体" w:cs="宋体"/>
        </w:rPr>
      </w:pPr>
      <w:r>
        <w:rPr>
          <w:rFonts w:hint="eastAsia" w:ascii="宋体" w:hAnsi="宋体" w:eastAsia="宋体" w:cs="宋体"/>
        </w:rPr>
        <w:t>在维修施工过程中，如发现问题及时汇报。</w:t>
      </w:r>
    </w:p>
    <w:p>
      <w:pPr>
        <w:numPr>
          <w:ilvl w:val="0"/>
          <w:numId w:val="4"/>
        </w:numPr>
        <w:spacing w:line="360" w:lineRule="auto"/>
        <w:ind w:left="0" w:leftChars="0" w:firstLine="420" w:firstLineChars="200"/>
        <w:jc w:val="left"/>
        <w:outlineLvl w:val="9"/>
        <w:rPr>
          <w:rFonts w:hint="eastAsia" w:ascii="宋体" w:hAnsi="宋体" w:eastAsia="宋体" w:cs="宋体"/>
          <w:b/>
          <w:bCs/>
          <w:kern w:val="2"/>
          <w:sz w:val="24"/>
          <w:szCs w:val="24"/>
          <w:highlight w:val="none"/>
          <w:lang w:val="en-US" w:eastAsia="zh-CN" w:bidi="ar-SA"/>
        </w:rPr>
      </w:pPr>
      <w:r>
        <w:rPr>
          <w:rFonts w:hint="eastAsia" w:ascii="宋体" w:hAnsi="宋体" w:eastAsia="宋体" w:cs="宋体"/>
        </w:rPr>
        <w:t>如因施工方产品质量问题或施工方违反安全规定、操作失误而发生的事故，一切责任由施工方承担。如因施工方安全</w:t>
      </w:r>
      <w:r>
        <w:rPr>
          <w:rFonts w:hint="eastAsia" w:ascii="宋体" w:hAnsi="宋体" w:eastAsia="宋体" w:cs="宋体"/>
          <w:lang w:eastAsia="zh-CN"/>
        </w:rPr>
        <w:t>措施不力</w:t>
      </w:r>
      <w:r>
        <w:rPr>
          <w:rFonts w:hint="eastAsia" w:ascii="宋体" w:hAnsi="宋体" w:eastAsia="宋体" w:cs="宋体"/>
        </w:rPr>
        <w:t>造成事故的责任和因此发生的一切费用均由施工方承担；</w:t>
      </w:r>
    </w:p>
    <w:p>
      <w:pPr>
        <w:numPr>
          <w:ilvl w:val="0"/>
          <w:numId w:val="0"/>
        </w:numPr>
        <w:spacing w:line="360" w:lineRule="auto"/>
        <w:jc w:val="left"/>
        <w:outlineLvl w:val="9"/>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六、按照招标方的时间要求，完成以下维修工作内容：</w:t>
      </w:r>
    </w:p>
    <w:p>
      <w:pPr>
        <w:pStyle w:val="2"/>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（一）、总二东跨搬至总二西跨</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1.利用吊车将行车从东跨拆除，利用登高作业车将电动葫芦、端梁等附属设施拆除以方便运输.</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2.使用转运车辆将设备及附件搬运至至西跨指定位置。</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3.总二西跨车间车间顶棚影响吊车升降高度，利用登高作业车需要将部分顶棚拆卸</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4.在下方将设备主梁与端梁、电动葫芦等附属试组装完毕，进行初步机械及电气线路调试。</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5.调试完毕后，将行车吊装至车间上方指定位置，并进行运行测试，确保各方向运行平稳，限位有效。</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0" w:firstLineChars="0"/>
        <w:textAlignment w:val="auto"/>
        <w:rPr>
          <w:rFonts w:hint="eastAsia" w:ascii="宋体" w:hAnsi="宋体" w:eastAsia="宋体" w:cs="宋体"/>
          <w:b/>
          <w:bCs/>
          <w:kern w:val="2"/>
          <w:sz w:val="24"/>
          <w:szCs w:val="24"/>
          <w:highlight w:val="none"/>
          <w:lang w:val="en-US" w:eastAsia="zh-CN" w:bidi="ar-SA"/>
        </w:rPr>
      </w:pPr>
      <w:r>
        <w:rPr>
          <w:rFonts w:hint="eastAsia" w:ascii="宋体" w:hAnsi="宋体" w:cs="宋体"/>
          <w:b/>
          <w:bCs/>
          <w:kern w:val="2"/>
          <w:sz w:val="24"/>
          <w:szCs w:val="24"/>
          <w:highlight w:val="none"/>
          <w:lang w:val="en-US" w:eastAsia="zh-CN" w:bidi="ar-SA"/>
        </w:rPr>
        <w:t>（二）</w:t>
      </w:r>
      <w:r>
        <w:rPr>
          <w:rFonts w:hint="eastAsia" w:ascii="宋体" w:hAnsi="宋体" w:eastAsia="宋体" w:cs="宋体"/>
          <w:b/>
          <w:bCs/>
          <w:kern w:val="2"/>
          <w:sz w:val="24"/>
          <w:szCs w:val="24"/>
          <w:highlight w:val="none"/>
          <w:lang w:val="en-US" w:eastAsia="zh-CN" w:bidi="ar-SA"/>
        </w:rPr>
        <w:t>、总二西跨搬至总二中跨</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1.总二西跨车间顶棚影响吊车升降高度，利用登高作业车需要将部分顶棚拆卸</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2利用吊车将行车从西跨拆除，利用登高作业车将电动葫芦、端梁等附属设施拆除以方便运输.</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3.使用转运车辆将设备及附件搬运至至西跨指定位置。</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4.总二中跨车间车间顶棚影响吊车升降高度，利用登高作业车需要将部分顶棚拆卸</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5.在下方将设备主梁与端梁、电动葫芦等附属试组装完毕，进行初步机械及电气线路调试。</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6.调试完毕后，将行车吊装至车间上方指定位置，并进行运行测试，确保各方向运行平稳，限位有效。</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0" w:firstLineChars="0"/>
        <w:textAlignment w:val="auto"/>
        <w:rPr>
          <w:rFonts w:hint="eastAsia" w:ascii="宋体" w:hAnsi="宋体" w:eastAsia="宋体" w:cs="宋体"/>
          <w:b/>
          <w:bCs/>
          <w:kern w:val="2"/>
          <w:sz w:val="24"/>
          <w:szCs w:val="24"/>
          <w:highlight w:val="none"/>
          <w:lang w:val="en-US" w:eastAsia="zh-CN" w:bidi="ar-SA"/>
        </w:rPr>
      </w:pPr>
      <w:r>
        <w:rPr>
          <w:rFonts w:hint="eastAsia" w:ascii="宋体" w:hAnsi="宋体" w:cs="宋体"/>
          <w:b/>
          <w:bCs/>
          <w:kern w:val="2"/>
          <w:sz w:val="24"/>
          <w:szCs w:val="24"/>
          <w:highlight w:val="none"/>
          <w:lang w:val="en-US" w:eastAsia="zh-CN" w:bidi="ar-SA"/>
        </w:rPr>
        <w:t>（</w:t>
      </w:r>
      <w:r>
        <w:rPr>
          <w:rFonts w:hint="eastAsia" w:ascii="宋体" w:hAnsi="宋体" w:eastAsia="宋体" w:cs="宋体"/>
          <w:b/>
          <w:bCs/>
          <w:kern w:val="2"/>
          <w:sz w:val="24"/>
          <w:szCs w:val="24"/>
          <w:highlight w:val="none"/>
          <w:lang w:val="en-US" w:eastAsia="zh-CN" w:bidi="ar-SA"/>
        </w:rPr>
        <w:t>三</w:t>
      </w:r>
      <w:r>
        <w:rPr>
          <w:rFonts w:hint="eastAsia" w:ascii="宋体" w:hAnsi="宋体" w:cs="宋体"/>
          <w:b/>
          <w:bCs/>
          <w:kern w:val="2"/>
          <w:sz w:val="24"/>
          <w:szCs w:val="24"/>
          <w:highlight w:val="none"/>
          <w:lang w:val="en-US" w:eastAsia="zh-CN" w:bidi="ar-SA"/>
        </w:rPr>
        <w:t>）</w:t>
      </w:r>
      <w:r>
        <w:rPr>
          <w:rFonts w:hint="eastAsia" w:ascii="宋体" w:hAnsi="宋体" w:eastAsia="宋体" w:cs="宋体"/>
          <w:b/>
          <w:bCs/>
          <w:kern w:val="2"/>
          <w:sz w:val="24"/>
          <w:szCs w:val="24"/>
          <w:highlight w:val="none"/>
          <w:lang w:val="en-US" w:eastAsia="zh-CN" w:bidi="ar-SA"/>
        </w:rPr>
        <w:t>、试制-总装翻转车间</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1.试制车间顶棚影响吊车升降高度，利用登高作业车需要将部分顶棚拆卸</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2.利用吊车将行车从原车间拆除，利用登高作业车将电动葫芦、端梁等附属设施拆除以方便运输.</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3.使用转运车辆将设备及附件搬运至翻转车间指定位置。</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4.在下方将设备主梁与端梁、电动葫芦等附属试组装完毕，进行初步机械及电气线路调试。</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5.调试完毕后，将行车吊装至车间上方指定位置，并进行运行测试，确保各方向运行平稳，限位有效。</w:t>
      </w:r>
    </w:p>
    <w:p>
      <w:pPr>
        <w:pStyle w:val="3"/>
        <w:keepNext w:val="0"/>
        <w:keepLines w:val="0"/>
        <w:pageBreakBefore w:val="0"/>
        <w:widowControl w:val="0"/>
        <w:kinsoku/>
        <w:wordWrap/>
        <w:overflowPunct/>
        <w:topLinePunct w:val="0"/>
        <w:bidi w:val="0"/>
        <w:snapToGrid/>
        <w:spacing w:line="360" w:lineRule="auto"/>
        <w:ind w:firstLine="0" w:firstLineChars="0"/>
        <w:textAlignment w:val="auto"/>
        <w:rPr>
          <w:rFonts w:hint="eastAsia" w:ascii="宋体" w:hAnsi="宋体" w:eastAsia="宋体" w:cs="宋体"/>
          <w:b/>
          <w:bCs/>
          <w:kern w:val="2"/>
          <w:sz w:val="24"/>
          <w:szCs w:val="24"/>
          <w:highlight w:val="none"/>
          <w:lang w:val="en-US" w:eastAsia="zh-CN" w:bidi="ar-SA"/>
        </w:rPr>
      </w:pPr>
      <w:r>
        <w:rPr>
          <w:rFonts w:hint="eastAsia" w:ascii="宋体" w:hAnsi="宋体" w:cs="宋体"/>
          <w:b/>
          <w:bCs/>
          <w:kern w:val="2"/>
          <w:sz w:val="24"/>
          <w:szCs w:val="24"/>
          <w:highlight w:val="none"/>
          <w:lang w:val="en-US" w:eastAsia="zh-CN" w:bidi="ar-SA"/>
        </w:rPr>
        <w:t>（四）</w:t>
      </w:r>
      <w:r>
        <w:rPr>
          <w:rFonts w:hint="eastAsia" w:ascii="宋体" w:hAnsi="宋体" w:eastAsia="宋体" w:cs="宋体"/>
          <w:b/>
          <w:bCs/>
          <w:kern w:val="2"/>
          <w:sz w:val="24"/>
          <w:szCs w:val="24"/>
          <w:highlight w:val="none"/>
          <w:lang w:val="en-US" w:eastAsia="zh-CN" w:bidi="ar-SA"/>
        </w:rPr>
        <w:t>、总装翻转搬多合一分装行车改造搬迁</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1.利用吊车将行车从原车间拆除，利用登高作业车将电动葫芦、端梁等附属设施拆除以方便运输.</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2.行车搬迁至专用改造车间，将行车跨度由2T-13.5M改造为2T-10m跨度，以适应新车间。</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3.改造完成后，更换损坏的配件，进行整体防腐处理。。</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4.使用转运车辆将设备及附件搬运至多合一车间指定位置。</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5.在下方将设备主梁与端梁、电动葫芦等附属试组装完毕，进行初步机械及电气线路调试。</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6.调试完毕后，将行车吊装至车间上方指定位置，并进行运行测试，确保各方向运行平稳，限位有效。</w:t>
      </w:r>
    </w:p>
    <w:p>
      <w:pPr>
        <w:pStyle w:val="3"/>
        <w:keepNext w:val="0"/>
        <w:keepLines w:val="0"/>
        <w:pageBreakBefore w:val="0"/>
        <w:widowControl w:val="0"/>
        <w:kinsoku/>
        <w:wordWrap/>
        <w:overflowPunct/>
        <w:topLinePunct w:val="0"/>
        <w:bidi w:val="0"/>
        <w:snapToGrid/>
        <w:spacing w:line="360" w:lineRule="auto"/>
        <w:ind w:firstLine="0" w:firstLineChars="0"/>
        <w:textAlignment w:val="auto"/>
        <w:rPr>
          <w:rFonts w:hint="eastAsia" w:ascii="宋体" w:hAnsi="宋体" w:eastAsia="宋体" w:cs="宋体"/>
          <w:b/>
          <w:bCs/>
          <w:kern w:val="2"/>
          <w:sz w:val="24"/>
          <w:szCs w:val="24"/>
          <w:highlight w:val="none"/>
          <w:lang w:val="en-US" w:eastAsia="zh-CN" w:bidi="ar-SA"/>
        </w:rPr>
      </w:pPr>
      <w:r>
        <w:rPr>
          <w:rFonts w:hint="eastAsia" w:ascii="宋体" w:hAnsi="宋体" w:cs="宋体"/>
          <w:b/>
          <w:bCs/>
          <w:kern w:val="2"/>
          <w:sz w:val="24"/>
          <w:szCs w:val="24"/>
          <w:highlight w:val="none"/>
          <w:lang w:val="en-US" w:eastAsia="zh-CN" w:bidi="ar-SA"/>
        </w:rPr>
        <w:t>（五）</w:t>
      </w:r>
      <w:r>
        <w:rPr>
          <w:rFonts w:hint="eastAsia" w:ascii="宋体" w:hAnsi="宋体" w:eastAsia="宋体" w:cs="宋体"/>
          <w:b/>
          <w:bCs/>
          <w:kern w:val="2"/>
          <w:sz w:val="24"/>
          <w:szCs w:val="24"/>
          <w:highlight w:val="none"/>
          <w:lang w:val="en-US" w:eastAsia="zh-CN" w:bidi="ar-SA"/>
        </w:rPr>
        <w:t>、特种车-卡车备料</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1.特种车行车现车间为物流仓库，里面存放货架及货物，需要将仓库货架及货物拆除，并且清理出充足的空间，进行吊装和拆卸作业，。</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2.利用吊车将行车拆除，利用登高作业车将电动葫芦、端梁等附属设施拆除以方便运输.</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3.使用转运车辆将设备及附件由特种车搬运至党家庄指定位置。</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4.在下方将设备主梁与端梁、电动葫芦等附属试组装完毕，将损坏无法正常使用的配件更换完毕，进行初步机械及电气线路调试。</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5.调试完毕后，将行车吊装至车间上方指定位置，并进行运行测试，确保各方向运行平稳，限位有效。</w:t>
      </w:r>
    </w:p>
    <w:p>
      <w:pPr>
        <w:pStyle w:val="3"/>
        <w:keepNext w:val="0"/>
        <w:keepLines w:val="0"/>
        <w:pageBreakBefore w:val="0"/>
        <w:widowControl w:val="0"/>
        <w:kinsoku/>
        <w:wordWrap/>
        <w:overflowPunct/>
        <w:topLinePunct w:val="0"/>
        <w:bidi w:val="0"/>
        <w:snapToGrid/>
        <w:spacing w:line="360" w:lineRule="auto"/>
        <w:ind w:firstLine="0" w:firstLineChars="0"/>
        <w:textAlignment w:val="auto"/>
        <w:rPr>
          <w:rFonts w:hint="eastAsia" w:ascii="宋体" w:hAnsi="宋体" w:cs="宋体"/>
          <w:b/>
          <w:bCs/>
          <w:kern w:val="2"/>
          <w:sz w:val="24"/>
          <w:szCs w:val="24"/>
          <w:highlight w:val="none"/>
          <w:lang w:val="en-US" w:eastAsia="zh-CN" w:bidi="ar-SA"/>
        </w:rPr>
      </w:pPr>
      <w:r>
        <w:rPr>
          <w:rFonts w:hint="eastAsia" w:ascii="宋体" w:hAnsi="宋体" w:cs="宋体"/>
          <w:b/>
          <w:bCs/>
          <w:kern w:val="2"/>
          <w:sz w:val="24"/>
          <w:szCs w:val="24"/>
          <w:highlight w:val="none"/>
          <w:lang w:val="en-US" w:eastAsia="zh-CN" w:bidi="ar-SA"/>
        </w:rPr>
        <w:t>（六）、投标方需协助招标方办理特种设备移装后的登记注册工作。</w:t>
      </w:r>
    </w:p>
    <w:p>
      <w:pPr>
        <w:pStyle w:val="3"/>
        <w:keepNext w:val="0"/>
        <w:keepLines w:val="0"/>
        <w:pageBreakBefore w:val="0"/>
        <w:widowControl w:val="0"/>
        <w:numPr>
          <w:ilvl w:val="0"/>
          <w:numId w:val="0"/>
        </w:numPr>
        <w:kinsoku/>
        <w:wordWrap/>
        <w:overflowPunct/>
        <w:topLinePunct w:val="0"/>
        <w:bidi w:val="0"/>
        <w:snapToGrid/>
        <w:spacing w:line="360" w:lineRule="auto"/>
        <w:textAlignment w:val="auto"/>
        <w:rPr>
          <w:rFonts w:hint="eastAsia" w:asciiTheme="minorEastAsia" w:hAnsiTheme="minorEastAsia" w:eastAsiaTheme="minorEastAsia" w:cstheme="minorEastAsia"/>
          <w:b/>
          <w:bCs/>
          <w:color w:val="auto"/>
          <w:kern w:val="2"/>
          <w:sz w:val="24"/>
          <w:szCs w:val="24"/>
          <w:highlight w:val="none"/>
          <w:lang w:val="en-US" w:eastAsia="zh-CN" w:bidi="ar-SA"/>
        </w:rPr>
      </w:pPr>
      <w:r>
        <w:rPr>
          <w:rFonts w:hint="eastAsia" w:hAnsiTheme="minorHAnsi" w:cstheme="minorBidi"/>
          <w:b/>
          <w:bCs/>
          <w:color w:val="auto"/>
          <w:kern w:val="2"/>
          <w:sz w:val="28"/>
          <w:szCs w:val="28"/>
          <w:highlight w:val="none"/>
          <w:lang w:val="en-US" w:eastAsia="zh-CN" w:bidi="ar-SA"/>
        </w:rPr>
        <w:t>六、维修的参考明细表</w:t>
      </w:r>
      <w:r>
        <w:rPr>
          <w:rFonts w:hint="eastAsia" w:ascii="宋体" w:hAnsi="宋体"/>
          <w:color w:val="auto"/>
          <w:sz w:val="21"/>
          <w:szCs w:val="21"/>
          <w:lang w:val="en-US" w:eastAsia="zh-CN"/>
        </w:rPr>
        <w:t>：</w:t>
      </w:r>
    </w:p>
    <w:tbl>
      <w:tblPr>
        <w:tblStyle w:val="36"/>
        <w:tblW w:w="842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9"/>
        <w:gridCol w:w="1823"/>
        <w:gridCol w:w="1748"/>
        <w:gridCol w:w="1001"/>
        <w:gridCol w:w="957"/>
        <w:gridCol w:w="21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1" w:hRule="atLeast"/>
        </w:trPr>
        <w:tc>
          <w:tcPr>
            <w:tcW w:w="842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等线" w:hAnsi="等线" w:eastAsia="等线" w:cs="等线"/>
                <w:i w:val="0"/>
                <w:iCs w:val="0"/>
                <w:color w:val="000000"/>
                <w:sz w:val="32"/>
                <w:szCs w:val="32"/>
                <w:u w:val="none"/>
              </w:rPr>
            </w:pPr>
            <w:r>
              <w:rPr>
                <w:rFonts w:hint="eastAsia" w:ascii="宋体" w:hAnsi="宋体" w:eastAsia="宋体" w:cs="宋体"/>
                <w:b/>
                <w:bCs/>
                <w:color w:val="000000"/>
                <w:kern w:val="2"/>
                <w:sz w:val="24"/>
                <w:szCs w:val="24"/>
                <w:highlight w:val="none"/>
                <w:lang w:val="en-US" w:eastAsia="zh-CN" w:bidi="ar-SA"/>
              </w:rPr>
              <w:t>将单梁行车5T-22.5m由总二东跨搬迁至总二西跨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序号</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名称</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规格型号</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单位</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数量</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顶棚拆卸</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5T-22.5M</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行车拆除</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5T-22.5M</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行车安装调试</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5T-22.5M</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转运费</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5T-22.5M</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登高作业平台费</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5T-22.5M</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吊装费</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5T-22.5M</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验收费</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5T-22.5M</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trPr>
        <w:tc>
          <w:tcPr>
            <w:tcW w:w="842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等线" w:hAnsi="等线" w:eastAsia="等线" w:cs="等线"/>
                <w:i w:val="0"/>
                <w:iCs w:val="0"/>
                <w:color w:val="000000"/>
                <w:sz w:val="22"/>
                <w:szCs w:val="22"/>
                <w:u w:val="none"/>
              </w:rPr>
            </w:pPr>
            <w:r>
              <w:rPr>
                <w:rFonts w:hint="eastAsia" w:ascii="宋体" w:hAnsi="宋体" w:eastAsia="宋体" w:cs="宋体"/>
                <w:b/>
                <w:bCs/>
                <w:color w:val="000000"/>
                <w:kern w:val="2"/>
                <w:sz w:val="24"/>
                <w:szCs w:val="24"/>
                <w:highlight w:val="none"/>
                <w:lang w:val="en-US" w:eastAsia="zh-CN" w:bidi="ar-SA"/>
              </w:rPr>
              <w:t>单梁行车3T-22.5m由总二西跨搬迁至总二中跨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序号</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名称</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规格型号</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单位</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数量</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顶棚拆卸</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3T-22.5M</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行车拆除</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3T-22.5M</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行车安装调试</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3T-22.5M</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转运费</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3T-22.5M</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登高作业平台费</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3T-22.5M</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吊装费</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3T-22.5M</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验收费</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3T-22.5M</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7" w:hRule="atLeast"/>
        </w:trPr>
        <w:tc>
          <w:tcPr>
            <w:tcW w:w="8426"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等线" w:hAnsi="等线" w:eastAsia="等线" w:cs="等线"/>
                <w:i w:val="0"/>
                <w:iCs w:val="0"/>
                <w:color w:val="000000"/>
                <w:sz w:val="22"/>
                <w:szCs w:val="22"/>
                <w:u w:val="none"/>
              </w:rPr>
            </w:pPr>
            <w:r>
              <w:rPr>
                <w:rFonts w:hint="eastAsia" w:ascii="宋体" w:hAnsi="宋体" w:eastAsia="宋体" w:cs="宋体"/>
                <w:b/>
                <w:bCs/>
                <w:color w:val="000000"/>
                <w:kern w:val="2"/>
                <w:sz w:val="24"/>
                <w:szCs w:val="24"/>
                <w:highlight w:val="none"/>
                <w:lang w:val="en-US" w:eastAsia="zh-CN" w:bidi="ar-SA"/>
              </w:rPr>
              <w:t>单梁行车3T-16.5m由试制车间搬迁至总装翻转车间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序号</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名称</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规格型号</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单位</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数量</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顶棚拆卸</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3T-16.5M</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行车拆除</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3T-16.5M</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行车安装调试</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3T-16.5M</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转运费</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3T-16.5M</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高低脚集电器</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JD-4-40</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配件损坏，无法使用需更换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红外线防撞器</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TK-100</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配件损坏，无法使用需更换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登高作业平台费</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3T-16.5M</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吊装费</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3T-16.5M</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验收费</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3T-16.5M</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84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等线" w:hAnsi="等线" w:eastAsia="等线" w:cs="等线"/>
                <w:i w:val="0"/>
                <w:iCs w:val="0"/>
                <w:color w:val="000000"/>
                <w:sz w:val="22"/>
                <w:szCs w:val="22"/>
                <w:u w:val="none"/>
              </w:rPr>
            </w:pPr>
            <w:r>
              <w:rPr>
                <w:rFonts w:hint="eastAsia" w:ascii="宋体" w:hAnsi="宋体" w:eastAsia="宋体" w:cs="宋体"/>
                <w:b/>
                <w:bCs/>
                <w:color w:val="000000"/>
                <w:kern w:val="2"/>
                <w:sz w:val="24"/>
                <w:szCs w:val="24"/>
                <w:highlight w:val="none"/>
                <w:lang w:val="en-US" w:eastAsia="zh-CN" w:bidi="ar-SA"/>
              </w:rPr>
              <w:t>单梁行车2T-13.5m改造成2T-10M,并将行车由翻转车间搬迁至多合一分装车间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序号</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名称</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规格型号</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单位</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数量</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起重机改造费</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2T-10m</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起重机拆卸费</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2T-10m</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起重机安装费</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2T-10m</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登高作业平台费</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2T-10m</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转运费</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2T-10m</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防腐费</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2T-10m</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电缆线</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3*4mm²</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米</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70</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配件损坏，无法使用需更换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红外线防撞器</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TK-100</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配件损坏，无法使用需更换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柔性电缆</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5*4mm²+8*1.5mm²</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米</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配件损坏，无法使用需更换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行车控制屏</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GQPT-225</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配件损坏，无法使用需更换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行车电缆小车</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5T单梁行车使用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30</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配件损坏，无法使用需更换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吊车费</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16T</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84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r>
              <w:rPr>
                <w:rFonts w:hint="eastAsia" w:ascii="宋体" w:hAnsi="宋体" w:eastAsia="宋体" w:cs="宋体"/>
                <w:b/>
                <w:bCs/>
                <w:color w:val="000000"/>
                <w:kern w:val="2"/>
                <w:sz w:val="24"/>
                <w:szCs w:val="24"/>
                <w:highlight w:val="none"/>
                <w:lang w:val="en-US" w:eastAsia="zh-CN" w:bidi="ar-SA"/>
              </w:rPr>
              <w:t>单梁行车5T-22.5m由特种车物理仓库搬迁至卡车党家庄备料车间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序号</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名称</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规格型号</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单位</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数量</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起重机拆卸费</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5T-22.5m</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起重机安装调试费</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5T-22.5m</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登高作业平台费</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H-12m</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货架拆卸费</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耐折电缆</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5*6+8*1.5mm² 防折</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米</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26</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年久失修，配件损坏，无法使用需更换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行车电缆小车</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5T单梁行车使用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年久失修，配件损坏，无法使用需更换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行车控制屏</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GQPT-225</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年久失修，配件损坏，无法使用需更换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吊钩头</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1</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年久失修，配件损坏，无法使用需更换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钢丝绳</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6*37*15</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米</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23</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年久失修，配件损坏，无法使用需更换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导绳器</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年久失修，配件损坏，无法使用需更换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起重量限制器</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3T--5T</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年久失修，配件损坏，无法使用需更换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断火限位器</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LX44-20A</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年久失修，配件损坏，无法使用需更换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重锤限位器</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LX1G-L11</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年久失修，配件损坏，无法使用需更换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14</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红外线防撞器</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TK-100</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年久失修，配件损坏，无法使用需更换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遥控器</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HQ-6S 36V 1拖2</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年久失修，配件损坏，无法使用需更换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16</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运输费</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5T-22.5m</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年久失修，配件损坏，无法使用需更换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17</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辅助材料</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氧气、乙炔、电焊条等</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18</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验收费</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5T-22.5m</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19</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吊车费</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25T</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bl>
    <w:p>
      <w:pPr>
        <w:pStyle w:val="3"/>
        <w:keepNext w:val="0"/>
        <w:keepLines w:val="0"/>
        <w:pageBreakBefore w:val="0"/>
        <w:widowControl w:val="0"/>
        <w:numPr>
          <w:ilvl w:val="0"/>
          <w:numId w:val="0"/>
        </w:numPr>
        <w:kinsoku/>
        <w:wordWrap/>
        <w:overflowPunct/>
        <w:topLinePunct w:val="0"/>
        <w:bidi w:val="0"/>
        <w:snapToGrid/>
        <w:spacing w:line="360" w:lineRule="auto"/>
        <w:textAlignment w:val="auto"/>
        <w:rPr>
          <w:rFonts w:hint="eastAsia" w:asciiTheme="minorEastAsia" w:hAnsiTheme="minorEastAsia" w:eastAsiaTheme="minorEastAsia" w:cstheme="minorEastAsia"/>
          <w:b/>
          <w:bCs/>
          <w:color w:val="auto"/>
          <w:kern w:val="2"/>
          <w:sz w:val="24"/>
          <w:szCs w:val="24"/>
          <w:highlight w:val="none"/>
          <w:lang w:val="en-US" w:eastAsia="zh-CN" w:bidi="ar-SA"/>
        </w:rPr>
      </w:pPr>
    </w:p>
    <w:p>
      <w:pPr>
        <w:pStyle w:val="3"/>
        <w:keepNext w:val="0"/>
        <w:keepLines w:val="0"/>
        <w:pageBreakBefore w:val="0"/>
        <w:widowControl w:val="0"/>
        <w:numPr>
          <w:ilvl w:val="0"/>
          <w:numId w:val="0"/>
        </w:numPr>
        <w:kinsoku/>
        <w:wordWrap/>
        <w:overflowPunct/>
        <w:topLinePunct w:val="0"/>
        <w:bidi w:val="0"/>
        <w:snapToGrid/>
        <w:spacing w:line="360" w:lineRule="auto"/>
        <w:textAlignment w:val="auto"/>
        <w:rPr>
          <w:rFonts w:hint="eastAsia" w:asciiTheme="minorEastAsia" w:hAnsiTheme="minorEastAsia" w:eastAsiaTheme="minorEastAsia" w:cstheme="minorEastAsia"/>
          <w:b/>
          <w:bCs/>
          <w:color w:val="auto"/>
          <w:kern w:val="2"/>
          <w:sz w:val="24"/>
          <w:szCs w:val="24"/>
          <w:highlight w:val="none"/>
          <w:lang w:val="en-US" w:eastAsia="zh-CN" w:bidi="ar-SA"/>
        </w:rPr>
      </w:pPr>
    </w:p>
    <w:p>
      <w:pPr>
        <w:pStyle w:val="3"/>
        <w:keepNext w:val="0"/>
        <w:keepLines w:val="0"/>
        <w:pageBreakBefore w:val="0"/>
        <w:widowControl w:val="0"/>
        <w:numPr>
          <w:ilvl w:val="0"/>
          <w:numId w:val="0"/>
        </w:numPr>
        <w:kinsoku/>
        <w:wordWrap/>
        <w:overflowPunct/>
        <w:topLinePunct w:val="0"/>
        <w:bidi w:val="0"/>
        <w:snapToGrid/>
        <w:spacing w:line="360" w:lineRule="auto"/>
        <w:textAlignment w:val="auto"/>
        <w:rPr>
          <w:rFonts w:hint="eastAsia" w:asciiTheme="minorEastAsia" w:hAnsiTheme="minorEastAsia" w:eastAsiaTheme="minorEastAsia" w:cstheme="minorEastAsia"/>
          <w:b/>
          <w:bCs/>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textAlignment w:val="auto"/>
        <w:rPr>
          <w:rFonts w:hint="default" w:ascii="宋体" w:hAnsi="宋体" w:eastAsia="宋体" w:cs="宋体"/>
          <w:b/>
          <w:bCs/>
          <w:kern w:val="2"/>
          <w:sz w:val="24"/>
          <w:szCs w:val="24"/>
          <w:highlight w:val="none"/>
          <w:lang w:val="en-US" w:eastAsia="zh-CN" w:bidi="ar-SA"/>
        </w:rPr>
      </w:pPr>
      <w:r>
        <w:rPr>
          <w:rFonts w:hint="eastAsia" w:ascii="宋体" w:hAnsi="宋体" w:cs="宋体"/>
          <w:b/>
          <w:bCs/>
          <w:kern w:val="2"/>
          <w:sz w:val="24"/>
          <w:szCs w:val="24"/>
          <w:highlight w:val="none"/>
          <w:lang w:val="en-US" w:eastAsia="zh-CN" w:bidi="ar-SA"/>
        </w:rPr>
        <w:t>七、其他要求</w:t>
      </w:r>
    </w:p>
    <w:p>
      <w:pPr>
        <w:keepNext w:val="0"/>
        <w:keepLines w:val="0"/>
        <w:widowControl w:val="0"/>
        <w:numPr>
          <w:ilvl w:val="0"/>
          <w:numId w:val="0"/>
        </w:numPr>
        <w:suppressLineNumbers w:val="0"/>
        <w:adjustRightInd w:val="0"/>
        <w:spacing w:before="0" w:beforeAutospacing="0" w:after="0" w:afterAutospacing="0" w:line="360" w:lineRule="auto"/>
        <w:ind w:right="0" w:rightChars="0" w:firstLine="480" w:firstLineChars="200"/>
        <w:jc w:val="left"/>
        <w:textAlignment w:val="baseline"/>
        <w:rPr>
          <w:rFonts w:hint="eastAsia" w:ascii="宋体" w:hAnsi="宋体" w:cs="宋体"/>
          <w:color w:val="auto"/>
          <w:kern w:val="2"/>
          <w:sz w:val="24"/>
          <w:szCs w:val="24"/>
          <w:vertAlign w:val="baseline"/>
          <w:lang w:val="en-US" w:eastAsia="zh-CN" w:bidi="ar"/>
        </w:rPr>
      </w:pPr>
      <w:r>
        <w:rPr>
          <w:rFonts w:hint="eastAsia" w:ascii="宋体" w:hAnsi="宋体" w:cs="宋体"/>
          <w:b w:val="0"/>
          <w:bCs/>
          <w:color w:val="auto"/>
          <w:sz w:val="24"/>
          <w:szCs w:val="24"/>
          <w:lang w:val="en-US" w:eastAsia="zh-CN"/>
        </w:rPr>
        <w:t>1、</w:t>
      </w:r>
      <w:r>
        <w:rPr>
          <w:rFonts w:hint="eastAsia" w:ascii="宋体" w:hAnsi="宋体" w:eastAsia="宋体" w:cs="宋体"/>
          <w:b w:val="0"/>
          <w:bCs/>
          <w:color w:val="auto"/>
          <w:sz w:val="24"/>
          <w:szCs w:val="24"/>
          <w:lang w:val="en-US" w:eastAsia="zh-CN"/>
        </w:rPr>
        <w:t>施工方根据以上</w:t>
      </w:r>
      <w:r>
        <w:rPr>
          <w:rFonts w:hint="eastAsia" w:ascii="宋体" w:hAnsi="宋体" w:cs="宋体"/>
          <w:b w:val="0"/>
          <w:bCs/>
          <w:color w:val="auto"/>
          <w:sz w:val="24"/>
          <w:szCs w:val="24"/>
          <w:lang w:val="en-US" w:eastAsia="zh-CN"/>
        </w:rPr>
        <w:t>施工</w:t>
      </w:r>
      <w:r>
        <w:rPr>
          <w:rFonts w:hint="eastAsia" w:ascii="宋体" w:hAnsi="宋体" w:eastAsia="宋体" w:cs="宋体"/>
          <w:b w:val="0"/>
          <w:bCs/>
          <w:color w:val="auto"/>
          <w:sz w:val="24"/>
          <w:szCs w:val="24"/>
          <w:lang w:val="en-US" w:eastAsia="zh-CN"/>
        </w:rPr>
        <w:t>内容，提供</w:t>
      </w:r>
      <w:r>
        <w:rPr>
          <w:rFonts w:hint="eastAsia" w:ascii="宋体" w:hAnsi="宋体" w:cs="宋体"/>
          <w:b w:val="0"/>
          <w:bCs/>
          <w:color w:val="auto"/>
          <w:sz w:val="24"/>
          <w:szCs w:val="24"/>
          <w:lang w:val="en-US" w:eastAsia="zh-CN"/>
        </w:rPr>
        <w:t>施工</w:t>
      </w:r>
      <w:r>
        <w:rPr>
          <w:rFonts w:hint="eastAsia" w:ascii="宋体" w:hAnsi="宋体" w:eastAsia="宋体" w:cs="宋体"/>
          <w:b w:val="0"/>
          <w:bCs/>
          <w:color w:val="auto"/>
          <w:sz w:val="24"/>
          <w:szCs w:val="24"/>
          <w:lang w:val="en-US" w:eastAsia="zh-CN"/>
        </w:rPr>
        <w:t>方案。（方案含工期、质保期、应急服务响应时间、材料明细、数量、品牌、工程进度、</w:t>
      </w:r>
      <w:r>
        <w:rPr>
          <w:rFonts w:ascii="宋体" w:hAnsi="宋体" w:eastAsia="宋体" w:cs="宋体"/>
          <w:color w:val="auto"/>
          <w:sz w:val="24"/>
          <w:szCs w:val="24"/>
        </w:rPr>
        <w:t>危险</w:t>
      </w:r>
      <w:r>
        <w:rPr>
          <w:rFonts w:hint="eastAsia" w:ascii="宋体" w:hAnsi="宋体" w:cs="宋体"/>
          <w:color w:val="auto"/>
          <w:sz w:val="24"/>
          <w:szCs w:val="24"/>
          <w:lang w:eastAsia="zh-CN"/>
        </w:rPr>
        <w:t>辨识</w:t>
      </w:r>
      <w:r>
        <w:rPr>
          <w:rFonts w:ascii="宋体" w:hAnsi="宋体" w:eastAsia="宋体" w:cs="宋体"/>
          <w:color w:val="auto"/>
          <w:sz w:val="24"/>
          <w:szCs w:val="24"/>
        </w:rPr>
        <w:t>管控措施，应急措施</w:t>
      </w:r>
      <w:r>
        <w:rPr>
          <w:rFonts w:hint="eastAsia" w:ascii="宋体" w:hAnsi="宋体" w:cs="宋体"/>
          <w:color w:val="auto"/>
          <w:sz w:val="24"/>
          <w:szCs w:val="24"/>
          <w:lang w:val="en-US" w:eastAsia="zh-CN"/>
        </w:rPr>
        <w:t>等</w:t>
      </w:r>
      <w:r>
        <w:rPr>
          <w:rFonts w:hint="eastAsia" w:ascii="宋体" w:hAnsi="宋体" w:eastAsia="宋体" w:cs="宋体"/>
          <w:b w:val="0"/>
          <w:bCs/>
          <w:color w:val="auto"/>
          <w:sz w:val="24"/>
          <w:szCs w:val="24"/>
          <w:lang w:val="en-US" w:eastAsia="zh-CN"/>
        </w:rPr>
        <w:t>）</w:t>
      </w:r>
    </w:p>
    <w:p>
      <w:pPr>
        <w:pStyle w:val="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cs="宋体"/>
          <w:sz w:val="24"/>
          <w:szCs w:val="24"/>
          <w:lang w:eastAsia="zh-CN"/>
        </w:rPr>
      </w:pPr>
      <w:r>
        <w:rPr>
          <w:rFonts w:hint="eastAsia" w:ascii="宋体" w:hAnsi="宋体" w:cs="宋体"/>
          <w:color w:val="auto"/>
          <w:kern w:val="2"/>
          <w:sz w:val="24"/>
          <w:szCs w:val="24"/>
          <w:vertAlign w:val="baseline"/>
          <w:lang w:val="en-US" w:eastAsia="zh-CN" w:bidi="ar"/>
        </w:rPr>
        <w:t>2、</w:t>
      </w:r>
      <w:r>
        <w:rPr>
          <w:rFonts w:hint="eastAsia" w:ascii="宋体" w:hAnsi="宋体" w:eastAsia="宋体" w:cs="宋体"/>
          <w:color w:val="auto"/>
          <w:kern w:val="2"/>
          <w:sz w:val="24"/>
          <w:szCs w:val="24"/>
          <w:vertAlign w:val="baseline"/>
          <w:lang w:val="en-US" w:eastAsia="zh-CN" w:bidi="ar"/>
        </w:rPr>
        <w:t>办理相关的施工手续</w:t>
      </w:r>
      <w:r>
        <w:rPr>
          <w:rFonts w:hint="eastAsia" w:ascii="宋体" w:hAnsi="宋体" w:cs="宋体"/>
          <w:color w:val="auto"/>
          <w:kern w:val="2"/>
          <w:sz w:val="24"/>
          <w:szCs w:val="24"/>
          <w:vertAlign w:val="baseline"/>
          <w:lang w:val="en-US" w:eastAsia="zh-CN" w:bidi="ar"/>
        </w:rPr>
        <w:t>，在施工前进行安全技术交底</w:t>
      </w:r>
      <w:r>
        <w:rPr>
          <w:rFonts w:hint="eastAsia" w:ascii="宋体" w:hAnsi="宋体" w:eastAsia="宋体" w:cs="宋体"/>
          <w:color w:val="auto"/>
          <w:kern w:val="2"/>
          <w:sz w:val="24"/>
          <w:szCs w:val="24"/>
          <w:vertAlign w:val="baseline"/>
          <w:lang w:val="en-US" w:eastAsia="zh-CN" w:bidi="ar"/>
        </w:rPr>
        <w:t>。</w:t>
      </w:r>
      <w:r>
        <w:rPr>
          <w:rFonts w:hint="eastAsia" w:ascii="宋体" w:hAnsi="宋体" w:cs="宋体"/>
          <w:color w:val="auto"/>
          <w:kern w:val="2"/>
          <w:sz w:val="24"/>
          <w:szCs w:val="24"/>
          <w:vertAlign w:val="baseline"/>
          <w:lang w:val="en-US" w:eastAsia="zh-CN" w:bidi="ar"/>
        </w:rPr>
        <w:t>做好安全防护。</w:t>
      </w:r>
      <w:r>
        <w:rPr>
          <w:rFonts w:hint="eastAsia" w:ascii="宋体" w:hAnsi="宋体" w:cs="宋体"/>
          <w:i w:val="0"/>
          <w:iCs w:val="0"/>
          <w:caps w:val="0"/>
          <w:color w:val="000000"/>
          <w:spacing w:val="0"/>
          <w:sz w:val="24"/>
          <w:szCs w:val="24"/>
          <w:shd w:val="clear" w:color="auto" w:fill="auto"/>
          <w:lang w:val="en-US" w:eastAsia="zh-CN"/>
        </w:rPr>
        <w:t>施工材料</w:t>
      </w:r>
      <w:r>
        <w:rPr>
          <w:rFonts w:hint="eastAsia" w:ascii="宋体" w:hAnsi="宋体" w:eastAsia="宋体" w:cs="宋体"/>
          <w:i w:val="0"/>
          <w:iCs w:val="0"/>
          <w:caps w:val="0"/>
          <w:color w:val="000000"/>
          <w:spacing w:val="0"/>
          <w:sz w:val="24"/>
          <w:szCs w:val="24"/>
          <w:shd w:val="clear" w:color="auto" w:fill="auto"/>
        </w:rPr>
        <w:t>集中存放到指定位置，不能</w:t>
      </w:r>
      <w:r>
        <w:rPr>
          <w:rFonts w:hint="eastAsia" w:ascii="宋体" w:hAnsi="宋体" w:cs="宋体"/>
          <w:i w:val="0"/>
          <w:iCs w:val="0"/>
          <w:caps w:val="0"/>
          <w:color w:val="000000"/>
          <w:spacing w:val="0"/>
          <w:sz w:val="24"/>
          <w:szCs w:val="24"/>
          <w:shd w:val="clear" w:color="auto" w:fill="auto"/>
          <w:lang w:val="en-US" w:eastAsia="zh-CN"/>
        </w:rPr>
        <w:t>影响正常生产</w:t>
      </w:r>
      <w:r>
        <w:rPr>
          <w:rFonts w:hint="eastAsia" w:ascii="宋体" w:hAnsi="宋体" w:cs="宋体"/>
          <w:color w:val="auto"/>
          <w:kern w:val="2"/>
          <w:sz w:val="24"/>
          <w:szCs w:val="24"/>
          <w:vertAlign w:val="baseline"/>
          <w:lang w:val="en-US" w:eastAsia="zh-CN" w:bidi="ar"/>
        </w:rPr>
        <w:t>，</w:t>
      </w:r>
      <w:r>
        <w:rPr>
          <w:rFonts w:hint="eastAsia" w:ascii="宋体" w:hAnsi="宋体" w:eastAsia="宋体" w:cs="宋体"/>
          <w:sz w:val="24"/>
          <w:szCs w:val="24"/>
        </w:rPr>
        <w:t>采用隔栏或围墙的形式将施工区域与生产区域隔开</w:t>
      </w:r>
      <w:r>
        <w:rPr>
          <w:rFonts w:hint="eastAsia" w:ascii="宋体" w:hAnsi="宋体" w:cs="宋体"/>
          <w:sz w:val="24"/>
          <w:szCs w:val="24"/>
          <w:lang w:eastAsia="zh-CN"/>
        </w:rPr>
        <w:t>。</w:t>
      </w:r>
    </w:p>
    <w:p>
      <w:pPr>
        <w:keepNext w:val="0"/>
        <w:keepLines w:val="0"/>
        <w:widowControl w:val="0"/>
        <w:numPr>
          <w:ilvl w:val="0"/>
          <w:numId w:val="0"/>
        </w:numPr>
        <w:suppressLineNumbers w:val="0"/>
        <w:adjustRightInd w:val="0"/>
        <w:spacing w:before="0" w:beforeAutospacing="0" w:after="0" w:afterAutospacing="0" w:line="360" w:lineRule="auto"/>
        <w:ind w:right="0" w:rightChars="0" w:firstLine="480" w:firstLineChars="200"/>
        <w:jc w:val="left"/>
        <w:textAlignment w:val="baseline"/>
        <w:rPr>
          <w:rFonts w:hint="default" w:ascii="宋体" w:hAnsi="宋体" w:cs="宋体"/>
          <w:sz w:val="24"/>
          <w:szCs w:val="24"/>
          <w:lang w:val="en-US" w:eastAsia="zh-CN"/>
        </w:rPr>
      </w:pPr>
      <w:r>
        <w:rPr>
          <w:rFonts w:hint="eastAsia" w:ascii="宋体" w:hAnsi="宋体" w:cs="宋体"/>
          <w:sz w:val="24"/>
          <w:szCs w:val="24"/>
          <w:lang w:val="en-US" w:eastAsia="zh-CN"/>
        </w:rPr>
        <w:t>3、施工</w:t>
      </w:r>
      <w:r>
        <w:rPr>
          <w:rFonts w:hint="eastAsia" w:ascii="宋体" w:hAnsi="宋体" w:cs="宋体"/>
          <w:sz w:val="24"/>
          <w:szCs w:val="24"/>
          <w:lang w:eastAsia="zh-CN"/>
        </w:rPr>
        <w:t>过程中需要</w:t>
      </w:r>
      <w:r>
        <w:rPr>
          <w:rFonts w:hint="eastAsia" w:ascii="宋体" w:hAnsi="宋体" w:cs="宋体"/>
          <w:sz w:val="24"/>
          <w:szCs w:val="24"/>
          <w:lang w:val="en-US" w:eastAsia="zh-CN"/>
        </w:rPr>
        <w:t>对隐蔽部分</w:t>
      </w:r>
      <w:r>
        <w:rPr>
          <w:rFonts w:hint="eastAsia" w:ascii="宋体" w:hAnsi="宋体" w:cs="宋体"/>
          <w:sz w:val="24"/>
          <w:szCs w:val="24"/>
          <w:lang w:eastAsia="zh-CN"/>
        </w:rPr>
        <w:t>进行拍照，作为验收依据</w:t>
      </w:r>
      <w:r>
        <w:rPr>
          <w:rFonts w:hint="eastAsia" w:ascii="宋体" w:hAnsi="宋体" w:cs="宋体"/>
          <w:sz w:val="24"/>
          <w:szCs w:val="24"/>
          <w:lang w:val="en-US" w:eastAsia="zh-CN"/>
        </w:rPr>
        <w:t>。</w:t>
      </w:r>
    </w:p>
    <w:p>
      <w:pPr>
        <w:keepNext w:val="0"/>
        <w:keepLines w:val="0"/>
        <w:widowControl w:val="0"/>
        <w:numPr>
          <w:ilvl w:val="0"/>
          <w:numId w:val="0"/>
        </w:numPr>
        <w:suppressLineNumbers w:val="0"/>
        <w:adjustRightInd w:val="0"/>
        <w:spacing w:before="0" w:beforeAutospacing="0" w:after="0" w:afterAutospacing="0" w:line="360" w:lineRule="auto"/>
        <w:ind w:leftChars="200" w:right="0" w:rightChars="0"/>
        <w:jc w:val="left"/>
        <w:textAlignment w:val="baseline"/>
        <w:rPr>
          <w:rFonts w:hint="eastAsia" w:ascii="宋体" w:hAnsi="宋体" w:cs="宋体"/>
          <w:color w:val="auto"/>
          <w:kern w:val="2"/>
          <w:sz w:val="24"/>
          <w:szCs w:val="24"/>
          <w:vertAlign w:val="baseline"/>
          <w:lang w:val="en-US" w:eastAsia="zh-CN" w:bidi="ar"/>
        </w:rPr>
      </w:pPr>
      <w:r>
        <w:rPr>
          <w:rFonts w:hint="eastAsia" w:ascii="宋体" w:hAnsi="宋体" w:cs="宋体"/>
          <w:sz w:val="24"/>
          <w:szCs w:val="24"/>
          <w:lang w:val="en-US" w:eastAsia="zh-CN"/>
        </w:rPr>
        <w:t>4、此项目为交钥匙工程，</w:t>
      </w:r>
      <w:r>
        <w:rPr>
          <w:rFonts w:hint="eastAsia" w:ascii="宋体" w:hAnsi="宋体" w:cs="宋体"/>
          <w:sz w:val="24"/>
          <w:szCs w:val="24"/>
        </w:rPr>
        <w:t>投标方承担所有材料、运输、人工等费用。</w:t>
      </w:r>
    </w:p>
    <w:p>
      <w:pPr>
        <w:pStyle w:val="3"/>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宋体" w:hAnsi="宋体"/>
          <w:color w:val="auto"/>
          <w:u w:val="none"/>
          <w:lang w:val="en-US" w:eastAsia="zh-CN"/>
        </w:rPr>
      </w:pPr>
    </w:p>
    <w:p>
      <w:pPr>
        <w:spacing w:line="360" w:lineRule="auto"/>
        <w:ind w:firstLine="360" w:firstLineChars="150"/>
        <w:rPr>
          <w:rFonts w:hint="eastAsia" w:ascii="宋体" w:hAnsi="宋体" w:eastAsia="宋体" w:cs="宋体"/>
          <w:sz w:val="24"/>
          <w:szCs w:val="24"/>
          <w:highlight w:val="none"/>
          <w:lang w:eastAsia="zh-CN"/>
        </w:rPr>
      </w:pPr>
    </w:p>
    <w:p>
      <w:pPr>
        <w:pStyle w:val="17"/>
        <w:spacing w:line="360" w:lineRule="auto"/>
        <w:jc w:val="both"/>
        <w:rPr>
          <w:rFonts w:hint="eastAsia" w:ascii="宋体" w:hAnsi="宋体" w:eastAsia="宋体" w:cs="宋体"/>
          <w:b/>
          <w:bCs/>
          <w:kern w:val="44"/>
          <w:sz w:val="24"/>
          <w:szCs w:val="24"/>
        </w:rPr>
        <w:sectPr>
          <w:footerReference r:id="rId11" w:type="default"/>
          <w:pgSz w:w="11907" w:h="16840"/>
          <w:pgMar w:top="1304" w:right="1418" w:bottom="1304" w:left="1418" w:header="724" w:footer="851" w:gutter="0"/>
          <w:cols w:space="720" w:num="1"/>
          <w:docGrid w:linePitch="290" w:charSpace="-3931"/>
        </w:sectPr>
      </w:pPr>
    </w:p>
    <w:p>
      <w:pPr>
        <w:pStyle w:val="17"/>
        <w:numPr>
          <w:ilvl w:val="-1"/>
          <w:numId w:val="0"/>
        </w:numPr>
        <w:jc w:val="center"/>
        <w:outlineLvl w:val="0"/>
        <w:rPr>
          <w:rFonts w:ascii="Calibri" w:hAnsi="Calibri" w:eastAsia="宋体" w:cs="Times New Roman"/>
          <w:b/>
          <w:bCs/>
          <w:kern w:val="44"/>
          <w:sz w:val="36"/>
          <w:szCs w:val="44"/>
        </w:rPr>
      </w:pPr>
      <w:bookmarkStart w:id="8"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8"/>
    </w:p>
    <w:p>
      <w:pPr>
        <w:rPr>
          <w:rFonts w:hint="default" w:asciiTheme="minorHAnsi" w:hAnsiTheme="minorHAnsi" w:eastAsiaTheme="minorEastAsia" w:cstheme="minorBidi"/>
          <w:kern w:val="2"/>
          <w:sz w:val="21"/>
          <w:szCs w:val="24"/>
          <w:lang w:val="en-US" w:eastAsia="zh-CN" w:bidi="ar-SA"/>
        </w:rPr>
      </w:pPr>
      <w:r>
        <w:rPr>
          <w:rFonts w:hint="eastAsia"/>
          <w:lang w:val="en-US" w:eastAsia="zh-CN"/>
        </w:rPr>
        <w:t xml:space="preserve">                              </w:t>
      </w:r>
      <w:r>
        <w:rPr>
          <w:rFonts w:hint="eastAsia" w:ascii="宋体" w:hAnsi="宋体" w:cs="宋体"/>
          <w:b/>
          <w:bCs/>
          <w:sz w:val="28"/>
          <w:szCs w:val="28"/>
        </w:rPr>
        <w:t>商务文件规范</w:t>
      </w:r>
    </w:p>
    <w:p>
      <w:pPr>
        <w:numPr>
          <w:ilvl w:val="0"/>
          <w:numId w:val="0"/>
        </w:numPr>
        <w:spacing w:line="360" w:lineRule="auto"/>
        <w:rPr>
          <w:rFonts w:ascii="宋体" w:hAnsi="宋体" w:cs="宋体"/>
          <w:b/>
          <w:bCs/>
        </w:rPr>
      </w:pPr>
      <w:r>
        <w:rPr>
          <w:rFonts w:hint="eastAsia" w:ascii="宋体" w:hAnsi="宋体" w:cs="宋体"/>
          <w:b/>
          <w:bCs/>
          <w:lang w:val="en-US" w:eastAsia="zh-CN"/>
        </w:rPr>
        <w:t>一、</w:t>
      </w:r>
      <w:r>
        <w:rPr>
          <w:rFonts w:hint="eastAsia" w:ascii="宋体" w:hAnsi="宋体" w:cs="宋体"/>
          <w:b/>
          <w:bCs/>
        </w:rPr>
        <w:t>商务组成文件</w:t>
      </w:r>
    </w:p>
    <w:p>
      <w:pPr>
        <w:spacing w:line="360" w:lineRule="auto"/>
        <w:ind w:firstLine="420" w:firstLineChars="200"/>
        <w:rPr>
          <w:rFonts w:hint="default" w:ascii="宋体" w:cs="宋体" w:eastAsiaTheme="minorEastAsia"/>
          <w:highlight w:val="yellow"/>
          <w:lang w:val="en-US" w:eastAsia="zh-CN"/>
        </w:rPr>
      </w:pPr>
      <w:r>
        <w:rPr>
          <w:rFonts w:hint="eastAsia" w:ascii="宋体" w:hAnsi="宋体" w:cs="宋体"/>
        </w:rPr>
        <w:t>投标人资格证明文件，证明投标人是合格的和有能力履行合同的文件；证明投标人提供的施工工程及</w:t>
      </w:r>
      <w:r>
        <w:rPr>
          <w:rFonts w:ascii="宋体" w:hAnsi="宋体" w:cs="宋体"/>
        </w:rPr>
        <w:t>/</w:t>
      </w:r>
      <w:r>
        <w:rPr>
          <w:rFonts w:hint="eastAsia" w:ascii="宋体" w:hAnsi="宋体" w:cs="宋体"/>
        </w:rPr>
        <w:t>或服务的合格性和符合招标文件规定的文件；招标文件要求的其它文件；投标人认为其它</w:t>
      </w:r>
      <w:r>
        <w:rPr>
          <w:rFonts w:hint="eastAsia" w:ascii="宋体" w:hAnsi="宋体" w:cs="宋体"/>
          <w:lang w:eastAsia="zh-CN"/>
        </w:rPr>
        <w:t>需要</w:t>
      </w:r>
      <w:r>
        <w:rPr>
          <w:rFonts w:hint="eastAsia" w:ascii="宋体" w:hAnsi="宋体" w:cs="宋体"/>
        </w:rPr>
        <w:t>提供的文件。</w:t>
      </w:r>
      <w:r>
        <w:rPr>
          <w:rFonts w:hint="eastAsia" w:ascii="宋体" w:hAnsi="宋体" w:cs="宋体"/>
          <w:lang w:val="en-US" w:eastAsia="zh-CN"/>
        </w:rPr>
        <w:t>注：</w:t>
      </w:r>
      <w:r>
        <w:rPr>
          <w:rFonts w:hint="eastAsia" w:ascii="宋体" w:hAnsi="宋体" w:cs="宋体"/>
          <w:highlight w:val="yellow"/>
          <w:lang w:val="en-US" w:eastAsia="zh-CN"/>
        </w:rPr>
        <w:t>商务文件相关要求可参考附件相关内容，按要求选取。</w:t>
      </w:r>
    </w:p>
    <w:p>
      <w:pPr>
        <w:spacing w:line="360" w:lineRule="auto"/>
        <w:ind w:firstLine="315" w:firstLineChars="150"/>
        <w:rPr>
          <w:rFonts w:ascii="宋体" w:cs="宋体"/>
        </w:rPr>
      </w:pPr>
      <w:r>
        <w:rPr>
          <w:rFonts w:ascii="宋体" w:hAnsi="宋体" w:cs="宋体"/>
        </w:rPr>
        <w:t>1</w:t>
      </w:r>
      <w:r>
        <w:rPr>
          <w:rFonts w:hint="eastAsia" w:ascii="宋体" w:hAnsi="宋体" w:cs="宋体"/>
        </w:rPr>
        <w:t>、商务文件基本内容</w:t>
      </w:r>
    </w:p>
    <w:p>
      <w:pPr>
        <w:spacing w:line="360" w:lineRule="auto"/>
        <w:ind w:firstLine="420" w:firstLineChars="200"/>
        <w:rPr>
          <w:rFonts w:hint="eastAsia" w:ascii="宋体" w:hAnsi="宋体" w:cs="宋体"/>
        </w:rPr>
      </w:pPr>
      <w:r>
        <w:rPr>
          <w:rFonts w:ascii="宋体" w:hAnsi="宋体" w:cs="宋体"/>
        </w:rPr>
        <w:t>a)</w:t>
      </w:r>
      <w:r>
        <w:rPr>
          <w:rFonts w:hint="eastAsia" w:ascii="宋体" w:hAnsi="宋体" w:cs="宋体"/>
        </w:rPr>
        <w:t>投标函</w:t>
      </w:r>
    </w:p>
    <w:p>
      <w:pPr>
        <w:spacing w:line="360" w:lineRule="auto"/>
        <w:ind w:firstLine="420" w:firstLineChars="200"/>
        <w:rPr>
          <w:rFonts w:ascii="宋体" w:cs="宋体"/>
        </w:rPr>
      </w:pPr>
      <w:r>
        <w:rPr>
          <w:rFonts w:ascii="宋体" w:hAnsi="宋体" w:cs="宋体"/>
        </w:rPr>
        <w:t>b)</w:t>
      </w:r>
      <w:r>
        <w:rPr>
          <w:rFonts w:hint="eastAsia" w:ascii="宋体" w:hAnsi="宋体" w:cs="宋体"/>
        </w:rPr>
        <w:t>开标一览表</w:t>
      </w:r>
    </w:p>
    <w:p>
      <w:pPr>
        <w:spacing w:line="360" w:lineRule="auto"/>
        <w:ind w:firstLine="420" w:firstLineChars="200"/>
        <w:rPr>
          <w:rFonts w:ascii="宋体" w:cs="宋体"/>
        </w:rPr>
      </w:pPr>
      <w:r>
        <w:rPr>
          <w:rFonts w:ascii="宋体" w:hAnsi="宋体" w:cs="宋体"/>
        </w:rPr>
        <w:t>c)</w:t>
      </w:r>
      <w:r>
        <w:rPr>
          <w:rFonts w:hint="eastAsia" w:ascii="宋体" w:hAnsi="宋体" w:cs="宋体"/>
        </w:rPr>
        <w:t>商务条款偏离表及技术需求偏离表（如投标文件的商务或技术条款响应与招标文件有偏离，需在表中注明）</w:t>
      </w:r>
    </w:p>
    <w:p>
      <w:pPr>
        <w:spacing w:line="360" w:lineRule="auto"/>
        <w:ind w:firstLine="420" w:firstLineChars="200"/>
        <w:rPr>
          <w:rFonts w:ascii="宋体" w:hAnsi="宋体" w:cs="宋体"/>
        </w:rPr>
      </w:pPr>
      <w:r>
        <w:rPr>
          <w:rFonts w:hint="eastAsia" w:ascii="宋体" w:hAnsi="宋体" w:cs="宋体"/>
        </w:rPr>
        <w:t>d</w:t>
      </w:r>
      <w:r>
        <w:rPr>
          <w:rFonts w:ascii="宋体" w:hAnsi="宋体" w:cs="宋体"/>
        </w:rPr>
        <w:t>)</w:t>
      </w:r>
      <w:r>
        <w:rPr>
          <w:rFonts w:hint="eastAsia" w:ascii="宋体" w:hAnsi="宋体" w:cs="宋体"/>
        </w:rPr>
        <w:t>售后服务及相关承诺</w:t>
      </w:r>
      <w:r>
        <w:rPr>
          <w:rFonts w:hint="eastAsia" w:ascii="宋体" w:hAnsi="宋体" w:cs="宋体"/>
          <w:color w:val="000000"/>
          <w:kern w:val="0"/>
        </w:rPr>
        <w:t>类</w:t>
      </w:r>
    </w:p>
    <w:p>
      <w:pPr>
        <w:spacing w:line="360" w:lineRule="auto"/>
        <w:ind w:firstLine="420" w:firstLineChars="200"/>
        <w:rPr>
          <w:rFonts w:ascii="宋体" w:hAnsi="宋体" w:cs="宋体"/>
        </w:rPr>
      </w:pPr>
      <w:r>
        <w:rPr>
          <w:rFonts w:hint="eastAsia" w:ascii="宋体" w:hAnsi="宋体" w:cs="宋体"/>
        </w:rPr>
        <w:t>e</w:t>
      </w:r>
      <w:r>
        <w:rPr>
          <w:rFonts w:ascii="宋体" w:hAnsi="宋体" w:cs="宋体"/>
        </w:rPr>
        <w:t>)</w:t>
      </w:r>
      <w:r>
        <w:rPr>
          <w:rFonts w:hint="eastAsia" w:ascii="宋体" w:hAnsi="宋体" w:cs="宋体"/>
        </w:rPr>
        <w:t>投标人认为</w:t>
      </w:r>
      <w:r>
        <w:rPr>
          <w:rFonts w:hint="eastAsia" w:ascii="宋体" w:hAnsi="宋体" w:cs="宋体"/>
          <w:lang w:eastAsia="zh-CN"/>
        </w:rPr>
        <w:t>需要</w:t>
      </w:r>
      <w:r>
        <w:rPr>
          <w:rFonts w:hint="eastAsia" w:ascii="宋体" w:hAnsi="宋体" w:cs="宋体"/>
        </w:rPr>
        <w:t>提供的其它文件和证书</w:t>
      </w:r>
    </w:p>
    <w:p>
      <w:pPr>
        <w:spacing w:line="360" w:lineRule="auto"/>
        <w:ind w:firstLine="420" w:firstLineChars="200"/>
      </w:pPr>
      <w:r>
        <w:rPr>
          <w:rFonts w:hint="eastAsia" w:ascii="宋体" w:hAnsi="宋体" w:cs="宋体"/>
        </w:rPr>
        <w:t>f</w:t>
      </w:r>
      <w:r>
        <w:rPr>
          <w:rFonts w:ascii="宋体" w:hAnsi="宋体" w:cs="宋体"/>
        </w:rPr>
        <w:t>)</w:t>
      </w:r>
      <w:r>
        <w:rPr>
          <w:rFonts w:hint="eastAsia" w:ascii="宋体" w:hAnsi="宋体" w:cs="宋体"/>
        </w:rPr>
        <w:t>营业执照、</w:t>
      </w:r>
      <w:r>
        <w:rPr>
          <w:rFonts w:hint="eastAsia" w:ascii="宋体" w:hAnsi="宋体" w:cs="宋体"/>
          <w:bCs/>
        </w:rPr>
        <w:t>提供与资质文件相同类似业绩表</w:t>
      </w:r>
    </w:p>
    <w:p>
      <w:pPr>
        <w:spacing w:line="360" w:lineRule="auto"/>
        <w:ind w:firstLine="315" w:firstLineChars="150"/>
        <w:rPr>
          <w:rFonts w:ascii="宋体" w:cs="宋体"/>
        </w:rPr>
      </w:pPr>
      <w:r>
        <w:rPr>
          <w:rFonts w:hint="eastAsia" w:ascii="宋体" w:hAnsi="宋体" w:cs="宋体"/>
        </w:rPr>
        <w:t>2、证明投标人所提供的货物及</w:t>
      </w:r>
      <w:r>
        <w:rPr>
          <w:rFonts w:ascii="宋体" w:hAnsi="宋体" w:cs="宋体"/>
        </w:rPr>
        <w:t>/</w:t>
      </w:r>
      <w:r>
        <w:rPr>
          <w:rFonts w:hint="eastAsia" w:ascii="宋体" w:hAnsi="宋体" w:cs="宋体"/>
        </w:rPr>
        <w:t>或服务的合格性和符合招标文件规定的文件，包括但不限于：对招标技术文件的逐项应答、产品彩页，对于某项指标的数据存在证明文件内容不一致的情况，取指标较低的为准。</w:t>
      </w:r>
    </w:p>
    <w:p>
      <w:pPr>
        <w:spacing w:line="360" w:lineRule="auto"/>
        <w:ind w:firstLine="420" w:firstLineChars="200"/>
        <w:rPr>
          <w:rFonts w:ascii="宋体" w:cs="宋体"/>
        </w:rPr>
      </w:pPr>
      <w:r>
        <w:rPr>
          <w:rFonts w:hint="eastAsia" w:ascii="宋体" w:hAnsi="宋体" w:cs="宋体"/>
        </w:rPr>
        <w:t>3、近三年财务报表或近三年财务资料，加盖公章。包括但不限于报告页、经审计的资产负债表、利润表、现金流量表及报表附注。如投标人公司没有经审计财务报告，可提供加盖公章的近三年财务报表，包括但不限于报告页、经审计的资产负债表、利润表、现金流量表，应提供中文版本的审计报告或财务报表。</w:t>
      </w:r>
    </w:p>
    <w:p>
      <w:pPr>
        <w:spacing w:line="360" w:lineRule="auto"/>
        <w:rPr>
          <w:rFonts w:ascii="宋体" w:cs="宋体"/>
          <w:b/>
          <w:bCs/>
        </w:rPr>
      </w:pPr>
      <w:r>
        <w:rPr>
          <w:rFonts w:hint="eastAsia" w:ascii="宋体" w:hAnsi="宋体" w:cs="宋体"/>
          <w:b/>
          <w:bCs/>
        </w:rPr>
        <w:t>投标人提供的以上材料必须真实有效，任何一项的虚假将导致其投标文件被拒绝。</w:t>
      </w:r>
    </w:p>
    <w:p>
      <w:pPr>
        <w:spacing w:line="360" w:lineRule="auto"/>
        <w:rPr>
          <w:rFonts w:ascii="宋体" w:cs="宋体"/>
        </w:rPr>
      </w:pPr>
      <w:r>
        <w:rPr>
          <w:rFonts w:hint="eastAsia" w:ascii="宋体" w:hAnsi="宋体" w:cs="宋体"/>
          <w:b/>
          <w:bCs/>
        </w:rPr>
        <w:t>投标人参与重汽卡车公司招标项目时根据甲方要求提交资质原件待审。</w:t>
      </w:r>
    </w:p>
    <w:p>
      <w:pPr>
        <w:adjustRightInd w:val="0"/>
        <w:snapToGrid w:val="0"/>
        <w:spacing w:line="460" w:lineRule="exact"/>
        <w:ind w:firstLine="315" w:firstLineChars="150"/>
        <w:rPr>
          <w:rFonts w:ascii="宋体" w:cs="宋体"/>
        </w:rPr>
      </w:pPr>
      <w:r>
        <w:rPr>
          <w:rFonts w:hint="eastAsia" w:ascii="宋体" w:hAnsi="宋体" w:cs="宋体"/>
        </w:rPr>
        <w:t>4、商务文件至少应对招标设备（或材料）“商务偏离”做出有无说明，若有，应予以详细填写和说明</w:t>
      </w:r>
    </w:p>
    <w:p>
      <w:pPr>
        <w:spacing w:line="360" w:lineRule="auto"/>
        <w:ind w:firstLine="315" w:firstLineChars="150"/>
        <w:rPr>
          <w:rFonts w:ascii="宋体" w:cs="宋体"/>
        </w:rPr>
      </w:pPr>
      <w:r>
        <w:rPr>
          <w:rFonts w:hint="eastAsia" w:ascii="宋体" w:hAnsi="宋体" w:cs="宋体"/>
        </w:rPr>
        <w:t>5、投标文件不得涂改和增删，如有修改错漏的地方，必须由法人代表或授权代表签字或盖章。</w:t>
      </w:r>
    </w:p>
    <w:p>
      <w:pPr>
        <w:spacing w:line="360" w:lineRule="auto"/>
        <w:ind w:firstLine="315" w:firstLineChars="150"/>
        <w:rPr>
          <w:rFonts w:hint="eastAsia" w:ascii="宋体" w:hAnsi="宋体" w:cs="宋体"/>
        </w:rPr>
      </w:pPr>
      <w:r>
        <w:rPr>
          <w:rFonts w:hint="eastAsia" w:ascii="宋体" w:hAnsi="宋体" w:cs="宋体"/>
        </w:rPr>
        <w:t>6、投标文件因字迹潦草或表达不清所引起的后果由投标人负责。</w:t>
      </w:r>
    </w:p>
    <w:p>
      <w:pPr>
        <w:spacing w:line="360" w:lineRule="auto"/>
        <w:ind w:firstLine="315" w:firstLineChars="150"/>
        <w:rPr>
          <w:rFonts w:ascii="宋体" w:hAnsi="宋体"/>
          <w:b/>
          <w:bCs/>
        </w:rPr>
      </w:pPr>
      <w:r>
        <w:rPr>
          <w:rFonts w:hint="eastAsia" w:ascii="宋体" w:hAnsi="宋体"/>
          <w:b/>
          <w:bCs/>
        </w:rPr>
        <w:t>二、价格与支付</w:t>
      </w:r>
    </w:p>
    <w:p>
      <w:pPr>
        <w:keepNext w:val="0"/>
        <w:keepLines w:val="0"/>
        <w:pageBreakBefore w:val="0"/>
        <w:numPr>
          <w:ilvl w:val="0"/>
          <w:numId w:val="0"/>
        </w:numPr>
        <w:kinsoku/>
        <w:wordWrap/>
        <w:overflowPunct/>
        <w:topLinePunct w:val="0"/>
        <w:autoSpaceDE/>
        <w:autoSpaceDN/>
        <w:bidi w:val="0"/>
        <w:adjustRightInd/>
        <w:spacing w:line="360" w:lineRule="auto"/>
        <w:rPr>
          <w:rFonts w:ascii="宋体" w:hAnsi="宋体" w:cs="宋体"/>
          <w:color w:val="auto"/>
          <w:sz w:val="21"/>
          <w:szCs w:val="21"/>
        </w:rPr>
      </w:pPr>
      <w:r>
        <w:rPr>
          <w:rFonts w:hint="eastAsia" w:ascii="宋体" w:hAnsi="宋体" w:cs="宋体"/>
          <w:color w:val="auto"/>
          <w:sz w:val="21"/>
          <w:szCs w:val="21"/>
        </w:rPr>
        <w:t>1、报价：报价包含未税价格、税率、及含税合计金额及提供具体的报价分解表（后有附表</w:t>
      </w:r>
      <w:r>
        <w:rPr>
          <w:rFonts w:hint="eastAsia" w:ascii="宋体" w:hAnsi="宋体" w:cs="宋体"/>
          <w:color w:val="auto"/>
          <w:sz w:val="21"/>
          <w:szCs w:val="21"/>
          <w:lang w:eastAsia="zh-CN"/>
        </w:rPr>
        <w:t>：</w:t>
      </w:r>
      <w:r>
        <w:rPr>
          <w:rFonts w:hint="eastAsia" w:ascii="宋体" w:hAnsi="宋体" w:cs="宋体"/>
          <w:b/>
          <w:bCs/>
          <w:sz w:val="21"/>
          <w:szCs w:val="21"/>
        </w:rPr>
        <w:t>开标一览表</w:t>
      </w:r>
      <w:r>
        <w:rPr>
          <w:rFonts w:hint="eastAsia" w:ascii="宋体" w:hAnsi="宋体" w:cs="宋体"/>
          <w:b/>
          <w:bCs/>
          <w:sz w:val="21"/>
          <w:szCs w:val="21"/>
          <w:lang w:eastAsia="zh-CN"/>
        </w:rPr>
        <w:t>）</w:t>
      </w:r>
    </w:p>
    <w:p>
      <w:pPr>
        <w:pStyle w:val="3"/>
        <w:snapToGrid w:val="0"/>
        <w:spacing w:line="360" w:lineRule="auto"/>
        <w:rPr>
          <w:rFonts w:hint="default" w:ascii="宋体" w:hAnsi="宋体" w:eastAsia="仿宋_GB2312" w:cs="宋体"/>
          <w:color w:val="auto"/>
          <w:sz w:val="21"/>
          <w:szCs w:val="21"/>
          <w:lang w:val="en-US" w:eastAsia="zh-CN"/>
        </w:rPr>
      </w:pPr>
      <w:r>
        <w:rPr>
          <w:rFonts w:hint="eastAsia" w:ascii="宋体" w:hAnsi="宋体" w:cs="宋体"/>
          <w:color w:val="auto"/>
          <w:sz w:val="21"/>
          <w:szCs w:val="21"/>
        </w:rPr>
        <w:t xml:space="preserve">  2、付款结算方法：</w:t>
      </w:r>
      <w:r>
        <w:rPr>
          <w:rFonts w:hint="eastAsia" w:ascii="宋体" w:hAnsi="宋体" w:cs="宋体"/>
          <w:b/>
          <w:bCs/>
          <w:color w:val="auto"/>
          <w:sz w:val="21"/>
          <w:szCs w:val="21"/>
          <w:u w:val="single"/>
        </w:rPr>
        <w:t xml:space="preserve">半年期商业汇票 </w:t>
      </w:r>
      <w:r>
        <w:rPr>
          <w:rFonts w:hint="eastAsia" w:ascii="仿宋" w:hAnsi="仿宋" w:eastAsia="仿宋" w:cs="仿宋"/>
          <w:b/>
          <w:bCs/>
          <w:color w:val="auto"/>
          <w:sz w:val="21"/>
          <w:szCs w:val="21"/>
          <w:u w:val="single"/>
        </w:rPr>
        <w:t>（包括银行承兑汇票和商业承兑汇票）</w:t>
      </w:r>
      <w:r>
        <w:rPr>
          <w:rFonts w:ascii="仿宋_GB2312" w:hAnsi="宋体" w:eastAsia="仿宋_GB2312" w:cs="仿宋_GB2312"/>
          <w:b/>
          <w:bCs/>
          <w:color w:val="auto"/>
          <w:sz w:val="21"/>
          <w:szCs w:val="21"/>
        </w:rPr>
        <w:t>。</w:t>
      </w:r>
      <w:r>
        <w:rPr>
          <w:rFonts w:hint="eastAsia" w:ascii="仿宋_GB2312" w:hAnsi="宋体" w:eastAsia="仿宋_GB2312" w:cs="仿宋_GB2312"/>
          <w:b/>
          <w:bCs/>
          <w:color w:val="auto"/>
          <w:sz w:val="21"/>
          <w:szCs w:val="21"/>
          <w:highlight w:val="yellow"/>
          <w:lang w:val="en-US" w:eastAsia="zh-CN"/>
        </w:rPr>
        <w:t>最高含税限价：17.19</w:t>
      </w:r>
      <w:r>
        <w:rPr>
          <w:rFonts w:hint="eastAsia" w:ascii="仿宋_GB2312" w:hAnsi="宋体" w:eastAsia="仿宋_GB2312" w:cs="仿宋_GB2312"/>
          <w:b/>
          <w:bCs/>
          <w:color w:val="auto"/>
          <w:sz w:val="21"/>
          <w:szCs w:val="21"/>
          <w:lang w:val="en-US" w:eastAsia="zh-CN"/>
        </w:rPr>
        <w:t>万元</w:t>
      </w:r>
    </w:p>
    <w:p>
      <w:pPr>
        <w:pStyle w:val="2"/>
        <w:snapToGrid w:val="0"/>
        <w:spacing w:line="360" w:lineRule="auto"/>
        <w:ind w:firstLine="420" w:firstLineChars="200"/>
        <w:rPr>
          <w:rFonts w:ascii="宋体" w:cs="宋体"/>
          <w:color w:val="auto"/>
          <w:sz w:val="21"/>
          <w:szCs w:val="21"/>
        </w:rPr>
      </w:pPr>
      <w:r>
        <w:rPr>
          <w:rFonts w:hint="eastAsia" w:ascii="宋体" w:hAnsi="宋体" w:cs="宋体"/>
          <w:color w:val="auto"/>
          <w:sz w:val="21"/>
          <w:szCs w:val="21"/>
        </w:rPr>
        <w:t>a)在合同约定维保期内全部实施完毕无质量问题，经检验、调试及至少30天试运行、最终验收合格后供方提交下列单据经需方审核无误后，委托方根据济南卡车制造公司财务管理流程，按照规定挂账后30天账期，账期满后提交资金计划后付给承揽方合同价格约</w:t>
      </w:r>
      <w:r>
        <w:rPr>
          <w:rFonts w:hint="eastAsia" w:ascii="宋体" w:cs="宋体"/>
          <w:color w:val="auto"/>
          <w:sz w:val="21"/>
          <w:szCs w:val="21"/>
          <w:u w:val="single"/>
        </w:rPr>
        <w:t xml:space="preserve"> </w:t>
      </w:r>
      <w:r>
        <w:rPr>
          <w:rFonts w:hint="eastAsia" w:ascii="宋体" w:cs="宋体"/>
          <w:color w:val="auto"/>
          <w:sz w:val="21"/>
          <w:szCs w:val="21"/>
          <w:u w:val="single"/>
          <w:lang w:val="en-US" w:eastAsia="zh-CN"/>
        </w:rPr>
        <w:t>9</w:t>
      </w:r>
      <w:r>
        <w:rPr>
          <w:rFonts w:hint="eastAsia" w:ascii="宋体" w:hAnsi="宋体" w:cs="宋体"/>
          <w:color w:val="auto"/>
          <w:sz w:val="21"/>
          <w:szCs w:val="21"/>
          <w:u w:val="single"/>
        </w:rPr>
        <w:t>0%</w:t>
      </w:r>
      <w:r>
        <w:rPr>
          <w:rFonts w:hint="eastAsia" w:ascii="宋体" w:hAnsi="宋体" w:cs="宋体"/>
          <w:color w:val="auto"/>
          <w:sz w:val="21"/>
          <w:szCs w:val="21"/>
        </w:rPr>
        <w:t>的价款。</w:t>
      </w:r>
    </w:p>
    <w:p>
      <w:pPr>
        <w:pStyle w:val="2"/>
        <w:widowControl/>
        <w:snapToGrid w:val="0"/>
        <w:spacing w:line="360" w:lineRule="auto"/>
        <w:rPr>
          <w:rFonts w:ascii="宋体" w:cs="宋体"/>
          <w:color w:val="auto"/>
          <w:sz w:val="21"/>
          <w:szCs w:val="21"/>
        </w:rPr>
      </w:pPr>
      <w:r>
        <w:rPr>
          <w:rFonts w:hint="eastAsia" w:ascii="宋体" w:hAnsi="宋体" w:cs="宋体"/>
          <w:color w:val="auto"/>
          <w:sz w:val="21"/>
          <w:szCs w:val="21"/>
        </w:rPr>
        <w:t>A 金额为合同总价格100%的增值税发票（适应税率）（正本一份，复印件二份）。</w:t>
      </w:r>
    </w:p>
    <w:p>
      <w:pPr>
        <w:pStyle w:val="2"/>
        <w:keepNext w:val="0"/>
        <w:keepLines w:val="0"/>
        <w:pageBreakBefore w:val="0"/>
        <w:widowControl/>
        <w:kinsoku/>
        <w:wordWrap/>
        <w:overflowPunct/>
        <w:topLinePunct w:val="0"/>
        <w:autoSpaceDE/>
        <w:autoSpaceDN/>
        <w:bidi w:val="0"/>
        <w:adjustRightInd/>
        <w:snapToGrid w:val="0"/>
        <w:spacing w:after="0" w:line="360" w:lineRule="auto"/>
        <w:textAlignment w:val="auto"/>
        <w:rPr>
          <w:rFonts w:ascii="宋体" w:hAnsi="宋体" w:cs="宋体"/>
          <w:color w:val="auto"/>
          <w:sz w:val="21"/>
          <w:szCs w:val="21"/>
        </w:rPr>
      </w:pPr>
      <w:r>
        <w:rPr>
          <w:rFonts w:hint="eastAsia" w:ascii="宋体" w:hAnsi="宋体" w:cs="宋体"/>
          <w:color w:val="auto"/>
          <w:sz w:val="21"/>
          <w:szCs w:val="21"/>
        </w:rPr>
        <w:t>B 该项目经相关机构最终验收、备案证书或资料文件的复印件一式五份。【特殊项目才需要】</w:t>
      </w:r>
    </w:p>
    <w:p>
      <w:pPr>
        <w:snapToGrid w:val="0"/>
        <w:spacing w:line="360" w:lineRule="auto"/>
        <w:ind w:firstLine="420" w:firstLineChars="200"/>
        <w:rPr>
          <w:rFonts w:hint="eastAsia" w:ascii="宋体" w:hAnsi="宋体" w:cs="宋体"/>
          <w:color w:val="auto"/>
          <w:sz w:val="21"/>
          <w:szCs w:val="21"/>
        </w:rPr>
      </w:pPr>
      <w:r>
        <w:rPr>
          <w:rFonts w:ascii="宋体" w:hAnsi="宋体" w:cs="宋体"/>
          <w:color w:val="auto"/>
          <w:sz w:val="21"/>
          <w:szCs w:val="21"/>
        </w:rPr>
        <w:t>b)</w:t>
      </w:r>
      <w:r>
        <w:rPr>
          <w:rFonts w:hint="eastAsia" w:ascii="宋体" w:hAnsi="宋体" w:cs="宋体"/>
          <w:color w:val="auto"/>
          <w:sz w:val="21"/>
          <w:szCs w:val="21"/>
        </w:rPr>
        <w:t>剩余合同总金额的约</w:t>
      </w:r>
      <w:r>
        <w:rPr>
          <w:rFonts w:ascii="宋体" w:hAnsi="宋体" w:cs="宋体"/>
          <w:color w:val="auto"/>
          <w:sz w:val="21"/>
          <w:szCs w:val="21"/>
          <w:u w:val="single"/>
        </w:rPr>
        <w:t>10%</w:t>
      </w:r>
      <w:r>
        <w:rPr>
          <w:rFonts w:hint="eastAsia" w:ascii="宋体" w:hAnsi="宋体" w:cs="宋体"/>
          <w:color w:val="auto"/>
          <w:sz w:val="21"/>
          <w:szCs w:val="21"/>
        </w:rPr>
        <w:t>作为质量保证金，待该合同标的质量保证期满，经项目招标单位出具证明和必要的手续，委托方在按照规定账期</w:t>
      </w:r>
      <w:r>
        <w:rPr>
          <w:rFonts w:hint="eastAsia" w:ascii="宋体" w:hAnsi="宋体" w:cs="宋体"/>
          <w:color w:val="auto"/>
          <w:sz w:val="21"/>
          <w:szCs w:val="21"/>
          <w:lang w:eastAsia="zh-CN"/>
        </w:rPr>
        <w:t>内</w:t>
      </w:r>
      <w:r>
        <w:rPr>
          <w:rFonts w:hint="eastAsia" w:ascii="宋体" w:hAnsi="宋体" w:cs="宋体"/>
          <w:color w:val="auto"/>
          <w:sz w:val="21"/>
          <w:szCs w:val="21"/>
        </w:rPr>
        <w:t>支付给承揽方该合同价格的约</w:t>
      </w:r>
      <w:r>
        <w:rPr>
          <w:rFonts w:ascii="宋体" w:hAnsi="宋体" w:cs="宋体"/>
          <w:color w:val="auto"/>
          <w:sz w:val="21"/>
          <w:szCs w:val="21"/>
        </w:rPr>
        <w:t>10%</w:t>
      </w:r>
      <w:r>
        <w:rPr>
          <w:rFonts w:hint="eastAsia" w:ascii="宋体" w:hAnsi="宋体" w:cs="宋体"/>
          <w:color w:val="auto"/>
          <w:sz w:val="21"/>
          <w:szCs w:val="21"/>
        </w:rPr>
        <w:t>尾款（如有问题，应扣除相应部分款项）。</w:t>
      </w:r>
    </w:p>
    <w:p>
      <w:pPr>
        <w:pStyle w:val="2"/>
        <w:keepNext w:val="0"/>
        <w:keepLines w:val="0"/>
        <w:pageBreakBefore w:val="0"/>
        <w:widowControl/>
        <w:kinsoku/>
        <w:wordWrap/>
        <w:overflowPunct/>
        <w:topLinePunct w:val="0"/>
        <w:autoSpaceDE/>
        <w:autoSpaceDN/>
        <w:bidi w:val="0"/>
        <w:adjustRightInd/>
        <w:snapToGrid w:val="0"/>
        <w:spacing w:after="0" w:line="360" w:lineRule="auto"/>
        <w:ind w:firstLine="420" w:firstLineChars="200"/>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三、投标保证金</w:t>
      </w:r>
    </w:p>
    <w:p>
      <w:pPr>
        <w:pStyle w:val="2"/>
        <w:keepNext w:val="0"/>
        <w:keepLines w:val="0"/>
        <w:pageBreakBefore w:val="0"/>
        <w:widowControl/>
        <w:kinsoku/>
        <w:wordWrap/>
        <w:overflowPunct/>
        <w:topLinePunct w:val="0"/>
        <w:autoSpaceDE/>
        <w:autoSpaceDN/>
        <w:bidi w:val="0"/>
        <w:adjustRightInd/>
        <w:snapToGrid w:val="0"/>
        <w:spacing w:after="0" w:line="360" w:lineRule="auto"/>
        <w:ind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招标文件的获取以报名单位通过资质审核并缴纳投标保证金之后，招标项目联系人通过微信形式发送投标人。（投标人应提交人民币</w:t>
      </w:r>
      <w:r>
        <w:rPr>
          <w:rFonts w:hint="eastAsia" w:ascii="宋体" w:hAnsi="宋体" w:cs="宋体"/>
          <w:color w:val="FF0000"/>
          <w:sz w:val="21"/>
          <w:szCs w:val="21"/>
          <w:u w:val="single"/>
          <w:lang w:val="en-US" w:eastAsia="zh-CN"/>
        </w:rPr>
        <w:t>伍仟元</w:t>
      </w:r>
      <w:r>
        <w:rPr>
          <w:rFonts w:hint="eastAsia" w:ascii="宋体" w:hAnsi="宋体" w:cs="宋体"/>
          <w:color w:val="auto"/>
          <w:sz w:val="21"/>
          <w:szCs w:val="21"/>
          <w:lang w:val="en-US" w:eastAsia="zh-CN"/>
        </w:rPr>
        <w:t>投标保证金，并在保证金上注明项目名称，并截图发给招标联系人，</w:t>
      </w:r>
      <w:r>
        <w:rPr>
          <w:rFonts w:hint="eastAsia" w:ascii="宋体" w:hAnsi="宋体" w:cs="宋体"/>
          <w:color w:val="FF0000"/>
          <w:sz w:val="21"/>
          <w:szCs w:val="21"/>
          <w:lang w:val="en-US" w:eastAsia="zh-CN"/>
        </w:rPr>
        <w:t>李工：13954157375微信同号）</w:t>
      </w:r>
    </w:p>
    <w:p>
      <w:pPr>
        <w:pStyle w:val="2"/>
        <w:keepNext w:val="0"/>
        <w:keepLines w:val="0"/>
        <w:pageBreakBefore w:val="0"/>
        <w:widowControl/>
        <w:kinsoku/>
        <w:wordWrap/>
        <w:overflowPunct/>
        <w:topLinePunct w:val="0"/>
        <w:autoSpaceDE/>
        <w:autoSpaceDN/>
        <w:bidi w:val="0"/>
        <w:adjustRightInd/>
        <w:snapToGrid w:val="0"/>
        <w:spacing w:after="0" w:line="360" w:lineRule="auto"/>
        <w:ind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缴纳投标保证金账户信息：</w:t>
      </w:r>
    </w:p>
    <w:p>
      <w:pPr>
        <w:pStyle w:val="2"/>
        <w:keepNext w:val="0"/>
        <w:keepLines w:val="0"/>
        <w:pageBreakBefore w:val="0"/>
        <w:widowControl/>
        <w:kinsoku/>
        <w:wordWrap/>
        <w:overflowPunct/>
        <w:topLinePunct w:val="0"/>
        <w:autoSpaceDE/>
        <w:autoSpaceDN/>
        <w:bidi w:val="0"/>
        <w:adjustRightInd/>
        <w:snapToGrid w:val="0"/>
        <w:spacing w:after="0" w:line="360" w:lineRule="auto"/>
        <w:textAlignment w:val="auto"/>
        <w:rPr>
          <w:rFonts w:hint="eastAsia" w:ascii="宋体" w:hAnsi="宋体" w:cs="宋体"/>
          <w:color w:val="FF0000"/>
          <w:sz w:val="21"/>
          <w:szCs w:val="21"/>
          <w:lang w:val="en-US" w:eastAsia="zh-CN"/>
        </w:rPr>
      </w:pPr>
      <w:r>
        <w:rPr>
          <w:rFonts w:hint="eastAsia" w:ascii="宋体" w:hAnsi="宋体" w:cs="宋体"/>
          <w:color w:val="FF0000"/>
          <w:sz w:val="21"/>
          <w:szCs w:val="21"/>
          <w:lang w:val="en-US" w:eastAsia="zh-CN"/>
        </w:rPr>
        <w:t>账号：531900051810601</w:t>
      </w:r>
      <w:r>
        <w:rPr>
          <w:rFonts w:hint="eastAsia" w:ascii="宋体" w:hAnsi="宋体" w:cs="宋体"/>
          <w:color w:val="FF0000"/>
          <w:sz w:val="21"/>
          <w:szCs w:val="21"/>
          <w:lang w:val="en-US" w:eastAsia="zh-CN"/>
        </w:rPr>
        <w:br w:type="textWrapping"/>
      </w:r>
      <w:r>
        <w:rPr>
          <w:rFonts w:hint="eastAsia" w:ascii="宋体" w:hAnsi="宋体" w:cs="宋体"/>
          <w:color w:val="FF0000"/>
          <w:sz w:val="21"/>
          <w:szCs w:val="21"/>
          <w:lang w:val="en-US" w:eastAsia="zh-CN"/>
        </w:rPr>
        <w:t>户名：中国重汽集团济南卡车股份有限公司</w:t>
      </w:r>
      <w:r>
        <w:rPr>
          <w:rFonts w:hint="eastAsia" w:ascii="宋体" w:hAnsi="宋体" w:cs="宋体"/>
          <w:color w:val="FF0000"/>
          <w:sz w:val="21"/>
          <w:szCs w:val="21"/>
          <w:lang w:val="en-US" w:eastAsia="zh-CN"/>
        </w:rPr>
        <w:br w:type="textWrapping"/>
      </w:r>
      <w:r>
        <w:rPr>
          <w:rFonts w:hint="eastAsia" w:ascii="宋体" w:hAnsi="宋体" w:cs="宋体"/>
          <w:color w:val="FF0000"/>
          <w:sz w:val="21"/>
          <w:szCs w:val="21"/>
          <w:lang w:val="en-US" w:eastAsia="zh-CN"/>
        </w:rPr>
        <w:t>开户银行：招商银行股份有限公司济南分行营业部</w:t>
      </w:r>
      <w:r>
        <w:rPr>
          <w:rFonts w:hint="eastAsia" w:ascii="宋体" w:hAnsi="宋体" w:cs="宋体"/>
          <w:color w:val="FF0000"/>
          <w:sz w:val="21"/>
          <w:szCs w:val="21"/>
          <w:lang w:val="en-US" w:eastAsia="zh-CN"/>
        </w:rPr>
        <w:br w:type="textWrapping"/>
      </w:r>
      <w:r>
        <w:rPr>
          <w:rFonts w:hint="eastAsia" w:ascii="宋体" w:hAnsi="宋体" w:cs="宋体"/>
          <w:color w:val="FF0000"/>
          <w:sz w:val="21"/>
          <w:szCs w:val="21"/>
          <w:lang w:val="en-US" w:eastAsia="zh-CN"/>
        </w:rPr>
        <w:t>联行号：308451028020 投标保证金等需要支付到此账号</w:t>
      </w:r>
    </w:p>
    <w:p>
      <w:pPr>
        <w:pStyle w:val="2"/>
        <w:keepNext w:val="0"/>
        <w:keepLines w:val="0"/>
        <w:pageBreakBefore w:val="0"/>
        <w:widowControl/>
        <w:kinsoku/>
        <w:wordWrap/>
        <w:overflowPunct/>
        <w:topLinePunct w:val="0"/>
        <w:autoSpaceDE/>
        <w:autoSpaceDN/>
        <w:bidi w:val="0"/>
        <w:adjustRightInd/>
        <w:snapToGrid w:val="0"/>
        <w:spacing w:after="0" w:line="360" w:lineRule="auto"/>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在摘要、用途或备注上明确项目名称：如下</w:t>
      </w:r>
    </w:p>
    <w:p>
      <w:pPr>
        <w:pStyle w:val="2"/>
        <w:keepNext w:val="0"/>
        <w:keepLines w:val="0"/>
        <w:pageBreakBefore w:val="0"/>
        <w:widowControl/>
        <w:kinsoku/>
        <w:wordWrap/>
        <w:overflowPunct/>
        <w:topLinePunct w:val="0"/>
        <w:autoSpaceDE/>
        <w:autoSpaceDN/>
        <w:bidi w:val="0"/>
        <w:adjustRightInd/>
        <w:snapToGrid w:val="0"/>
        <w:spacing w:after="0" w:line="360" w:lineRule="auto"/>
        <w:textAlignment w:val="auto"/>
        <w:rPr>
          <w:rFonts w:hint="eastAsia" w:ascii="宋体" w:hAnsi="宋体" w:cs="宋体"/>
          <w:color w:val="FF0000"/>
          <w:sz w:val="21"/>
          <w:szCs w:val="21"/>
          <w:lang w:val="en-US" w:eastAsia="zh-CN"/>
        </w:rPr>
      </w:pPr>
      <w:r>
        <w:rPr>
          <w:rFonts w:hint="eastAsia" w:ascii="宋体" w:hAnsi="宋体" w:cs="宋体"/>
          <w:color w:val="FF0000"/>
          <w:sz w:val="21"/>
          <w:szCs w:val="21"/>
          <w:lang w:val="en-US" w:eastAsia="zh-CN"/>
        </w:rPr>
        <w:t>电子回单请注明（设备动能部--济南卡车制造公司总装二部行车搬迁项目投标保证金）</w:t>
      </w:r>
    </w:p>
    <w:p>
      <w:pPr>
        <w:pStyle w:val="2"/>
        <w:keepNext w:val="0"/>
        <w:keepLines w:val="0"/>
        <w:pageBreakBefore w:val="0"/>
        <w:widowControl/>
        <w:kinsoku/>
        <w:wordWrap/>
        <w:overflowPunct/>
        <w:topLinePunct w:val="0"/>
        <w:autoSpaceDE/>
        <w:autoSpaceDN/>
        <w:bidi w:val="0"/>
        <w:adjustRightInd/>
        <w:snapToGrid w:val="0"/>
        <w:spacing w:after="0" w:line="360" w:lineRule="auto"/>
        <w:textAlignment w:val="auto"/>
        <w:rPr>
          <w:rFonts w:hint="eastAsia" w:ascii="宋体" w:hAnsi="宋体" w:cs="宋体"/>
          <w:color w:val="FF0000"/>
          <w:sz w:val="21"/>
          <w:szCs w:val="21"/>
          <w:lang w:val="en-US" w:eastAsia="zh-CN"/>
        </w:rPr>
      </w:pPr>
      <w:r>
        <w:rPr>
          <w:rFonts w:hint="eastAsia" w:ascii="宋体" w:hAnsi="宋体" w:cs="宋体"/>
          <w:color w:val="auto"/>
          <w:sz w:val="21"/>
          <w:szCs w:val="21"/>
          <w:lang w:val="en-US" w:eastAsia="zh-CN"/>
        </w:rPr>
        <w:t>注：</w:t>
      </w:r>
      <w:r>
        <w:rPr>
          <w:rFonts w:hint="eastAsia" w:ascii="宋体" w:hAnsi="宋体" w:cs="宋体"/>
          <w:color w:val="FF0000"/>
          <w:sz w:val="21"/>
          <w:szCs w:val="21"/>
          <w:lang w:val="en-US" w:eastAsia="zh-CN"/>
        </w:rPr>
        <w:t>经应标审核通过后，投标厂家在两天内交投标保证金，需从对方单位账户转出，如无保证金的备注，保证金将无法退回。</w:t>
      </w:r>
    </w:p>
    <w:p>
      <w:pPr>
        <w:snapToGrid w:val="0"/>
        <w:spacing w:line="360" w:lineRule="auto"/>
        <w:ind w:firstLine="420" w:firstLineChars="200"/>
        <w:rPr>
          <w:rFonts w:hint="eastAsia" w:ascii="宋体" w:hAnsi="宋体" w:cs="宋体" w:eastAsiaTheme="minorEastAsia"/>
          <w:color w:val="auto"/>
          <w:kern w:val="2"/>
          <w:sz w:val="21"/>
          <w:szCs w:val="21"/>
          <w:lang w:val="en-US" w:eastAsia="zh-CN" w:bidi="ar-SA"/>
        </w:rPr>
      </w:pPr>
      <w:bookmarkStart w:id="14" w:name="_GoBack"/>
      <w:bookmarkEnd w:id="14"/>
    </w:p>
    <w:p>
      <w:pPr>
        <w:bidi w:val="0"/>
        <w:jc w:val="left"/>
        <w:rPr>
          <w:rFonts w:hint="eastAsia"/>
          <w:lang w:val="en-US" w:eastAsia="zh-CN"/>
        </w:rPr>
      </w:pPr>
      <w:r>
        <w:rPr>
          <w:rFonts w:hint="eastAsia"/>
          <w:lang w:val="en-US" w:eastAsia="zh-CN"/>
        </w:rPr>
        <w:t xml:space="preserve"> </w:t>
      </w:r>
    </w:p>
    <w:p>
      <w:pPr>
        <w:keepNext w:val="0"/>
        <w:keepLines w:val="0"/>
        <w:pageBreakBefore w:val="0"/>
        <w:numPr>
          <w:ilvl w:val="0"/>
          <w:numId w:val="0"/>
        </w:numPr>
        <w:kinsoku/>
        <w:wordWrap/>
        <w:overflowPunct/>
        <w:topLinePunct w:val="0"/>
        <w:autoSpaceDE/>
        <w:autoSpaceDN/>
        <w:bidi w:val="0"/>
        <w:adjustRightInd/>
        <w:spacing w:line="360" w:lineRule="auto"/>
        <w:rPr>
          <w:rFonts w:hint="eastAsia" w:ascii="宋体" w:hAnsi="宋体" w:cs="宋体"/>
          <w:b/>
          <w:bCs/>
          <w:sz w:val="32"/>
          <w:szCs w:val="32"/>
          <w:lang w:val="en-US" w:eastAsia="zh-CN"/>
        </w:rPr>
      </w:pPr>
      <w:r>
        <w:rPr>
          <w:rFonts w:hint="eastAsia" w:ascii="宋体" w:hAnsi="宋体" w:cs="宋体"/>
          <w:b/>
          <w:bCs/>
          <w:sz w:val="32"/>
          <w:szCs w:val="32"/>
          <w:lang w:val="en-US" w:eastAsia="zh-CN"/>
        </w:rPr>
        <w:t xml:space="preserve">四、      </w:t>
      </w:r>
    </w:p>
    <w:p>
      <w:pPr>
        <w:keepNext w:val="0"/>
        <w:keepLines w:val="0"/>
        <w:pageBreakBefore w:val="0"/>
        <w:numPr>
          <w:ilvl w:val="0"/>
          <w:numId w:val="0"/>
        </w:numPr>
        <w:kinsoku/>
        <w:wordWrap/>
        <w:overflowPunct/>
        <w:topLinePunct w:val="0"/>
        <w:autoSpaceDE/>
        <w:autoSpaceDN/>
        <w:bidi w:val="0"/>
        <w:adjustRightInd/>
        <w:spacing w:line="360" w:lineRule="auto"/>
        <w:ind w:firstLine="2521" w:firstLineChars="700"/>
        <w:rPr>
          <w:rFonts w:ascii="宋体" w:cs="宋体"/>
          <w:sz w:val="36"/>
          <w:szCs w:val="36"/>
        </w:rPr>
      </w:pPr>
      <w:r>
        <w:rPr>
          <w:rFonts w:hint="eastAsia" w:ascii="宋体" w:hAnsi="宋体" w:cs="宋体"/>
          <w:b/>
          <w:bCs/>
          <w:sz w:val="36"/>
          <w:szCs w:val="36"/>
        </w:rPr>
        <w:t>开标一览表</w:t>
      </w:r>
    </w:p>
    <w:p>
      <w:pPr>
        <w:keepNext w:val="0"/>
        <w:keepLines w:val="0"/>
        <w:pageBreakBefore w:val="0"/>
        <w:kinsoku/>
        <w:wordWrap/>
        <w:overflowPunct/>
        <w:topLinePunct w:val="0"/>
        <w:autoSpaceDE/>
        <w:autoSpaceDN/>
        <w:bidi w:val="0"/>
        <w:adjustRightInd/>
        <w:snapToGrid w:val="0"/>
        <w:spacing w:line="360" w:lineRule="auto"/>
        <w:ind w:firstLine="630" w:firstLineChars="300"/>
        <w:rPr>
          <w:rFonts w:ascii="宋体" w:cs="宋体"/>
        </w:rPr>
      </w:pPr>
      <w:r>
        <w:rPr>
          <w:rFonts w:hint="eastAsia" w:ascii="宋体" w:hAnsi="宋体" w:cs="宋体"/>
        </w:rPr>
        <w:t>投标人名称：</w:t>
      </w:r>
      <w:r>
        <w:rPr>
          <w:rFonts w:hint="eastAsia" w:ascii="宋体" w:hAnsi="宋体" w:cs="宋体"/>
          <w:lang w:val="en-US" w:eastAsia="zh-CN"/>
        </w:rPr>
        <w:t xml:space="preserve">                           </w:t>
      </w:r>
      <w:r>
        <w:rPr>
          <w:rFonts w:hint="eastAsia" w:ascii="宋体" w:hAnsi="宋体" w:cs="宋体"/>
        </w:rPr>
        <w:t>单位：人民币（元）</w:t>
      </w:r>
    </w:p>
    <w:tbl>
      <w:tblPr>
        <w:tblStyle w:val="36"/>
        <w:tblW w:w="942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17"/>
        <w:gridCol w:w="1326"/>
        <w:gridCol w:w="1701"/>
        <w:gridCol w:w="709"/>
        <w:gridCol w:w="726"/>
        <w:gridCol w:w="1737"/>
        <w:gridCol w:w="726"/>
        <w:gridCol w:w="15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420"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等线" w:hAnsi="等线" w:eastAsia="等线" w:cs="等线"/>
                <w:i w:val="0"/>
                <w:iCs w:val="0"/>
                <w:color w:val="000000"/>
                <w:sz w:val="32"/>
                <w:szCs w:val="32"/>
                <w:u w:val="none"/>
              </w:rPr>
            </w:pPr>
            <w:r>
              <w:rPr>
                <w:rFonts w:hint="eastAsia" w:ascii="等线" w:hAnsi="等线" w:eastAsia="等线" w:cs="等线"/>
                <w:i w:val="0"/>
                <w:iCs w:val="0"/>
                <w:color w:val="000000"/>
                <w:kern w:val="0"/>
                <w:sz w:val="28"/>
                <w:szCs w:val="28"/>
                <w:u w:val="none"/>
                <w:lang w:val="en-US" w:eastAsia="zh-CN" w:bidi="ar"/>
              </w:rPr>
              <w:t>5T-22.5 总二东跨搬至总二西跨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序号</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名称</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规格型号</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单位</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数量</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单价（不含税）</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金额</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顶棚拆卸</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行车拆除</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行车安装调试</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转运费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登高作业平台费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吊装费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验收费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税金</w:t>
            </w:r>
          </w:p>
        </w:tc>
        <w:tc>
          <w:tcPr>
            <w:tcW w:w="487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w:t>
            </w:r>
          </w:p>
        </w:tc>
        <w:tc>
          <w:tcPr>
            <w:tcW w:w="619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合计含税</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420"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8"/>
                <w:szCs w:val="28"/>
                <w:u w:val="none"/>
                <w:lang w:val="en-US" w:eastAsia="zh-CN" w:bidi="ar"/>
              </w:rPr>
              <w:t>3T-22.5 总二西跨搬至总二中跨报价单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序号</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名称</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规格型号</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单位</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数量</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单价（不含税）</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金额</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顶棚拆卸</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行车拆除</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行车安装调试</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转运费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登高作业平台费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吊装费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验收费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税金</w:t>
            </w:r>
          </w:p>
        </w:tc>
        <w:tc>
          <w:tcPr>
            <w:tcW w:w="487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w:t>
            </w:r>
          </w:p>
        </w:tc>
        <w:tc>
          <w:tcPr>
            <w:tcW w:w="619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合计含税</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420"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8"/>
                <w:szCs w:val="28"/>
                <w:u w:val="none"/>
                <w:lang w:val="en-US" w:eastAsia="zh-CN" w:bidi="ar"/>
              </w:rPr>
              <w:t>3T-16.5m 试制-总装翻转车间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序号</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名称</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规格型号</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单位</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数量</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单价（不含税）</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金额</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顶棚拆卸</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3T-16.5M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行车拆除</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3T-16.5M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行车安装调试</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3T-16.5M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转运费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3T-16.5M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高低脚集电器</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JD-4-40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红外线防撞器</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TK-100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登高作业平台费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3T-16.5M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吊装费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3T-16.5M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验收费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3T-16.5M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税金</w:t>
            </w:r>
          </w:p>
        </w:tc>
        <w:tc>
          <w:tcPr>
            <w:tcW w:w="487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w:t>
            </w:r>
          </w:p>
        </w:tc>
        <w:tc>
          <w:tcPr>
            <w:tcW w:w="619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合计含税</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42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8"/>
                <w:szCs w:val="28"/>
                <w:u w:val="none"/>
                <w:lang w:val="en-US" w:eastAsia="zh-CN" w:bidi="ar"/>
              </w:rPr>
              <w:t>单梁2T-10m总装翻转搬多合一分装行车改造搬迁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序号</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名称</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规格型号</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单位</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数量</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单价(不含税)</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金额</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起重机改造费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2T-10m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起重机拆卸费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2T-10m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起重机安装费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2T-10m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登高作业平台费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2T-10m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转运费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2T-10m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防腐费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2T-10m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电缆线</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3*4mm²</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米</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70</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红外线防撞器</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TK-100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柔性电缆</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5*4mm²+8*1.5mm²</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米</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行车控制屏</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GQPT-225</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行车电缆小车</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5T单梁行车使用</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30</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吊车费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16T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税金</w:t>
            </w:r>
          </w:p>
        </w:tc>
        <w:tc>
          <w:tcPr>
            <w:tcW w:w="487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14</w:t>
            </w:r>
          </w:p>
        </w:tc>
        <w:tc>
          <w:tcPr>
            <w:tcW w:w="619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合计含税</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2" w:hRule="atLeast"/>
        </w:trPr>
        <w:tc>
          <w:tcPr>
            <w:tcW w:w="942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8"/>
                <w:szCs w:val="28"/>
                <w:u w:val="none"/>
                <w:lang w:val="en-US" w:eastAsia="zh-CN" w:bidi="ar"/>
              </w:rPr>
              <w:t>单梁5T-22.5m特种车-卡车备料电池搬迁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序号</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名称</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规格型号</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单位</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数量</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单价(不含税)</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金额</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起重机拆卸费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起重机安装调试费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登高作业平台费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H-12m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货架拆卸费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3"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耐折电缆</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5*6+8*1.5mm² 防折</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米</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26</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3"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行车电缆小车</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5T单梁行车使用</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3"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行车控制屏</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GQPT-225</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3"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吊钩头</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3"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钢丝绳</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6*37*15</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米</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23</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3"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导绳器</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起重量限制器</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3T--5T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3"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断火限位器</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LX44-20A</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3"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重锤限位器</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LX1G-L11</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3"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14</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红外线防撞器</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TK-100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3"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遥控器</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HQ-6S 36V 1拖2</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16</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运输费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17</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辅助材料</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氧气、乙炔、电焊条等</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18</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验收费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19</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吊车费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25T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20</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税金</w:t>
            </w:r>
          </w:p>
        </w:tc>
        <w:tc>
          <w:tcPr>
            <w:tcW w:w="487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21</w:t>
            </w:r>
          </w:p>
        </w:tc>
        <w:tc>
          <w:tcPr>
            <w:tcW w:w="619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合计含税</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2"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c>
          <w:tcPr>
            <w:tcW w:w="302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总合计不含税</w:t>
            </w:r>
          </w:p>
        </w:tc>
        <w:tc>
          <w:tcPr>
            <w:tcW w:w="389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c>
          <w:tcPr>
            <w:tcW w:w="302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税金 13%</w:t>
            </w:r>
          </w:p>
        </w:tc>
        <w:tc>
          <w:tcPr>
            <w:tcW w:w="389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2"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c>
          <w:tcPr>
            <w:tcW w:w="302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总合计含税</w:t>
            </w:r>
          </w:p>
        </w:tc>
        <w:tc>
          <w:tcPr>
            <w:tcW w:w="389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4"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备注</w:t>
            </w:r>
          </w:p>
        </w:tc>
        <w:tc>
          <w:tcPr>
            <w:tcW w:w="7177" w:type="dxa"/>
            <w:gridSpan w:val="6"/>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卡车党家庄厂区总装起重机搬迁维修 5台搬迁</w:t>
            </w:r>
          </w:p>
        </w:tc>
      </w:tr>
    </w:tbl>
    <w:p>
      <w:pPr>
        <w:bidi w:val="0"/>
        <w:ind w:firstLine="3150" w:firstLineChars="1500"/>
        <w:jc w:val="left"/>
        <w:rPr>
          <w:rFonts w:hint="default"/>
          <w:lang w:val="en-US" w:eastAsia="zh-CN"/>
        </w:rPr>
      </w:pPr>
    </w:p>
    <w:p>
      <w:pPr>
        <w:bidi w:val="0"/>
        <w:jc w:val="left"/>
        <w:rPr>
          <w:rFonts w:hint="default"/>
          <w:lang w:val="en-US" w:eastAsia="zh-CN"/>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宜请按各单位习惯制定即可。</w:t>
      </w:r>
    </w:p>
    <w:p>
      <w:pPr>
        <w:pStyle w:val="17"/>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bookmarkStart w:id="9" w:name="_Toc29691"/>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9"/>
    </w:p>
    <w:p>
      <w:pPr>
        <w:keepNext/>
        <w:keepLines/>
        <w:outlineLvl w:val="9"/>
        <w:rPr>
          <w:rFonts w:hint="eastAsia" w:ascii="Times New Roman" w:hAnsi="Times New Roman" w:eastAsia="宋体" w:cs="Times New Roman"/>
          <w:b/>
          <w:bCs/>
          <w:color w:val="000000"/>
          <w:sz w:val="24"/>
          <w:szCs w:val="24"/>
        </w:rPr>
      </w:pPr>
    </w:p>
    <w:p>
      <w:pPr>
        <w:pStyle w:val="17"/>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17"/>
        <w:rPr>
          <w:rFonts w:hint="eastAsia" w:ascii="Times New Roman" w:hAnsi="Times New Roman" w:eastAsia="宋体" w:cs="Times New Roman"/>
          <w:b/>
          <w:bCs/>
          <w:color w:val="000000"/>
          <w:sz w:val="24"/>
          <w:szCs w:val="24"/>
        </w:rPr>
        <w:sectPr>
          <w:footerReference r:id="rId14" w:type="first"/>
          <w:headerReference r:id="rId12" w:type="default"/>
          <w:footerReference r:id="rId1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0" w:name="_Toc212369550"/>
      <w:bookmarkStart w:id="11" w:name="_Toc639004"/>
      <w:bookmarkStart w:id="12" w:name="_Toc25811"/>
      <w:bookmarkStart w:id="13"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0"/>
      <w:bookmarkEnd w:id="11"/>
      <w:bookmarkEnd w:id="12"/>
      <w:bookmarkEnd w:id="13"/>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w:t>
      </w:r>
      <w:r>
        <w:rPr>
          <w:rFonts w:hint="eastAsia" w:ascii="宋体" w:hAnsi="宋体" w:eastAsia="宋体" w:cs="Times New Roman"/>
          <w:color w:val="000000"/>
          <w:sz w:val="24"/>
          <w:szCs w:val="24"/>
          <w:lang w:val="en-US" w:eastAsia="zh-CN"/>
        </w:rPr>
        <w:t>动力</w:t>
      </w:r>
      <w:r>
        <w:rPr>
          <w:rFonts w:hint="eastAsia" w:ascii="宋体" w:hAnsi="宋体" w:eastAsia="宋体" w:cs="Times New Roman"/>
          <w:color w:val="000000"/>
          <w:sz w:val="24"/>
          <w:szCs w:val="24"/>
          <w:lang w:eastAsia="zh-CN"/>
        </w:rPr>
        <w:t>有限公司</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济南卡车制造公司总装二部行车搬迁项目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济南卡车制造公司总装二部行车搬迁项目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7"/>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0"/>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0"/>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0"/>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0"/>
              <w:spacing w:before="111"/>
              <w:ind w:left="509"/>
              <w:rPr>
                <w:highlight w:val="yellow"/>
              </w:rPr>
            </w:pPr>
            <w:r>
              <w:t xml:space="preserve">企业法人代表  </w:t>
            </w:r>
          </w:p>
        </w:tc>
        <w:tc>
          <w:tcPr>
            <w:tcW w:w="4680" w:type="dxa"/>
            <w:gridSpan w:val="4"/>
          </w:tcPr>
          <w:p>
            <w:pPr>
              <w:pStyle w:val="6"/>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0"/>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0"/>
              <w:spacing w:before="114"/>
              <w:ind w:left="720"/>
            </w:pPr>
            <w:r>
              <w:t xml:space="preserve">品牌区分 </w:t>
            </w:r>
          </w:p>
        </w:tc>
        <w:tc>
          <w:tcPr>
            <w:tcW w:w="7500" w:type="dxa"/>
            <w:gridSpan w:val="6"/>
          </w:tcPr>
          <w:p>
            <w:pPr>
              <w:pStyle w:val="130"/>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0"/>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0"/>
              <w:spacing w:before="15"/>
              <w:ind w:left="279"/>
            </w:pPr>
            <w:r>
              <w:rPr>
                <w:spacing w:val="-2"/>
              </w:rPr>
              <w:t>质量</w:t>
            </w:r>
            <w:r>
              <w:t xml:space="preserve"> </w:t>
            </w:r>
          </w:p>
          <w:p>
            <w:pPr>
              <w:pStyle w:val="130"/>
              <w:spacing w:before="30" w:line="277" w:lineRule="exact"/>
              <w:ind w:left="279"/>
            </w:pPr>
            <w:r>
              <w:rPr>
                <w:rFonts w:hint="eastAsia"/>
              </w:rPr>
              <w:t>体系</w:t>
            </w:r>
          </w:p>
        </w:tc>
        <w:tc>
          <w:tcPr>
            <w:tcW w:w="2820" w:type="dxa"/>
            <w:gridSpan w:val="2"/>
          </w:tcPr>
          <w:p>
            <w:pPr>
              <w:pStyle w:val="130"/>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0"/>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7"/>
        <w:rPr>
          <w:rFonts w:ascii="Times New Roman" w:hAnsi="Times New Roman" w:eastAsia="宋体" w:cs="Times New Roman"/>
          <w:b/>
          <w:bCs/>
          <w:color w:val="000000"/>
          <w:sz w:val="24"/>
          <w:szCs w:val="24"/>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6" w:type="first"/>
          <w:footerReference r:id="rId1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济南卡车制造公司总装二部行车搬迁项目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济南卡车制造公司总装二部行车搬迁项目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pPr>
    </w:p>
    <w:p>
      <w:pPr>
        <w:pStyle w:val="46"/>
        <w:rPr>
          <w:rFonts w:ascii="宋体" w:hAnsi="Calibri" w:eastAsia="宋体" w:cs="宋体"/>
          <w:b/>
          <w:bCs/>
          <w:color w:val="000000"/>
          <w:sz w:val="28"/>
          <w:szCs w:val="20"/>
        </w:rPr>
      </w:pPr>
    </w:p>
    <w:p>
      <w:pPr>
        <w:pStyle w:val="46"/>
        <w:rPr>
          <w:rFonts w:ascii="宋体" w:hAnsi="Calibri" w:eastAsia="宋体" w:cs="宋体"/>
          <w:b/>
          <w:bCs/>
          <w:color w:val="000000"/>
          <w:sz w:val="28"/>
          <w:szCs w:val="20"/>
        </w:rPr>
      </w:pPr>
    </w:p>
    <w:p>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ascii="宋体" w:hAnsi="宋体" w:eastAsia="宋体" w:cs="Times New Roman"/>
          <w:b/>
          <w:bCs/>
          <w:sz w:val="24"/>
          <w:szCs w:val="24"/>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91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7"/>
        <w:gridCol w:w="2003"/>
        <w:gridCol w:w="2599"/>
        <w:gridCol w:w="1026"/>
        <w:gridCol w:w="679"/>
        <w:gridCol w:w="1430"/>
        <w:gridCol w:w="8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trPr>
        <w:tc>
          <w:tcPr>
            <w:tcW w:w="567" w:type="dxa"/>
            <w:vAlign w:val="center"/>
          </w:tcPr>
          <w:p>
            <w:pPr>
              <w:keepNext w:val="0"/>
              <w:keepLines w:val="0"/>
              <w:pageBreakBefore w:val="0"/>
              <w:widowControl w:val="0"/>
              <w:kinsoku/>
              <w:wordWrap/>
              <w:overflowPunct/>
              <w:topLinePunct w:val="0"/>
              <w:autoSpaceDE/>
              <w:autoSpaceDN/>
              <w:bidi w:val="0"/>
              <w:adjustRightInd/>
              <w:snapToGrid/>
              <w:spacing w:line="186" w:lineRule="auto"/>
              <w:ind w:left="0"/>
              <w:jc w:val="center"/>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003" w:type="dxa"/>
            <w:vAlign w:val="center"/>
          </w:tcPr>
          <w:p>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599" w:type="dxa"/>
            <w:vAlign w:val="center"/>
          </w:tcPr>
          <w:p>
            <w:pPr>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026" w:type="dxa"/>
            <w:vAlign w:val="center"/>
          </w:tcPr>
          <w:p>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79" w:type="dxa"/>
            <w:vAlign w:val="center"/>
          </w:tcPr>
          <w:p>
            <w:pPr>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30" w:type="dxa"/>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hint="eastAsia" w:ascii="宋体" w:hAnsi="宋体" w:eastAsia="宋体" w:cs="宋体"/>
                <w:szCs w:val="21"/>
                <w:lang w:eastAsia="zh-CN"/>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6</w:t>
            </w:r>
          </w:p>
        </w:tc>
        <w:tc>
          <w:tcPr>
            <w:tcW w:w="832" w:type="dxa"/>
            <w:vAlign w:val="center"/>
          </w:tcPr>
          <w:p>
            <w:pPr>
              <w:keepNext w:val="0"/>
              <w:keepLines w:val="0"/>
              <w:pageBreakBefore w:val="0"/>
              <w:widowControl w:val="0"/>
              <w:kinsoku/>
              <w:wordWrap/>
              <w:overflowPunct/>
              <w:topLinePunct w:val="0"/>
              <w:autoSpaceDE/>
              <w:autoSpaceDN/>
              <w:bidi w:val="0"/>
              <w:adjustRightInd/>
              <w:snapToGrid/>
              <w:spacing w:line="183" w:lineRule="auto"/>
              <w:ind w:left="0" w:firstLine="420" w:firstLineChars="200"/>
              <w:jc w:val="left"/>
              <w:textAlignment w:val="auto"/>
              <w:rPr>
                <w:rFonts w:hint="eastAsia" w:ascii="宋体" w:hAnsi="宋体" w:eastAsia="宋体" w:cs="宋体"/>
                <w:szCs w:val="21"/>
                <w:lang w:eastAsia="zh-CN"/>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vAlign w:val="center"/>
          </w:tcPr>
          <w:p>
            <w:pPr>
              <w:spacing w:line="221" w:lineRule="auto"/>
              <w:jc w:val="center"/>
              <w:rPr>
                <w:rFonts w:ascii="宋体" w:hAnsi="宋体" w:eastAsia="宋体" w:cs="宋体"/>
                <w:b/>
                <w:bCs/>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序号</w:t>
            </w:r>
          </w:p>
        </w:tc>
        <w:tc>
          <w:tcPr>
            <w:tcW w:w="2003" w:type="dxa"/>
            <w:vAlign w:val="center"/>
          </w:tcPr>
          <w:p>
            <w:pPr>
              <w:spacing w:line="221" w:lineRule="auto"/>
              <w:jc w:val="center"/>
              <w:rPr>
                <w:rFonts w:ascii="宋体" w:hAnsi="宋体" w:eastAsia="宋体" w:cs="宋体"/>
                <w:b/>
                <w:bCs/>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货物名称</w:t>
            </w:r>
          </w:p>
        </w:tc>
        <w:tc>
          <w:tcPr>
            <w:tcW w:w="259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026"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67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430" w:type="dxa"/>
            <w:tcBorders>
              <w:lef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832"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shd w:val="clear" w:color="auto" w:fill="auto"/>
            <w:vAlign w:val="center"/>
          </w:tcPr>
          <w:p>
            <w:pPr>
              <w:widowControl/>
              <w:jc w:val="center"/>
              <w:textAlignment w:val="center"/>
              <w:rPr>
                <w:rFonts w:hint="default" w:ascii="仿宋_GB2312" w:hAnsi="仿宋_GB2312" w:eastAsia="仿宋_GB2312" w:cs="仿宋_GB2312"/>
                <w:color w:val="000000"/>
                <w:kern w:val="2"/>
                <w:sz w:val="21"/>
                <w:szCs w:val="21"/>
                <w:lang w:val="en-US" w:eastAsia="zh-CN" w:bidi="ar-SA"/>
              </w:rPr>
            </w:pPr>
          </w:p>
        </w:tc>
        <w:tc>
          <w:tcPr>
            <w:tcW w:w="200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59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026"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tc>
        <w:tc>
          <w:tcPr>
            <w:tcW w:w="67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30" w:type="dxa"/>
            <w:tcBorders>
              <w:left w:val="single" w:color="000000" w:sz="4" w:space="0"/>
            </w:tcBorders>
          </w:tcPr>
          <w:p>
            <w:pPr>
              <w:rPr>
                <w:rFonts w:ascii="Arial"/>
                <w:sz w:val="18"/>
                <w:szCs w:val="18"/>
              </w:rPr>
            </w:pPr>
          </w:p>
        </w:tc>
        <w:tc>
          <w:tcPr>
            <w:tcW w:w="832" w:type="dxa"/>
          </w:tcPr>
          <w:p>
            <w:pPr>
              <w:rPr>
                <w:rFonts w:ascii="Arial"/>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shd w:val="clear" w:color="auto" w:fill="auto"/>
            <w:vAlign w:val="center"/>
          </w:tcPr>
          <w:p>
            <w:pPr>
              <w:widowControl/>
              <w:jc w:val="center"/>
              <w:textAlignment w:val="center"/>
              <w:rPr>
                <w:rFonts w:hint="default" w:ascii="仿宋_GB2312" w:hAnsi="仿宋_GB2312" w:eastAsia="仿宋_GB2312" w:cs="仿宋_GB2312"/>
                <w:color w:val="000000"/>
                <w:kern w:val="2"/>
                <w:sz w:val="21"/>
                <w:szCs w:val="21"/>
                <w:lang w:val="en-US" w:eastAsia="zh-CN" w:bidi="ar-SA"/>
              </w:rPr>
            </w:pPr>
          </w:p>
        </w:tc>
        <w:tc>
          <w:tcPr>
            <w:tcW w:w="200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59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0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67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30" w:type="dxa"/>
            <w:tcBorders>
              <w:left w:val="single" w:color="000000" w:sz="4" w:space="0"/>
            </w:tcBorders>
          </w:tcPr>
          <w:p>
            <w:pPr>
              <w:rPr>
                <w:rFonts w:ascii="Arial"/>
                <w:sz w:val="18"/>
                <w:szCs w:val="18"/>
              </w:rPr>
            </w:pPr>
          </w:p>
        </w:tc>
        <w:tc>
          <w:tcPr>
            <w:tcW w:w="832" w:type="dxa"/>
          </w:tcPr>
          <w:p>
            <w:pPr>
              <w:rPr>
                <w:rFonts w:ascii="Arial"/>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shd w:val="clear" w:color="auto" w:fill="auto"/>
            <w:vAlign w:val="center"/>
          </w:tcPr>
          <w:p>
            <w:pPr>
              <w:widowControl/>
              <w:jc w:val="center"/>
              <w:textAlignment w:val="center"/>
              <w:rPr>
                <w:rFonts w:hint="default" w:ascii="仿宋_GB2312" w:hAnsi="仿宋_GB2312" w:eastAsia="仿宋_GB2312" w:cs="仿宋_GB2312"/>
                <w:color w:val="000000"/>
                <w:kern w:val="2"/>
                <w:sz w:val="21"/>
                <w:szCs w:val="21"/>
                <w:lang w:val="en-US" w:eastAsia="zh-CN" w:bidi="ar-SA"/>
              </w:rPr>
            </w:pPr>
          </w:p>
        </w:tc>
        <w:tc>
          <w:tcPr>
            <w:tcW w:w="2003" w:type="dxa"/>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59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0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67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30" w:type="dxa"/>
            <w:tcBorders>
              <w:left w:val="single" w:color="000000" w:sz="4" w:space="0"/>
            </w:tcBorders>
          </w:tcPr>
          <w:p>
            <w:pPr>
              <w:rPr>
                <w:rFonts w:ascii="Arial"/>
                <w:sz w:val="18"/>
                <w:szCs w:val="18"/>
              </w:rPr>
            </w:pPr>
          </w:p>
        </w:tc>
        <w:tc>
          <w:tcPr>
            <w:tcW w:w="832" w:type="dxa"/>
          </w:tcPr>
          <w:p>
            <w:pPr>
              <w:rPr>
                <w:rFonts w:ascii="Arial"/>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shd w:val="clear" w:color="auto" w:fill="auto"/>
            <w:vAlign w:val="center"/>
          </w:tcPr>
          <w:p>
            <w:pPr>
              <w:widowControl/>
              <w:jc w:val="center"/>
              <w:textAlignment w:val="center"/>
              <w:rPr>
                <w:rFonts w:hint="default" w:ascii="仿宋_GB2312" w:hAnsi="仿宋_GB2312" w:eastAsia="仿宋_GB2312" w:cs="仿宋_GB2312"/>
                <w:color w:val="000000"/>
                <w:kern w:val="0"/>
                <w:sz w:val="21"/>
                <w:szCs w:val="21"/>
                <w:lang w:val="en-US" w:eastAsia="zh-CN" w:bidi="ar"/>
              </w:rPr>
            </w:pPr>
          </w:p>
        </w:tc>
        <w:tc>
          <w:tcPr>
            <w:tcW w:w="2003" w:type="dxa"/>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59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0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67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30" w:type="dxa"/>
            <w:tcBorders>
              <w:left w:val="single" w:color="000000" w:sz="4" w:space="0"/>
            </w:tcBorders>
          </w:tcPr>
          <w:p>
            <w:pPr>
              <w:rPr>
                <w:rFonts w:ascii="Arial"/>
                <w:sz w:val="18"/>
                <w:szCs w:val="18"/>
              </w:rPr>
            </w:pPr>
          </w:p>
        </w:tc>
        <w:tc>
          <w:tcPr>
            <w:tcW w:w="832" w:type="dxa"/>
          </w:tcPr>
          <w:p>
            <w:pPr>
              <w:rPr>
                <w:rFonts w:ascii="Arial"/>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shd w:val="clear" w:color="auto" w:fill="auto"/>
            <w:vAlign w:val="center"/>
          </w:tcPr>
          <w:p>
            <w:pPr>
              <w:widowControl/>
              <w:jc w:val="center"/>
              <w:textAlignment w:val="center"/>
              <w:rPr>
                <w:rFonts w:hint="default" w:ascii="仿宋_GB2312" w:hAnsi="仿宋_GB2312" w:eastAsia="仿宋_GB2312" w:cs="仿宋_GB2312"/>
                <w:color w:val="000000"/>
                <w:kern w:val="0"/>
                <w:sz w:val="21"/>
                <w:szCs w:val="21"/>
                <w:lang w:val="en-US" w:eastAsia="zh-CN" w:bidi="ar"/>
              </w:rPr>
            </w:pPr>
          </w:p>
        </w:tc>
        <w:tc>
          <w:tcPr>
            <w:tcW w:w="2003" w:type="dxa"/>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59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0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67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30" w:type="dxa"/>
            <w:tcBorders>
              <w:left w:val="single" w:color="000000" w:sz="4" w:space="0"/>
            </w:tcBorders>
          </w:tcPr>
          <w:p>
            <w:pPr>
              <w:rPr>
                <w:rFonts w:ascii="Arial"/>
              </w:rPr>
            </w:pPr>
          </w:p>
        </w:tc>
        <w:tc>
          <w:tcPr>
            <w:tcW w:w="83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67" w:type="dxa"/>
            <w:vAlign w:val="center"/>
          </w:tcPr>
          <w:p>
            <w:pPr>
              <w:adjustRightInd w:val="0"/>
              <w:snapToGrid w:val="0"/>
              <w:spacing w:before="0" w:line="240" w:lineRule="auto"/>
              <w:ind w:left="0"/>
              <w:jc w:val="center"/>
              <w:rPr>
                <w:rFonts w:ascii="宋体" w:hAnsi="宋体" w:eastAsia="宋体" w:cs="宋体"/>
                <w:szCs w:val="21"/>
              </w:rPr>
            </w:pPr>
          </w:p>
        </w:tc>
        <w:tc>
          <w:tcPr>
            <w:tcW w:w="2003" w:type="dxa"/>
          </w:tcPr>
          <w:p>
            <w:pPr>
              <w:rPr>
                <w:rFonts w:ascii="Arial"/>
              </w:rPr>
            </w:pPr>
            <w:r>
              <w:rPr>
                <w:rFonts w:hint="eastAsia" w:ascii="宋体" w:hAnsi="宋体" w:eastAsia="宋体" w:cstheme="minorBidi"/>
                <w:color w:val="FF0000"/>
                <w:sz w:val="18"/>
                <w:szCs w:val="18"/>
              </w:rPr>
              <w:t>以上投标设备不足之处请往下添加序号自行补充</w:t>
            </w:r>
          </w:p>
        </w:tc>
        <w:tc>
          <w:tcPr>
            <w:tcW w:w="2599" w:type="dxa"/>
          </w:tcPr>
          <w:p>
            <w:pPr>
              <w:rPr>
                <w:rFonts w:ascii="Arial"/>
              </w:rPr>
            </w:pPr>
          </w:p>
        </w:tc>
        <w:tc>
          <w:tcPr>
            <w:tcW w:w="1026" w:type="dxa"/>
          </w:tcPr>
          <w:p>
            <w:pPr>
              <w:rPr>
                <w:rFonts w:ascii="Arial"/>
              </w:rPr>
            </w:pPr>
          </w:p>
        </w:tc>
        <w:tc>
          <w:tcPr>
            <w:tcW w:w="679" w:type="dxa"/>
          </w:tcPr>
          <w:p>
            <w:pPr>
              <w:rPr>
                <w:rFonts w:ascii="Arial"/>
              </w:rPr>
            </w:pPr>
          </w:p>
        </w:tc>
        <w:tc>
          <w:tcPr>
            <w:tcW w:w="1430" w:type="dxa"/>
            <w:tcBorders>
              <w:left w:val="single" w:color="000000" w:sz="4" w:space="0"/>
            </w:tcBorders>
          </w:tcPr>
          <w:p>
            <w:pPr>
              <w:rPr>
                <w:rFonts w:ascii="Arial"/>
              </w:rPr>
            </w:pPr>
          </w:p>
        </w:tc>
        <w:tc>
          <w:tcPr>
            <w:tcW w:w="832" w:type="dxa"/>
          </w:tcPr>
          <w:p>
            <w:pPr>
              <w:rPr>
                <w:rFonts w:ascii="Arial"/>
              </w:rPr>
            </w:pPr>
          </w:p>
        </w:tc>
      </w:tr>
    </w:tbl>
    <w:p>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pPr>
        <w:spacing w:before="78" w:line="219" w:lineRule="auto"/>
        <w:ind w:left="431"/>
        <w:rPr>
          <w:rFonts w:hint="eastAsia" w:ascii="宋体" w:hAnsi="宋体" w:eastAsia="宋体" w:cs="宋体"/>
          <w:b w:val="0"/>
          <w:bCs w:val="0"/>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pPr>
        <w:pStyle w:val="46"/>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济南卡车制造公司总装二部行车搬迁项目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footerReference r:id="rId2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济南卡车制造公司总装二部行车搬迁项目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keepNext w:val="0"/>
        <w:keepLines w:val="0"/>
        <w:pageBreakBefore w:val="0"/>
        <w:numPr>
          <w:ilvl w:val="0"/>
          <w:numId w:val="0"/>
        </w:numPr>
        <w:kinsoku/>
        <w:wordWrap/>
        <w:overflowPunct/>
        <w:topLinePunct w:val="0"/>
        <w:autoSpaceDE/>
        <w:autoSpaceDN/>
        <w:bidi w:val="0"/>
        <w:adjustRightInd/>
        <w:spacing w:line="360" w:lineRule="auto"/>
        <w:ind w:firstLine="2521" w:firstLineChars="700"/>
        <w:rPr>
          <w:rFonts w:ascii="宋体" w:cs="宋体"/>
          <w:sz w:val="36"/>
          <w:szCs w:val="36"/>
        </w:rPr>
      </w:pPr>
      <w:r>
        <w:rPr>
          <w:rFonts w:hint="eastAsia" w:ascii="宋体" w:hAnsi="宋体" w:cs="宋体"/>
          <w:b/>
          <w:bCs/>
          <w:sz w:val="36"/>
          <w:szCs w:val="36"/>
        </w:rPr>
        <w:t>开标一览表</w:t>
      </w:r>
    </w:p>
    <w:p>
      <w:pPr>
        <w:keepNext w:val="0"/>
        <w:keepLines w:val="0"/>
        <w:pageBreakBefore w:val="0"/>
        <w:kinsoku/>
        <w:wordWrap/>
        <w:overflowPunct/>
        <w:topLinePunct w:val="0"/>
        <w:autoSpaceDE/>
        <w:autoSpaceDN/>
        <w:bidi w:val="0"/>
        <w:adjustRightInd/>
        <w:snapToGrid w:val="0"/>
        <w:spacing w:line="360" w:lineRule="auto"/>
        <w:ind w:firstLine="630" w:firstLineChars="300"/>
        <w:rPr>
          <w:rFonts w:ascii="宋体" w:cs="宋体"/>
        </w:rPr>
      </w:pPr>
      <w:r>
        <w:rPr>
          <w:rFonts w:hint="eastAsia" w:ascii="宋体" w:hAnsi="宋体" w:cs="宋体"/>
        </w:rPr>
        <w:t>投标人名称：</w:t>
      </w:r>
      <w:r>
        <w:rPr>
          <w:rFonts w:hint="eastAsia" w:ascii="宋体" w:hAnsi="宋体" w:cs="宋体"/>
          <w:lang w:val="en-US" w:eastAsia="zh-CN"/>
        </w:rPr>
        <w:t xml:space="preserve">                           </w:t>
      </w:r>
      <w:r>
        <w:rPr>
          <w:rFonts w:hint="eastAsia" w:ascii="宋体" w:hAnsi="宋体" w:cs="宋体"/>
        </w:rPr>
        <w:t>单位：人民币（元）</w:t>
      </w:r>
    </w:p>
    <w:tbl>
      <w:tblPr>
        <w:tblStyle w:val="36"/>
        <w:tblW w:w="942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17"/>
        <w:gridCol w:w="1326"/>
        <w:gridCol w:w="1701"/>
        <w:gridCol w:w="709"/>
        <w:gridCol w:w="726"/>
        <w:gridCol w:w="1737"/>
        <w:gridCol w:w="726"/>
        <w:gridCol w:w="15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9420"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等线" w:hAnsi="等线" w:eastAsia="等线" w:cs="等线"/>
                <w:i w:val="0"/>
                <w:iCs w:val="0"/>
                <w:color w:val="000000"/>
                <w:sz w:val="32"/>
                <w:szCs w:val="32"/>
                <w:u w:val="none"/>
              </w:rPr>
            </w:pPr>
            <w:r>
              <w:rPr>
                <w:rFonts w:hint="eastAsia" w:ascii="等线" w:hAnsi="等线" w:eastAsia="等线" w:cs="等线"/>
                <w:i w:val="0"/>
                <w:iCs w:val="0"/>
                <w:color w:val="000000"/>
                <w:kern w:val="0"/>
                <w:sz w:val="28"/>
                <w:szCs w:val="28"/>
                <w:u w:val="none"/>
                <w:lang w:val="en-US" w:eastAsia="zh-CN" w:bidi="ar"/>
              </w:rPr>
              <w:t>5T-22.5 总二东跨搬至总二西跨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序号</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名称</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规格型号</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单位</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数量</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单价（不含税）</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金额</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顶棚拆卸</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行车拆除</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行车安装调试</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转运费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登高作业平台费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吊装费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验收费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税金</w:t>
            </w:r>
          </w:p>
        </w:tc>
        <w:tc>
          <w:tcPr>
            <w:tcW w:w="487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w:t>
            </w:r>
          </w:p>
        </w:tc>
        <w:tc>
          <w:tcPr>
            <w:tcW w:w="619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合计含税</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420"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8"/>
                <w:szCs w:val="28"/>
                <w:u w:val="none"/>
                <w:lang w:val="en-US" w:eastAsia="zh-CN" w:bidi="ar"/>
              </w:rPr>
              <w:t>3T-22.5 总二西跨搬至总二中跨报价单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序号</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名称</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规格型号</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单位</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数量</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单价（不含税）</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金额</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顶棚拆卸</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行车拆除</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行车安装调试</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转运费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登高作业平台费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吊装费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验收费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税金</w:t>
            </w:r>
          </w:p>
        </w:tc>
        <w:tc>
          <w:tcPr>
            <w:tcW w:w="487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w:t>
            </w:r>
          </w:p>
        </w:tc>
        <w:tc>
          <w:tcPr>
            <w:tcW w:w="619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合计含税</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420"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8"/>
                <w:szCs w:val="28"/>
                <w:u w:val="none"/>
                <w:lang w:val="en-US" w:eastAsia="zh-CN" w:bidi="ar"/>
              </w:rPr>
              <w:t>3T-16.5m 试制-总装翻转车间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序号</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名称</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规格型号</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单位</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数量</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单价（不含税）</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金额</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顶棚拆卸</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3T-16.5M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行车拆除</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3T-16.5M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行车安装调试</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3T-16.5M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转运费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3T-16.5M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高低脚集电器</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JD-4-40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红外线防撞器</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TK-100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登高作业平台费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3T-16.5M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吊装费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3T-16.5M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验收费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3T-16.5M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税金</w:t>
            </w:r>
          </w:p>
        </w:tc>
        <w:tc>
          <w:tcPr>
            <w:tcW w:w="487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w:t>
            </w:r>
          </w:p>
        </w:tc>
        <w:tc>
          <w:tcPr>
            <w:tcW w:w="619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合计含税</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42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8"/>
                <w:szCs w:val="28"/>
                <w:u w:val="none"/>
                <w:lang w:val="en-US" w:eastAsia="zh-CN" w:bidi="ar"/>
              </w:rPr>
              <w:t>单梁2T-10m总装翻转搬多合一分装行车改造搬迁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序号</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名称</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规格型号</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单位</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数量</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单价(不含税)</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金额</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起重机改造费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2T-10m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起重机拆卸费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2T-10m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起重机安装费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2T-10m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登高作业平台费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2T-10m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转运费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2T-10m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防腐费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2T-10m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电缆线</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3*4mm²</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米</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70</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红外线防撞器</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TK-100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柔性电缆</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5*4mm²+8*1.5mm²</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米</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行车控制屏</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GQPT-225</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行车电缆小车</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5T单梁行车使用</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30</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吊车费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16T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税金</w:t>
            </w:r>
          </w:p>
        </w:tc>
        <w:tc>
          <w:tcPr>
            <w:tcW w:w="487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14</w:t>
            </w:r>
          </w:p>
        </w:tc>
        <w:tc>
          <w:tcPr>
            <w:tcW w:w="619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合计含税</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2" w:hRule="atLeast"/>
        </w:trPr>
        <w:tc>
          <w:tcPr>
            <w:tcW w:w="942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8"/>
                <w:szCs w:val="28"/>
                <w:u w:val="none"/>
                <w:lang w:val="en-US" w:eastAsia="zh-CN" w:bidi="ar"/>
              </w:rPr>
              <w:t>单梁5T-22.5m特种车-卡车备料电池搬迁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序号</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名称</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规格型号</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单位</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数量</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单价(不含税)</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金额</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起重机拆卸费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起重机安装调试费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登高作业平台费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H-12m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货架拆卸费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3"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耐折电缆</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5*6+8*1.5mm² 防折</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米</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26</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3"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行车电缆小车</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5T单梁行车使用</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3"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行车控制屏</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GQPT-225</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3"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吊钩头</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Calibri" w:hAnsi="Calibri" w:eastAsia="等线" w:cs="Calibri"/>
                <w:i w:val="0"/>
                <w:iCs w:val="0"/>
                <w:color w:val="000000"/>
                <w:sz w:val="18"/>
                <w:szCs w:val="18"/>
                <w:u w:val="none"/>
              </w:rPr>
            </w:pPr>
            <w:r>
              <w:rPr>
                <w:rFonts w:hint="default" w:ascii="Calibri" w:hAnsi="Calibri" w:eastAsia="等线" w:cs="Calibri"/>
                <w:i w:val="0"/>
                <w:iCs w:val="0"/>
                <w:color w:val="000000"/>
                <w:kern w:val="0"/>
                <w:sz w:val="18"/>
                <w:szCs w:val="18"/>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3"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钢丝绳</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6*37*15</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米</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23</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3"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导绳器</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起重量限制器</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3T--5T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3"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断火限位器</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LX44-20A</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3"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重锤限位器</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LX1G-L11</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3"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14</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红外线防撞器</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TK-100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3"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遥控器</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HQ-6S 36V 1拖2</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3"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16</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运输费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17</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辅助材料</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氧气、乙炔、电焊条等</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件</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18</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验收费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5T-22.5m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19</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吊车费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25T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20</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税金</w:t>
            </w:r>
          </w:p>
        </w:tc>
        <w:tc>
          <w:tcPr>
            <w:tcW w:w="487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21</w:t>
            </w:r>
          </w:p>
        </w:tc>
        <w:tc>
          <w:tcPr>
            <w:tcW w:w="619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合计含税</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2"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c>
          <w:tcPr>
            <w:tcW w:w="302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总合计不含税</w:t>
            </w:r>
          </w:p>
        </w:tc>
        <w:tc>
          <w:tcPr>
            <w:tcW w:w="389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c>
          <w:tcPr>
            <w:tcW w:w="302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税金 13%</w:t>
            </w:r>
          </w:p>
        </w:tc>
        <w:tc>
          <w:tcPr>
            <w:tcW w:w="389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2"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c>
          <w:tcPr>
            <w:tcW w:w="302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总合计含税</w:t>
            </w:r>
          </w:p>
        </w:tc>
        <w:tc>
          <w:tcPr>
            <w:tcW w:w="389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4"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备注</w:t>
            </w:r>
          </w:p>
        </w:tc>
        <w:tc>
          <w:tcPr>
            <w:tcW w:w="7177" w:type="dxa"/>
            <w:gridSpan w:val="6"/>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卡车党家庄厂区总装起重机搬迁维修 5台搬迁</w:t>
            </w:r>
          </w:p>
        </w:tc>
      </w:tr>
    </w:tbl>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7"/>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7"/>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6"/>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keepNext/>
        <w:keepLines/>
        <w:spacing w:line="400" w:lineRule="exact"/>
        <w:jc w:val="center"/>
        <w:rPr>
          <w:rFonts w:ascii="宋体" w:hAnsi="宋体" w:eastAsia="宋体" w:cs="宋体"/>
          <w:spacing w:val="8"/>
          <w:sz w:val="24"/>
          <w:szCs w:val="24"/>
          <w14:textOutline w14:w="5791" w14:cap="flat" w14:cmpd="sng" w14:algn="ctr">
            <w14:solidFill>
              <w14:srgbClr w14:val="000000"/>
            </w14:solidFill>
            <w14:prstDash w14:val="solid"/>
            <w14:miter w14:val="0"/>
          </w14:textOutline>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before="52" w:line="221" w:lineRule="auto"/>
        <w:ind w:left="9"/>
        <w:jc w:val="right"/>
        <w:rPr>
          <w:rFonts w:ascii="宋体" w:hAnsi="宋体" w:eastAsia="宋体" w:cs="Times New Roman"/>
          <w:b/>
          <w:bCs/>
          <w:sz w:val="24"/>
          <w:szCs w:val="24"/>
        </w:rPr>
      </w:pPr>
    </w:p>
    <w:tbl>
      <w:tblPr>
        <w:tblStyle w:val="128"/>
        <w:tblW w:w="13997" w:type="dxa"/>
        <w:tblInd w:w="1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8"/>
        <w:gridCol w:w="2801"/>
        <w:gridCol w:w="3604"/>
        <w:gridCol w:w="765"/>
        <w:gridCol w:w="900"/>
        <w:gridCol w:w="1110"/>
        <w:gridCol w:w="1380"/>
        <w:gridCol w:w="1725"/>
        <w:gridCol w:w="11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8"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1</w:t>
            </w:r>
          </w:p>
        </w:tc>
        <w:tc>
          <w:tcPr>
            <w:tcW w:w="2801"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2</w:t>
            </w:r>
          </w:p>
        </w:tc>
        <w:tc>
          <w:tcPr>
            <w:tcW w:w="3604"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3</w:t>
            </w:r>
          </w:p>
        </w:tc>
        <w:tc>
          <w:tcPr>
            <w:tcW w:w="765"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4</w:t>
            </w:r>
          </w:p>
        </w:tc>
        <w:tc>
          <w:tcPr>
            <w:tcW w:w="900"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5</w:t>
            </w:r>
          </w:p>
        </w:tc>
        <w:tc>
          <w:tcPr>
            <w:tcW w:w="1110"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6</w:t>
            </w:r>
          </w:p>
        </w:tc>
        <w:tc>
          <w:tcPr>
            <w:tcW w:w="1380" w:type="dxa"/>
            <w:tcBorders>
              <w:top w:val="single" w:color="000000" w:sz="2" w:space="0"/>
              <w:left w:val="single" w:color="000000" w:sz="2" w:space="0"/>
              <w:bottom w:val="single" w:color="000000" w:sz="2" w:space="0"/>
              <w:right w:val="single" w:color="000000" w:sz="4"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7</w:t>
            </w:r>
          </w:p>
        </w:tc>
        <w:tc>
          <w:tcPr>
            <w:tcW w:w="1725" w:type="dxa"/>
            <w:tcBorders>
              <w:top w:val="single" w:color="000000" w:sz="2" w:space="0"/>
              <w:left w:val="nil"/>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8</w:t>
            </w: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21" w:hRule="atLeast"/>
        </w:trPr>
        <w:tc>
          <w:tcPr>
            <w:tcW w:w="558"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序</w:t>
            </w:r>
            <w:r>
              <w:rPr>
                <w:rFonts w:hint="eastAsia" w:ascii="宋体" w:hAnsi="宋体" w:eastAsia="Times New Roman" w:cs="Times New Roman"/>
                <w:b/>
                <w:spacing w:val="-1"/>
                <w:kern w:val="0"/>
                <w:sz w:val="20"/>
                <w:szCs w:val="20"/>
              </w:rPr>
              <w:t>号</w:t>
            </w:r>
          </w:p>
        </w:tc>
        <w:tc>
          <w:tcPr>
            <w:tcW w:w="2801"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货物名</w:t>
            </w:r>
            <w:r>
              <w:rPr>
                <w:rFonts w:hint="eastAsia" w:ascii="宋体" w:hAnsi="宋体" w:eastAsia="Times New Roman" w:cs="Times New Roman"/>
                <w:b/>
                <w:spacing w:val="-1"/>
                <w:kern w:val="0"/>
                <w:sz w:val="20"/>
                <w:szCs w:val="20"/>
              </w:rPr>
              <w:t>称</w:t>
            </w:r>
          </w:p>
        </w:tc>
        <w:tc>
          <w:tcPr>
            <w:tcW w:w="3604"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型号和</w:t>
            </w:r>
            <w:r>
              <w:rPr>
                <w:rFonts w:hint="eastAsia" w:ascii="宋体" w:hAnsi="宋体" w:eastAsia="Times New Roman" w:cs="Times New Roman"/>
                <w:b/>
                <w:spacing w:val="-1"/>
                <w:kern w:val="0"/>
                <w:sz w:val="20"/>
                <w:szCs w:val="20"/>
              </w:rPr>
              <w:t>规格</w:t>
            </w:r>
          </w:p>
        </w:tc>
        <w:tc>
          <w:tcPr>
            <w:tcW w:w="765"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spacing w:val="-2"/>
                <w:kern w:val="0"/>
                <w:sz w:val="20"/>
                <w:szCs w:val="20"/>
              </w:rPr>
            </w:pPr>
            <w:r>
              <w:rPr>
                <w:rFonts w:hint="eastAsia" w:ascii="宋体" w:hAnsi="宋体" w:eastAsia="Times New Roman" w:cs="Times New Roman"/>
                <w:b/>
                <w:spacing w:val="-2"/>
                <w:kern w:val="0"/>
                <w:sz w:val="20"/>
                <w:szCs w:val="20"/>
              </w:rPr>
              <w:t>单位</w:t>
            </w:r>
          </w:p>
        </w:tc>
        <w:tc>
          <w:tcPr>
            <w:tcW w:w="900"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数量</w:t>
            </w:r>
          </w:p>
        </w:tc>
        <w:tc>
          <w:tcPr>
            <w:tcW w:w="1110"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3"/>
                <w:kern w:val="0"/>
                <w:sz w:val="20"/>
                <w:szCs w:val="20"/>
              </w:rPr>
              <w:t>原</w:t>
            </w:r>
            <w:r>
              <w:rPr>
                <w:rFonts w:hint="eastAsia" w:ascii="宋体" w:hAnsi="宋体" w:eastAsia="Times New Roman" w:cs="Times New Roman"/>
                <w:b/>
                <w:spacing w:val="-2"/>
                <w:kern w:val="0"/>
                <w:sz w:val="20"/>
                <w:szCs w:val="20"/>
              </w:rPr>
              <w:t>产地和</w:t>
            </w:r>
            <w:r>
              <w:rPr>
                <w:rFonts w:hint="eastAsia" w:ascii="宋体" w:hAnsi="宋体" w:eastAsia="Times New Roman" w:cs="Times New Roman"/>
                <w:b/>
                <w:spacing w:val="-1"/>
                <w:kern w:val="0"/>
                <w:sz w:val="20"/>
                <w:szCs w:val="20"/>
              </w:rPr>
              <w:t>制造商名</w:t>
            </w:r>
            <w:r>
              <w:rPr>
                <w:rFonts w:hint="eastAsia" w:ascii="宋体" w:hAnsi="宋体" w:eastAsia="Times New Roman" w:cs="Times New Roman"/>
                <w:b/>
                <w:kern w:val="0"/>
                <w:sz w:val="20"/>
                <w:szCs w:val="20"/>
              </w:rPr>
              <w:t>称</w:t>
            </w:r>
          </w:p>
        </w:tc>
        <w:tc>
          <w:tcPr>
            <w:tcW w:w="1380" w:type="dxa"/>
            <w:tcBorders>
              <w:top w:val="single" w:color="000000" w:sz="2" w:space="0"/>
              <w:left w:val="single" w:color="000000" w:sz="2" w:space="0"/>
              <w:bottom w:val="single" w:color="000000" w:sz="2" w:space="0"/>
              <w:right w:val="single" w:color="000000" w:sz="4" w:space="0"/>
            </w:tcBorders>
            <w:vAlign w:val="center"/>
          </w:tcPr>
          <w:p>
            <w:pPr>
              <w:jc w:val="center"/>
              <w:rPr>
                <w:rFonts w:ascii="宋体" w:hAnsi="宋体" w:eastAsia="Times New Roman" w:cs="Times New Roman"/>
                <w:b/>
                <w:kern w:val="0"/>
                <w:sz w:val="20"/>
                <w:szCs w:val="20"/>
              </w:rPr>
            </w:pPr>
            <w:r>
              <w:rPr>
                <w:rFonts w:hint="eastAsia" w:ascii="宋体" w:hAnsi="宋体" w:eastAsia="Times New Roman" w:cs="Times New Roman"/>
                <w:b/>
                <w:spacing w:val="1"/>
                <w:kern w:val="0"/>
                <w:sz w:val="20"/>
                <w:szCs w:val="20"/>
              </w:rPr>
              <w:t>单</w:t>
            </w:r>
            <w:r>
              <w:rPr>
                <w:rFonts w:hint="eastAsia" w:ascii="宋体" w:hAnsi="宋体" w:eastAsia="Times New Roman" w:cs="Times New Roman"/>
                <w:b/>
                <w:kern w:val="0"/>
                <w:sz w:val="20"/>
                <w:szCs w:val="20"/>
              </w:rPr>
              <w:t>价</w:t>
            </w:r>
            <w:r>
              <w:rPr>
                <w:rFonts w:hint="eastAsia" w:ascii="宋体" w:hAnsi="宋体" w:eastAsia="Times New Roman" w:cs="Times New Roman"/>
                <w:b/>
                <w:spacing w:val="-3"/>
                <w:kern w:val="0"/>
                <w:sz w:val="20"/>
                <w:szCs w:val="20"/>
              </w:rPr>
              <w:t>（不含税）</w:t>
            </w:r>
          </w:p>
          <w:p>
            <w:pPr>
              <w:jc w:val="center"/>
              <w:rPr>
                <w:rFonts w:ascii="宋体" w:hAnsi="宋体" w:eastAsia="宋体" w:cs="Times New Roman"/>
                <w:b/>
                <w:kern w:val="0"/>
                <w:sz w:val="20"/>
                <w:szCs w:val="20"/>
              </w:rPr>
            </w:pPr>
            <w:r>
              <w:rPr>
                <w:rFonts w:hint="eastAsia" w:ascii="宋体" w:hAnsi="宋体" w:eastAsia="Times New Roman" w:cs="Times New Roman"/>
                <w:b/>
                <w:spacing w:val="-16"/>
                <w:kern w:val="0"/>
                <w:sz w:val="20"/>
                <w:szCs w:val="20"/>
              </w:rPr>
              <w:t>(</w:t>
            </w:r>
            <w:r>
              <w:rPr>
                <w:rFonts w:hint="eastAsia" w:ascii="宋体" w:hAnsi="宋体" w:eastAsia="Times New Roman" w:cs="Times New Roman"/>
                <w:b/>
                <w:spacing w:val="-14"/>
                <w:kern w:val="0"/>
                <w:sz w:val="20"/>
                <w:szCs w:val="20"/>
              </w:rPr>
              <w:t>元)</w:t>
            </w:r>
          </w:p>
        </w:tc>
        <w:tc>
          <w:tcPr>
            <w:tcW w:w="1725" w:type="dxa"/>
            <w:tcBorders>
              <w:top w:val="single" w:color="000000" w:sz="2" w:space="0"/>
              <w:left w:val="nil"/>
              <w:bottom w:val="single" w:color="000000" w:sz="2" w:space="0"/>
              <w:right w:val="single" w:color="000000" w:sz="2" w:space="0"/>
            </w:tcBorders>
            <w:vAlign w:val="center"/>
          </w:tcPr>
          <w:p>
            <w:pPr>
              <w:jc w:val="center"/>
              <w:rPr>
                <w:rFonts w:ascii="宋体" w:hAnsi="宋体" w:eastAsia="Times New Roman" w:cs="Times New Roman"/>
                <w:b/>
                <w:spacing w:val="-3"/>
                <w:kern w:val="0"/>
                <w:sz w:val="20"/>
                <w:szCs w:val="20"/>
              </w:rPr>
            </w:pPr>
            <w:r>
              <w:rPr>
                <w:rFonts w:hint="eastAsia" w:ascii="宋体" w:hAnsi="宋体" w:eastAsia="Times New Roman" w:cs="Times New Roman"/>
                <w:b/>
                <w:spacing w:val="-1"/>
                <w:kern w:val="0"/>
                <w:sz w:val="20"/>
                <w:szCs w:val="20"/>
              </w:rPr>
              <w:t>总价[</w:t>
            </w:r>
            <w:r>
              <w:rPr>
                <w:rFonts w:hint="eastAsia" w:ascii="宋体" w:hAnsi="宋体" w:eastAsia="宋体" w:cs="Times New Roman"/>
                <w:b/>
                <w:spacing w:val="-1"/>
                <w:kern w:val="0"/>
                <w:sz w:val="20"/>
                <w:szCs w:val="20"/>
                <w:lang w:val="en-US" w:eastAsia="zh-CN"/>
              </w:rPr>
              <w:t>5</w:t>
            </w:r>
            <w:r>
              <w:rPr>
                <w:rFonts w:hint="eastAsia" w:ascii="宋体" w:hAnsi="宋体" w:eastAsia="Times New Roman" w:cs="Times New Roman"/>
                <w:b/>
                <w:kern w:val="0"/>
                <w:sz w:val="20"/>
                <w:szCs w:val="20"/>
              </w:rPr>
              <w:t>×</w:t>
            </w:r>
            <w:r>
              <w:rPr>
                <w:rFonts w:hint="eastAsia" w:ascii="宋体" w:hAnsi="宋体" w:eastAsia="宋体" w:cs="Times New Roman"/>
                <w:b/>
                <w:kern w:val="0"/>
                <w:sz w:val="20"/>
                <w:szCs w:val="20"/>
                <w:lang w:val="en-US" w:eastAsia="zh-CN"/>
              </w:rPr>
              <w:t>7</w:t>
            </w:r>
            <w:r>
              <w:rPr>
                <w:rFonts w:hint="eastAsia" w:ascii="宋体" w:hAnsi="宋体" w:eastAsia="Times New Roman" w:cs="Times New Roman"/>
                <w:b/>
                <w:kern w:val="0"/>
                <w:sz w:val="20"/>
                <w:szCs w:val="20"/>
              </w:rPr>
              <w:t>]</w:t>
            </w:r>
            <w:r>
              <w:rPr>
                <w:rFonts w:hint="eastAsia" w:ascii="宋体" w:hAnsi="宋体" w:eastAsia="Times New Roman" w:cs="Times New Roman"/>
                <w:b/>
                <w:spacing w:val="-3"/>
                <w:kern w:val="0"/>
                <w:sz w:val="20"/>
                <w:szCs w:val="20"/>
              </w:rPr>
              <w:t>（不含税）</w:t>
            </w:r>
          </w:p>
          <w:p>
            <w:pPr>
              <w:jc w:val="center"/>
              <w:rPr>
                <w:rFonts w:ascii="宋体" w:hAnsi="宋体" w:eastAsia="宋体" w:cs="Times New Roman"/>
                <w:b/>
                <w:kern w:val="0"/>
                <w:sz w:val="20"/>
                <w:szCs w:val="20"/>
              </w:rPr>
            </w:pPr>
            <w:r>
              <w:rPr>
                <w:rFonts w:hint="eastAsia" w:ascii="宋体" w:hAnsi="宋体" w:eastAsia="Times New Roman" w:cs="Times New Roman"/>
                <w:b/>
                <w:spacing w:val="27"/>
                <w:kern w:val="0"/>
                <w:sz w:val="20"/>
                <w:szCs w:val="20"/>
              </w:rPr>
              <w:t>(</w:t>
            </w:r>
            <w:r>
              <w:rPr>
                <w:rFonts w:hint="eastAsia" w:ascii="宋体" w:hAnsi="宋体" w:eastAsia="Times New Roman" w:cs="Times New Roman"/>
                <w:b/>
                <w:spacing w:val="26"/>
                <w:kern w:val="0"/>
                <w:sz w:val="20"/>
                <w:szCs w:val="20"/>
              </w:rPr>
              <w:t>元)</w:t>
            </w: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1</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 w:hAnsi="仿宋" w:eastAsia="仿宋"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.1</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 w:hAnsi="仿宋" w:eastAsia="仿宋"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2</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2"/>
              </w:rPr>
            </w:pPr>
          </w:p>
        </w:tc>
        <w:tc>
          <w:tcPr>
            <w:tcW w:w="1380"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2"/>
              </w:rPr>
            </w:pPr>
          </w:p>
        </w:tc>
        <w:tc>
          <w:tcPr>
            <w:tcW w:w="1380"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4</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3.1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3.2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4</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4.1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4.2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4.3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5</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5.1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5.2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lang w:val="en-US" w:eastAsia="zh-CN"/>
              </w:rPr>
              <w:t>6</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7</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7.1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7.4</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7.5</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8</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仿宋_GB2312" w:hAnsi="仿宋_GB2312" w:eastAsia="宋体" w:cs="Times New Roman"/>
                <w:color w:val="000000"/>
                <w:kern w:val="0"/>
                <w:szCs w:val="21"/>
              </w:rPr>
            </w:pPr>
            <w:r>
              <w:rPr>
                <w:rFonts w:ascii="仿宋_GB2312" w:hAnsi="仿宋_GB2312" w:eastAsia="Times New Roman" w:cs="Times New Roman"/>
                <w:position w:val="1"/>
                <w:szCs w:val="21"/>
              </w:rPr>
              <w:t>…</w:t>
            </w:r>
          </w:p>
        </w:tc>
        <w:tc>
          <w:tcPr>
            <w:tcW w:w="280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仿宋_GB2312" w:hAnsi="仿宋_GB2312" w:eastAsia="宋体" w:cs="Times New Roman"/>
                <w:color w:val="000000"/>
                <w:kern w:val="0"/>
                <w:szCs w:val="21"/>
              </w:rPr>
            </w:pPr>
          </w:p>
        </w:tc>
        <w:tc>
          <w:tcPr>
            <w:tcW w:w="360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kern w:val="0"/>
                <w:sz w:val="22"/>
              </w:rPr>
            </w:pPr>
          </w:p>
        </w:tc>
        <w:tc>
          <w:tcPr>
            <w:tcW w:w="765"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sz w:val="24"/>
                <w:szCs w:val="24"/>
              </w:rPr>
            </w:pPr>
          </w:p>
        </w:tc>
        <w:tc>
          <w:tcPr>
            <w:tcW w:w="90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2"/>
              </w:rPr>
            </w:pPr>
          </w:p>
        </w:tc>
        <w:tc>
          <w:tcPr>
            <w:tcW w:w="1380"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558" w:type="dxa"/>
            <w:tcBorders>
              <w:top w:val="single" w:color="000000" w:sz="2" w:space="0"/>
              <w:left w:val="single" w:color="000000" w:sz="2" w:space="0"/>
              <w:bottom w:val="single" w:color="000000" w:sz="2" w:space="0"/>
              <w:right w:val="single" w:color="000000" w:sz="4" w:space="0"/>
            </w:tcBorders>
            <w:vAlign w:val="center"/>
          </w:tcPr>
          <w:p>
            <w:pPr>
              <w:jc w:val="left"/>
              <w:rPr>
                <w:rFonts w:ascii="宋体" w:hAnsi="宋体" w:eastAsia="宋体" w:cs="Times New Roman"/>
                <w:spacing w:val="-6"/>
                <w:kern w:val="0"/>
                <w:sz w:val="20"/>
                <w:szCs w:val="20"/>
              </w:rPr>
            </w:pPr>
          </w:p>
        </w:tc>
        <w:tc>
          <w:tcPr>
            <w:tcW w:w="10560" w:type="dxa"/>
            <w:gridSpan w:val="6"/>
            <w:tcBorders>
              <w:top w:val="single" w:color="000000" w:sz="2" w:space="0"/>
              <w:left w:val="single" w:color="000000" w:sz="2" w:space="0"/>
              <w:bottom w:val="single" w:color="000000" w:sz="2" w:space="0"/>
              <w:right w:val="single" w:color="000000" w:sz="4" w:space="0"/>
            </w:tcBorders>
            <w:vAlign w:val="center"/>
          </w:tcPr>
          <w:p>
            <w:pPr>
              <w:jc w:val="center"/>
              <w:rPr>
                <w:rFonts w:ascii="Arial" w:hAnsi="Times New Roman" w:eastAsia="宋体" w:cs="Times New Roman"/>
                <w:kern w:val="0"/>
                <w:sz w:val="20"/>
                <w:szCs w:val="20"/>
              </w:rPr>
            </w:pPr>
            <w:r>
              <w:rPr>
                <w:rFonts w:hint="eastAsia" w:ascii="宋体" w:hAnsi="宋体" w:eastAsia="Times New Roman" w:cs="Times New Roman"/>
                <w:spacing w:val="-6"/>
                <w:kern w:val="0"/>
                <w:sz w:val="20"/>
                <w:szCs w:val="20"/>
              </w:rPr>
              <w:t>总</w:t>
            </w:r>
            <w:r>
              <w:rPr>
                <w:rFonts w:hint="eastAsia" w:ascii="宋体" w:hAnsi="宋体" w:eastAsia="Times New Roman" w:cs="Times New Roman"/>
                <w:spacing w:val="-4"/>
                <w:kern w:val="0"/>
                <w:sz w:val="20"/>
                <w:szCs w:val="20"/>
              </w:rPr>
              <w:t>价合计列入价格汇总表 9-5</w:t>
            </w:r>
          </w:p>
        </w:tc>
        <w:tc>
          <w:tcPr>
            <w:tcW w:w="1725"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24"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7"/>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25" w:type="default"/>
          <w:pgSz w:w="16841" w:h="11907"/>
          <w:pgMar w:top="400" w:right="1699" w:bottom="1184" w:left="1481" w:header="0" w:footer="1022" w:gutter="0"/>
          <w:cols w:space="720" w:num="1"/>
        </w:sectPr>
      </w:pPr>
    </w:p>
    <w:p>
      <w:pPr>
        <w:pStyle w:val="7"/>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7"/>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26" w:type="default"/>
          <w:pgSz w:w="16841" w:h="11907"/>
          <w:pgMar w:top="400" w:right="1699" w:bottom="1184" w:left="1481" w:header="0" w:footer="1022" w:gutter="0"/>
          <w:cols w:space="720" w:num="1"/>
        </w:sectPr>
      </w:pPr>
    </w:p>
    <w:p>
      <w:pPr>
        <w:pStyle w:val="7"/>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8"/>
        <w:tblW w:w="1381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8"/>
        <w:gridCol w:w="1995"/>
        <w:gridCol w:w="2642"/>
        <w:gridCol w:w="839"/>
        <w:gridCol w:w="2236"/>
        <w:gridCol w:w="1496"/>
        <w:gridCol w:w="1858"/>
        <w:gridCol w:w="1118"/>
        <w:gridCol w:w="11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995"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642"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39"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6"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6"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58"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18"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3"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textDirection w:val="tbRlV"/>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199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642"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6"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6"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5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pPr>
              <w:jc w:val="center"/>
              <w:rPr>
                <w:rFonts w:asciiTheme="minorHAnsi" w:hAnsiTheme="minorHAnsi" w:eastAsiaTheme="minorEastAsia" w:cstheme="minorBidi"/>
                <w:kern w:val="2"/>
                <w:sz w:val="20"/>
                <w:szCs w:val="20"/>
                <w:lang w:val="en-US" w:eastAsia="zh-CN" w:bidi="ar-SA"/>
              </w:rPr>
            </w:pPr>
            <w:r>
              <w:rPr>
                <w:sz w:val="20"/>
                <w:szCs w:val="20"/>
              </w:rPr>
              <w:t>1</w:t>
            </w:r>
          </w:p>
        </w:tc>
        <w:tc>
          <w:tcPr>
            <w:tcW w:w="1995" w:type="dxa"/>
            <w:shd w:val="clear" w:color="auto" w:fill="auto"/>
            <w:vAlign w:val="center"/>
          </w:tcPr>
          <w:p>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砂轮磨片</w:t>
            </w:r>
          </w:p>
        </w:tc>
        <w:tc>
          <w:tcPr>
            <w:tcW w:w="2642" w:type="dxa"/>
            <w:shd w:val="clear" w:color="auto" w:fill="auto"/>
            <w:vAlign w:val="center"/>
          </w:tcPr>
          <w:p>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锯片厚度</w:t>
            </w:r>
            <w:r>
              <w:rPr>
                <w:rFonts w:hint="eastAsia" w:ascii="宋体" w:hAnsi="宋体" w:cs="宋体"/>
                <w:b w:val="0"/>
                <w:spacing w:val="-1"/>
                <w:kern w:val="2"/>
                <w:sz w:val="21"/>
                <w:szCs w:val="21"/>
                <w:lang w:val="en-US" w:eastAsia="zh-CN" w:bidi="ar-SA"/>
              </w:rPr>
              <w:t>：</w:t>
            </w:r>
            <w:r>
              <w:rPr>
                <w:rFonts w:hint="eastAsia" w:ascii="宋体" w:hAnsi="宋体" w:eastAsia="宋体" w:cs="宋体"/>
                <w:b w:val="0"/>
                <w:spacing w:val="-1"/>
                <w:kern w:val="2"/>
                <w:sz w:val="21"/>
                <w:szCs w:val="21"/>
                <w:lang w:val="en-US" w:eastAsia="zh-CN" w:bidi="ar-SA"/>
              </w:rPr>
              <w:t>6.0mm</w:t>
            </w:r>
            <w:r>
              <w:rPr>
                <w:rFonts w:hint="eastAsia" w:ascii="宋体" w:hAnsi="宋体" w:cs="宋体"/>
                <w:b w:val="0"/>
                <w:spacing w:val="-1"/>
                <w:kern w:val="2"/>
                <w:sz w:val="21"/>
                <w:szCs w:val="21"/>
                <w:lang w:val="en-US" w:eastAsia="zh-CN" w:bidi="ar-SA"/>
              </w:rPr>
              <w:t>；</w:t>
            </w:r>
            <w:r>
              <w:rPr>
                <w:rFonts w:hint="eastAsia" w:ascii="宋体" w:hAnsi="宋体" w:eastAsia="宋体" w:cs="宋体"/>
                <w:b w:val="0"/>
                <w:spacing w:val="-1"/>
                <w:kern w:val="2"/>
                <w:sz w:val="21"/>
                <w:szCs w:val="21"/>
                <w:lang w:val="en-US" w:eastAsia="zh-CN" w:bidi="ar-SA"/>
              </w:rPr>
              <w:t>锯片外径</w:t>
            </w:r>
            <w:r>
              <w:rPr>
                <w:rFonts w:hint="eastAsia" w:ascii="宋体" w:hAnsi="宋体" w:cs="宋体"/>
                <w:b w:val="0"/>
                <w:spacing w:val="-1"/>
                <w:kern w:val="2"/>
                <w:sz w:val="21"/>
                <w:szCs w:val="21"/>
                <w:lang w:val="en-US" w:eastAsia="zh-CN" w:bidi="ar-SA"/>
              </w:rPr>
              <w:t>：</w:t>
            </w:r>
            <w:r>
              <w:rPr>
                <w:rFonts w:hint="eastAsia" w:ascii="宋体" w:hAnsi="宋体" w:eastAsia="宋体" w:cs="宋体"/>
                <w:b w:val="0"/>
                <w:spacing w:val="-1"/>
                <w:kern w:val="2"/>
                <w:sz w:val="21"/>
                <w:szCs w:val="21"/>
                <w:lang w:val="en-US" w:eastAsia="zh-CN" w:bidi="ar-SA"/>
              </w:rPr>
              <w:t>150mm</w:t>
            </w:r>
            <w:r>
              <w:rPr>
                <w:rFonts w:hint="eastAsia" w:ascii="宋体" w:hAnsi="宋体" w:cs="宋体"/>
                <w:b w:val="0"/>
                <w:spacing w:val="-1"/>
                <w:kern w:val="2"/>
                <w:sz w:val="21"/>
                <w:szCs w:val="21"/>
                <w:lang w:val="en-US" w:eastAsia="zh-CN" w:bidi="ar-SA"/>
              </w:rPr>
              <w:t>；</w:t>
            </w:r>
            <w:r>
              <w:rPr>
                <w:rFonts w:hint="eastAsia" w:ascii="宋体" w:hAnsi="宋体" w:eastAsia="宋体" w:cs="宋体"/>
                <w:b w:val="0"/>
                <w:spacing w:val="-1"/>
                <w:kern w:val="2"/>
                <w:sz w:val="21"/>
                <w:szCs w:val="21"/>
                <w:lang w:val="en-US" w:eastAsia="zh-CN" w:bidi="ar-SA"/>
              </w:rPr>
              <w:t>锯片内径</w:t>
            </w:r>
          </w:p>
          <w:p>
            <w:pPr>
              <w:pStyle w:val="115"/>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val="0"/>
                <w:kern w:val="2"/>
                <w:sz w:val="24"/>
                <w:szCs w:val="24"/>
                <w:lang w:val="en-US" w:eastAsia="zh-CN" w:bidi="ar-SA"/>
              </w:rPr>
            </w:pPr>
            <w:r>
              <w:rPr>
                <w:rFonts w:hint="eastAsia" w:ascii="宋体" w:hAnsi="宋体" w:eastAsia="宋体" w:cs="宋体"/>
                <w:b w:val="0"/>
                <w:spacing w:val="-1"/>
                <w:kern w:val="2"/>
                <w:sz w:val="21"/>
                <w:szCs w:val="21"/>
                <w:lang w:val="en-US" w:eastAsia="zh-CN" w:bidi="ar-SA"/>
              </w:rPr>
              <w:t>22.23mm</w:t>
            </w:r>
          </w:p>
        </w:tc>
        <w:tc>
          <w:tcPr>
            <w:tcW w:w="839" w:type="dxa"/>
            <w:shd w:val="clear" w:color="auto" w:fill="auto"/>
            <w:vAlign w:val="center"/>
          </w:tcPr>
          <w:p>
            <w:pPr>
              <w:pStyle w:val="115"/>
              <w:jc w:val="left"/>
              <w:rPr>
                <w:rFonts w:hint="default"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200片</w:t>
            </w:r>
          </w:p>
        </w:tc>
        <w:tc>
          <w:tcPr>
            <w:tcW w:w="2236" w:type="dxa"/>
          </w:tcPr>
          <w:p>
            <w:pPr>
              <w:rPr>
                <w:rFonts w:ascii="Arial"/>
              </w:rPr>
            </w:pPr>
          </w:p>
        </w:tc>
        <w:tc>
          <w:tcPr>
            <w:tcW w:w="1496" w:type="dxa"/>
          </w:tcPr>
          <w:p>
            <w:pPr>
              <w:rPr>
                <w:rFonts w:ascii="Arial"/>
              </w:rPr>
            </w:pPr>
          </w:p>
        </w:tc>
        <w:tc>
          <w:tcPr>
            <w:tcW w:w="1858" w:type="dxa"/>
          </w:tcPr>
          <w:p>
            <w:pPr>
              <w:rPr>
                <w:rFonts w:ascii="Arial"/>
              </w:rPr>
            </w:pPr>
          </w:p>
        </w:tc>
        <w:tc>
          <w:tcPr>
            <w:tcW w:w="1118" w:type="dxa"/>
          </w:tcPr>
          <w:p>
            <w:pPr>
              <w:rPr>
                <w:rFonts w:ascii="Arial"/>
              </w:rPr>
            </w:pPr>
          </w:p>
        </w:tc>
        <w:tc>
          <w:tcPr>
            <w:tcW w:w="1123"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pPr>
              <w:jc w:val="center"/>
              <w:rPr>
                <w:rFonts w:asciiTheme="minorHAnsi" w:hAnsiTheme="minorHAnsi" w:eastAsiaTheme="minorEastAsia" w:cstheme="minorBidi"/>
                <w:kern w:val="2"/>
                <w:sz w:val="20"/>
                <w:szCs w:val="20"/>
                <w:lang w:val="en-US" w:eastAsia="zh-CN" w:bidi="ar-SA"/>
              </w:rPr>
            </w:pPr>
            <w:r>
              <w:rPr>
                <w:sz w:val="20"/>
                <w:szCs w:val="20"/>
              </w:rPr>
              <w:t>2</w:t>
            </w:r>
          </w:p>
        </w:tc>
        <w:tc>
          <w:tcPr>
            <w:tcW w:w="1995" w:type="dxa"/>
            <w:shd w:val="clear" w:color="auto" w:fill="auto"/>
            <w:vAlign w:val="center"/>
          </w:tcPr>
          <w:p>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PVC一次性手套</w:t>
            </w:r>
          </w:p>
        </w:tc>
        <w:tc>
          <w:tcPr>
            <w:tcW w:w="2642" w:type="dxa"/>
            <w:shd w:val="clear" w:color="auto" w:fill="auto"/>
            <w:vAlign w:val="center"/>
          </w:tcPr>
          <w:p>
            <w:pPr>
              <w:pStyle w:val="115"/>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val="0"/>
                <w:kern w:val="2"/>
                <w:sz w:val="24"/>
                <w:szCs w:val="24"/>
                <w:lang w:val="en-US" w:eastAsia="zh-CN" w:bidi="ar-SA"/>
              </w:rPr>
            </w:pPr>
          </w:p>
        </w:tc>
        <w:tc>
          <w:tcPr>
            <w:tcW w:w="839" w:type="dxa"/>
            <w:shd w:val="clear" w:color="auto" w:fill="auto"/>
            <w:vAlign w:val="center"/>
          </w:tcPr>
          <w:p>
            <w:pPr>
              <w:pStyle w:val="115"/>
              <w:jc w:val="left"/>
              <w:rPr>
                <w:rFonts w:hint="default"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1000副</w:t>
            </w:r>
          </w:p>
        </w:tc>
        <w:tc>
          <w:tcPr>
            <w:tcW w:w="2236" w:type="dxa"/>
          </w:tcPr>
          <w:p>
            <w:pPr>
              <w:rPr>
                <w:rFonts w:ascii="Arial"/>
              </w:rPr>
            </w:pPr>
          </w:p>
        </w:tc>
        <w:tc>
          <w:tcPr>
            <w:tcW w:w="1496" w:type="dxa"/>
          </w:tcPr>
          <w:p>
            <w:pPr>
              <w:rPr>
                <w:rFonts w:ascii="Arial"/>
              </w:rPr>
            </w:pPr>
          </w:p>
        </w:tc>
        <w:tc>
          <w:tcPr>
            <w:tcW w:w="1858" w:type="dxa"/>
          </w:tcPr>
          <w:p>
            <w:pPr>
              <w:rPr>
                <w:rFonts w:ascii="Arial"/>
              </w:rPr>
            </w:pPr>
          </w:p>
        </w:tc>
        <w:tc>
          <w:tcPr>
            <w:tcW w:w="1118" w:type="dxa"/>
          </w:tcPr>
          <w:p>
            <w:pPr>
              <w:rPr>
                <w:rFonts w:ascii="Arial"/>
              </w:rPr>
            </w:pPr>
          </w:p>
        </w:tc>
        <w:tc>
          <w:tcPr>
            <w:tcW w:w="1123"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 w:hRule="atLeast"/>
        </w:trPr>
        <w:tc>
          <w:tcPr>
            <w:tcW w:w="508" w:type="dxa"/>
            <w:shd w:val="clear" w:color="auto" w:fill="auto"/>
            <w:vAlign w:val="center"/>
          </w:tcPr>
          <w:p>
            <w:pPr>
              <w:jc w:val="center"/>
              <w:rPr>
                <w:rFonts w:asciiTheme="minorHAnsi" w:hAnsiTheme="minorHAnsi" w:eastAsiaTheme="minorEastAsia" w:cstheme="minorBidi"/>
                <w:kern w:val="2"/>
                <w:sz w:val="20"/>
                <w:szCs w:val="20"/>
                <w:lang w:val="en-US" w:eastAsia="zh-CN" w:bidi="ar-SA"/>
              </w:rPr>
            </w:pPr>
            <w:r>
              <w:rPr>
                <w:sz w:val="20"/>
                <w:szCs w:val="20"/>
              </w:rPr>
              <w:t>3</w:t>
            </w:r>
          </w:p>
        </w:tc>
        <w:tc>
          <w:tcPr>
            <w:tcW w:w="1995" w:type="dxa"/>
            <w:shd w:val="clear" w:color="auto" w:fill="auto"/>
            <w:vAlign w:val="center"/>
          </w:tcPr>
          <w:p>
            <w:pPr>
              <w:pStyle w:val="115"/>
              <w:jc w:val="left"/>
              <w:rPr>
                <w:rFonts w:hint="default"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 xml:space="preserve">防静电手套 </w:t>
            </w:r>
          </w:p>
        </w:tc>
        <w:tc>
          <w:tcPr>
            <w:tcW w:w="2642" w:type="dxa"/>
            <w:shd w:val="clear" w:color="auto" w:fill="auto"/>
            <w:vAlign w:val="center"/>
          </w:tcPr>
          <w:p>
            <w:pPr>
              <w:jc w:val="center"/>
              <w:rPr>
                <w:rFonts w:asciiTheme="minorHAnsi" w:hAnsiTheme="minorHAnsi" w:eastAsiaTheme="minorEastAsia" w:cstheme="minorBidi"/>
                <w:kern w:val="2"/>
                <w:sz w:val="21"/>
                <w:szCs w:val="22"/>
                <w:lang w:val="en-US" w:eastAsia="zh-CN" w:bidi="ar-SA"/>
              </w:rPr>
            </w:pPr>
          </w:p>
        </w:tc>
        <w:tc>
          <w:tcPr>
            <w:tcW w:w="839" w:type="dxa"/>
            <w:shd w:val="clear" w:color="auto" w:fill="auto"/>
            <w:vAlign w:val="center"/>
          </w:tcPr>
          <w:p>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1000副</w:t>
            </w:r>
          </w:p>
        </w:tc>
        <w:tc>
          <w:tcPr>
            <w:tcW w:w="2236" w:type="dxa"/>
          </w:tcPr>
          <w:p>
            <w:pPr>
              <w:rPr>
                <w:rFonts w:ascii="Arial"/>
              </w:rPr>
            </w:pPr>
          </w:p>
        </w:tc>
        <w:tc>
          <w:tcPr>
            <w:tcW w:w="1496" w:type="dxa"/>
          </w:tcPr>
          <w:p>
            <w:pPr>
              <w:rPr>
                <w:rFonts w:ascii="Arial"/>
              </w:rPr>
            </w:pPr>
          </w:p>
        </w:tc>
        <w:tc>
          <w:tcPr>
            <w:tcW w:w="1858" w:type="dxa"/>
          </w:tcPr>
          <w:p>
            <w:pPr>
              <w:rPr>
                <w:rFonts w:ascii="Arial"/>
              </w:rPr>
            </w:pPr>
          </w:p>
        </w:tc>
        <w:tc>
          <w:tcPr>
            <w:tcW w:w="1118" w:type="dxa"/>
          </w:tcPr>
          <w:p>
            <w:pPr>
              <w:rPr>
                <w:rFonts w:ascii="Arial"/>
              </w:rPr>
            </w:pPr>
          </w:p>
        </w:tc>
        <w:tc>
          <w:tcPr>
            <w:tcW w:w="1123"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pPr>
              <w:jc w:val="center"/>
              <w:rPr>
                <w:rFonts w:hint="eastAsia" w:asciiTheme="minorHAnsi" w:hAnsiTheme="minorHAnsi" w:eastAsiaTheme="minorEastAsia" w:cstheme="minorBidi"/>
                <w:kern w:val="2"/>
                <w:sz w:val="20"/>
                <w:szCs w:val="20"/>
                <w:lang w:val="en-US" w:eastAsia="zh-CN" w:bidi="ar-SA"/>
              </w:rPr>
            </w:pPr>
            <w:r>
              <w:rPr>
                <w:rFonts w:hint="eastAsia"/>
                <w:sz w:val="20"/>
                <w:szCs w:val="20"/>
                <w:lang w:val="en-US" w:eastAsia="zh-CN"/>
              </w:rPr>
              <w:t>4</w:t>
            </w:r>
          </w:p>
        </w:tc>
        <w:tc>
          <w:tcPr>
            <w:tcW w:w="1995" w:type="dxa"/>
            <w:shd w:val="clear" w:color="auto" w:fill="auto"/>
            <w:vAlign w:val="center"/>
          </w:tcPr>
          <w:p>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金属磨片</w:t>
            </w:r>
          </w:p>
        </w:tc>
        <w:tc>
          <w:tcPr>
            <w:tcW w:w="2642" w:type="dxa"/>
            <w:shd w:val="clear" w:color="auto" w:fill="auto"/>
            <w:vAlign w:val="center"/>
          </w:tcPr>
          <w:p>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锯片厚度：3.0mm；锯片外径：150mm；锯片内径</w:t>
            </w:r>
            <w:r>
              <w:rPr>
                <w:rFonts w:hint="eastAsia" w:ascii="宋体" w:hAnsi="宋体" w:cs="宋体"/>
                <w:b w:val="0"/>
                <w:spacing w:val="-1"/>
                <w:kern w:val="2"/>
                <w:sz w:val="21"/>
                <w:szCs w:val="21"/>
                <w:lang w:val="en-US" w:eastAsia="zh-CN" w:bidi="ar-SA"/>
              </w:rPr>
              <w:t>：</w:t>
            </w:r>
            <w:r>
              <w:rPr>
                <w:rFonts w:hint="eastAsia" w:ascii="宋体" w:hAnsi="宋体" w:eastAsia="宋体" w:cs="宋体"/>
                <w:b w:val="0"/>
                <w:spacing w:val="-1"/>
                <w:kern w:val="2"/>
                <w:sz w:val="21"/>
                <w:szCs w:val="21"/>
                <w:lang w:val="en-US" w:eastAsia="zh-CN" w:bidi="ar-SA"/>
              </w:rPr>
              <w:t>22.23mm</w:t>
            </w:r>
            <w:r>
              <w:rPr>
                <w:rFonts w:hint="eastAsia" w:ascii="宋体" w:hAnsi="宋体" w:cs="宋体"/>
                <w:b w:val="0"/>
                <w:spacing w:val="-1"/>
                <w:kern w:val="2"/>
                <w:sz w:val="21"/>
                <w:szCs w:val="21"/>
                <w:lang w:val="en-US" w:eastAsia="zh-CN" w:bidi="ar-SA"/>
              </w:rPr>
              <w:t>。</w:t>
            </w:r>
          </w:p>
        </w:tc>
        <w:tc>
          <w:tcPr>
            <w:tcW w:w="839" w:type="dxa"/>
            <w:shd w:val="clear" w:color="auto" w:fill="auto"/>
            <w:vAlign w:val="center"/>
          </w:tcPr>
          <w:p>
            <w:pPr>
              <w:pStyle w:val="115"/>
              <w:jc w:val="left"/>
              <w:rPr>
                <w:rFonts w:hint="default"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100片</w:t>
            </w:r>
          </w:p>
        </w:tc>
        <w:tc>
          <w:tcPr>
            <w:tcW w:w="2236" w:type="dxa"/>
          </w:tcPr>
          <w:p>
            <w:pPr>
              <w:rPr>
                <w:rFonts w:ascii="Arial"/>
              </w:rPr>
            </w:pPr>
          </w:p>
        </w:tc>
        <w:tc>
          <w:tcPr>
            <w:tcW w:w="1496" w:type="dxa"/>
          </w:tcPr>
          <w:p>
            <w:pPr>
              <w:rPr>
                <w:rFonts w:ascii="Arial"/>
              </w:rPr>
            </w:pPr>
          </w:p>
        </w:tc>
        <w:tc>
          <w:tcPr>
            <w:tcW w:w="1858" w:type="dxa"/>
          </w:tcPr>
          <w:p>
            <w:pPr>
              <w:rPr>
                <w:rFonts w:ascii="Arial"/>
              </w:rPr>
            </w:pPr>
          </w:p>
        </w:tc>
        <w:tc>
          <w:tcPr>
            <w:tcW w:w="1118" w:type="dxa"/>
          </w:tcPr>
          <w:p>
            <w:pPr>
              <w:rPr>
                <w:rFonts w:ascii="Arial"/>
              </w:rPr>
            </w:pPr>
          </w:p>
        </w:tc>
        <w:tc>
          <w:tcPr>
            <w:tcW w:w="1123"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pPr>
              <w:jc w:val="center"/>
              <w:rPr>
                <w:rFonts w:hint="eastAsia"/>
                <w:sz w:val="20"/>
                <w:szCs w:val="20"/>
              </w:rPr>
            </w:pPr>
          </w:p>
        </w:tc>
        <w:tc>
          <w:tcPr>
            <w:tcW w:w="1995" w:type="dxa"/>
            <w:shd w:val="clear" w:color="auto" w:fill="auto"/>
            <w:vAlign w:val="center"/>
          </w:tcPr>
          <w:p>
            <w:pPr>
              <w:jc w:val="center"/>
              <w:rPr>
                <w:rFonts w:hint="eastAsia"/>
                <w:sz w:val="20"/>
                <w:szCs w:val="20"/>
              </w:rPr>
            </w:pPr>
            <w:r>
              <w:rPr>
                <w:rFonts w:hint="eastAsia" w:ascii="宋体" w:hAnsi="宋体" w:eastAsia="宋体" w:cs="宋体"/>
                <w:color w:val="FF0000"/>
                <w:szCs w:val="21"/>
              </w:rPr>
              <w:t>不足之处请往下添加序号自行补充</w:t>
            </w:r>
          </w:p>
        </w:tc>
        <w:tc>
          <w:tcPr>
            <w:tcW w:w="2642" w:type="dxa"/>
            <w:shd w:val="clear" w:color="auto" w:fill="auto"/>
            <w:vAlign w:val="center"/>
          </w:tcPr>
          <w:p>
            <w:pPr>
              <w:jc w:val="center"/>
              <w:rPr>
                <w:rFonts w:hint="eastAsia"/>
                <w:sz w:val="20"/>
                <w:szCs w:val="20"/>
              </w:rPr>
            </w:pPr>
          </w:p>
        </w:tc>
        <w:tc>
          <w:tcPr>
            <w:tcW w:w="839" w:type="dxa"/>
            <w:shd w:val="clear" w:color="auto" w:fill="auto"/>
            <w:vAlign w:val="center"/>
          </w:tcPr>
          <w:p>
            <w:pPr>
              <w:jc w:val="center"/>
              <w:rPr>
                <w:rFonts w:hint="eastAsia"/>
                <w:sz w:val="20"/>
                <w:szCs w:val="20"/>
              </w:rPr>
            </w:pPr>
          </w:p>
        </w:tc>
        <w:tc>
          <w:tcPr>
            <w:tcW w:w="2236" w:type="dxa"/>
          </w:tcPr>
          <w:p>
            <w:pPr>
              <w:rPr>
                <w:rFonts w:ascii="Arial"/>
              </w:rPr>
            </w:pPr>
          </w:p>
        </w:tc>
        <w:tc>
          <w:tcPr>
            <w:tcW w:w="1496" w:type="dxa"/>
          </w:tcPr>
          <w:p>
            <w:pPr>
              <w:rPr>
                <w:rFonts w:ascii="Arial"/>
              </w:rPr>
            </w:pPr>
          </w:p>
        </w:tc>
        <w:tc>
          <w:tcPr>
            <w:tcW w:w="1858" w:type="dxa"/>
          </w:tcPr>
          <w:p>
            <w:pPr>
              <w:rPr>
                <w:rFonts w:ascii="Arial"/>
              </w:rPr>
            </w:pPr>
          </w:p>
        </w:tc>
        <w:tc>
          <w:tcPr>
            <w:tcW w:w="1118" w:type="dxa"/>
          </w:tcPr>
          <w:p>
            <w:pPr>
              <w:rPr>
                <w:rFonts w:ascii="Arial"/>
              </w:rPr>
            </w:pPr>
          </w:p>
        </w:tc>
        <w:tc>
          <w:tcPr>
            <w:tcW w:w="1123"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716"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099"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27" w:type="default"/>
          <w:pgSz w:w="16841" w:h="11907"/>
          <w:pgMar w:top="400" w:right="1500" w:bottom="1184" w:left="1480" w:header="0" w:footer="1022" w:gutter="0"/>
          <w:cols w:space="720" w:num="1"/>
        </w:sectPr>
      </w:pPr>
    </w:p>
    <w:p>
      <w:pPr>
        <w:pStyle w:val="7"/>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7"/>
      </w:pPr>
    </w:p>
    <w:p>
      <w:pPr>
        <w:pStyle w:val="17"/>
      </w:pPr>
    </w:p>
    <w:p>
      <w:pPr>
        <w:spacing w:before="140" w:line="220" w:lineRule="auto"/>
        <w:ind w:left="2" w:firstLine="464" w:firstLineChars="200"/>
        <w:rPr>
          <w:rFonts w:ascii="宋体" w:hAnsi="宋体" w:eastAsia="宋体" w:cs="宋体"/>
          <w:spacing w:val="-2"/>
          <w:szCs w:val="21"/>
        </w:rPr>
        <w:sectPr>
          <w:footerReference r:id="rId28"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济南卡车制造公司总装二部行车搬迁项目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hint="eastAsia" w:ascii="宋体" w:hAnsi="宋体" w:eastAsia="宋体" w:cs="宋体"/>
          <w:sz w:val="24"/>
          <w:szCs w:val="24"/>
          <w:highlight w:val="none"/>
          <w:u w:val="single"/>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济南卡车制造公司总装二部行车搬迁项目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29"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济南卡车制造公司总装二部行车搬迁项目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7"/>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eastAsia" w:ascii="宋体" w:hAnsi="宋体" w:eastAsia="宋体" w:cs="宋体"/>
                <w:sz w:val="24"/>
                <w:szCs w:val="24"/>
                <w:highlight w:val="none"/>
                <w:u w:val="single"/>
                <w:lang w:val="en-US" w:eastAsia="zh-CN"/>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新增旧件分析拆解、检测能力提升项目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7"/>
      </w:pPr>
    </w:p>
    <w:p>
      <w:pPr>
        <w:pStyle w:val="17"/>
      </w:pPr>
    </w:p>
    <w:p>
      <w:pPr>
        <w:sectPr>
          <w:headerReference r:id="rId31" w:type="first"/>
          <w:footerReference r:id="rId33" w:type="first"/>
          <w:headerReference r:id="rId30" w:type="default"/>
          <w:footerReference r:id="rId32" w:type="default"/>
          <w:pgSz w:w="11906" w:h="16838"/>
          <w:pgMar w:top="1588" w:right="1418" w:bottom="1134" w:left="1418" w:header="851" w:footer="992" w:gutter="0"/>
          <w:cols w:space="720" w:num="1"/>
          <w:titlePg/>
          <w:docGrid w:type="lines" w:linePitch="312" w:charSpace="0"/>
        </w:sectPr>
      </w:pPr>
    </w:p>
    <w:p>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tbl>
      <w:tblPr>
        <w:tblStyle w:val="36"/>
        <w:tblW w:w="14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3438"/>
        <w:gridCol w:w="924"/>
        <w:gridCol w:w="9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0" w:type="auto"/>
            <w:vAlign w:val="center"/>
          </w:tcPr>
          <w:p>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序号</w:t>
            </w:r>
          </w:p>
        </w:tc>
        <w:tc>
          <w:tcPr>
            <w:tcW w:w="3438" w:type="dxa"/>
            <w:vAlign w:val="center"/>
          </w:tcPr>
          <w:p>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内</w:t>
            </w:r>
            <w:r>
              <w:rPr>
                <w:rFonts w:ascii="宋体" w:hAnsi="宋体" w:eastAsia="宋体" w:cs="Times New Roman"/>
                <w:b/>
                <w:sz w:val="18"/>
                <w:szCs w:val="18"/>
              </w:rPr>
              <w:t xml:space="preserve">   </w:t>
            </w:r>
            <w:r>
              <w:rPr>
                <w:rFonts w:hint="eastAsia" w:ascii="宋体" w:hAnsi="宋体" w:eastAsia="宋体" w:cs="Times New Roman"/>
                <w:b/>
                <w:sz w:val="18"/>
                <w:szCs w:val="18"/>
              </w:rPr>
              <w:t>容</w:t>
            </w:r>
          </w:p>
        </w:tc>
        <w:tc>
          <w:tcPr>
            <w:tcW w:w="924" w:type="dxa"/>
            <w:vAlign w:val="center"/>
          </w:tcPr>
          <w:p>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标准分</w:t>
            </w:r>
          </w:p>
        </w:tc>
        <w:tc>
          <w:tcPr>
            <w:tcW w:w="9115" w:type="dxa"/>
            <w:vAlign w:val="center"/>
          </w:tcPr>
          <w:p>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9" w:hRule="atLeast"/>
          <w:jc w:val="center"/>
        </w:trPr>
        <w:tc>
          <w:tcPr>
            <w:tcW w:w="721" w:type="dxa"/>
            <w:vAlign w:val="center"/>
          </w:tcPr>
          <w:p>
            <w:pPr>
              <w:tabs>
                <w:tab w:val="left" w:pos="13965"/>
              </w:tabs>
              <w:spacing w:line="420" w:lineRule="exact"/>
              <w:jc w:val="center"/>
              <w:rPr>
                <w:rFonts w:hint="eastAsia" w:ascii="宋体" w:hAnsi="宋体" w:eastAsia="宋体" w:cs="Times New Roman"/>
                <w:szCs w:val="21"/>
              </w:rPr>
            </w:pPr>
            <w:r>
              <w:rPr>
                <w:rFonts w:ascii="宋体" w:hAnsi="宋体" w:eastAsia="宋体" w:cs="Times New Roman"/>
                <w:szCs w:val="21"/>
                <w:highlight w:val="none"/>
              </w:rPr>
              <w:t>1</w:t>
            </w:r>
          </w:p>
        </w:tc>
        <w:tc>
          <w:tcPr>
            <w:tcW w:w="3438" w:type="dxa"/>
            <w:vAlign w:val="center"/>
          </w:tcPr>
          <w:p>
            <w:pPr>
              <w:spacing w:line="420" w:lineRule="exact"/>
              <w:rPr>
                <w:rFonts w:ascii="宋体" w:hAnsi="Times New Roman" w:eastAsia="宋体" w:cs="Times New Roman"/>
                <w:szCs w:val="21"/>
              </w:rPr>
            </w:pPr>
            <w:r>
              <w:rPr>
                <w:rFonts w:hint="eastAsia" w:ascii="宋体" w:hAnsi="宋体" w:eastAsia="宋体" w:cs="Times New Roman"/>
                <w:bCs/>
                <w:szCs w:val="21"/>
                <w:highlight w:val="none"/>
              </w:rPr>
              <w:t>设备制造商装备制造能力、生产设备、加工工艺、完善程度</w:t>
            </w:r>
          </w:p>
        </w:tc>
        <w:tc>
          <w:tcPr>
            <w:tcW w:w="924" w:type="dxa"/>
            <w:vAlign w:val="center"/>
          </w:tcPr>
          <w:p>
            <w:pPr>
              <w:tabs>
                <w:tab w:val="left" w:pos="13965"/>
              </w:tabs>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50</w:t>
            </w:r>
          </w:p>
        </w:tc>
        <w:tc>
          <w:tcPr>
            <w:tcW w:w="9115" w:type="dxa"/>
            <w:vAlign w:val="center"/>
          </w:tcPr>
          <w:p>
            <w:pPr>
              <w:spacing w:line="420" w:lineRule="exact"/>
              <w:rPr>
                <w:rFonts w:hint="eastAsia" w:ascii="宋体" w:hAnsi="宋体" w:eastAsia="宋体" w:cs="Times New Roman"/>
                <w:bCs/>
                <w:szCs w:val="21"/>
              </w:rPr>
            </w:pPr>
            <w:r>
              <w:rPr>
                <w:rFonts w:hint="eastAsia" w:ascii="宋体" w:hAnsi="宋体" w:eastAsia="宋体" w:cs="Times New Roman"/>
                <w:bCs/>
                <w:szCs w:val="21"/>
                <w:highlight w:val="none"/>
              </w:rPr>
              <w:t>投标人的装备制造能力、生产设备、加工工艺先进、完善程度，视情况得0-</w:t>
            </w:r>
            <w:r>
              <w:rPr>
                <w:rFonts w:hint="eastAsia" w:ascii="宋体" w:hAnsi="宋体" w:eastAsia="宋体" w:cs="Times New Roman"/>
                <w:bCs/>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9" w:hRule="atLeast"/>
          <w:jc w:val="center"/>
        </w:trPr>
        <w:tc>
          <w:tcPr>
            <w:tcW w:w="721" w:type="dxa"/>
            <w:vAlign w:val="center"/>
          </w:tcPr>
          <w:p>
            <w:pPr>
              <w:spacing w:line="420" w:lineRule="exact"/>
              <w:jc w:val="center"/>
              <w:rPr>
                <w:rFonts w:hint="eastAsia" w:ascii="宋体" w:hAnsi="宋体" w:eastAsia="宋体" w:cs="Times New Roman"/>
                <w:szCs w:val="21"/>
              </w:rPr>
            </w:pPr>
            <w:r>
              <w:rPr>
                <w:rFonts w:ascii="宋体" w:hAnsi="宋体" w:eastAsia="宋体" w:cs="Times New Roman"/>
                <w:szCs w:val="21"/>
                <w:highlight w:val="none"/>
              </w:rPr>
              <w:t>2</w:t>
            </w:r>
          </w:p>
        </w:tc>
        <w:tc>
          <w:tcPr>
            <w:tcW w:w="3438" w:type="dxa"/>
            <w:vAlign w:val="center"/>
          </w:tcPr>
          <w:p>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产品方案技术先进、各系统完善、性能可靠，设备主要核心部件，具备自身技术优势</w:t>
            </w:r>
          </w:p>
        </w:tc>
        <w:tc>
          <w:tcPr>
            <w:tcW w:w="924"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20</w:t>
            </w:r>
          </w:p>
        </w:tc>
        <w:tc>
          <w:tcPr>
            <w:tcW w:w="9115" w:type="dxa"/>
            <w:vAlign w:val="center"/>
          </w:tcPr>
          <w:p>
            <w:pPr>
              <w:spacing w:line="420" w:lineRule="exact"/>
              <w:rPr>
                <w:rFonts w:hint="eastAsia" w:ascii="宋体" w:hAnsi="宋体" w:eastAsia="宋体" w:cs="Times New Roman"/>
                <w:bCs/>
                <w:szCs w:val="21"/>
              </w:rPr>
            </w:pPr>
            <w:r>
              <w:rPr>
                <w:rFonts w:hint="eastAsia" w:ascii="宋体" w:hAnsi="宋体" w:eastAsia="宋体" w:cs="Times New Roman"/>
                <w:bCs/>
                <w:szCs w:val="21"/>
                <w:highlight w:val="none"/>
              </w:rPr>
              <w:t>产品方案技术先进、各系统完善、性能可靠，设备主要核心部件，具备自身技术优势，节能环保，视情况得0-</w:t>
            </w:r>
            <w:r>
              <w:rPr>
                <w:rFonts w:hint="eastAsia" w:ascii="宋体" w:hAnsi="宋体" w:eastAsia="宋体" w:cs="Times New Roman"/>
                <w:bCs/>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721"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rPr>
              <w:t>3</w:t>
            </w:r>
          </w:p>
        </w:tc>
        <w:tc>
          <w:tcPr>
            <w:tcW w:w="3438" w:type="dxa"/>
            <w:vAlign w:val="center"/>
          </w:tcPr>
          <w:p>
            <w:pPr>
              <w:spacing w:line="420" w:lineRule="exact"/>
              <w:rPr>
                <w:rFonts w:ascii="宋体" w:hAnsi="Times New Roman" w:eastAsia="宋体" w:cs="Times New Roman"/>
                <w:bCs/>
                <w:szCs w:val="21"/>
              </w:rPr>
            </w:pPr>
            <w:r>
              <w:rPr>
                <w:rFonts w:hint="eastAsia" w:ascii="宋体" w:hAnsi="宋体" w:eastAsia="宋体" w:cs="Times New Roman"/>
                <w:bCs/>
                <w:szCs w:val="21"/>
                <w:highlight w:val="none"/>
              </w:rPr>
              <w:t>产品维保</w:t>
            </w:r>
          </w:p>
        </w:tc>
        <w:tc>
          <w:tcPr>
            <w:tcW w:w="924"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w:t>
            </w:r>
          </w:p>
        </w:tc>
        <w:tc>
          <w:tcPr>
            <w:tcW w:w="9115" w:type="dxa"/>
            <w:vAlign w:val="center"/>
          </w:tcPr>
          <w:p>
            <w:pPr>
              <w:spacing w:line="420" w:lineRule="exact"/>
              <w:rPr>
                <w:rFonts w:hint="eastAsia" w:ascii="宋体" w:hAnsi="宋体" w:eastAsia="宋体" w:cs="Times New Roman"/>
                <w:bCs/>
                <w:szCs w:val="21"/>
              </w:rPr>
            </w:pPr>
            <w:r>
              <w:rPr>
                <w:rFonts w:hint="eastAsia" w:ascii="宋体" w:hAnsi="宋体" w:eastAsia="宋体" w:cs="Times New Roman"/>
                <w:bCs/>
                <w:szCs w:val="21"/>
                <w:highlight w:val="none"/>
              </w:rPr>
              <w:t>易于维修、操作方便，产品附件配置齐全，质量可靠，设备在使用期内的维护费用，视情况得0-</w:t>
            </w:r>
            <w:r>
              <w:rPr>
                <w:rFonts w:hint="eastAsia" w:ascii="宋体" w:hAnsi="宋体" w:eastAsia="宋体" w:cs="Times New Roman"/>
                <w:bCs/>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9" w:hRule="atLeast"/>
          <w:jc w:val="center"/>
        </w:trPr>
        <w:tc>
          <w:tcPr>
            <w:tcW w:w="721"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rPr>
              <w:t>4</w:t>
            </w:r>
          </w:p>
        </w:tc>
        <w:tc>
          <w:tcPr>
            <w:tcW w:w="3438" w:type="dxa"/>
            <w:vAlign w:val="center"/>
          </w:tcPr>
          <w:p>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技术培训方案：对采购方人员的技术培训方案安排科学、合理、可行</w:t>
            </w:r>
          </w:p>
        </w:tc>
        <w:tc>
          <w:tcPr>
            <w:tcW w:w="924"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w:t>
            </w:r>
          </w:p>
        </w:tc>
        <w:tc>
          <w:tcPr>
            <w:tcW w:w="9115" w:type="dxa"/>
            <w:vAlign w:val="center"/>
          </w:tcPr>
          <w:p>
            <w:pPr>
              <w:spacing w:line="420" w:lineRule="exact"/>
              <w:rPr>
                <w:rFonts w:hint="eastAsia" w:ascii="宋体" w:hAnsi="宋体" w:eastAsia="宋体" w:cs="Times New Roman"/>
                <w:bCs/>
                <w:szCs w:val="21"/>
              </w:rPr>
            </w:pPr>
            <w:r>
              <w:rPr>
                <w:rFonts w:hint="eastAsia" w:ascii="宋体" w:hAnsi="宋体" w:eastAsia="宋体" w:cs="Times New Roman"/>
                <w:bCs/>
                <w:szCs w:val="21"/>
                <w:highlight w:val="none"/>
              </w:rPr>
              <w:t>安装、调试方案合理、完善、切实可行，安全、工期、质量保证措施合理可行能确保安全，视情况得0-</w:t>
            </w:r>
            <w:r>
              <w:rPr>
                <w:rFonts w:hint="eastAsia" w:ascii="宋体" w:hAnsi="宋体" w:eastAsia="宋体" w:cs="Times New Roman"/>
                <w:bCs/>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721" w:type="dxa"/>
            <w:vAlign w:val="center"/>
          </w:tcPr>
          <w:p>
            <w:pPr>
              <w:spacing w:line="420" w:lineRule="exact"/>
              <w:jc w:val="center"/>
              <w:rPr>
                <w:rFonts w:hint="eastAsia" w:ascii="宋体" w:hAnsi="宋体" w:eastAsia="宋体" w:cs="Times New Roman"/>
                <w:szCs w:val="21"/>
              </w:rPr>
            </w:pPr>
            <w:r>
              <w:rPr>
                <w:rFonts w:ascii="宋体" w:hAnsi="宋体" w:eastAsia="宋体" w:cs="Times New Roman"/>
                <w:szCs w:val="21"/>
                <w:highlight w:val="none"/>
              </w:rPr>
              <w:t>5</w:t>
            </w:r>
          </w:p>
        </w:tc>
        <w:tc>
          <w:tcPr>
            <w:tcW w:w="3438" w:type="dxa"/>
            <w:vAlign w:val="center"/>
          </w:tcPr>
          <w:p>
            <w:pPr>
              <w:spacing w:line="420" w:lineRule="exact"/>
              <w:rPr>
                <w:rFonts w:ascii="宋体" w:hAnsi="Times New Roman" w:eastAsia="宋体" w:cs="Times New Roman"/>
                <w:szCs w:val="21"/>
              </w:rPr>
            </w:pPr>
            <w:r>
              <w:rPr>
                <w:rFonts w:hint="eastAsia" w:ascii="宋体" w:hAnsi="Times New Roman" w:eastAsia="宋体" w:cs="Times New Roman"/>
                <w:szCs w:val="21"/>
                <w:highlight w:val="none"/>
              </w:rPr>
              <w:t>安调水平</w:t>
            </w:r>
          </w:p>
        </w:tc>
        <w:tc>
          <w:tcPr>
            <w:tcW w:w="924"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w:t>
            </w:r>
          </w:p>
        </w:tc>
        <w:tc>
          <w:tcPr>
            <w:tcW w:w="9115" w:type="dxa"/>
            <w:vAlign w:val="center"/>
          </w:tcPr>
          <w:p>
            <w:pPr>
              <w:spacing w:line="420" w:lineRule="exact"/>
              <w:jc w:val="left"/>
              <w:rPr>
                <w:rFonts w:ascii="宋体" w:hAnsi="Times New Roman" w:eastAsia="宋体" w:cs="Times New Roman"/>
                <w:bCs/>
                <w:szCs w:val="21"/>
              </w:rPr>
            </w:pPr>
            <w:r>
              <w:rPr>
                <w:rFonts w:hint="eastAsia" w:ascii="宋体" w:hAnsi="Times New Roman" w:eastAsia="宋体" w:cs="Times New Roman"/>
                <w:bCs/>
                <w:szCs w:val="21"/>
                <w:highlight w:val="none"/>
              </w:rPr>
              <w:t>安装、调试人员的配备、技术经验、技术水平，视情况得0-</w:t>
            </w:r>
            <w:r>
              <w:rPr>
                <w:rFonts w:hint="eastAsia" w:ascii="宋体" w:hAnsi="Times New Roman" w:eastAsia="宋体" w:cs="Times New Roman"/>
                <w:bCs/>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721"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6</w:t>
            </w:r>
          </w:p>
        </w:tc>
        <w:tc>
          <w:tcPr>
            <w:tcW w:w="3438" w:type="dxa"/>
            <w:vAlign w:val="center"/>
          </w:tcPr>
          <w:p>
            <w:pPr>
              <w:spacing w:line="420" w:lineRule="exact"/>
              <w:rPr>
                <w:rFonts w:ascii="宋体" w:hAnsi="Times New Roman" w:eastAsia="宋体" w:cs="Times New Roman"/>
                <w:szCs w:val="21"/>
              </w:rPr>
            </w:pPr>
            <w:r>
              <w:rPr>
                <w:rFonts w:hint="eastAsia" w:ascii="宋体" w:hAnsi="Times New Roman" w:eastAsia="宋体" w:cs="Times New Roman"/>
                <w:szCs w:val="21"/>
                <w:highlight w:val="none"/>
              </w:rPr>
              <w:t>计划控制</w:t>
            </w:r>
          </w:p>
        </w:tc>
        <w:tc>
          <w:tcPr>
            <w:tcW w:w="924"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bCs/>
                <w:szCs w:val="21"/>
                <w:highlight w:val="none"/>
                <w:lang w:val="en-US" w:eastAsia="zh-CN"/>
              </w:rPr>
              <w:t>5</w:t>
            </w:r>
          </w:p>
        </w:tc>
        <w:tc>
          <w:tcPr>
            <w:tcW w:w="9115" w:type="dxa"/>
            <w:vAlign w:val="center"/>
          </w:tcPr>
          <w:p>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有详细可行的行动计划能保证项目进度，有风险管理。综合评审，自主赋分。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9" w:hRule="atLeast"/>
          <w:jc w:val="center"/>
        </w:trPr>
        <w:tc>
          <w:tcPr>
            <w:tcW w:w="721"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7</w:t>
            </w:r>
          </w:p>
        </w:tc>
        <w:tc>
          <w:tcPr>
            <w:tcW w:w="3438" w:type="dxa"/>
            <w:vAlign w:val="center"/>
          </w:tcPr>
          <w:p>
            <w:pPr>
              <w:spacing w:line="420" w:lineRule="exact"/>
              <w:rPr>
                <w:rFonts w:hint="eastAsia" w:ascii="宋体" w:hAnsi="宋体" w:eastAsia="宋体" w:cs="Times New Roman"/>
                <w:szCs w:val="21"/>
              </w:rPr>
            </w:pPr>
            <w:r>
              <w:rPr>
                <w:rFonts w:hint="eastAsia" w:ascii="宋体" w:hAnsi="宋体" w:eastAsia="宋体" w:cs="Times New Roman"/>
                <w:szCs w:val="21"/>
                <w:highlight w:val="none"/>
              </w:rPr>
              <w:t>质量保证</w:t>
            </w:r>
          </w:p>
        </w:tc>
        <w:tc>
          <w:tcPr>
            <w:tcW w:w="924"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w:t>
            </w:r>
          </w:p>
        </w:tc>
        <w:tc>
          <w:tcPr>
            <w:tcW w:w="9115" w:type="dxa"/>
            <w:vAlign w:val="center"/>
          </w:tcPr>
          <w:p>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具有良好的质量管理体系和完备的检测体系，保证设备造质量符合要求（提供相应证明材料）。根据提供的资料综合评审，自主赋分。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721"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8</w:t>
            </w:r>
          </w:p>
        </w:tc>
        <w:tc>
          <w:tcPr>
            <w:tcW w:w="3438" w:type="dxa"/>
            <w:vAlign w:val="center"/>
          </w:tcPr>
          <w:p>
            <w:pPr>
              <w:spacing w:line="420" w:lineRule="exact"/>
              <w:rPr>
                <w:rFonts w:hint="eastAsia" w:ascii="宋体" w:hAnsi="宋体" w:eastAsia="宋体" w:cs="Times New Roman"/>
                <w:szCs w:val="21"/>
              </w:rPr>
            </w:pPr>
            <w:r>
              <w:rPr>
                <w:rFonts w:hint="eastAsia" w:ascii="宋体" w:hAnsi="宋体" w:eastAsia="宋体" w:cs="Times New Roman"/>
                <w:szCs w:val="21"/>
                <w:highlight w:val="none"/>
              </w:rPr>
              <w:t>售后服务</w:t>
            </w:r>
          </w:p>
        </w:tc>
        <w:tc>
          <w:tcPr>
            <w:tcW w:w="924" w:type="dxa"/>
            <w:vAlign w:val="center"/>
          </w:tcPr>
          <w:p>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rPr>
              <w:t>5</w:t>
            </w:r>
          </w:p>
        </w:tc>
        <w:tc>
          <w:tcPr>
            <w:tcW w:w="9115" w:type="dxa"/>
            <w:vAlign w:val="center"/>
          </w:tcPr>
          <w:p>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根据投标文件中提供的质量保证措施、售后服务方案等的响应情况综合评审赋分。</w:t>
            </w:r>
          </w:p>
        </w:tc>
      </w:tr>
    </w:tbl>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评标方法</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a、若</w:t>
      </w:r>
      <w:r>
        <w:rPr>
          <w:rFonts w:hint="eastAsia" w:ascii="宋体" w:hAnsi="宋体" w:eastAsia="宋体" w:cs="宋体"/>
          <w:color w:val="000000"/>
          <w:sz w:val="24"/>
          <w:szCs w:val="24"/>
          <w:lang w:val="en-US" w:eastAsia="zh-CN"/>
        </w:rPr>
        <w:t>技术标评审</w:t>
      </w:r>
      <w:r>
        <w:rPr>
          <w:rFonts w:hint="eastAsia" w:ascii="宋体" w:hAnsi="宋体" w:eastAsia="宋体" w:cs="宋体"/>
          <w:color w:val="000000"/>
          <w:sz w:val="24"/>
          <w:szCs w:val="24"/>
        </w:rPr>
        <w:t>出现总分并列时，比较产品技术与服务承诺部分综合得分，此分项得分高者排序在前；若产品技术与服务承诺综合得分仍相同，则由全体评委成员无记名投票，得票高者排序在前。</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ascii="宋体" w:hAnsi="宋体" w:eastAsia="宋体" w:cs="宋体"/>
          <w:sz w:val="18"/>
          <w:szCs w:val="18"/>
        </w:rPr>
        <w:sectPr>
          <w:pgSz w:w="16838" w:h="11906" w:orient="landscape"/>
          <w:pgMar w:top="1418" w:right="1588" w:bottom="1418" w:left="1134" w:header="851" w:footer="992" w:gutter="0"/>
          <w:cols w:space="720" w:num="1"/>
          <w:titlePg/>
          <w:docGrid w:type="lines" w:linePitch="312" w:charSpace="0"/>
        </w:sectPr>
      </w:pPr>
      <w:r>
        <w:rPr>
          <w:rFonts w:hint="eastAsia" w:ascii="宋体" w:hAnsi="宋体" w:eastAsia="宋体" w:cs="宋体"/>
          <w:b w:val="0"/>
          <w:bCs w:val="0"/>
          <w:color w:val="000000"/>
          <w:sz w:val="24"/>
          <w:szCs w:val="24"/>
        </w:rPr>
        <w:t>c、评标过程中，若出现本办法以外的特殊情况时，将暂停评标，有关情况处理意见待招标工作小组确认后，再行评定</w:t>
      </w:r>
      <w:r>
        <w:rPr>
          <w:rFonts w:hint="eastAsia" w:ascii="宋体" w:hAnsi="宋体" w:cs="宋体"/>
          <w:b w:val="0"/>
          <w:bCs w:val="0"/>
          <w:color w:val="000000"/>
          <w:sz w:val="24"/>
          <w:szCs w:val="24"/>
          <w:lang w:eastAsia="zh-CN"/>
        </w:rPr>
        <w:t>。</w:t>
      </w:r>
    </w:p>
    <w:p>
      <w:pPr>
        <w:pStyle w:val="17"/>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pStyle w:val="17"/>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5"/>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6"/>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7"/>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8"/>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pStyle w:val="17"/>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9"/>
                    <a:stretch>
                      <a:fillRect/>
                    </a:stretch>
                  </pic:blipFill>
                  <pic:spPr>
                    <a:xfrm>
                      <a:off x="0" y="0"/>
                      <a:ext cx="5760085" cy="2810122"/>
                    </a:xfrm>
                    <a:prstGeom prst="rect">
                      <a:avLst/>
                    </a:prstGeom>
                  </pic:spPr>
                </pic:pic>
              </a:graphicData>
            </a:graphic>
          </wp:inline>
        </w:drawing>
      </w:r>
    </w:p>
    <w:p>
      <w:pPr>
        <w:pStyle w:val="1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0"/>
                    <a:stretch>
                      <a:fillRect/>
                    </a:stretch>
                  </pic:blipFill>
                  <pic:spPr>
                    <a:xfrm>
                      <a:off x="0" y="0"/>
                      <a:ext cx="5760085" cy="2820042"/>
                    </a:xfrm>
                    <a:prstGeom prst="rect">
                      <a:avLst/>
                    </a:prstGeom>
                  </pic:spPr>
                </pic:pic>
              </a:graphicData>
            </a:graphic>
          </wp:inline>
        </w:drawing>
      </w:r>
    </w:p>
    <w:p>
      <w:pPr>
        <w:pStyle w:val="17"/>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pPr>
        <w:pStyle w:val="17"/>
        <w:outlineLvl w:val="9"/>
        <w:rPr>
          <w:rFonts w:hint="eastAsia" w:hAnsi="宋体" w:eastAsia="宋体" w:cs="宋体"/>
          <w:b/>
          <w:bCs/>
          <w:color w:val="000000"/>
          <w:sz w:val="24"/>
          <w:szCs w:val="28"/>
          <w:highlight w:val="yellow"/>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w:t>
      </w:r>
      <w:r>
        <w:rPr>
          <w:rFonts w:hint="eastAsia" w:hAnsi="宋体" w:eastAsia="宋体" w:cs="宋体"/>
          <w:b/>
          <w:bCs/>
          <w:color w:val="000000"/>
          <w:sz w:val="24"/>
          <w:szCs w:val="28"/>
          <w:highlight w:val="yellow"/>
        </w:rPr>
        <w:t>“供货类别”填“</w:t>
      </w:r>
      <w:r>
        <w:rPr>
          <w:rFonts w:hint="eastAsia" w:hAnsi="宋体" w:eastAsia="宋体" w:cs="宋体"/>
          <w:b/>
          <w:bCs/>
          <w:color w:val="000000"/>
          <w:sz w:val="24"/>
          <w:szCs w:val="28"/>
          <w:highlight w:val="yellow"/>
          <w:lang w:val="en-US" w:eastAsia="zh-CN"/>
        </w:rPr>
        <w:t>计量检具</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质量部</w:t>
      </w:r>
      <w:r>
        <w:rPr>
          <w:rFonts w:hint="eastAsia" w:hAnsi="宋体" w:eastAsia="宋体" w:cs="宋体"/>
          <w:b/>
          <w:bCs/>
          <w:color w:val="000000"/>
          <w:sz w:val="24"/>
          <w:szCs w:val="28"/>
          <w:highlight w:val="yellow"/>
        </w:rPr>
        <w:t>”。</w:t>
      </w:r>
    </w:p>
    <w:p>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pPr>
        <w:pStyle w:val="17"/>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4"/>
          <w:rFonts w:hint="eastAsia" w:ascii="宋体" w:hAnsi="宋体" w:eastAsia="宋体" w:cs="宋体"/>
          <w:sz w:val="24"/>
          <w:szCs w:val="24"/>
        </w:rPr>
        <w:fldChar w:fldCharType="begin"/>
      </w:r>
      <w:r>
        <w:rPr>
          <w:rStyle w:val="44"/>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4"/>
          <w:rFonts w:hint="eastAsia" w:ascii="宋体" w:hAnsi="宋体" w:eastAsia="宋体" w:cs="宋体"/>
          <w:sz w:val="24"/>
          <w:szCs w:val="24"/>
        </w:rPr>
        <w:fldChar w:fldCharType="separate"/>
      </w:r>
      <w:r>
        <w:rPr>
          <w:rStyle w:val="44"/>
          <w:rFonts w:hint="eastAsia" w:ascii="宋体" w:hAnsi="宋体" w:eastAsia="宋体" w:cs="宋体"/>
          <w:sz w:val="24"/>
          <w:szCs w:val="24"/>
        </w:rPr>
        <w:t>http</w:t>
      </w:r>
      <w:r>
        <w:rPr>
          <w:rStyle w:val="44"/>
          <w:rFonts w:hint="eastAsia" w:ascii="宋体" w:hAnsi="宋体" w:eastAsia="宋体" w:cs="宋体"/>
          <w:sz w:val="24"/>
          <w:szCs w:val="24"/>
          <w:lang w:val="en-US" w:eastAsia="zh-CN"/>
        </w:rPr>
        <w:t>s</w:t>
      </w:r>
      <w:r>
        <w:rPr>
          <w:rStyle w:val="44"/>
          <w:rFonts w:hint="eastAsia" w:ascii="宋体" w:hAnsi="宋体" w:eastAsia="宋体" w:cs="宋体"/>
          <w:sz w:val="24"/>
          <w:szCs w:val="24"/>
        </w:rPr>
        <w:t>://ecaitong.sinotruk.com:8012/</w:t>
      </w:r>
      <w:r>
        <w:rPr>
          <w:rStyle w:val="44"/>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1"/>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2"/>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17"/>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pPr>
        <w:pStyle w:val="7"/>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3"/>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4"/>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7"/>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5"/>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6"/>
                    <a:stretch>
                      <a:fillRect/>
                    </a:stretch>
                  </pic:blipFill>
                  <pic:spPr>
                    <a:xfrm>
                      <a:off x="0" y="0"/>
                      <a:ext cx="5760085" cy="1956600"/>
                    </a:xfrm>
                    <a:prstGeom prst="rect">
                      <a:avLst/>
                    </a:prstGeom>
                  </pic:spPr>
                </pic:pic>
              </a:graphicData>
            </a:graphic>
          </wp:inline>
        </w:drawing>
      </w:r>
    </w:p>
    <w:p>
      <w:pPr>
        <w:pStyle w:val="17"/>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E530FE0-5B3B-41D8-9E6E-28690819283A}"/>
  </w:font>
  <w:font w:name="黑体">
    <w:panose1 w:val="02010609060101010101"/>
    <w:charset w:val="86"/>
    <w:family w:val="auto"/>
    <w:pitch w:val="default"/>
    <w:sig w:usb0="800002BF" w:usb1="38CF7CFA" w:usb2="00000016" w:usb3="00000000" w:csb0="00040001" w:csb1="00000000"/>
    <w:embedRegular r:id="rId2" w:fontKey="{8E362E21-CAAF-4A96-ACE2-4FA2E55B8357}"/>
  </w:font>
  <w:font w:name="Courier New">
    <w:panose1 w:val="02070309020205020404"/>
    <w:charset w:val="01"/>
    <w:family w:val="modern"/>
    <w:pitch w:val="default"/>
    <w:sig w:usb0="E0002EFF" w:usb1="C0007843" w:usb2="00000009" w:usb3="00000000" w:csb0="400001FF" w:csb1="FFFF0000"/>
    <w:embedRegular r:id="rId3" w:fontKey="{71333F9F-D68E-473E-AB59-9B9D579125C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AC1CA5C0-9A2B-4D75-AD82-FF43992858B1}"/>
  </w:font>
  <w:font w:name="等线">
    <w:panose1 w:val="02010600030101010101"/>
    <w:charset w:val="86"/>
    <w:family w:val="auto"/>
    <w:pitch w:val="default"/>
    <w:sig w:usb0="A00002BF" w:usb1="38CF7CFA" w:usb2="00000016" w:usb3="00000000" w:csb0="0004000F" w:csb1="00000000"/>
    <w:embedRegular r:id="rId5" w:fontKey="{8AF4BD40-2F1A-49D0-BD42-4C6558D5665C}"/>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embedRegular r:id="rId6" w:fontKey="{80C48973-2FF7-4D53-9ACE-E428780005A7}"/>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embedRegular r:id="rId7" w:fontKey="{F9C15EB9-02FC-429E-87AC-BA04B071B6AA}"/>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embedRegular r:id="rId8" w:fontKey="{B8072578-F6AC-43B0-A000-89E2ECBD1FB7}"/>
  </w:font>
  <w:font w:name="仿宋">
    <w:panose1 w:val="02010609060101010101"/>
    <w:charset w:val="86"/>
    <w:family w:val="auto"/>
    <w:pitch w:val="default"/>
    <w:sig w:usb0="800002BF" w:usb1="38CF7CFA" w:usb2="00000016" w:usb3="00000000" w:csb0="00040001" w:csb1="00000000"/>
    <w:embedRegular r:id="rId9" w:fontKey="{96BEC8A5-F667-48A5-A076-10EDFB220DC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p>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p>
    <w:pPr>
      <w:pStyle w:val="2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BB8DDB"/>
    <w:multiLevelType w:val="singleLevel"/>
    <w:tmpl w:val="89BB8DDB"/>
    <w:lvl w:ilvl="0" w:tentative="0">
      <w:start w:val="5"/>
      <w:numFmt w:val="chineseCounting"/>
      <w:suff w:val="nothing"/>
      <w:lvlText w:val="%1、"/>
      <w:lvlJc w:val="left"/>
      <w:rPr>
        <w:rFonts w:hint="eastAsia"/>
      </w:rPr>
    </w:lvl>
  </w:abstractNum>
  <w:abstractNum w:abstractNumId="1">
    <w:nsid w:val="3F503F12"/>
    <w:multiLevelType w:val="singleLevel"/>
    <w:tmpl w:val="3F503F12"/>
    <w:lvl w:ilvl="0" w:tentative="0">
      <w:start w:val="1"/>
      <w:numFmt w:val="decimal"/>
      <w:suff w:val="nothing"/>
      <w:lvlText w:val="%1．"/>
      <w:lvlJc w:val="left"/>
      <w:pPr>
        <w:ind w:left="0" w:firstLine="400"/>
      </w:pPr>
      <w:rPr>
        <w:rFonts w:hint="default"/>
      </w:rPr>
    </w:lvl>
  </w:abstractNum>
  <w:abstractNum w:abstractNumId="2">
    <w:nsid w:val="6E8C6948"/>
    <w:multiLevelType w:val="singleLevel"/>
    <w:tmpl w:val="6E8C6948"/>
    <w:lvl w:ilvl="0" w:tentative="0">
      <w:start w:val="1"/>
      <w:numFmt w:val="chineseCounting"/>
      <w:suff w:val="space"/>
      <w:lvlText w:val="第%1部分"/>
      <w:lvlJc w:val="left"/>
      <w:rPr>
        <w:rFonts w:hint="eastAsia"/>
      </w:rPr>
    </w:lvl>
  </w:abstractNum>
  <w:abstractNum w:abstractNumId="3">
    <w:nsid w:val="7DA9F3D3"/>
    <w:multiLevelType w:val="singleLevel"/>
    <w:tmpl w:val="7DA9F3D3"/>
    <w:lvl w:ilvl="0" w:tentative="0">
      <w:start w:val="1"/>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I3YjMwYmI3YmZjNDcyNjdjNDIzMTg3Mjk3MmM5MGYifQ=="/>
    <w:docVar w:name="KSO_WPS_MARK_KEY" w:val="288773bf-0df4-413a-9f38-c1906dd68f40"/>
  </w:docVars>
  <w:rsids>
    <w:rsidRoot w:val="0056018A"/>
    <w:rsid w:val="000139F5"/>
    <w:rsid w:val="00022B06"/>
    <w:rsid w:val="00036836"/>
    <w:rsid w:val="00044EF2"/>
    <w:rsid w:val="0005777A"/>
    <w:rsid w:val="00065382"/>
    <w:rsid w:val="00080223"/>
    <w:rsid w:val="000A5309"/>
    <w:rsid w:val="000D6A51"/>
    <w:rsid w:val="000E3EA5"/>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EE6D96"/>
    <w:rsid w:val="00F71720"/>
    <w:rsid w:val="00F9257D"/>
    <w:rsid w:val="00FA062A"/>
    <w:rsid w:val="00FE040F"/>
    <w:rsid w:val="00FE42B3"/>
    <w:rsid w:val="01081B3E"/>
    <w:rsid w:val="014832F2"/>
    <w:rsid w:val="014D51C1"/>
    <w:rsid w:val="01576403"/>
    <w:rsid w:val="016C71F3"/>
    <w:rsid w:val="01714809"/>
    <w:rsid w:val="01B86A12"/>
    <w:rsid w:val="01BB2C67"/>
    <w:rsid w:val="01C52478"/>
    <w:rsid w:val="022F2C26"/>
    <w:rsid w:val="02567262"/>
    <w:rsid w:val="027408EE"/>
    <w:rsid w:val="02963F39"/>
    <w:rsid w:val="02A05EB7"/>
    <w:rsid w:val="02B037A6"/>
    <w:rsid w:val="02B3095A"/>
    <w:rsid w:val="02BA7274"/>
    <w:rsid w:val="02F676C8"/>
    <w:rsid w:val="030D2310"/>
    <w:rsid w:val="03251978"/>
    <w:rsid w:val="0325718A"/>
    <w:rsid w:val="032A08BF"/>
    <w:rsid w:val="03D567D9"/>
    <w:rsid w:val="041078B8"/>
    <w:rsid w:val="042921B6"/>
    <w:rsid w:val="043B72BB"/>
    <w:rsid w:val="04461EC1"/>
    <w:rsid w:val="04504B3F"/>
    <w:rsid w:val="04831DF5"/>
    <w:rsid w:val="04A3012C"/>
    <w:rsid w:val="04AD02B8"/>
    <w:rsid w:val="04DE51C8"/>
    <w:rsid w:val="04DF17D4"/>
    <w:rsid w:val="05000C0B"/>
    <w:rsid w:val="05174255"/>
    <w:rsid w:val="05412745"/>
    <w:rsid w:val="05491761"/>
    <w:rsid w:val="05515CC6"/>
    <w:rsid w:val="055D755A"/>
    <w:rsid w:val="058761A0"/>
    <w:rsid w:val="05A351AD"/>
    <w:rsid w:val="05F9748A"/>
    <w:rsid w:val="06266F78"/>
    <w:rsid w:val="063E7B7A"/>
    <w:rsid w:val="06582413"/>
    <w:rsid w:val="067E33B8"/>
    <w:rsid w:val="06E82FCB"/>
    <w:rsid w:val="06F34B95"/>
    <w:rsid w:val="072858CC"/>
    <w:rsid w:val="07571DAC"/>
    <w:rsid w:val="07645CFB"/>
    <w:rsid w:val="07727CB0"/>
    <w:rsid w:val="07FC1127"/>
    <w:rsid w:val="08485B98"/>
    <w:rsid w:val="08493425"/>
    <w:rsid w:val="0886328A"/>
    <w:rsid w:val="088A5513"/>
    <w:rsid w:val="08DD171B"/>
    <w:rsid w:val="08DD2784"/>
    <w:rsid w:val="08E64121"/>
    <w:rsid w:val="08EE34FB"/>
    <w:rsid w:val="09033521"/>
    <w:rsid w:val="091D420B"/>
    <w:rsid w:val="093D4FB7"/>
    <w:rsid w:val="093E2A38"/>
    <w:rsid w:val="09414AC1"/>
    <w:rsid w:val="0942017F"/>
    <w:rsid w:val="09480908"/>
    <w:rsid w:val="096473F5"/>
    <w:rsid w:val="096F3207"/>
    <w:rsid w:val="09BA1FBB"/>
    <w:rsid w:val="09CA2C4D"/>
    <w:rsid w:val="09CB139F"/>
    <w:rsid w:val="09D71932"/>
    <w:rsid w:val="09DD1183"/>
    <w:rsid w:val="0A0106F5"/>
    <w:rsid w:val="0A112AB7"/>
    <w:rsid w:val="0A447D68"/>
    <w:rsid w:val="0A4E5482"/>
    <w:rsid w:val="0AAA504A"/>
    <w:rsid w:val="0AC402B6"/>
    <w:rsid w:val="0AD71BC7"/>
    <w:rsid w:val="0ADB5CDD"/>
    <w:rsid w:val="0AF420EB"/>
    <w:rsid w:val="0AFB4013"/>
    <w:rsid w:val="0B2B2BF5"/>
    <w:rsid w:val="0B2F3908"/>
    <w:rsid w:val="0B3F6206"/>
    <w:rsid w:val="0B6F5A8A"/>
    <w:rsid w:val="0B7E67EB"/>
    <w:rsid w:val="0B8C5B00"/>
    <w:rsid w:val="0BE12DB6"/>
    <w:rsid w:val="0BE72997"/>
    <w:rsid w:val="0BFC6504"/>
    <w:rsid w:val="0C345AD1"/>
    <w:rsid w:val="0C5114BF"/>
    <w:rsid w:val="0C552FCB"/>
    <w:rsid w:val="0C605BA6"/>
    <w:rsid w:val="0C626CE4"/>
    <w:rsid w:val="0CC2416B"/>
    <w:rsid w:val="0D08498F"/>
    <w:rsid w:val="0D0C2B7B"/>
    <w:rsid w:val="0D9308F8"/>
    <w:rsid w:val="0D9965CC"/>
    <w:rsid w:val="0DE76C3D"/>
    <w:rsid w:val="0E1A1D85"/>
    <w:rsid w:val="0E3C75E8"/>
    <w:rsid w:val="0E6B26B6"/>
    <w:rsid w:val="0E750568"/>
    <w:rsid w:val="0E8819A2"/>
    <w:rsid w:val="0E9C3C97"/>
    <w:rsid w:val="0EA55D13"/>
    <w:rsid w:val="0EBA2435"/>
    <w:rsid w:val="0F0F31C4"/>
    <w:rsid w:val="0F2D7A80"/>
    <w:rsid w:val="0F346E76"/>
    <w:rsid w:val="0F4277E5"/>
    <w:rsid w:val="0F5F09C4"/>
    <w:rsid w:val="0FA75561"/>
    <w:rsid w:val="0FB83603"/>
    <w:rsid w:val="0FBE4261"/>
    <w:rsid w:val="0FCA77F1"/>
    <w:rsid w:val="0FCD5DCC"/>
    <w:rsid w:val="10043197"/>
    <w:rsid w:val="101A497B"/>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8328C8"/>
    <w:rsid w:val="119A7465"/>
    <w:rsid w:val="119B76A5"/>
    <w:rsid w:val="11AE1BB4"/>
    <w:rsid w:val="11C07DA5"/>
    <w:rsid w:val="11C2491E"/>
    <w:rsid w:val="11F36B75"/>
    <w:rsid w:val="123B45F5"/>
    <w:rsid w:val="12491386"/>
    <w:rsid w:val="12807FED"/>
    <w:rsid w:val="12DE232A"/>
    <w:rsid w:val="12E60579"/>
    <w:rsid w:val="12EB0F02"/>
    <w:rsid w:val="13057392"/>
    <w:rsid w:val="13695B36"/>
    <w:rsid w:val="1372609F"/>
    <w:rsid w:val="1382549E"/>
    <w:rsid w:val="138A301D"/>
    <w:rsid w:val="13CD6F8A"/>
    <w:rsid w:val="13D73572"/>
    <w:rsid w:val="13E250F3"/>
    <w:rsid w:val="141476FE"/>
    <w:rsid w:val="141D0842"/>
    <w:rsid w:val="1449272D"/>
    <w:rsid w:val="14504752"/>
    <w:rsid w:val="145A6A37"/>
    <w:rsid w:val="1467440F"/>
    <w:rsid w:val="146B2014"/>
    <w:rsid w:val="147F6DAD"/>
    <w:rsid w:val="14846AB8"/>
    <w:rsid w:val="14E05B4D"/>
    <w:rsid w:val="14E9191B"/>
    <w:rsid w:val="14FA1F7A"/>
    <w:rsid w:val="15400323"/>
    <w:rsid w:val="15433A9B"/>
    <w:rsid w:val="15545B0C"/>
    <w:rsid w:val="159233F2"/>
    <w:rsid w:val="1592588F"/>
    <w:rsid w:val="15BB45B7"/>
    <w:rsid w:val="15D346A7"/>
    <w:rsid w:val="15D93B67"/>
    <w:rsid w:val="15E9057E"/>
    <w:rsid w:val="15FC2F04"/>
    <w:rsid w:val="16181FAC"/>
    <w:rsid w:val="16450C97"/>
    <w:rsid w:val="164E7892"/>
    <w:rsid w:val="16666C4E"/>
    <w:rsid w:val="168756A0"/>
    <w:rsid w:val="16F94849"/>
    <w:rsid w:val="17045E51"/>
    <w:rsid w:val="172011D4"/>
    <w:rsid w:val="17252C3B"/>
    <w:rsid w:val="173F0A2E"/>
    <w:rsid w:val="17770BC2"/>
    <w:rsid w:val="177A3491"/>
    <w:rsid w:val="17860E2F"/>
    <w:rsid w:val="17A119AA"/>
    <w:rsid w:val="17E85AC5"/>
    <w:rsid w:val="18083B45"/>
    <w:rsid w:val="180D3B06"/>
    <w:rsid w:val="18104A8B"/>
    <w:rsid w:val="182E403B"/>
    <w:rsid w:val="18426B32"/>
    <w:rsid w:val="18586F2B"/>
    <w:rsid w:val="18784278"/>
    <w:rsid w:val="188E5849"/>
    <w:rsid w:val="19566FD7"/>
    <w:rsid w:val="198527A8"/>
    <w:rsid w:val="19A766B9"/>
    <w:rsid w:val="19B06735"/>
    <w:rsid w:val="19CE14DB"/>
    <w:rsid w:val="19CE76BA"/>
    <w:rsid w:val="19F26070"/>
    <w:rsid w:val="19F97C8B"/>
    <w:rsid w:val="1A1523CE"/>
    <w:rsid w:val="1A1F1582"/>
    <w:rsid w:val="1A864A2A"/>
    <w:rsid w:val="1AA730BD"/>
    <w:rsid w:val="1B333D5D"/>
    <w:rsid w:val="1B400146"/>
    <w:rsid w:val="1B587618"/>
    <w:rsid w:val="1B5F19C7"/>
    <w:rsid w:val="1B84164C"/>
    <w:rsid w:val="1C1C709B"/>
    <w:rsid w:val="1C4A05F8"/>
    <w:rsid w:val="1C4F6795"/>
    <w:rsid w:val="1C635F1B"/>
    <w:rsid w:val="1C687BA8"/>
    <w:rsid w:val="1C7723C1"/>
    <w:rsid w:val="1C9F6814"/>
    <w:rsid w:val="1CA7399C"/>
    <w:rsid w:val="1D5C514E"/>
    <w:rsid w:val="1D865D14"/>
    <w:rsid w:val="1D8705EC"/>
    <w:rsid w:val="1DBE0159"/>
    <w:rsid w:val="1DE71C83"/>
    <w:rsid w:val="1DEC0E7D"/>
    <w:rsid w:val="1E344794"/>
    <w:rsid w:val="1E40742E"/>
    <w:rsid w:val="1E43150B"/>
    <w:rsid w:val="1E544E3F"/>
    <w:rsid w:val="1E7D47F5"/>
    <w:rsid w:val="1EA93E80"/>
    <w:rsid w:val="1EC16A83"/>
    <w:rsid w:val="1ED33FB6"/>
    <w:rsid w:val="1EDC0931"/>
    <w:rsid w:val="1EE011E0"/>
    <w:rsid w:val="1EE81332"/>
    <w:rsid w:val="1F136351"/>
    <w:rsid w:val="1F32415A"/>
    <w:rsid w:val="1F4160D7"/>
    <w:rsid w:val="1F542F9A"/>
    <w:rsid w:val="1F6D241E"/>
    <w:rsid w:val="1F702632"/>
    <w:rsid w:val="1F7E2174"/>
    <w:rsid w:val="20107567"/>
    <w:rsid w:val="20313E48"/>
    <w:rsid w:val="204E750E"/>
    <w:rsid w:val="206945CB"/>
    <w:rsid w:val="208244E5"/>
    <w:rsid w:val="20AB56C6"/>
    <w:rsid w:val="20E21F80"/>
    <w:rsid w:val="21237947"/>
    <w:rsid w:val="21353FAA"/>
    <w:rsid w:val="21547789"/>
    <w:rsid w:val="216B2BCB"/>
    <w:rsid w:val="216F2E69"/>
    <w:rsid w:val="21760275"/>
    <w:rsid w:val="2176507C"/>
    <w:rsid w:val="21AC4ECC"/>
    <w:rsid w:val="21AD074F"/>
    <w:rsid w:val="21BE35AF"/>
    <w:rsid w:val="21C11174"/>
    <w:rsid w:val="21F94FCB"/>
    <w:rsid w:val="22010E3A"/>
    <w:rsid w:val="22244B28"/>
    <w:rsid w:val="222C6A9F"/>
    <w:rsid w:val="22467FD4"/>
    <w:rsid w:val="224C3750"/>
    <w:rsid w:val="22667643"/>
    <w:rsid w:val="22735CCF"/>
    <w:rsid w:val="228935B5"/>
    <w:rsid w:val="229451FD"/>
    <w:rsid w:val="22A12DB6"/>
    <w:rsid w:val="22B01277"/>
    <w:rsid w:val="2309269C"/>
    <w:rsid w:val="23332FC8"/>
    <w:rsid w:val="235F4683"/>
    <w:rsid w:val="236356D1"/>
    <w:rsid w:val="23672FA4"/>
    <w:rsid w:val="23A45F21"/>
    <w:rsid w:val="23A91C83"/>
    <w:rsid w:val="23C962E8"/>
    <w:rsid w:val="243F7403"/>
    <w:rsid w:val="247E4FED"/>
    <w:rsid w:val="24AD78E0"/>
    <w:rsid w:val="24B30BE8"/>
    <w:rsid w:val="24BC5AD3"/>
    <w:rsid w:val="24DB07AE"/>
    <w:rsid w:val="24E10292"/>
    <w:rsid w:val="24E34060"/>
    <w:rsid w:val="253A0491"/>
    <w:rsid w:val="254E0478"/>
    <w:rsid w:val="259322B4"/>
    <w:rsid w:val="25AF6361"/>
    <w:rsid w:val="25C50504"/>
    <w:rsid w:val="25C64874"/>
    <w:rsid w:val="25E036B2"/>
    <w:rsid w:val="25E75BA2"/>
    <w:rsid w:val="25E9082A"/>
    <w:rsid w:val="25F018F1"/>
    <w:rsid w:val="25F42473"/>
    <w:rsid w:val="260A0FF9"/>
    <w:rsid w:val="2621171B"/>
    <w:rsid w:val="26436BD4"/>
    <w:rsid w:val="265C2AE3"/>
    <w:rsid w:val="269C17B8"/>
    <w:rsid w:val="26AF2D79"/>
    <w:rsid w:val="26B34B91"/>
    <w:rsid w:val="26ED706D"/>
    <w:rsid w:val="26F853FE"/>
    <w:rsid w:val="26F92E80"/>
    <w:rsid w:val="26FC00A2"/>
    <w:rsid w:val="270D66E8"/>
    <w:rsid w:val="27514612"/>
    <w:rsid w:val="278B0DAB"/>
    <w:rsid w:val="278D3850"/>
    <w:rsid w:val="279C6B0E"/>
    <w:rsid w:val="27A64735"/>
    <w:rsid w:val="27CC4DF2"/>
    <w:rsid w:val="27FC39A7"/>
    <w:rsid w:val="280D64D7"/>
    <w:rsid w:val="281864F2"/>
    <w:rsid w:val="28341582"/>
    <w:rsid w:val="283D5C30"/>
    <w:rsid w:val="28445F24"/>
    <w:rsid w:val="28634650"/>
    <w:rsid w:val="286903EF"/>
    <w:rsid w:val="28700AC7"/>
    <w:rsid w:val="287F5DD3"/>
    <w:rsid w:val="288047CB"/>
    <w:rsid w:val="289E62FA"/>
    <w:rsid w:val="28DB3015"/>
    <w:rsid w:val="28FD6E90"/>
    <w:rsid w:val="291E2CA6"/>
    <w:rsid w:val="29331862"/>
    <w:rsid w:val="29606AF1"/>
    <w:rsid w:val="29751E88"/>
    <w:rsid w:val="299741EC"/>
    <w:rsid w:val="299E147F"/>
    <w:rsid w:val="29C32A87"/>
    <w:rsid w:val="29CF26DC"/>
    <w:rsid w:val="29FB0EEE"/>
    <w:rsid w:val="2A1C5DA0"/>
    <w:rsid w:val="2A200D39"/>
    <w:rsid w:val="2A507EFF"/>
    <w:rsid w:val="2A5F2FA3"/>
    <w:rsid w:val="2AAB37D0"/>
    <w:rsid w:val="2ADC05A4"/>
    <w:rsid w:val="2AEF2177"/>
    <w:rsid w:val="2B0B6B2D"/>
    <w:rsid w:val="2B1C0A93"/>
    <w:rsid w:val="2B46348F"/>
    <w:rsid w:val="2B5E3CCB"/>
    <w:rsid w:val="2B6F0D7F"/>
    <w:rsid w:val="2B8716BD"/>
    <w:rsid w:val="2B8B76FF"/>
    <w:rsid w:val="2BA07020"/>
    <w:rsid w:val="2BB97F4A"/>
    <w:rsid w:val="2BD5034F"/>
    <w:rsid w:val="2BD654CB"/>
    <w:rsid w:val="2BF77A2F"/>
    <w:rsid w:val="2C370819"/>
    <w:rsid w:val="2C373B79"/>
    <w:rsid w:val="2C493B09"/>
    <w:rsid w:val="2C5F3D9D"/>
    <w:rsid w:val="2C61165D"/>
    <w:rsid w:val="2C6156D9"/>
    <w:rsid w:val="2C88731E"/>
    <w:rsid w:val="2CF33A75"/>
    <w:rsid w:val="2CF85053"/>
    <w:rsid w:val="2D002B75"/>
    <w:rsid w:val="2D025012"/>
    <w:rsid w:val="2D2B45A9"/>
    <w:rsid w:val="2D4178F0"/>
    <w:rsid w:val="2DAE631A"/>
    <w:rsid w:val="2DD877E0"/>
    <w:rsid w:val="2DE03689"/>
    <w:rsid w:val="2DE616C9"/>
    <w:rsid w:val="2DFC2451"/>
    <w:rsid w:val="2E3422F8"/>
    <w:rsid w:val="2E6E566D"/>
    <w:rsid w:val="2E7F188E"/>
    <w:rsid w:val="2EBC0905"/>
    <w:rsid w:val="2EC73739"/>
    <w:rsid w:val="2EFB1B0E"/>
    <w:rsid w:val="2F5C684F"/>
    <w:rsid w:val="2F63756E"/>
    <w:rsid w:val="2F7B102E"/>
    <w:rsid w:val="2F933A9E"/>
    <w:rsid w:val="2FA45F37"/>
    <w:rsid w:val="2FAE20C9"/>
    <w:rsid w:val="2FBF7DE5"/>
    <w:rsid w:val="2FEA73B1"/>
    <w:rsid w:val="3032101E"/>
    <w:rsid w:val="306927FC"/>
    <w:rsid w:val="307776D1"/>
    <w:rsid w:val="307B2717"/>
    <w:rsid w:val="30862574"/>
    <w:rsid w:val="30B631E1"/>
    <w:rsid w:val="30C05531"/>
    <w:rsid w:val="30E57BC8"/>
    <w:rsid w:val="311933AA"/>
    <w:rsid w:val="31414A5E"/>
    <w:rsid w:val="315B788A"/>
    <w:rsid w:val="315E658D"/>
    <w:rsid w:val="3168109A"/>
    <w:rsid w:val="317D15BB"/>
    <w:rsid w:val="31B00187"/>
    <w:rsid w:val="31C94308"/>
    <w:rsid w:val="31D07E6C"/>
    <w:rsid w:val="323F65DA"/>
    <w:rsid w:val="32412074"/>
    <w:rsid w:val="32DE0199"/>
    <w:rsid w:val="333C2963"/>
    <w:rsid w:val="335B2774"/>
    <w:rsid w:val="338B331E"/>
    <w:rsid w:val="33A20D45"/>
    <w:rsid w:val="33A4642E"/>
    <w:rsid w:val="33D1020F"/>
    <w:rsid w:val="33D4039C"/>
    <w:rsid w:val="33D47E05"/>
    <w:rsid w:val="33EC194A"/>
    <w:rsid w:val="3413677D"/>
    <w:rsid w:val="342B544B"/>
    <w:rsid w:val="343E7CCC"/>
    <w:rsid w:val="345E036E"/>
    <w:rsid w:val="34C47852"/>
    <w:rsid w:val="34DE1E4F"/>
    <w:rsid w:val="34F07DB1"/>
    <w:rsid w:val="35216C38"/>
    <w:rsid w:val="35486AF7"/>
    <w:rsid w:val="356836C4"/>
    <w:rsid w:val="359009FB"/>
    <w:rsid w:val="35D354B8"/>
    <w:rsid w:val="35D4025C"/>
    <w:rsid w:val="35DC572E"/>
    <w:rsid w:val="36063A32"/>
    <w:rsid w:val="362666BC"/>
    <w:rsid w:val="3628478F"/>
    <w:rsid w:val="36394F6A"/>
    <w:rsid w:val="36445A95"/>
    <w:rsid w:val="368A6B11"/>
    <w:rsid w:val="36A238B1"/>
    <w:rsid w:val="36B53E7C"/>
    <w:rsid w:val="37085B1F"/>
    <w:rsid w:val="37103EE5"/>
    <w:rsid w:val="372E04CB"/>
    <w:rsid w:val="37317C9C"/>
    <w:rsid w:val="37893954"/>
    <w:rsid w:val="38131C89"/>
    <w:rsid w:val="38A43C55"/>
    <w:rsid w:val="38E070F2"/>
    <w:rsid w:val="390D33AB"/>
    <w:rsid w:val="391E6D06"/>
    <w:rsid w:val="3984503C"/>
    <w:rsid w:val="39A03D3D"/>
    <w:rsid w:val="39CE2F60"/>
    <w:rsid w:val="39DC5BB6"/>
    <w:rsid w:val="39F1031B"/>
    <w:rsid w:val="3A074847"/>
    <w:rsid w:val="3A1222F1"/>
    <w:rsid w:val="3A3C6CE4"/>
    <w:rsid w:val="3A830B2E"/>
    <w:rsid w:val="3AA90FE6"/>
    <w:rsid w:val="3AA9318F"/>
    <w:rsid w:val="3AB62DA0"/>
    <w:rsid w:val="3AD04447"/>
    <w:rsid w:val="3AEA41B5"/>
    <w:rsid w:val="3AF66F05"/>
    <w:rsid w:val="3B414BC4"/>
    <w:rsid w:val="3B683BAC"/>
    <w:rsid w:val="3B69577B"/>
    <w:rsid w:val="3B702D85"/>
    <w:rsid w:val="3B7905A1"/>
    <w:rsid w:val="3B7D3FD5"/>
    <w:rsid w:val="3B823DDF"/>
    <w:rsid w:val="3BD827B4"/>
    <w:rsid w:val="3C237ED3"/>
    <w:rsid w:val="3C317D4F"/>
    <w:rsid w:val="3C4542ED"/>
    <w:rsid w:val="3C4D2D59"/>
    <w:rsid w:val="3CAA596A"/>
    <w:rsid w:val="3CAF1D22"/>
    <w:rsid w:val="3CB1587B"/>
    <w:rsid w:val="3CB735F2"/>
    <w:rsid w:val="3CD218F9"/>
    <w:rsid w:val="3CFC4E99"/>
    <w:rsid w:val="3D186684"/>
    <w:rsid w:val="3D363C36"/>
    <w:rsid w:val="3D496B61"/>
    <w:rsid w:val="3D68584E"/>
    <w:rsid w:val="3D8B2178"/>
    <w:rsid w:val="3DB34909"/>
    <w:rsid w:val="3DCA67EC"/>
    <w:rsid w:val="3DD115F5"/>
    <w:rsid w:val="3DE23DBE"/>
    <w:rsid w:val="3DE435F0"/>
    <w:rsid w:val="3DE5122C"/>
    <w:rsid w:val="3DF37E53"/>
    <w:rsid w:val="3E1768EB"/>
    <w:rsid w:val="3E212A7E"/>
    <w:rsid w:val="3E47743A"/>
    <w:rsid w:val="3E6B4177"/>
    <w:rsid w:val="3EB70D31"/>
    <w:rsid w:val="3ED26DE9"/>
    <w:rsid w:val="3EED17D0"/>
    <w:rsid w:val="3F052CF0"/>
    <w:rsid w:val="3F0C0304"/>
    <w:rsid w:val="3F2A7DE0"/>
    <w:rsid w:val="3F774839"/>
    <w:rsid w:val="3FEC147E"/>
    <w:rsid w:val="400D1324"/>
    <w:rsid w:val="40111F29"/>
    <w:rsid w:val="401A01BA"/>
    <w:rsid w:val="40376375"/>
    <w:rsid w:val="407D0E43"/>
    <w:rsid w:val="409061F3"/>
    <w:rsid w:val="40980F08"/>
    <w:rsid w:val="40C83C56"/>
    <w:rsid w:val="40D23C76"/>
    <w:rsid w:val="40E340D5"/>
    <w:rsid w:val="40F3251B"/>
    <w:rsid w:val="412732B7"/>
    <w:rsid w:val="4127791F"/>
    <w:rsid w:val="41281794"/>
    <w:rsid w:val="413C1FDF"/>
    <w:rsid w:val="41806A69"/>
    <w:rsid w:val="418307E9"/>
    <w:rsid w:val="41980AAB"/>
    <w:rsid w:val="41A40141"/>
    <w:rsid w:val="41B0259C"/>
    <w:rsid w:val="41BC6F1C"/>
    <w:rsid w:val="41CE6B33"/>
    <w:rsid w:val="41EF2363"/>
    <w:rsid w:val="41F77860"/>
    <w:rsid w:val="424A4B98"/>
    <w:rsid w:val="424F27D8"/>
    <w:rsid w:val="42581D3A"/>
    <w:rsid w:val="429C4E56"/>
    <w:rsid w:val="42AC3A79"/>
    <w:rsid w:val="42E42CCB"/>
    <w:rsid w:val="42ED2EA4"/>
    <w:rsid w:val="42F37A63"/>
    <w:rsid w:val="42F6649D"/>
    <w:rsid w:val="42FE0080"/>
    <w:rsid w:val="43315D2E"/>
    <w:rsid w:val="43670C99"/>
    <w:rsid w:val="43824A1C"/>
    <w:rsid w:val="43BA782C"/>
    <w:rsid w:val="43CD59BA"/>
    <w:rsid w:val="43D110E1"/>
    <w:rsid w:val="43E048FB"/>
    <w:rsid w:val="43E873C9"/>
    <w:rsid w:val="43EF4482"/>
    <w:rsid w:val="448B5C69"/>
    <w:rsid w:val="44905B1F"/>
    <w:rsid w:val="44A3327A"/>
    <w:rsid w:val="44C81F67"/>
    <w:rsid w:val="44EC107E"/>
    <w:rsid w:val="45316885"/>
    <w:rsid w:val="45890057"/>
    <w:rsid w:val="459B1F40"/>
    <w:rsid w:val="45A95EE9"/>
    <w:rsid w:val="45EA5542"/>
    <w:rsid w:val="45FB0F21"/>
    <w:rsid w:val="46130905"/>
    <w:rsid w:val="46167166"/>
    <w:rsid w:val="4636719A"/>
    <w:rsid w:val="463A65C6"/>
    <w:rsid w:val="464858DB"/>
    <w:rsid w:val="4650656B"/>
    <w:rsid w:val="46685E10"/>
    <w:rsid w:val="46D73EC6"/>
    <w:rsid w:val="47200EE3"/>
    <w:rsid w:val="47435AC2"/>
    <w:rsid w:val="47544B78"/>
    <w:rsid w:val="47587AF7"/>
    <w:rsid w:val="47745A86"/>
    <w:rsid w:val="47C9778B"/>
    <w:rsid w:val="47CB5A57"/>
    <w:rsid w:val="47E239AC"/>
    <w:rsid w:val="47E36768"/>
    <w:rsid w:val="47F33399"/>
    <w:rsid w:val="480C42C3"/>
    <w:rsid w:val="480F4B73"/>
    <w:rsid w:val="4816227E"/>
    <w:rsid w:val="48276F9D"/>
    <w:rsid w:val="4862144E"/>
    <w:rsid w:val="487974BD"/>
    <w:rsid w:val="489E3831"/>
    <w:rsid w:val="48B9571B"/>
    <w:rsid w:val="48CB0E7D"/>
    <w:rsid w:val="48DB38E3"/>
    <w:rsid w:val="49001B5E"/>
    <w:rsid w:val="4904108C"/>
    <w:rsid w:val="491033DE"/>
    <w:rsid w:val="493443AD"/>
    <w:rsid w:val="49376DB0"/>
    <w:rsid w:val="493D4634"/>
    <w:rsid w:val="49551CDB"/>
    <w:rsid w:val="49605AEE"/>
    <w:rsid w:val="497E3057"/>
    <w:rsid w:val="49804BB7"/>
    <w:rsid w:val="49826DCB"/>
    <w:rsid w:val="499013E7"/>
    <w:rsid w:val="4990381A"/>
    <w:rsid w:val="49C8088A"/>
    <w:rsid w:val="49F031DE"/>
    <w:rsid w:val="49F772E6"/>
    <w:rsid w:val="4A0F6D68"/>
    <w:rsid w:val="4A111CB3"/>
    <w:rsid w:val="4A301C93"/>
    <w:rsid w:val="4A3302AB"/>
    <w:rsid w:val="4A4C47F2"/>
    <w:rsid w:val="4A572A17"/>
    <w:rsid w:val="4A6F2535"/>
    <w:rsid w:val="4A7224B3"/>
    <w:rsid w:val="4A7706DB"/>
    <w:rsid w:val="4A901A63"/>
    <w:rsid w:val="4A9C5875"/>
    <w:rsid w:val="4AC85D49"/>
    <w:rsid w:val="4ACD18C8"/>
    <w:rsid w:val="4AE308A9"/>
    <w:rsid w:val="4B0E4F45"/>
    <w:rsid w:val="4B260F2D"/>
    <w:rsid w:val="4B5005B9"/>
    <w:rsid w:val="4B9A1456"/>
    <w:rsid w:val="4BA32C82"/>
    <w:rsid w:val="4BDB6202"/>
    <w:rsid w:val="4BE70627"/>
    <w:rsid w:val="4C0A5AE1"/>
    <w:rsid w:val="4C130AB8"/>
    <w:rsid w:val="4C5A284D"/>
    <w:rsid w:val="4C5C0673"/>
    <w:rsid w:val="4C8B531F"/>
    <w:rsid w:val="4CB96B43"/>
    <w:rsid w:val="4CC61682"/>
    <w:rsid w:val="4CC75FCC"/>
    <w:rsid w:val="4CC87A5E"/>
    <w:rsid w:val="4CC93E90"/>
    <w:rsid w:val="4CD63947"/>
    <w:rsid w:val="4CDB28FE"/>
    <w:rsid w:val="4CFC49F4"/>
    <w:rsid w:val="4D0314E7"/>
    <w:rsid w:val="4D073D73"/>
    <w:rsid w:val="4D1E27BA"/>
    <w:rsid w:val="4D23574A"/>
    <w:rsid w:val="4D4C4DB0"/>
    <w:rsid w:val="4D7322D5"/>
    <w:rsid w:val="4DD7034C"/>
    <w:rsid w:val="4DE312CB"/>
    <w:rsid w:val="4DF5318E"/>
    <w:rsid w:val="4E0D199A"/>
    <w:rsid w:val="4E0E0BAE"/>
    <w:rsid w:val="4E1F4862"/>
    <w:rsid w:val="4E2E4393"/>
    <w:rsid w:val="4E4478F5"/>
    <w:rsid w:val="4E535EF2"/>
    <w:rsid w:val="4F08773C"/>
    <w:rsid w:val="4F1F277C"/>
    <w:rsid w:val="4F31409F"/>
    <w:rsid w:val="4F391107"/>
    <w:rsid w:val="4F5E670E"/>
    <w:rsid w:val="4F846A83"/>
    <w:rsid w:val="50070E2C"/>
    <w:rsid w:val="50093D5E"/>
    <w:rsid w:val="501112F3"/>
    <w:rsid w:val="504B57F2"/>
    <w:rsid w:val="50514152"/>
    <w:rsid w:val="50850D04"/>
    <w:rsid w:val="50C5433A"/>
    <w:rsid w:val="50C62BC7"/>
    <w:rsid w:val="50C879B4"/>
    <w:rsid w:val="50D40EA8"/>
    <w:rsid w:val="50F72A66"/>
    <w:rsid w:val="5123368C"/>
    <w:rsid w:val="51291C37"/>
    <w:rsid w:val="512E61CA"/>
    <w:rsid w:val="5130747C"/>
    <w:rsid w:val="513B6B2B"/>
    <w:rsid w:val="515C765A"/>
    <w:rsid w:val="51905BB3"/>
    <w:rsid w:val="51922560"/>
    <w:rsid w:val="51946FCB"/>
    <w:rsid w:val="51BD71A2"/>
    <w:rsid w:val="51DD796B"/>
    <w:rsid w:val="51DF373B"/>
    <w:rsid w:val="51F7744F"/>
    <w:rsid w:val="52A511EA"/>
    <w:rsid w:val="52EF4CB5"/>
    <w:rsid w:val="52F959F0"/>
    <w:rsid w:val="5302488E"/>
    <w:rsid w:val="530323B4"/>
    <w:rsid w:val="53136173"/>
    <w:rsid w:val="53253ACD"/>
    <w:rsid w:val="534B12B7"/>
    <w:rsid w:val="539A4AC7"/>
    <w:rsid w:val="53F86552"/>
    <w:rsid w:val="542631B6"/>
    <w:rsid w:val="542B7CA6"/>
    <w:rsid w:val="5447483C"/>
    <w:rsid w:val="544D14DF"/>
    <w:rsid w:val="54694B6B"/>
    <w:rsid w:val="547748A2"/>
    <w:rsid w:val="54942CAE"/>
    <w:rsid w:val="5499280E"/>
    <w:rsid w:val="54A61722"/>
    <w:rsid w:val="54B31FAF"/>
    <w:rsid w:val="54DC2048"/>
    <w:rsid w:val="550C502E"/>
    <w:rsid w:val="55224E1C"/>
    <w:rsid w:val="55326D63"/>
    <w:rsid w:val="555D1A10"/>
    <w:rsid w:val="55963292"/>
    <w:rsid w:val="55B72CB0"/>
    <w:rsid w:val="55C300FC"/>
    <w:rsid w:val="55E8347F"/>
    <w:rsid w:val="55E90F00"/>
    <w:rsid w:val="56073F6A"/>
    <w:rsid w:val="56811936"/>
    <w:rsid w:val="56AC4A78"/>
    <w:rsid w:val="56B55151"/>
    <w:rsid w:val="56D007FF"/>
    <w:rsid w:val="56DB16B9"/>
    <w:rsid w:val="57276389"/>
    <w:rsid w:val="57435CBA"/>
    <w:rsid w:val="577A3463"/>
    <w:rsid w:val="57977EA7"/>
    <w:rsid w:val="57B35F6D"/>
    <w:rsid w:val="57BE1D80"/>
    <w:rsid w:val="57CF6D09"/>
    <w:rsid w:val="57F967AD"/>
    <w:rsid w:val="58052975"/>
    <w:rsid w:val="581D7A74"/>
    <w:rsid w:val="582B0078"/>
    <w:rsid w:val="584D1A65"/>
    <w:rsid w:val="584F5C44"/>
    <w:rsid w:val="58584F50"/>
    <w:rsid w:val="58A96885"/>
    <w:rsid w:val="58B8581B"/>
    <w:rsid w:val="58E525CA"/>
    <w:rsid w:val="58EE7372"/>
    <w:rsid w:val="58FD7D40"/>
    <w:rsid w:val="59017396"/>
    <w:rsid w:val="592B5B5A"/>
    <w:rsid w:val="593829B8"/>
    <w:rsid w:val="593D045A"/>
    <w:rsid w:val="5960739E"/>
    <w:rsid w:val="59896D0A"/>
    <w:rsid w:val="599226DC"/>
    <w:rsid w:val="59975605"/>
    <w:rsid w:val="599D6D92"/>
    <w:rsid w:val="59B72684"/>
    <w:rsid w:val="59BA4144"/>
    <w:rsid w:val="59C06FDA"/>
    <w:rsid w:val="59F861A7"/>
    <w:rsid w:val="5A8E00F1"/>
    <w:rsid w:val="5A9579AE"/>
    <w:rsid w:val="5AB521E6"/>
    <w:rsid w:val="5AC468CD"/>
    <w:rsid w:val="5AC558FB"/>
    <w:rsid w:val="5B342B9A"/>
    <w:rsid w:val="5B5953B0"/>
    <w:rsid w:val="5B630802"/>
    <w:rsid w:val="5B6E60D7"/>
    <w:rsid w:val="5B746998"/>
    <w:rsid w:val="5B807F68"/>
    <w:rsid w:val="5B9163B4"/>
    <w:rsid w:val="5BA72CE5"/>
    <w:rsid w:val="5BA95A60"/>
    <w:rsid w:val="5BE61256"/>
    <w:rsid w:val="5C034D53"/>
    <w:rsid w:val="5C0416FB"/>
    <w:rsid w:val="5C0A43A9"/>
    <w:rsid w:val="5C41066B"/>
    <w:rsid w:val="5C620B9F"/>
    <w:rsid w:val="5C79798F"/>
    <w:rsid w:val="5C7F2AAC"/>
    <w:rsid w:val="5D0E2082"/>
    <w:rsid w:val="5D161948"/>
    <w:rsid w:val="5D41354B"/>
    <w:rsid w:val="5D722852"/>
    <w:rsid w:val="5E1D6F56"/>
    <w:rsid w:val="5E52187F"/>
    <w:rsid w:val="5E6A13CD"/>
    <w:rsid w:val="5E705D15"/>
    <w:rsid w:val="5E93326C"/>
    <w:rsid w:val="5E9F1A7A"/>
    <w:rsid w:val="5EAB5261"/>
    <w:rsid w:val="5EAF3818"/>
    <w:rsid w:val="5EE62ABD"/>
    <w:rsid w:val="5EF62F7D"/>
    <w:rsid w:val="5EFB4BA4"/>
    <w:rsid w:val="5EFD23AE"/>
    <w:rsid w:val="5F025452"/>
    <w:rsid w:val="5F204545"/>
    <w:rsid w:val="5F5F46B5"/>
    <w:rsid w:val="5FB25360"/>
    <w:rsid w:val="5FBA3CC0"/>
    <w:rsid w:val="5FD90D61"/>
    <w:rsid w:val="5FF11F12"/>
    <w:rsid w:val="60177697"/>
    <w:rsid w:val="602329DB"/>
    <w:rsid w:val="607777D6"/>
    <w:rsid w:val="60B34B89"/>
    <w:rsid w:val="60BC76A1"/>
    <w:rsid w:val="610B7637"/>
    <w:rsid w:val="612279BA"/>
    <w:rsid w:val="614D1FB2"/>
    <w:rsid w:val="615F5624"/>
    <w:rsid w:val="61D215CF"/>
    <w:rsid w:val="62042FA0"/>
    <w:rsid w:val="62414951"/>
    <w:rsid w:val="625901AB"/>
    <w:rsid w:val="625C563D"/>
    <w:rsid w:val="626A1704"/>
    <w:rsid w:val="627921C2"/>
    <w:rsid w:val="62B362C8"/>
    <w:rsid w:val="62C1330E"/>
    <w:rsid w:val="62DD39C2"/>
    <w:rsid w:val="62EB67A0"/>
    <w:rsid w:val="62EC0759"/>
    <w:rsid w:val="62F200E4"/>
    <w:rsid w:val="63084806"/>
    <w:rsid w:val="6342085E"/>
    <w:rsid w:val="636F415C"/>
    <w:rsid w:val="63C329BB"/>
    <w:rsid w:val="63E85179"/>
    <w:rsid w:val="645A0930"/>
    <w:rsid w:val="64917820"/>
    <w:rsid w:val="64AA1CC5"/>
    <w:rsid w:val="64E9279D"/>
    <w:rsid w:val="64EB5CA0"/>
    <w:rsid w:val="6528341F"/>
    <w:rsid w:val="6544632F"/>
    <w:rsid w:val="656B2909"/>
    <w:rsid w:val="6598607C"/>
    <w:rsid w:val="659A2704"/>
    <w:rsid w:val="65A3045D"/>
    <w:rsid w:val="65B178B1"/>
    <w:rsid w:val="65BA4B55"/>
    <w:rsid w:val="65D5369F"/>
    <w:rsid w:val="65D97752"/>
    <w:rsid w:val="65E25E59"/>
    <w:rsid w:val="66174109"/>
    <w:rsid w:val="6617798C"/>
    <w:rsid w:val="66307F76"/>
    <w:rsid w:val="66580EAF"/>
    <w:rsid w:val="66694D0D"/>
    <w:rsid w:val="667B4472"/>
    <w:rsid w:val="66F041A8"/>
    <w:rsid w:val="6721178A"/>
    <w:rsid w:val="6739399A"/>
    <w:rsid w:val="673F39DE"/>
    <w:rsid w:val="674C5D22"/>
    <w:rsid w:val="67663AF8"/>
    <w:rsid w:val="677243C5"/>
    <w:rsid w:val="67762CFD"/>
    <w:rsid w:val="67762DCB"/>
    <w:rsid w:val="677A678D"/>
    <w:rsid w:val="678C2D71"/>
    <w:rsid w:val="67A17493"/>
    <w:rsid w:val="67A43BFC"/>
    <w:rsid w:val="67D30B32"/>
    <w:rsid w:val="67D356E3"/>
    <w:rsid w:val="68011379"/>
    <w:rsid w:val="68252C37"/>
    <w:rsid w:val="6836320A"/>
    <w:rsid w:val="6855023B"/>
    <w:rsid w:val="68673E5E"/>
    <w:rsid w:val="68803F1E"/>
    <w:rsid w:val="68817BAC"/>
    <w:rsid w:val="689A5E59"/>
    <w:rsid w:val="68A94E70"/>
    <w:rsid w:val="68AB31C8"/>
    <w:rsid w:val="68D321ED"/>
    <w:rsid w:val="68EB61B0"/>
    <w:rsid w:val="68EE72DF"/>
    <w:rsid w:val="68FE51D1"/>
    <w:rsid w:val="690B4C92"/>
    <w:rsid w:val="69485FEA"/>
    <w:rsid w:val="69677DC0"/>
    <w:rsid w:val="69937EC7"/>
    <w:rsid w:val="699A504F"/>
    <w:rsid w:val="69D64558"/>
    <w:rsid w:val="6A042548"/>
    <w:rsid w:val="6A0F720C"/>
    <w:rsid w:val="6A146F17"/>
    <w:rsid w:val="6A244C92"/>
    <w:rsid w:val="6A45664A"/>
    <w:rsid w:val="6A471EFD"/>
    <w:rsid w:val="6AB57116"/>
    <w:rsid w:val="6AFA3FE8"/>
    <w:rsid w:val="6B17424A"/>
    <w:rsid w:val="6B2218FA"/>
    <w:rsid w:val="6B5A722E"/>
    <w:rsid w:val="6B686C59"/>
    <w:rsid w:val="6B691672"/>
    <w:rsid w:val="6B8C309F"/>
    <w:rsid w:val="6B8C3281"/>
    <w:rsid w:val="6BCA2D65"/>
    <w:rsid w:val="6BE05D30"/>
    <w:rsid w:val="6BE97F42"/>
    <w:rsid w:val="6BEB29A1"/>
    <w:rsid w:val="6BEE7B6F"/>
    <w:rsid w:val="6C5660C1"/>
    <w:rsid w:val="6C5E6A51"/>
    <w:rsid w:val="6C6513C3"/>
    <w:rsid w:val="6C744268"/>
    <w:rsid w:val="6C913746"/>
    <w:rsid w:val="6C9D0B3F"/>
    <w:rsid w:val="6CD62D03"/>
    <w:rsid w:val="6CD97FB6"/>
    <w:rsid w:val="6D0B1173"/>
    <w:rsid w:val="6D0E5050"/>
    <w:rsid w:val="6D4B22B8"/>
    <w:rsid w:val="6D930013"/>
    <w:rsid w:val="6DA51372"/>
    <w:rsid w:val="6DB53B8B"/>
    <w:rsid w:val="6DBA5A94"/>
    <w:rsid w:val="6E1A1656"/>
    <w:rsid w:val="6E231DD6"/>
    <w:rsid w:val="6E4279D9"/>
    <w:rsid w:val="6E5A5288"/>
    <w:rsid w:val="6EBA7973"/>
    <w:rsid w:val="6EE013EE"/>
    <w:rsid w:val="6EE079F1"/>
    <w:rsid w:val="6EE42C42"/>
    <w:rsid w:val="6F143527"/>
    <w:rsid w:val="6F7F7CB0"/>
    <w:rsid w:val="6FE0165C"/>
    <w:rsid w:val="6FE10C44"/>
    <w:rsid w:val="70222744"/>
    <w:rsid w:val="70545BA6"/>
    <w:rsid w:val="70616C6C"/>
    <w:rsid w:val="706D25DF"/>
    <w:rsid w:val="706D2B21"/>
    <w:rsid w:val="707B1384"/>
    <w:rsid w:val="707F70C6"/>
    <w:rsid w:val="70857A34"/>
    <w:rsid w:val="70985D3C"/>
    <w:rsid w:val="70C52655"/>
    <w:rsid w:val="70FD625F"/>
    <w:rsid w:val="71047C73"/>
    <w:rsid w:val="7109004F"/>
    <w:rsid w:val="71103167"/>
    <w:rsid w:val="71197447"/>
    <w:rsid w:val="71211E57"/>
    <w:rsid w:val="712E56F7"/>
    <w:rsid w:val="713954C7"/>
    <w:rsid w:val="71691ABB"/>
    <w:rsid w:val="718D0958"/>
    <w:rsid w:val="71AE1AEA"/>
    <w:rsid w:val="71CF3B6C"/>
    <w:rsid w:val="71E6046B"/>
    <w:rsid w:val="71F80F33"/>
    <w:rsid w:val="722922C6"/>
    <w:rsid w:val="72367C59"/>
    <w:rsid w:val="723C5278"/>
    <w:rsid w:val="723F4D5F"/>
    <w:rsid w:val="72532C9F"/>
    <w:rsid w:val="72606A84"/>
    <w:rsid w:val="727176A7"/>
    <w:rsid w:val="72CB03A1"/>
    <w:rsid w:val="73047240"/>
    <w:rsid w:val="730F5864"/>
    <w:rsid w:val="732D4B5D"/>
    <w:rsid w:val="73393C88"/>
    <w:rsid w:val="733F2EED"/>
    <w:rsid w:val="7362513F"/>
    <w:rsid w:val="736612A1"/>
    <w:rsid w:val="73771D49"/>
    <w:rsid w:val="73846894"/>
    <w:rsid w:val="738B299C"/>
    <w:rsid w:val="73A1354E"/>
    <w:rsid w:val="73CB7009"/>
    <w:rsid w:val="73EF6BAF"/>
    <w:rsid w:val="73F12089"/>
    <w:rsid w:val="73FE05FF"/>
    <w:rsid w:val="73FE4ED9"/>
    <w:rsid w:val="743D3AC4"/>
    <w:rsid w:val="747D20BB"/>
    <w:rsid w:val="74A11E7D"/>
    <w:rsid w:val="74AE727B"/>
    <w:rsid w:val="74EC1DD5"/>
    <w:rsid w:val="75590B0A"/>
    <w:rsid w:val="758075D4"/>
    <w:rsid w:val="7582279F"/>
    <w:rsid w:val="75843EB5"/>
    <w:rsid w:val="759A22AD"/>
    <w:rsid w:val="75BB71AF"/>
    <w:rsid w:val="75F01962"/>
    <w:rsid w:val="760E19DF"/>
    <w:rsid w:val="762A586E"/>
    <w:rsid w:val="764E52E0"/>
    <w:rsid w:val="76557F3E"/>
    <w:rsid w:val="76676A53"/>
    <w:rsid w:val="76A3294D"/>
    <w:rsid w:val="76A41635"/>
    <w:rsid w:val="76B620A1"/>
    <w:rsid w:val="76D0016F"/>
    <w:rsid w:val="76E51777"/>
    <w:rsid w:val="76F20814"/>
    <w:rsid w:val="77050D7C"/>
    <w:rsid w:val="771D661A"/>
    <w:rsid w:val="77462524"/>
    <w:rsid w:val="77854826"/>
    <w:rsid w:val="779A6594"/>
    <w:rsid w:val="77A21064"/>
    <w:rsid w:val="77E34EB2"/>
    <w:rsid w:val="77F35CA4"/>
    <w:rsid w:val="781564B8"/>
    <w:rsid w:val="78224ACF"/>
    <w:rsid w:val="783751ED"/>
    <w:rsid w:val="78C7099A"/>
    <w:rsid w:val="78CD6DCC"/>
    <w:rsid w:val="78D07CAF"/>
    <w:rsid w:val="78DE12D7"/>
    <w:rsid w:val="79055F9C"/>
    <w:rsid w:val="79202AC9"/>
    <w:rsid w:val="79210683"/>
    <w:rsid w:val="79535D1B"/>
    <w:rsid w:val="796A5940"/>
    <w:rsid w:val="79936B04"/>
    <w:rsid w:val="799C3465"/>
    <w:rsid w:val="79B14EC4"/>
    <w:rsid w:val="7A006EF5"/>
    <w:rsid w:val="7A2A6B4A"/>
    <w:rsid w:val="7A2D151F"/>
    <w:rsid w:val="7A3C3A9A"/>
    <w:rsid w:val="7A681070"/>
    <w:rsid w:val="7A860C7C"/>
    <w:rsid w:val="7A951BAA"/>
    <w:rsid w:val="7AB879FE"/>
    <w:rsid w:val="7AC21415"/>
    <w:rsid w:val="7B1B7885"/>
    <w:rsid w:val="7B272C86"/>
    <w:rsid w:val="7B3264DD"/>
    <w:rsid w:val="7B4D1359"/>
    <w:rsid w:val="7B664481"/>
    <w:rsid w:val="7B81188A"/>
    <w:rsid w:val="7B9E2902"/>
    <w:rsid w:val="7BC854E2"/>
    <w:rsid w:val="7BC938EC"/>
    <w:rsid w:val="7BE53EA4"/>
    <w:rsid w:val="7C0562EC"/>
    <w:rsid w:val="7C067A45"/>
    <w:rsid w:val="7C0B2A10"/>
    <w:rsid w:val="7C27683F"/>
    <w:rsid w:val="7CAE2219"/>
    <w:rsid w:val="7CB14B4D"/>
    <w:rsid w:val="7CB83088"/>
    <w:rsid w:val="7CF26969"/>
    <w:rsid w:val="7D0E2B49"/>
    <w:rsid w:val="7D25523C"/>
    <w:rsid w:val="7D2953E6"/>
    <w:rsid w:val="7D7A3EEC"/>
    <w:rsid w:val="7DAA6C39"/>
    <w:rsid w:val="7DB23041"/>
    <w:rsid w:val="7DD86484"/>
    <w:rsid w:val="7E163D6A"/>
    <w:rsid w:val="7E2120FB"/>
    <w:rsid w:val="7E412630"/>
    <w:rsid w:val="7E5F7809"/>
    <w:rsid w:val="7E870BA6"/>
    <w:rsid w:val="7EC06781"/>
    <w:rsid w:val="7ED56C53"/>
    <w:rsid w:val="7EEA1BAF"/>
    <w:rsid w:val="7F20421C"/>
    <w:rsid w:val="7F5460D4"/>
    <w:rsid w:val="7F552892"/>
    <w:rsid w:val="7F8F5B55"/>
    <w:rsid w:val="7FE916E7"/>
    <w:rsid w:val="7FFB064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47"/>
    <w:qFormat/>
    <w:uiPriority w:val="9"/>
    <w:pPr>
      <w:keepNext/>
      <w:keepLines/>
      <w:jc w:val="center"/>
      <w:outlineLvl w:val="0"/>
    </w:pPr>
    <w:rPr>
      <w:b/>
      <w:bCs/>
      <w:kern w:val="44"/>
      <w:sz w:val="36"/>
      <w:szCs w:val="44"/>
    </w:rPr>
  </w:style>
  <w:style w:type="paragraph" w:styleId="5">
    <w:name w:val="heading 2"/>
    <w:basedOn w:val="1"/>
    <w:next w:val="1"/>
    <w:link w:val="48"/>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49"/>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customStyle="1" w:styleId="3">
    <w:name w:val="Default"/>
    <w:link w:val="74"/>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70"/>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1"/>
    <w:qFormat/>
    <w:uiPriority w:val="0"/>
    <w:pPr>
      <w:jc w:val="left"/>
    </w:pPr>
  </w:style>
  <w:style w:type="paragraph" w:styleId="13">
    <w:name w:val="Body Text Indent"/>
    <w:basedOn w:val="1"/>
    <w:link w:val="78"/>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Plain Text"/>
    <w:basedOn w:val="1"/>
    <w:link w:val="72"/>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3"/>
    <w:qFormat/>
    <w:uiPriority w:val="0"/>
    <w:pPr>
      <w:ind w:left="100" w:leftChars="2500"/>
    </w:pPr>
    <w:rPr>
      <w:sz w:val="24"/>
    </w:rPr>
  </w:style>
  <w:style w:type="paragraph" w:styleId="20">
    <w:name w:val="Body Text Indent 2"/>
    <w:basedOn w:val="1"/>
    <w:link w:val="51"/>
    <w:qFormat/>
    <w:uiPriority w:val="0"/>
    <w:pPr>
      <w:spacing w:after="120" w:line="480" w:lineRule="auto"/>
      <w:ind w:left="420" w:leftChars="200"/>
    </w:pPr>
  </w:style>
  <w:style w:type="paragraph" w:styleId="21">
    <w:name w:val="Balloon Text"/>
    <w:basedOn w:val="1"/>
    <w:link w:val="67"/>
    <w:qFormat/>
    <w:uiPriority w:val="0"/>
    <w:rPr>
      <w:sz w:val="18"/>
    </w:rPr>
  </w:style>
  <w:style w:type="paragraph" w:styleId="22">
    <w:name w:val="footer"/>
    <w:basedOn w:val="1"/>
    <w:next w:val="1"/>
    <w:link w:val="73"/>
    <w:qFormat/>
    <w:uiPriority w:val="99"/>
    <w:pPr>
      <w:tabs>
        <w:tab w:val="center" w:pos="4153"/>
        <w:tab w:val="right" w:pos="8306"/>
      </w:tabs>
      <w:snapToGrid w:val="0"/>
      <w:jc w:val="left"/>
    </w:pPr>
    <w:rPr>
      <w:sz w:val="18"/>
    </w:rPr>
  </w:style>
  <w:style w:type="paragraph" w:styleId="23">
    <w:name w:val="header"/>
    <w:basedOn w:val="1"/>
    <w:link w:val="59"/>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3"/>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2"/>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2"/>
    <w:next w:val="12"/>
    <w:link w:val="52"/>
    <w:qFormat/>
    <w:uiPriority w:val="0"/>
    <w:rPr>
      <w:b/>
    </w:rPr>
  </w:style>
  <w:style w:type="paragraph" w:styleId="35">
    <w:name w:val="Body Text First Indent 2"/>
    <w:basedOn w:val="13"/>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paragraph" w:customStyle="1" w:styleId="46">
    <w:name w:val="Fließtext"/>
    <w:basedOn w:val="1"/>
    <w:qFormat/>
    <w:uiPriority w:val="99"/>
    <w:pPr>
      <w:widowControl/>
      <w:ind w:left="1134"/>
      <w:jc w:val="left"/>
    </w:pPr>
    <w:rPr>
      <w:rFonts w:ascii="Arial" w:hAnsi="Arial"/>
      <w:kern w:val="0"/>
      <w:szCs w:val="20"/>
      <w:lang w:val="de-DE" w:eastAsia="de-DE"/>
    </w:rPr>
  </w:style>
  <w:style w:type="character" w:customStyle="1" w:styleId="47">
    <w:name w:val="标题 1 字符"/>
    <w:basedOn w:val="38"/>
    <w:link w:val="4"/>
    <w:qFormat/>
    <w:uiPriority w:val="9"/>
    <w:rPr>
      <w:rFonts w:ascii="Calibri" w:hAnsi="Calibri" w:eastAsia="宋体" w:cs="Times New Roman"/>
      <w:b/>
      <w:bCs/>
      <w:kern w:val="44"/>
      <w:sz w:val="36"/>
      <w:szCs w:val="44"/>
    </w:rPr>
  </w:style>
  <w:style w:type="character" w:customStyle="1" w:styleId="48">
    <w:name w:val="标题 2 字符"/>
    <w:basedOn w:val="38"/>
    <w:link w:val="5"/>
    <w:qFormat/>
    <w:uiPriority w:val="9"/>
    <w:rPr>
      <w:rFonts w:ascii="Arial" w:hAnsi="Arial" w:eastAsia="宋体" w:cs="Times New Roman"/>
      <w:b/>
      <w:bCs/>
      <w:sz w:val="24"/>
      <w:szCs w:val="32"/>
    </w:rPr>
  </w:style>
  <w:style w:type="character" w:customStyle="1" w:styleId="49">
    <w:name w:val="标题 3 字符"/>
    <w:basedOn w:val="38"/>
    <w:link w:val="6"/>
    <w:semiHidden/>
    <w:qFormat/>
    <w:uiPriority w:val="9"/>
    <w:rPr>
      <w:rFonts w:ascii="Calibri" w:hAnsi="Calibri" w:eastAsia="宋体" w:cs="Times New Roman"/>
      <w:b/>
      <w:bCs/>
      <w:sz w:val="32"/>
      <w:szCs w:val="32"/>
    </w:rPr>
  </w:style>
  <w:style w:type="character" w:customStyle="1" w:styleId="50">
    <w:name w:val="Char Char3"/>
    <w:qFormat/>
    <w:uiPriority w:val="0"/>
    <w:rPr>
      <w:rFonts w:ascii="宋体" w:hAnsi="Courier New" w:eastAsia="宋体"/>
      <w:kern w:val="2"/>
      <w:sz w:val="21"/>
      <w:lang w:val="en-US" w:eastAsia="zh-CN"/>
    </w:rPr>
  </w:style>
  <w:style w:type="character" w:customStyle="1" w:styleId="51">
    <w:name w:val="正文文本缩进 2 字符"/>
    <w:link w:val="20"/>
    <w:qFormat/>
    <w:locked/>
    <w:uiPriority w:val="0"/>
  </w:style>
  <w:style w:type="character" w:customStyle="1" w:styleId="52">
    <w:name w:val="批注主题 字符"/>
    <w:link w:val="34"/>
    <w:qFormat/>
    <w:locked/>
    <w:uiPriority w:val="0"/>
    <w:rPr>
      <w:b/>
    </w:rPr>
  </w:style>
  <w:style w:type="character" w:customStyle="1" w:styleId="53">
    <w:name w:val="正文文本缩进 3 字符"/>
    <w:link w:val="28"/>
    <w:qFormat/>
    <w:locked/>
    <w:uiPriority w:val="0"/>
    <w:rPr>
      <w:sz w:val="16"/>
    </w:rPr>
  </w:style>
  <w:style w:type="character" w:customStyle="1" w:styleId="54">
    <w:name w:val="纯文本 Char"/>
    <w:qFormat/>
    <w:uiPriority w:val="0"/>
    <w:rPr>
      <w:rFonts w:ascii="宋体" w:hAnsi="Courier New" w:eastAsia="宋体"/>
      <w:kern w:val="2"/>
      <w:sz w:val="21"/>
      <w:lang w:val="en-US" w:eastAsia="zh-CN"/>
    </w:rPr>
  </w:style>
  <w:style w:type="character" w:customStyle="1" w:styleId="55">
    <w:name w:val="Char Char2"/>
    <w:qFormat/>
    <w:uiPriority w:val="0"/>
    <w:rPr>
      <w:rFonts w:ascii="宋体" w:hAnsi="Courier New"/>
      <w:kern w:val="2"/>
      <w:sz w:val="21"/>
    </w:rPr>
  </w:style>
  <w:style w:type="character" w:customStyle="1" w:styleId="56">
    <w:name w:val="列出段落 字符"/>
    <w:link w:val="57"/>
    <w:qFormat/>
    <w:locked/>
    <w:uiPriority w:val="34"/>
    <w:rPr>
      <w:sz w:val="22"/>
    </w:rPr>
  </w:style>
  <w:style w:type="paragraph" w:customStyle="1" w:styleId="57">
    <w:name w:val="列出段落1"/>
    <w:basedOn w:val="1"/>
    <w:link w:val="56"/>
    <w:qFormat/>
    <w:uiPriority w:val="34"/>
    <w:pPr>
      <w:ind w:firstLine="420" w:firstLineChars="200"/>
    </w:pPr>
    <w:rPr>
      <w:sz w:val="22"/>
    </w:rPr>
  </w:style>
  <w:style w:type="character" w:customStyle="1" w:styleId="58">
    <w:name w:val="apple-converted-space"/>
    <w:basedOn w:val="38"/>
    <w:qFormat/>
    <w:uiPriority w:val="0"/>
    <w:rPr>
      <w:rFonts w:cs="Times New Roman"/>
    </w:rPr>
  </w:style>
  <w:style w:type="character" w:customStyle="1" w:styleId="59">
    <w:name w:val="页眉 字符"/>
    <w:link w:val="23"/>
    <w:qFormat/>
    <w:locked/>
    <w:uiPriority w:val="0"/>
    <w:rPr>
      <w:sz w:val="18"/>
    </w:rPr>
  </w:style>
  <w:style w:type="character" w:customStyle="1" w:styleId="60">
    <w:name w:val="BODY TEXT Char"/>
    <w:qFormat/>
    <w:locked/>
    <w:uiPriority w:val="0"/>
    <w:rPr>
      <w:rFonts w:eastAsia="新宋体"/>
      <w:kern w:val="2"/>
      <w:sz w:val="21"/>
    </w:rPr>
  </w:style>
  <w:style w:type="character" w:customStyle="1" w:styleId="61">
    <w:name w:val="批注文字 字符"/>
    <w:link w:val="12"/>
    <w:qFormat/>
    <w:locked/>
    <w:uiPriority w:val="0"/>
  </w:style>
  <w:style w:type="character" w:customStyle="1" w:styleId="62">
    <w:name w:val="标题 字符"/>
    <w:link w:val="33"/>
    <w:qFormat/>
    <w:locked/>
    <w:uiPriority w:val="0"/>
    <w:rPr>
      <w:rFonts w:ascii="Arial" w:hAnsi="Arial"/>
      <w:b/>
      <w:sz w:val="32"/>
    </w:rPr>
  </w:style>
  <w:style w:type="character" w:customStyle="1" w:styleId="63">
    <w:name w:val="日期 字符"/>
    <w:link w:val="19"/>
    <w:qFormat/>
    <w:locked/>
    <w:uiPriority w:val="0"/>
    <w:rPr>
      <w:sz w:val="24"/>
    </w:rPr>
  </w:style>
  <w:style w:type="character" w:customStyle="1" w:styleId="64">
    <w:name w:val="ATXT_Bullets Zchn"/>
    <w:link w:val="65"/>
    <w:qFormat/>
    <w:locked/>
    <w:uiPriority w:val="99"/>
    <w:rPr>
      <w:rFonts w:ascii="Arial" w:hAnsi="Arial"/>
      <w:lang w:val="de-AT" w:eastAsia="zh-CN"/>
    </w:rPr>
  </w:style>
  <w:style w:type="paragraph" w:customStyle="1" w:styleId="65">
    <w:name w:val="ATXT_Bullets"/>
    <w:link w:val="64"/>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6">
    <w:name w:val="Char Char5"/>
    <w:qFormat/>
    <w:uiPriority w:val="0"/>
    <w:rPr>
      <w:rFonts w:ascii="宋体" w:hAnsi="Courier New" w:eastAsia="宋体"/>
      <w:kern w:val="2"/>
      <w:sz w:val="21"/>
      <w:lang w:val="en-US" w:eastAsia="zh-CN"/>
    </w:rPr>
  </w:style>
  <w:style w:type="character" w:customStyle="1" w:styleId="67">
    <w:name w:val="批注框文本 字符"/>
    <w:link w:val="21"/>
    <w:qFormat/>
    <w:locked/>
    <w:uiPriority w:val="0"/>
    <w:rPr>
      <w:sz w:val="18"/>
    </w:rPr>
  </w:style>
  <w:style w:type="character" w:customStyle="1" w:styleId="68">
    <w:name w:val="批注文字 Char"/>
    <w:qFormat/>
    <w:uiPriority w:val="0"/>
    <w:rPr>
      <w:kern w:val="2"/>
    </w:rPr>
  </w:style>
  <w:style w:type="character" w:customStyle="1" w:styleId="69">
    <w:name w:val="批注主题 Char"/>
    <w:qFormat/>
    <w:uiPriority w:val="0"/>
    <w:rPr>
      <w:b/>
      <w:kern w:val="2"/>
    </w:rPr>
  </w:style>
  <w:style w:type="character" w:customStyle="1" w:styleId="70">
    <w:name w:val="文档结构图 字符"/>
    <w:link w:val="10"/>
    <w:qFormat/>
    <w:locked/>
    <w:uiPriority w:val="0"/>
    <w:rPr>
      <w:sz w:val="24"/>
      <w:shd w:val="clear" w:color="auto" w:fill="000080"/>
    </w:rPr>
  </w:style>
  <w:style w:type="character" w:customStyle="1" w:styleId="71">
    <w:name w:val="HTML Markup"/>
    <w:qFormat/>
    <w:uiPriority w:val="0"/>
    <w:rPr>
      <w:vanish/>
      <w:color w:val="FF0000"/>
    </w:rPr>
  </w:style>
  <w:style w:type="character" w:customStyle="1" w:styleId="72">
    <w:name w:val="纯文本 字符"/>
    <w:link w:val="17"/>
    <w:qFormat/>
    <w:locked/>
    <w:uiPriority w:val="0"/>
    <w:rPr>
      <w:rFonts w:ascii="宋体" w:hAnsi="Courier New"/>
    </w:rPr>
  </w:style>
  <w:style w:type="character" w:customStyle="1" w:styleId="73">
    <w:name w:val="页脚 字符"/>
    <w:link w:val="22"/>
    <w:qFormat/>
    <w:locked/>
    <w:uiPriority w:val="99"/>
    <w:rPr>
      <w:sz w:val="18"/>
    </w:rPr>
  </w:style>
  <w:style w:type="character" w:customStyle="1" w:styleId="74">
    <w:name w:val="Default Char"/>
    <w:link w:val="3"/>
    <w:qFormat/>
    <w:locked/>
    <w:uiPriority w:val="0"/>
    <w:rPr>
      <w:rFonts w:ascii="仿宋_GB2312" w:eastAsia="仿宋_GB2312"/>
      <w:color w:val="000000"/>
      <w:sz w:val="24"/>
    </w:rPr>
  </w:style>
  <w:style w:type="character" w:customStyle="1" w:styleId="75">
    <w:name w:val="页脚 Char"/>
    <w:qFormat/>
    <w:locked/>
    <w:uiPriority w:val="99"/>
    <w:rPr>
      <w:sz w:val="18"/>
    </w:rPr>
  </w:style>
  <w:style w:type="character" w:customStyle="1" w:styleId="76">
    <w:name w:val="批注文字 字符1"/>
    <w:basedOn w:val="38"/>
    <w:semiHidden/>
    <w:qFormat/>
    <w:uiPriority w:val="99"/>
  </w:style>
  <w:style w:type="character" w:customStyle="1" w:styleId="77">
    <w:name w:val="批注文字 字符11"/>
    <w:basedOn w:val="38"/>
    <w:qFormat/>
    <w:uiPriority w:val="0"/>
    <w:rPr>
      <w:rFonts w:cs="Times New Roman"/>
      <w:kern w:val="2"/>
      <w:sz w:val="21"/>
    </w:rPr>
  </w:style>
  <w:style w:type="character" w:customStyle="1" w:styleId="78">
    <w:name w:val="正文文本缩进 字符"/>
    <w:basedOn w:val="38"/>
    <w:link w:val="13"/>
    <w:qFormat/>
    <w:uiPriority w:val="99"/>
    <w:rPr>
      <w:rFonts w:ascii="Calibri" w:hAnsi="Calibri" w:eastAsia="宋体" w:cs="Times New Roman"/>
      <w:szCs w:val="20"/>
    </w:rPr>
  </w:style>
  <w:style w:type="character" w:customStyle="1" w:styleId="79">
    <w:name w:val="文档结构图 字符1"/>
    <w:basedOn w:val="38"/>
    <w:semiHidden/>
    <w:qFormat/>
    <w:uiPriority w:val="99"/>
    <w:rPr>
      <w:rFonts w:ascii="Microsoft YaHei UI" w:eastAsia="Microsoft YaHei UI"/>
      <w:sz w:val="18"/>
      <w:szCs w:val="18"/>
    </w:rPr>
  </w:style>
  <w:style w:type="character" w:customStyle="1" w:styleId="80">
    <w:name w:val="文档结构图 字符11"/>
    <w:basedOn w:val="38"/>
    <w:semiHidden/>
    <w:qFormat/>
    <w:uiPriority w:val="99"/>
    <w:rPr>
      <w:rFonts w:ascii="Microsoft YaHei UI" w:eastAsia="Microsoft YaHei UI" w:cs="Times New Roman"/>
      <w:kern w:val="2"/>
      <w:sz w:val="18"/>
      <w:szCs w:val="18"/>
    </w:rPr>
  </w:style>
  <w:style w:type="character" w:customStyle="1" w:styleId="81">
    <w:name w:val="正文文本 字符"/>
    <w:basedOn w:val="38"/>
    <w:link w:val="2"/>
    <w:qFormat/>
    <w:uiPriority w:val="99"/>
    <w:rPr>
      <w:rFonts w:ascii="Calibri" w:hAnsi="Calibri" w:eastAsia="新宋体" w:cs="Times New Roman"/>
      <w:szCs w:val="21"/>
    </w:rPr>
  </w:style>
  <w:style w:type="character" w:customStyle="1" w:styleId="82">
    <w:name w:val="纯文本 字符1"/>
    <w:basedOn w:val="38"/>
    <w:semiHidden/>
    <w:qFormat/>
    <w:uiPriority w:val="99"/>
    <w:rPr>
      <w:rFonts w:hAnsi="Courier New" w:cs="Courier New" w:asciiTheme="minorEastAsia"/>
    </w:rPr>
  </w:style>
  <w:style w:type="character" w:customStyle="1" w:styleId="83">
    <w:name w:val="纯文本 字符11"/>
    <w:basedOn w:val="38"/>
    <w:qFormat/>
    <w:uiPriority w:val="0"/>
    <w:rPr>
      <w:rFonts w:hAnsi="Courier New" w:cs="Courier New" w:asciiTheme="minorEastAsia" w:eastAsiaTheme="minorEastAsia"/>
      <w:kern w:val="2"/>
      <w:sz w:val="21"/>
    </w:rPr>
  </w:style>
  <w:style w:type="character" w:customStyle="1" w:styleId="84">
    <w:name w:val="页眉 字符1"/>
    <w:basedOn w:val="38"/>
    <w:semiHidden/>
    <w:qFormat/>
    <w:uiPriority w:val="99"/>
    <w:rPr>
      <w:sz w:val="18"/>
      <w:szCs w:val="18"/>
    </w:rPr>
  </w:style>
  <w:style w:type="character" w:customStyle="1" w:styleId="85">
    <w:name w:val="页眉 字符11"/>
    <w:basedOn w:val="38"/>
    <w:semiHidden/>
    <w:qFormat/>
    <w:uiPriority w:val="99"/>
    <w:rPr>
      <w:rFonts w:cs="Times New Roman"/>
      <w:kern w:val="2"/>
      <w:sz w:val="18"/>
      <w:szCs w:val="18"/>
    </w:rPr>
  </w:style>
  <w:style w:type="character" w:customStyle="1" w:styleId="86">
    <w:name w:val="批注框文本 字符1"/>
    <w:basedOn w:val="38"/>
    <w:semiHidden/>
    <w:qFormat/>
    <w:uiPriority w:val="99"/>
    <w:rPr>
      <w:sz w:val="18"/>
      <w:szCs w:val="18"/>
    </w:rPr>
  </w:style>
  <w:style w:type="character" w:customStyle="1" w:styleId="87">
    <w:name w:val="批注框文本 字符11"/>
    <w:basedOn w:val="38"/>
    <w:semiHidden/>
    <w:qFormat/>
    <w:uiPriority w:val="99"/>
    <w:rPr>
      <w:rFonts w:cs="Times New Roman"/>
      <w:kern w:val="2"/>
      <w:sz w:val="18"/>
      <w:szCs w:val="18"/>
    </w:rPr>
  </w:style>
  <w:style w:type="character" w:customStyle="1" w:styleId="88">
    <w:name w:val="日期 字符1"/>
    <w:basedOn w:val="38"/>
    <w:semiHidden/>
    <w:qFormat/>
    <w:uiPriority w:val="99"/>
  </w:style>
  <w:style w:type="character" w:customStyle="1" w:styleId="89">
    <w:name w:val="日期 字符11"/>
    <w:basedOn w:val="38"/>
    <w:semiHidden/>
    <w:qFormat/>
    <w:uiPriority w:val="99"/>
    <w:rPr>
      <w:rFonts w:cs="Times New Roman"/>
      <w:kern w:val="2"/>
      <w:sz w:val="21"/>
    </w:rPr>
  </w:style>
  <w:style w:type="character" w:customStyle="1" w:styleId="90">
    <w:name w:val="页脚 字符1"/>
    <w:basedOn w:val="38"/>
    <w:semiHidden/>
    <w:qFormat/>
    <w:uiPriority w:val="99"/>
    <w:rPr>
      <w:sz w:val="18"/>
      <w:szCs w:val="18"/>
    </w:rPr>
  </w:style>
  <w:style w:type="character" w:customStyle="1" w:styleId="91">
    <w:name w:val="页脚 字符11"/>
    <w:basedOn w:val="38"/>
    <w:semiHidden/>
    <w:qFormat/>
    <w:uiPriority w:val="99"/>
    <w:rPr>
      <w:rFonts w:cs="Times New Roman"/>
      <w:kern w:val="2"/>
      <w:sz w:val="18"/>
      <w:szCs w:val="18"/>
    </w:rPr>
  </w:style>
  <w:style w:type="character" w:customStyle="1" w:styleId="92">
    <w:name w:val="正文文本缩进 2 字符1"/>
    <w:basedOn w:val="38"/>
    <w:semiHidden/>
    <w:qFormat/>
    <w:uiPriority w:val="99"/>
  </w:style>
  <w:style w:type="character" w:customStyle="1" w:styleId="93">
    <w:name w:val="正文文本缩进 2 字符11"/>
    <w:basedOn w:val="38"/>
    <w:semiHidden/>
    <w:qFormat/>
    <w:uiPriority w:val="99"/>
    <w:rPr>
      <w:rFonts w:cs="Times New Roman"/>
      <w:kern w:val="2"/>
      <w:sz w:val="21"/>
    </w:rPr>
  </w:style>
  <w:style w:type="character" w:customStyle="1" w:styleId="94">
    <w:name w:val="正文文本缩进 3 字符1"/>
    <w:basedOn w:val="38"/>
    <w:semiHidden/>
    <w:qFormat/>
    <w:uiPriority w:val="99"/>
    <w:rPr>
      <w:sz w:val="16"/>
      <w:szCs w:val="16"/>
    </w:rPr>
  </w:style>
  <w:style w:type="character" w:customStyle="1" w:styleId="95">
    <w:name w:val="正文文本缩进 3 字符11"/>
    <w:basedOn w:val="38"/>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8"/>
    <w:qFormat/>
    <w:uiPriority w:val="10"/>
    <w:rPr>
      <w:rFonts w:asciiTheme="majorHAnsi" w:hAnsiTheme="majorHAnsi" w:eastAsiaTheme="majorEastAsia" w:cstheme="majorBidi"/>
      <w:b/>
      <w:bCs/>
      <w:sz w:val="32"/>
      <w:szCs w:val="32"/>
    </w:rPr>
  </w:style>
  <w:style w:type="character" w:customStyle="1" w:styleId="99">
    <w:name w:val="标题 字符11"/>
    <w:basedOn w:val="38"/>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7"/>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5"/>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6"/>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4"/>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4"/>
    <w:qFormat/>
    <w:uiPriority w:val="0"/>
    <w:pPr>
      <w:spacing w:before="0" w:after="0" w:line="240" w:lineRule="auto"/>
      <w:jc w:val="center"/>
    </w:pPr>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paragraph" w:customStyle="1" w:styleId="133">
    <w:name w:val="CM22"/>
    <w:basedOn w:val="3"/>
    <w:next w:val="3"/>
    <w:qFormat/>
    <w:uiPriority w:val="0"/>
    <w:pPr>
      <w:spacing w:after="125"/>
    </w:pPr>
    <w:rPr>
      <w:rFonts w:cs="Times New Roman"/>
      <w:color w:val="auto"/>
    </w:rPr>
  </w:style>
  <w:style w:type="paragraph" w:customStyle="1" w:styleId="134">
    <w:name w:val="List Paragraph1"/>
    <w:basedOn w:val="1"/>
    <w:qFormat/>
    <w:uiPriority w:val="0"/>
    <w:pPr>
      <w:ind w:firstLine="420" w:firstLineChars="200"/>
    </w:pPr>
    <w:rPr>
      <w:rFonts w:ascii="Calibri" w:hAnsi="Calibri"/>
      <w:szCs w:val="22"/>
    </w:rPr>
  </w:style>
  <w:style w:type="paragraph" w:customStyle="1" w:styleId="135">
    <w:name w:val="首行缩进"/>
    <w:basedOn w:val="1"/>
    <w:qFormat/>
    <w:uiPriority w:val="0"/>
    <w:pPr>
      <w:spacing w:line="360" w:lineRule="auto"/>
      <w:ind w:firstLine="480" w:firstLineChars="200"/>
    </w:pPr>
    <w:rPr>
      <w:rFonts w:ascii="宋体" w:hAnsi="宋体" w:eastAsia="仿宋_GB2312"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12.png"/><Relationship Id="rId45" Type="http://schemas.openxmlformats.org/officeDocument/2006/relationships/image" Target="media/image11.png"/><Relationship Id="rId44" Type="http://schemas.openxmlformats.org/officeDocument/2006/relationships/image" Target="media/image10.png"/><Relationship Id="rId43" Type="http://schemas.openxmlformats.org/officeDocument/2006/relationships/image" Target="media/image9.png"/><Relationship Id="rId42" Type="http://schemas.openxmlformats.org/officeDocument/2006/relationships/image" Target="media/image8.png"/><Relationship Id="rId41" Type="http://schemas.openxmlformats.org/officeDocument/2006/relationships/image" Target="media/image7.png"/><Relationship Id="rId40" Type="http://schemas.openxmlformats.org/officeDocument/2006/relationships/image" Target="media/image6.png"/><Relationship Id="rId4" Type="http://schemas.openxmlformats.org/officeDocument/2006/relationships/header" Target="header2.xml"/><Relationship Id="rId39" Type="http://schemas.openxmlformats.org/officeDocument/2006/relationships/image" Target="media/image5.png"/><Relationship Id="rId38" Type="http://schemas.openxmlformats.org/officeDocument/2006/relationships/image" Target="media/image4.png"/><Relationship Id="rId37" Type="http://schemas.openxmlformats.org/officeDocument/2006/relationships/image" Target="media/image3.png"/><Relationship Id="rId36" Type="http://schemas.openxmlformats.org/officeDocument/2006/relationships/image" Target="media/image2.png"/><Relationship Id="rId35" Type="http://schemas.openxmlformats.org/officeDocument/2006/relationships/image" Target="media/image1.png"/><Relationship Id="rId34" Type="http://schemas.openxmlformats.org/officeDocument/2006/relationships/theme" Target="theme/theme1.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header" Target="header7.xml"/><Relationship Id="rId30" Type="http://schemas.openxmlformats.org/officeDocument/2006/relationships/header" Target="header6.xml"/><Relationship Id="rId3" Type="http://schemas.openxmlformats.org/officeDocument/2006/relationships/header" Target="head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80</Pages>
  <Words>9021</Words>
  <Characters>9495</Characters>
  <Lines>305</Lines>
  <Paragraphs>86</Paragraphs>
  <TotalTime>1</TotalTime>
  <ScaleCrop>false</ScaleCrop>
  <LinksUpToDate>false</LinksUpToDate>
  <CharactersWithSpaces>9564</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赵力</cp:lastModifiedBy>
  <cp:lastPrinted>2022-07-01T11:19:00Z</cp:lastPrinted>
  <dcterms:modified xsi:type="dcterms:W3CDTF">2025-12-23T02:54:14Z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B754417D0AEA4118BB8AF92BB80681A0_13</vt:lpwstr>
  </property>
  <property fmtid="{D5CDD505-2E9C-101B-9397-08002B2CF9AE}" pid="4" name="KSOTemplateDocerSaveRecord">
    <vt:lpwstr>eyJoZGlkIjoiMWVmMTQ5OTkxYTY3MTdjMTE2MGJhYTFkOTM3OTE2MDgiLCJ1c2VySWQiOiIxMjY4MDQ5MjIzIn0=</vt:lpwstr>
  </property>
</Properties>
</file>