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1"/>
      <w:bookmarkStart w:id="1" w:name="OLE_LINK30"/>
    </w:p>
    <w:p w14:paraId="238A52ED">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eastAsia="zh-CN"/>
        </w:rPr>
        <w:t>中国重汽集团</w:t>
      </w:r>
      <w:r>
        <w:rPr>
          <w:rFonts w:hint="eastAsia" w:ascii="Calibri" w:hAnsi="宋体" w:eastAsia="宋体" w:cs="Times New Roman"/>
          <w:b/>
          <w:bCs/>
          <w:color w:val="000000"/>
          <w:spacing w:val="-8"/>
          <w:sz w:val="48"/>
          <w:szCs w:val="44"/>
          <w:highlight w:val="none"/>
          <w:lang w:val="en-US" w:eastAsia="zh-CN"/>
        </w:rPr>
        <w:t>济南动力有限公司产品试验检测中心科技园区试验室集装箱式气瓶间改造项目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6"/>
      </w:pPr>
    </w:p>
    <w:p w14:paraId="6681D3AB">
      <w:pPr>
        <w:pStyle w:val="16"/>
      </w:pPr>
    </w:p>
    <w:p w14:paraId="1DA2295B">
      <w:pPr>
        <w:pStyle w:val="16"/>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49AA928">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4217AF80">
      <w:pPr>
        <w:pStyle w:val="16"/>
        <w:rPr>
          <w:b/>
          <w:bCs/>
        </w:rPr>
      </w:pPr>
    </w:p>
    <w:p w14:paraId="21B49F2A">
      <w:pPr>
        <w:jc w:val="center"/>
        <w:rPr>
          <w:rFonts w:hint="default" w:ascii="宋体" w:hAnsi="Calibri" w:eastAsia="宋体" w:cs="Times New Roman"/>
          <w:color w:val="000000"/>
          <w:sz w:val="28"/>
          <w:szCs w:val="28"/>
          <w:highlight w:val="cyan"/>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w:t>
      </w:r>
      <w:r>
        <w:rPr>
          <w:rFonts w:hint="eastAsia" w:ascii="宋体" w:hAnsi="宋体" w:eastAsia="宋体" w:cs="Times New Roman"/>
          <w:color w:val="000000"/>
          <w:sz w:val="28"/>
          <w:szCs w:val="28"/>
          <w:highlight w:val="none"/>
          <w:lang w:val="en-US" w:eastAsia="zh-CN"/>
        </w:rPr>
        <w:t>济南动力有限公司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highlight w:val="none"/>
        </w:rPr>
        <w:t>2025</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 xml:space="preserve"> 11</w:t>
      </w:r>
      <w:r>
        <w:rPr>
          <w:rFonts w:hint="eastAsia" w:ascii="Calibri" w:hAnsi="Calibri" w:eastAsia="宋体" w:cs="Times New Roman"/>
          <w:color w:val="000000"/>
          <w:sz w:val="28"/>
          <w:szCs w:val="28"/>
        </w:rPr>
        <w:t>月</w:t>
      </w:r>
    </w:p>
    <w:p w14:paraId="1E9F395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5D8BCB89">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16"/>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val="0"/>
                <w:bCs w:val="0"/>
                <w:sz w:val="24"/>
                <w:szCs w:val="24"/>
                <w:highlight w:val="none"/>
                <w:u w:val="single"/>
              </w:rPr>
              <w:t>产品试验检测中心科技园区试验室集装箱式气瓶间改造项目</w:t>
            </w:r>
          </w:p>
        </w:tc>
      </w:tr>
      <w:tr w14:paraId="69DBA15A">
        <w:tblPrEx>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FSCZB2025100281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产品试验检测中心拟定制4套集装箱式气瓶间，分别置于4、6、7号试验室外侧。其中，4号试验室外和7号试验室外的气瓶间需配置气体管路，并与气体分析设备连通。6号试验室两个气瓶间，一个需配置气体管路，并与气体分析设备连通，另一个作为备瓶和空瓶的存放区。</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w:t>
            </w:r>
            <w:r>
              <w:rPr>
                <w:rFonts w:hint="eastAsia" w:ascii="宋体" w:hAnsi="宋体" w:eastAsia="宋体" w:cs="宋体"/>
                <w:sz w:val="24"/>
                <w:szCs w:val="24"/>
                <w:highlight w:val="none"/>
                <w:u w:val="single"/>
                <w:lang w:val="en-US" w:eastAsia="zh-CN"/>
              </w:rPr>
              <w:t>济南动力有限</w:t>
            </w:r>
            <w:r>
              <w:rPr>
                <w:rFonts w:hint="eastAsia" w:ascii="宋体" w:hAnsi="宋体" w:eastAsia="宋体" w:cs="宋体"/>
                <w:sz w:val="24"/>
                <w:szCs w:val="24"/>
                <w:highlight w:val="none"/>
                <w:u w:val="single"/>
                <w:lang w:eastAsia="zh-CN"/>
              </w:rPr>
              <w:t>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b w:val="0"/>
                <w:bCs/>
                <w:sz w:val="24"/>
                <w:szCs w:val="24"/>
                <w:highlight w:val="none"/>
                <w:u w:val="singl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u w:val="single"/>
              </w:rPr>
              <w:t>济南市历城区华奥路777号</w:t>
            </w:r>
          </w:p>
          <w:p w14:paraId="08B81BFA">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u w:val="single"/>
                <w:lang w:val="en-US" w:eastAsia="zh-CN"/>
              </w:rPr>
              <w:t>袁晖</w:t>
            </w:r>
          </w:p>
          <w:p w14:paraId="1A15F4CE">
            <w:pPr>
              <w:pStyle w:val="16"/>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u w:val="single"/>
                <w:lang w:val="en-US" w:eastAsia="zh-CN"/>
              </w:rPr>
              <w:t>17860605118</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fldChar w:fldCharType="begin"/>
            </w:r>
            <w:r>
              <w:rPr>
                <w:rFonts w:hint="eastAsia" w:ascii="宋体" w:hAnsi="宋体" w:eastAsia="宋体" w:cs="宋体"/>
                <w:bCs/>
                <w:snapToGrid w:val="0"/>
                <w:kern w:val="0"/>
                <w:sz w:val="24"/>
                <w:szCs w:val="24"/>
                <w:highlight w:val="none"/>
                <w:u w:val="single"/>
                <w:lang w:val="en-US" w:eastAsia="zh-CN" w:bidi="ar-SA"/>
              </w:rPr>
              <w:instrText xml:space="preserve"> HYPERLINK "mailto:zhangyuhwkc@sinotruk.com" </w:instrText>
            </w:r>
            <w:r>
              <w:rPr>
                <w:rFonts w:hint="eastAsia" w:ascii="宋体" w:hAnsi="宋体" w:eastAsia="宋体" w:cs="宋体"/>
                <w:bCs/>
                <w:snapToGrid w:val="0"/>
                <w:kern w:val="0"/>
                <w:sz w:val="24"/>
                <w:szCs w:val="24"/>
                <w:highlight w:val="none"/>
                <w:u w:val="single"/>
                <w:lang w:val="en-US" w:eastAsia="zh-CN" w:bidi="ar-SA"/>
              </w:rPr>
              <w:fldChar w:fldCharType="separate"/>
            </w:r>
            <w:r>
              <w:rPr>
                <w:rFonts w:hint="eastAsia" w:ascii="宋体" w:hAnsi="宋体" w:eastAsia="宋体" w:cs="宋体"/>
                <w:bCs/>
                <w:snapToGrid w:val="0"/>
                <w:kern w:val="0"/>
                <w:sz w:val="24"/>
                <w:szCs w:val="24"/>
                <w:highlight w:val="none"/>
                <w:u w:val="single"/>
                <w:lang w:val="en-US" w:eastAsia="zh-CN" w:bidi="ar-SA"/>
              </w:rPr>
              <w:t>yuanhui@sinotruk.com</w:t>
            </w:r>
            <w:r>
              <w:rPr>
                <w:rFonts w:hint="eastAsia" w:ascii="宋体" w:hAnsi="宋体" w:eastAsia="宋体" w:cs="宋体"/>
                <w:bCs/>
                <w:snapToGrid w:val="0"/>
                <w:kern w:val="0"/>
                <w:sz w:val="24"/>
                <w:szCs w:val="24"/>
                <w:highlight w:val="none"/>
                <w:u w:val="single"/>
                <w:lang w:val="en-US" w:eastAsia="zh-CN" w:bidi="ar-SA"/>
              </w:rPr>
              <w:fldChar w:fldCharType="end"/>
            </w:r>
          </w:p>
          <w:p w14:paraId="325A5532">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u w:val="single"/>
                <w:lang w:val="en-US" w:eastAsia="zh-CN"/>
              </w:rPr>
              <w:t>李啸林</w:t>
            </w:r>
          </w:p>
          <w:p w14:paraId="3C1D7E84">
            <w:pPr>
              <w:ind w:firstLine="482" w:firstLineChars="200"/>
              <w:rPr>
                <w:rFonts w:hint="default" w:hAnsi="宋体" w:eastAsia="宋体" w:cs="宋体"/>
                <w:b/>
                <w:snapToGrid w:val="0"/>
                <w:kern w:val="0"/>
                <w:sz w:val="24"/>
                <w:szCs w:val="24"/>
                <w:highlight w:val="none"/>
                <w:lang w:val="en-US"/>
              </w:rPr>
            </w:pPr>
            <w:r>
              <w:rPr>
                <w:rFonts w:hint="eastAsia"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u w:val="single"/>
                <w:lang w:val="en-US" w:eastAsia="zh-CN" w:bidi="ar-SA"/>
              </w:rPr>
              <w:t>18860296198</w:t>
            </w:r>
          </w:p>
          <w:p w14:paraId="7ADE276F">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u w:val="single"/>
                <w:lang w:val="en-US" w:eastAsia="zh-CN" w:bidi="ar-SA"/>
              </w:rPr>
              <w:t>xiaolinli9805@163.com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6"/>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yellow"/>
                <w:lang w:val="en-US" w:eastAsia="zh-CN"/>
              </w:rPr>
              <w:t>248.87</w:t>
            </w:r>
            <w:r>
              <w:rPr>
                <w:rFonts w:hint="eastAsia" w:hAnsi="宋体" w:eastAsia="宋体" w:cs="Times New Roman"/>
                <w:color w:val="000000"/>
                <w:sz w:val="24"/>
                <w:szCs w:val="24"/>
                <w:highlight w:val="none"/>
              </w:rPr>
              <w:t>万元（含税，税率13%），超过投标限价无法投标。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6"/>
              <w:ind w:firstLine="482" w:firstLineChars="200"/>
              <w:rPr>
                <w:rFonts w:hint="eastAsia" w:hAnsi="宋体" w:eastAsia="宋体" w:cs="宋体"/>
                <w:b/>
                <w:bCs/>
                <w:color w:val="FF0000"/>
                <w:sz w:val="24"/>
                <w:szCs w:val="24"/>
                <w:highlight w:val="none"/>
                <w:lang w:eastAsia="zh-CN"/>
              </w:rPr>
            </w:pPr>
            <w:r>
              <w:rPr>
                <w:rFonts w:hint="eastAsia" w:hAnsi="宋体" w:eastAsia="宋体" w:cs="宋体"/>
                <w:b/>
                <w:bCs/>
                <w:color w:val="000000"/>
                <w:sz w:val="24"/>
                <w:szCs w:val="24"/>
                <w:highlight w:val="none"/>
              </w:rPr>
              <w:t>投标人条件：</w:t>
            </w:r>
          </w:p>
          <w:p w14:paraId="3011F2A6">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拟标投人必须是在中华人民共和国境内注册的独立法人机构，具有独立承担民事责任能力；注册资金不少于300万；公司成立五年以上(以营业执照成立日期到开标当日满五年为准)，且经营范围满足招标人需求；并在人员、设备、资金等方面具有承担本项目的能力；</w:t>
            </w:r>
          </w:p>
          <w:p w14:paraId="350EB051">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2.拟投标人具有依法缴纳社会保障资金的良好记录，社保缴纳人数需&gt;10人(提供2025年6月份社会保险的凭据证明材料复印件)</w:t>
            </w:r>
          </w:p>
          <w:p w14:paraId="2715E21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3.拟投标人应提供营业执照副本原件和扫描件(需盖章)；</w:t>
            </w:r>
          </w:p>
          <w:p w14:paraId="0A32AAEE">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4.拟投标人应提供法定代表人资格证明文件；</w:t>
            </w:r>
          </w:p>
          <w:p w14:paraId="36823F9D">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5.拟投标人在国家市场监督管理总局的《国家企业信用信息公示系统》中查询不存在不良记录；</w:t>
            </w:r>
          </w:p>
          <w:p w14:paraId="66F4BC16">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6.拟投标人不存在严重违规或被列入招标人“黑名单”的声明；</w:t>
            </w:r>
          </w:p>
          <w:p w14:paraId="3E17921D">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7.拟投标人2022年1月1日至今经第三方会计师事务所审计且出具无保留意见的财务审计报告或提供上传税务局的正式报表，并加盖公章，包括但不限于报告页、经审计的资产负债表、利润表、现金流量表及报表附注，且未显示异常；</w:t>
            </w:r>
          </w:p>
          <w:p w14:paraId="2BBA30B7">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8.拟投标人有与本次招标内容相同或类似项目业绩1个及以上，且近3年内无因服务不当而造成重大事故；</w:t>
            </w:r>
          </w:p>
          <w:p w14:paraId="0C331121">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9.拟投标人近三年内在经营活动中无与本项目有关的违法及重大违规情况；</w:t>
            </w:r>
          </w:p>
          <w:p w14:paraId="0C3B0C69">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10.拟投标人须认可招标人的工作指令，包括节、假日能正常开展工作的要求；</w:t>
            </w:r>
          </w:p>
          <w:p w14:paraId="01C9F5E0">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11.拟投标人最近一年纳税正常；</w:t>
            </w:r>
          </w:p>
          <w:p w14:paraId="6B4CA83B">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12.拟投标人信用证明材料(信用报告)未显示异常；</w:t>
            </w:r>
          </w:p>
          <w:p w14:paraId="51C8CF73">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13.拟投标人的直接或间接股东、法定代表人、董事、监事、高管非重汽员工及其亲属；</w:t>
            </w:r>
          </w:p>
          <w:p w14:paraId="6AF28B0D">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2F32A583">
            <w:pPr>
              <w:pStyle w:val="16"/>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15.本项目不接受代理商投标。</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计划</w:t>
            </w: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5</w:t>
            </w:r>
            <w:r>
              <w:rPr>
                <w:rFonts w:hint="eastAsia" w:ascii="宋体" w:hAnsi="宋体" w:eastAsia="宋体" w:cs="宋体"/>
                <w:bCs/>
                <w:sz w:val="24"/>
                <w:szCs w:val="24"/>
                <w:highlight w:val="none"/>
                <w:u w:val="single"/>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u w:val="single"/>
              </w:rPr>
              <w:t>2025年</w:t>
            </w:r>
            <w:r>
              <w:rPr>
                <w:rFonts w:hint="eastAsia" w:ascii="宋体" w:hAnsi="宋体" w:eastAsia="宋体" w:cs="宋体"/>
                <w:bCs/>
                <w:sz w:val="24"/>
                <w:szCs w:val="24"/>
                <w:highlight w:val="none"/>
                <w:u w:val="single"/>
                <w:lang w:val="en-US" w:eastAsia="zh-CN"/>
              </w:rPr>
              <w:t>11</w:t>
            </w:r>
            <w:r>
              <w:rPr>
                <w:rFonts w:hint="eastAsia" w:ascii="宋体" w:hAnsi="宋体" w:eastAsia="宋体" w:cs="宋体"/>
                <w:bCs/>
                <w:sz w:val="24"/>
                <w:szCs w:val="24"/>
                <w:highlight w:val="none"/>
                <w:u w:val="single"/>
              </w:rPr>
              <w:t>月</w:t>
            </w:r>
            <w:r>
              <w:rPr>
                <w:rFonts w:hint="eastAsia" w:ascii="宋体" w:hAnsi="宋体" w:eastAsia="宋体" w:cs="宋体"/>
                <w:bCs/>
                <w:sz w:val="24"/>
                <w:szCs w:val="24"/>
                <w:highlight w:val="none"/>
                <w:u w:val="single"/>
                <w:lang w:val="en-US" w:eastAsia="zh-CN"/>
              </w:rPr>
              <w:t>17</w:t>
            </w:r>
            <w:r>
              <w:rPr>
                <w:rFonts w:hint="eastAsia" w:ascii="宋体" w:hAnsi="宋体" w:eastAsia="宋体" w:cs="宋体"/>
                <w:bCs/>
                <w:sz w:val="24"/>
                <w:szCs w:val="24"/>
                <w:highlight w:val="none"/>
                <w:u w:val="single"/>
              </w:rPr>
              <w:t>日12</w:t>
            </w:r>
            <w:r>
              <w:rPr>
                <w:rFonts w:hint="eastAsia" w:ascii="宋体" w:hAnsi="宋体" w:eastAsia="宋体" w:cs="宋体"/>
                <w:bCs/>
                <w:sz w:val="24"/>
                <w:szCs w:val="24"/>
                <w:highlight w:val="none"/>
                <w:u w:val="single"/>
                <w:lang w:val="en-US" w:eastAsia="zh-CN"/>
              </w:rPr>
              <w:t>:00</w:t>
            </w:r>
            <w:r>
              <w:rPr>
                <w:rFonts w:hint="eastAsia" w:ascii="宋体" w:hAnsi="宋体" w:eastAsia="宋体" w:cs="宋体"/>
                <w:bCs/>
                <w:sz w:val="24"/>
                <w:szCs w:val="24"/>
                <w:highlight w:val="none"/>
                <w:u w:val="single"/>
              </w:rPr>
              <w:t>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2" w:firstLineChars="200"/>
              <w:rPr>
                <w:rFonts w:hint="eastAsia" w:ascii="宋体" w:hAnsi="宋体" w:eastAsia="宋体" w:cs="宋体"/>
                <w:sz w:val="24"/>
                <w:szCs w:val="24"/>
                <w:highlight w:val="cyan"/>
                <w:lang w:eastAsia="zh-CN"/>
              </w:rPr>
            </w:pPr>
            <w:r>
              <w:rPr>
                <w:rFonts w:hint="eastAsia" w:ascii="宋体" w:hAnsi="宋体" w:eastAsia="宋体" w:cs="宋体"/>
                <w:b/>
                <w:bCs/>
                <w:sz w:val="24"/>
                <w:szCs w:val="24"/>
                <w:highlight w:val="none"/>
              </w:rPr>
              <w:t>领取答疑、澄清和修改文件时间</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11</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17</w:t>
            </w:r>
            <w:bookmarkStart w:id="120" w:name="_GoBack"/>
            <w:bookmarkEnd w:id="120"/>
            <w:r>
              <w:rPr>
                <w:rFonts w:hint="eastAsia" w:ascii="宋体" w:hAnsi="宋体" w:eastAsia="宋体" w:cs="宋体"/>
                <w:sz w:val="24"/>
                <w:szCs w:val="24"/>
                <w:highlight w:val="none"/>
                <w:u w:val="single"/>
              </w:rPr>
              <w:t>日17</w:t>
            </w:r>
            <w:r>
              <w:rPr>
                <w:rFonts w:hint="eastAsia" w:ascii="宋体" w:hAnsi="宋体" w:eastAsia="宋体" w:cs="宋体"/>
                <w:sz w:val="24"/>
                <w:szCs w:val="24"/>
                <w:highlight w:val="none"/>
                <w:u w:val="single"/>
                <w:lang w:val="en-US" w:eastAsia="zh-CN"/>
              </w:rPr>
              <w:t>:00</w:t>
            </w:r>
            <w:r>
              <w:rPr>
                <w:rFonts w:hint="eastAsia" w:ascii="宋体" w:hAnsi="宋体" w:eastAsia="宋体" w:cs="宋体"/>
                <w:sz w:val="24"/>
                <w:szCs w:val="24"/>
                <w:highlight w:val="none"/>
                <w:u w:val="single"/>
              </w:rPr>
              <w:t>前</w:t>
            </w:r>
          </w:p>
          <w:p w14:paraId="2FAE9E50">
            <w:pPr>
              <w:shd w:val="clear" w:color="auto" w:fill="FFFFFF" w:themeFill="background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答疑、澄清和修改文件方式：</w:t>
            </w:r>
            <w:r>
              <w:rPr>
                <w:rFonts w:hint="eastAsia" w:ascii="宋体" w:hAnsi="宋体" w:eastAsia="宋体" w:cs="宋体"/>
                <w:sz w:val="24"/>
                <w:szCs w:val="24"/>
                <w:highlight w:val="none"/>
              </w:rPr>
              <w:t>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按照中国重汽e采通“SRM非生产供应商注册手册”（附件）进行注册</w:t>
            </w:r>
            <w:r>
              <w:rPr>
                <w:rFonts w:hint="eastAsia" w:eastAsia="宋体" w:cs="Times New Roman"/>
                <w:highlight w:val="none"/>
              </w:rPr>
              <w:t>，注册完毕后按照</w:t>
            </w:r>
            <w:r>
              <w:rPr>
                <w:rFonts w:hint="eastAsia" w:eastAsia="宋体" w:cs="宋体"/>
                <w:b/>
                <w:highlight w:val="none"/>
              </w:rPr>
              <w:t>“SRM系统供应商用户手册（附件）”，</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1</w:t>
            </w:r>
            <w:r>
              <w:rPr>
                <w:rFonts w:hint="eastAsia" w:eastAsia="宋体" w:cs="Times New Roman"/>
                <w:b/>
                <w:bCs/>
                <w:highlight w:val="none"/>
              </w:rPr>
              <w:t>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hint="default" w:eastAsia="宋体" w:cs="宋体"/>
                <w:highlight w:val="none"/>
                <w:lang w:val="en-US" w:eastAsia="zh-CN"/>
              </w:rPr>
            </w:pPr>
            <w:r>
              <w:rPr>
                <w:rFonts w:hint="eastAsia" w:eastAsia="宋体" w:cs="宋体"/>
                <w:b/>
                <w:bCs/>
                <w:highlight w:val="none"/>
              </w:rPr>
              <w:t>应标截止时间：</w:t>
            </w:r>
            <w:r>
              <w:rPr>
                <w:rFonts w:hint="eastAsia" w:eastAsia="宋体" w:cs="宋体"/>
                <w:highlight w:val="none"/>
                <w:u w:val="single"/>
              </w:rPr>
              <w:t>2025年</w:t>
            </w:r>
            <w:r>
              <w:rPr>
                <w:rFonts w:hint="eastAsia" w:eastAsia="宋体" w:cs="宋体"/>
                <w:highlight w:val="none"/>
                <w:u w:val="single"/>
                <w:lang w:val="en-US" w:eastAsia="zh-CN"/>
              </w:rPr>
              <w:t>11</w:t>
            </w:r>
            <w:r>
              <w:rPr>
                <w:rFonts w:hint="eastAsia" w:eastAsia="宋体" w:cs="宋体"/>
                <w:highlight w:val="none"/>
                <w:u w:val="single"/>
              </w:rPr>
              <w:t>月</w:t>
            </w:r>
            <w:r>
              <w:rPr>
                <w:rFonts w:hint="eastAsia" w:eastAsia="宋体" w:cs="宋体"/>
                <w:highlight w:val="none"/>
                <w:u w:val="single"/>
                <w:lang w:val="en-US" w:eastAsia="zh-CN"/>
              </w:rPr>
              <w:t>17</w:t>
            </w:r>
            <w:r>
              <w:rPr>
                <w:rFonts w:hint="eastAsia" w:eastAsia="宋体" w:cs="宋体"/>
                <w:highlight w:val="none"/>
                <w:u w:val="single"/>
              </w:rPr>
              <w:t>日17</w:t>
            </w:r>
            <w:r>
              <w:rPr>
                <w:rFonts w:hint="eastAsia" w:eastAsia="宋体" w:cs="宋体"/>
                <w:highlight w:val="none"/>
                <w:u w:val="single"/>
                <w:lang w:val="en-US" w:eastAsia="zh-CN"/>
              </w:rPr>
              <w:t>:00</w:t>
            </w:r>
          </w:p>
          <w:p w14:paraId="00ECE6F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w:t>
            </w:r>
            <w:r>
              <w:rPr>
                <w:rFonts w:hint="eastAsia" w:eastAsia="宋体" w:cs="宋体"/>
                <w:b/>
                <w:bCs/>
                <w:highlight w:val="none"/>
                <w:lang w:eastAsia="zh-CN"/>
              </w:rPr>
              <w:t>、</w:t>
            </w:r>
            <w:r>
              <w:rPr>
                <w:rFonts w:hint="eastAsia" w:eastAsia="宋体" w:cs="宋体"/>
                <w:b/>
                <w:bCs/>
                <w:highlight w:val="yellow"/>
                <w:lang w:val="en-US" w:eastAsia="zh-CN"/>
              </w:rPr>
              <w:t>E采通系统中近三年财务数据信息更新</w:t>
            </w:r>
            <w:r>
              <w:rPr>
                <w:rFonts w:hint="eastAsia" w:eastAsia="宋体" w:cs="宋体"/>
                <w:b/>
                <w:bCs/>
                <w:highlight w:val="none"/>
              </w:rPr>
              <w:t>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w:t>
            </w:r>
            <w:r>
              <w:rPr>
                <w:rFonts w:hint="eastAsia" w:eastAsia="宋体" w:cs="宋体"/>
                <w:bCs/>
                <w:sz w:val="24"/>
                <w:szCs w:val="24"/>
                <w:highlight w:val="none"/>
                <w:lang w:val="en-US" w:eastAsia="zh-CN"/>
              </w:rPr>
              <w:t>为</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或加盖电子章，不盖章无效</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bCs/>
                <w:color w:val="000000"/>
                <w:sz w:val="24"/>
                <w:szCs w:val="24"/>
                <w:highlight w:val="none"/>
              </w:rPr>
              <w:t>注意不按此要求提供投标文件的，投标文件做无效标处理。</w:t>
            </w:r>
            <w:r>
              <w:rPr>
                <w:rFonts w:hint="eastAsia" w:ascii="宋体" w:hAnsi="宋体" w:eastAsia="宋体" w:cs="宋体"/>
                <w:bCs/>
                <w:color w:val="000000"/>
                <w:sz w:val="24"/>
                <w:szCs w:val="24"/>
                <w:highlight w:val="none"/>
                <w:lang w:val="en-US" w:eastAsia="zh-CN"/>
              </w:rPr>
              <w:t>以中国重汽e采通系统提交的材料为准。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7EC4695">
            <w:pPr>
              <w:ind w:firstLine="482" w:firstLineChars="200"/>
              <w:rPr>
                <w:rFonts w:hint="default" w:hAnsi="宋体" w:eastAsia="宋体" w:cs="Times New Roman"/>
                <w:color w:val="000000"/>
                <w:sz w:val="24"/>
                <w:szCs w:val="24"/>
                <w:highlight w:val="none"/>
                <w:lang w:val="en-US" w:eastAsia="zh-CN"/>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标书，一律视为无效投标</w:t>
            </w:r>
            <w:r>
              <w:rPr>
                <w:rFonts w:hint="eastAsia" w:eastAsia="宋体" w:cs="宋体"/>
                <w:b/>
                <w:sz w:val="24"/>
                <w:szCs w:val="24"/>
                <w:highlight w:val="none"/>
              </w:rPr>
              <w:t>。</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6"/>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11</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27</w:t>
            </w:r>
            <w:r>
              <w:rPr>
                <w:rFonts w:hint="eastAsia" w:hAnsi="宋体" w:eastAsia="宋体" w:cs="宋体"/>
                <w:sz w:val="24"/>
                <w:szCs w:val="24"/>
                <w:highlight w:val="none"/>
                <w:u w:val="single"/>
              </w:rPr>
              <w:t>日</w:t>
            </w:r>
            <w:r>
              <w:rPr>
                <w:rFonts w:hint="eastAsia" w:hAnsi="宋体" w:eastAsia="宋体" w:cs="宋体"/>
                <w:kern w:val="0"/>
                <w:sz w:val="24"/>
                <w:szCs w:val="24"/>
                <w:highlight w:val="none"/>
                <w:u w:val="single"/>
              </w:rPr>
              <w:t>上午</w:t>
            </w:r>
            <w:r>
              <w:rPr>
                <w:rFonts w:hint="eastAsia" w:hAnsi="宋体" w:eastAsia="宋体" w:cs="宋体"/>
                <w:kern w:val="0"/>
                <w:sz w:val="24"/>
                <w:szCs w:val="24"/>
                <w:highlight w:val="none"/>
                <w:u w:val="single"/>
                <w:lang w:val="en-US" w:eastAsia="zh-CN"/>
              </w:rPr>
              <w:t>9</w:t>
            </w:r>
            <w:r>
              <w:rPr>
                <w:rFonts w:hint="eastAsia" w:hAnsi="宋体" w:eastAsia="宋体" w:cs="宋体"/>
                <w:sz w:val="24"/>
                <w:szCs w:val="24"/>
                <w:highlight w:val="none"/>
                <w:u w:val="single"/>
              </w:rPr>
              <w:t>:00（北京时间）</w:t>
            </w:r>
          </w:p>
          <w:p w14:paraId="0FED7BCE">
            <w:pPr>
              <w:pStyle w:val="16"/>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电汇或网银</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B5A95BC">
            <w:pPr>
              <w:tabs>
                <w:tab w:val="left" w:pos="932"/>
              </w:tabs>
              <w:ind w:firstLine="482"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投标保证金的金额：</w:t>
            </w:r>
            <w:r>
              <w:rPr>
                <w:rFonts w:hint="default" w:ascii="Times New Roman" w:hAnsi="Times New Roman" w:eastAsia="宋体" w:cs="Times New Roman"/>
                <w:sz w:val="24"/>
                <w:szCs w:val="24"/>
                <w:highlight w:val="none"/>
              </w:rPr>
              <w:t>人民币</w:t>
            </w:r>
            <w:r>
              <w:rPr>
                <w:rFonts w:hint="default" w:ascii="Times New Roman" w:hAnsi="Times New Roman" w:eastAsia="宋体" w:cs="Times New Roman"/>
                <w:color w:val="auto"/>
                <w:sz w:val="24"/>
                <w:szCs w:val="24"/>
                <w:highlight w:val="none"/>
                <w:lang w:val="en-US" w:eastAsia="zh-CN"/>
              </w:rPr>
              <w:t>20000</w:t>
            </w:r>
            <w:r>
              <w:rPr>
                <w:rFonts w:hint="default" w:ascii="Times New Roman" w:hAnsi="Times New Roman" w:eastAsia="宋体" w:cs="Times New Roman"/>
                <w:sz w:val="24"/>
                <w:szCs w:val="24"/>
                <w:highlight w:val="none"/>
              </w:rPr>
              <w:t>元</w:t>
            </w:r>
          </w:p>
          <w:p w14:paraId="4263B573">
            <w:pPr>
              <w:ind w:firstLine="482"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单位名称</w:t>
            </w:r>
            <w:r>
              <w:rPr>
                <w:rFonts w:hint="default" w:ascii="Times New Roman" w:hAnsi="Times New Roman" w:eastAsia="宋体" w:cs="Times New Roman"/>
                <w:color w:val="000000"/>
                <w:kern w:val="2"/>
                <w:sz w:val="24"/>
                <w:szCs w:val="24"/>
                <w:highlight w:val="none"/>
                <w:lang w:val="en-US" w:eastAsia="zh-CN" w:bidi="ar-SA"/>
              </w:rPr>
              <w:t>：中国重汽集团济南动力有限公司</w:t>
            </w:r>
          </w:p>
          <w:p w14:paraId="6B7A12B7">
            <w:pPr>
              <w:ind w:firstLine="482"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开户行</w:t>
            </w:r>
            <w:r>
              <w:rPr>
                <w:rFonts w:hint="default" w:ascii="Times New Roman" w:hAnsi="Times New Roman" w:eastAsia="宋体" w:cs="Times New Roman"/>
                <w:color w:val="000000"/>
                <w:kern w:val="2"/>
                <w:sz w:val="24"/>
                <w:szCs w:val="24"/>
                <w:highlight w:val="none"/>
                <w:lang w:val="en-US" w:eastAsia="zh-CN" w:bidi="ar-SA"/>
              </w:rPr>
              <w:t>：兴业银行股份有限公司济南分行营业部</w:t>
            </w:r>
          </w:p>
          <w:p w14:paraId="1F19F93A">
            <w:pPr>
              <w:ind w:firstLine="482" w:firstLineChars="200"/>
              <w:jc w:val="both"/>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账号</w:t>
            </w:r>
            <w:r>
              <w:rPr>
                <w:rFonts w:hint="default" w:ascii="Times New Roman" w:hAnsi="Times New Roman" w:eastAsia="宋体" w:cs="Times New Roman"/>
                <w:color w:val="000000"/>
                <w:kern w:val="2"/>
                <w:sz w:val="24"/>
                <w:szCs w:val="24"/>
                <w:highlight w:val="none"/>
                <w:lang w:val="en-US" w:eastAsia="zh-CN" w:bidi="ar-SA"/>
              </w:rPr>
              <w:t>：376010100101373547</w:t>
            </w:r>
          </w:p>
          <w:p w14:paraId="0110B858">
            <w:pPr>
              <w:ind w:firstLine="482" w:firstLineChars="200"/>
              <w:jc w:val="both"/>
              <w:rPr>
                <w:rFonts w:hint="eastAsia" w:ascii="宋体" w:hAnsi="宋体" w:eastAsia="宋体" w:cs="宋体"/>
                <w:color w:val="000000"/>
                <w:kern w:val="0"/>
                <w:sz w:val="24"/>
                <w:szCs w:val="24"/>
                <w:highlight w:val="none"/>
              </w:rPr>
            </w:pPr>
            <w:r>
              <w:rPr>
                <w:rFonts w:hint="default" w:ascii="Times New Roman" w:hAnsi="Times New Roman" w:eastAsia="宋体" w:cs="Times New Roman"/>
                <w:b/>
                <w:bCs/>
                <w:color w:val="000000"/>
                <w:kern w:val="2"/>
                <w:sz w:val="24"/>
                <w:szCs w:val="24"/>
                <w:highlight w:val="none"/>
                <w:lang w:val="en-US" w:eastAsia="zh-CN" w:bidi="ar-SA"/>
              </w:rPr>
              <w:t>行号</w:t>
            </w:r>
            <w:r>
              <w:rPr>
                <w:rFonts w:hint="default" w:ascii="Times New Roman" w:hAnsi="Times New Roman" w:eastAsia="宋体" w:cs="Times New Roman"/>
                <w:color w:val="000000"/>
                <w:kern w:val="2"/>
                <w:sz w:val="24"/>
                <w:szCs w:val="24"/>
                <w:highlight w:val="none"/>
                <w:lang w:val="en-US" w:eastAsia="zh-CN" w:bidi="ar-SA"/>
              </w:rPr>
              <w:t>：309451013018</w:t>
            </w:r>
          </w:p>
          <w:p w14:paraId="5720CC6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4CB52D48">
            <w:pPr>
              <w:ind w:firstLine="480" w:firstLineChars="200"/>
              <w:rPr>
                <w:rFonts w:hint="eastAsia" w:eastAsia="宋体" w:cs="Times New Roman"/>
                <w:sz w:val="24"/>
                <w:szCs w:val="28"/>
                <w:highlight w:val="none"/>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u w:val="single"/>
              </w:rPr>
              <w:t>2025年</w:t>
            </w:r>
            <w:r>
              <w:rPr>
                <w:rFonts w:hint="eastAsia" w:ascii="宋体" w:hAnsi="宋体" w:cs="宋体"/>
                <w:sz w:val="24"/>
                <w:szCs w:val="24"/>
                <w:highlight w:val="none"/>
                <w:u w:val="single"/>
                <w:lang w:val="en-US" w:eastAsia="zh-CN"/>
              </w:rPr>
              <w:t>11</w:t>
            </w:r>
            <w:r>
              <w:rPr>
                <w:rFonts w:hint="eastAsia" w:ascii="宋体" w:hAnsi="宋体" w:cs="宋体"/>
                <w:sz w:val="24"/>
                <w:szCs w:val="24"/>
                <w:highlight w:val="none"/>
                <w:u w:val="single"/>
              </w:rPr>
              <w:t>月</w:t>
            </w:r>
            <w:r>
              <w:rPr>
                <w:rFonts w:hint="eastAsia" w:ascii="宋体" w:hAnsi="宋体" w:cs="宋体"/>
                <w:sz w:val="24"/>
                <w:szCs w:val="24"/>
                <w:highlight w:val="none"/>
                <w:u w:val="single"/>
                <w:lang w:val="en-US" w:eastAsia="zh-CN"/>
              </w:rPr>
              <w:t>27</w:t>
            </w:r>
            <w:r>
              <w:rPr>
                <w:rFonts w:hint="eastAsia" w:ascii="宋体" w:hAnsi="宋体" w:cs="宋体"/>
                <w:sz w:val="24"/>
                <w:szCs w:val="24"/>
                <w:highlight w:val="none"/>
                <w:u w:val="single"/>
              </w:rPr>
              <w:t>日</w:t>
            </w:r>
            <w:r>
              <w:rPr>
                <w:rFonts w:hint="eastAsia" w:ascii="宋体" w:hAnsi="宋体" w:cs="宋体"/>
                <w:sz w:val="24"/>
                <w:szCs w:val="24"/>
                <w:highlight w:val="none"/>
                <w:u w:val="single"/>
                <w:lang w:val="en-US" w:eastAsia="zh-CN"/>
              </w:rPr>
              <w:t>上午9:</w:t>
            </w:r>
            <w:r>
              <w:rPr>
                <w:rFonts w:ascii="宋体" w:hAnsi="宋体" w:cs="宋体"/>
                <w:sz w:val="24"/>
                <w:szCs w:val="24"/>
                <w:highlight w:val="none"/>
                <w:u w:val="single"/>
              </w:rPr>
              <w:t>0</w:t>
            </w:r>
            <w:r>
              <w:rPr>
                <w:rFonts w:hint="eastAsia" w:ascii="宋体" w:hAnsi="宋体" w:cs="宋体"/>
                <w:sz w:val="24"/>
                <w:szCs w:val="24"/>
                <w:highlight w:val="none"/>
                <w:u w:val="single"/>
              </w:rPr>
              <w:t>0</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北京时间</w:t>
            </w:r>
            <w:r>
              <w:rPr>
                <w:rFonts w:hint="eastAsia" w:ascii="宋体" w:hAnsi="宋体" w:cs="宋体"/>
                <w:sz w:val="24"/>
                <w:szCs w:val="24"/>
                <w:highlight w:val="none"/>
                <w:u w:val="single"/>
                <w:lang w:eastAsia="zh-CN"/>
              </w:rPr>
              <w:t>）</w:t>
            </w:r>
          </w:p>
          <w:p w14:paraId="0F159D5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w:t>
            </w:r>
            <w:r>
              <w:rPr>
                <w:rFonts w:hint="eastAsia" w:ascii="宋体" w:hAnsi="宋体" w:cs="宋体"/>
                <w:sz w:val="24"/>
                <w:szCs w:val="24"/>
                <w:highlight w:val="none"/>
                <w:lang w:val="en-US" w:eastAsia="zh-CN"/>
              </w:rPr>
              <w:t>账</w:t>
            </w:r>
            <w:r>
              <w:rPr>
                <w:rFonts w:hint="eastAsia" w:ascii="宋体" w:hAnsi="宋体" w:cs="宋体"/>
                <w:sz w:val="24"/>
                <w:szCs w:val="24"/>
                <w:highlight w:val="none"/>
              </w:rPr>
              <w:t>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予以原路返还（无息）；对于中标方，投标保证金将在签订合同后</w:t>
            </w:r>
            <w:r>
              <w:rPr>
                <w:rFonts w:hint="eastAsia" w:ascii="宋体" w:hAnsi="宋体" w:cs="宋体"/>
                <w:sz w:val="24"/>
                <w:szCs w:val="24"/>
                <w:highlight w:val="none"/>
                <w:lang w:val="en-US" w:eastAsia="zh-CN"/>
              </w:rPr>
              <w:t>30个工作日内</w:t>
            </w:r>
            <w:r>
              <w:rPr>
                <w:rFonts w:hint="eastAsia" w:ascii="宋体" w:hAnsi="宋体" w:cs="宋体"/>
                <w:sz w:val="24"/>
                <w:szCs w:val="24"/>
                <w:highlight w:val="none"/>
              </w:rPr>
              <w:t>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u w:val="single"/>
              </w:rPr>
              <w:t>2025年</w:t>
            </w:r>
            <w:r>
              <w:rPr>
                <w:rFonts w:hint="eastAsia" w:ascii="宋体" w:hAnsi="宋体" w:eastAsia="宋体" w:cs="宋体"/>
                <w:sz w:val="24"/>
                <w:szCs w:val="24"/>
                <w:highlight w:val="none"/>
                <w:u w:val="single"/>
                <w:lang w:val="en-US" w:eastAsia="zh-CN"/>
              </w:rPr>
              <w:t>11</w:t>
            </w:r>
            <w:r>
              <w:rPr>
                <w:rFonts w:hint="eastAsia" w:ascii="宋体" w:hAnsi="宋体" w:eastAsia="宋体" w:cs="宋体"/>
                <w:sz w:val="24"/>
                <w:szCs w:val="24"/>
                <w:highlight w:val="none"/>
                <w:u w:val="single"/>
              </w:rPr>
              <w:t>月</w:t>
            </w:r>
            <w:r>
              <w:rPr>
                <w:rFonts w:hint="eastAsia" w:ascii="宋体" w:hAnsi="宋体" w:eastAsia="宋体" w:cs="宋体"/>
                <w:sz w:val="24"/>
                <w:szCs w:val="24"/>
                <w:highlight w:val="none"/>
                <w:u w:val="single"/>
                <w:lang w:val="en-US" w:eastAsia="zh-CN"/>
              </w:rPr>
              <w:t>27</w:t>
            </w:r>
            <w:r>
              <w:rPr>
                <w:rFonts w:hint="eastAsia" w:ascii="宋体" w:hAnsi="宋体" w:eastAsia="宋体" w:cs="宋体"/>
                <w:sz w:val="24"/>
                <w:szCs w:val="24"/>
                <w:highlight w:val="none"/>
                <w:u w:val="single"/>
              </w:rPr>
              <w:t>日</w:t>
            </w:r>
            <w:r>
              <w:rPr>
                <w:rFonts w:hint="eastAsia" w:ascii="宋体" w:hAnsi="宋体" w:eastAsia="宋体" w:cs="宋体"/>
                <w:sz w:val="24"/>
                <w:szCs w:val="24"/>
                <w:highlight w:val="none"/>
                <w:u w:val="single"/>
                <w:lang w:val="en-US" w:eastAsia="zh-CN"/>
              </w:rPr>
              <w:t>上午9</w:t>
            </w:r>
            <w:r>
              <w:rPr>
                <w:rFonts w:hint="eastAsia" w:ascii="宋体" w:hAnsi="宋体" w:eastAsia="宋体" w:cs="宋体"/>
                <w:sz w:val="24"/>
                <w:szCs w:val="24"/>
                <w:highlight w:val="none"/>
                <w:u w:val="single"/>
              </w:rPr>
              <w:t>:00</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北京时间</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若有变动，另行通知</w:t>
            </w:r>
            <w:r>
              <w:rPr>
                <w:rFonts w:hint="eastAsia" w:ascii="宋体" w:hAnsi="宋体" w:eastAsia="宋体" w:cs="宋体"/>
                <w:sz w:val="24"/>
                <w:szCs w:val="24"/>
                <w:highlight w:val="none"/>
                <w:u w:val="single"/>
                <w:lang w:eastAsia="zh-CN"/>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b w:val="0"/>
                <w:bCs w:val="0"/>
                <w:sz w:val="24"/>
                <w:szCs w:val="24"/>
                <w:highlight w:val="none"/>
                <w:lang w:val="en-US" w:eastAsia="zh-CN"/>
              </w:rPr>
              <w:t>重汽科技大厦（待定）</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0"/>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default" w:ascii="Times New Roman" w:hAnsi="Times New Roman" w:eastAsia="宋体" w:cs="Times New Roman"/>
                <w:b/>
                <w:bCs/>
                <w:sz w:val="24"/>
                <w:szCs w:val="24"/>
                <w:lang w:val="en-US" w:eastAsia="zh-CN"/>
              </w:rPr>
              <w:t>资质标审核→唱标→技术标评审→商务标评审。技术标入围后，原则上综合评标最高分中标</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具体</w:t>
            </w:r>
            <w:r>
              <w:rPr>
                <w:rFonts w:hint="default" w:ascii="Times New Roman" w:hAnsi="Times New Roman" w:eastAsia="宋体" w:cs="Times New Roman"/>
                <w:sz w:val="24"/>
                <w:szCs w:val="24"/>
                <w:highlight w:val="none"/>
              </w:rPr>
              <w:t>详见“第</w:t>
            </w:r>
            <w:r>
              <w:rPr>
                <w:rFonts w:hint="default" w:ascii="Times New Roman" w:hAnsi="Times New Roman" w:eastAsia="宋体" w:cs="Times New Roman"/>
                <w:sz w:val="24"/>
                <w:szCs w:val="24"/>
                <w:highlight w:val="none"/>
                <w:lang w:val="en-US" w:eastAsia="zh-CN"/>
              </w:rPr>
              <w:t>二</w:t>
            </w:r>
            <w:r>
              <w:rPr>
                <w:rFonts w:hint="default" w:ascii="Times New Roman" w:hAnsi="Times New Roman" w:eastAsia="宋体" w:cs="Times New Roman"/>
                <w:sz w:val="24"/>
                <w:szCs w:val="24"/>
                <w:highlight w:val="none"/>
              </w:rPr>
              <w:t>部分投标须知第六条</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评</w:t>
            </w:r>
            <w:r>
              <w:rPr>
                <w:rFonts w:hint="default" w:ascii="Times New Roman" w:hAnsi="Times New Roman" w:eastAsia="宋体" w:cs="Times New Roman"/>
                <w:sz w:val="24"/>
                <w:szCs w:val="24"/>
                <w:highlight w:val="none"/>
                <w:lang w:val="en-US" w:eastAsia="zh-CN"/>
              </w:rPr>
              <w:t>标</w:t>
            </w:r>
            <w:r>
              <w:rPr>
                <w:rFonts w:hint="default" w:ascii="Times New Roman" w:hAnsi="Times New Roman" w:eastAsia="宋体" w:cs="Times New Roman"/>
                <w:sz w:val="24"/>
                <w:szCs w:val="24"/>
                <w:highlight w:val="none"/>
              </w:rPr>
              <w:t>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79524">
            <w:pPr>
              <w:pStyle w:val="16"/>
              <w:ind w:firstLine="482" w:firstLineChars="200"/>
              <w:rPr>
                <w:rFonts w:hint="eastAsia" w:hAnsi="宋体" w:eastAsia="宋体" w:cs="宋体"/>
                <w:b/>
                <w:bCs/>
                <w:color w:val="000000"/>
                <w:sz w:val="24"/>
                <w:szCs w:val="24"/>
                <w:highlight w:val="none"/>
                <w:lang w:eastAsia="zh-CN"/>
              </w:rPr>
            </w:pPr>
            <w:r>
              <w:rPr>
                <w:rFonts w:hint="eastAsia" w:hAnsi="宋体" w:eastAsia="宋体" w:cs="宋体"/>
                <w:b/>
                <w:bCs/>
                <w:color w:val="000000"/>
                <w:sz w:val="24"/>
                <w:szCs w:val="24"/>
                <w:highlight w:val="none"/>
              </w:rPr>
              <w:t>交货期：</w:t>
            </w:r>
          </w:p>
          <w:p w14:paraId="0B710402">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自合同签定生效之日起，60个日历日之内交货至供货地点。</w:t>
            </w:r>
          </w:p>
          <w:p w14:paraId="5332A8FA">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接续15个日历日之内安装调试完毕。</w:t>
            </w:r>
          </w:p>
          <w:p w14:paraId="4105EBEF">
            <w:pPr>
              <w:pStyle w:val="16"/>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接续60个日历日之内完成终验收。</w:t>
            </w:r>
          </w:p>
          <w:p w14:paraId="52985AFD">
            <w:pPr>
              <w:pStyle w:val="16"/>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eastAsia="zh-CN"/>
              </w:rPr>
              <w:t>安装调试工期超过规定时间的，投标人应当随标书提供详细的工期计划。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6"/>
              <w:ind w:firstLine="482" w:firstLineChars="200"/>
              <w:rPr>
                <w:rFonts w:hint="eastAsia" w:hAnsi="宋体" w:eastAsia="宋体" w:cs="宋体"/>
                <w:color w:val="000000"/>
                <w:sz w:val="24"/>
                <w:szCs w:val="24"/>
                <w:highlight w:val="none"/>
                <w:lang w:eastAsia="zh-CN"/>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none"/>
                <w:lang w:eastAsia="zh-CN"/>
              </w:rPr>
              <w:t>济南市历城区华奥路777号</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0"/>
              <w:ind w:firstLine="482" w:firstLineChars="200"/>
              <w:rPr>
                <w:rFonts w:hint="eastAsia" w:ascii="宋体" w:hAnsi="宋体" w:eastAsia="宋体" w:cs="宋体"/>
                <w:sz w:val="24"/>
                <w:szCs w:val="24"/>
                <w:highlight w:val="none"/>
                <w:lang w:eastAsia="zh-CN"/>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BE6C25">
            <w:pPr>
              <w:pStyle w:val="16"/>
              <w:ind w:firstLine="482"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bCs/>
                <w:color w:val="000000"/>
                <w:sz w:val="24"/>
                <w:szCs w:val="24"/>
                <w:highlight w:val="none"/>
              </w:rPr>
              <w:t>付款方式：</w:t>
            </w:r>
            <w:r>
              <w:rPr>
                <w:rFonts w:hint="default" w:ascii="Times New Roman" w:hAnsi="Times New Roman" w:eastAsia="宋体" w:cs="Times New Roman"/>
                <w:b/>
                <w:bCs/>
                <w:color w:val="000000"/>
                <w:sz w:val="24"/>
                <w:szCs w:val="24"/>
                <w:highlight w:val="none"/>
                <w:u w:val="single"/>
              </w:rPr>
              <w:t>半年期商业汇票（包括银行承兑汇票和商业承兑汇票）</w:t>
            </w:r>
            <w:r>
              <w:rPr>
                <w:rFonts w:hint="default" w:ascii="Times New Roman" w:hAnsi="Times New Roman" w:eastAsia="宋体" w:cs="Times New Roman"/>
                <w:color w:val="000000"/>
                <w:sz w:val="24"/>
                <w:szCs w:val="24"/>
                <w:highlight w:val="none"/>
              </w:rPr>
              <w:t>：</w:t>
            </w:r>
          </w:p>
          <w:p w14:paraId="2EB44586">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付款方式:半年期商业汇票(包括银行承兑汇票和商业承兑汇票):</w:t>
            </w:r>
          </w:p>
          <w:p w14:paraId="5D222C04">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A.设备全部到货后，中标人提交金额为合同价款30%的收据并提供合同价款30%的增值税专用发票（含复印件二份），经招标人依照财务制度审核通过后30日支付；</w:t>
            </w:r>
          </w:p>
          <w:p w14:paraId="7F2BF3B0">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B.设备验收合格后，中标人提交金额为合同价款60%的收据并提供合同价款70%的增值税专用发票（含复印件二份），经招标人依照财务制度审核通过后30日支付；</w:t>
            </w:r>
          </w:p>
          <w:p w14:paraId="0C94B7D1">
            <w:pPr>
              <w:pStyle w:val="34"/>
              <w:adjustRightInd w:val="0"/>
              <w:spacing w:after="0" w:line="240" w:lineRule="auto"/>
              <w:ind w:left="0" w:leftChars="0" w:firstLine="480" w:firstLineChars="200"/>
              <w:rPr>
                <w:rFonts w:hint="eastAsia" w:ascii="宋体" w:hAnsi="宋体" w:cs="宋体"/>
                <w:b/>
                <w:bCs/>
                <w:sz w:val="24"/>
                <w:szCs w:val="24"/>
                <w:highlight w:val="cyan"/>
                <w:lang w:eastAsia="zh-CN"/>
              </w:rPr>
            </w:pPr>
            <w:r>
              <w:rPr>
                <w:rFonts w:hint="default" w:ascii="Times New Roman" w:hAnsi="Times New Roman" w:eastAsia="宋体" w:cs="Times New Roman"/>
                <w:color w:val="000000"/>
                <w:sz w:val="24"/>
                <w:szCs w:val="24"/>
                <w:highlight w:val="none"/>
              </w:rPr>
              <w:t>C.合同总价款的10%作为本合同约定设备的质量保证金，质量保证金在质量保证期内不计利息。质保期届满后支付。</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增值税专用发票开票信息：</w:t>
            </w:r>
          </w:p>
          <w:p w14:paraId="48721CC6">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名称：中国重汽集团济南动力有限公司</w:t>
            </w:r>
          </w:p>
          <w:p w14:paraId="6387955F">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地址：章丘市圣井唐王山路北潘王路西</w:t>
            </w:r>
          </w:p>
          <w:p w14:paraId="10C6408B">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纳税人识别号：91370100787411873C</w:t>
            </w:r>
          </w:p>
          <w:p w14:paraId="42B9FCEB">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开户行：中国银行章丘支行</w:t>
            </w:r>
          </w:p>
          <w:p w14:paraId="4F7DBD0B">
            <w:pPr>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电话：0531-58062198</w:t>
            </w:r>
          </w:p>
          <w:p w14:paraId="28333C9E">
            <w:pPr>
              <w:ind w:firstLine="480" w:firstLineChars="200"/>
              <w:rPr>
                <w:rFonts w:hint="eastAsia" w:ascii="宋体" w:hAnsi="宋体" w:eastAsia="宋体" w:cs="宋体"/>
                <w:sz w:val="24"/>
                <w:szCs w:val="24"/>
                <w:highlight w:val="none"/>
                <w:lang w:bidi="ar"/>
              </w:rPr>
            </w:pPr>
            <w:r>
              <w:rPr>
                <w:rFonts w:hint="default" w:ascii="Times New Roman" w:hAnsi="Times New Roman" w:eastAsia="宋体" w:cs="Times New Roman"/>
                <w:color w:val="000000"/>
                <w:sz w:val="24"/>
                <w:szCs w:val="24"/>
                <w:highlight w:val="none"/>
              </w:rPr>
              <w:t>账号：2377 0557 4474</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0"/>
              <w:jc w:val="center"/>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B05313E">
            <w:pPr>
              <w:pStyle w:val="10"/>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9BC4C49">
            <w:pPr>
              <w:pStyle w:val="10"/>
              <w:ind w:firstLine="480" w:firstLineChars="200"/>
              <w:rPr>
                <w:rFonts w:hint="eastAsia" w:ascii="宋体" w:hAnsi="宋体" w:eastAsia="宋体" w:cs="宋体"/>
                <w:sz w:val="24"/>
                <w:szCs w:val="24"/>
                <w:highlight w:val="none"/>
              </w:rPr>
            </w:pPr>
            <w:r>
              <w:rPr>
                <w:rFonts w:hint="default" w:ascii="Times New Roman" w:hAnsi="Times New Roman" w:eastAsia="宋体" w:cs="Times New Roman"/>
                <w:sz w:val="24"/>
                <w:szCs w:val="24"/>
              </w:rPr>
              <w:t>中标方应在合同签</w:t>
            </w:r>
            <w:r>
              <w:rPr>
                <w:rFonts w:hint="default" w:ascii="Times New Roman" w:hAnsi="Times New Roman" w:eastAsia="宋体" w:cs="Times New Roman"/>
                <w:sz w:val="24"/>
                <w:szCs w:val="24"/>
                <w:highlight w:val="none"/>
              </w:rPr>
              <w:t>订后15日内需根据设计</w:t>
            </w:r>
            <w:r>
              <w:rPr>
                <w:rStyle w:val="41"/>
                <w:rFonts w:hint="default" w:ascii="Times New Roman" w:hAnsi="Times New Roman" w:eastAsia="宋体" w:cs="Times New Roman"/>
                <w:sz w:val="24"/>
                <w:szCs w:val="24"/>
                <w:highlight w:val="none"/>
              </w:rPr>
              <w:t>提资</w:t>
            </w:r>
            <w:r>
              <w:rPr>
                <w:rFonts w:hint="default" w:ascii="Times New Roman" w:hAnsi="Times New Roman" w:eastAsia="宋体" w:cs="Times New Roman"/>
                <w:sz w:val="24"/>
                <w:szCs w:val="24"/>
                <w:highlight w:val="none"/>
              </w:rPr>
              <w:t>要求提供详细的</w:t>
            </w:r>
            <w:r>
              <w:rPr>
                <w:rStyle w:val="41"/>
                <w:rFonts w:hint="default" w:ascii="Times New Roman" w:hAnsi="Times New Roman" w:eastAsia="宋体" w:cs="Times New Roman"/>
                <w:sz w:val="24"/>
                <w:szCs w:val="24"/>
                <w:highlight w:val="none"/>
              </w:rPr>
              <w:t>设备</w:t>
            </w:r>
            <w:r>
              <w:rPr>
                <w:rFonts w:hint="default" w:ascii="Times New Roman" w:hAnsi="Times New Roman" w:eastAsia="宋体" w:cs="Times New Roman"/>
                <w:sz w:val="24"/>
                <w:szCs w:val="24"/>
                <w:highlight w:val="none"/>
              </w:rPr>
              <w:t>图纸等资料</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其中包含</w:t>
            </w:r>
            <w:r>
              <w:rPr>
                <w:rStyle w:val="41"/>
                <w:rFonts w:hint="default" w:ascii="Times New Roman" w:hAnsi="Times New Roman" w:eastAsia="宋体" w:cs="Times New Roman"/>
                <w:sz w:val="24"/>
                <w:szCs w:val="24"/>
                <w:highlight w:val="none"/>
              </w:rPr>
              <w:t>设备</w:t>
            </w:r>
            <w:r>
              <w:rPr>
                <w:rFonts w:hint="default" w:ascii="Times New Roman" w:hAnsi="Times New Roman" w:eastAsia="宋体" w:cs="Times New Roman"/>
                <w:sz w:val="24"/>
                <w:szCs w:val="24"/>
                <w:highlight w:val="none"/>
              </w:rPr>
              <w:t>的外形尺寸</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运维空间</w:t>
            </w:r>
            <w:r>
              <w:rPr>
                <w:rStyle w:val="41"/>
                <w:rFonts w:hint="eastAsia" w:ascii="Times New Roman" w:hAnsi="Times New Roman" w:eastAsia="宋体" w:cs="Times New Roman"/>
                <w:sz w:val="24"/>
                <w:szCs w:val="24"/>
                <w:highlight w:val="none"/>
                <w:lang w:eastAsia="zh-CN"/>
              </w:rPr>
              <w:t>，</w:t>
            </w:r>
            <w:r>
              <w:rPr>
                <w:rStyle w:val="41"/>
                <w:rFonts w:hint="default" w:ascii="Times New Roman" w:hAnsi="Times New Roman" w:eastAsia="宋体" w:cs="Times New Roman"/>
                <w:sz w:val="24"/>
                <w:szCs w:val="24"/>
                <w:highlight w:val="none"/>
              </w:rPr>
              <w:t>设备</w:t>
            </w:r>
            <w:r>
              <w:rPr>
                <w:rFonts w:hint="default" w:ascii="Times New Roman" w:hAnsi="Times New Roman" w:eastAsia="宋体" w:cs="Times New Roman"/>
                <w:sz w:val="24"/>
                <w:szCs w:val="24"/>
                <w:highlight w:val="none"/>
              </w:rPr>
              <w:t>运行参数</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材料材质</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接口信息</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规格</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技术需求.等资料，提交给买方，项目设计单位以此补充设计施工图纸，中标人最终审核确认。对于提资不准确不全面、</w:t>
            </w:r>
            <w:r>
              <w:rPr>
                <w:rFonts w:hint="default" w:ascii="Times New Roman" w:hAnsi="Times New Roman" w:eastAsia="宋体" w:cs="Times New Roman"/>
                <w:sz w:val="24"/>
                <w:szCs w:val="24"/>
              </w:rPr>
              <w:t>不符合招标文件技术要求、提资变更导致的损失由卖方承担，并承担违约责任。</w:t>
            </w:r>
          </w:p>
        </w:tc>
      </w:tr>
      <w:bookmarkEnd w:id="3"/>
    </w:tbl>
    <w:p w14:paraId="3AC0798F">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B113B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none"/>
        </w:rPr>
        <w:t>（附件）</w:t>
      </w:r>
      <w:r>
        <w:rPr>
          <w:rFonts w:hint="eastAsia" w:ascii="宋体" w:hAnsi="宋体" w:eastAsia="宋体" w:cs="宋体"/>
          <w:color w:val="000000"/>
          <w:sz w:val="24"/>
          <w:szCs w:val="24"/>
        </w:rPr>
        <w:t>”进行注册</w:t>
      </w:r>
      <w:r>
        <w:rPr>
          <w:rFonts w:hint="eastAsia" w:ascii="宋体" w:hAnsi="宋体" w:eastAsia="宋体" w:cs="宋体"/>
          <w:color w:val="000000"/>
          <w:sz w:val="24"/>
          <w:szCs w:val="24"/>
          <w:lang w:eastAsia="zh-CN"/>
        </w:rPr>
        <w:t>。</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none"/>
        </w:rPr>
        <w:t>（附件）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lang w:val="en-US" w:eastAsia="zh-CN"/>
        </w:rPr>
        <w:t>要求</w:t>
      </w:r>
      <w:r>
        <w:rPr>
          <w:rFonts w:hint="eastAsia" w:ascii="宋体" w:hAnsi="宋体" w:eastAsia="宋体" w:cs="宋体"/>
          <w:color w:val="000000"/>
          <w:sz w:val="24"/>
          <w:szCs w:val="24"/>
        </w:rPr>
        <w:t>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sz w:val="24"/>
          <w:szCs w:val="24"/>
          <w:highlight w:val="none"/>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1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4.7设备设施颜色严格执行</w:t>
      </w:r>
      <w:r>
        <w:rPr>
          <w:rFonts w:hint="eastAsia" w:hAnsi="宋体" w:eastAsia="宋体" w:cs="宋体"/>
          <w:color w:val="000000"/>
          <w:sz w:val="24"/>
          <w:szCs w:val="24"/>
          <w:highlight w:val="none"/>
        </w:rPr>
        <w:t>我公司企业标准《设备设施颜色标识》（Q/ZZ30070</w:t>
      </w:r>
    </w:p>
    <w:p w14:paraId="665C6043">
      <w:pPr>
        <w:pStyle w:val="16"/>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w:t>
      </w:r>
      <w:r>
        <w:rPr>
          <w:rFonts w:hint="eastAsia" w:ascii="宋体" w:hAnsi="宋体" w:eastAsia="宋体" w:cs="宋体"/>
          <w:sz w:val="24"/>
          <w:szCs w:val="24"/>
          <w:highlight w:val="none"/>
        </w:rPr>
        <w:t>投标人在报名参与本项目的同时，应提供项目投标保证金。</w:t>
      </w:r>
      <w:r>
        <w:rPr>
          <w:rFonts w:hint="eastAsia" w:ascii="宋体" w:hAnsi="宋体" w:eastAsia="宋体" w:cs="宋体"/>
          <w:sz w:val="24"/>
          <w:szCs w:val="24"/>
        </w:rPr>
        <w:t>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30个工作日</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30个工作日</w:t>
      </w:r>
      <w:r>
        <w:rPr>
          <w:rFonts w:hint="eastAsia" w:eastAsia="宋体" w:cs="宋体"/>
          <w:highlight w:val="none"/>
        </w:rPr>
        <w:t>内原路返还（无息）；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 xml:space="preserve">4.3.1 </w:t>
      </w:r>
      <w:r>
        <w:rPr>
          <w:rFonts w:hint="eastAsia" w:eastAsia="宋体" w:cs="宋体"/>
          <w:highlight w:val="none"/>
        </w:rPr>
        <w:t>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76B4182">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线上开标模式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待定</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38BCD66B">
      <w:pPr>
        <w:spacing w:line="360" w:lineRule="auto"/>
        <w:jc w:val="left"/>
        <w:outlineLvl w:val="1"/>
        <w:rPr>
          <w:rFonts w:ascii="宋体" w:hAnsi="宋体" w:eastAsia="宋体" w:cs="宋体"/>
          <w:b/>
          <w:sz w:val="24"/>
          <w:szCs w:val="24"/>
        </w:rPr>
      </w:pPr>
      <w:bookmarkStart w:id="6" w:name="_Toc33267001"/>
      <w:bookmarkStart w:id="7" w:name="_Toc33285487"/>
      <w:bookmarkStart w:id="8" w:name="_Toc33266950"/>
      <w:bookmarkStart w:id="9" w:name="_Toc33265752"/>
      <w:bookmarkStart w:id="10" w:name="_Toc33265653"/>
      <w:bookmarkStart w:id="11" w:name="_Toc33266627"/>
      <w:bookmarkStart w:id="12" w:name="_Toc33266914"/>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D60B6F6">
      <w:pPr>
        <w:adjustRightInd w:val="0"/>
        <w:snapToGrid w:val="0"/>
        <w:spacing w:line="360" w:lineRule="auto"/>
        <w:ind w:firstLine="480" w:firstLineChars="200"/>
        <w:jc w:val="both"/>
        <w:rPr>
          <w:rFonts w:ascii="宋体" w:hAnsi="宋体" w:eastAsia="宋体" w:cs="宋体"/>
          <w:b/>
          <w:color w:val="000000"/>
          <w:sz w:val="24"/>
          <w:szCs w:val="24"/>
          <w:highlight w:val="cyan"/>
        </w:rPr>
      </w:pPr>
      <w:bookmarkStart w:id="14" w:name="_Toc33265654"/>
      <w:bookmarkStart w:id="15" w:name="_Toc33266628"/>
      <w:bookmarkStart w:id="16" w:name="_Toc395116634"/>
      <w:bookmarkStart w:id="17" w:name="_Toc33266951"/>
      <w:bookmarkStart w:id="18" w:name="_Toc33266915"/>
      <w:bookmarkStart w:id="19" w:name="_Toc33267002"/>
      <w:bookmarkStart w:id="20" w:name="_Toc33265753"/>
      <w:bookmarkStart w:id="21" w:name="_Toc33285489"/>
      <w:r>
        <w:rPr>
          <w:rFonts w:hint="default" w:ascii="Times New Roman" w:hAnsi="Times New Roman" w:eastAsia="宋体" w:cs="Times New Roman"/>
          <w:sz w:val="24"/>
          <w:szCs w:val="24"/>
        </w:rPr>
        <w:t>次招标采用</w:t>
      </w:r>
      <w:r>
        <w:rPr>
          <w:rFonts w:hint="default" w:ascii="Times New Roman" w:hAnsi="Times New Roman" w:eastAsia="宋体" w:cs="Times New Roman"/>
          <w:b/>
          <w:bCs/>
          <w:sz w:val="24"/>
          <w:szCs w:val="24"/>
          <w:lang w:val="en-US" w:eastAsia="zh-CN"/>
        </w:rPr>
        <w:t>综合评标法</w:t>
      </w:r>
      <w:r>
        <w:rPr>
          <w:rFonts w:hint="eastAsia" w:ascii="Times New Roman" w:hAnsi="Times New Roman" w:eastAsia="宋体" w:cs="Times New Roman"/>
          <w:sz w:val="24"/>
          <w:szCs w:val="24"/>
          <w:lang w:val="en-US" w:eastAsia="zh-CN"/>
        </w:rPr>
        <w:t>，得分=技术标*30%+商务标*70%。</w:t>
      </w:r>
      <w:r>
        <w:rPr>
          <w:rFonts w:hint="default" w:ascii="Times New Roman" w:hAnsi="Times New Roman" w:eastAsia="宋体" w:cs="Times New Roman"/>
          <w:color w:val="000000"/>
          <w:sz w:val="24"/>
          <w:szCs w:val="24"/>
        </w:rPr>
        <w:t>本着公平、公正、公开的原则，在</w:t>
      </w:r>
      <w:r>
        <w:rPr>
          <w:rFonts w:hint="default" w:ascii="Times New Roman" w:hAnsi="Times New Roman" w:eastAsia="宋体" w:cs="Times New Roman"/>
          <w:color w:val="000000"/>
          <w:sz w:val="24"/>
          <w:szCs w:val="24"/>
          <w:lang w:val="en-US" w:eastAsia="zh-CN"/>
        </w:rPr>
        <w:t>通过技术标</w:t>
      </w:r>
      <w:r>
        <w:rPr>
          <w:rFonts w:hint="default" w:ascii="Times New Roman" w:hAnsi="Times New Roman" w:eastAsia="宋体" w:cs="Times New Roman"/>
          <w:color w:val="000000"/>
          <w:sz w:val="24"/>
          <w:szCs w:val="24"/>
        </w:rPr>
        <w:t>综合评审</w:t>
      </w:r>
      <w:r>
        <w:rPr>
          <w:rFonts w:hint="default" w:ascii="Times New Roman" w:hAnsi="Times New Roman" w:eastAsia="宋体" w:cs="Times New Roman"/>
          <w:color w:val="000000"/>
          <w:sz w:val="24"/>
          <w:szCs w:val="24"/>
          <w:lang w:val="en-US" w:eastAsia="zh-CN"/>
        </w:rPr>
        <w:t>后入围</w:t>
      </w:r>
      <w:r>
        <w:rPr>
          <w:rFonts w:hint="default" w:ascii="Times New Roman" w:hAnsi="Times New Roman" w:eastAsia="宋体" w:cs="Times New Roman"/>
          <w:color w:val="000000"/>
          <w:sz w:val="24"/>
          <w:szCs w:val="24"/>
        </w:rPr>
        <w:t>的前提下，</w:t>
      </w:r>
      <w:r>
        <w:rPr>
          <w:rFonts w:hint="default" w:ascii="Times New Roman" w:hAnsi="Times New Roman" w:eastAsia="宋体" w:cs="Times New Roman"/>
          <w:color w:val="000000"/>
          <w:sz w:val="24"/>
          <w:szCs w:val="24"/>
          <w:lang w:val="en-US" w:eastAsia="zh-CN"/>
        </w:rPr>
        <w:t>选择综合评标最高分中标。</w:t>
      </w:r>
      <w:r>
        <w:rPr>
          <w:rFonts w:hint="default" w:ascii="Times New Roman" w:hAnsi="Times New Roman" w:eastAsia="宋体" w:cs="Times New Roman"/>
          <w:color w:val="000000"/>
          <w:sz w:val="24"/>
          <w:szCs w:val="24"/>
        </w:rPr>
        <w:t>确定中标人</w:t>
      </w:r>
      <w:r>
        <w:rPr>
          <w:rFonts w:hint="default" w:ascii="Times New Roman" w:hAnsi="Times New Roman" w:eastAsia="宋体" w:cs="Times New Roman"/>
          <w:b/>
          <w:color w:val="000000"/>
          <w:sz w:val="24"/>
          <w:szCs w:val="24"/>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hint="eastAsia" w:ascii="宋体" w:hAnsi="宋体" w:eastAsia="宋体" w:cs="宋体"/>
          <w:b/>
          <w:color w:val="000000"/>
          <w:sz w:val="24"/>
          <w:szCs w:val="24"/>
          <w:lang w:eastAsia="zh-CN"/>
        </w:rPr>
      </w:pPr>
      <w:r>
        <w:rPr>
          <w:rFonts w:hint="eastAsia" w:ascii="宋体" w:hAnsi="宋体" w:eastAsia="宋体" w:cs="宋体"/>
          <w:b/>
          <w:color w:val="000000"/>
          <w:sz w:val="24"/>
          <w:szCs w:val="24"/>
        </w:rPr>
        <w:t>评标流程：</w:t>
      </w:r>
    </w:p>
    <w:p w14:paraId="4CC4566B">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w:t>
      </w:r>
      <w:r>
        <w:rPr>
          <w:rFonts w:hint="eastAsia" w:ascii="宋体" w:hAnsi="宋体" w:eastAsia="宋体" w:cs="宋体"/>
          <w:b/>
          <w:bCs/>
          <w:color w:val="000000"/>
          <w:sz w:val="24"/>
          <w:szCs w:val="24"/>
          <w:highlight w:val="none"/>
          <w:lang w:val="en-US" w:eastAsia="zh-CN"/>
        </w:rPr>
        <w:t>要求</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963A6C">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技术标评分标准见附件1</w:t>
      </w: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yellow"/>
        </w:rPr>
      </w:pPr>
      <w:r>
        <w:rPr>
          <w:rFonts w:hint="eastAsia" w:ascii="宋体" w:hAnsi="宋体" w:eastAsia="宋体" w:cs="宋体"/>
          <w:b/>
          <w:sz w:val="24"/>
          <w:szCs w:val="24"/>
          <w:highlight w:val="yellow"/>
        </w:rPr>
        <w:t>注意：投标人均需要自带笔记本电脑在重汽e采通进行自主投标和提交澄清函；投标和提交澄清函均有时间限制，超时未提交的按无效处理。</w:t>
      </w:r>
    </w:p>
    <w:p w14:paraId="1E5FCCEA">
      <w:pPr>
        <w:numPr>
          <w:ilvl w:val="0"/>
          <w:numId w:val="9"/>
        </w:numPr>
        <w:spacing w:line="360" w:lineRule="auto"/>
        <w:jc w:val="both"/>
        <w:rPr>
          <w:rFonts w:hint="default" w:ascii="Times New Roman" w:hAnsi="Times New Roman" w:eastAsia="宋体" w:cs="Times New Roman"/>
          <w:b/>
          <w:color w:val="auto"/>
          <w:sz w:val="24"/>
          <w:szCs w:val="24"/>
        </w:rPr>
      </w:pPr>
      <w:r>
        <w:rPr>
          <w:rFonts w:hint="eastAsia" w:ascii="宋体" w:hAnsi="宋体" w:eastAsia="宋体" w:cs="宋体"/>
          <w:b/>
          <w:sz w:val="24"/>
          <w:szCs w:val="24"/>
        </w:rPr>
        <w:t>中标人确定：</w:t>
      </w:r>
      <w:r>
        <w:rPr>
          <w:rFonts w:hint="default" w:ascii="Times New Roman" w:hAnsi="Times New Roman" w:eastAsia="宋体" w:cs="Times New Roman"/>
          <w:b/>
          <w:color w:val="auto"/>
          <w:sz w:val="24"/>
          <w:szCs w:val="24"/>
          <w:lang w:val="en-US" w:eastAsia="zh-CN"/>
        </w:rPr>
        <w:t>技术标入围后，原则上综合评标最高分中标</w:t>
      </w:r>
      <w:r>
        <w:rPr>
          <w:rFonts w:hint="default" w:ascii="Times New Roman" w:hAnsi="Times New Roman" w:eastAsia="宋体" w:cs="Times New Roman"/>
          <w:b/>
          <w:color w:val="auto"/>
          <w:sz w:val="24"/>
          <w:szCs w:val="24"/>
        </w:rPr>
        <w:t>。</w:t>
      </w: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w:t>
      </w:r>
      <w:r>
        <w:rPr>
          <w:rFonts w:hint="eastAsia" w:ascii="宋体" w:hAnsi="宋体" w:eastAsia="宋体" w:cs="宋体"/>
          <w:color w:val="000000"/>
          <w:sz w:val="24"/>
          <w:szCs w:val="24"/>
          <w:highlight w:val="none"/>
        </w:rPr>
        <w:t>只产生一个中标人</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0A3E465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color w:val="000000"/>
          <w:sz w:val="24"/>
          <w:szCs w:val="24"/>
          <w:lang w:eastAsia="zh-CN"/>
        </w:rPr>
        <w:t>。</w:t>
      </w:r>
    </w:p>
    <w:p w14:paraId="70AAE813">
      <w:pPr>
        <w:spacing w:line="360" w:lineRule="auto"/>
        <w:ind w:firstLine="482" w:firstLineChars="200"/>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5</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hint="eastAsia" w:ascii="宋体" w:hAnsi="宋体" w:eastAsia="宋体" w:cs="宋体"/>
          <w:b/>
          <w:bCs/>
          <w:sz w:val="24"/>
          <w:szCs w:val="24"/>
          <w:highlight w:val="none"/>
          <w:lang w:eastAsia="zh-CN"/>
        </w:rPr>
      </w:pPr>
      <w:r>
        <w:rPr>
          <w:rFonts w:hint="eastAsia" w:ascii="宋体" w:hAnsi="宋体" w:eastAsia="宋体" w:cs="宋体"/>
          <w:sz w:val="24"/>
          <w:szCs w:val="24"/>
        </w:rPr>
        <w:t>（9）</w:t>
      </w:r>
      <w:r>
        <w:rPr>
          <w:rFonts w:hint="eastAsia" w:ascii="宋体" w:hAnsi="宋体" w:eastAsia="宋体" w:cs="宋体"/>
          <w:sz w:val="24"/>
          <w:szCs w:val="24"/>
          <w:highlight w:val="none"/>
        </w:rPr>
        <w:t>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76EE1099">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highlight w:val="none"/>
        </w:rPr>
        <w:t>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9"/>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w:t>
      </w:r>
      <w:r>
        <w:rPr>
          <w:rFonts w:hint="eastAsia" w:ascii="宋体" w:hAnsi="宋体" w:eastAsia="宋体" w:cs="宋体"/>
          <w:b/>
          <w:color w:val="000000"/>
          <w:sz w:val="24"/>
          <w:szCs w:val="24"/>
          <w:highlight w:val="none"/>
          <w:lang w:val="en-US" w:eastAsia="zh-CN"/>
        </w:rPr>
        <w:t>济南动力有限</w:t>
      </w:r>
      <w:r>
        <w:rPr>
          <w:rFonts w:hint="eastAsia" w:ascii="宋体" w:hAnsi="宋体" w:eastAsia="宋体" w:cs="宋体"/>
          <w:b/>
          <w:color w:val="000000"/>
          <w:sz w:val="24"/>
          <w:szCs w:val="24"/>
          <w:highlight w:val="none"/>
          <w:lang w:eastAsia="zh-CN"/>
        </w:rPr>
        <w:t>公司</w:t>
      </w:r>
      <w:r>
        <w:rPr>
          <w:rFonts w:hint="eastAsia" w:ascii="宋体" w:hAnsi="宋体" w:eastAsia="宋体" w:cs="宋体"/>
          <w:b/>
          <w:color w:val="000000"/>
          <w:sz w:val="24"/>
          <w:szCs w:val="24"/>
        </w:rPr>
        <w:t>。</w:t>
      </w:r>
    </w:p>
    <w:p w14:paraId="63FC4440">
      <w:pPr>
        <w:pStyle w:val="16"/>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16"/>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1.投标人所投标设备详细技术资料清单，在标书中列示说明</w:t>
      </w:r>
      <w:r>
        <w:rPr>
          <w:rFonts w:hint="eastAsia" w:ascii="宋体" w:hAnsi="宋体" w:eastAsia="宋体" w:cs="宋体"/>
          <w:color w:val="000000"/>
          <w:sz w:val="24"/>
          <w:szCs w:val="24"/>
          <w:lang w:eastAsia="zh-CN"/>
        </w:rPr>
        <w:t>。</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hint="eastAsia" w:ascii="宋体" w:hAnsi="宋体" w:eastAsia="宋体" w:cs="宋体"/>
          <w:b/>
          <w:bCs/>
          <w:sz w:val="24"/>
          <w:szCs w:val="24"/>
          <w:lang w:eastAsia="zh-CN"/>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本项目投标文件为</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w:t>
      </w:r>
      <w:r>
        <w:rPr>
          <w:rFonts w:hint="eastAsia" w:ascii="宋体" w:hAnsi="宋体" w:eastAsia="宋体" w:cs="宋体"/>
          <w:bCs/>
          <w:sz w:val="24"/>
          <w:szCs w:val="24"/>
          <w:highlight w:val="none"/>
          <w:lang w:eastAsia="zh-CN"/>
        </w:rPr>
        <w:t>（电子版为纸质盖章版的扫描件或加盖电子章，不盖章无效）</w:t>
      </w:r>
      <w:r>
        <w:rPr>
          <w:rFonts w:hint="eastAsia" w:ascii="宋体" w:hAnsi="宋体" w:eastAsia="宋体" w:cs="宋体"/>
          <w:bCs/>
          <w:sz w:val="24"/>
          <w:szCs w:val="24"/>
          <w:highlight w:val="none"/>
        </w:rPr>
        <w:t>，均由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w:t>
      </w:r>
      <w:r>
        <w:rPr>
          <w:rFonts w:hint="eastAsia" w:ascii="宋体" w:hAnsi="宋体" w:eastAsia="宋体" w:cs="宋体"/>
          <w:bCs/>
          <w:color w:val="000000"/>
          <w:sz w:val="24"/>
          <w:szCs w:val="24"/>
          <w:highlight w:val="none"/>
        </w:rPr>
        <w:t>附件格式1—13</w:t>
      </w:r>
      <w:r>
        <w:rPr>
          <w:rFonts w:hint="eastAsia" w:ascii="宋体" w:hAnsi="宋体" w:eastAsia="宋体" w:cs="宋体"/>
          <w:bCs/>
          <w:color w:val="000000"/>
          <w:sz w:val="24"/>
          <w:szCs w:val="24"/>
        </w:rPr>
        <w:t>，其余未尽事宜请按各单位习惯制定即可。</w:t>
      </w:r>
    </w:p>
    <w:p w14:paraId="2A4DF159">
      <w:pPr>
        <w:spacing w:line="360" w:lineRule="auto"/>
        <w:ind w:firstLine="482" w:firstLineChars="200"/>
        <w:rPr>
          <w:rFonts w:hint="eastAsia" w:ascii="宋体" w:hAnsi="宋体" w:eastAsia="宋体" w:cs="宋体"/>
          <w:color w:val="000000"/>
          <w:sz w:val="24"/>
          <w:szCs w:val="24"/>
          <w:lang w:eastAsia="zh-CN"/>
        </w:rPr>
      </w:pPr>
      <w:r>
        <w:rPr>
          <w:rFonts w:hint="eastAsia" w:ascii="宋体" w:hAnsi="宋体" w:eastAsia="宋体" w:cs="宋体"/>
          <w:b/>
          <w:bCs/>
          <w:sz w:val="24"/>
          <w:szCs w:val="24"/>
        </w:rPr>
        <w:t>1.</w:t>
      </w:r>
      <w:r>
        <w:rPr>
          <w:rFonts w:hint="eastAsia" w:ascii="宋体" w:hAnsi="宋体" w:eastAsia="宋体" w:cs="宋体"/>
          <w:b/>
          <w:bCs/>
          <w:sz w:val="24"/>
          <w:szCs w:val="24"/>
          <w:highlight w:val="none"/>
        </w:rPr>
        <w:t>《投标文件（资质标）》包括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3B442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w:t>
      </w:r>
      <w:r>
        <w:rPr>
          <w:rFonts w:hint="eastAsia" w:ascii="宋体" w:hAnsi="宋体" w:eastAsia="宋体" w:cs="宋体"/>
          <w:color w:val="000000"/>
          <w:sz w:val="24"/>
          <w:szCs w:val="24"/>
          <w:highlight w:val="none"/>
        </w:rPr>
        <w:t>（附件1）</w:t>
      </w:r>
      <w:r>
        <w:rPr>
          <w:rFonts w:hint="eastAsia" w:ascii="宋体" w:hAnsi="宋体" w:eastAsia="宋体" w:cs="宋体"/>
          <w:color w:val="000000"/>
          <w:sz w:val="24"/>
          <w:szCs w:val="24"/>
        </w:rPr>
        <w:t>；</w:t>
      </w:r>
    </w:p>
    <w:p w14:paraId="155E58A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w:t>
      </w:r>
      <w:r>
        <w:rPr>
          <w:rFonts w:hint="eastAsia" w:ascii="宋体" w:hAnsi="宋体" w:eastAsia="宋体" w:cs="宋体"/>
          <w:color w:val="000000"/>
          <w:sz w:val="24"/>
          <w:szCs w:val="24"/>
          <w:highlight w:val="none"/>
        </w:rPr>
        <w:t>（附件2）</w:t>
      </w:r>
      <w:r>
        <w:rPr>
          <w:rFonts w:hint="eastAsia" w:ascii="宋体" w:hAnsi="宋体" w:eastAsia="宋体" w:cs="宋体"/>
          <w:color w:val="000000"/>
          <w:sz w:val="24"/>
          <w:szCs w:val="24"/>
        </w:rPr>
        <w:t>；法定代表人参加投标的，提供法人身份证明文件即可；被授权人参加投标的，需提供法定代表人授权委托书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rPr>
        <w:t>；</w:t>
      </w:r>
    </w:p>
    <w:p w14:paraId="614B6AF1">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3385DB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14F39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AC7B2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572AE4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381B3A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w:t>
      </w:r>
      <w:r>
        <w:rPr>
          <w:rFonts w:hint="eastAsia" w:ascii="宋体" w:hAnsi="宋体" w:eastAsia="宋体" w:cs="宋体"/>
          <w:color w:val="000000"/>
          <w:sz w:val="24"/>
          <w:szCs w:val="24"/>
          <w:highlight w:val="none"/>
        </w:rPr>
        <w:t>（附件4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需盖章</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rPr>
        <w:t>；</w:t>
      </w:r>
    </w:p>
    <w:p w14:paraId="41D4C9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w:t>
      </w:r>
      <w:r>
        <w:rPr>
          <w:rFonts w:hint="eastAsia" w:ascii="宋体" w:hAnsi="宋体" w:eastAsia="宋体" w:cs="宋体"/>
          <w:color w:val="000000"/>
          <w:sz w:val="24"/>
          <w:szCs w:val="24"/>
        </w:rPr>
        <w:t>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1B5484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投标保证金缴纳凭证，同时正文描述付款账号、户名、开户行名称、开户行行号、保证金金额。</w:t>
      </w:r>
    </w:p>
    <w:p w14:paraId="1475EEA1">
      <w:pPr>
        <w:spacing w:line="360" w:lineRule="auto"/>
        <w:ind w:firstLine="482" w:firstLineChars="200"/>
        <w:rPr>
          <w:rFonts w:hint="eastAsia" w:ascii="宋体" w:hAnsi="宋体" w:eastAsia="宋体" w:cs="宋体"/>
          <w:b/>
          <w:bCs/>
          <w:sz w:val="24"/>
          <w:szCs w:val="24"/>
          <w:highlight w:val="none"/>
          <w:lang w:eastAsia="zh-CN"/>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w:t>
      </w:r>
      <w:r>
        <w:rPr>
          <w:rFonts w:hint="eastAsia" w:ascii="宋体" w:hAnsi="宋体" w:eastAsia="宋体" w:cs="宋体"/>
          <w:color w:val="000000"/>
          <w:sz w:val="24"/>
          <w:szCs w:val="24"/>
          <w:highlight w:val="none"/>
          <w:lang w:val="en-US" w:eastAsia="zh-CN"/>
        </w:rPr>
        <w:t>附件6，</w:t>
      </w:r>
      <w:r>
        <w:rPr>
          <w:rFonts w:hint="eastAsia" w:ascii="宋体" w:hAnsi="宋体" w:eastAsia="宋体" w:cs="宋体"/>
          <w:color w:val="000000"/>
          <w:sz w:val="24"/>
          <w:szCs w:val="24"/>
          <w:highlight w:val="none"/>
        </w:rPr>
        <w:t>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rPr>
        <w:t>：</w:t>
      </w:r>
    </w:p>
    <w:p w14:paraId="22F7383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356A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rPr>
        <w:t>；</w:t>
      </w:r>
    </w:p>
    <w:p w14:paraId="79308D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6A383A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9FF9B4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DF4D04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val="en-US" w:eastAsia="zh-CN"/>
        </w:rPr>
        <w:t>;</w:t>
      </w:r>
    </w:p>
    <w:p w14:paraId="5303BC43">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Times New Roman"/>
          <w:color w:val="000000"/>
          <w:sz w:val="24"/>
          <w:szCs w:val="24"/>
          <w:lang w:val="en-US" w:eastAsia="zh-CN"/>
        </w:rPr>
        <w:t>技术条件满足</w:t>
      </w:r>
      <w:r>
        <w:rPr>
          <w:rFonts w:hint="eastAsia" w:ascii="宋体" w:hAnsi="宋体" w:eastAsia="宋体" w:cs="宋体"/>
          <w:color w:val="000000"/>
          <w:sz w:val="24"/>
          <w:szCs w:val="24"/>
          <w:lang w:val="en-US" w:eastAsia="zh-CN"/>
        </w:rPr>
        <w:t>招标</w:t>
      </w:r>
      <w:r>
        <w:rPr>
          <w:rFonts w:hint="eastAsia" w:ascii="宋体" w:hAnsi="宋体" w:eastAsia="宋体" w:cs="Times New Roman"/>
          <w:color w:val="000000"/>
          <w:sz w:val="24"/>
          <w:szCs w:val="24"/>
          <w:lang w:val="en-US" w:eastAsia="zh-CN"/>
        </w:rPr>
        <w:t>文件的承诺书</w:t>
      </w:r>
      <w:r>
        <w:rPr>
          <w:rFonts w:hint="eastAsia" w:ascii="宋体" w:hAnsi="宋体" w:eastAsia="宋体" w:cs="Times New Roman"/>
          <w:color w:val="000000"/>
          <w:sz w:val="24"/>
          <w:szCs w:val="24"/>
        </w:rPr>
        <w:t>。</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AF96B5A">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D9385C8">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6F80012D">
      <w:pPr>
        <w:pStyle w:val="16"/>
      </w:pPr>
    </w:p>
    <w:p w14:paraId="7FFB6732">
      <w:pPr>
        <w:pageBreakBefore w:val="0"/>
        <w:kinsoku/>
        <w:overflowPunct/>
        <w:topLinePunct w:val="0"/>
        <w:bidi w:val="0"/>
        <w:spacing w:line="360" w:lineRule="auto"/>
        <w:ind w:left="0" w:leftChars="0" w:right="0" w:rightChars="0" w:firstLine="932" w:firstLineChars="200"/>
        <w:jc w:val="center"/>
        <w:rPr>
          <w:rFonts w:hint="default" w:ascii="Times New Roman" w:hAnsi="Times New Roman" w:eastAsia="宋体" w:cs="Times New Roman"/>
          <w:color w:val="000000"/>
          <w:sz w:val="28"/>
          <w:szCs w:val="28"/>
          <w:highlight w:val="none"/>
        </w:rPr>
      </w:pPr>
      <w:bookmarkStart w:id="33" w:name="_Toc465187648"/>
      <w:bookmarkStart w:id="34" w:name="_Toc169605884"/>
      <w:bookmarkStart w:id="35" w:name="_Toc169605877"/>
      <w:r>
        <w:rPr>
          <w:rFonts w:hint="eastAsia" w:ascii="Calibri" w:hAnsi="宋体" w:eastAsia="宋体" w:cs="Times New Roman"/>
          <w:b/>
          <w:bCs/>
          <w:color w:val="000000"/>
          <w:spacing w:val="-8"/>
          <w:sz w:val="48"/>
          <w:szCs w:val="44"/>
          <w:highlight w:val="none"/>
          <w:lang w:val="en-US" w:eastAsia="zh-CN"/>
        </w:rPr>
        <w:t>中国重汽集团</w:t>
      </w:r>
      <w:r>
        <w:rPr>
          <w:rFonts w:hint="eastAsia" w:ascii="Calibri" w:hAnsi="宋体" w:eastAsia="宋体" w:cs="Times New Roman"/>
          <w:b/>
          <w:bCs/>
          <w:color w:val="000000"/>
          <w:spacing w:val="-8"/>
          <w:sz w:val="48"/>
          <w:szCs w:val="44"/>
          <w:highlight w:val="none"/>
        </w:rPr>
        <w:t>济南</w:t>
      </w:r>
      <w:r>
        <w:rPr>
          <w:rFonts w:hint="eastAsia" w:ascii="Calibri" w:hAnsi="宋体" w:eastAsia="宋体" w:cs="Times New Roman"/>
          <w:b/>
          <w:bCs/>
          <w:color w:val="000000"/>
          <w:spacing w:val="-8"/>
          <w:sz w:val="48"/>
          <w:szCs w:val="44"/>
          <w:highlight w:val="none"/>
          <w:lang w:val="en-US" w:eastAsia="zh-CN"/>
        </w:rPr>
        <w:t>动力有限</w:t>
      </w:r>
      <w:r>
        <w:rPr>
          <w:rFonts w:hint="eastAsia" w:ascii="Calibri" w:hAnsi="宋体" w:eastAsia="宋体" w:cs="Times New Roman"/>
          <w:b/>
          <w:bCs/>
          <w:color w:val="000000"/>
          <w:spacing w:val="-8"/>
          <w:sz w:val="48"/>
          <w:szCs w:val="44"/>
          <w:highlight w:val="none"/>
        </w:rPr>
        <w:t>公司</w:t>
      </w:r>
      <w:r>
        <w:rPr>
          <w:rFonts w:ascii="Times New Roman" w:hAnsi="Times New Roman" w:eastAsia="宋体" w:cs="Times New Roman"/>
          <w:b/>
          <w:bCs/>
          <w:color w:val="000000"/>
          <w:spacing w:val="-8"/>
          <w:sz w:val="48"/>
          <w:szCs w:val="44"/>
          <w:highlight w:val="none"/>
        </w:rPr>
        <w:t>产品试验检测中心</w:t>
      </w:r>
      <w:r>
        <w:rPr>
          <w:rFonts w:hint="eastAsia" w:ascii="Times New Roman" w:hAnsi="Times New Roman" w:eastAsia="宋体" w:cs="Times New Roman"/>
          <w:b/>
          <w:bCs/>
          <w:color w:val="000000"/>
          <w:spacing w:val="-8"/>
          <w:sz w:val="48"/>
          <w:szCs w:val="44"/>
          <w:highlight w:val="none"/>
        </w:rPr>
        <w:t>科技园区试验室集装箱式气瓶间改造项目</w:t>
      </w:r>
    </w:p>
    <w:p w14:paraId="0586E4FB">
      <w:pPr>
        <w:jc w:val="right"/>
        <w:rPr>
          <w:rFonts w:ascii="Calibri" w:hAnsi="Calibri" w:eastAsia="宋体" w:cs="Times New Roman"/>
          <w:color w:val="000000"/>
          <w:sz w:val="28"/>
          <w:szCs w:val="28"/>
        </w:rPr>
      </w:pPr>
    </w:p>
    <w:p w14:paraId="2AD2F675">
      <w:pPr>
        <w:pStyle w:val="16"/>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0E9C0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572E60D">
      <w:pPr>
        <w:pStyle w:val="16"/>
      </w:pPr>
    </w:p>
    <w:p w14:paraId="7A487CF2">
      <w:pPr>
        <w:pStyle w:val="16"/>
        <w:rPr>
          <w:rFonts w:ascii="黑体" w:hAnsi="宋体" w:eastAsia="黑体" w:cs="Times New Roman"/>
          <w:color w:val="000000"/>
          <w:sz w:val="72"/>
          <w:szCs w:val="72"/>
        </w:rPr>
      </w:pPr>
    </w:p>
    <w:p w14:paraId="697F9C5C">
      <w:pPr>
        <w:pStyle w:val="16"/>
        <w:rPr>
          <w:rFonts w:ascii="黑体" w:hAnsi="宋体" w:eastAsia="黑体" w:cs="Times New Roman"/>
          <w:color w:val="000000"/>
          <w:sz w:val="72"/>
          <w:szCs w:val="72"/>
        </w:rPr>
      </w:pPr>
    </w:p>
    <w:p w14:paraId="4D231187">
      <w:pPr>
        <w:spacing w:line="860" w:lineRule="exact"/>
        <w:rPr>
          <w:rFonts w:ascii="华文仿宋" w:hAnsi="华文仿宋" w:eastAsia="华文仿宋"/>
          <w:sz w:val="32"/>
          <w:szCs w:val="28"/>
        </w:rPr>
      </w:pPr>
    </w:p>
    <w:p w14:paraId="3A782835">
      <w:pPr>
        <w:spacing w:line="860" w:lineRule="exact"/>
        <w:rPr>
          <w:rFonts w:ascii="华文仿宋" w:hAnsi="华文仿宋" w:eastAsia="华文仿宋"/>
          <w:sz w:val="32"/>
          <w:szCs w:val="28"/>
        </w:rPr>
      </w:pPr>
    </w:p>
    <w:p w14:paraId="6CBB6578">
      <w:pPr>
        <w:spacing w:line="860" w:lineRule="exact"/>
        <w:rPr>
          <w:rFonts w:hint="eastAsia" w:ascii="华文仿宋" w:hAnsi="华文仿宋" w:eastAsia="华文仿宋"/>
          <w:b/>
          <w:bCs/>
          <w:sz w:val="32"/>
          <w:szCs w:val="28"/>
          <w:lang w:eastAsia="zh-CN"/>
        </w:rPr>
      </w:pPr>
    </w:p>
    <w:p w14:paraId="3645AEF0">
      <w:pPr>
        <w:pStyle w:val="16"/>
        <w:rPr>
          <w:b/>
          <w:bCs/>
        </w:rPr>
      </w:pPr>
    </w:p>
    <w:p w14:paraId="68828B14">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招标人：</w:t>
      </w:r>
      <w:r>
        <w:rPr>
          <w:rFonts w:hint="eastAsia" w:ascii="宋体" w:hAnsi="宋体" w:eastAsia="宋体" w:cs="Times New Roman"/>
          <w:color w:val="000000"/>
          <w:sz w:val="28"/>
          <w:szCs w:val="28"/>
          <w:highlight w:val="none"/>
          <w:lang w:eastAsia="zh-CN"/>
        </w:rPr>
        <w:t>中国重汽集团济南</w:t>
      </w:r>
      <w:r>
        <w:rPr>
          <w:rFonts w:hint="eastAsia" w:ascii="宋体" w:hAnsi="宋体" w:eastAsia="宋体" w:cs="Times New Roman"/>
          <w:color w:val="000000"/>
          <w:sz w:val="28"/>
          <w:szCs w:val="28"/>
          <w:highlight w:val="none"/>
          <w:lang w:val="en-US" w:eastAsia="zh-CN"/>
        </w:rPr>
        <w:t>动力</w:t>
      </w:r>
      <w:r>
        <w:rPr>
          <w:rFonts w:hint="eastAsia" w:ascii="宋体" w:hAnsi="宋体" w:eastAsia="宋体" w:cs="Times New Roman"/>
          <w:color w:val="000000"/>
          <w:sz w:val="28"/>
          <w:szCs w:val="28"/>
          <w:highlight w:val="none"/>
          <w:lang w:eastAsia="zh-CN"/>
        </w:rPr>
        <w:t>有限公司</w:t>
      </w:r>
    </w:p>
    <w:p w14:paraId="6AC6B9CA">
      <w:pPr>
        <w:jc w:val="center"/>
        <w:rPr>
          <w:rFonts w:ascii="Calibri" w:hAnsi="Calibri" w:eastAsia="宋体" w:cs="Times New Roman"/>
          <w:color w:val="000000"/>
          <w:sz w:val="28"/>
          <w:szCs w:val="28"/>
        </w:rPr>
      </w:pPr>
    </w:p>
    <w:p w14:paraId="76446F7A">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11</w:t>
      </w:r>
      <w:r>
        <w:rPr>
          <w:rFonts w:hint="eastAsia" w:ascii="Calibri" w:hAnsi="Calibri" w:eastAsia="宋体" w:cs="Times New Roman"/>
          <w:color w:val="000000"/>
          <w:sz w:val="28"/>
          <w:szCs w:val="28"/>
          <w:highlight w:val="none"/>
        </w:rPr>
        <w:t>月</w:t>
      </w:r>
    </w:p>
    <w:p w14:paraId="56EC1A14">
      <w:pPr>
        <w:spacing w:line="360" w:lineRule="auto"/>
        <w:rPr>
          <w:rFonts w:ascii="宋体" w:hAnsi="宋体" w:eastAsia="宋体" w:cs="Times New Roman"/>
          <w:b/>
          <w:sz w:val="36"/>
          <w:szCs w:val="36"/>
        </w:rPr>
        <w:sectPr>
          <w:footerReference r:id="rId10" w:type="default"/>
          <w:pgSz w:w="11907" w:h="16840"/>
          <w:pgMar w:top="1304" w:right="1418" w:bottom="1304" w:left="1418" w:header="724" w:footer="851" w:gutter="0"/>
          <w:cols w:space="720" w:num="1"/>
          <w:docGrid w:linePitch="290" w:charSpace="-3931"/>
        </w:sectPr>
      </w:pPr>
    </w:p>
    <w:p w14:paraId="4D025D92">
      <w:pPr>
        <w:keepNext/>
        <w:keepLines/>
        <w:pageBreakBefore w:val="0"/>
        <w:kinsoku/>
        <w:overflowPunct/>
        <w:topLinePunct w:val="0"/>
        <w:bidi w:val="0"/>
        <w:spacing w:line="360" w:lineRule="auto"/>
        <w:ind w:left="0" w:leftChars="0" w:right="0" w:rightChars="0" w:firstLine="562" w:firstLineChars="200"/>
        <w:jc w:val="both"/>
        <w:outlineLvl w:val="1"/>
        <w:rPr>
          <w:rFonts w:hint="default" w:ascii="Times New Roman" w:hAnsi="Times New Roman" w:eastAsia="宋体" w:cs="Times New Roman"/>
          <w:b/>
          <w:bCs/>
          <w:kern w:val="44"/>
          <w:sz w:val="28"/>
          <w:szCs w:val="28"/>
          <w:highlight w:val="none"/>
        </w:rPr>
      </w:pPr>
      <w:bookmarkStart w:id="36" w:name="_Toc27758106"/>
      <w:bookmarkStart w:id="37" w:name="_Toc26357117"/>
      <w:bookmarkStart w:id="38" w:name="_Toc22764"/>
      <w:bookmarkStart w:id="39" w:name="_Toc18103"/>
      <w:r>
        <w:rPr>
          <w:rFonts w:hint="default" w:ascii="Times New Roman" w:hAnsi="Times New Roman" w:eastAsia="宋体" w:cs="Times New Roman"/>
          <w:b/>
          <w:bCs/>
          <w:kern w:val="44"/>
          <w:sz w:val="28"/>
          <w:szCs w:val="28"/>
          <w:highlight w:val="none"/>
        </w:rPr>
        <w:t>第一章  采购货物概况</w:t>
      </w:r>
    </w:p>
    <w:p w14:paraId="75D39972">
      <w:pPr>
        <w:keepNext/>
        <w:keepLines/>
        <w:pageBreakBefore w:val="0"/>
        <w:kinsoku/>
        <w:overflowPunct/>
        <w:topLinePunct w:val="0"/>
        <w:bidi w:val="0"/>
        <w:spacing w:line="360" w:lineRule="auto"/>
        <w:ind w:left="0" w:leftChars="0" w:right="0" w:rightChars="0" w:firstLine="482" w:firstLineChars="200"/>
        <w:jc w:val="both"/>
        <w:outlineLvl w:val="2"/>
        <w:rPr>
          <w:rFonts w:hint="default" w:ascii="Times New Roman" w:hAnsi="Times New Roman" w:eastAsia="宋体" w:cs="Times New Roman"/>
          <w:b/>
          <w:bCs/>
          <w:sz w:val="24"/>
          <w:szCs w:val="24"/>
          <w:highlight w:val="none"/>
        </w:rPr>
      </w:pPr>
      <w:bookmarkStart w:id="40" w:name="_Toc169605878"/>
      <w:r>
        <w:rPr>
          <w:rFonts w:hint="default" w:ascii="Times New Roman" w:hAnsi="Times New Roman" w:eastAsia="宋体" w:cs="Times New Roman"/>
          <w:b/>
          <w:bCs/>
          <w:sz w:val="24"/>
          <w:szCs w:val="24"/>
          <w:highlight w:val="none"/>
        </w:rPr>
        <w:t>第一节  使用环境</w:t>
      </w:r>
      <w:bookmarkEnd w:id="40"/>
    </w:p>
    <w:p w14:paraId="434FEFB3">
      <w:pPr>
        <w:pageBreakBefore w:val="0"/>
        <w:kinsoku/>
        <w:wordWrap/>
        <w:overflowPunct/>
        <w:topLinePunct w:val="0"/>
        <w:bidi w:val="0"/>
        <w:spacing w:line="360" w:lineRule="auto"/>
        <w:ind w:left="0" w:leftChars="0" w:right="0" w:rightChars="0" w:firstLine="480" w:firstLineChars="200"/>
        <w:jc w:val="both"/>
        <w:outlineLvl w:val="3"/>
        <w:rPr>
          <w:rFonts w:hint="default" w:ascii="Times New Roman" w:hAnsi="Times New Roman" w:eastAsia="宋体" w:cs="Times New Roman"/>
          <w:sz w:val="24"/>
          <w:szCs w:val="24"/>
          <w:highlight w:val="none"/>
          <w:u w:val="single"/>
          <w:shd w:val="pct10" w:color="auto" w:fill="FFFFFF"/>
          <w:lang w:val="en-US" w:eastAsia="zh-CN"/>
        </w:rPr>
      </w:pPr>
      <w:r>
        <w:rPr>
          <w:rFonts w:hint="default" w:ascii="Times New Roman" w:hAnsi="Times New Roman" w:eastAsia="宋体" w:cs="Times New Roman"/>
          <w:sz w:val="24"/>
          <w:szCs w:val="24"/>
          <w:highlight w:val="none"/>
        </w:rPr>
        <w:t>一、项目名称：</w:t>
      </w:r>
      <w:r>
        <w:rPr>
          <w:rFonts w:hint="eastAsia" w:ascii="Times New Roman" w:hAnsi="Times New Roman" w:eastAsia="宋体" w:cs="Times New Roman"/>
          <w:sz w:val="24"/>
          <w:szCs w:val="24"/>
          <w:highlight w:val="none"/>
          <w:u w:val="single"/>
          <w:lang w:val="en-US" w:eastAsia="zh-CN"/>
        </w:rPr>
        <w:t>产品试验检测中心集</w:t>
      </w:r>
      <w:r>
        <w:rPr>
          <w:rFonts w:hint="default" w:ascii="Times New Roman" w:hAnsi="Times New Roman" w:eastAsia="宋体" w:cs="Times New Roman"/>
          <w:sz w:val="24"/>
          <w:szCs w:val="24"/>
          <w:highlight w:val="none"/>
          <w:u w:val="single"/>
          <w:lang w:val="en-US" w:eastAsia="zh-CN"/>
        </w:rPr>
        <w:t>装箱式气瓶间改造</w:t>
      </w:r>
      <w:r>
        <w:rPr>
          <w:rFonts w:hint="default" w:ascii="Times New Roman" w:hAnsi="Times New Roman" w:eastAsia="宋体" w:cs="Times New Roman"/>
          <w:color w:val="auto"/>
          <w:sz w:val="24"/>
          <w:szCs w:val="24"/>
          <w:highlight w:val="none"/>
          <w:u w:val="single"/>
          <w:lang w:val="en-US" w:eastAsia="zh-CN"/>
        </w:rPr>
        <w:t>项目</w:t>
      </w:r>
    </w:p>
    <w:p w14:paraId="2613637C">
      <w:pPr>
        <w:pageBreakBefore w:val="0"/>
        <w:kinsoku/>
        <w:wordWrap/>
        <w:overflowPunct/>
        <w:topLinePunct w:val="0"/>
        <w:bidi w:val="0"/>
        <w:spacing w:line="360" w:lineRule="auto"/>
        <w:ind w:left="0" w:leftChars="0" w:right="0" w:rightChars="0" w:firstLine="480" w:firstLineChars="200"/>
        <w:jc w:val="both"/>
        <w:outlineLvl w:val="3"/>
        <w:rPr>
          <w:rFonts w:hint="default" w:ascii="Times New Roman" w:hAnsi="Times New Roman" w:eastAsia="宋体" w:cs="Times New Roman"/>
          <w:sz w:val="24"/>
          <w:szCs w:val="24"/>
          <w:highlight w:val="none"/>
          <w:u w:val="single"/>
          <w:shd w:val="pct10" w:color="auto" w:fill="FFFFFF"/>
        </w:rPr>
      </w:pPr>
      <w:r>
        <w:rPr>
          <w:rFonts w:hint="default" w:ascii="Times New Roman" w:hAnsi="Times New Roman" w:eastAsia="宋体" w:cs="Times New Roman"/>
          <w:sz w:val="24"/>
          <w:szCs w:val="24"/>
          <w:highlight w:val="none"/>
        </w:rPr>
        <w:t>二、建设地点：</w:t>
      </w:r>
      <w:r>
        <w:rPr>
          <w:rFonts w:hint="default" w:ascii="Times New Roman" w:hAnsi="Times New Roman" w:eastAsia="宋体" w:cs="Times New Roman"/>
          <w:sz w:val="24"/>
          <w:szCs w:val="24"/>
          <w:highlight w:val="none"/>
          <w:u w:val="single"/>
        </w:rPr>
        <w:t>济南市高新区华奥路777号重汽科技园区</w:t>
      </w:r>
    </w:p>
    <w:p w14:paraId="615E3DA0">
      <w:pPr>
        <w:pageBreakBefore w:val="0"/>
        <w:kinsoku/>
        <w:wordWrap/>
        <w:overflowPunct/>
        <w:topLinePunct w:val="0"/>
        <w:bidi w:val="0"/>
        <w:spacing w:line="360" w:lineRule="auto"/>
        <w:ind w:left="0" w:leftChars="0" w:right="0" w:rightChars="0" w:firstLine="480"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三、使用地点：</w:t>
      </w:r>
      <w:r>
        <w:rPr>
          <w:rFonts w:hint="default" w:ascii="Times New Roman" w:hAnsi="Times New Roman" w:eastAsia="宋体" w:cs="Times New Roman"/>
          <w:sz w:val="24"/>
          <w:szCs w:val="24"/>
          <w:highlight w:val="none"/>
          <w:u w:val="single"/>
        </w:rPr>
        <w:t>济南市高新区华奥路777号重汽科技园区</w:t>
      </w:r>
    </w:p>
    <w:p w14:paraId="517F5E71">
      <w:pPr>
        <w:pageBreakBefore w:val="0"/>
        <w:kinsoku/>
        <w:wordWrap/>
        <w:overflowPunct/>
        <w:topLinePunct w:val="0"/>
        <w:bidi w:val="0"/>
        <w:spacing w:line="360" w:lineRule="auto"/>
        <w:ind w:left="0" w:leftChars="0" w:right="0" w:rightChars="0" w:firstLine="480"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四、工作制度：全年工作</w:t>
      </w:r>
      <w:r>
        <w:rPr>
          <w:rFonts w:hint="default" w:ascii="Times New Roman" w:hAnsi="Times New Roman" w:eastAsia="宋体" w:cs="Times New Roman"/>
          <w:sz w:val="24"/>
          <w:szCs w:val="24"/>
          <w:highlight w:val="none"/>
          <w:lang w:val="en-US" w:eastAsia="zh-CN"/>
        </w:rPr>
        <w:t>365</w:t>
      </w:r>
      <w:r>
        <w:rPr>
          <w:rFonts w:hint="default" w:ascii="Times New Roman" w:hAnsi="Times New Roman" w:eastAsia="宋体" w:cs="Times New Roman"/>
          <w:sz w:val="24"/>
          <w:szCs w:val="24"/>
          <w:highlight w:val="none"/>
        </w:rPr>
        <w:t>天、</w:t>
      </w:r>
      <w:r>
        <w:rPr>
          <w:rFonts w:hint="default"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rPr>
        <w:t>班制、设备年时基数</w:t>
      </w:r>
      <w:r>
        <w:rPr>
          <w:rFonts w:hint="default" w:ascii="Times New Roman" w:hAnsi="Times New Roman" w:eastAsia="宋体" w:cs="Times New Roman"/>
          <w:sz w:val="24"/>
          <w:szCs w:val="24"/>
          <w:highlight w:val="none"/>
          <w:lang w:val="en-US" w:eastAsia="zh-CN"/>
        </w:rPr>
        <w:t>2944</w:t>
      </w:r>
      <w:r>
        <w:rPr>
          <w:rFonts w:hint="default" w:ascii="Times New Roman" w:hAnsi="Times New Roman" w:eastAsia="宋体" w:cs="Times New Roman"/>
          <w:sz w:val="24"/>
          <w:szCs w:val="24"/>
          <w:highlight w:val="none"/>
        </w:rPr>
        <w:t>小时</w:t>
      </w:r>
    </w:p>
    <w:p w14:paraId="336A3508">
      <w:pPr>
        <w:pageBreakBefore w:val="0"/>
        <w:kinsoku/>
        <w:wordWrap/>
        <w:overflowPunct/>
        <w:topLinePunct w:val="0"/>
        <w:bidi w:val="0"/>
        <w:spacing w:line="360" w:lineRule="auto"/>
        <w:ind w:left="0" w:leftChars="0" w:right="0" w:rightChars="0" w:firstLine="480"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五、使用地点区域自然环境：</w:t>
      </w:r>
    </w:p>
    <w:p w14:paraId="58790488">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海拔高度：1000m以下。</w:t>
      </w:r>
    </w:p>
    <w:p w14:paraId="030ACE5C">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环境温度：室外极端最低温度-20℃、极端最高温度45℃，昼夜最大温差25℃。</w:t>
      </w:r>
    </w:p>
    <w:p w14:paraId="6DC84359">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3</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相对湿度：年平均59%，最大95%、最小15%。</w:t>
      </w:r>
    </w:p>
    <w:p w14:paraId="4D534920">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4</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降雨量：日最大降雨量300mm、时最大降雨量100mm。</w:t>
      </w:r>
    </w:p>
    <w:p w14:paraId="2EF68C78">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5</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最大风速：33.3m/s。</w:t>
      </w:r>
    </w:p>
    <w:p w14:paraId="09CC3A5D">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6</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最大积雪厚度：200mm。</w:t>
      </w:r>
    </w:p>
    <w:p w14:paraId="2B388EE8">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7</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最大冻土深度：450mm。</w:t>
      </w:r>
    </w:p>
    <w:p w14:paraId="1555981F">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8</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地震设防烈度：七度。</w:t>
      </w:r>
    </w:p>
    <w:p w14:paraId="1331E4F0">
      <w:pPr>
        <w:pageBreakBefore w:val="0"/>
        <w:kinsoku/>
        <w:wordWrap/>
        <w:overflowPunct/>
        <w:topLinePunct w:val="0"/>
        <w:bidi w:val="0"/>
        <w:spacing w:line="360" w:lineRule="auto"/>
        <w:ind w:left="0" w:leftChars="0" w:right="0" w:rightChars="0" w:firstLine="480" w:firstLineChars="200"/>
        <w:jc w:val="both"/>
        <w:outlineLvl w:val="3"/>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六、使用试验室环境条件：</w:t>
      </w:r>
    </w:p>
    <w:p w14:paraId="5062595A">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1.电力：中国制式，供电电压380V±15%/220V±15%，供电频率50Hz±2%；</w:t>
      </w:r>
    </w:p>
    <w:p w14:paraId="267E4189">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2.不低于500Lx。</w:t>
      </w:r>
    </w:p>
    <w:p w14:paraId="61B431D8">
      <w:pPr>
        <w:keepNext/>
        <w:keepLines/>
        <w:pageBreakBefore w:val="0"/>
        <w:kinsoku/>
        <w:overflowPunct/>
        <w:topLinePunct w:val="0"/>
        <w:bidi w:val="0"/>
        <w:spacing w:line="360" w:lineRule="auto"/>
        <w:ind w:left="0" w:leftChars="0" w:right="0" w:rightChars="0" w:firstLine="482" w:firstLineChars="200"/>
        <w:jc w:val="both"/>
        <w:outlineLvl w:val="2"/>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第二节  采购货物概况</w:t>
      </w:r>
    </w:p>
    <w:p w14:paraId="4AB33699">
      <w:pPr>
        <w:pageBreakBefore w:val="0"/>
        <w:kinsoku/>
        <w:wordWrap/>
        <w:overflowPunct/>
        <w:topLinePunct w:val="0"/>
        <w:bidi w:val="0"/>
        <w:spacing w:line="360" w:lineRule="auto"/>
        <w:ind w:left="0" w:leftChars="0" w:right="0" w:rightChars="0" w:firstLine="482" w:firstLineChars="200"/>
        <w:jc w:val="both"/>
        <w:outlineLvl w:val="3"/>
        <w:rPr>
          <w:rFonts w:hint="default" w:ascii="Times New Roman" w:hAnsi="Times New Roman" w:eastAsia="宋体" w:cs="Times New Roman"/>
          <w:sz w:val="24"/>
          <w:szCs w:val="24"/>
          <w:highlight w:val="none"/>
          <w:u w:val="single"/>
          <w:shd w:val="pct10" w:color="auto" w:fill="FFFFFF"/>
        </w:rPr>
      </w:pPr>
      <w:r>
        <w:rPr>
          <w:rFonts w:hint="default" w:ascii="Times New Roman" w:hAnsi="Times New Roman" w:eastAsia="宋体" w:cs="Times New Roman"/>
          <w:b/>
          <w:sz w:val="24"/>
          <w:szCs w:val="24"/>
          <w:highlight w:val="none"/>
        </w:rPr>
        <w:t>一、货物名称：</w:t>
      </w:r>
      <w:r>
        <w:rPr>
          <w:rFonts w:hint="default" w:ascii="Times New Roman" w:hAnsi="Times New Roman" w:eastAsia="宋体" w:cs="Times New Roman"/>
          <w:color w:val="000000"/>
          <w:sz w:val="24"/>
          <w:szCs w:val="24"/>
          <w:highlight w:val="none"/>
          <w:u w:val="single"/>
          <w:lang w:val="en-US" w:eastAsia="zh-CN"/>
        </w:rPr>
        <w:t>集装箱式气瓶间</w:t>
      </w:r>
      <w:r>
        <w:rPr>
          <w:rFonts w:hint="default" w:ascii="Times New Roman" w:hAnsi="Times New Roman" w:eastAsia="宋体" w:cs="Times New Roman"/>
          <w:sz w:val="24"/>
          <w:szCs w:val="24"/>
          <w:highlight w:val="none"/>
        </w:rPr>
        <w:t>/系统（详见下表）</w:t>
      </w:r>
    </w:p>
    <w:p w14:paraId="53D30DEF">
      <w:pPr>
        <w:pageBreakBefore w:val="0"/>
        <w:kinsoku/>
        <w:wordWrap/>
        <w:overflowPunct/>
        <w:topLinePunct w:val="0"/>
        <w:bidi w:val="0"/>
        <w:spacing w:line="360" w:lineRule="auto"/>
        <w:ind w:left="0" w:leftChars="0" w:right="0" w:rightChars="0" w:firstLine="482"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b/>
          <w:sz w:val="24"/>
          <w:szCs w:val="24"/>
          <w:highlight w:val="none"/>
        </w:rPr>
        <w:t>二、货物数量：</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套</w:t>
      </w:r>
      <w:r>
        <w:rPr>
          <w:rFonts w:hint="default" w:ascii="Times New Roman" w:hAnsi="Times New Roman" w:eastAsia="宋体" w:cs="Times New Roman"/>
          <w:sz w:val="24"/>
          <w:szCs w:val="24"/>
          <w:highlight w:val="none"/>
        </w:rPr>
        <w:t>（详见下表）</w:t>
      </w:r>
    </w:p>
    <w:p w14:paraId="5C67C645">
      <w:pPr>
        <w:pageBreakBefore w:val="0"/>
        <w:kinsoku/>
        <w:wordWrap/>
        <w:overflowPunct/>
        <w:topLinePunct w:val="0"/>
        <w:bidi w:val="0"/>
        <w:spacing w:line="360" w:lineRule="auto"/>
        <w:ind w:left="0" w:leftChars="0" w:right="0" w:rightChars="0" w:firstLine="482" w:firstLineChars="200"/>
        <w:jc w:val="both"/>
        <w:outlineLvl w:val="3"/>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三、分投分中：不允许</w:t>
      </w:r>
    </w:p>
    <w:p w14:paraId="19308209">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highlight w:val="none"/>
        </w:rPr>
        <w:t>采购货物主要构成</w:t>
      </w:r>
      <w:r>
        <w:rPr>
          <w:rFonts w:hint="default" w:ascii="Times New Roman" w:hAnsi="Times New Roman" w:eastAsia="宋体" w:cs="Times New Roman"/>
          <w:sz w:val="24"/>
          <w:szCs w:val="24"/>
          <w:highlight w:val="none"/>
        </w:rPr>
        <w:t>一览表：</w:t>
      </w:r>
    </w:p>
    <w:tbl>
      <w:tblPr>
        <w:tblStyle w:val="35"/>
        <w:tblW w:w="11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111"/>
        <w:gridCol w:w="2022"/>
        <w:gridCol w:w="2738"/>
        <w:gridCol w:w="1292"/>
        <w:gridCol w:w="749"/>
        <w:gridCol w:w="1703"/>
      </w:tblGrid>
      <w:tr w14:paraId="1CB1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Align w:val="center"/>
          </w:tcPr>
          <w:p w14:paraId="616236B6">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序号</w:t>
            </w:r>
          </w:p>
        </w:tc>
        <w:tc>
          <w:tcPr>
            <w:tcW w:w="4133" w:type="dxa"/>
            <w:gridSpan w:val="2"/>
            <w:vAlign w:val="center"/>
          </w:tcPr>
          <w:p w14:paraId="4B9B2A31">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2738" w:type="dxa"/>
            <w:vAlign w:val="center"/>
          </w:tcPr>
          <w:p w14:paraId="561D2BE6">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型号规格</w:t>
            </w:r>
          </w:p>
        </w:tc>
        <w:tc>
          <w:tcPr>
            <w:tcW w:w="1292" w:type="dxa"/>
            <w:vAlign w:val="center"/>
          </w:tcPr>
          <w:p w14:paraId="5C4D371B">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品牌</w:t>
            </w:r>
          </w:p>
        </w:tc>
        <w:tc>
          <w:tcPr>
            <w:tcW w:w="749" w:type="dxa"/>
            <w:vAlign w:val="center"/>
          </w:tcPr>
          <w:p w14:paraId="6A1C72AA">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单位</w:t>
            </w:r>
          </w:p>
        </w:tc>
        <w:tc>
          <w:tcPr>
            <w:tcW w:w="1703" w:type="dxa"/>
            <w:vAlign w:val="center"/>
          </w:tcPr>
          <w:p w14:paraId="0E56CA32">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数量</w:t>
            </w:r>
          </w:p>
        </w:tc>
      </w:tr>
      <w:tr w14:paraId="09AC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restart"/>
            <w:vAlign w:val="center"/>
          </w:tcPr>
          <w:p w14:paraId="462FF287">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p>
          <w:p w14:paraId="2F323F52">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restart"/>
            <w:vAlign w:val="center"/>
          </w:tcPr>
          <w:p w14:paraId="2C333B22">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集装箱式气瓶间</w:t>
            </w:r>
          </w:p>
        </w:tc>
        <w:tc>
          <w:tcPr>
            <w:tcW w:w="2022" w:type="dxa"/>
            <w:vAlign w:val="center"/>
          </w:tcPr>
          <w:p w14:paraId="6374AC08">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号试验室气瓶集装箱</w:t>
            </w:r>
          </w:p>
        </w:tc>
        <w:tc>
          <w:tcPr>
            <w:tcW w:w="2738" w:type="dxa"/>
            <w:vAlign w:val="center"/>
          </w:tcPr>
          <w:p w14:paraId="5BD649F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vAlign w:val="center"/>
          </w:tcPr>
          <w:p w14:paraId="21CA285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0A3BB66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65B2F6A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lang w:val="en-US" w:eastAsia="zh-CN"/>
              </w:rPr>
              <w:t>1</w:t>
            </w:r>
          </w:p>
        </w:tc>
      </w:tr>
      <w:tr w14:paraId="586F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71F5FA05">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continue"/>
            <w:vAlign w:val="center"/>
          </w:tcPr>
          <w:p w14:paraId="084219BA">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022" w:type="dxa"/>
            <w:vAlign w:val="center"/>
          </w:tcPr>
          <w:p w14:paraId="61C7FB8E">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（备瓶和空瓶存放区）</w:t>
            </w:r>
          </w:p>
        </w:tc>
        <w:tc>
          <w:tcPr>
            <w:tcW w:w="2738" w:type="dxa"/>
            <w:vAlign w:val="center"/>
          </w:tcPr>
          <w:p w14:paraId="509A583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vAlign w:val="center"/>
          </w:tcPr>
          <w:p w14:paraId="21899C3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2C47EF2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0029B4B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w:t>
            </w:r>
          </w:p>
        </w:tc>
      </w:tr>
      <w:tr w14:paraId="3F55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4C914AC1">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continue"/>
            <w:vAlign w:val="center"/>
          </w:tcPr>
          <w:p w14:paraId="3C9FADFE">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022" w:type="dxa"/>
            <w:shd w:val="clear" w:color="auto" w:fill="auto"/>
            <w:vAlign w:val="center"/>
          </w:tcPr>
          <w:p w14:paraId="6BC538E6">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（需配置气体管路）</w:t>
            </w:r>
          </w:p>
        </w:tc>
        <w:tc>
          <w:tcPr>
            <w:tcW w:w="2738" w:type="dxa"/>
            <w:shd w:val="clear" w:color="auto" w:fill="auto"/>
            <w:vAlign w:val="center"/>
          </w:tcPr>
          <w:p w14:paraId="2418DD7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shd w:val="clear" w:color="auto" w:fill="auto"/>
            <w:vAlign w:val="center"/>
          </w:tcPr>
          <w:p w14:paraId="120E277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749" w:type="dxa"/>
            <w:shd w:val="clear" w:color="auto" w:fill="auto"/>
            <w:vAlign w:val="center"/>
          </w:tcPr>
          <w:p w14:paraId="4946179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703" w:type="dxa"/>
            <w:shd w:val="clear" w:color="auto" w:fill="auto"/>
            <w:vAlign w:val="center"/>
          </w:tcPr>
          <w:p w14:paraId="65CC64A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r>
      <w:tr w14:paraId="6D08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457AD250">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continue"/>
            <w:vAlign w:val="center"/>
          </w:tcPr>
          <w:p w14:paraId="311E58B5">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022" w:type="dxa"/>
            <w:vAlign w:val="center"/>
          </w:tcPr>
          <w:p w14:paraId="637FE1D3">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sz w:val="24"/>
                <w:szCs w:val="24"/>
                <w:highlight w:val="none"/>
                <w:lang w:val="en-US" w:eastAsia="zh-CN"/>
              </w:rPr>
              <w:t>7号试验室气瓶集装箱</w:t>
            </w:r>
          </w:p>
        </w:tc>
        <w:tc>
          <w:tcPr>
            <w:tcW w:w="2738" w:type="dxa"/>
            <w:vAlign w:val="center"/>
          </w:tcPr>
          <w:p w14:paraId="29CB913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vAlign w:val="center"/>
          </w:tcPr>
          <w:p w14:paraId="069CEF4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63EC136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0F5A8D0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w:t>
            </w:r>
          </w:p>
        </w:tc>
      </w:tr>
      <w:tr w14:paraId="7DC6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5BDBE4DE">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55D04531">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p>
        </w:tc>
        <w:tc>
          <w:tcPr>
            <w:tcW w:w="2022" w:type="dxa"/>
            <w:shd w:val="clear" w:color="auto" w:fill="auto"/>
            <w:vAlign w:val="center"/>
          </w:tcPr>
          <w:p w14:paraId="58294981">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cstheme="minorBidi"/>
                <w:kern w:val="2"/>
                <w:sz w:val="24"/>
                <w:szCs w:val="22"/>
                <w:lang w:val="en-US" w:eastAsia="zh-CN" w:bidi="ar-SA"/>
              </w:rPr>
            </w:pPr>
            <w:r>
              <w:rPr>
                <w:rFonts w:hint="default" w:ascii="宋体" w:hAnsi="宋体" w:eastAsia="宋体"/>
                <w:sz w:val="24"/>
                <w:lang w:val="en-US" w:eastAsia="zh-CN"/>
              </w:rPr>
              <w:t>通风系统</w:t>
            </w:r>
          </w:p>
        </w:tc>
        <w:tc>
          <w:tcPr>
            <w:tcW w:w="2738" w:type="dxa"/>
            <w:shd w:val="clear" w:color="auto" w:fill="auto"/>
            <w:vAlign w:val="center"/>
          </w:tcPr>
          <w:p w14:paraId="495249A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292" w:type="dxa"/>
            <w:shd w:val="clear" w:color="auto" w:fill="auto"/>
            <w:vAlign w:val="center"/>
          </w:tcPr>
          <w:p w14:paraId="19EBDB2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749" w:type="dxa"/>
            <w:shd w:val="clear" w:color="auto" w:fill="auto"/>
            <w:vAlign w:val="center"/>
          </w:tcPr>
          <w:p w14:paraId="573592A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703" w:type="dxa"/>
            <w:shd w:val="clear" w:color="auto" w:fill="auto"/>
            <w:vAlign w:val="center"/>
          </w:tcPr>
          <w:p w14:paraId="00E2C33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r>
      <w:tr w14:paraId="0AB9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74824824">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025F975C">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p>
        </w:tc>
        <w:tc>
          <w:tcPr>
            <w:tcW w:w="2022" w:type="dxa"/>
            <w:shd w:val="clear" w:color="auto" w:fill="auto"/>
            <w:vAlign w:val="center"/>
          </w:tcPr>
          <w:p w14:paraId="3511DC6B">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cstheme="minorBidi"/>
                <w:kern w:val="2"/>
                <w:sz w:val="24"/>
                <w:szCs w:val="22"/>
                <w:lang w:val="en-US" w:eastAsia="zh-CN" w:bidi="ar-SA"/>
              </w:rPr>
            </w:pPr>
            <w:r>
              <w:rPr>
                <w:rFonts w:hint="default" w:ascii="宋体" w:hAnsi="宋体" w:eastAsia="宋体"/>
                <w:sz w:val="24"/>
                <w:lang w:val="en-US" w:eastAsia="zh-CN"/>
              </w:rPr>
              <w:t>照明系统</w:t>
            </w:r>
          </w:p>
        </w:tc>
        <w:tc>
          <w:tcPr>
            <w:tcW w:w="2738" w:type="dxa"/>
            <w:shd w:val="clear" w:color="auto" w:fill="auto"/>
            <w:vAlign w:val="center"/>
          </w:tcPr>
          <w:p w14:paraId="2796FF9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292" w:type="dxa"/>
            <w:shd w:val="clear" w:color="auto" w:fill="auto"/>
            <w:vAlign w:val="center"/>
          </w:tcPr>
          <w:p w14:paraId="0F87B2C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749" w:type="dxa"/>
            <w:shd w:val="clear" w:color="auto" w:fill="auto"/>
            <w:vAlign w:val="center"/>
          </w:tcPr>
          <w:p w14:paraId="4385524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703" w:type="dxa"/>
            <w:shd w:val="clear" w:color="auto" w:fill="auto"/>
            <w:vAlign w:val="center"/>
          </w:tcPr>
          <w:p w14:paraId="7222AD4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r>
      <w:tr w14:paraId="5716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7F287B56">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3C0F9C8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p>
        </w:tc>
        <w:tc>
          <w:tcPr>
            <w:tcW w:w="2022" w:type="dxa"/>
            <w:shd w:val="clear" w:color="auto" w:fill="auto"/>
            <w:vAlign w:val="center"/>
          </w:tcPr>
          <w:p w14:paraId="22BA1DA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地面</w:t>
            </w:r>
            <w:r>
              <w:rPr>
                <w:rFonts w:hint="eastAsia" w:ascii="Times New Roman" w:hAnsi="Times New Roman" w:eastAsia="宋体" w:cs="Times New Roman"/>
                <w:sz w:val="24"/>
                <w:szCs w:val="24"/>
                <w:highlight w:val="none"/>
                <w:lang w:val="en-US" w:eastAsia="zh-CN"/>
              </w:rPr>
              <w:t>基建</w:t>
            </w:r>
          </w:p>
        </w:tc>
        <w:tc>
          <w:tcPr>
            <w:tcW w:w="2738" w:type="dxa"/>
            <w:shd w:val="clear" w:color="auto" w:fill="auto"/>
            <w:vAlign w:val="center"/>
          </w:tcPr>
          <w:p w14:paraId="36DAC18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72F8A6F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6BA01E3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3D06DBE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r>
      <w:tr w14:paraId="53AF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39105B7D">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2E1476D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p>
        </w:tc>
        <w:tc>
          <w:tcPr>
            <w:tcW w:w="2022" w:type="dxa"/>
            <w:shd w:val="clear" w:color="auto" w:fill="auto"/>
            <w:vAlign w:val="center"/>
          </w:tcPr>
          <w:p w14:paraId="0027FA8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安装调试</w:t>
            </w:r>
          </w:p>
        </w:tc>
        <w:tc>
          <w:tcPr>
            <w:tcW w:w="2738" w:type="dxa"/>
            <w:shd w:val="clear" w:color="auto" w:fill="auto"/>
            <w:vAlign w:val="center"/>
          </w:tcPr>
          <w:p w14:paraId="4BB353C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40E8A47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66EDF16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7E849E1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r>
      <w:tr w14:paraId="0D01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EF4EA7B">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2111" w:type="dxa"/>
            <w:shd w:val="clear" w:color="auto" w:fill="auto"/>
            <w:vAlign w:val="center"/>
          </w:tcPr>
          <w:p w14:paraId="52E70D06">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r>
              <w:rPr>
                <w:rFonts w:hint="eastAsia" w:ascii="宋体" w:hAnsi="宋体" w:eastAsia="宋体"/>
                <w:sz w:val="24"/>
              </w:rPr>
              <w:t>泄漏监控、报警系统设备安装</w:t>
            </w:r>
          </w:p>
        </w:tc>
        <w:tc>
          <w:tcPr>
            <w:tcW w:w="2022" w:type="dxa"/>
            <w:shd w:val="clear" w:color="auto" w:fill="auto"/>
            <w:vAlign w:val="center"/>
          </w:tcPr>
          <w:p w14:paraId="2F16039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eastAsia="zh-CN"/>
              </w:rPr>
            </w:pPr>
            <w:r>
              <w:rPr>
                <w:rFonts w:hint="eastAsia" w:ascii="宋体" w:hAnsi="宋体" w:eastAsia="宋体"/>
                <w:sz w:val="24"/>
              </w:rPr>
              <w:t>可燃气体、有害气体</w:t>
            </w:r>
            <w:r>
              <w:rPr>
                <w:rFonts w:hint="eastAsia" w:ascii="宋体" w:hAnsi="宋体" w:eastAsia="宋体"/>
                <w:sz w:val="24"/>
                <w:lang w:val="en-US" w:eastAsia="zh-CN"/>
              </w:rPr>
              <w:t>监测</w:t>
            </w:r>
            <w:r>
              <w:rPr>
                <w:rFonts w:hint="eastAsia" w:ascii="宋体" w:hAnsi="宋体" w:eastAsia="宋体"/>
                <w:sz w:val="24"/>
              </w:rPr>
              <w:t>系统</w:t>
            </w:r>
          </w:p>
        </w:tc>
        <w:tc>
          <w:tcPr>
            <w:tcW w:w="2738" w:type="dxa"/>
            <w:vAlign w:val="center"/>
          </w:tcPr>
          <w:p w14:paraId="25950AD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rPr>
              <w:t>见第二章技术要求</w:t>
            </w:r>
          </w:p>
        </w:tc>
        <w:tc>
          <w:tcPr>
            <w:tcW w:w="1292" w:type="dxa"/>
            <w:vAlign w:val="center"/>
          </w:tcPr>
          <w:p w14:paraId="526D9A5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0F296E0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727F685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r>
      <w:tr w14:paraId="7A8E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restart"/>
            <w:vAlign w:val="center"/>
          </w:tcPr>
          <w:p w14:paraId="2D38ED05">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c>
          <w:tcPr>
            <w:tcW w:w="2111" w:type="dxa"/>
            <w:vMerge w:val="restart"/>
            <w:shd w:val="clear" w:color="auto" w:fill="auto"/>
            <w:vAlign w:val="center"/>
          </w:tcPr>
          <w:p w14:paraId="06A892F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管路改造</w:t>
            </w:r>
          </w:p>
        </w:tc>
        <w:tc>
          <w:tcPr>
            <w:tcW w:w="2022" w:type="dxa"/>
            <w:shd w:val="clear" w:color="auto" w:fill="auto"/>
            <w:vAlign w:val="center"/>
          </w:tcPr>
          <w:p w14:paraId="30BAA02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电磁控制阀</w:t>
            </w:r>
          </w:p>
        </w:tc>
        <w:tc>
          <w:tcPr>
            <w:tcW w:w="2738" w:type="dxa"/>
            <w:vAlign w:val="center"/>
          </w:tcPr>
          <w:p w14:paraId="1091757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4"/>
                <w:szCs w:val="24"/>
                <w:highlight w:val="none"/>
                <w:lang w:val="en-US" w:eastAsia="zh-CN"/>
              </w:rPr>
              <w:t>/</w:t>
            </w:r>
          </w:p>
        </w:tc>
        <w:tc>
          <w:tcPr>
            <w:tcW w:w="1292" w:type="dxa"/>
            <w:vAlign w:val="center"/>
          </w:tcPr>
          <w:p w14:paraId="3D17609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bidi="ar-SA"/>
              </w:rPr>
              <w:t>/</w:t>
            </w:r>
          </w:p>
        </w:tc>
        <w:tc>
          <w:tcPr>
            <w:tcW w:w="749" w:type="dxa"/>
            <w:vAlign w:val="center"/>
          </w:tcPr>
          <w:p w14:paraId="3B133E3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703" w:type="dxa"/>
            <w:vAlign w:val="center"/>
          </w:tcPr>
          <w:p w14:paraId="10C3516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lang w:val="en-US" w:eastAsia="zh-CN"/>
              </w:rPr>
              <w:t>16</w:t>
            </w:r>
          </w:p>
        </w:tc>
      </w:tr>
      <w:tr w14:paraId="00C5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318A0BD7">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054688FA">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2022" w:type="dxa"/>
            <w:shd w:val="clear" w:color="auto" w:fill="auto"/>
            <w:vAlign w:val="center"/>
          </w:tcPr>
          <w:p w14:paraId="03E8E77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气动隔膜阀</w:t>
            </w:r>
          </w:p>
        </w:tc>
        <w:tc>
          <w:tcPr>
            <w:tcW w:w="2738" w:type="dxa"/>
            <w:vAlign w:val="center"/>
          </w:tcPr>
          <w:p w14:paraId="2755280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292" w:type="dxa"/>
            <w:vAlign w:val="center"/>
          </w:tcPr>
          <w:p w14:paraId="128345C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749" w:type="dxa"/>
            <w:vAlign w:val="center"/>
          </w:tcPr>
          <w:p w14:paraId="2610077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703" w:type="dxa"/>
            <w:vAlign w:val="center"/>
          </w:tcPr>
          <w:p w14:paraId="3735E74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16</w:t>
            </w:r>
          </w:p>
        </w:tc>
      </w:tr>
      <w:tr w14:paraId="2372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3FD6BE81">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p>
        </w:tc>
        <w:tc>
          <w:tcPr>
            <w:tcW w:w="2111" w:type="dxa"/>
            <w:vMerge w:val="continue"/>
            <w:shd w:val="clear" w:color="auto" w:fill="auto"/>
            <w:vAlign w:val="center"/>
          </w:tcPr>
          <w:p w14:paraId="1C12794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eastAsia="zh-CN"/>
              </w:rPr>
            </w:pPr>
          </w:p>
        </w:tc>
        <w:tc>
          <w:tcPr>
            <w:tcW w:w="2022" w:type="dxa"/>
            <w:shd w:val="clear" w:color="auto" w:fill="auto"/>
            <w:vAlign w:val="center"/>
          </w:tcPr>
          <w:p w14:paraId="33A676B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管路</w:t>
            </w:r>
          </w:p>
        </w:tc>
        <w:tc>
          <w:tcPr>
            <w:tcW w:w="2738" w:type="dxa"/>
            <w:vAlign w:val="center"/>
          </w:tcPr>
          <w:p w14:paraId="59DE59C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2"/>
                <w:szCs w:val="22"/>
                <w:highlight w:val="none"/>
              </w:rPr>
              <w:t>材质：SS316L</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内表面粗糙度Ra&lt;0.4um</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抛光处理：BA</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外径/壁厚：6.35mm/0.89mm</w:t>
            </w:r>
          </w:p>
        </w:tc>
        <w:tc>
          <w:tcPr>
            <w:tcW w:w="1292" w:type="dxa"/>
            <w:vAlign w:val="center"/>
          </w:tcPr>
          <w:p w14:paraId="271AB77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2"/>
                <w:szCs w:val="22"/>
                <w:highlight w:val="none"/>
              </w:rPr>
              <w:t>CK/CTC/Valex/Dockweiler</w:t>
            </w:r>
            <w:r>
              <w:rPr>
                <w:rFonts w:hint="eastAsia" w:ascii="Times New Roman" w:hAnsi="Times New Roman" w:eastAsia="宋体" w:cs="Times New Roman"/>
                <w:sz w:val="22"/>
                <w:szCs w:val="22"/>
                <w:highlight w:val="none"/>
                <w:lang w:val="en-US" w:eastAsia="zh-CN"/>
              </w:rPr>
              <w:t>/Unilok</w:t>
            </w:r>
            <w:r>
              <w:rPr>
                <w:rFonts w:hint="default" w:ascii="Times New Roman" w:hAnsi="Times New Roman" w:eastAsia="宋体" w:cs="Times New Roman"/>
                <w:sz w:val="22"/>
                <w:szCs w:val="22"/>
                <w:highlight w:val="none"/>
              </w:rPr>
              <w:t>及以上品牌</w:t>
            </w:r>
          </w:p>
        </w:tc>
        <w:tc>
          <w:tcPr>
            <w:tcW w:w="749" w:type="dxa"/>
            <w:vAlign w:val="center"/>
          </w:tcPr>
          <w:p w14:paraId="71D64D7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米</w:t>
            </w:r>
          </w:p>
        </w:tc>
        <w:tc>
          <w:tcPr>
            <w:tcW w:w="1703" w:type="dxa"/>
            <w:vAlign w:val="center"/>
          </w:tcPr>
          <w:p w14:paraId="6A62FB4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eastAsia="zh-CN"/>
              </w:rPr>
              <w:t>依照技术要求</w:t>
            </w:r>
          </w:p>
        </w:tc>
      </w:tr>
      <w:tr w14:paraId="297A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48A61D44">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1E9F9BC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2022" w:type="dxa"/>
            <w:shd w:val="clear" w:color="auto" w:fill="auto"/>
            <w:vAlign w:val="center"/>
          </w:tcPr>
          <w:p w14:paraId="274EB33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管道支架、吊架</w:t>
            </w:r>
          </w:p>
        </w:tc>
        <w:tc>
          <w:tcPr>
            <w:tcW w:w="2738" w:type="dxa"/>
            <w:vAlign w:val="center"/>
          </w:tcPr>
          <w:p w14:paraId="3F60E57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292" w:type="dxa"/>
            <w:vAlign w:val="center"/>
          </w:tcPr>
          <w:p w14:paraId="29EC0A9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749" w:type="dxa"/>
            <w:vAlign w:val="center"/>
          </w:tcPr>
          <w:p w14:paraId="14682A1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703" w:type="dxa"/>
            <w:vAlign w:val="center"/>
          </w:tcPr>
          <w:p w14:paraId="1C2B1A7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根据实际情况</w:t>
            </w:r>
          </w:p>
        </w:tc>
      </w:tr>
      <w:tr w14:paraId="2CC5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45C7358B">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75B3E8E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2022" w:type="dxa"/>
            <w:shd w:val="clear" w:color="auto" w:fill="auto"/>
            <w:vAlign w:val="center"/>
          </w:tcPr>
          <w:p w14:paraId="049CAF8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管道固定卡具</w:t>
            </w:r>
          </w:p>
        </w:tc>
        <w:tc>
          <w:tcPr>
            <w:tcW w:w="2738" w:type="dxa"/>
            <w:vAlign w:val="center"/>
          </w:tcPr>
          <w:p w14:paraId="0E0BF67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292" w:type="dxa"/>
            <w:vAlign w:val="center"/>
          </w:tcPr>
          <w:p w14:paraId="527882E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749" w:type="dxa"/>
            <w:vAlign w:val="center"/>
          </w:tcPr>
          <w:p w14:paraId="5E5CE93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703" w:type="dxa"/>
            <w:vAlign w:val="center"/>
          </w:tcPr>
          <w:p w14:paraId="3FFBAA2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根据实际情况</w:t>
            </w:r>
          </w:p>
        </w:tc>
      </w:tr>
      <w:tr w14:paraId="3991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76DF99E9">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p>
        </w:tc>
        <w:tc>
          <w:tcPr>
            <w:tcW w:w="2111" w:type="dxa"/>
            <w:shd w:val="clear" w:color="auto" w:fill="auto"/>
            <w:vAlign w:val="center"/>
          </w:tcPr>
          <w:p w14:paraId="7AEDDFA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终端标气柜</w:t>
            </w:r>
          </w:p>
        </w:tc>
        <w:tc>
          <w:tcPr>
            <w:tcW w:w="2022" w:type="dxa"/>
            <w:shd w:val="clear" w:color="auto" w:fill="auto"/>
            <w:vAlign w:val="center"/>
          </w:tcPr>
          <w:p w14:paraId="25A2638A">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3B2D0E4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4AAA8C4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4281E89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14E8811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r>
      <w:tr w14:paraId="1F2E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3F10BEB1">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2111" w:type="dxa"/>
            <w:shd w:val="clear" w:color="auto" w:fill="auto"/>
            <w:vAlign w:val="center"/>
          </w:tcPr>
          <w:p w14:paraId="254FD5B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一级减压阀</w:t>
            </w:r>
          </w:p>
        </w:tc>
        <w:tc>
          <w:tcPr>
            <w:tcW w:w="2022" w:type="dxa"/>
            <w:shd w:val="clear" w:color="auto" w:fill="auto"/>
            <w:vAlign w:val="center"/>
          </w:tcPr>
          <w:p w14:paraId="608016C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2553213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5B869F5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GCE及以上品牌</w:t>
            </w:r>
          </w:p>
        </w:tc>
        <w:tc>
          <w:tcPr>
            <w:tcW w:w="749" w:type="dxa"/>
            <w:shd w:val="clear" w:color="auto" w:fill="auto"/>
            <w:vAlign w:val="center"/>
          </w:tcPr>
          <w:p w14:paraId="719092C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4F4FB3D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r>
      <w:tr w14:paraId="1BF9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1B2238FB">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2111" w:type="dxa"/>
            <w:shd w:val="clear" w:color="auto" w:fill="auto"/>
            <w:vAlign w:val="center"/>
          </w:tcPr>
          <w:p w14:paraId="7DC26C4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二级减压阀</w:t>
            </w:r>
          </w:p>
        </w:tc>
        <w:tc>
          <w:tcPr>
            <w:tcW w:w="2022" w:type="dxa"/>
            <w:shd w:val="clear" w:color="auto" w:fill="auto"/>
            <w:vAlign w:val="center"/>
          </w:tcPr>
          <w:p w14:paraId="6A7F7A7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4929DD0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09DD71D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GCE及以上品牌</w:t>
            </w:r>
          </w:p>
        </w:tc>
        <w:tc>
          <w:tcPr>
            <w:tcW w:w="749" w:type="dxa"/>
            <w:shd w:val="clear" w:color="auto" w:fill="auto"/>
            <w:vAlign w:val="center"/>
          </w:tcPr>
          <w:p w14:paraId="0C08146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08C388C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30</w:t>
            </w:r>
          </w:p>
        </w:tc>
      </w:tr>
      <w:tr w14:paraId="2135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2405C6B7">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p>
        </w:tc>
        <w:tc>
          <w:tcPr>
            <w:tcW w:w="2111" w:type="dxa"/>
            <w:shd w:val="clear" w:color="auto" w:fill="auto"/>
            <w:vAlign w:val="center"/>
          </w:tcPr>
          <w:p w14:paraId="71FCC91B">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eastAsia" w:ascii="宋体" w:hAnsi="宋体" w:eastAsia="宋体"/>
                <w:sz w:val="24"/>
              </w:rPr>
              <w:t>球阀</w:t>
            </w:r>
          </w:p>
        </w:tc>
        <w:tc>
          <w:tcPr>
            <w:tcW w:w="2022" w:type="dxa"/>
            <w:shd w:val="clear" w:color="auto" w:fill="auto"/>
            <w:vAlign w:val="center"/>
          </w:tcPr>
          <w:p w14:paraId="046F3A31">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72823CF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359F554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68CF50A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067C6EA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30</w:t>
            </w:r>
          </w:p>
        </w:tc>
      </w:tr>
      <w:tr w14:paraId="4960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58CE48CF">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p>
        </w:tc>
        <w:tc>
          <w:tcPr>
            <w:tcW w:w="2111" w:type="dxa"/>
            <w:shd w:val="clear" w:color="auto" w:fill="auto"/>
            <w:vAlign w:val="center"/>
          </w:tcPr>
          <w:p w14:paraId="1A52FB24">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eastAsia" w:ascii="宋体" w:hAnsi="宋体" w:eastAsia="宋体"/>
                <w:sz w:val="24"/>
              </w:rPr>
              <w:t>防爆逆止阀</w:t>
            </w:r>
          </w:p>
        </w:tc>
        <w:tc>
          <w:tcPr>
            <w:tcW w:w="2022" w:type="dxa"/>
            <w:shd w:val="clear" w:color="auto" w:fill="auto"/>
            <w:vAlign w:val="center"/>
          </w:tcPr>
          <w:p w14:paraId="45BDA21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3C325CE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1D454DA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236ABBE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62004A3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r>
      <w:tr w14:paraId="11F6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676D68F">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w:t>
            </w:r>
          </w:p>
        </w:tc>
        <w:tc>
          <w:tcPr>
            <w:tcW w:w="2111" w:type="dxa"/>
            <w:shd w:val="clear" w:color="auto" w:fill="auto"/>
            <w:vAlign w:val="center"/>
          </w:tcPr>
          <w:p w14:paraId="212DBAFA">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eastAsia" w:ascii="宋体" w:hAnsi="宋体" w:eastAsia="宋体"/>
                <w:sz w:val="24"/>
              </w:rPr>
              <w:t>高压螺旋管（软管）</w:t>
            </w:r>
          </w:p>
        </w:tc>
        <w:tc>
          <w:tcPr>
            <w:tcW w:w="2022" w:type="dxa"/>
            <w:shd w:val="clear" w:color="auto" w:fill="auto"/>
            <w:vAlign w:val="center"/>
          </w:tcPr>
          <w:p w14:paraId="6CEBDDF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7D36325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7A23AAC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1FAB122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6506355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w:t>
            </w:r>
          </w:p>
        </w:tc>
      </w:tr>
      <w:tr w14:paraId="2826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E9875E9">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10</w:t>
            </w:r>
          </w:p>
        </w:tc>
        <w:tc>
          <w:tcPr>
            <w:tcW w:w="2111" w:type="dxa"/>
            <w:shd w:val="clear" w:color="auto" w:fill="auto"/>
            <w:vAlign w:val="center"/>
          </w:tcPr>
          <w:p w14:paraId="2389B17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长途运输</w:t>
            </w:r>
          </w:p>
        </w:tc>
        <w:tc>
          <w:tcPr>
            <w:tcW w:w="2022" w:type="dxa"/>
            <w:shd w:val="clear" w:color="auto" w:fill="auto"/>
            <w:vAlign w:val="center"/>
          </w:tcPr>
          <w:p w14:paraId="09B3928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vAlign w:val="center"/>
          </w:tcPr>
          <w:p w14:paraId="7803CB5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1540BD1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0879BD9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37FFE1F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r>
      <w:tr w14:paraId="166C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3BA0B60">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11</w:t>
            </w:r>
          </w:p>
        </w:tc>
        <w:tc>
          <w:tcPr>
            <w:tcW w:w="2111" w:type="dxa"/>
            <w:shd w:val="clear" w:color="auto" w:fill="auto"/>
            <w:vAlign w:val="center"/>
          </w:tcPr>
          <w:p w14:paraId="590FAEC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吊装落位</w:t>
            </w:r>
          </w:p>
        </w:tc>
        <w:tc>
          <w:tcPr>
            <w:tcW w:w="2022" w:type="dxa"/>
            <w:shd w:val="clear" w:color="auto" w:fill="auto"/>
            <w:vAlign w:val="center"/>
          </w:tcPr>
          <w:p w14:paraId="51BF357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2738" w:type="dxa"/>
            <w:vAlign w:val="center"/>
          </w:tcPr>
          <w:p w14:paraId="0EBB522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5147086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6C20978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278B0F9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w:t>
            </w:r>
          </w:p>
        </w:tc>
      </w:tr>
      <w:tr w14:paraId="637F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6F76AF8C">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12</w:t>
            </w:r>
          </w:p>
        </w:tc>
        <w:tc>
          <w:tcPr>
            <w:tcW w:w="2111" w:type="dxa"/>
            <w:shd w:val="clear" w:color="auto" w:fill="auto"/>
            <w:vAlign w:val="center"/>
          </w:tcPr>
          <w:p w14:paraId="614C5B6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第三方安全评估</w:t>
            </w:r>
          </w:p>
        </w:tc>
        <w:tc>
          <w:tcPr>
            <w:tcW w:w="2022" w:type="dxa"/>
            <w:shd w:val="clear" w:color="auto" w:fill="auto"/>
            <w:vAlign w:val="center"/>
          </w:tcPr>
          <w:p w14:paraId="672E699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2738" w:type="dxa"/>
            <w:vAlign w:val="center"/>
          </w:tcPr>
          <w:p w14:paraId="67123D3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5897D82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021A2C5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38713F4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eastAsia="zh-CN"/>
              </w:rPr>
              <w:t>1</w:t>
            </w:r>
          </w:p>
        </w:tc>
      </w:tr>
      <w:tr w14:paraId="01DA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75A678CE">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13</w:t>
            </w:r>
          </w:p>
        </w:tc>
        <w:tc>
          <w:tcPr>
            <w:tcW w:w="2111" w:type="dxa"/>
            <w:shd w:val="clear" w:color="auto" w:fill="auto"/>
            <w:vAlign w:val="center"/>
          </w:tcPr>
          <w:p w14:paraId="74990BC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技术资料</w:t>
            </w:r>
          </w:p>
        </w:tc>
        <w:tc>
          <w:tcPr>
            <w:tcW w:w="2022" w:type="dxa"/>
            <w:shd w:val="clear" w:color="auto" w:fill="auto"/>
            <w:vAlign w:val="center"/>
          </w:tcPr>
          <w:p w14:paraId="6670880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2738" w:type="dxa"/>
            <w:vAlign w:val="center"/>
          </w:tcPr>
          <w:p w14:paraId="04F3A63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2CF7958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08A05C6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60DDAC7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r>
    </w:tbl>
    <w:p w14:paraId="09B12F99">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DDC3B3B">
      <w:pPr>
        <w:pageBreakBefore w:val="0"/>
        <w:numPr>
          <w:ilvl w:val="0"/>
          <w:numId w:val="10"/>
        </w:numPr>
        <w:kinsoku/>
        <w:wordWrap/>
        <w:overflowPunct/>
        <w:topLinePunct w:val="0"/>
        <w:bidi w:val="0"/>
        <w:spacing w:line="360" w:lineRule="auto"/>
        <w:ind w:left="0" w:leftChars="0" w:right="0" w:rightChars="0" w:firstLine="480" w:firstLineChars="200"/>
        <w:jc w:val="both"/>
        <w:rPr>
          <w:rFonts w:hint="default" w:ascii="Times New Roman" w:hAnsi="Times New Roman" w:cs="Times New Roman"/>
          <w:sz w:val="24"/>
          <w:szCs w:val="24"/>
        </w:rPr>
      </w:pPr>
      <w:r>
        <w:rPr>
          <w:rFonts w:hint="default" w:ascii="Times New Roman" w:hAnsi="Times New Roman" w:eastAsia="宋体" w:cs="Times New Roman"/>
          <w:bCs/>
          <w:sz w:val="24"/>
          <w:szCs w:val="24"/>
          <w:highlight w:val="none"/>
        </w:rPr>
        <w:t>本表“供货方式”指：交钥匙方式——包括制造、运输、定点卸货、安装、调试和协助验收以及约定培训</w:t>
      </w:r>
      <w:r>
        <w:rPr>
          <w:rFonts w:hint="default" w:ascii="Times New Roman" w:hAnsi="Times New Roman" w:eastAsia="宋体" w:cs="Times New Roman"/>
          <w:bCs/>
          <w:sz w:val="24"/>
          <w:szCs w:val="24"/>
          <w:highlight w:val="none"/>
          <w:lang w:val="en-US" w:eastAsia="zh-CN"/>
        </w:rPr>
        <w:t>等。</w:t>
      </w:r>
    </w:p>
    <w:p w14:paraId="53D38D40">
      <w:pPr>
        <w:pageBreakBefore w:val="0"/>
        <w:kinsoku/>
        <w:wordWrap/>
        <w:overflowPunct/>
        <w:topLinePunct w:val="0"/>
        <w:bidi w:val="0"/>
        <w:spacing w:line="360" w:lineRule="auto"/>
        <w:ind w:left="0" w:leftChars="0" w:right="0" w:rightChars="0" w:firstLine="482" w:firstLineChars="200"/>
        <w:jc w:val="both"/>
        <w:outlineLvl w:val="3"/>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四、采购货物特别说明</w:t>
      </w:r>
    </w:p>
    <w:p w14:paraId="072A479F">
      <w:pPr>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Cs w:val="20"/>
          <w:highlight w:val="none"/>
        </w:rPr>
      </w:pPr>
      <w:r>
        <w:rPr>
          <w:rFonts w:hint="default" w:ascii="Times New Roman" w:hAnsi="Times New Roman" w:eastAsia="宋体" w:cs="Times New Roman"/>
          <w:sz w:val="24"/>
          <w:szCs w:val="24"/>
          <w:highlight w:val="none"/>
        </w:rPr>
        <w:t>招标人所列货物的名称和规格型号，如为某一供应商所特有，则该名称和规格型号可作参考，但要求投标人所提供的货物必须满足本技术标书实质性要求</w:t>
      </w:r>
      <w:r>
        <w:rPr>
          <w:rFonts w:hint="default" w:ascii="Times New Roman" w:hAnsi="Times New Roman" w:eastAsia="宋体" w:cs="Times New Roman"/>
          <w:szCs w:val="20"/>
          <w:highlight w:val="none"/>
        </w:rPr>
        <w:t>。</w:t>
      </w:r>
    </w:p>
    <w:p w14:paraId="36716D10">
      <w:pPr>
        <w:jc w:val="both"/>
        <w:rPr>
          <w:rFonts w:hint="default" w:ascii="Times New Roman" w:hAnsi="Times New Roman" w:eastAsia="宋体" w:cs="Times New Roman"/>
          <w:highlight w:val="none"/>
        </w:rPr>
      </w:pPr>
      <w:r>
        <w:rPr>
          <w:rFonts w:hint="default" w:ascii="Times New Roman" w:hAnsi="Times New Roman" w:eastAsia="宋体" w:cs="Times New Roman"/>
          <w:szCs w:val="20"/>
          <w:highlight w:val="none"/>
        </w:rPr>
        <w:br w:type="page"/>
      </w:r>
    </w:p>
    <w:p w14:paraId="1671FBAD">
      <w:pPr>
        <w:keepNext/>
        <w:keepLines/>
        <w:pageBreakBefore w:val="0"/>
        <w:kinsoku/>
        <w:overflowPunct/>
        <w:topLinePunct w:val="0"/>
        <w:bidi w:val="0"/>
        <w:spacing w:line="360" w:lineRule="auto"/>
        <w:ind w:left="0" w:leftChars="0" w:right="0" w:rightChars="0" w:firstLine="562" w:firstLineChars="200"/>
        <w:jc w:val="both"/>
        <w:outlineLvl w:val="1"/>
        <w:rPr>
          <w:rFonts w:hint="default" w:ascii="Times New Roman" w:hAnsi="Times New Roman" w:eastAsia="宋体" w:cs="Times New Roman"/>
          <w:bCs/>
          <w:kern w:val="44"/>
          <w:sz w:val="28"/>
          <w:szCs w:val="28"/>
          <w:highlight w:val="none"/>
        </w:rPr>
      </w:pPr>
      <w:bookmarkStart w:id="41" w:name="_Toc169605880"/>
      <w:r>
        <w:rPr>
          <w:rFonts w:hint="default" w:ascii="Times New Roman" w:hAnsi="Times New Roman" w:eastAsia="宋体" w:cs="Times New Roman"/>
          <w:b/>
          <w:bCs/>
          <w:kern w:val="44"/>
          <w:sz w:val="28"/>
          <w:szCs w:val="28"/>
          <w:highlight w:val="none"/>
        </w:rPr>
        <w:t>第二章  技术要求</w:t>
      </w:r>
      <w:bookmarkEnd w:id="41"/>
    </w:p>
    <w:p w14:paraId="498FC9F0">
      <w:pPr>
        <w:pStyle w:val="112"/>
        <w:pageBreakBefore w:val="0"/>
        <w:kinsoku/>
        <w:wordWrap/>
        <w:overflowPunct/>
        <w:topLinePunct w:val="0"/>
        <w:bidi w:val="0"/>
        <w:spacing w:line="360" w:lineRule="auto"/>
        <w:ind w:left="0" w:leftChars="0" w:right="0" w:rightChars="0" w:firstLine="482" w:firstLineChars="200"/>
        <w:jc w:val="both"/>
        <w:outlineLvl w:val="2"/>
        <w:rPr>
          <w:rFonts w:hint="default" w:ascii="Times New Roman" w:hAnsi="Times New Roman" w:eastAsia="宋体" w:cs="Times New Roman"/>
          <w:b/>
          <w:bCs w:val="0"/>
          <w:sz w:val="24"/>
          <w:szCs w:val="24"/>
          <w:highlight w:val="none"/>
        </w:rPr>
      </w:pPr>
      <w:r>
        <w:rPr>
          <w:rFonts w:hint="default" w:ascii="Times New Roman" w:hAnsi="Times New Roman" w:eastAsia="宋体" w:cs="Times New Roman"/>
          <w:b/>
          <w:bCs w:val="0"/>
          <w:sz w:val="24"/>
          <w:szCs w:val="24"/>
          <w:highlight w:val="none"/>
        </w:rPr>
        <w:t>一、特别提示</w:t>
      </w:r>
    </w:p>
    <w:p w14:paraId="130F6241">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1.本章技术要求，仅对功能、设计、结构、性能、安装和试验检验等方面，提出了最低和一般性的技术要求，并未对一切技术细节作出规定。</w:t>
      </w:r>
    </w:p>
    <w:p w14:paraId="124B3162">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2.本技术要求所使用的标准、规范等，如与投标人所执行的标准、规范不一致时，应按高于本技术要求所列的标准、规范执行。</w:t>
      </w:r>
    </w:p>
    <w:p w14:paraId="42F9FE4A">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3.投标人认为所供货物必需由招标人配备、解决或提供的其它要求，如设备基础隔振和减振设施、软化水、洁净气源等，均应在投标文件“技术偏离”中予以充分说明。</w:t>
      </w:r>
    </w:p>
    <w:p w14:paraId="0D1CE794">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bCs/>
          <w:sz w:val="24"/>
          <w:szCs w:val="24"/>
          <w:highlight w:val="none"/>
        </w:rPr>
        <w:t>4.投标人应根据招投标货物具体要求，提出</w:t>
      </w:r>
      <w:r>
        <w:rPr>
          <w:rFonts w:hint="default" w:ascii="Times New Roman" w:hAnsi="Times New Roman"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3213027A">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5.无论是否有技术偏离，投标人均应在投标文件“技术偏离”中明确作出有无说明。若有异议，不管是多么微小，投标人必须予以明确和详细的说明或澄清。</w:t>
      </w:r>
    </w:p>
    <w:p w14:paraId="3D332D2F">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6.为避免投标人优势在招标评审时漏项，质保期超出本技术标书要求的，应当在投标文件“技术偏离”中特别注明。</w:t>
      </w:r>
    </w:p>
    <w:p w14:paraId="1544F93C">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7.投标文件中，针对“特别提示”条款所做的回应，将作为投标人能否中标的重要依据之一。</w:t>
      </w:r>
    </w:p>
    <w:p w14:paraId="75E02991">
      <w:pPr>
        <w:pStyle w:val="112"/>
        <w:pageBreakBefore w:val="0"/>
        <w:kinsoku/>
        <w:wordWrap/>
        <w:overflowPunct/>
        <w:topLinePunct w:val="0"/>
        <w:bidi w:val="0"/>
        <w:spacing w:line="360" w:lineRule="auto"/>
        <w:ind w:left="0" w:leftChars="0" w:right="0" w:rightChars="0" w:firstLine="482" w:firstLineChars="200"/>
        <w:jc w:val="both"/>
        <w:outlineLvl w:val="2"/>
        <w:rPr>
          <w:rFonts w:hint="default" w:ascii="Times New Roman" w:hAnsi="Times New Roman" w:eastAsia="宋体" w:cs="Times New Roman"/>
          <w:b/>
          <w:bCs w:val="0"/>
          <w:sz w:val="24"/>
          <w:szCs w:val="24"/>
          <w:highlight w:val="none"/>
        </w:rPr>
      </w:pPr>
      <w:r>
        <w:rPr>
          <w:rFonts w:hint="default" w:ascii="Times New Roman" w:hAnsi="Times New Roman" w:eastAsia="宋体" w:cs="Times New Roman"/>
          <w:b/>
          <w:bCs w:val="0"/>
          <w:sz w:val="24"/>
          <w:szCs w:val="24"/>
          <w:highlight w:val="none"/>
        </w:rPr>
        <w:t>二、基本要求</w:t>
      </w:r>
    </w:p>
    <w:p w14:paraId="7DA41AAC">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1.投标人所供的货物，必须符合中国最新版的法律、法规和相关标准、规范的要求，符合项目所在地政府有关特殊要求。</w:t>
      </w:r>
    </w:p>
    <w:p w14:paraId="67590D60">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2.投标人所供货物涉及的专利权技术以及知识产权保护的其它技术等，应保证招标人不因此受到任何侵权指控以及实际损失。</w:t>
      </w:r>
    </w:p>
    <w:p w14:paraId="1188CF28">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3.投标人应保证所供货物的先进性、可靠性、经济性和实用性，并为全新货物（或设备）。</w:t>
      </w:r>
    </w:p>
    <w:p w14:paraId="7C79822A">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4.投标人应满足招标人提出的各项技术要求，必要时应当免费提供技术承诺或担保。</w:t>
      </w:r>
    </w:p>
    <w:p w14:paraId="768F03D3">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14:paraId="58137641">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6.投标人应保证所供货物的完整性和成套性，能保证货物的正常运行、使用。</w:t>
      </w:r>
    </w:p>
    <w:p w14:paraId="64F8F2EC">
      <w:pPr>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7.投标人应对招标人采购的货物所涉及的技术、产能等信息负有保密义务，招标人拥有追究投标人泄密责任的权利；招标人如有需要，投标人应无条件签署保密协议。</w:t>
      </w:r>
    </w:p>
    <w:p w14:paraId="4F31C2EC">
      <w:pPr>
        <w:pStyle w:val="112"/>
        <w:pageBreakBefore w:val="0"/>
        <w:kinsoku/>
        <w:overflowPunct/>
        <w:topLinePunct w:val="0"/>
        <w:bidi w:val="0"/>
        <w:spacing w:line="360" w:lineRule="auto"/>
        <w:ind w:left="0" w:leftChars="0" w:right="0" w:rightChars="0" w:firstLine="482" w:firstLineChars="200"/>
        <w:jc w:val="both"/>
        <w:outlineLvl w:val="2"/>
        <w:rPr>
          <w:rFonts w:hint="default" w:ascii="Times New Roman" w:hAnsi="Times New Roman" w:eastAsia="宋体" w:cs="Times New Roman"/>
          <w:b/>
          <w:bCs w:val="0"/>
          <w:sz w:val="24"/>
          <w:szCs w:val="24"/>
          <w:highlight w:val="none"/>
        </w:rPr>
      </w:pPr>
      <w:r>
        <w:rPr>
          <w:rFonts w:hint="default" w:ascii="Times New Roman" w:hAnsi="Times New Roman" w:eastAsia="宋体" w:cs="Times New Roman"/>
          <w:b/>
          <w:bCs w:val="0"/>
          <w:sz w:val="24"/>
          <w:szCs w:val="24"/>
          <w:highlight w:val="none"/>
        </w:rPr>
        <w:t>三、技术要求</w:t>
      </w:r>
    </w:p>
    <w:p w14:paraId="15E946BF">
      <w:pPr>
        <w:keepNext w:val="0"/>
        <w:keepLines w:val="0"/>
        <w:pageBreakBefore w:val="0"/>
        <w:kinsoku/>
        <w:wordWrap/>
        <w:overflowPunct/>
        <w:topLinePunct w:val="0"/>
        <w:autoSpaceDE/>
        <w:autoSpaceDN/>
        <w:bidi w:val="0"/>
        <w:spacing w:line="360" w:lineRule="auto"/>
        <w:ind w:left="0" w:leftChars="0" w:right="0" w:rightChars="0" w:firstLine="482" w:firstLineChars="200"/>
        <w:jc w:val="both"/>
        <w:rPr>
          <w:rFonts w:hint="default" w:ascii="Times New Roman" w:hAnsi="Times New Roman" w:eastAsia="宋体" w:cs="Times New Roman"/>
          <w:b/>
          <w:sz w:val="24"/>
          <w:szCs w:val="24"/>
          <w:highlight w:val="yellow"/>
        </w:rPr>
      </w:pPr>
      <w:bookmarkStart w:id="42" w:name="_Toc169605881"/>
      <w:r>
        <w:rPr>
          <w:rFonts w:hint="default" w:ascii="Times New Roman" w:hAnsi="Times New Roman" w:eastAsia="宋体" w:cs="Times New Roman"/>
          <w:b/>
          <w:sz w:val="24"/>
          <w:szCs w:val="24"/>
          <w:highlight w:val="yellow"/>
        </w:rPr>
        <w:t>1总体要求</w:t>
      </w:r>
    </w:p>
    <w:p w14:paraId="0992F40D">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2" w:firstLineChars="200"/>
        <w:jc w:val="both"/>
        <w:textAlignment w:val="baseline"/>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1.1用途</w:t>
      </w:r>
    </w:p>
    <w:p w14:paraId="44E273DB">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依据招标书第二章技术要求执行标准中关于气瓶间及测试的相关要求，拟购置</w:t>
      </w:r>
      <w:r>
        <w:rPr>
          <w:rFonts w:hint="eastAsia" w:ascii="Times New Roman" w:hAnsi="Times New Roman" w:eastAsia="宋体" w:cs="Times New Roman"/>
          <w:kern w:val="2"/>
          <w:sz w:val="24"/>
          <w:szCs w:val="24"/>
          <w:highlight w:val="none"/>
          <w:lang w:val="en-US" w:eastAsia="zh-CN" w:bidi="ar-SA"/>
        </w:rPr>
        <w:t>4</w:t>
      </w:r>
      <w:r>
        <w:rPr>
          <w:rFonts w:hint="default" w:ascii="Times New Roman" w:hAnsi="Times New Roman" w:eastAsia="宋体" w:cs="Times New Roman"/>
          <w:kern w:val="2"/>
          <w:sz w:val="24"/>
          <w:szCs w:val="24"/>
          <w:highlight w:val="none"/>
          <w:lang w:val="en-US" w:eastAsia="zh-CN" w:bidi="ar-SA"/>
        </w:rPr>
        <w:t>套集装箱式气瓶间，分别置于4、6、7号试验室外侧。其中，4号试验室外和7号试验室外的气瓶间</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需配置气体管路，</w:t>
      </w:r>
      <w:r>
        <w:rPr>
          <w:rFonts w:hint="default" w:ascii="Times New Roman" w:hAnsi="Times New Roman" w:eastAsia="宋体" w:cs="Times New Roman"/>
          <w:bCs/>
          <w:color w:val="auto"/>
          <w:kern w:val="0"/>
          <w:sz w:val="24"/>
          <w:szCs w:val="24"/>
          <w:highlight w:val="none"/>
          <w:lang w:val="en-US" w:eastAsia="zh-CN" w:bidi="ar-SA"/>
        </w:rPr>
        <w:t>并与原有的气体分析设备连通</w:t>
      </w:r>
      <w:r>
        <w:rPr>
          <w:rFonts w:hint="eastAsia" w:ascii="Times New Roman" w:hAnsi="Times New Roman" w:eastAsia="宋体" w:cs="Times New Roman"/>
          <w:bCs/>
          <w:color w:val="auto"/>
          <w:kern w:val="0"/>
          <w:sz w:val="24"/>
          <w:szCs w:val="24"/>
          <w:highlight w:val="none"/>
          <w:lang w:val="en-US" w:eastAsia="zh-CN" w:bidi="ar-SA"/>
        </w:rPr>
        <w:t>，6号试验室两个气瓶间，一个需配置气体管路，并与气体分析设备连通，另一个作为备瓶和空瓶的存放区。</w:t>
      </w:r>
    </w:p>
    <w:p w14:paraId="0EF824A6">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2" w:firstLineChars="200"/>
        <w:jc w:val="both"/>
        <w:textAlignment w:val="baseline"/>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1.2规划与布局</w:t>
      </w:r>
    </w:p>
    <w:p w14:paraId="35A7FBF1">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1.2.1需配置气体管路的气瓶间</w:t>
      </w:r>
    </w:p>
    <w:p w14:paraId="3F8BE062">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4号与7号气瓶间均采用分室设计：其中4号气瓶间划分为可燃气体气瓶间（3m×3m×2.7m）和不可燃/助燃气体气瓶间（</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m×2.7m）两个独立空间，7号气瓶间同样设置可燃（尺寸同4号可燃室）与不可燃/助燃（尺寸同4号不可燃室）两个气瓶间</w:t>
      </w:r>
      <w:r>
        <w:rPr>
          <w:rFonts w:hint="eastAsia" w:ascii="Times New Roman" w:hAnsi="Times New Roman" w:eastAsia="宋体" w:cs="Times New Roman"/>
          <w:color w:val="auto"/>
          <w:kern w:val="2"/>
          <w:sz w:val="24"/>
          <w:szCs w:val="24"/>
          <w:highlight w:val="none"/>
          <w:lang w:val="en-US" w:eastAsia="zh-CN" w:bidi="ar-SA"/>
        </w:rPr>
        <w:t>。6号试验室</w:t>
      </w:r>
      <w:r>
        <w:rPr>
          <w:rFonts w:hint="default" w:ascii="Times New Roman" w:hAnsi="Times New Roman" w:eastAsia="宋体" w:cs="Times New Roman"/>
          <w:color w:val="auto"/>
          <w:kern w:val="2"/>
          <w:sz w:val="24"/>
          <w:szCs w:val="24"/>
          <w:highlight w:val="none"/>
          <w:lang w:val="en-US" w:eastAsia="zh-CN" w:bidi="ar-SA"/>
        </w:rPr>
        <w:t>划分为可燃气体气瓶间（3m×3m×2.7m）和不可燃/助燃气体气瓶间（</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m×2.7m）两个独立空间</w:t>
      </w:r>
      <w:r>
        <w:rPr>
          <w:rFonts w:hint="eastAsia" w:ascii="Times New Roman" w:hAnsi="Times New Roman" w:eastAsia="宋体" w:cs="Times New Roman"/>
          <w:color w:val="auto"/>
          <w:kern w:val="2"/>
          <w:sz w:val="24"/>
          <w:szCs w:val="24"/>
          <w:highlight w:val="none"/>
          <w:lang w:val="en-US" w:eastAsia="zh-CN" w:bidi="ar-SA"/>
        </w:rPr>
        <w:t>。</w:t>
      </w:r>
    </w:p>
    <w:p w14:paraId="1CBA78DE">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1.2.2存放备瓶与空瓶的气瓶间</w:t>
      </w:r>
    </w:p>
    <w:p w14:paraId="52A8B0A5">
      <w:pPr>
        <w:pStyle w:val="11"/>
        <w:keepNext w:val="0"/>
        <w:keepLines w:val="0"/>
        <w:pageBreakBefore w:val="0"/>
        <w:widowControl w:val="0"/>
        <w:kinsoku/>
        <w:wordWrap/>
        <w:overflowPunct/>
        <w:topLinePunct w:val="0"/>
        <w:autoSpaceDE/>
        <w:autoSpaceDN/>
        <w:bidi w:val="0"/>
        <w:adjustRightInd w:val="0"/>
        <w:snapToGrid/>
        <w:spacing w:before="0" w:after="0" w:afterLines="0" w:line="360" w:lineRule="auto"/>
        <w:ind w:left="0" w:leftChars="0" w:right="0" w:rightChars="0"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6号气瓶间则采用</w:t>
      </w:r>
      <w:r>
        <w:rPr>
          <w:rFonts w:hint="eastAsia" w:ascii="Times New Roman" w:hAnsi="Times New Roman" w:eastAsia="宋体" w:cs="Times New Roman"/>
          <w:color w:val="auto"/>
          <w:kern w:val="2"/>
          <w:sz w:val="24"/>
          <w:szCs w:val="24"/>
          <w:highlight w:val="none"/>
          <w:lang w:val="en-US" w:eastAsia="zh-CN" w:bidi="ar-SA"/>
        </w:rPr>
        <w:t>分</w:t>
      </w:r>
      <w:r>
        <w:rPr>
          <w:rFonts w:hint="default" w:ascii="Times New Roman" w:hAnsi="Times New Roman" w:eastAsia="宋体" w:cs="Times New Roman"/>
          <w:color w:val="auto"/>
          <w:kern w:val="2"/>
          <w:sz w:val="24"/>
          <w:szCs w:val="24"/>
          <w:highlight w:val="none"/>
          <w:lang w:val="en-US" w:eastAsia="zh-CN" w:bidi="ar-SA"/>
        </w:rPr>
        <w:t>室分区</w:t>
      </w:r>
      <w:r>
        <w:rPr>
          <w:rFonts w:hint="eastAsia" w:ascii="Times New Roman" w:hAnsi="Times New Roman" w:eastAsia="宋体" w:cs="Times New Roman"/>
          <w:color w:val="auto"/>
          <w:kern w:val="2"/>
          <w:sz w:val="24"/>
          <w:szCs w:val="24"/>
          <w:highlight w:val="none"/>
          <w:lang w:val="en-US" w:eastAsia="zh-CN" w:bidi="ar-SA"/>
        </w:rPr>
        <w:t>存放空瓶和实瓶</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其中</w:t>
      </w:r>
      <w:r>
        <w:rPr>
          <w:rFonts w:hint="default" w:ascii="Times New Roman" w:hAnsi="Times New Roman" w:eastAsia="宋体" w:cs="Times New Roman"/>
          <w:color w:val="auto"/>
          <w:kern w:val="2"/>
          <w:sz w:val="24"/>
          <w:szCs w:val="24"/>
          <w:highlight w:val="none"/>
          <w:lang w:val="en-US" w:eastAsia="zh-CN" w:bidi="ar-SA"/>
        </w:rPr>
        <w:t>可燃气体气瓶间（</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×2.7m）</w:t>
      </w:r>
      <w:r>
        <w:rPr>
          <w:rFonts w:hint="eastAsia" w:ascii="Times New Roman" w:hAnsi="Times New Roman" w:eastAsia="宋体" w:cs="Times New Roman"/>
          <w:color w:val="auto"/>
          <w:kern w:val="2"/>
          <w:sz w:val="24"/>
          <w:szCs w:val="24"/>
          <w:highlight w:val="none"/>
          <w:lang w:val="en-US" w:eastAsia="zh-CN" w:bidi="ar-SA"/>
        </w:rPr>
        <w:t>存放可燃气体的空瓶和实瓶，</w:t>
      </w:r>
      <w:r>
        <w:rPr>
          <w:rFonts w:hint="default" w:ascii="Times New Roman" w:hAnsi="Times New Roman" w:eastAsia="宋体" w:cs="Times New Roman"/>
          <w:color w:val="auto"/>
          <w:kern w:val="2"/>
          <w:sz w:val="24"/>
          <w:szCs w:val="24"/>
          <w:highlight w:val="none"/>
          <w:lang w:val="en-US" w:eastAsia="zh-CN" w:bidi="ar-SA"/>
        </w:rPr>
        <w:t>不可燃/助燃气体气瓶间（</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m×2.7m）</w:t>
      </w:r>
      <w:r>
        <w:rPr>
          <w:rFonts w:hint="eastAsia" w:ascii="Times New Roman" w:hAnsi="Times New Roman" w:eastAsia="宋体" w:cs="Times New Roman"/>
          <w:color w:val="auto"/>
          <w:kern w:val="2"/>
          <w:sz w:val="24"/>
          <w:szCs w:val="24"/>
          <w:highlight w:val="none"/>
          <w:lang w:val="en-US" w:eastAsia="zh-CN" w:bidi="ar-SA"/>
        </w:rPr>
        <w:t>存放助燃气体和惰性气体的空瓶和实瓶</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6号气瓶间两室均用来存放空瓶和备瓶</w:t>
      </w:r>
      <w:r>
        <w:rPr>
          <w:rFonts w:hint="default" w:ascii="Times New Roman" w:hAnsi="Times New Roman" w:eastAsia="宋体" w:cs="Times New Roman"/>
          <w:color w:val="auto"/>
          <w:kern w:val="2"/>
          <w:sz w:val="24"/>
          <w:szCs w:val="24"/>
          <w:highlight w:val="none"/>
          <w:lang w:val="en-US" w:eastAsia="zh-CN" w:bidi="ar-SA"/>
        </w:rPr>
        <w:t>，不涉及其他用途</w:t>
      </w:r>
      <w:r>
        <w:rPr>
          <w:rFonts w:hint="eastAsia" w:ascii="Times New Roman" w:hAnsi="Times New Roman" w:eastAsia="宋体" w:cs="Times New Roman"/>
          <w:color w:val="auto"/>
          <w:kern w:val="2"/>
          <w:sz w:val="24"/>
          <w:szCs w:val="24"/>
          <w:highlight w:val="none"/>
          <w:lang w:val="en-US" w:eastAsia="zh-CN" w:bidi="ar-SA"/>
        </w:rPr>
        <w:t>，但空瓶和实瓶需要划区分开放置，并有明显标志区分</w:t>
      </w:r>
      <w:r>
        <w:rPr>
          <w:rFonts w:hint="default" w:ascii="Times New Roman" w:hAnsi="Times New Roman" w:eastAsia="宋体" w:cs="Times New Roman"/>
          <w:color w:val="auto"/>
          <w:kern w:val="2"/>
          <w:sz w:val="24"/>
          <w:szCs w:val="24"/>
          <w:highlight w:val="none"/>
          <w:lang w:val="en-US" w:eastAsia="zh-CN" w:bidi="ar-SA"/>
        </w:rPr>
        <w:t>。</w:t>
      </w:r>
    </w:p>
    <w:p w14:paraId="3FC4359F">
      <w:pPr>
        <w:keepNext w:val="0"/>
        <w:keepLines w:val="0"/>
        <w:pageBreakBefore w:val="0"/>
        <w:kinsoku/>
        <w:wordWrap/>
        <w:overflowPunct/>
        <w:topLinePunct w:val="0"/>
        <w:autoSpaceDE/>
        <w:autoSpaceDN/>
        <w:bidi w:val="0"/>
        <w:spacing w:line="360" w:lineRule="auto"/>
        <w:ind w:left="0" w:leftChars="0" w:right="0" w:rightChars="0" w:firstLine="420" w:firstLineChars="200"/>
        <w:jc w:val="center"/>
        <w:rPr>
          <w:rFonts w:hint="eastAsia" w:ascii="Times New Roman" w:hAnsi="Times New Roman" w:eastAsia="宋体" w:cs="Times New Roman"/>
          <w:b/>
          <w:bCs w:val="0"/>
          <w:sz w:val="24"/>
          <w:szCs w:val="24"/>
          <w:highlight w:val="none"/>
          <w:lang w:val="en-US" w:eastAsia="zh-CN"/>
        </w:rPr>
      </w:pPr>
      <w:r>
        <w:drawing>
          <wp:inline distT="0" distB="0" distL="114300" distR="114300">
            <wp:extent cx="5165725" cy="2645410"/>
            <wp:effectExtent l="0" t="0" r="3175" b="889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53"/>
                    <a:stretch>
                      <a:fillRect/>
                    </a:stretch>
                  </pic:blipFill>
                  <pic:spPr>
                    <a:xfrm>
                      <a:off x="0" y="0"/>
                      <a:ext cx="5165725" cy="2645410"/>
                    </a:xfrm>
                    <a:prstGeom prst="rect">
                      <a:avLst/>
                    </a:prstGeom>
                    <a:noFill/>
                    <a:ln>
                      <a:noFill/>
                    </a:ln>
                  </pic:spPr>
                </pic:pic>
              </a:graphicData>
            </a:graphic>
          </wp:inline>
        </w:drawing>
      </w:r>
    </w:p>
    <w:p w14:paraId="2B368FAF">
      <w:pPr>
        <w:keepNext w:val="0"/>
        <w:keepLines w:val="0"/>
        <w:pageBreakBefore w:val="0"/>
        <w:kinsoku/>
        <w:wordWrap/>
        <w:overflowPunct/>
        <w:topLinePunct w:val="0"/>
        <w:autoSpaceDE/>
        <w:autoSpaceDN/>
        <w:bidi w:val="0"/>
        <w:spacing w:line="360" w:lineRule="auto"/>
        <w:ind w:left="0" w:leftChars="0" w:right="0" w:rightChars="0" w:firstLine="482" w:firstLineChars="200"/>
        <w:jc w:val="center"/>
        <w:rPr>
          <w:rFonts w:hint="default"/>
          <w:b/>
          <w:bCs w:val="0"/>
          <w:lang w:val="en-US" w:eastAsia="zh-CN"/>
        </w:rPr>
      </w:pPr>
      <w:r>
        <w:rPr>
          <w:rFonts w:hint="eastAsia" w:ascii="Times New Roman" w:hAnsi="Times New Roman" w:eastAsia="宋体" w:cs="Times New Roman"/>
          <w:b/>
          <w:bCs w:val="0"/>
          <w:sz w:val="24"/>
          <w:szCs w:val="24"/>
          <w:highlight w:val="none"/>
          <w:lang w:val="en-US" w:eastAsia="zh-CN"/>
        </w:rPr>
        <w:t>气瓶间示例图（供参考）</w:t>
      </w:r>
    </w:p>
    <w:p w14:paraId="04F259FA">
      <w:pPr>
        <w:keepNext w:val="0"/>
        <w:keepLines w:val="0"/>
        <w:pageBreakBefore w:val="0"/>
        <w:kinsoku/>
        <w:wordWrap/>
        <w:overflowPunct/>
        <w:topLinePunct w:val="0"/>
        <w:autoSpaceDE/>
        <w:autoSpaceDN/>
        <w:bidi w:val="0"/>
        <w:spacing w:line="360" w:lineRule="auto"/>
        <w:ind w:left="0" w:leftChars="0" w:right="0" w:rightChars="0" w:firstLine="482" w:firstLineChars="200"/>
        <w:jc w:val="both"/>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2技术规格（带★</w:t>
      </w:r>
      <w:r>
        <w:rPr>
          <w:rFonts w:hint="default" w:ascii="Times New Roman" w:hAnsi="Times New Roman" w:eastAsia="宋体" w:cs="Times New Roman"/>
          <w:b/>
          <w:color w:val="000000"/>
          <w:sz w:val="24"/>
          <w:szCs w:val="24"/>
          <w:highlight w:val="none"/>
        </w:rPr>
        <w:t>的项目为淘汰项目，如有一项不能满足即淘汰；其余项目为一般项目</w:t>
      </w:r>
      <w:r>
        <w:rPr>
          <w:rFonts w:hint="default" w:ascii="Times New Roman" w:hAnsi="Times New Roman" w:eastAsia="宋体" w:cs="Times New Roman"/>
          <w:b/>
          <w:sz w:val="24"/>
          <w:szCs w:val="24"/>
          <w:highlight w:val="none"/>
        </w:rPr>
        <w:t>）</w:t>
      </w:r>
    </w:p>
    <w:p w14:paraId="7427B356">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2" w:firstLineChars="200"/>
        <w:jc w:val="both"/>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2.1集装箱式气瓶间箱体技术要求</w:t>
      </w:r>
    </w:p>
    <w:p w14:paraId="21015100">
      <w:pPr>
        <w:keepNext w:val="0"/>
        <w:keepLines w:val="0"/>
        <w:pageBreakBefore w:val="0"/>
        <w:widowControl/>
        <w:kinsoku/>
        <w:wordWrap/>
        <w:overflowPunct/>
        <w:topLinePunct w:val="0"/>
        <w:autoSpaceDE/>
        <w:autoSpaceDN/>
        <w:bidi w:val="0"/>
        <w:snapToGrid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★2.1</w:t>
      </w:r>
      <w:r>
        <w:rPr>
          <w:rFonts w:hint="default" w:ascii="Times New Roman" w:hAnsi="Times New Roman" w:eastAsia="宋体" w:cs="Times New Roman"/>
          <w:sz w:val="24"/>
          <w:szCs w:val="24"/>
          <w:highlight w:val="none"/>
          <w:lang w:val="en-US" w:eastAsia="zh-CN"/>
        </w:rPr>
        <w:t>.1箱体整体结构与材质</w:t>
      </w:r>
    </w:p>
    <w:p w14:paraId="3F8FF086">
      <w:pPr>
        <w:keepNext w:val="0"/>
        <w:keepLines w:val="0"/>
        <w:pageBreakBefore w:val="0"/>
        <w:widowControl/>
        <w:kinsoku/>
        <w:wordWrap/>
        <w:overflowPunct/>
        <w:topLinePunct w:val="0"/>
        <w:autoSpaceDE/>
        <w:autoSpaceDN/>
        <w:bidi w:val="0"/>
        <w:snapToGrid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a.集装箱式气瓶间内高度不低于2.5 m；箱体结构应使用高强度钢材，并用胀栓在地面进行固定安装，确保箱体在使用中安全可靠，可抵御本地室外大风天气。</w:t>
      </w:r>
    </w:p>
    <w:p w14:paraId="1301C979">
      <w:pPr>
        <w:keepNext w:val="0"/>
        <w:keepLines w:val="0"/>
        <w:pageBreakBefore w:val="0"/>
        <w:widowControl/>
        <w:kinsoku/>
        <w:wordWrap/>
        <w:overflowPunct/>
        <w:topLinePunct w:val="0"/>
        <w:autoSpaceDE/>
        <w:autoSpaceDN/>
        <w:bidi w:val="0"/>
        <w:snapToGrid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b.箱体顶部安装有4个吊装口或吊环，可采用吊装的方式整体移走，方便日后搬迁。</w:t>
      </w:r>
    </w:p>
    <w:p w14:paraId="160500DB">
      <w:pPr>
        <w:pStyle w:val="11"/>
        <w:pageBreakBefore w:val="0"/>
        <w:kinsoku/>
        <w:overflowPunct/>
        <w:topLinePunct w:val="0"/>
        <w:bidi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c.箱体外表面颜色应根据主建筑颜色或招标方要求进行喷涂，使整体协调、美观。</w:t>
      </w:r>
    </w:p>
    <w:p w14:paraId="59D2DEC8">
      <w:pPr>
        <w:pStyle w:val="11"/>
        <w:pageBreakBefore w:val="0"/>
        <w:numPr>
          <w:ilvl w:val="0"/>
          <w:numId w:val="0"/>
        </w:numPr>
        <w:kinsoku/>
        <w:overflowPunct/>
        <w:topLinePunct w:val="0"/>
        <w:bidi w:val="0"/>
        <w:spacing w:before="0" w:after="0" w:afterLines="0" w:line="360" w:lineRule="auto"/>
        <w:ind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d.</w:t>
      </w:r>
      <w:r>
        <w:rPr>
          <w:rFonts w:hint="default" w:ascii="Times New Roman" w:hAnsi="Times New Roman" w:eastAsia="宋体" w:cs="Times New Roman"/>
          <w:sz w:val="24"/>
          <w:szCs w:val="24"/>
          <w:highlight w:val="none"/>
        </w:rPr>
        <w:t>气瓶间箱体应进行防腐防锈处理，可抵御潮湿天气的侵蚀。</w:t>
      </w:r>
    </w:p>
    <w:p w14:paraId="49FEFC37">
      <w:pPr>
        <w:pStyle w:val="11"/>
        <w:pageBreakBefore w:val="0"/>
        <w:numPr>
          <w:ilvl w:val="0"/>
          <w:numId w:val="0"/>
        </w:numPr>
        <w:kinsoku/>
        <w:overflowPunct/>
        <w:topLinePunct w:val="0"/>
        <w:bidi w:val="0"/>
        <w:spacing w:before="0" w:after="0" w:afterLines="0" w:line="360" w:lineRule="auto"/>
        <w:ind w:right="0" w:rightChars="0" w:firstLine="480" w:firstLineChars="200"/>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yellow"/>
          <w:lang w:val="en-US" w:eastAsia="zh-CN"/>
        </w:rPr>
        <w:t>e.气瓶间箱体能够满足将试验室的可燃气体</w:t>
      </w:r>
      <w:r>
        <w:rPr>
          <w:rFonts w:hint="eastAsia" w:ascii="Times New Roman" w:hAnsi="Times New Roman" w:eastAsia="宋体" w:cs="Times New Roman"/>
          <w:sz w:val="24"/>
          <w:szCs w:val="24"/>
          <w:highlight w:val="yellow"/>
          <w:lang w:val="en-US" w:eastAsia="zh-CN"/>
        </w:rPr>
        <w:t>和</w:t>
      </w:r>
      <w:r>
        <w:rPr>
          <w:rFonts w:hint="default" w:ascii="Times New Roman" w:hAnsi="Times New Roman" w:eastAsia="宋体" w:cs="Times New Roman"/>
          <w:sz w:val="24"/>
          <w:szCs w:val="24"/>
          <w:highlight w:val="yellow"/>
          <w:lang w:val="en-US" w:eastAsia="zh-CN"/>
        </w:rPr>
        <w:t>助燃气体</w:t>
      </w:r>
      <w:r>
        <w:rPr>
          <w:rFonts w:hint="eastAsia" w:ascii="Times New Roman" w:hAnsi="Times New Roman" w:eastAsia="宋体" w:cs="Times New Roman"/>
          <w:sz w:val="24"/>
          <w:szCs w:val="24"/>
          <w:highlight w:val="yellow"/>
          <w:lang w:val="en-US" w:eastAsia="zh-CN"/>
        </w:rPr>
        <w:t>、惰性气体</w:t>
      </w:r>
      <w:r>
        <w:rPr>
          <w:rFonts w:hint="default" w:ascii="Times New Roman" w:hAnsi="Times New Roman" w:eastAsia="宋体" w:cs="Times New Roman"/>
          <w:sz w:val="24"/>
          <w:szCs w:val="24"/>
          <w:highlight w:val="yellow"/>
          <w:lang w:val="en-US" w:eastAsia="zh-CN"/>
        </w:rPr>
        <w:t>分室存放。</w:t>
      </w:r>
    </w:p>
    <w:p w14:paraId="5EE09B31">
      <w:pPr>
        <w:pStyle w:val="11"/>
        <w:pageBreakBefore w:val="0"/>
        <w:numPr>
          <w:ilvl w:val="0"/>
          <w:numId w:val="0"/>
        </w:numPr>
        <w:kinsoku/>
        <w:overflowPunct/>
        <w:topLinePunct w:val="0"/>
        <w:bidi w:val="0"/>
        <w:spacing w:before="0" w:after="0" w:afterLines="0" w:line="360" w:lineRule="auto"/>
        <w:ind w:right="0" w:rightChars="0" w:firstLine="480" w:firstLineChars="200"/>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yellow"/>
          <w:lang w:val="en-US" w:eastAsia="zh-CN"/>
        </w:rPr>
        <w:t>f.</w:t>
      </w:r>
      <w:r>
        <w:rPr>
          <w:rFonts w:hint="default" w:ascii="Times New Roman" w:hAnsi="Times New Roman" w:eastAsia="宋体" w:cs="Times New Roman"/>
          <w:sz w:val="24"/>
          <w:szCs w:val="24"/>
          <w:highlight w:val="yellow"/>
        </w:rPr>
        <w:t>气瓶间靠近建筑物侧和</w:t>
      </w:r>
      <w:r>
        <w:rPr>
          <w:rFonts w:hint="default" w:ascii="Times New Roman" w:hAnsi="Times New Roman" w:eastAsia="宋体" w:cs="Times New Roman"/>
          <w:sz w:val="24"/>
          <w:szCs w:val="24"/>
          <w:highlight w:val="yellow"/>
          <w:lang w:val="en-US" w:eastAsia="zh-CN"/>
        </w:rPr>
        <w:t>可、助燃</w:t>
      </w:r>
      <w:r>
        <w:rPr>
          <w:rFonts w:hint="eastAsia" w:ascii="Times New Roman" w:hAnsi="Times New Roman" w:eastAsia="宋体" w:cs="Times New Roman"/>
          <w:sz w:val="24"/>
          <w:szCs w:val="24"/>
          <w:highlight w:val="yellow"/>
          <w:lang w:val="en-US" w:eastAsia="zh-CN"/>
        </w:rPr>
        <w:t>/惰性</w:t>
      </w:r>
      <w:r>
        <w:rPr>
          <w:rFonts w:hint="default" w:ascii="Times New Roman" w:hAnsi="Times New Roman" w:eastAsia="宋体" w:cs="Times New Roman"/>
          <w:sz w:val="24"/>
          <w:szCs w:val="24"/>
          <w:highlight w:val="yellow"/>
        </w:rPr>
        <w:t>气瓶间</w:t>
      </w:r>
      <w:r>
        <w:rPr>
          <w:rFonts w:hint="default" w:ascii="Times New Roman" w:hAnsi="Times New Roman" w:eastAsia="宋体" w:cs="Times New Roman"/>
          <w:sz w:val="24"/>
          <w:szCs w:val="24"/>
          <w:highlight w:val="yellow"/>
          <w:lang w:val="en-US" w:eastAsia="zh-CN"/>
        </w:rPr>
        <w:t>之间的隔断</w:t>
      </w:r>
      <w:r>
        <w:rPr>
          <w:rFonts w:hint="default" w:ascii="Times New Roman" w:hAnsi="Times New Roman" w:eastAsia="宋体" w:cs="Times New Roman"/>
          <w:sz w:val="24"/>
          <w:szCs w:val="24"/>
          <w:highlight w:val="yellow"/>
        </w:rPr>
        <w:t>均为</w:t>
      </w:r>
      <w:r>
        <w:rPr>
          <w:rFonts w:hint="default" w:ascii="Times New Roman" w:hAnsi="Times New Roman" w:eastAsia="宋体" w:cs="Times New Roman"/>
          <w:sz w:val="24"/>
          <w:szCs w:val="24"/>
          <w:highlight w:val="yellow"/>
          <w:lang w:val="en-US" w:eastAsia="zh-CN"/>
        </w:rPr>
        <w:t>高强度</w:t>
      </w:r>
      <w:r>
        <w:rPr>
          <w:rFonts w:hint="default" w:ascii="Times New Roman" w:hAnsi="Times New Roman" w:eastAsia="宋体" w:cs="Times New Roman"/>
          <w:sz w:val="24"/>
          <w:szCs w:val="24"/>
          <w:highlight w:val="yellow"/>
        </w:rPr>
        <w:t>加厚钢板制作而成。</w:t>
      </w:r>
    </w:p>
    <w:p w14:paraId="6381E026">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2.1.2顶部设计与门体设计</w:t>
      </w:r>
    </w:p>
    <w:p w14:paraId="28DF73A2">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a.气瓶间门体和顶部均采用轻质彩钢板进行铺设，彩钢板内填充防火岩棉材质</w:t>
      </w:r>
      <w:r>
        <w:rPr>
          <w:rFonts w:hint="eastAsia" w:ascii="Times New Roman" w:hAnsi="Times New Roman" w:eastAsia="宋体" w:cs="Times New Roman"/>
          <w:kern w:val="2"/>
          <w:sz w:val="24"/>
          <w:szCs w:val="24"/>
          <w:highlight w:val="none"/>
          <w:lang w:val="en-US" w:eastAsia="zh-CN" w:bidi="ar-SA"/>
        </w:rPr>
        <w:t>，容重120～150kg/m³</w:t>
      </w:r>
      <w:r>
        <w:rPr>
          <w:rFonts w:hint="default" w:ascii="Times New Roman" w:hAnsi="Times New Roman" w:eastAsia="宋体" w:cs="Times New Roman"/>
          <w:kern w:val="2"/>
          <w:sz w:val="24"/>
          <w:szCs w:val="24"/>
          <w:highlight w:val="none"/>
          <w:lang w:val="en-US" w:eastAsia="zh-CN" w:bidi="ar-SA"/>
        </w:rPr>
        <w:t>。</w:t>
      </w:r>
    </w:p>
    <w:p w14:paraId="5F0BBA78">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b.箱顶应方便雨水导至地面，以防雨水积存，流入箱内。</w:t>
      </w:r>
    </w:p>
    <w:p w14:paraId="535A90B9">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kern w:val="2"/>
          <w:sz w:val="24"/>
          <w:szCs w:val="24"/>
          <w:highlight w:val="none"/>
          <w:lang w:val="en-US" w:eastAsia="zh-CN" w:bidi="ar-SA"/>
        </w:rPr>
        <w:t>c.箱门采用外开式扫地设计，并配备玻璃观察窗便于实时查看，侧面及正面设自然通风百叶强化空气流通。</w:t>
      </w:r>
    </w:p>
    <w:p w14:paraId="0174CCC0">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2" w:firstLineChars="200"/>
        <w:jc w:val="both"/>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2.2集装箱式气瓶间箱体内部技术要求</w:t>
      </w:r>
    </w:p>
    <w:p w14:paraId="1CE442DC">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2.2.1底板设计</w:t>
      </w:r>
    </w:p>
    <w:p w14:paraId="2C792044">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a.底板设计采用加厚花纹钢板铺设，通过增大接触面摩擦系数避免移动过程中因滑动失控引发碰撞、倾倒等危险。同时，为强化底板结构承载能力，箱体底板下方增设加强筋框架，确保底板整体承重性能不低于500 kg/m²。</w:t>
      </w:r>
    </w:p>
    <w:p w14:paraId="28E69081">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none"/>
          <w:lang w:val="en-US" w:eastAsia="zh-CN" w:bidi="ar-SA"/>
        </w:rPr>
        <w:t>b.存放可燃气体气瓶间，箱体底板应采用防静电材质。</w:t>
      </w:r>
    </w:p>
    <w:p w14:paraId="20C4BAE1">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c.气瓶间底板需设置独立接地系统。</w:t>
      </w:r>
    </w:p>
    <w:p w14:paraId="0FA5DF1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b/>
          <w:bCs/>
          <w:kern w:val="2"/>
          <w:sz w:val="24"/>
          <w:szCs w:val="24"/>
          <w:highlight w:val="none"/>
          <w:lang w:val="en-US" w:eastAsia="zh-CN" w:bidi="ar-SA"/>
        </w:rPr>
        <w:t>2.3泄爆面积</w:t>
      </w:r>
    </w:p>
    <w:p w14:paraId="6B043E9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气瓶间的泄爆面积（箱顶、百叶以及箱门）符合国家《建筑设计防火规范》的要求，靠近建筑物一面不得设置为泄爆面。</w:t>
      </w:r>
    </w:p>
    <w:p w14:paraId="32A1602B">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b/>
          <w:bCs/>
          <w:kern w:val="2"/>
          <w:sz w:val="24"/>
          <w:szCs w:val="24"/>
          <w:highlight w:val="none"/>
          <w:lang w:val="en-US" w:eastAsia="zh-CN" w:bidi="ar-SA"/>
        </w:rPr>
        <w:t>2.4气瓶固定与摆放</w:t>
      </w:r>
    </w:p>
    <w:p w14:paraId="31BE750C">
      <w:pPr>
        <w:pStyle w:val="11"/>
        <w:keepNext w:val="0"/>
        <w:keepLines w:val="0"/>
        <w:pageBreakBefore w:val="0"/>
        <w:numPr>
          <w:ilvl w:val="0"/>
          <w:numId w:val="11"/>
        </w:numPr>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气瓶间内设置气瓶固定支架、气瓶防倾倒链，确保气瓶放置稳固。</w:t>
      </w:r>
    </w:p>
    <w:p w14:paraId="72936BBA">
      <w:pPr>
        <w:pStyle w:val="11"/>
        <w:keepNext w:val="0"/>
        <w:keepLines w:val="0"/>
        <w:pageBreakBefore w:val="0"/>
        <w:numPr>
          <w:ilvl w:val="0"/>
          <w:numId w:val="11"/>
        </w:numPr>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气瓶与气瓶之间的间距应满足相关标准（如氧气瓶与乙炔瓶间距一般不小于5米）</w:t>
      </w:r>
    </w:p>
    <w:p w14:paraId="01D3939D">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b/>
          <w:bCs/>
          <w:kern w:val="2"/>
          <w:sz w:val="24"/>
          <w:szCs w:val="24"/>
          <w:highlight w:val="none"/>
          <w:lang w:val="en-US" w:eastAsia="zh-CN" w:bidi="ar-SA"/>
        </w:rPr>
        <w:t>2.5集装箱式气瓶间照明、通风、监控系统技术要求</w:t>
      </w:r>
    </w:p>
    <w:p w14:paraId="6164F929">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2.5.1照明系统</w:t>
      </w:r>
    </w:p>
    <w:p w14:paraId="4EA2F03B">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a.防爆节能LED灯：内设防爆节能LED灯，功率可达到15-20W。照明灯选用国内知名品牌，光线柔和均匀，无眩光，平均使用寿命在12000小时以上。</w:t>
      </w:r>
    </w:p>
    <w:p w14:paraId="1346A40B">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b.防爆应急灯：室内的合适位置设置一盏防爆等级应急灯（每间房屋各一盏）。在正常供电下自动充电，事故断电或停电时应急灯自动点亮。应急时间1小时以上。</w:t>
      </w:r>
    </w:p>
    <w:p w14:paraId="61FA7C7A">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c.防爆安全出口指示灯：室内进出通道门的内上方各装一个防爆安全出口指示灯。在正常工作时几乎不耗电，应急时间1小时以上。</w:t>
      </w:r>
    </w:p>
    <w:p w14:paraId="1DF6A4C5">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2.5.2通风系统</w:t>
      </w:r>
    </w:p>
    <w:p w14:paraId="74C4AB87">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机械通风风机采用知名品牌防爆轴流风机，具有结构紧凑，噪音低，性能稳定可靠等特点。风机可手动控制，也可与室内可燃气体传感器、消防联动。</w:t>
      </w:r>
    </w:p>
    <w:p w14:paraId="008244D9">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2.5.3电气与布线</w:t>
      </w:r>
    </w:p>
    <w:p w14:paraId="40523890">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气瓶间内部电气产品及布线全部采用防爆规格。</w:t>
      </w:r>
    </w:p>
    <w:p w14:paraId="5AE6DD10">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2.5.4监测监控系统</w:t>
      </w:r>
    </w:p>
    <w:p w14:paraId="42D7C9D7">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为</w:t>
      </w:r>
      <w:r>
        <w:rPr>
          <w:rFonts w:hint="default" w:ascii="Times New Roman" w:hAnsi="Times New Roman" w:eastAsia="宋体" w:cs="Times New Roman"/>
          <w:kern w:val="2"/>
          <w:sz w:val="24"/>
          <w:szCs w:val="24"/>
          <w:highlight w:val="none"/>
          <w:lang w:val="en-US" w:eastAsia="zh-CN" w:bidi="ar-SA"/>
        </w:rPr>
        <w:t>满足试验需求，气瓶种类包括工作气（氢氦气、高纯氧、合成空气、氮气）和标定气（丙烷、氮氧化物、一氧化碳、二氧化碳、甲烷、氩气、氨气等）</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气瓶间内部配置可燃气体</w:t>
      </w:r>
      <w:r>
        <w:rPr>
          <w:rFonts w:hint="eastAsia" w:ascii="Times New Roman" w:hAnsi="Times New Roman" w:eastAsia="宋体" w:cs="Times New Roman"/>
          <w:kern w:val="2"/>
          <w:sz w:val="24"/>
          <w:szCs w:val="24"/>
          <w:highlight w:val="none"/>
          <w:lang w:val="en-US" w:eastAsia="zh-CN" w:bidi="ar-SA"/>
        </w:rPr>
        <w:t>（氢气）、助燃气体（氧气）以及有毒气体（一氧化碳、一氧化氮）</w:t>
      </w:r>
      <w:r>
        <w:rPr>
          <w:rFonts w:hint="default" w:ascii="Times New Roman" w:hAnsi="Times New Roman" w:eastAsia="宋体" w:cs="Times New Roman"/>
          <w:kern w:val="2"/>
          <w:sz w:val="24"/>
          <w:szCs w:val="24"/>
          <w:highlight w:val="none"/>
          <w:lang w:val="en-US" w:eastAsia="zh-CN" w:bidi="ar-SA"/>
        </w:rPr>
        <w:t>泄漏报警系统</w:t>
      </w:r>
      <w:r>
        <w:rPr>
          <w:rFonts w:hint="eastAsia" w:ascii="Times New Roman" w:hAnsi="Times New Roman" w:eastAsia="宋体" w:cs="Times New Roman"/>
          <w:kern w:val="2"/>
          <w:sz w:val="24"/>
          <w:szCs w:val="24"/>
          <w:highlight w:val="none"/>
          <w:lang w:val="en-US" w:eastAsia="zh-CN" w:bidi="ar-SA"/>
        </w:rPr>
        <w:t>和</w:t>
      </w:r>
      <w:r>
        <w:rPr>
          <w:rFonts w:hint="default" w:ascii="Times New Roman" w:hAnsi="Times New Roman" w:eastAsia="宋体" w:cs="Times New Roman"/>
          <w:kern w:val="2"/>
          <w:sz w:val="24"/>
          <w:szCs w:val="24"/>
          <w:highlight w:val="none"/>
          <w:lang w:val="en-US" w:eastAsia="zh-CN" w:bidi="ar-SA"/>
        </w:rPr>
        <w:t>感烟火灾探测器，并接入园区消防控制室。</w:t>
      </w:r>
    </w:p>
    <w:p w14:paraId="55C0C2F3">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2.5.5人体静电释放装置</w:t>
      </w:r>
    </w:p>
    <w:p w14:paraId="19411011">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气瓶间门口配置人体静电释放报警仪。</w:t>
      </w:r>
    </w:p>
    <w:p w14:paraId="4EE30EEC">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2.5.6其他要求</w:t>
      </w:r>
    </w:p>
    <w:p w14:paraId="5F5CF0C4">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卖方提供的设备、设施所有部件必须是全新的。系统应高效、节能，必须符合国家的规定、行业的要求，同时也必须满足《机械制造企业安全质量标准化考核评级标准》及其他中国的相关法律法规要求。</w:t>
      </w:r>
    </w:p>
    <w:p w14:paraId="06070A12">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b/>
          <w:bCs/>
          <w:kern w:val="2"/>
          <w:sz w:val="24"/>
          <w:szCs w:val="24"/>
          <w:highlight w:val="yellow"/>
          <w:lang w:val="en-US" w:eastAsia="zh-CN" w:bidi="ar-SA"/>
        </w:rPr>
        <w:t>2.6集装箱式气瓶间管路改造技术要求</w:t>
      </w:r>
    </w:p>
    <w:p w14:paraId="5DB0A55A">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2.6.1管路检测与布局</w:t>
      </w:r>
    </w:p>
    <w:p w14:paraId="3D90FF1E">
      <w:pPr>
        <w:pStyle w:val="11"/>
        <w:keepNext w:val="0"/>
        <w:keepLines w:val="0"/>
        <w:pageBreakBefore w:val="0"/>
        <w:numPr>
          <w:ilvl w:val="0"/>
          <w:numId w:val="12"/>
        </w:numPr>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卖方需先对试验室原有气体管路开展功能测试，确认其性能正常且不影响产品质量后再行后续操作；若检测发现问题，应立即向客户反馈并协助安排更换。</w:t>
      </w:r>
    </w:p>
    <w:p w14:paraId="6E6F6D8B">
      <w:pPr>
        <w:pStyle w:val="11"/>
        <w:keepNext w:val="0"/>
        <w:keepLines w:val="0"/>
        <w:pageBreakBefore w:val="0"/>
        <w:numPr>
          <w:ilvl w:val="0"/>
          <w:numId w:val="12"/>
        </w:numPr>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将原有一次调压面板移至集装箱式气瓶间并进行合理布局，面板应牢固固定。</w:t>
      </w:r>
    </w:p>
    <w:p w14:paraId="37D6C74F">
      <w:pPr>
        <w:pStyle w:val="11"/>
        <w:keepNext w:val="0"/>
        <w:keepLines w:val="0"/>
        <w:pageBreakBefore w:val="0"/>
        <w:numPr>
          <w:ilvl w:val="0"/>
          <w:numId w:val="12"/>
        </w:numPr>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现有气瓶存放位置参考简图见下，投标方需根据现场实际情况在投标时给出详细合理的设计方案，将原有一次调压面板移至集装箱式气瓶间并进行合理布局，面板应牢固固定，并对此管路改造方案做出详细解释。</w:t>
      </w:r>
    </w:p>
    <w:p w14:paraId="772BDB36">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如图1所示，4号试验室现有气瓶管路48路。目前从存放位置到AVL轻毂试验台架设备间有20路，从存放位置到AVL重毂台架设备间有20路，备用8路。</w:t>
      </w:r>
    </w:p>
    <w:p w14:paraId="06F740E3">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jc w:val="center"/>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4094480</wp:posOffset>
                </wp:positionH>
                <wp:positionV relativeFrom="paragraph">
                  <wp:posOffset>311785</wp:posOffset>
                </wp:positionV>
                <wp:extent cx="902335" cy="294640"/>
                <wp:effectExtent l="304165" t="0" r="0" b="0"/>
                <wp:wrapNone/>
                <wp:docPr id="35" name="文本框 35"/>
                <wp:cNvGraphicFramePr/>
                <a:graphic xmlns:a="http://schemas.openxmlformats.org/drawingml/2006/main">
                  <a:graphicData uri="http://schemas.microsoft.com/office/word/2010/wordprocessingShape">
                    <wps:wsp>
                      <wps:cNvSpPr txBox="1"/>
                      <wps:spPr>
                        <a:xfrm rot="2940000">
                          <a:off x="5351145" y="3961765"/>
                          <a:ext cx="90233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4F94E">
                            <w:pPr>
                              <w:rPr>
                                <w:rFonts w:hint="default" w:eastAsiaTheme="minorEastAsia"/>
                                <w:b/>
                                <w:bCs/>
                                <w:sz w:val="16"/>
                                <w:szCs w:val="18"/>
                                <w:lang w:val="en-US" w:eastAsia="zh-CN"/>
                              </w:rPr>
                            </w:pPr>
                            <w:r>
                              <w:rPr>
                                <w:rFonts w:hint="eastAsia" w:ascii="宋体" w:hAnsi="宋体" w:eastAsia="宋体" w:cs="宋体"/>
                                <w:b/>
                                <w:bCs/>
                                <w:color w:val="FF0000"/>
                                <w:sz w:val="16"/>
                                <w:szCs w:val="18"/>
                                <w:lang w:val="en-US" w:eastAsia="zh-CN"/>
                              </w:rPr>
                              <w:t>箱式气瓶</w:t>
                            </w:r>
                            <w:r>
                              <w:rPr>
                                <w:rFonts w:hint="eastAsia"/>
                                <w:b/>
                                <w:bCs/>
                                <w:color w:val="FF0000"/>
                                <w:sz w:val="16"/>
                                <w:szCs w:val="18"/>
                                <w:lang w:val="en-US"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4pt;margin-top:24.55pt;height:23.2pt;width:71.05pt;rotation:3211264f;z-index:251660288;mso-width-relative:page;mso-height-relative:page;" filled="f" stroked="f" coordsize="21600,21600" o:gfxdata="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ZPFxncAAAACQEA&#10;AA8AAAAAAAAAAQAgAAAAIgAAAGRycy9kb3ducmV2LnhtbFBLAQIUABQAAAAIAIdO4kA4QQn5TwIA&#10;AIEEAAAOAAAAAAAAAAEAIAAAACsBAABkcnMvZTJvRG9jLnhtbFBLBQYAAAAABgAGAFkBAADsBQAA&#10;AAA=&#10;">
                <v:fill on="f" focussize="0,0"/>
                <v:stroke on="f" weight="0.5pt"/>
                <v:imagedata o:title=""/>
                <o:lock v:ext="edit" aspectratio="f"/>
                <v:textbox>
                  <w:txbxContent>
                    <w:p w14:paraId="2F74F94E">
                      <w:pPr>
                        <w:rPr>
                          <w:rFonts w:hint="default" w:eastAsiaTheme="minorEastAsia"/>
                          <w:b/>
                          <w:bCs/>
                          <w:sz w:val="16"/>
                          <w:szCs w:val="18"/>
                          <w:lang w:val="en-US" w:eastAsia="zh-CN"/>
                        </w:rPr>
                      </w:pPr>
                      <w:r>
                        <w:rPr>
                          <w:rFonts w:hint="eastAsia" w:ascii="宋体" w:hAnsi="宋体" w:eastAsia="宋体" w:cs="宋体"/>
                          <w:b/>
                          <w:bCs/>
                          <w:color w:val="FF0000"/>
                          <w:sz w:val="16"/>
                          <w:szCs w:val="18"/>
                          <w:lang w:val="en-US" w:eastAsia="zh-CN"/>
                        </w:rPr>
                        <w:t>箱式气瓶</w:t>
                      </w:r>
                      <w:r>
                        <w:rPr>
                          <w:rFonts w:hint="eastAsia"/>
                          <w:b/>
                          <w:bCs/>
                          <w:color w:val="FF0000"/>
                          <w:sz w:val="16"/>
                          <w:szCs w:val="18"/>
                          <w:lang w:val="en-US" w:eastAsia="zh-CN"/>
                        </w:rPr>
                        <w:t>间</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4313555</wp:posOffset>
                </wp:positionH>
                <wp:positionV relativeFrom="paragraph">
                  <wp:posOffset>412115</wp:posOffset>
                </wp:positionV>
                <wp:extent cx="219710" cy="97790"/>
                <wp:effectExtent l="61595" t="3175" r="69215" b="5715"/>
                <wp:wrapNone/>
                <wp:docPr id="17" name="圆角矩形 17"/>
                <wp:cNvGraphicFramePr/>
                <a:graphic xmlns:a="http://schemas.openxmlformats.org/drawingml/2006/main">
                  <a:graphicData uri="http://schemas.microsoft.com/office/word/2010/wordprocessingShape">
                    <wps:wsp>
                      <wps:cNvSpPr/>
                      <wps:spPr>
                        <a:xfrm rot="2820000">
                          <a:off x="5243195" y="4005580"/>
                          <a:ext cx="219710" cy="97790"/>
                        </a:xfrm>
                        <a:prstGeom prst="round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9.65pt;margin-top:32.45pt;height:7.7pt;width:17.3pt;rotation:3080192f;z-index:251659264;v-text-anchor:middle;mso-width-relative:page;mso-height-relative:page;" filled="f" stroked="t" coordsize="21600,21600" arcsize="0.166666666666667" o:gfxdata="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SROojYAAAA&#10;CQEAAA8AAAAAAAAAAQAgAAAAIgAAAGRycy9kb3ducmV2LnhtbFBLAQIUABQAAAAIAIdO4kA8zvNy&#10;jwIAAPAEAAAOAAAAAAAAAAEAIAAAACcBAABkcnMvZTJvRG9jLnhtbFBLBQYAAAAABgAGAFkBAAAo&#10;BgAAAAA=&#10;">
                <v:fill on="f" focussize="0,0"/>
                <v:stroke weight="1pt" color="#FF0000 [2404]" miterlimit="8" joinstyle="miter"/>
                <v:imagedata o:title=""/>
                <o:lock v:ext="edit" aspectratio="f"/>
              </v:roundrect>
            </w:pict>
          </mc:Fallback>
        </mc:AlternateContent>
      </w:r>
      <w:r>
        <w:rPr>
          <w:rFonts w:hint="default" w:ascii="Times New Roman" w:hAnsi="Times New Roman" w:eastAsia="宋体" w:cs="Times New Roman"/>
        </w:rPr>
        <w:drawing>
          <wp:inline distT="0" distB="0" distL="114300" distR="114300">
            <wp:extent cx="3346450" cy="2266315"/>
            <wp:effectExtent l="0" t="0" r="6350" b="698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4"/>
                    <a:stretch>
                      <a:fillRect/>
                    </a:stretch>
                  </pic:blipFill>
                  <pic:spPr>
                    <a:xfrm>
                      <a:off x="0" y="0"/>
                      <a:ext cx="3346450" cy="2266315"/>
                    </a:xfrm>
                    <a:prstGeom prst="rect">
                      <a:avLst/>
                    </a:prstGeom>
                    <a:noFill/>
                    <a:ln>
                      <a:noFill/>
                    </a:ln>
                  </pic:spPr>
                </pic:pic>
              </a:graphicData>
            </a:graphic>
          </wp:inline>
        </w:drawing>
      </w:r>
    </w:p>
    <w:p w14:paraId="0D8A109B">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jc w:val="center"/>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图1. 4号试验室建筑物设计图</w:t>
      </w:r>
    </w:p>
    <w:p w14:paraId="67214E9D">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yellow"/>
          <w:lang w:val="en-US" w:eastAsia="zh-CN" w:bidi="ar-SA"/>
        </w:rPr>
        <w:t>六号试验室</w:t>
      </w:r>
      <w:r>
        <w:rPr>
          <w:rFonts w:hint="default" w:ascii="Times New Roman" w:hAnsi="Times New Roman" w:eastAsia="宋体" w:cs="Times New Roman"/>
          <w:kern w:val="2"/>
          <w:sz w:val="24"/>
          <w:szCs w:val="24"/>
          <w:highlight w:val="yellow"/>
          <w:lang w:val="en-US" w:eastAsia="zh-CN" w:bidi="ar-SA"/>
        </w:rPr>
        <w:t>参考</w:t>
      </w:r>
      <w:r>
        <w:rPr>
          <w:rFonts w:hint="eastAsia" w:ascii="Times New Roman" w:hAnsi="Times New Roman" w:eastAsia="宋体" w:cs="Times New Roman"/>
          <w:kern w:val="2"/>
          <w:sz w:val="24"/>
          <w:szCs w:val="24"/>
          <w:highlight w:val="yellow"/>
          <w:lang w:val="en-US" w:eastAsia="zh-CN" w:bidi="ar-SA"/>
        </w:rPr>
        <w:t>如图2所示</w:t>
      </w:r>
      <w:r>
        <w:rPr>
          <w:rFonts w:hint="default" w:ascii="Times New Roman" w:hAnsi="Times New Roman" w:eastAsia="宋体" w:cs="Times New Roman"/>
          <w:kern w:val="2"/>
          <w:sz w:val="24"/>
          <w:szCs w:val="24"/>
          <w:highlight w:val="yellow"/>
          <w:lang w:val="en-US" w:eastAsia="zh-CN" w:bidi="ar-SA"/>
        </w:rPr>
        <w:t>，</w:t>
      </w:r>
      <w:r>
        <w:rPr>
          <w:rFonts w:hint="eastAsia" w:ascii="Times New Roman" w:hAnsi="Times New Roman" w:eastAsia="宋体" w:cs="Times New Roman"/>
          <w:kern w:val="2"/>
          <w:sz w:val="24"/>
          <w:szCs w:val="24"/>
          <w:highlight w:val="yellow"/>
          <w:lang w:val="en-US" w:eastAsia="zh-CN" w:bidi="ar-SA"/>
        </w:rPr>
        <w:t>气瓶间建在试验室外侧，</w:t>
      </w:r>
      <w:r>
        <w:rPr>
          <w:rFonts w:hint="default" w:ascii="Times New Roman" w:hAnsi="Times New Roman" w:eastAsia="宋体" w:cs="Times New Roman"/>
          <w:kern w:val="2"/>
          <w:sz w:val="24"/>
          <w:szCs w:val="24"/>
          <w:highlight w:val="yellow"/>
          <w:lang w:val="en-US" w:eastAsia="zh-CN" w:bidi="ar-SA"/>
        </w:rPr>
        <w:t>投标方需根据现场</w:t>
      </w:r>
      <w:r>
        <w:rPr>
          <w:rFonts w:hint="eastAsia" w:ascii="Times New Roman" w:hAnsi="Times New Roman" w:eastAsia="宋体" w:cs="Times New Roman"/>
          <w:kern w:val="2"/>
          <w:sz w:val="24"/>
          <w:szCs w:val="24"/>
          <w:highlight w:val="yellow"/>
          <w:lang w:val="en-US" w:eastAsia="zh-CN" w:bidi="ar-SA"/>
        </w:rPr>
        <w:t>原有管路对气体管路进行改造，并</w:t>
      </w:r>
      <w:r>
        <w:rPr>
          <w:rFonts w:hint="default" w:ascii="Times New Roman" w:hAnsi="Times New Roman" w:eastAsia="宋体" w:cs="Times New Roman"/>
          <w:kern w:val="2"/>
          <w:sz w:val="24"/>
          <w:szCs w:val="24"/>
          <w:highlight w:val="yellow"/>
          <w:lang w:val="en-US" w:eastAsia="zh-CN" w:bidi="ar-SA"/>
        </w:rPr>
        <w:t>在投标时给出详细合理的设计方案，将原有一次调压面板移至集装箱式气瓶间并进行合理布局，面板应牢固固定，</w:t>
      </w:r>
      <w:r>
        <w:rPr>
          <w:rFonts w:hint="eastAsia" w:ascii="Times New Roman" w:hAnsi="Times New Roman" w:eastAsia="宋体" w:cs="Times New Roman"/>
          <w:kern w:val="2"/>
          <w:sz w:val="24"/>
          <w:szCs w:val="24"/>
          <w:highlight w:val="yellow"/>
          <w:lang w:val="en-US" w:eastAsia="zh-CN" w:bidi="ar-SA"/>
        </w:rPr>
        <w:t>同时在用气点设置二级减压阀，增设的二级减压阀需放置得当，保证美观大方。并</w:t>
      </w:r>
      <w:r>
        <w:rPr>
          <w:rFonts w:hint="default" w:ascii="Times New Roman" w:hAnsi="Times New Roman" w:eastAsia="宋体" w:cs="Times New Roman"/>
          <w:kern w:val="2"/>
          <w:sz w:val="24"/>
          <w:szCs w:val="24"/>
          <w:highlight w:val="yellow"/>
          <w:lang w:val="en-US" w:eastAsia="zh-CN" w:bidi="ar-SA"/>
        </w:rPr>
        <w:t>对此管路改造方案做出详细解释。</w:t>
      </w:r>
    </w:p>
    <w:p w14:paraId="1F65E321">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firstLine="420" w:firstLineChars="200"/>
        <w:jc w:val="center"/>
      </w:pPr>
      <w:r>
        <w:drawing>
          <wp:inline distT="0" distB="0" distL="114300" distR="114300">
            <wp:extent cx="3304540" cy="2317115"/>
            <wp:effectExtent l="0" t="0" r="1016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5"/>
                    <a:stretch>
                      <a:fillRect/>
                    </a:stretch>
                  </pic:blipFill>
                  <pic:spPr>
                    <a:xfrm>
                      <a:off x="0" y="0"/>
                      <a:ext cx="3304540" cy="2317115"/>
                    </a:xfrm>
                    <a:prstGeom prst="rect">
                      <a:avLst/>
                    </a:prstGeom>
                    <a:noFill/>
                    <a:ln>
                      <a:noFill/>
                    </a:ln>
                  </pic:spPr>
                </pic:pic>
              </a:graphicData>
            </a:graphic>
          </wp:inline>
        </w:drawing>
      </w:r>
    </w:p>
    <w:p w14:paraId="7D5234BD">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jc w:val="center"/>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图</w:t>
      </w:r>
      <w:r>
        <w:rPr>
          <w:rFonts w:hint="eastAsia" w:ascii="Times New Roman" w:hAnsi="Times New Roman" w:eastAsia="宋体" w:cs="Times New Roman"/>
          <w:kern w:val="2"/>
          <w:sz w:val="24"/>
          <w:szCs w:val="24"/>
          <w:highlight w:val="yellow"/>
          <w:lang w:val="en-US" w:eastAsia="zh-CN" w:bidi="ar-SA"/>
        </w:rPr>
        <w:t>2</w:t>
      </w:r>
      <w:r>
        <w:rPr>
          <w:rFonts w:hint="default" w:ascii="Times New Roman" w:hAnsi="Times New Roman" w:eastAsia="宋体" w:cs="Times New Roman"/>
          <w:kern w:val="2"/>
          <w:sz w:val="24"/>
          <w:szCs w:val="24"/>
          <w:highlight w:val="yellow"/>
          <w:lang w:val="en-US" w:eastAsia="zh-CN" w:bidi="ar-SA"/>
        </w:rPr>
        <w:t xml:space="preserve">. </w:t>
      </w:r>
      <w:r>
        <w:rPr>
          <w:rFonts w:hint="eastAsia" w:ascii="Times New Roman" w:hAnsi="Times New Roman" w:eastAsia="宋体" w:cs="Times New Roman"/>
          <w:kern w:val="2"/>
          <w:sz w:val="24"/>
          <w:szCs w:val="24"/>
          <w:highlight w:val="yellow"/>
          <w:lang w:val="en-US" w:eastAsia="zh-CN" w:bidi="ar-SA"/>
        </w:rPr>
        <w:t>6</w:t>
      </w:r>
      <w:r>
        <w:rPr>
          <w:rFonts w:hint="default" w:ascii="Times New Roman" w:hAnsi="Times New Roman" w:eastAsia="宋体" w:cs="Times New Roman"/>
          <w:kern w:val="2"/>
          <w:sz w:val="24"/>
          <w:szCs w:val="24"/>
          <w:highlight w:val="yellow"/>
          <w:lang w:val="en-US" w:eastAsia="zh-CN" w:bidi="ar-SA"/>
        </w:rPr>
        <w:t>号试验室建筑物设计图</w:t>
      </w:r>
    </w:p>
    <w:p w14:paraId="2F72372A">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firstLine="420" w:firstLineChars="200"/>
        <w:jc w:val="center"/>
        <w:rPr>
          <w:rFonts w:hint="default"/>
          <w:lang w:val="en-US" w:eastAsia="zh-CN"/>
        </w:rPr>
      </w:pPr>
    </w:p>
    <w:p w14:paraId="2866CF95">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如图</w:t>
      </w:r>
      <w:r>
        <w:rPr>
          <w:rFonts w:hint="eastAsia" w:ascii="Times New Roman" w:hAnsi="Times New Roman" w:eastAsia="宋体" w:cs="Times New Roman"/>
          <w:kern w:val="2"/>
          <w:sz w:val="24"/>
          <w:szCs w:val="24"/>
          <w:highlight w:val="yellow"/>
          <w:lang w:val="en-US" w:eastAsia="zh-CN" w:bidi="ar-SA"/>
        </w:rPr>
        <w:t>3</w:t>
      </w:r>
      <w:r>
        <w:rPr>
          <w:rFonts w:hint="default" w:ascii="Times New Roman" w:hAnsi="Times New Roman" w:eastAsia="宋体" w:cs="Times New Roman"/>
          <w:kern w:val="2"/>
          <w:sz w:val="24"/>
          <w:szCs w:val="24"/>
          <w:highlight w:val="yellow"/>
          <w:lang w:val="en-US" w:eastAsia="zh-CN" w:bidi="ar-SA"/>
        </w:rPr>
        <w:t>所示，7号试验室从气瓶间到各试验台架安装40路气体管路，氢氦气瓶间有1路。</w:t>
      </w:r>
    </w:p>
    <w:p w14:paraId="03B36153">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20" w:firstLineChars="200"/>
        <w:jc w:val="center"/>
        <w:rPr>
          <w:rFonts w:hint="default" w:ascii="Times New Roman" w:hAnsi="Times New Roman" w:eastAsia="宋体" w:cs="Times New Roman"/>
          <w:lang w:eastAsia="zh-CN"/>
        </w:rPr>
      </w:pP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4250055</wp:posOffset>
                </wp:positionH>
                <wp:positionV relativeFrom="paragraph">
                  <wp:posOffset>114935</wp:posOffset>
                </wp:positionV>
                <wp:extent cx="744220" cy="294640"/>
                <wp:effectExtent l="224790" t="0" r="0" b="0"/>
                <wp:wrapNone/>
                <wp:docPr id="36" name="文本框 36"/>
                <wp:cNvGraphicFramePr/>
                <a:graphic xmlns:a="http://schemas.openxmlformats.org/drawingml/2006/main">
                  <a:graphicData uri="http://schemas.microsoft.com/office/word/2010/wordprocessingShape">
                    <wps:wsp>
                      <wps:cNvSpPr txBox="1"/>
                      <wps:spPr>
                        <a:xfrm rot="2940000">
                          <a:off x="0" y="0"/>
                          <a:ext cx="744220"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7450E">
                            <w:pPr>
                              <w:rPr>
                                <w:rFonts w:hint="default" w:eastAsiaTheme="minorEastAsia"/>
                                <w:b/>
                                <w:bCs/>
                                <w:sz w:val="16"/>
                                <w:szCs w:val="18"/>
                                <w:lang w:val="en-US" w:eastAsia="zh-CN"/>
                              </w:rPr>
                            </w:pPr>
                            <w:r>
                              <w:rPr>
                                <w:rFonts w:hint="eastAsia" w:ascii="宋体" w:hAnsi="宋体" w:eastAsia="宋体" w:cs="宋体"/>
                                <w:b/>
                                <w:bCs/>
                                <w:color w:val="FF0000"/>
                                <w:sz w:val="16"/>
                                <w:szCs w:val="18"/>
                                <w:lang w:val="en-US" w:eastAsia="zh-CN"/>
                              </w:rPr>
                              <w:t>箱式气瓶</w:t>
                            </w:r>
                            <w:r>
                              <w:rPr>
                                <w:rFonts w:hint="eastAsia"/>
                                <w:b/>
                                <w:bCs/>
                                <w:color w:val="FF0000"/>
                                <w:sz w:val="16"/>
                                <w:szCs w:val="18"/>
                                <w:lang w:val="en-US" w:eastAsia="zh-CN"/>
                              </w:rPr>
                              <w:t>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9.05pt;height:23.2pt;width:58.6pt;rotation:3211264f;z-index:251662336;mso-width-relative:page;mso-height-relative:page;" filled="f" stroked="f" coordsize="21600,21600" o:gfxdata="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Q6S2gAAAAkBAAAPAAAAAAAAAAEAIAAA&#10;ACIAAABkcnMvZG93bnJldi54bWxQSwECFAAUAAAACACHTuJAAfD2m0MCAAB1BAAADgAAAAAAAAAB&#10;ACAAAAApAQAAZHJzL2Uyb0RvYy54bWxQSwUGAAAAAAYABgBZAQAA3gUAAAAA&#10;">
                <v:fill on="f" focussize="0,0"/>
                <v:stroke on="f" weight="0.5pt"/>
                <v:imagedata o:title=""/>
                <o:lock v:ext="edit" aspectratio="f"/>
                <v:textbox>
                  <w:txbxContent>
                    <w:p w14:paraId="3287450E">
                      <w:pPr>
                        <w:rPr>
                          <w:rFonts w:hint="default" w:eastAsiaTheme="minorEastAsia"/>
                          <w:b/>
                          <w:bCs/>
                          <w:sz w:val="16"/>
                          <w:szCs w:val="18"/>
                          <w:lang w:val="en-US" w:eastAsia="zh-CN"/>
                        </w:rPr>
                      </w:pPr>
                      <w:r>
                        <w:rPr>
                          <w:rFonts w:hint="eastAsia" w:ascii="宋体" w:hAnsi="宋体" w:eastAsia="宋体" w:cs="宋体"/>
                          <w:b/>
                          <w:bCs/>
                          <w:color w:val="FF0000"/>
                          <w:sz w:val="16"/>
                          <w:szCs w:val="18"/>
                          <w:lang w:val="en-US" w:eastAsia="zh-CN"/>
                        </w:rPr>
                        <w:t>箱式气瓶</w:t>
                      </w:r>
                      <w:r>
                        <w:rPr>
                          <w:rFonts w:hint="eastAsia"/>
                          <w:b/>
                          <w:bCs/>
                          <w:color w:val="FF0000"/>
                          <w:sz w:val="16"/>
                          <w:szCs w:val="18"/>
                          <w:lang w:val="en-US" w:eastAsia="zh-CN"/>
                        </w:rPr>
                        <w:t>间</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4426585</wp:posOffset>
                </wp:positionH>
                <wp:positionV relativeFrom="paragraph">
                  <wp:posOffset>238760</wp:posOffset>
                </wp:positionV>
                <wp:extent cx="219710" cy="97790"/>
                <wp:effectExtent l="61595" t="3175" r="69215" b="5715"/>
                <wp:wrapNone/>
                <wp:docPr id="37" name="圆角矩形 37"/>
                <wp:cNvGraphicFramePr/>
                <a:graphic xmlns:a="http://schemas.openxmlformats.org/drawingml/2006/main">
                  <a:graphicData uri="http://schemas.microsoft.com/office/word/2010/wordprocessingShape">
                    <wps:wsp>
                      <wps:cNvSpPr/>
                      <wps:spPr>
                        <a:xfrm rot="2820000">
                          <a:off x="0" y="0"/>
                          <a:ext cx="219710" cy="97790"/>
                        </a:xfrm>
                        <a:prstGeom prst="round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8.55pt;margin-top:18.8pt;height:7.7pt;width:17.3pt;rotation:3080192f;z-index:251663360;v-text-anchor:middle;mso-width-relative:page;mso-height-relative:page;" filled="f" stroked="t" coordsize="21600,21600" arcsize="0.166666666666667" o:gfxdata="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emok9gAAAAJAQAADwAAAAAAAAAB&#10;ACAAAAAiAAAAZHJzL2Rvd25yZXYueG1sUEsBAhQAFAAAAAgAh07iQH1+IkyCAgAA5AQAAA4AAAAA&#10;AAAAAQAgAAAAJwEAAGRycy9lMm9Eb2MueG1sUEsFBgAAAAAGAAYAWQEAABsGAAAAAA==&#10;">
                <v:fill on="f" focussize="0,0"/>
                <v:stroke weight="1pt" color="#FF0000 [2404]" miterlimit="8" joinstyle="miter"/>
                <v:imagedata o:title=""/>
                <o:lock v:ext="edit" aspectratio="f"/>
              </v:roundrect>
            </w:pict>
          </mc:Fallback>
        </mc:AlternateContent>
      </w:r>
      <w:r>
        <w:rPr>
          <w:rFonts w:hint="default" w:ascii="Times New Roman" w:hAnsi="Times New Roman" w:eastAsia="宋体" w:cs="Times New Roman"/>
          <w:lang w:eastAsia="zh-CN"/>
        </w:rPr>
        <w:drawing>
          <wp:inline distT="0" distB="0" distL="114300" distR="114300">
            <wp:extent cx="3431540" cy="2621915"/>
            <wp:effectExtent l="0" t="0" r="10160" b="6985"/>
            <wp:docPr id="34" name="图片 34" descr="322bc0a1338b1a7e405bcf9d6511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22bc0a1338b1a7e405bcf9d651165c"/>
                    <pic:cNvPicPr>
                      <a:picLocks noChangeAspect="1"/>
                    </pic:cNvPicPr>
                  </pic:nvPicPr>
                  <pic:blipFill>
                    <a:blip r:embed="rId56"/>
                    <a:stretch>
                      <a:fillRect/>
                    </a:stretch>
                  </pic:blipFill>
                  <pic:spPr>
                    <a:xfrm>
                      <a:off x="0" y="0"/>
                      <a:ext cx="3431540" cy="2621915"/>
                    </a:xfrm>
                    <a:prstGeom prst="rect">
                      <a:avLst/>
                    </a:prstGeom>
                  </pic:spPr>
                </pic:pic>
              </a:graphicData>
            </a:graphic>
          </wp:inline>
        </w:drawing>
      </w:r>
    </w:p>
    <w:p w14:paraId="049E96AF">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Chars="200" w:right="0" w:rightChars="0"/>
        <w:jc w:val="center"/>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图</w:t>
      </w:r>
      <w:r>
        <w:rPr>
          <w:rFonts w:hint="eastAsia" w:ascii="Times New Roman" w:hAnsi="Times New Roman" w:eastAsia="宋体" w:cs="Times New Roman"/>
          <w:kern w:val="2"/>
          <w:sz w:val="24"/>
          <w:szCs w:val="24"/>
          <w:highlight w:val="yellow"/>
          <w:lang w:val="en-US" w:eastAsia="zh-CN" w:bidi="ar-SA"/>
        </w:rPr>
        <w:t>3</w:t>
      </w:r>
      <w:r>
        <w:rPr>
          <w:rFonts w:hint="default" w:ascii="Times New Roman" w:hAnsi="Times New Roman" w:eastAsia="宋体" w:cs="Times New Roman"/>
          <w:kern w:val="2"/>
          <w:sz w:val="24"/>
          <w:szCs w:val="24"/>
          <w:highlight w:val="yellow"/>
          <w:lang w:val="en-US" w:eastAsia="zh-CN" w:bidi="ar-SA"/>
        </w:rPr>
        <w:t>. 7号试验室建筑物设计图</w:t>
      </w:r>
    </w:p>
    <w:p w14:paraId="200A309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2.6.2管路与接头更换</w:t>
      </w:r>
    </w:p>
    <w:p w14:paraId="018BF88C">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a.试验室原有的高压金属管可不进行更换，但连接的卡套接头需要进行更换。</w:t>
      </w:r>
    </w:p>
    <w:p w14:paraId="17164235">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b.一次调压面板的出口接头需要更换，包括主管路控制阀出口和排空管出口。</w:t>
      </w:r>
    </w:p>
    <w:p w14:paraId="7D905E5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c.一次调压面板的排空管路需要重新制作，引至箱顶并不得吹向行人。</w:t>
      </w:r>
    </w:p>
    <w:p w14:paraId="1EDE5D33">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d.为了便于维修及更换阀件，管道与阀件的连接应采用高压双卡套接头连接。</w:t>
      </w:r>
    </w:p>
    <w:p w14:paraId="43AA305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2.6.3延长管路安装</w:t>
      </w:r>
    </w:p>
    <w:p w14:paraId="097F71DB">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a.延长的管路需要采用全新的产品，管道需要将一次调压面板与原有管道进行连接。</w:t>
      </w:r>
    </w:p>
    <w:p w14:paraId="4A338C9B">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b.延长的管道尺寸必须与原有管道保持一致。</w:t>
      </w:r>
    </w:p>
    <w:p w14:paraId="32B1B567">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c.延长的管道需要用管道支架和卡具进行牢固的固定，管道可以根据行进路线具体情况做沿墙布置也可以做水平吊架进行布置。</w:t>
      </w:r>
    </w:p>
    <w:p w14:paraId="31FCDD74">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2.6.4支架安装</w:t>
      </w:r>
    </w:p>
    <w:p w14:paraId="74E668E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a.为保证管道走线的直线度和管道间的间距，每隔一定的间距就要设置一组管道固定支架。管道支架为槽钢结构美观大方，管道支架应与墙体固定牢固，且为耐火材料制成。</w:t>
      </w:r>
    </w:p>
    <w:p w14:paraId="3F9598E2">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b.管道穿过障碍物时需使用管套并采用不可燃材料填充间隙；管道穿墙时，应做好穿墙孔的防火封堵。</w:t>
      </w:r>
    </w:p>
    <w:p w14:paraId="351CD66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c.管道与支架之间的固定需使用管道固定卡具，卡具应采用较管道硬度低的耐火材料制作而成，以防止管道发生变形，卡具还应设计合理能把管道固定牢固。</w:t>
      </w:r>
    </w:p>
    <w:p w14:paraId="003C9FD1">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d.为了防止被传输的气体压力、流量损失过大，应尽量减少弯曲。压力管道拐弯应力集中区应有安全加固，设计合适的拐弯半径，弯曲部位不能有皱折及扭曲。弯曲半径和弯曲质量由专用工具保证。</w:t>
      </w:r>
    </w:p>
    <w:p w14:paraId="70C0A0AD">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e.气体管路在铺设过程中要做到横平竖直，为保证管道走线的直线度和管道间的间距，每间隔一定距离应设置一组管卡，卡具应由不燃材料制作而成，美观大方。</w:t>
      </w:r>
    </w:p>
    <w:p w14:paraId="09F08CB4">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f.减少接缝：系统布线应尽量减少接缝以降低泄漏的可能性。</w:t>
      </w:r>
    </w:p>
    <w:p w14:paraId="1DC59D6C">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2.6.5管路材质与焊接</w:t>
      </w:r>
    </w:p>
    <w:p w14:paraId="2A65A582">
      <w:pPr>
        <w:pStyle w:val="11"/>
        <w:keepNext w:val="0"/>
        <w:keepLines w:val="0"/>
        <w:pageBreakBefore w:val="0"/>
        <w:numPr>
          <w:ilvl w:val="0"/>
          <w:numId w:val="0"/>
        </w:numPr>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a.材质：管道采用SS316LBA级的产品。</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180"/>
        <w:gridCol w:w="3953"/>
        <w:gridCol w:w="1600"/>
        <w:gridCol w:w="1535"/>
      </w:tblGrid>
      <w:tr w14:paraId="3D2B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9" w:type="dxa"/>
            <w:shd w:val="clear" w:color="auto" w:fill="E6E6E6"/>
            <w:vAlign w:val="center"/>
          </w:tcPr>
          <w:p w14:paraId="0E5A98BC">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序号</w:t>
            </w:r>
          </w:p>
        </w:tc>
        <w:tc>
          <w:tcPr>
            <w:tcW w:w="1180" w:type="dxa"/>
            <w:shd w:val="clear" w:color="auto" w:fill="E6E6E6"/>
            <w:vAlign w:val="center"/>
          </w:tcPr>
          <w:p w14:paraId="3CDF3F8F">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产品名称</w:t>
            </w:r>
          </w:p>
        </w:tc>
        <w:tc>
          <w:tcPr>
            <w:tcW w:w="3953" w:type="dxa"/>
            <w:shd w:val="clear" w:color="auto" w:fill="E6E6E6"/>
            <w:vAlign w:val="center"/>
          </w:tcPr>
          <w:p w14:paraId="4E5914C2">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规格</w:t>
            </w:r>
          </w:p>
        </w:tc>
        <w:tc>
          <w:tcPr>
            <w:tcW w:w="1600" w:type="dxa"/>
            <w:shd w:val="clear" w:color="auto" w:fill="E6E6E6"/>
            <w:vAlign w:val="center"/>
          </w:tcPr>
          <w:p w14:paraId="135AD77B">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厂家</w:t>
            </w:r>
          </w:p>
        </w:tc>
        <w:tc>
          <w:tcPr>
            <w:tcW w:w="1535" w:type="dxa"/>
            <w:shd w:val="clear" w:color="auto" w:fill="E6E6E6"/>
            <w:vAlign w:val="center"/>
          </w:tcPr>
          <w:p w14:paraId="2A211B14">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原产地</w:t>
            </w:r>
          </w:p>
        </w:tc>
      </w:tr>
      <w:tr w14:paraId="0297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799" w:type="dxa"/>
            <w:shd w:val="clear" w:color="auto" w:fill="auto"/>
            <w:vAlign w:val="center"/>
          </w:tcPr>
          <w:p w14:paraId="073332D6">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w:t>
            </w:r>
          </w:p>
        </w:tc>
        <w:tc>
          <w:tcPr>
            <w:tcW w:w="1180" w:type="dxa"/>
            <w:shd w:val="clear" w:color="auto" w:fill="auto"/>
            <w:vAlign w:val="center"/>
          </w:tcPr>
          <w:p w14:paraId="49890B49">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不锈钢洁净管</w:t>
            </w:r>
          </w:p>
        </w:tc>
        <w:tc>
          <w:tcPr>
            <w:tcW w:w="3953" w:type="dxa"/>
            <w:shd w:val="clear" w:color="auto" w:fill="auto"/>
            <w:vAlign w:val="center"/>
          </w:tcPr>
          <w:p w14:paraId="3A32BE0E">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材质：SS316L</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内表面粗糙度Ra&lt;0.4um</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抛光处理：BA</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外径/壁厚：6.35mm/0.89mm</w:t>
            </w:r>
          </w:p>
        </w:tc>
        <w:tc>
          <w:tcPr>
            <w:tcW w:w="1600" w:type="dxa"/>
            <w:shd w:val="clear" w:color="auto" w:fill="auto"/>
            <w:vAlign w:val="center"/>
          </w:tcPr>
          <w:p w14:paraId="0C2905EE">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CK/CTC/Valex/Dockweiler</w:t>
            </w:r>
          </w:p>
        </w:tc>
        <w:tc>
          <w:tcPr>
            <w:tcW w:w="1535" w:type="dxa"/>
            <w:shd w:val="clear" w:color="auto" w:fill="auto"/>
            <w:vAlign w:val="center"/>
          </w:tcPr>
          <w:p w14:paraId="74AFB79F">
            <w:pPr>
              <w:pageBreakBefore w:val="0"/>
              <w:kinsoku/>
              <w:wordWrap/>
              <w:overflowPunct/>
              <w:topLinePunct w:val="0"/>
              <w:bidi w:val="0"/>
              <w:spacing w:line="360" w:lineRule="auto"/>
              <w:ind w:right="0" w:rightChars="0"/>
              <w:jc w:val="both"/>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Korea/Korea/USA/Germany</w:t>
            </w:r>
          </w:p>
        </w:tc>
      </w:tr>
    </w:tbl>
    <w:p w14:paraId="353D2022">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焊接：管道的连接采用全自动定位焊，为了确保焊接质量焊接设备应采用经过检验的国外原装进口的设备。管道内外表面均处于氩气保护之下，确保管道内外表面无氧化层及焊渣，焊接后的系统泄漏率（管道部分）可达到1X10⁻¹⁰s.c.c./sec.He以上，且不明显的改变管道系统的通径及管道系统的耐压强度。</w:t>
      </w:r>
    </w:p>
    <w:p w14:paraId="21B89AD8">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c.投标方投标时拿出其施工队的焊接产品，验收时以此为评定标准。</w:t>
      </w:r>
    </w:p>
    <w:p w14:paraId="04C1070C">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d.气体管路的建筑施工单位需为投标方所属或有合作关系的专业团队。</w:t>
      </w:r>
    </w:p>
    <w:p w14:paraId="3F9CB02D">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2.6.6管路吹扫</w:t>
      </w:r>
    </w:p>
    <w:p w14:paraId="0D5FF093">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a.接入前吹扫：配管时的每根管道、每个管件均要用5N高纯氮气进行吹扫后方能接入系统。</w:t>
      </w:r>
    </w:p>
    <w:p w14:paraId="17EFA4BD">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b.安装后吹扫：整个系统安装完毕后还要用5N（99.999%）的高纯氮进行大流量气体吹扫，以确保系统的洁净度，以流出的气体无油脂及明显的固体颗粒物为合格。</w:t>
      </w:r>
    </w:p>
    <w:p w14:paraId="7A4F3C6D">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kern w:val="2"/>
          <w:sz w:val="24"/>
          <w:szCs w:val="24"/>
          <w:highlight w:val="none"/>
          <w:lang w:val="en-US" w:eastAsia="zh-CN" w:bidi="ar-SA"/>
        </w:rPr>
        <w:t>2.6.7管路标识</w:t>
      </w:r>
      <w:r>
        <w:rPr>
          <w:rFonts w:hint="eastAsia" w:ascii="Times New Roman" w:hAnsi="Times New Roman" w:eastAsia="宋体" w:cs="Times New Roman"/>
          <w:kern w:val="2"/>
          <w:sz w:val="24"/>
          <w:szCs w:val="24"/>
          <w:highlight w:val="none"/>
          <w:lang w:val="en-US" w:eastAsia="zh-CN" w:bidi="ar-SA"/>
        </w:rPr>
        <w:tab/>
      </w:r>
    </w:p>
    <w:p w14:paraId="21D2478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a.调压面板标识：一次调压面板和二次调压终端上要粘贴气路编号、气体种类、气体浓度等标识，且两边需对应。</w:t>
      </w:r>
    </w:p>
    <w:p w14:paraId="4B5411BE">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b流动方向标识：气体管路上在一次调压面板的出口处及二次调压终端的入口处要粘贴气体流动方向的箭头标。</w:t>
      </w:r>
    </w:p>
    <w:p w14:paraId="25FF204F">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b/>
          <w:bCs/>
          <w:kern w:val="2"/>
          <w:sz w:val="24"/>
          <w:szCs w:val="24"/>
          <w:highlight w:val="yellow"/>
          <w:lang w:val="en-US" w:eastAsia="zh-CN" w:bidi="ar-SA"/>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b/>
          <w:bCs/>
          <w:kern w:val="2"/>
          <w:sz w:val="24"/>
          <w:szCs w:val="24"/>
          <w:highlight w:val="yellow"/>
          <w:lang w:val="en-US" w:eastAsia="zh-CN" w:bidi="ar-SA"/>
        </w:rPr>
        <w:t>2.7防撞要求</w:t>
      </w:r>
    </w:p>
    <w:p w14:paraId="712D9DB5">
      <w:pPr>
        <w:pStyle w:val="11"/>
        <w:keepNext w:val="0"/>
        <w:keepLines w:val="0"/>
        <w:pageBreakBefore w:val="0"/>
        <w:kinsoku/>
        <w:wordWrap/>
        <w:overflowPunct/>
        <w:topLinePunct w:val="0"/>
        <w:autoSpaceDE/>
        <w:autoSpaceDN/>
        <w:bidi w:val="0"/>
        <w:snapToGrid w:val="0"/>
        <w:spacing w:before="0" w:after="0" w:afterLines="0" w:line="360" w:lineRule="auto"/>
        <w:ind w:left="0" w:leftChars="0" w:right="0" w:rightChars="0"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yellow"/>
          <w:lang w:val="en-US" w:eastAsia="zh-CN" w:bidi="ar-SA"/>
        </w:rPr>
        <w:t>为防止车辆碰撞气瓶间引发安全事故，在气瓶间左、右和前方处设置刚性防撞柱，防撞柱间距1.2 m，满足三级护栏标准</w:t>
      </w:r>
      <w:r>
        <w:rPr>
          <w:rFonts w:hint="eastAsia" w:ascii="Times New Roman" w:hAnsi="Times New Roman" w:eastAsia="宋体" w:cs="Times New Roman"/>
          <w:kern w:val="2"/>
          <w:sz w:val="24"/>
          <w:szCs w:val="24"/>
          <w:highlight w:val="yellow"/>
          <w:lang w:val="en-US" w:eastAsia="zh-CN" w:bidi="ar-SA"/>
        </w:rPr>
        <w:t>，或在气瓶柜外围加装护栏。</w:t>
      </w:r>
    </w:p>
    <w:p w14:paraId="0EBB596A">
      <w:pPr>
        <w:pageBreakBefore w:val="0"/>
        <w:kinsoku/>
        <w:wordWrap/>
        <w:overflowPunct/>
        <w:topLinePunct w:val="0"/>
        <w:bidi w:val="0"/>
        <w:spacing w:line="360" w:lineRule="auto"/>
        <w:ind w:left="0" w:leftChars="0" w:right="0" w:rightChars="0" w:firstLine="482" w:firstLineChars="200"/>
        <w:jc w:val="both"/>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lang w:val="en-US" w:eastAsia="zh-CN"/>
        </w:rPr>
        <w:t>3</w:t>
      </w:r>
      <w:r>
        <w:rPr>
          <w:rFonts w:hint="default" w:ascii="Times New Roman" w:hAnsi="Times New Roman" w:eastAsia="宋体" w:cs="Times New Roman"/>
          <w:b/>
          <w:sz w:val="24"/>
          <w:szCs w:val="24"/>
          <w:highlight w:val="none"/>
        </w:rPr>
        <w:t>.保养、维修、使用方便性要求</w:t>
      </w:r>
    </w:p>
    <w:p w14:paraId="583985A1">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卖方提供保养、维修、使用的说明，买方确认。</w:t>
      </w:r>
    </w:p>
    <w:p w14:paraId="47EDE439">
      <w:pPr>
        <w:pStyle w:val="11"/>
        <w:pageBreakBefore w:val="0"/>
        <w:numPr>
          <w:ilvl w:val="0"/>
          <w:numId w:val="13"/>
        </w:numPr>
        <w:kinsoku/>
        <w:wordWrap/>
        <w:overflowPunct/>
        <w:topLinePunct w:val="0"/>
        <w:bidi w:val="0"/>
        <w:spacing w:before="0" w:after="0" w:afterLines="0" w:line="360" w:lineRule="auto"/>
        <w:ind w:left="0" w:leftChars="0" w:right="0" w:rightChars="0" w:firstLine="482" w:firstLineChars="200"/>
        <w:jc w:val="both"/>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lang w:val="en-US" w:eastAsia="zh-CN"/>
        </w:rPr>
        <w:t>备件</w:t>
      </w:r>
    </w:p>
    <w:p w14:paraId="22700720">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1.备品备件、易损件和专用耗材是招标人为保证货物质保期之后正常运行一年所自备自用的备品备件、易损件和专用耗材。</w:t>
      </w:r>
    </w:p>
    <w:p w14:paraId="12D0A7AD">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sz w:val="24"/>
          <w:szCs w:val="24"/>
        </w:rPr>
        <w:t>质保期之内正常需要的备品备件、易损件和专用耗材全部包括在供货范围之内而不属于本条款界定的范围（应有明细）。</w:t>
      </w:r>
    </w:p>
    <w:p w14:paraId="65FD0F06">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after="0" w:afterLines="0" w:line="360" w:lineRule="auto"/>
        <w:ind w:right="0" w:rightChars="0" w:firstLine="480" w:firstLineChars="200"/>
        <w:jc w:val="both"/>
        <w:textAlignment w:val="baseline"/>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sz w:val="24"/>
          <w:szCs w:val="24"/>
        </w:rPr>
        <w:t>2.供货范围包括易损件和专用耗材的制造图纸及其技术要求等资料，如涉及专有技术或无法提供，应在投标文件中予以澄清或说明。</w:t>
      </w:r>
    </w:p>
    <w:p w14:paraId="63839131">
      <w:pPr>
        <w:pageBreakBefore w:val="0"/>
        <w:kinsoku/>
        <w:wordWrap/>
        <w:overflowPunct/>
        <w:topLinePunct w:val="0"/>
        <w:bidi w:val="0"/>
        <w:spacing w:line="360" w:lineRule="auto"/>
        <w:ind w:left="0" w:leftChars="0" w:right="0" w:rightChars="0" w:firstLine="482" w:firstLineChars="200"/>
        <w:jc w:val="both"/>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lang w:val="en-US" w:eastAsia="zh-CN"/>
        </w:rPr>
        <w:t>5</w:t>
      </w:r>
      <w:r>
        <w:rPr>
          <w:rFonts w:hint="default" w:ascii="Times New Roman" w:hAnsi="Times New Roman" w:eastAsia="宋体" w:cs="Times New Roman"/>
          <w:b/>
          <w:sz w:val="24"/>
          <w:szCs w:val="24"/>
          <w:highlight w:val="none"/>
        </w:rPr>
        <w:t>.安全防护、环境保护、节能要求</w:t>
      </w:r>
    </w:p>
    <w:p w14:paraId="27415234">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★必须符合中国有关标准要求。</w:t>
      </w:r>
    </w:p>
    <w:p w14:paraId="1BAD78EA">
      <w:pPr>
        <w:pageBreakBefore w:val="0"/>
        <w:kinsoku/>
        <w:wordWrap/>
        <w:overflowPunct/>
        <w:topLinePunct w:val="0"/>
        <w:bidi w:val="0"/>
        <w:spacing w:line="360" w:lineRule="auto"/>
        <w:ind w:left="0" w:leftChars="0" w:right="0" w:rightChars="0" w:firstLine="482" w:firstLineChars="200"/>
        <w:jc w:val="both"/>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lang w:val="en-US" w:eastAsia="zh-CN"/>
        </w:rPr>
        <w:t>6</w:t>
      </w:r>
      <w:r>
        <w:rPr>
          <w:rFonts w:hint="default" w:ascii="Times New Roman" w:hAnsi="Times New Roman" w:eastAsia="宋体" w:cs="Times New Roman"/>
          <w:b/>
          <w:sz w:val="24"/>
          <w:szCs w:val="24"/>
          <w:highlight w:val="none"/>
        </w:rPr>
        <w:t>.其它要求</w:t>
      </w:r>
    </w:p>
    <w:p w14:paraId="76F619D8">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eastAsia="zh-CN"/>
        </w:rPr>
        <w:t>投标时提供所有设备及关键部件的分项报价，同时提供厂家、型号、主要参数等关键部件信息。</w:t>
      </w:r>
    </w:p>
    <w:p w14:paraId="3FE772BF">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rPr>
        <w:t>提供的集装箱</w:t>
      </w:r>
      <w:r>
        <w:rPr>
          <w:rFonts w:hint="default" w:ascii="Times New Roman" w:hAnsi="Times New Roman" w:eastAsia="宋体" w:cs="Times New Roman"/>
          <w:sz w:val="24"/>
          <w:szCs w:val="24"/>
          <w:highlight w:val="none"/>
          <w:lang w:val="en-US" w:eastAsia="zh-CN"/>
        </w:rPr>
        <w:t>式</w:t>
      </w:r>
      <w:r>
        <w:rPr>
          <w:rFonts w:hint="default" w:ascii="Times New Roman" w:hAnsi="Times New Roman" w:eastAsia="宋体" w:cs="Times New Roman"/>
          <w:sz w:val="24"/>
          <w:szCs w:val="24"/>
          <w:highlight w:val="none"/>
        </w:rPr>
        <w:t>气瓶</w:t>
      </w:r>
      <w:r>
        <w:rPr>
          <w:rFonts w:hint="default" w:ascii="Times New Roman" w:hAnsi="Times New Roman" w:eastAsia="宋体" w:cs="Times New Roman"/>
          <w:sz w:val="24"/>
          <w:szCs w:val="24"/>
          <w:highlight w:val="none"/>
          <w:lang w:val="en-US" w:eastAsia="zh-CN"/>
        </w:rPr>
        <w:t>间</w:t>
      </w:r>
      <w:r>
        <w:rPr>
          <w:rFonts w:hint="default" w:ascii="Times New Roman" w:hAnsi="Times New Roman" w:eastAsia="宋体" w:cs="Times New Roman"/>
          <w:sz w:val="24"/>
          <w:szCs w:val="24"/>
          <w:highlight w:val="none"/>
        </w:rPr>
        <w:t>可以满足国家相关法律、法规的要求。可以满足客户对气瓶安全存储和使用的要求。</w:t>
      </w:r>
    </w:p>
    <w:p w14:paraId="013EE770">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rPr>
        <w:t>提供的集装箱</w:t>
      </w:r>
      <w:r>
        <w:rPr>
          <w:rFonts w:hint="default" w:ascii="Times New Roman" w:hAnsi="Times New Roman" w:eastAsia="宋体" w:cs="Times New Roman"/>
          <w:sz w:val="24"/>
          <w:szCs w:val="24"/>
          <w:highlight w:val="none"/>
          <w:lang w:val="en-US" w:eastAsia="zh-CN"/>
        </w:rPr>
        <w:t>式</w:t>
      </w:r>
      <w:r>
        <w:rPr>
          <w:rFonts w:hint="default" w:ascii="Times New Roman" w:hAnsi="Times New Roman" w:eastAsia="宋体" w:cs="Times New Roman"/>
          <w:sz w:val="24"/>
          <w:szCs w:val="24"/>
          <w:highlight w:val="none"/>
          <w:lang w:eastAsia="zh-CN"/>
        </w:rPr>
        <w:t>气瓶间</w:t>
      </w:r>
      <w:r>
        <w:rPr>
          <w:rFonts w:hint="default" w:ascii="Times New Roman" w:hAnsi="Times New Roman" w:eastAsia="宋体" w:cs="Times New Roman"/>
          <w:sz w:val="24"/>
          <w:szCs w:val="24"/>
          <w:highlight w:val="none"/>
        </w:rPr>
        <w:t>应选用符合国家相关标准的防爆电气并按规定进行防爆布线。</w:t>
      </w:r>
    </w:p>
    <w:p w14:paraId="3B9AE201">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zh-CN"/>
        </w:rPr>
        <w:t>卖方</w:t>
      </w:r>
      <w:r>
        <w:rPr>
          <w:rFonts w:hint="default" w:ascii="Times New Roman" w:hAnsi="Times New Roman" w:eastAsia="宋体" w:cs="Times New Roman"/>
          <w:sz w:val="24"/>
          <w:szCs w:val="24"/>
          <w:highlight w:val="none"/>
        </w:rPr>
        <w:t>提供的集装箱</w:t>
      </w:r>
      <w:r>
        <w:rPr>
          <w:rFonts w:hint="default" w:ascii="Times New Roman" w:hAnsi="Times New Roman" w:eastAsia="宋体" w:cs="Times New Roman"/>
          <w:sz w:val="24"/>
          <w:szCs w:val="24"/>
          <w:highlight w:val="none"/>
          <w:lang w:val="en-US" w:eastAsia="zh-CN"/>
        </w:rPr>
        <w:t>式</w:t>
      </w:r>
      <w:r>
        <w:rPr>
          <w:rFonts w:hint="default" w:ascii="Times New Roman" w:hAnsi="Times New Roman" w:eastAsia="宋体" w:cs="Times New Roman"/>
          <w:sz w:val="24"/>
          <w:szCs w:val="24"/>
          <w:highlight w:val="none"/>
          <w:lang w:eastAsia="zh-CN"/>
        </w:rPr>
        <w:t>气瓶间</w:t>
      </w:r>
      <w:r>
        <w:rPr>
          <w:rFonts w:hint="default" w:ascii="Times New Roman" w:hAnsi="Times New Roman" w:eastAsia="宋体" w:cs="Times New Roman"/>
          <w:sz w:val="24"/>
          <w:szCs w:val="24"/>
          <w:highlight w:val="none"/>
        </w:rPr>
        <w:t>为全新未使用的产品。</w:t>
      </w:r>
    </w:p>
    <w:p w14:paraId="0B70AE32">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eastAsia="zh-CN"/>
        </w:rPr>
        <w:t>卖方</w:t>
      </w:r>
      <w:r>
        <w:rPr>
          <w:rFonts w:hint="default" w:ascii="Times New Roman" w:hAnsi="Times New Roman" w:eastAsia="宋体" w:cs="Times New Roman"/>
          <w:sz w:val="24"/>
          <w:szCs w:val="24"/>
          <w:highlight w:val="yellow"/>
        </w:rPr>
        <w:t>应提供</w:t>
      </w:r>
      <w:r>
        <w:rPr>
          <w:rFonts w:hint="default" w:ascii="Times New Roman" w:hAnsi="Times New Roman" w:eastAsia="宋体" w:cs="Times New Roman"/>
          <w:sz w:val="24"/>
          <w:szCs w:val="24"/>
          <w:highlight w:val="yellow"/>
          <w:lang w:val="en-US" w:eastAsia="zh-CN"/>
        </w:rPr>
        <w:t>施工队伍资质</w:t>
      </w:r>
      <w:r>
        <w:rPr>
          <w:rFonts w:hint="default" w:ascii="Times New Roman" w:hAnsi="Times New Roman" w:eastAsia="宋体" w:cs="Times New Roman"/>
          <w:sz w:val="24"/>
          <w:szCs w:val="24"/>
          <w:highlight w:val="yellow"/>
        </w:rPr>
        <w:t>。</w:t>
      </w:r>
    </w:p>
    <w:p w14:paraId="302922B8">
      <w:pPr>
        <w:pageBreakBefore w:val="0"/>
        <w:kinsoku/>
        <w:wordWrap/>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eastAsia="zh-CN"/>
        </w:rPr>
        <w:t>卖方</w:t>
      </w:r>
      <w:r>
        <w:rPr>
          <w:rFonts w:hint="default" w:ascii="Times New Roman" w:hAnsi="Times New Roman" w:eastAsia="宋体" w:cs="Times New Roman"/>
          <w:sz w:val="24"/>
          <w:szCs w:val="24"/>
          <w:highlight w:val="yellow"/>
        </w:rPr>
        <w:t>应提供第三方出具的集装箱</w:t>
      </w:r>
      <w:r>
        <w:rPr>
          <w:rFonts w:hint="default" w:ascii="Times New Roman" w:hAnsi="Times New Roman" w:eastAsia="宋体" w:cs="Times New Roman"/>
          <w:sz w:val="24"/>
          <w:szCs w:val="24"/>
          <w:highlight w:val="yellow"/>
          <w:lang w:val="en-US" w:eastAsia="zh-CN"/>
        </w:rPr>
        <w:t>式</w:t>
      </w:r>
      <w:r>
        <w:rPr>
          <w:rFonts w:hint="default" w:ascii="Times New Roman" w:hAnsi="Times New Roman" w:eastAsia="宋体" w:cs="Times New Roman"/>
          <w:sz w:val="24"/>
          <w:szCs w:val="24"/>
          <w:highlight w:val="yellow"/>
          <w:lang w:eastAsia="zh-CN"/>
        </w:rPr>
        <w:t>气瓶间</w:t>
      </w:r>
      <w:r>
        <w:rPr>
          <w:rFonts w:hint="default" w:ascii="Times New Roman" w:hAnsi="Times New Roman" w:eastAsia="宋体" w:cs="Times New Roman"/>
          <w:sz w:val="24"/>
          <w:szCs w:val="24"/>
          <w:highlight w:val="yellow"/>
        </w:rPr>
        <w:t>的安全评估报告。</w:t>
      </w:r>
    </w:p>
    <w:p w14:paraId="277BB9F1">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eastAsia="zh-CN"/>
        </w:rPr>
        <w:t>卖方</w:t>
      </w:r>
      <w:r>
        <w:rPr>
          <w:rFonts w:hint="default" w:ascii="Times New Roman" w:hAnsi="Times New Roman" w:eastAsia="宋体" w:cs="Times New Roman"/>
          <w:sz w:val="24"/>
          <w:szCs w:val="24"/>
          <w:highlight w:val="yellow"/>
        </w:rPr>
        <w:t>应将客户原有一级调压面板的整体迁移至集装箱</w:t>
      </w:r>
      <w:r>
        <w:rPr>
          <w:rFonts w:hint="default" w:ascii="Times New Roman" w:hAnsi="Times New Roman" w:eastAsia="宋体" w:cs="Times New Roman"/>
          <w:sz w:val="24"/>
          <w:szCs w:val="24"/>
          <w:highlight w:val="yellow"/>
          <w:lang w:val="en-US" w:eastAsia="zh-CN"/>
        </w:rPr>
        <w:t>式</w:t>
      </w:r>
      <w:r>
        <w:rPr>
          <w:rFonts w:hint="default" w:ascii="Times New Roman" w:hAnsi="Times New Roman" w:eastAsia="宋体" w:cs="Times New Roman"/>
          <w:sz w:val="24"/>
          <w:szCs w:val="24"/>
          <w:highlight w:val="yellow"/>
          <w:lang w:eastAsia="zh-CN"/>
        </w:rPr>
        <w:t>气瓶间</w:t>
      </w:r>
      <w:r>
        <w:rPr>
          <w:rFonts w:hint="default" w:ascii="Times New Roman" w:hAnsi="Times New Roman" w:eastAsia="宋体" w:cs="Times New Roman"/>
          <w:sz w:val="24"/>
          <w:szCs w:val="24"/>
          <w:highlight w:val="yellow"/>
        </w:rPr>
        <w:t>并安装全新的管路与原有系统进行对接，并确保改造完的客户的</w:t>
      </w:r>
      <w:r>
        <w:rPr>
          <w:rFonts w:hint="default" w:ascii="Times New Roman" w:hAnsi="Times New Roman" w:eastAsia="宋体" w:cs="Times New Roman"/>
          <w:sz w:val="24"/>
          <w:szCs w:val="24"/>
          <w:highlight w:val="yellow"/>
          <w:lang w:val="en-US" w:eastAsia="zh-CN"/>
        </w:rPr>
        <w:t>气体</w:t>
      </w:r>
      <w:r>
        <w:rPr>
          <w:rFonts w:hint="default" w:ascii="Times New Roman" w:hAnsi="Times New Roman" w:eastAsia="宋体" w:cs="Times New Roman"/>
          <w:sz w:val="24"/>
          <w:szCs w:val="24"/>
          <w:highlight w:val="yellow"/>
        </w:rPr>
        <w:t>管路系统可以正常使用。</w:t>
      </w:r>
    </w:p>
    <w:p w14:paraId="707708C8">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val="en-US" w:eastAsia="zh-CN"/>
        </w:rPr>
        <w:t>卖方应承担起相应的地基整理工作，包括但不限于清理绿化树木和井盖等工作，为后续施工创造有利条件。</w:t>
      </w:r>
    </w:p>
    <w:p w14:paraId="568E7826">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val="en-US" w:eastAsia="zh-CN"/>
        </w:rPr>
        <w:t>投标时提供专业队伍（具有相应工作资质，如铺设管路、焊接管路等），提供施工人员名单，项目执行时不允许更改。执行阶段发现更改，列入黑名单，禁止参加后续的项目。</w:t>
      </w:r>
    </w:p>
    <w:p w14:paraId="03594AB6">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val="en-US" w:eastAsia="zh-CN"/>
        </w:rPr>
        <w:t>为保证管路布局科学美观，若改造或安装时因设计、走向不合理，</w:t>
      </w:r>
      <w:r>
        <w:rPr>
          <w:rFonts w:hint="eastAsia" w:ascii="Times New Roman" w:hAnsi="Times New Roman" w:eastAsia="宋体" w:cs="Times New Roman"/>
          <w:sz w:val="24"/>
          <w:szCs w:val="24"/>
          <w:highlight w:val="yellow"/>
          <w:lang w:val="en-US" w:eastAsia="zh-CN"/>
        </w:rPr>
        <w:t>导</w:t>
      </w:r>
      <w:r>
        <w:rPr>
          <w:rFonts w:hint="default" w:ascii="Times New Roman" w:hAnsi="Times New Roman" w:eastAsia="宋体" w:cs="Times New Roman"/>
          <w:sz w:val="24"/>
          <w:szCs w:val="24"/>
          <w:highlight w:val="yellow"/>
          <w:lang w:val="en-US" w:eastAsia="zh-CN"/>
        </w:rPr>
        <w:t>致试验室现有阀件数量不满足实际需求（如新增分支等引发缺口），投标方需负责补充符合技术参数的阀件，并承担相关费用与安装责任。</w:t>
      </w:r>
    </w:p>
    <w:p w14:paraId="7507C7D7">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val="en-US" w:eastAsia="zh-CN"/>
        </w:rPr>
        <w:t>投标方在项目施工中，每七天各关键工艺拍照存档作为验收资料。</w:t>
      </w:r>
    </w:p>
    <w:p w14:paraId="3C9E5FB0">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rPr>
        <w:t>★</w:t>
      </w:r>
      <w:r>
        <w:rPr>
          <w:rFonts w:hint="default" w:ascii="Times New Roman" w:hAnsi="Times New Roman" w:eastAsia="宋体" w:cs="Times New Roman"/>
          <w:sz w:val="24"/>
          <w:szCs w:val="24"/>
          <w:highlight w:val="yellow"/>
          <w:lang w:val="en-US" w:eastAsia="zh-CN"/>
        </w:rPr>
        <w:t>为预防管路出现气体泄漏情况，厂家应设置</w:t>
      </w:r>
      <w:r>
        <w:rPr>
          <w:rFonts w:hint="eastAsia" w:ascii="Times New Roman" w:hAnsi="Times New Roman" w:eastAsia="宋体" w:cs="Times New Roman"/>
          <w:sz w:val="24"/>
          <w:szCs w:val="24"/>
          <w:highlight w:val="yellow"/>
          <w:lang w:val="en-US" w:eastAsia="zh-CN"/>
        </w:rPr>
        <w:t>紧急切断装置</w:t>
      </w:r>
      <w:r>
        <w:rPr>
          <w:rFonts w:hint="default" w:ascii="Times New Roman" w:hAnsi="Times New Roman" w:eastAsia="宋体" w:cs="Times New Roman"/>
          <w:sz w:val="24"/>
          <w:szCs w:val="24"/>
          <w:highlight w:val="yellow"/>
          <w:lang w:val="en-US" w:eastAsia="zh-CN"/>
        </w:rPr>
        <w:t>。</w:t>
      </w:r>
    </w:p>
    <w:p w14:paraId="51865AAE">
      <w:pPr>
        <w:pStyle w:val="111"/>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投标方在对管路进行改造的过程中，若预算处于同等水平，优先选择安装半自动切换装置</w:t>
      </w:r>
      <w:r>
        <w:rPr>
          <w:rFonts w:hint="eastAsia" w:ascii="Times New Roman" w:hAnsi="Times New Roman" w:eastAsia="宋体" w:cs="Times New Roman"/>
          <w:sz w:val="24"/>
          <w:szCs w:val="24"/>
          <w:highlight w:val="yellow"/>
          <w:lang w:val="en-US" w:eastAsia="zh-CN"/>
        </w:rPr>
        <w:t>（此项不属于淘汰项）</w:t>
      </w:r>
      <w:r>
        <w:rPr>
          <w:rFonts w:hint="default" w:ascii="Times New Roman" w:hAnsi="Times New Roman" w:eastAsia="宋体" w:cs="Times New Roman"/>
          <w:sz w:val="24"/>
          <w:szCs w:val="24"/>
          <w:highlight w:val="yellow"/>
          <w:lang w:val="en-US" w:eastAsia="zh-CN"/>
        </w:rPr>
        <w:t>。</w:t>
      </w:r>
    </w:p>
    <w:tbl>
      <w:tblPr>
        <w:tblStyle w:val="36"/>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2264"/>
        <w:gridCol w:w="2265"/>
      </w:tblGrid>
      <w:tr w14:paraId="7DD1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3" w:type="dxa"/>
          </w:tcPr>
          <w:p w14:paraId="77124706">
            <w:pPr>
              <w:spacing w:line="420" w:lineRule="exact"/>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器件名称</w:t>
            </w:r>
          </w:p>
        </w:tc>
        <w:tc>
          <w:tcPr>
            <w:tcW w:w="2264" w:type="dxa"/>
          </w:tcPr>
          <w:p w14:paraId="43DFC73C">
            <w:pPr>
              <w:spacing w:line="420" w:lineRule="exact"/>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品牌</w:t>
            </w:r>
          </w:p>
        </w:tc>
        <w:tc>
          <w:tcPr>
            <w:tcW w:w="2265" w:type="dxa"/>
          </w:tcPr>
          <w:p w14:paraId="6B665FE5">
            <w:pPr>
              <w:spacing w:line="420" w:lineRule="exact"/>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品牌原产地</w:t>
            </w:r>
          </w:p>
        </w:tc>
      </w:tr>
      <w:tr w14:paraId="02AB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3" w:type="dxa"/>
            <w:vAlign w:val="center"/>
          </w:tcPr>
          <w:p w14:paraId="240C759E">
            <w:pPr>
              <w:spacing w:line="420" w:lineRule="exact"/>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半自动切换装置</w:t>
            </w:r>
          </w:p>
        </w:tc>
        <w:tc>
          <w:tcPr>
            <w:tcW w:w="2264" w:type="dxa"/>
            <w:vAlign w:val="center"/>
          </w:tcPr>
          <w:p w14:paraId="49393EDC">
            <w:pPr>
              <w:spacing w:line="420" w:lineRule="exact"/>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GCE、parker、GENTEC</w:t>
            </w:r>
          </w:p>
        </w:tc>
        <w:tc>
          <w:tcPr>
            <w:tcW w:w="2265" w:type="dxa"/>
          </w:tcPr>
          <w:p w14:paraId="07704C19">
            <w:pPr>
              <w:spacing w:line="420" w:lineRule="exact"/>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德国、中国</w:t>
            </w:r>
          </w:p>
        </w:tc>
      </w:tr>
    </w:tbl>
    <w:p w14:paraId="702A4437">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color w:val="000000"/>
          <w:highlight w:val="none"/>
        </w:rPr>
      </w:pPr>
      <w:r>
        <w:rPr>
          <w:rFonts w:hint="default" w:ascii="Times New Roman" w:hAnsi="Times New Roman" w:eastAsia="宋体" w:cs="Times New Roman"/>
          <w:highlight w:val="none"/>
        </w:rPr>
        <w:t>四、执行标准</w:t>
      </w:r>
    </w:p>
    <w:p w14:paraId="74A5E370">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1.招标人此处所列标准仅为涉及的主要标准，而且不保证其为最新版执行标准；投标人应当在投标文件中认真予以填写、补充和修改完善。</w:t>
      </w:r>
    </w:p>
    <w:p w14:paraId="6EE7873E">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2.投标人需要执行的标准，应当采用所供货物通过买方组织的最终验收之日已经开始执行的最新标准。</w:t>
      </w:r>
    </w:p>
    <w:p w14:paraId="2A5F4D08">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3.采购货物的产品质量、技术标准如在招投标文件中无相应说明，则按中华人民共和国有关部门颁发的最新的国标或专业（部）标准执行及相应的国际标准。</w:t>
      </w:r>
    </w:p>
    <w:p w14:paraId="2EAFB85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4.采购货物没有国家或专业（部）标准的，按企业标准执行时，卖方应在合同签署之前，将所涉及的企业标准提供给买方确认。</w:t>
      </w:r>
    </w:p>
    <w:p w14:paraId="6ABABF99">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5.采购货物如果采用国际标准，其执行标准由投标人提供、招标人确认。</w:t>
      </w:r>
    </w:p>
    <w:p w14:paraId="33A3D05B">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6.采购货物所涉及的标准不统一时，原则上按照最严格标准执行。</w:t>
      </w:r>
    </w:p>
    <w:p w14:paraId="078158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7.涉及的主要标准表</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如下所示：</w:t>
      </w:r>
    </w:p>
    <w:p w14:paraId="3785B3B6">
      <w:pPr>
        <w:pStyle w:val="11"/>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object>
          <v:shape id="_x0000_i1025" o:spt="75" type="#_x0000_t75" style="height:520.6pt;width:453.1pt;" o:ole="t" filled="f" o:preferrelative="t" stroked="f" coordsize="21600,21600">
            <v:path/>
            <v:fill on="f" focussize="0,0"/>
            <v:stroke on="f"/>
            <v:imagedata r:id="rId58" o:title=""/>
            <o:lock v:ext="edit" aspectratio="f"/>
            <w10:wrap type="none"/>
            <w10:anchorlock/>
          </v:shape>
          <o:OLEObject Type="Embed" ProgID="Word.Document.8" ShapeID="_x0000_i1025" DrawAspect="Content" ObjectID="_1468075725" r:id="rId57">
            <o:LockedField>false</o:LockedField>
          </o:OLEObject>
        </w:object>
      </w:r>
    </w:p>
    <w:p w14:paraId="7482BA36">
      <w:pPr>
        <w:pageBreakBefore w:val="0"/>
        <w:widowControl/>
        <w:kinsoku/>
        <w:overflowPunct/>
        <w:topLinePunct w:val="0"/>
        <w:bidi w:val="0"/>
        <w:spacing w:line="360" w:lineRule="auto"/>
        <w:ind w:left="0" w:leftChars="0" w:right="0" w:rightChars="0" w:firstLine="420" w:firstLineChars="200"/>
        <w:jc w:val="both"/>
        <w:rPr>
          <w:rFonts w:hint="default" w:ascii="Times New Roman" w:hAnsi="Times New Roman" w:eastAsia="宋体" w:cs="Times New Roman"/>
          <w:szCs w:val="20"/>
          <w:highlight w:val="none"/>
        </w:rPr>
      </w:pPr>
      <w:r>
        <w:rPr>
          <w:rFonts w:hint="default" w:ascii="Times New Roman" w:hAnsi="Times New Roman" w:eastAsia="宋体" w:cs="Times New Roman"/>
          <w:szCs w:val="20"/>
          <w:highlight w:val="none"/>
        </w:rPr>
        <w:br w:type="page"/>
      </w:r>
    </w:p>
    <w:bookmarkEnd w:id="42"/>
    <w:p w14:paraId="3B26F42B">
      <w:pPr>
        <w:keepNext/>
        <w:keepLines/>
        <w:pageBreakBefore w:val="0"/>
        <w:kinsoku/>
        <w:wordWrap/>
        <w:overflowPunct/>
        <w:topLinePunct w:val="0"/>
        <w:bidi w:val="0"/>
        <w:spacing w:line="360" w:lineRule="auto"/>
        <w:ind w:firstLine="562" w:firstLineChars="200"/>
        <w:jc w:val="both"/>
        <w:outlineLvl w:val="1"/>
        <w:rPr>
          <w:rFonts w:hint="default" w:ascii="Times New Roman" w:hAnsi="Times New Roman" w:eastAsia="宋体" w:cs="Times New Roman"/>
          <w:highlight w:val="none"/>
        </w:rPr>
      </w:pPr>
      <w:r>
        <w:rPr>
          <w:rFonts w:hint="default" w:ascii="Times New Roman" w:hAnsi="Times New Roman" w:eastAsia="宋体" w:cs="Times New Roman"/>
          <w:b/>
          <w:bCs/>
          <w:kern w:val="44"/>
          <w:sz w:val="28"/>
          <w:szCs w:val="28"/>
          <w:highlight w:val="none"/>
        </w:rPr>
        <w:t>第三章供货范围及供货方式</w:t>
      </w:r>
    </w:p>
    <w:p w14:paraId="3D0840E6">
      <w:pPr>
        <w:keepNext/>
        <w:keepLines/>
        <w:pageBreakBefore w:val="0"/>
        <w:kinsoku/>
        <w:wordWrap/>
        <w:overflowPunct/>
        <w:topLinePunct w:val="0"/>
        <w:bidi w:val="0"/>
        <w:spacing w:line="360" w:lineRule="auto"/>
        <w:ind w:firstLine="482" w:firstLineChars="200"/>
        <w:jc w:val="both"/>
        <w:outlineLvl w:val="2"/>
        <w:rPr>
          <w:rFonts w:hint="default" w:ascii="Times New Roman" w:hAnsi="Times New Roman" w:eastAsia="宋体" w:cs="Times New Roman"/>
          <w:b/>
          <w:bCs/>
          <w:sz w:val="24"/>
          <w:szCs w:val="32"/>
          <w:highlight w:val="none"/>
        </w:rPr>
      </w:pPr>
      <w:bookmarkStart w:id="43" w:name="_Toc169605882"/>
      <w:r>
        <w:rPr>
          <w:rFonts w:hint="default" w:ascii="Times New Roman" w:hAnsi="Times New Roman" w:eastAsia="宋体" w:cs="Times New Roman"/>
          <w:b/>
          <w:bCs/>
          <w:sz w:val="24"/>
          <w:szCs w:val="32"/>
          <w:highlight w:val="none"/>
        </w:rPr>
        <w:t>第一节供货范围</w:t>
      </w:r>
      <w:bookmarkEnd w:id="43"/>
    </w:p>
    <w:p w14:paraId="7E757E5A">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一、供货范围（按照组成项目主要构成一览表的所有最小单元逐一列示，要涵盖培训等内容）</w:t>
      </w:r>
    </w:p>
    <w:tbl>
      <w:tblPr>
        <w:tblStyle w:val="35"/>
        <w:tblW w:w="11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111"/>
        <w:gridCol w:w="2022"/>
        <w:gridCol w:w="2738"/>
        <w:gridCol w:w="1292"/>
        <w:gridCol w:w="749"/>
        <w:gridCol w:w="1703"/>
      </w:tblGrid>
      <w:tr w14:paraId="13B6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Align w:val="center"/>
          </w:tcPr>
          <w:p w14:paraId="488FA539">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序号</w:t>
            </w:r>
          </w:p>
        </w:tc>
        <w:tc>
          <w:tcPr>
            <w:tcW w:w="4133" w:type="dxa"/>
            <w:gridSpan w:val="2"/>
            <w:vAlign w:val="center"/>
          </w:tcPr>
          <w:p w14:paraId="4B5A8A3C">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2738" w:type="dxa"/>
            <w:vAlign w:val="center"/>
          </w:tcPr>
          <w:p w14:paraId="4FB5CC1C">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型号规格</w:t>
            </w:r>
          </w:p>
        </w:tc>
        <w:tc>
          <w:tcPr>
            <w:tcW w:w="1292" w:type="dxa"/>
            <w:vAlign w:val="center"/>
          </w:tcPr>
          <w:p w14:paraId="7ADB66E8">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品牌</w:t>
            </w:r>
          </w:p>
        </w:tc>
        <w:tc>
          <w:tcPr>
            <w:tcW w:w="749" w:type="dxa"/>
            <w:vAlign w:val="center"/>
          </w:tcPr>
          <w:p w14:paraId="4A2AEB42">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单位</w:t>
            </w:r>
          </w:p>
        </w:tc>
        <w:tc>
          <w:tcPr>
            <w:tcW w:w="1703" w:type="dxa"/>
            <w:vAlign w:val="center"/>
          </w:tcPr>
          <w:p w14:paraId="1E8F786E">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数量</w:t>
            </w:r>
          </w:p>
        </w:tc>
      </w:tr>
      <w:tr w14:paraId="39D3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restart"/>
            <w:vAlign w:val="center"/>
          </w:tcPr>
          <w:p w14:paraId="59C9427A">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p>
          <w:p w14:paraId="14472012">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restart"/>
            <w:vAlign w:val="center"/>
          </w:tcPr>
          <w:p w14:paraId="4D6B8004">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集装箱式气瓶间</w:t>
            </w:r>
          </w:p>
        </w:tc>
        <w:tc>
          <w:tcPr>
            <w:tcW w:w="2022" w:type="dxa"/>
            <w:vAlign w:val="center"/>
          </w:tcPr>
          <w:p w14:paraId="2F0559DE">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号试验室气瓶集装箱</w:t>
            </w:r>
          </w:p>
        </w:tc>
        <w:tc>
          <w:tcPr>
            <w:tcW w:w="2738" w:type="dxa"/>
            <w:vAlign w:val="center"/>
          </w:tcPr>
          <w:p w14:paraId="6E32495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vAlign w:val="center"/>
          </w:tcPr>
          <w:p w14:paraId="5AD555B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444CFA5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4803BB6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lang w:val="en-US" w:eastAsia="zh-CN"/>
              </w:rPr>
              <w:t>1</w:t>
            </w:r>
          </w:p>
        </w:tc>
      </w:tr>
      <w:tr w14:paraId="57A0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72C8449C">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continue"/>
            <w:vAlign w:val="center"/>
          </w:tcPr>
          <w:p w14:paraId="005E461C">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022" w:type="dxa"/>
            <w:vAlign w:val="center"/>
          </w:tcPr>
          <w:p w14:paraId="7E0B25EB">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（备瓶和空瓶存放区）</w:t>
            </w:r>
          </w:p>
        </w:tc>
        <w:tc>
          <w:tcPr>
            <w:tcW w:w="2738" w:type="dxa"/>
            <w:vAlign w:val="center"/>
          </w:tcPr>
          <w:p w14:paraId="43672EA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vAlign w:val="center"/>
          </w:tcPr>
          <w:p w14:paraId="450D600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18F1BC1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2E6B9F0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w:t>
            </w:r>
          </w:p>
        </w:tc>
      </w:tr>
      <w:tr w14:paraId="3084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0C3FBF49">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continue"/>
            <w:vAlign w:val="center"/>
          </w:tcPr>
          <w:p w14:paraId="28E2F979">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022" w:type="dxa"/>
            <w:shd w:val="clear" w:color="auto" w:fill="auto"/>
            <w:vAlign w:val="center"/>
          </w:tcPr>
          <w:p w14:paraId="2A920C41">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（需配置气体管路）</w:t>
            </w:r>
          </w:p>
        </w:tc>
        <w:tc>
          <w:tcPr>
            <w:tcW w:w="2738" w:type="dxa"/>
            <w:shd w:val="clear" w:color="auto" w:fill="auto"/>
            <w:vAlign w:val="center"/>
          </w:tcPr>
          <w:p w14:paraId="4B37408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shd w:val="clear" w:color="auto" w:fill="auto"/>
            <w:vAlign w:val="center"/>
          </w:tcPr>
          <w:p w14:paraId="5D889B6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749" w:type="dxa"/>
            <w:shd w:val="clear" w:color="auto" w:fill="auto"/>
            <w:vAlign w:val="center"/>
          </w:tcPr>
          <w:p w14:paraId="45ED695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703" w:type="dxa"/>
            <w:shd w:val="clear" w:color="auto" w:fill="auto"/>
            <w:vAlign w:val="center"/>
          </w:tcPr>
          <w:p w14:paraId="642937C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r>
      <w:tr w14:paraId="399A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Merge w:val="continue"/>
            <w:vAlign w:val="center"/>
          </w:tcPr>
          <w:p w14:paraId="41C65F22">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p>
        </w:tc>
        <w:tc>
          <w:tcPr>
            <w:tcW w:w="2111" w:type="dxa"/>
            <w:vMerge w:val="continue"/>
            <w:vAlign w:val="center"/>
          </w:tcPr>
          <w:p w14:paraId="79AB0390">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022" w:type="dxa"/>
            <w:vAlign w:val="center"/>
          </w:tcPr>
          <w:p w14:paraId="17EBDA77">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sz w:val="24"/>
                <w:szCs w:val="24"/>
                <w:highlight w:val="none"/>
                <w:lang w:val="en-US" w:eastAsia="zh-CN"/>
              </w:rPr>
              <w:t>7号试验室气瓶集装箱</w:t>
            </w:r>
          </w:p>
        </w:tc>
        <w:tc>
          <w:tcPr>
            <w:tcW w:w="2738" w:type="dxa"/>
            <w:vAlign w:val="center"/>
          </w:tcPr>
          <w:p w14:paraId="3FA9B01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292" w:type="dxa"/>
            <w:vAlign w:val="center"/>
          </w:tcPr>
          <w:p w14:paraId="3E5D1A6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60877E4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541165D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1</w:t>
            </w:r>
          </w:p>
        </w:tc>
      </w:tr>
      <w:tr w14:paraId="1B1A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01A55A4B">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0BD18267">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p>
        </w:tc>
        <w:tc>
          <w:tcPr>
            <w:tcW w:w="2022" w:type="dxa"/>
            <w:shd w:val="clear" w:color="auto" w:fill="auto"/>
            <w:vAlign w:val="center"/>
          </w:tcPr>
          <w:p w14:paraId="3E6567C4">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cstheme="minorBidi"/>
                <w:kern w:val="2"/>
                <w:sz w:val="24"/>
                <w:szCs w:val="22"/>
                <w:lang w:val="en-US" w:eastAsia="zh-CN" w:bidi="ar-SA"/>
              </w:rPr>
            </w:pPr>
            <w:r>
              <w:rPr>
                <w:rFonts w:hint="default" w:ascii="宋体" w:hAnsi="宋体" w:eastAsia="宋体"/>
                <w:sz w:val="24"/>
                <w:lang w:val="en-US" w:eastAsia="zh-CN"/>
              </w:rPr>
              <w:t>通风系统</w:t>
            </w:r>
          </w:p>
        </w:tc>
        <w:tc>
          <w:tcPr>
            <w:tcW w:w="2738" w:type="dxa"/>
            <w:shd w:val="clear" w:color="auto" w:fill="auto"/>
            <w:vAlign w:val="center"/>
          </w:tcPr>
          <w:p w14:paraId="78D0230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292" w:type="dxa"/>
            <w:shd w:val="clear" w:color="auto" w:fill="auto"/>
            <w:vAlign w:val="center"/>
          </w:tcPr>
          <w:p w14:paraId="1FF06F6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749" w:type="dxa"/>
            <w:shd w:val="clear" w:color="auto" w:fill="auto"/>
            <w:vAlign w:val="center"/>
          </w:tcPr>
          <w:p w14:paraId="1D5CEF2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703" w:type="dxa"/>
            <w:shd w:val="clear" w:color="auto" w:fill="auto"/>
            <w:vAlign w:val="center"/>
          </w:tcPr>
          <w:p w14:paraId="6A3E905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r>
      <w:tr w14:paraId="5CB0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22EA8218">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5A29D41F">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p>
        </w:tc>
        <w:tc>
          <w:tcPr>
            <w:tcW w:w="2022" w:type="dxa"/>
            <w:shd w:val="clear" w:color="auto" w:fill="auto"/>
            <w:vAlign w:val="center"/>
          </w:tcPr>
          <w:p w14:paraId="3A3F21C2">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cstheme="minorBidi"/>
                <w:kern w:val="2"/>
                <w:sz w:val="24"/>
                <w:szCs w:val="22"/>
                <w:lang w:val="en-US" w:eastAsia="zh-CN" w:bidi="ar-SA"/>
              </w:rPr>
            </w:pPr>
            <w:r>
              <w:rPr>
                <w:rFonts w:hint="default" w:ascii="宋体" w:hAnsi="宋体" w:eastAsia="宋体"/>
                <w:sz w:val="24"/>
                <w:lang w:val="en-US" w:eastAsia="zh-CN"/>
              </w:rPr>
              <w:t>照明系统</w:t>
            </w:r>
          </w:p>
        </w:tc>
        <w:tc>
          <w:tcPr>
            <w:tcW w:w="2738" w:type="dxa"/>
            <w:shd w:val="clear" w:color="auto" w:fill="auto"/>
            <w:vAlign w:val="center"/>
          </w:tcPr>
          <w:p w14:paraId="7AB0CCA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292" w:type="dxa"/>
            <w:shd w:val="clear" w:color="auto" w:fill="auto"/>
            <w:vAlign w:val="center"/>
          </w:tcPr>
          <w:p w14:paraId="26EF5CC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749" w:type="dxa"/>
            <w:shd w:val="clear" w:color="auto" w:fill="auto"/>
            <w:vAlign w:val="center"/>
          </w:tcPr>
          <w:p w14:paraId="32695DD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703" w:type="dxa"/>
            <w:shd w:val="clear" w:color="auto" w:fill="auto"/>
            <w:vAlign w:val="center"/>
          </w:tcPr>
          <w:p w14:paraId="38D8A56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r>
      <w:tr w14:paraId="28D9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16F6D829">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1986A7B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p>
        </w:tc>
        <w:tc>
          <w:tcPr>
            <w:tcW w:w="2022" w:type="dxa"/>
            <w:shd w:val="clear" w:color="auto" w:fill="auto"/>
            <w:vAlign w:val="center"/>
          </w:tcPr>
          <w:p w14:paraId="2C8629D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地面</w:t>
            </w:r>
            <w:r>
              <w:rPr>
                <w:rFonts w:hint="eastAsia" w:ascii="Times New Roman" w:hAnsi="Times New Roman" w:eastAsia="宋体" w:cs="Times New Roman"/>
                <w:sz w:val="24"/>
                <w:szCs w:val="24"/>
                <w:highlight w:val="none"/>
                <w:lang w:val="en-US" w:eastAsia="zh-CN"/>
              </w:rPr>
              <w:t>基建</w:t>
            </w:r>
          </w:p>
        </w:tc>
        <w:tc>
          <w:tcPr>
            <w:tcW w:w="2738" w:type="dxa"/>
            <w:shd w:val="clear" w:color="auto" w:fill="auto"/>
            <w:vAlign w:val="center"/>
          </w:tcPr>
          <w:p w14:paraId="2775A56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70EC34C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6F495E5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42AD50B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r>
      <w:tr w14:paraId="2FC4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7F623CAD">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2493C58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p>
        </w:tc>
        <w:tc>
          <w:tcPr>
            <w:tcW w:w="2022" w:type="dxa"/>
            <w:shd w:val="clear" w:color="auto" w:fill="auto"/>
            <w:vAlign w:val="center"/>
          </w:tcPr>
          <w:p w14:paraId="3006491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安装调试</w:t>
            </w:r>
          </w:p>
        </w:tc>
        <w:tc>
          <w:tcPr>
            <w:tcW w:w="2738" w:type="dxa"/>
            <w:shd w:val="clear" w:color="auto" w:fill="auto"/>
            <w:vAlign w:val="center"/>
          </w:tcPr>
          <w:p w14:paraId="13E3EC8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629CE7B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3A6A3F1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4FD99CC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r>
      <w:tr w14:paraId="2F7F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362EDE43">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p>
        </w:tc>
        <w:tc>
          <w:tcPr>
            <w:tcW w:w="2111" w:type="dxa"/>
            <w:shd w:val="clear" w:color="auto" w:fill="auto"/>
            <w:vAlign w:val="center"/>
          </w:tcPr>
          <w:p w14:paraId="5CAA7577">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r>
              <w:rPr>
                <w:rFonts w:hint="eastAsia" w:ascii="宋体" w:hAnsi="宋体" w:eastAsia="宋体"/>
                <w:sz w:val="24"/>
              </w:rPr>
              <w:t>泄漏监控、报警系统设备安装</w:t>
            </w:r>
          </w:p>
        </w:tc>
        <w:tc>
          <w:tcPr>
            <w:tcW w:w="2022" w:type="dxa"/>
            <w:shd w:val="clear" w:color="auto" w:fill="auto"/>
            <w:vAlign w:val="center"/>
          </w:tcPr>
          <w:p w14:paraId="17E525E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eastAsia="zh-CN"/>
              </w:rPr>
            </w:pPr>
            <w:r>
              <w:rPr>
                <w:rFonts w:hint="eastAsia" w:ascii="宋体" w:hAnsi="宋体" w:eastAsia="宋体"/>
                <w:sz w:val="24"/>
              </w:rPr>
              <w:t>可燃气体、有害气体</w:t>
            </w:r>
            <w:r>
              <w:rPr>
                <w:rFonts w:hint="eastAsia" w:ascii="宋体" w:hAnsi="宋体" w:eastAsia="宋体"/>
                <w:sz w:val="24"/>
                <w:lang w:val="en-US" w:eastAsia="zh-CN"/>
              </w:rPr>
              <w:t>监测</w:t>
            </w:r>
            <w:r>
              <w:rPr>
                <w:rFonts w:hint="eastAsia" w:ascii="宋体" w:hAnsi="宋体" w:eastAsia="宋体"/>
                <w:sz w:val="24"/>
              </w:rPr>
              <w:t>系统</w:t>
            </w:r>
          </w:p>
        </w:tc>
        <w:tc>
          <w:tcPr>
            <w:tcW w:w="2738" w:type="dxa"/>
            <w:vAlign w:val="center"/>
          </w:tcPr>
          <w:p w14:paraId="74D50F9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rPr>
              <w:t>见第二章技术要求</w:t>
            </w:r>
          </w:p>
        </w:tc>
        <w:tc>
          <w:tcPr>
            <w:tcW w:w="1292" w:type="dxa"/>
            <w:vAlign w:val="center"/>
          </w:tcPr>
          <w:p w14:paraId="0FD0C1A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p>
        </w:tc>
        <w:tc>
          <w:tcPr>
            <w:tcW w:w="749" w:type="dxa"/>
            <w:vAlign w:val="center"/>
          </w:tcPr>
          <w:p w14:paraId="69EC219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highlight w:val="none"/>
              </w:rPr>
              <w:t>套</w:t>
            </w:r>
          </w:p>
        </w:tc>
        <w:tc>
          <w:tcPr>
            <w:tcW w:w="1703" w:type="dxa"/>
            <w:vAlign w:val="center"/>
          </w:tcPr>
          <w:p w14:paraId="76A5DAD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p>
        </w:tc>
      </w:tr>
      <w:tr w14:paraId="78CD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restart"/>
            <w:vAlign w:val="center"/>
          </w:tcPr>
          <w:p w14:paraId="406548F2">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c>
          <w:tcPr>
            <w:tcW w:w="2111" w:type="dxa"/>
            <w:vMerge w:val="restart"/>
            <w:shd w:val="clear" w:color="auto" w:fill="auto"/>
            <w:vAlign w:val="center"/>
          </w:tcPr>
          <w:p w14:paraId="1EE1407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管路改造</w:t>
            </w:r>
          </w:p>
        </w:tc>
        <w:tc>
          <w:tcPr>
            <w:tcW w:w="2022" w:type="dxa"/>
            <w:shd w:val="clear" w:color="auto" w:fill="auto"/>
            <w:vAlign w:val="center"/>
          </w:tcPr>
          <w:p w14:paraId="60237EB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电磁控制阀</w:t>
            </w:r>
          </w:p>
        </w:tc>
        <w:tc>
          <w:tcPr>
            <w:tcW w:w="2738" w:type="dxa"/>
            <w:vAlign w:val="center"/>
          </w:tcPr>
          <w:p w14:paraId="47938C1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4"/>
                <w:szCs w:val="24"/>
                <w:highlight w:val="none"/>
                <w:lang w:val="en-US" w:eastAsia="zh-CN"/>
              </w:rPr>
              <w:t>/</w:t>
            </w:r>
          </w:p>
        </w:tc>
        <w:tc>
          <w:tcPr>
            <w:tcW w:w="1292" w:type="dxa"/>
            <w:vAlign w:val="center"/>
          </w:tcPr>
          <w:p w14:paraId="3164B28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000000"/>
                <w:kern w:val="2"/>
                <w:sz w:val="24"/>
                <w:szCs w:val="24"/>
                <w:highlight w:val="none"/>
                <w:lang w:val="en-US" w:eastAsia="zh-CN" w:bidi="ar-SA"/>
              </w:rPr>
              <w:t>/</w:t>
            </w:r>
          </w:p>
        </w:tc>
        <w:tc>
          <w:tcPr>
            <w:tcW w:w="749" w:type="dxa"/>
            <w:vAlign w:val="center"/>
          </w:tcPr>
          <w:p w14:paraId="0B07B24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703" w:type="dxa"/>
            <w:vAlign w:val="center"/>
          </w:tcPr>
          <w:p w14:paraId="63FDECF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lang w:val="en-US" w:eastAsia="zh-CN"/>
              </w:rPr>
              <w:t>16</w:t>
            </w:r>
          </w:p>
        </w:tc>
      </w:tr>
      <w:tr w14:paraId="25EC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268168B8">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53A8D5A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2022" w:type="dxa"/>
            <w:shd w:val="clear" w:color="auto" w:fill="auto"/>
            <w:vAlign w:val="center"/>
          </w:tcPr>
          <w:p w14:paraId="16C34C7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气动隔膜阀</w:t>
            </w:r>
          </w:p>
        </w:tc>
        <w:tc>
          <w:tcPr>
            <w:tcW w:w="2738" w:type="dxa"/>
            <w:vAlign w:val="center"/>
          </w:tcPr>
          <w:p w14:paraId="3901B8F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292" w:type="dxa"/>
            <w:vAlign w:val="center"/>
          </w:tcPr>
          <w:p w14:paraId="1073371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749" w:type="dxa"/>
            <w:vAlign w:val="center"/>
          </w:tcPr>
          <w:p w14:paraId="6C3AF19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703" w:type="dxa"/>
            <w:vAlign w:val="center"/>
          </w:tcPr>
          <w:p w14:paraId="64F9D0D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16</w:t>
            </w:r>
          </w:p>
        </w:tc>
      </w:tr>
      <w:tr w14:paraId="1E01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63037C28">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p>
        </w:tc>
        <w:tc>
          <w:tcPr>
            <w:tcW w:w="2111" w:type="dxa"/>
            <w:vMerge w:val="continue"/>
            <w:shd w:val="clear" w:color="auto" w:fill="auto"/>
            <w:vAlign w:val="center"/>
          </w:tcPr>
          <w:p w14:paraId="3BAD0B5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eastAsia="zh-CN"/>
              </w:rPr>
            </w:pPr>
          </w:p>
        </w:tc>
        <w:tc>
          <w:tcPr>
            <w:tcW w:w="2022" w:type="dxa"/>
            <w:shd w:val="clear" w:color="auto" w:fill="auto"/>
            <w:vAlign w:val="center"/>
          </w:tcPr>
          <w:p w14:paraId="0788A86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管路</w:t>
            </w:r>
          </w:p>
        </w:tc>
        <w:tc>
          <w:tcPr>
            <w:tcW w:w="2738" w:type="dxa"/>
            <w:vAlign w:val="center"/>
          </w:tcPr>
          <w:p w14:paraId="3DB833C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2"/>
                <w:szCs w:val="22"/>
                <w:highlight w:val="none"/>
              </w:rPr>
              <w:t>材质：SS316L</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内表面粗糙度Ra&lt;0.4um</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抛光处理：BA</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外径/壁厚：6.35mm/0.89mm</w:t>
            </w:r>
          </w:p>
        </w:tc>
        <w:tc>
          <w:tcPr>
            <w:tcW w:w="1292" w:type="dxa"/>
            <w:vAlign w:val="center"/>
          </w:tcPr>
          <w:p w14:paraId="41BC289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2"/>
                <w:szCs w:val="22"/>
                <w:highlight w:val="none"/>
              </w:rPr>
              <w:t>CK/CTC/Valex/Dockweiler</w:t>
            </w:r>
            <w:r>
              <w:rPr>
                <w:rFonts w:hint="eastAsia" w:ascii="Times New Roman" w:hAnsi="Times New Roman" w:eastAsia="宋体" w:cs="Times New Roman"/>
                <w:sz w:val="22"/>
                <w:szCs w:val="22"/>
                <w:highlight w:val="none"/>
                <w:lang w:val="en-US" w:eastAsia="zh-CN"/>
              </w:rPr>
              <w:t>/Unilok</w:t>
            </w:r>
            <w:r>
              <w:rPr>
                <w:rFonts w:hint="default" w:ascii="Times New Roman" w:hAnsi="Times New Roman" w:eastAsia="宋体" w:cs="Times New Roman"/>
                <w:sz w:val="22"/>
                <w:szCs w:val="22"/>
                <w:highlight w:val="none"/>
              </w:rPr>
              <w:t>及以上品牌</w:t>
            </w:r>
          </w:p>
        </w:tc>
        <w:tc>
          <w:tcPr>
            <w:tcW w:w="749" w:type="dxa"/>
            <w:vAlign w:val="center"/>
          </w:tcPr>
          <w:p w14:paraId="6643EE8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米</w:t>
            </w:r>
          </w:p>
        </w:tc>
        <w:tc>
          <w:tcPr>
            <w:tcW w:w="1703" w:type="dxa"/>
            <w:vAlign w:val="center"/>
          </w:tcPr>
          <w:p w14:paraId="13270AC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eastAsia="zh-CN"/>
              </w:rPr>
              <w:t>依照技术要求</w:t>
            </w:r>
          </w:p>
        </w:tc>
      </w:tr>
      <w:tr w14:paraId="0CFD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1AB1D285">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7B41E49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2022" w:type="dxa"/>
            <w:shd w:val="clear" w:color="auto" w:fill="auto"/>
            <w:vAlign w:val="center"/>
          </w:tcPr>
          <w:p w14:paraId="08D7A1F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管道支架、吊架</w:t>
            </w:r>
          </w:p>
        </w:tc>
        <w:tc>
          <w:tcPr>
            <w:tcW w:w="2738" w:type="dxa"/>
            <w:vAlign w:val="center"/>
          </w:tcPr>
          <w:p w14:paraId="649C028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292" w:type="dxa"/>
            <w:vAlign w:val="center"/>
          </w:tcPr>
          <w:p w14:paraId="4EB0A1C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749" w:type="dxa"/>
            <w:vAlign w:val="center"/>
          </w:tcPr>
          <w:p w14:paraId="185C159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703" w:type="dxa"/>
            <w:vAlign w:val="center"/>
          </w:tcPr>
          <w:p w14:paraId="100DCDE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根据实际情况</w:t>
            </w:r>
          </w:p>
        </w:tc>
      </w:tr>
      <w:tr w14:paraId="2424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Merge w:val="continue"/>
            <w:vAlign w:val="center"/>
          </w:tcPr>
          <w:p w14:paraId="50CA6658">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2111" w:type="dxa"/>
            <w:vMerge w:val="continue"/>
            <w:shd w:val="clear" w:color="auto" w:fill="auto"/>
            <w:vAlign w:val="center"/>
          </w:tcPr>
          <w:p w14:paraId="486BB2D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2022" w:type="dxa"/>
            <w:shd w:val="clear" w:color="auto" w:fill="auto"/>
            <w:vAlign w:val="center"/>
          </w:tcPr>
          <w:p w14:paraId="480D1F9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管道固定卡具</w:t>
            </w:r>
          </w:p>
        </w:tc>
        <w:tc>
          <w:tcPr>
            <w:tcW w:w="2738" w:type="dxa"/>
            <w:vAlign w:val="center"/>
          </w:tcPr>
          <w:p w14:paraId="7AA86FD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292" w:type="dxa"/>
            <w:vAlign w:val="center"/>
          </w:tcPr>
          <w:p w14:paraId="222CDE9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749" w:type="dxa"/>
            <w:vAlign w:val="center"/>
          </w:tcPr>
          <w:p w14:paraId="3FB3129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703" w:type="dxa"/>
            <w:vAlign w:val="center"/>
          </w:tcPr>
          <w:p w14:paraId="2D6E6AF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val="en-US" w:eastAsia="zh-CN"/>
              </w:rPr>
              <w:t>根据实际情况</w:t>
            </w:r>
          </w:p>
        </w:tc>
      </w:tr>
      <w:tr w14:paraId="69D9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455B2D1">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p>
        </w:tc>
        <w:tc>
          <w:tcPr>
            <w:tcW w:w="2111" w:type="dxa"/>
            <w:shd w:val="clear" w:color="auto" w:fill="auto"/>
            <w:vAlign w:val="center"/>
          </w:tcPr>
          <w:p w14:paraId="2B69DC7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终端标气柜</w:t>
            </w:r>
          </w:p>
        </w:tc>
        <w:tc>
          <w:tcPr>
            <w:tcW w:w="2022" w:type="dxa"/>
            <w:shd w:val="clear" w:color="auto" w:fill="auto"/>
            <w:vAlign w:val="center"/>
          </w:tcPr>
          <w:p w14:paraId="03E9C601">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166930C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2954140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27DCAC9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14279B7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r>
      <w:tr w14:paraId="01A8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7AFEA17F">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c>
          <w:tcPr>
            <w:tcW w:w="2111" w:type="dxa"/>
            <w:shd w:val="clear" w:color="auto" w:fill="auto"/>
            <w:vAlign w:val="center"/>
          </w:tcPr>
          <w:p w14:paraId="56366C1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一级减压阀</w:t>
            </w:r>
          </w:p>
        </w:tc>
        <w:tc>
          <w:tcPr>
            <w:tcW w:w="2022" w:type="dxa"/>
            <w:shd w:val="clear" w:color="auto" w:fill="auto"/>
            <w:vAlign w:val="center"/>
          </w:tcPr>
          <w:p w14:paraId="3785C61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398AE6F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228C689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GCE及以上品牌</w:t>
            </w:r>
          </w:p>
        </w:tc>
        <w:tc>
          <w:tcPr>
            <w:tcW w:w="749" w:type="dxa"/>
            <w:shd w:val="clear" w:color="auto" w:fill="auto"/>
            <w:vAlign w:val="center"/>
          </w:tcPr>
          <w:p w14:paraId="6EEB83C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023CCC2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r>
      <w:tr w14:paraId="57AD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A95F926">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2111" w:type="dxa"/>
            <w:shd w:val="clear" w:color="auto" w:fill="auto"/>
            <w:vAlign w:val="center"/>
          </w:tcPr>
          <w:p w14:paraId="728160A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二级减压阀</w:t>
            </w:r>
          </w:p>
        </w:tc>
        <w:tc>
          <w:tcPr>
            <w:tcW w:w="2022" w:type="dxa"/>
            <w:shd w:val="clear" w:color="auto" w:fill="auto"/>
            <w:vAlign w:val="center"/>
          </w:tcPr>
          <w:p w14:paraId="2EE2C41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08E82A3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7A6B439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GCE及以上品牌</w:t>
            </w:r>
          </w:p>
        </w:tc>
        <w:tc>
          <w:tcPr>
            <w:tcW w:w="749" w:type="dxa"/>
            <w:shd w:val="clear" w:color="auto" w:fill="auto"/>
            <w:vAlign w:val="center"/>
          </w:tcPr>
          <w:p w14:paraId="13ABD56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2FD29B8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30</w:t>
            </w:r>
          </w:p>
        </w:tc>
      </w:tr>
      <w:tr w14:paraId="07AC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2BEB1AB0">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p>
        </w:tc>
        <w:tc>
          <w:tcPr>
            <w:tcW w:w="2111" w:type="dxa"/>
            <w:shd w:val="clear" w:color="auto" w:fill="auto"/>
            <w:vAlign w:val="center"/>
          </w:tcPr>
          <w:p w14:paraId="13D90ED7">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eastAsia" w:ascii="宋体" w:hAnsi="宋体" w:eastAsia="宋体"/>
                <w:sz w:val="24"/>
              </w:rPr>
              <w:t>球阀</w:t>
            </w:r>
          </w:p>
        </w:tc>
        <w:tc>
          <w:tcPr>
            <w:tcW w:w="2022" w:type="dxa"/>
            <w:shd w:val="clear" w:color="auto" w:fill="auto"/>
            <w:vAlign w:val="center"/>
          </w:tcPr>
          <w:p w14:paraId="1720489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4BFA306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4DC4146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0A8E649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41C4B22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30</w:t>
            </w:r>
          </w:p>
        </w:tc>
      </w:tr>
      <w:tr w14:paraId="0EF1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68260AB7">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p>
        </w:tc>
        <w:tc>
          <w:tcPr>
            <w:tcW w:w="2111" w:type="dxa"/>
            <w:shd w:val="clear" w:color="auto" w:fill="auto"/>
            <w:vAlign w:val="center"/>
          </w:tcPr>
          <w:p w14:paraId="6EC54B55">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eastAsia" w:ascii="宋体" w:hAnsi="宋体" w:eastAsia="宋体"/>
                <w:sz w:val="24"/>
              </w:rPr>
              <w:t>防爆逆止阀</w:t>
            </w:r>
          </w:p>
        </w:tc>
        <w:tc>
          <w:tcPr>
            <w:tcW w:w="2022" w:type="dxa"/>
            <w:shd w:val="clear" w:color="auto" w:fill="auto"/>
            <w:vAlign w:val="center"/>
          </w:tcPr>
          <w:p w14:paraId="62E82A8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541EE86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25505B5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703A3C1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3395AA4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r>
      <w:tr w14:paraId="35EE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69318D7F">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w:t>
            </w:r>
          </w:p>
        </w:tc>
        <w:tc>
          <w:tcPr>
            <w:tcW w:w="2111" w:type="dxa"/>
            <w:shd w:val="clear" w:color="auto" w:fill="auto"/>
            <w:vAlign w:val="center"/>
          </w:tcPr>
          <w:p w14:paraId="70FBAA33">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eastAsia" w:ascii="宋体" w:hAnsi="宋体" w:eastAsia="宋体"/>
                <w:sz w:val="24"/>
              </w:rPr>
              <w:t>高压螺旋管（软管）</w:t>
            </w:r>
          </w:p>
        </w:tc>
        <w:tc>
          <w:tcPr>
            <w:tcW w:w="2022" w:type="dxa"/>
            <w:shd w:val="clear" w:color="auto" w:fill="auto"/>
            <w:vAlign w:val="center"/>
          </w:tcPr>
          <w:p w14:paraId="0833DD4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shd w:val="clear" w:color="auto" w:fill="auto"/>
            <w:vAlign w:val="center"/>
          </w:tcPr>
          <w:p w14:paraId="33C8BF9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292" w:type="dxa"/>
            <w:shd w:val="clear" w:color="auto" w:fill="auto"/>
            <w:vAlign w:val="center"/>
          </w:tcPr>
          <w:p w14:paraId="294EF2E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749" w:type="dxa"/>
            <w:shd w:val="clear" w:color="auto" w:fill="auto"/>
            <w:vAlign w:val="center"/>
          </w:tcPr>
          <w:p w14:paraId="3BD96C3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03" w:type="dxa"/>
            <w:shd w:val="clear" w:color="auto" w:fill="auto"/>
            <w:vAlign w:val="center"/>
          </w:tcPr>
          <w:p w14:paraId="798D722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w:t>
            </w:r>
          </w:p>
        </w:tc>
      </w:tr>
      <w:tr w14:paraId="077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149809EE">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10</w:t>
            </w:r>
          </w:p>
        </w:tc>
        <w:tc>
          <w:tcPr>
            <w:tcW w:w="2111" w:type="dxa"/>
            <w:shd w:val="clear" w:color="auto" w:fill="auto"/>
            <w:vAlign w:val="center"/>
          </w:tcPr>
          <w:p w14:paraId="452FD6D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长途运输</w:t>
            </w:r>
          </w:p>
        </w:tc>
        <w:tc>
          <w:tcPr>
            <w:tcW w:w="2022" w:type="dxa"/>
            <w:shd w:val="clear" w:color="auto" w:fill="auto"/>
            <w:vAlign w:val="center"/>
          </w:tcPr>
          <w:p w14:paraId="0F6AE48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2738" w:type="dxa"/>
            <w:vAlign w:val="center"/>
          </w:tcPr>
          <w:p w14:paraId="37D34CA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2ACF545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6B7529B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5337B65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r>
      <w:tr w14:paraId="2526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4769F91E">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11</w:t>
            </w:r>
          </w:p>
        </w:tc>
        <w:tc>
          <w:tcPr>
            <w:tcW w:w="2111" w:type="dxa"/>
            <w:shd w:val="clear" w:color="auto" w:fill="auto"/>
            <w:vAlign w:val="center"/>
          </w:tcPr>
          <w:p w14:paraId="3ACD113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吊装落位</w:t>
            </w:r>
          </w:p>
        </w:tc>
        <w:tc>
          <w:tcPr>
            <w:tcW w:w="2022" w:type="dxa"/>
            <w:shd w:val="clear" w:color="auto" w:fill="auto"/>
            <w:vAlign w:val="center"/>
          </w:tcPr>
          <w:p w14:paraId="5EA333D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2738" w:type="dxa"/>
            <w:vAlign w:val="center"/>
          </w:tcPr>
          <w:p w14:paraId="3BD6F4C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731414E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1D751F7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5DF13CB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w:t>
            </w:r>
          </w:p>
        </w:tc>
      </w:tr>
      <w:tr w14:paraId="42A7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0A01014C">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12</w:t>
            </w:r>
          </w:p>
        </w:tc>
        <w:tc>
          <w:tcPr>
            <w:tcW w:w="2111" w:type="dxa"/>
            <w:shd w:val="clear" w:color="auto" w:fill="auto"/>
            <w:vAlign w:val="center"/>
          </w:tcPr>
          <w:p w14:paraId="5EF8D01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第三方安全评估</w:t>
            </w:r>
          </w:p>
        </w:tc>
        <w:tc>
          <w:tcPr>
            <w:tcW w:w="2022" w:type="dxa"/>
            <w:shd w:val="clear" w:color="auto" w:fill="auto"/>
            <w:vAlign w:val="center"/>
          </w:tcPr>
          <w:p w14:paraId="63F6C1C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2738" w:type="dxa"/>
            <w:vAlign w:val="center"/>
          </w:tcPr>
          <w:p w14:paraId="106674F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5F5E477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04DE63C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269002B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eastAsia="zh-CN"/>
              </w:rPr>
              <w:t>1</w:t>
            </w:r>
          </w:p>
        </w:tc>
      </w:tr>
      <w:tr w14:paraId="7B6E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14:paraId="6AE0305B">
            <w:pPr>
              <w:pageBreakBefore w:val="0"/>
              <w:kinsoku/>
              <w:wordWrap/>
              <w:overflowPunct/>
              <w:topLinePunct w:val="0"/>
              <w:bidi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13</w:t>
            </w:r>
          </w:p>
        </w:tc>
        <w:tc>
          <w:tcPr>
            <w:tcW w:w="2111" w:type="dxa"/>
            <w:shd w:val="clear" w:color="auto" w:fill="auto"/>
            <w:vAlign w:val="center"/>
          </w:tcPr>
          <w:p w14:paraId="4573CD3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技术资料</w:t>
            </w:r>
          </w:p>
        </w:tc>
        <w:tc>
          <w:tcPr>
            <w:tcW w:w="2022" w:type="dxa"/>
            <w:shd w:val="clear" w:color="auto" w:fill="auto"/>
            <w:vAlign w:val="center"/>
          </w:tcPr>
          <w:p w14:paraId="6FCD249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2738" w:type="dxa"/>
            <w:vAlign w:val="center"/>
          </w:tcPr>
          <w:p w14:paraId="01FAE01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292" w:type="dxa"/>
            <w:vAlign w:val="center"/>
          </w:tcPr>
          <w:p w14:paraId="7065E5F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749" w:type="dxa"/>
            <w:vAlign w:val="center"/>
          </w:tcPr>
          <w:p w14:paraId="52F32C6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703" w:type="dxa"/>
            <w:vAlign w:val="center"/>
          </w:tcPr>
          <w:p w14:paraId="4E6C5DE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r>
    </w:tbl>
    <w:p w14:paraId="5215A9D3">
      <w:pPr>
        <w:pageBreakBefore w:val="0"/>
        <w:kinsoku/>
        <w:wordWrap/>
        <w:overflowPunct/>
        <w:topLinePunct w:val="0"/>
        <w:bidi w:val="0"/>
        <w:spacing w:before="157" w:beforeLines="50" w:line="360" w:lineRule="auto"/>
        <w:ind w:firstLine="482" w:firstLineChars="200"/>
        <w:jc w:val="both"/>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（一）一般界定</w:t>
      </w:r>
    </w:p>
    <w:p w14:paraId="7EFABE7D">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7D0FB1C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2.包括为保证货物正常安装、调试和验收完成及以前所必需的整套配件、附件及材料、油料、控制软件及程序或指令等。</w:t>
      </w:r>
    </w:p>
    <w:p w14:paraId="27B91856">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如果终验收完成后，投标人有需要收回的配件、附件、材料、油料等，应当在投标文件的技术偏离条款中，予以详细说明；否则视同包括在供货范围之内。</w:t>
      </w:r>
    </w:p>
    <w:p w14:paraId="5AEF787F">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3.包括货物维护维修所必需的专用工具。</w:t>
      </w:r>
    </w:p>
    <w:p w14:paraId="17E1D0CC">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38F1E3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包括为保证货物自身正常运行所必需的、满足使用地点环境条件的通风、冷却、降温等必需设施。</w:t>
      </w:r>
    </w:p>
    <w:p w14:paraId="16674FEB">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如投标人难以提供或无优势提供以及属于选用配置的，则应当在投标文件的技术偏离条款中，予以详细说明并注明投标报价未包含该部分的货值。</w:t>
      </w:r>
    </w:p>
    <w:p w14:paraId="682DD919">
      <w:pPr>
        <w:pageBreakBefore w:val="0"/>
        <w:kinsoku/>
        <w:wordWrap/>
        <w:overflowPunct/>
        <w:topLinePunct w:val="0"/>
        <w:bidi w:val="0"/>
        <w:spacing w:line="360" w:lineRule="auto"/>
        <w:ind w:firstLine="482" w:firstLineChars="200"/>
        <w:jc w:val="both"/>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（二）供货范围边界界定</w:t>
      </w:r>
    </w:p>
    <w:p w14:paraId="4906E49A">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1.买方提供货物所需的建筑物和构筑物（如混凝土池、砼基础等），包含正常安装施工所需的预埋件（如穿管、预埋螺栓、螺母及垫片）。</w:t>
      </w:r>
    </w:p>
    <w:p w14:paraId="37A73D98">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11039212">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如果投标人认为能源系统接口地点以及操控地点之间的货物数量不清或难以界定，应当以书面方式询标或以单价方式报价；否则视同满足招标人要求。</w:t>
      </w:r>
    </w:p>
    <w:p w14:paraId="59794F2B">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1D13DB0D">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4.以“交钥匙”方式采购的货物，在满足技术标书本节上述要求之外，同时包括货物正常运行、使用所需要的过桥、护栏、防护网、盖板等辅助设施。</w:t>
      </w:r>
    </w:p>
    <w:p w14:paraId="2A7CBAB9">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二、备品备件、易损件和专用耗材供货范围</w:t>
      </w:r>
    </w:p>
    <w:p w14:paraId="3CB4895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1.备品备件、易损件和专用耗材是招标人为保证货物质保期之后正常运行二年所自备自用的备品备件、易损件和专用耗材。</w:t>
      </w:r>
    </w:p>
    <w:p w14:paraId="2149A58D">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质保期之内正常需要的备品备件、易损件和专用耗材全部包括在供货范围之内而不属于本条款界定的范围（应有明细）。</w:t>
      </w:r>
    </w:p>
    <w:p w14:paraId="35852067">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2.供货范围包括易损件和专用耗材的制造图纸及其技术要求等资料，如涉及专有技术或无法提供，应在投标文件中予以澄清或说明。</w:t>
      </w:r>
    </w:p>
    <w:p w14:paraId="095FD652">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三、技术资料供货范围</w:t>
      </w:r>
    </w:p>
    <w:p w14:paraId="0BDD7F0E">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技术资料供货范围包括：</w:t>
      </w:r>
    </w:p>
    <w:p w14:paraId="52EC5A5E">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bCs/>
          <w:sz w:val="24"/>
          <w:szCs w:val="24"/>
          <w:highlight w:val="none"/>
        </w:rPr>
      </w:pPr>
      <w:r>
        <w:rPr>
          <w:rFonts w:hint="default" w:ascii="Times New Roman" w:hAnsi="Times New Roman" w:eastAsia="宋体" w:cs="Times New Roman"/>
          <w:sz w:val="24"/>
          <w:szCs w:val="24"/>
          <w:highlight w:val="none"/>
        </w:rPr>
        <w:t>1.在</w:t>
      </w:r>
      <w:r>
        <w:rPr>
          <w:rFonts w:hint="default" w:ascii="Times New Roman" w:hAnsi="Times New Roman" w:eastAsia="宋体" w:cs="Times New Roman"/>
          <w:bCs/>
          <w:sz w:val="24"/>
          <w:szCs w:val="24"/>
          <w:highlight w:val="none"/>
        </w:rPr>
        <w:t>合同签订后60个日历日内，提供货物基础及相关的设计、制作所需的纸质及电子版资料；电子版文件应当能够使用常用版本软件可以阅读甚至使用，进口货物、设备应有中外文对照。</w:t>
      </w:r>
    </w:p>
    <w:p w14:paraId="0AC162D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2.在预验收前，提供货物各部分的功能描述文件、图片、影像等资料（进口、设备应有中外文对照）。</w:t>
      </w:r>
    </w:p>
    <w:p w14:paraId="18F4BCF0">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04661E3">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4.在终验收前，提供确定的维修所需要且买方可以自行采购的外购件、外协件、电气元件及主要原材料的供货厂家明细表。</w:t>
      </w:r>
    </w:p>
    <w:p w14:paraId="169C77A3">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5.在终验收后的第一笔货款支付日之前，提供包括货物的备品备件、易损件和专用耗材的图纸及技术参数、技术要求等资料。</w:t>
      </w:r>
    </w:p>
    <w:p w14:paraId="081541A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759A408">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01E64FB">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8.本条款所列的技术资料、图片、影像等，投标人应各提供5套，其中2套为电子版光盘；每份技术文件应装有目录清单。</w:t>
      </w:r>
    </w:p>
    <w:p w14:paraId="62E04625">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9.本条款所列要求，如招标人认为投标人提供的资料不能满足要求时，有权要求投标人免费补充或增加。</w:t>
      </w:r>
    </w:p>
    <w:p w14:paraId="5A90428C">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四、供货范围特别提示</w:t>
      </w:r>
    </w:p>
    <w:p w14:paraId="3F37A4E8">
      <w:pPr>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如果投标人认为本节所列的供货范围难以满足，则仍需要按照本要求提供，但该部分货物应当在投标报价中单独列明货物名称及品质、货值。</w:t>
      </w:r>
    </w:p>
    <w:p w14:paraId="204452E5">
      <w:pPr>
        <w:keepNext/>
        <w:keepLines/>
        <w:pageBreakBefore w:val="0"/>
        <w:kinsoku/>
        <w:wordWrap/>
        <w:overflowPunct/>
        <w:topLinePunct w:val="0"/>
        <w:bidi w:val="0"/>
        <w:spacing w:line="360" w:lineRule="auto"/>
        <w:ind w:firstLine="482" w:firstLineChars="200"/>
        <w:jc w:val="both"/>
        <w:outlineLvl w:val="2"/>
        <w:rPr>
          <w:rFonts w:hint="default" w:ascii="Times New Roman" w:hAnsi="Times New Roman" w:eastAsia="宋体" w:cs="Times New Roman"/>
          <w:b/>
          <w:bCs/>
          <w:sz w:val="24"/>
          <w:szCs w:val="32"/>
          <w:highlight w:val="none"/>
        </w:rPr>
      </w:pPr>
      <w:r>
        <w:rPr>
          <w:rFonts w:hint="default" w:ascii="Times New Roman" w:hAnsi="Times New Roman" w:eastAsia="宋体" w:cs="Times New Roman"/>
          <w:b/>
          <w:bCs/>
          <w:sz w:val="24"/>
          <w:szCs w:val="32"/>
          <w:highlight w:val="none"/>
        </w:rPr>
        <w:t>第二节供货方式</w:t>
      </w:r>
    </w:p>
    <w:p w14:paraId="1536C62F">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b/>
          <w:sz w:val="24"/>
          <w:szCs w:val="24"/>
          <w:highlight w:val="none"/>
        </w:rPr>
        <w:t>一、供货方式</w:t>
      </w:r>
    </w:p>
    <w:p w14:paraId="5FBB35F5">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b/>
          <w:i/>
          <w:sz w:val="24"/>
          <w:szCs w:val="24"/>
          <w:highlight w:val="none"/>
        </w:rPr>
      </w:pPr>
      <w:r>
        <w:rPr>
          <w:rFonts w:hint="default" w:ascii="Times New Roman" w:hAnsi="Times New Roman" w:eastAsia="宋体" w:cs="Times New Roman"/>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66B9565B">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sz w:val="24"/>
          <w:szCs w:val="24"/>
          <w:highlight w:val="none"/>
        </w:rPr>
      </w:pPr>
      <w:r>
        <w:rPr>
          <w:rFonts w:hint="default" w:ascii="Times New Roman" w:hAnsi="Times New Roman" w:eastAsia="宋体" w:cs="Times New Roman"/>
          <w:b/>
          <w:bCs/>
          <w:sz w:val="24"/>
          <w:szCs w:val="24"/>
          <w:highlight w:val="none"/>
        </w:rPr>
        <w:t>二、供货地点：</w:t>
      </w:r>
      <w:r>
        <w:rPr>
          <w:rFonts w:hint="default" w:ascii="Times New Roman" w:hAnsi="Times New Roman" w:eastAsia="宋体" w:cs="Times New Roman"/>
          <w:sz w:val="24"/>
          <w:szCs w:val="28"/>
          <w:highlight w:val="none"/>
        </w:rPr>
        <w:t>济南市高新区华奥路777号重汽科技园区</w:t>
      </w:r>
      <w:r>
        <w:rPr>
          <w:rFonts w:hint="default" w:ascii="Times New Roman" w:hAnsi="Times New Roman" w:eastAsia="宋体" w:cs="Times New Roman"/>
          <w:sz w:val="24"/>
          <w:szCs w:val="24"/>
          <w:highlight w:val="none"/>
        </w:rPr>
        <w:t>。</w:t>
      </w:r>
    </w:p>
    <w:p w14:paraId="2586FCB0">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三、供货时间</w:t>
      </w:r>
    </w:p>
    <w:p w14:paraId="41E394F2">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1.自合同签定生效之日起，</w:t>
      </w:r>
      <w:r>
        <w:rPr>
          <w:rFonts w:hint="eastAsia" w:ascii="Times New Roman" w:hAnsi="Times New Roman" w:eastAsia="宋体" w:cs="Times New Roman"/>
          <w:color w:val="auto"/>
          <w:sz w:val="24"/>
          <w:szCs w:val="24"/>
          <w:highlight w:val="none"/>
          <w:u w:val="single"/>
          <w:lang w:val="en-US" w:eastAsia="zh-CN"/>
        </w:rPr>
        <w:t>60</w:t>
      </w:r>
      <w:r>
        <w:rPr>
          <w:rFonts w:hint="default" w:ascii="Times New Roman" w:hAnsi="Times New Roman" w:eastAsia="宋体" w:cs="Times New Roman"/>
          <w:color w:val="auto"/>
          <w:sz w:val="24"/>
          <w:szCs w:val="24"/>
          <w:highlight w:val="none"/>
        </w:rPr>
        <w:t>个日历日之内交货至供货地点。</w:t>
      </w:r>
    </w:p>
    <w:p w14:paraId="782B27B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2.接续</w:t>
      </w:r>
      <w:r>
        <w:rPr>
          <w:rFonts w:hint="eastAsia" w:ascii="Times New Roman" w:hAnsi="Times New Roman" w:eastAsia="宋体" w:cs="Times New Roman"/>
          <w:color w:val="auto"/>
          <w:sz w:val="24"/>
          <w:szCs w:val="24"/>
          <w:highlight w:val="none"/>
          <w:u w:val="single"/>
          <w:lang w:val="en-US" w:eastAsia="zh-CN"/>
        </w:rPr>
        <w:t>1</w:t>
      </w:r>
      <w:r>
        <w:rPr>
          <w:rFonts w:hint="default" w:ascii="Times New Roman" w:hAnsi="Times New Roman" w:eastAsia="宋体" w:cs="Times New Roman"/>
          <w:color w:val="auto"/>
          <w:sz w:val="24"/>
          <w:szCs w:val="24"/>
          <w:highlight w:val="none"/>
          <w:u w:val="single"/>
          <w:lang w:val="en-US" w:eastAsia="zh-CN"/>
        </w:rPr>
        <w:t>5</w:t>
      </w:r>
      <w:r>
        <w:rPr>
          <w:rFonts w:hint="default" w:ascii="Times New Roman" w:hAnsi="Times New Roman" w:eastAsia="宋体" w:cs="Times New Roman"/>
          <w:color w:val="auto"/>
          <w:sz w:val="24"/>
          <w:szCs w:val="24"/>
          <w:highlight w:val="none"/>
        </w:rPr>
        <w:t>个日历日之内安装调试完毕。</w:t>
      </w:r>
    </w:p>
    <w:p w14:paraId="1CB5AED5">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3.接续</w:t>
      </w:r>
      <w:r>
        <w:rPr>
          <w:rFonts w:hint="eastAsia" w:ascii="Times New Roman" w:hAnsi="Times New Roman" w:eastAsia="宋体" w:cs="Times New Roman"/>
          <w:color w:val="auto"/>
          <w:sz w:val="24"/>
          <w:szCs w:val="24"/>
          <w:highlight w:val="none"/>
          <w:u w:val="single"/>
          <w:shd w:val="clear" w:color="auto" w:fill="FFFFFF"/>
          <w:lang w:val="en-US" w:eastAsia="zh-CN"/>
        </w:rPr>
        <w:t>60</w:t>
      </w:r>
      <w:r>
        <w:rPr>
          <w:rFonts w:hint="default" w:ascii="Times New Roman" w:hAnsi="Times New Roman" w:eastAsia="宋体" w:cs="Times New Roman"/>
          <w:color w:val="auto"/>
          <w:sz w:val="24"/>
          <w:szCs w:val="24"/>
          <w:highlight w:val="none"/>
          <w:shd w:val="clear" w:color="auto" w:fill="FFFFFF"/>
          <w:lang w:val="en-US" w:eastAsia="zh-CN"/>
        </w:rPr>
        <w:t>个</w:t>
      </w:r>
      <w:r>
        <w:rPr>
          <w:rFonts w:hint="default" w:ascii="Times New Roman" w:hAnsi="Times New Roman" w:eastAsia="宋体" w:cs="Times New Roman"/>
          <w:color w:val="auto"/>
          <w:sz w:val="24"/>
          <w:szCs w:val="24"/>
          <w:highlight w:val="none"/>
        </w:rPr>
        <w:t>日历日之内完成终验收。</w:t>
      </w:r>
    </w:p>
    <w:p w14:paraId="492FB590">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安装调试时间或终验收时间超过规定时间的，投标人应当随标书提供详细的工期计划。</w:t>
      </w:r>
    </w:p>
    <w:p w14:paraId="062D288C">
      <w:pPr>
        <w:pageBreakBefore w:val="0"/>
        <w:kinsoku/>
        <w:wordWrap/>
        <w:overflowPunct/>
        <w:topLinePunct w:val="0"/>
        <w:bidi w:val="0"/>
        <w:spacing w:line="360" w:lineRule="auto"/>
        <w:ind w:firstLine="482" w:firstLineChars="200"/>
        <w:jc w:val="both"/>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四、包装</w:t>
      </w:r>
    </w:p>
    <w:p w14:paraId="6B7643F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1.所提供货物（或设备）的包装，应遵照国家标准和有关包装、包皮的技术条件，或按照最好的商业惯例进行包装。</w:t>
      </w:r>
    </w:p>
    <w:p w14:paraId="1ECA2DC6">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4EB2880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3.所提供货物（或设备）的包装，应能防止其一般性被窃或受外力破坏；一般不得采用有大缝隙的板条包装。</w:t>
      </w:r>
    </w:p>
    <w:p w14:paraId="7E520F6D">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4.应对包装件做必要的加固和固定，以防止运输可能造成的损坏。</w:t>
      </w:r>
    </w:p>
    <w:p w14:paraId="161FF782">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5.每个包装件应有装箱单，并至少标明名称、型号规格、数量、净重和毛重、投标人（或供货商）名称和制造日期等相关内容。</w:t>
      </w:r>
    </w:p>
    <w:p w14:paraId="58C46F8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6.每个包装箱应有明显标志，并具有中文书写的合同号、装运标志、发货和到货地点名称、发货人和收货人名称、货物名称和项目号、箱号和外型尺寸等内容。</w:t>
      </w:r>
    </w:p>
    <w:p w14:paraId="278D00D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7.应按照不同的装运要求在包装箱上标明“小心轻放”、“箭头向上”、“防潮”、“防磁”、“不准平放”等标志，以及其它适用的国标通用标志。</w:t>
      </w:r>
    </w:p>
    <w:p w14:paraId="39529195">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8.包装箱应连续编号，不应出现重复编号。</w:t>
      </w:r>
    </w:p>
    <w:p w14:paraId="6AB839E6">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9.在不受到外界破坏情况下，包装应保证自交货日起一年内货物（或设备）完好无损。</w:t>
      </w:r>
    </w:p>
    <w:p w14:paraId="4EDA76A8">
      <w:pPr>
        <w:pageBreakBefore w:val="0"/>
        <w:kinsoku/>
        <w:wordWrap/>
        <w:overflowPunct/>
        <w:topLinePunct w:val="0"/>
        <w:bidi w:val="0"/>
        <w:adjustRightInd w:val="0"/>
        <w:snapToGrid w:val="0"/>
        <w:spacing w:line="360" w:lineRule="auto"/>
        <w:ind w:firstLine="482" w:firstLineChars="200"/>
        <w:jc w:val="both"/>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五、运输</w:t>
      </w:r>
    </w:p>
    <w:p w14:paraId="494511E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1.应负责将货物（或设备）运到目的地，并必须做到货物（或设备）在任何运输过程中不受损坏和遗失。</w:t>
      </w:r>
    </w:p>
    <w:p w14:paraId="68534184">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2.同批货物（或设备）应统一包装、编号运输。</w:t>
      </w:r>
    </w:p>
    <w:p w14:paraId="766A3621">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3.一般情况下，经由铁路、公路运输的包装件尺寸和重量不应超过国家所规定的尺寸限制，特殊情况应予以说明。</w:t>
      </w:r>
    </w:p>
    <w:p w14:paraId="5CA979C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4.在每批货物（或设备）发出后，应立即通知买方；通知中应指明：合同号、货运单号、件数、重量和货物（或设备）发出日期等相关内容。</w:t>
      </w:r>
    </w:p>
    <w:p w14:paraId="6D042974">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5.货物（或设备）运抵交货地点后，应负责货物（或设备）的卸货、搬运、保管等事宜，或按照合同约定。</w:t>
      </w:r>
    </w:p>
    <w:p w14:paraId="33A60FE3">
      <w:pPr>
        <w:pageBreakBefore w:val="0"/>
        <w:kinsoku/>
        <w:wordWrap/>
        <w:overflowPunct/>
        <w:topLinePunct w:val="0"/>
        <w:bidi w:val="0"/>
        <w:adjustRightInd w:val="0"/>
        <w:snapToGrid w:val="0"/>
        <w:spacing w:line="360" w:lineRule="auto"/>
        <w:ind w:firstLine="482" w:firstLineChars="200"/>
        <w:jc w:val="both"/>
        <w:outlineLvl w:val="3"/>
        <w:rPr>
          <w:rFonts w:hint="default" w:ascii="Times New Roman" w:hAnsi="Times New Roman" w:eastAsia="宋体" w:cs="Times New Roman"/>
          <w:b/>
          <w:bCs/>
          <w:sz w:val="24"/>
          <w:szCs w:val="24"/>
          <w:highlight w:val="yellow"/>
          <w:lang w:val="en-US" w:eastAsia="zh-CN"/>
        </w:rPr>
      </w:pPr>
      <w:r>
        <w:rPr>
          <w:rFonts w:hint="default" w:ascii="Times New Roman" w:hAnsi="Times New Roman" w:eastAsia="宋体" w:cs="Times New Roman"/>
          <w:b/>
          <w:bCs/>
          <w:sz w:val="24"/>
          <w:szCs w:val="24"/>
          <w:highlight w:val="yellow"/>
          <w:lang w:val="en-US" w:eastAsia="zh-CN"/>
        </w:rPr>
        <w:t>六、节点要求</w:t>
      </w:r>
    </w:p>
    <w:p w14:paraId="1ABD749D">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yellow"/>
          <w:lang w:val="en-US" w:eastAsia="zh-CN"/>
        </w:rPr>
      </w:pPr>
      <w:r>
        <w:rPr>
          <w:rFonts w:hint="default" w:ascii="Times New Roman" w:hAnsi="Times New Roman" w:eastAsia="宋体" w:cs="Times New Roman"/>
          <w:color w:val="000000"/>
          <w:sz w:val="24"/>
          <w:szCs w:val="24"/>
          <w:highlight w:val="yellow"/>
          <w:lang w:val="en-US" w:eastAsia="zh-CN"/>
        </w:rPr>
        <w:t>1.技术协议签订一个月内投标方提供设备初始设计方案及设备三维布置图及管路改造图，经招标方评审确认，并对方案进行修改后作为最终设计方案。</w:t>
      </w:r>
    </w:p>
    <w:p w14:paraId="4EA5F8D1">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kern w:val="2"/>
          <w:sz w:val="24"/>
          <w:szCs w:val="24"/>
          <w:highlight w:val="yellow"/>
          <w:lang w:val="en-US" w:eastAsia="zh-CN" w:bidi="ar-SA"/>
        </w:rPr>
        <w:t>确定最终方案后，由投标方制定气瓶间的设计、制作、加工、组装、初调等关键环节的计划节点，并反馈给招标方确认。</w:t>
      </w:r>
    </w:p>
    <w:p w14:paraId="65BD2942">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4"/>
          <w:szCs w:val="24"/>
          <w:highlight w:val="yellow"/>
          <w:lang w:val="en-US" w:eastAsia="zh-CN" w:bidi="ar-SA"/>
        </w:rPr>
        <w:t>3.投标方按最终方案定制气瓶箱过程中，制定计划同步进行气瓶间所需的地面</w:t>
      </w:r>
      <w:r>
        <w:rPr>
          <w:rFonts w:hint="eastAsia" w:ascii="Times New Roman" w:hAnsi="Times New Roman" w:eastAsia="宋体" w:cs="Times New Roman"/>
          <w:color w:val="000000"/>
          <w:kern w:val="2"/>
          <w:sz w:val="24"/>
          <w:szCs w:val="24"/>
          <w:highlight w:val="yellow"/>
          <w:lang w:val="en-US" w:eastAsia="zh-CN" w:bidi="ar-SA"/>
        </w:rPr>
        <w:t>基建</w:t>
      </w:r>
      <w:r>
        <w:rPr>
          <w:rFonts w:hint="default" w:ascii="Times New Roman" w:hAnsi="Times New Roman" w:eastAsia="宋体" w:cs="Times New Roman"/>
          <w:color w:val="000000"/>
          <w:kern w:val="2"/>
          <w:sz w:val="24"/>
          <w:szCs w:val="24"/>
          <w:highlight w:val="yellow"/>
          <w:lang w:val="en-US" w:eastAsia="zh-CN" w:bidi="ar-SA"/>
        </w:rPr>
        <w:t>工作，并在气瓶箱进场前两周完成。</w:t>
      </w:r>
    </w:p>
    <w:p w14:paraId="4DB761A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4.依据计划控制节点，投标方每周反馈给招标方，说明项目进展情况，并及时反馈项目异常情况。</w:t>
      </w:r>
    </w:p>
    <w:p w14:paraId="0013E42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5.设备到货期前一个月，投标方应提供安装调试计划表，同时提供所有设备的最终安装和连接图纸、三维布置图纸，经招标方同意后执行。</w:t>
      </w:r>
    </w:p>
    <w:p w14:paraId="2FCFD8B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6.投标方应严格按照计划表执行，如无法按计划完成，若是投标人的责任，每超一周，罚款合同总金额的0.5%，最多至5%。</w:t>
      </w:r>
    </w:p>
    <w:p w14:paraId="2EEE222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7.投标方负责设备现场安装、调试和技术指导，设备安装调试时间为</w:t>
      </w:r>
      <w:r>
        <w:rPr>
          <w:rFonts w:hint="eastAsia" w:ascii="Times New Roman" w:hAnsi="Times New Roman" w:eastAsia="宋体" w:cs="Times New Roman"/>
          <w:color w:val="000000"/>
          <w:kern w:val="2"/>
          <w:sz w:val="24"/>
          <w:szCs w:val="24"/>
          <w:highlight w:val="yellow"/>
          <w:lang w:val="en-US" w:eastAsia="zh-CN" w:bidi="ar-SA"/>
        </w:rPr>
        <w:t>15</w:t>
      </w:r>
      <w:r>
        <w:rPr>
          <w:rFonts w:hint="default" w:ascii="Times New Roman" w:hAnsi="Times New Roman" w:eastAsia="宋体" w:cs="Times New Roman"/>
          <w:color w:val="000000"/>
          <w:kern w:val="2"/>
          <w:sz w:val="24"/>
          <w:szCs w:val="24"/>
          <w:highlight w:val="yellow"/>
          <w:lang w:val="en-US" w:eastAsia="zh-CN" w:bidi="ar-SA"/>
        </w:rPr>
        <w:t>天，每超一周，罚款合同总金额的0.5%，最多至5%。</w:t>
      </w:r>
    </w:p>
    <w:p w14:paraId="58CF95F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8.投标方负责设备的开箱及所有开箱后的垃圾清理。</w:t>
      </w:r>
    </w:p>
    <w:p w14:paraId="1F05DE1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color w:val="000000"/>
          <w:kern w:val="2"/>
          <w:sz w:val="24"/>
          <w:szCs w:val="24"/>
          <w:highlight w:val="yellow"/>
          <w:lang w:val="en-US" w:eastAsia="zh-CN" w:bidi="ar-SA"/>
        </w:rPr>
        <w:t>9.清点后如双方确定不进行安装，投标方负责进行设备的封装，保证设备不会因长期存放出现故障和损坏。</w:t>
      </w:r>
    </w:p>
    <w:p w14:paraId="422EB8AD">
      <w:pPr>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color w:val="000000"/>
          <w:kern w:val="2"/>
          <w:sz w:val="24"/>
          <w:szCs w:val="24"/>
          <w:highlight w:val="yellow"/>
          <w:lang w:val="en-US" w:eastAsia="zh-CN" w:bidi="ar-SA"/>
        </w:rPr>
        <w:t>10.系统所有涉及到的管路布置要求美观、整洁、大方，标识明确，固定可靠，并提供完整的管路布置图。</w:t>
      </w:r>
    </w:p>
    <w:p w14:paraId="64C14429">
      <w:pPr>
        <w:keepNext/>
        <w:keepLines/>
        <w:pageBreakBefore w:val="0"/>
        <w:kinsoku/>
        <w:wordWrap/>
        <w:overflowPunct/>
        <w:topLinePunct w:val="0"/>
        <w:bidi w:val="0"/>
        <w:spacing w:line="360" w:lineRule="auto"/>
        <w:ind w:firstLine="562" w:firstLineChars="200"/>
        <w:jc w:val="both"/>
        <w:outlineLvl w:val="1"/>
        <w:rPr>
          <w:rFonts w:hint="default" w:ascii="Times New Roman" w:hAnsi="Times New Roman" w:eastAsia="宋体" w:cs="Times New Roman"/>
          <w:b/>
          <w:bCs/>
          <w:kern w:val="44"/>
          <w:sz w:val="28"/>
          <w:szCs w:val="28"/>
          <w:highlight w:val="none"/>
        </w:rPr>
      </w:pPr>
      <w:r>
        <w:rPr>
          <w:rFonts w:hint="default" w:ascii="Times New Roman" w:hAnsi="Times New Roman" w:eastAsia="宋体" w:cs="Times New Roman"/>
          <w:b/>
          <w:bCs/>
          <w:kern w:val="44"/>
          <w:sz w:val="28"/>
          <w:szCs w:val="28"/>
          <w:highlight w:val="none"/>
        </w:rPr>
        <w:t>第四章质保期及售后服务</w:t>
      </w:r>
    </w:p>
    <w:p w14:paraId="54292C15">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一、质保期及质保要求</w:t>
      </w:r>
    </w:p>
    <w:p w14:paraId="3D6F33E5">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none"/>
          <w:u w:val="single"/>
        </w:rPr>
        <w:t>24</w:t>
      </w:r>
      <w:r>
        <w:rPr>
          <w:rFonts w:hint="default" w:ascii="Times New Roman" w:hAnsi="Times New Roman" w:eastAsia="宋体" w:cs="Times New Roman"/>
          <w:sz w:val="24"/>
          <w:szCs w:val="24"/>
          <w:highlight w:val="none"/>
        </w:rPr>
        <w:t>个月。</w:t>
      </w:r>
    </w:p>
    <w:p w14:paraId="5E6BC4FD">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投标货物或涉及的关键总成和零件，如果有更长时间质保期，允许更改并说明，此将有利于投标人。</w:t>
      </w:r>
    </w:p>
    <w:p w14:paraId="77A9C896">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设计使用寿命短于质保期的易损件除外，但属于易损件的，应当有明确说明。</w:t>
      </w:r>
    </w:p>
    <w:p w14:paraId="0A7EF45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2.质保期之内，如果货物出现设备、总成、关键零部件或者多处一般零部件的二次以上的更换或维修行为，则质保期自更换或维修行为结束、货物重新正常运行使用之日起重新计算。</w:t>
      </w:r>
    </w:p>
    <w:p w14:paraId="4FA8DF03">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3.质保期内免费提供零部件和及时有效的服务。质保期内因货物本身缺陷造成的各种故障，卖方应负责免费维修和服务。</w:t>
      </w:r>
    </w:p>
    <w:p w14:paraId="5DE4F82B">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4.质保期终止之日起</w:t>
      </w:r>
      <w:r>
        <w:rPr>
          <w:rFonts w:hint="default" w:ascii="Times New Roman" w:hAnsi="Times New Roman" w:eastAsia="宋体" w:cs="Times New Roman"/>
          <w:sz w:val="24"/>
          <w:szCs w:val="24"/>
          <w:highlight w:val="none"/>
          <w:u w:val="single"/>
        </w:rPr>
        <w:t>一年内</w:t>
      </w:r>
      <w:r>
        <w:rPr>
          <w:rFonts w:hint="default" w:ascii="Times New Roman" w:hAnsi="Times New Roman" w:eastAsia="宋体" w:cs="Times New Roman"/>
          <w:sz w:val="24"/>
          <w:szCs w:val="24"/>
          <w:highlight w:val="none"/>
        </w:rPr>
        <w:t>重复出现的质保期之内出现的故障，仍属质保范围而且应当免费。</w:t>
      </w:r>
    </w:p>
    <w:p w14:paraId="4F6A8D47">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二、技术及培训服务</w:t>
      </w:r>
    </w:p>
    <w:p w14:paraId="154987B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1.应负责在买方货物使用现场，对技术、维修和操作人员提供免费的理论、技术和操作、维修等方面的技术指导和培训，并接受买方有关人员的技术咨询。培训工作日不少于2个日历日。</w:t>
      </w:r>
      <w:r>
        <w:rPr>
          <w:rFonts w:hint="default" w:ascii="Times New Roman" w:hAnsi="Times New Roman" w:eastAsia="宋体" w:cs="Times New Roman"/>
          <w:sz w:val="24"/>
          <w:szCs w:val="24"/>
          <w:highlight w:val="none"/>
          <w:lang w:val="en-US" w:eastAsia="zh-CN"/>
        </w:rPr>
        <w:t>培训内容包括：</w:t>
      </w:r>
      <w:r>
        <w:rPr>
          <w:rFonts w:hint="default" w:ascii="Times New Roman" w:hAnsi="Times New Roman" w:eastAsia="宋体" w:cs="Times New Roman"/>
          <w:sz w:val="24"/>
          <w:szCs w:val="24"/>
          <w:highlight w:val="none"/>
        </w:rPr>
        <w:t>中央供气系统操作培训</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故障分析与排除。</w:t>
      </w:r>
    </w:p>
    <w:p w14:paraId="7BF0BBD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2.应免费提供一定数量的培训资料。</w:t>
      </w:r>
    </w:p>
    <w:p w14:paraId="5954F8D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3.应按要求免费积极协助和提供买方以及买方所委托的工程设计单位有关人员所需要的、与货物有关的工程设计资料、技术咨询等。</w:t>
      </w:r>
    </w:p>
    <w:p w14:paraId="27E6B4C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4.若卖方提供货物涉及到外购外协货物、而且该货物的技术质量等较为关键时，卖方应能保证得到配套厂家的技术支持，并免费为买方提供技术服务。</w:t>
      </w:r>
    </w:p>
    <w:p w14:paraId="58E9AF91">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kern w:val="2"/>
          <w:sz w:val="24"/>
          <w:szCs w:val="24"/>
          <w:highlight w:val="yellow"/>
          <w:lang w:val="en-US" w:eastAsia="zh-CN" w:bidi="ar-SA"/>
        </w:rPr>
      </w:pPr>
      <w:r>
        <w:rPr>
          <w:rFonts w:hint="default" w:ascii="Times New Roman" w:hAnsi="Times New Roman" w:eastAsia="宋体" w:cs="Times New Roman"/>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5E510BE">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highlight w:val="none"/>
        </w:rPr>
        <w:t>三、安装调试及验收服务</w:t>
      </w:r>
    </w:p>
    <w:p w14:paraId="5DE56E7D">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8555B9C">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14:paraId="20AFB7DB">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870BD5D">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7872AA3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5.卖方应当向买方提供货物试验、验收的有关标准、规范和方法，同时提供货物涉及并使用的软件合法性证明。</w:t>
      </w:r>
    </w:p>
    <w:p w14:paraId="2A3EA25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6.服务缺陷视同货物缺陷和履约延期。</w:t>
      </w:r>
    </w:p>
    <w:p w14:paraId="57BE2402">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四、售后服务</w:t>
      </w:r>
    </w:p>
    <w:p w14:paraId="48013893">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1.卖方提供的货物涉及的所有售后服务均由卖方负责。如果发生问题并且收到通知，卖方应当在2小时内予以答复。</w:t>
      </w:r>
    </w:p>
    <w:p w14:paraId="371046C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2.如发现所提供的货物存在问题，需要卖方解决或配合解决时：在质保期之内，应在接到通知后</w:t>
      </w:r>
      <w:r>
        <w:rPr>
          <w:rFonts w:hint="default" w:ascii="Times New Roman" w:hAnsi="Times New Roman" w:eastAsia="宋体" w:cs="Times New Roman"/>
          <w:color w:val="000000"/>
          <w:sz w:val="24"/>
          <w:szCs w:val="24"/>
          <w:highlight w:val="none"/>
          <w:u w:val="single"/>
          <w:shd w:val="pct10" w:color="auto" w:fill="FFFFFF"/>
        </w:rPr>
        <w:t>24</w:t>
      </w:r>
      <w:r>
        <w:rPr>
          <w:rFonts w:hint="default" w:ascii="Times New Roman" w:hAnsi="Times New Roman" w:eastAsia="宋体" w:cs="Times New Roman"/>
          <w:color w:val="000000"/>
          <w:sz w:val="24"/>
          <w:szCs w:val="24"/>
          <w:highlight w:val="none"/>
        </w:rPr>
        <w:t>小时内派有关人员到达现场；在质保期之外，应在接到通知后</w:t>
      </w:r>
      <w:r>
        <w:rPr>
          <w:rFonts w:hint="default" w:ascii="Times New Roman" w:hAnsi="Times New Roman" w:eastAsia="宋体" w:cs="Times New Roman"/>
          <w:color w:val="000000"/>
          <w:sz w:val="24"/>
          <w:szCs w:val="24"/>
          <w:highlight w:val="none"/>
          <w:u w:val="single"/>
          <w:shd w:val="pct10" w:color="auto" w:fill="FFFFFF"/>
        </w:rPr>
        <w:t>72</w:t>
      </w:r>
      <w:r>
        <w:rPr>
          <w:rFonts w:hint="default" w:ascii="Times New Roman" w:hAnsi="Times New Roman" w:eastAsia="宋体" w:cs="Times New Roman"/>
          <w:color w:val="000000"/>
          <w:sz w:val="24"/>
          <w:szCs w:val="24"/>
          <w:highlight w:val="none"/>
        </w:rPr>
        <w:t>小时内派有关人员到达现场。</w:t>
      </w:r>
    </w:p>
    <w:p w14:paraId="607CCA2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3.卖方派往买方使用现场的人员，应具有较高的业务素质；现场解决问题时，不得无故拖延或推迟，应为买方提供最佳的服务。</w:t>
      </w:r>
    </w:p>
    <w:p w14:paraId="27FC3A48">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五、其它服务</w:t>
      </w:r>
    </w:p>
    <w:p w14:paraId="0B8E29B0">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1.若卖方所提供货物有需要进口的，卖方一般应自行、自费办理；必要时，买卖双方共同办理。</w:t>
      </w:r>
    </w:p>
    <w:p w14:paraId="412DB841">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2.除招标文件、投标文件、答疑文件、技术标书、合同等约定之外，卖方应免费负责必要的或强制性的货物的检验、试验、化验等直接费用。</w:t>
      </w:r>
    </w:p>
    <w:p w14:paraId="53AC3B88">
      <w:pPr>
        <w:pageBreakBefore w:val="0"/>
        <w:kinsoku/>
        <w:overflowPunct/>
        <w:topLinePunct w:val="0"/>
        <w:bidi w:val="0"/>
        <w:spacing w:line="360" w:lineRule="auto"/>
        <w:ind w:left="0" w:leftChars="0" w:right="0" w:rightChars="0"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3.本章节条款所列“免费”，并非指定不可收费，而是指招标文件、投标文件、答疑文件、技术交流文件、技术标书和合同等范围之外，投标人不可另行收取的费用。</w:t>
      </w:r>
    </w:p>
    <w:p w14:paraId="77993CD7">
      <w:pPr>
        <w:pStyle w:val="16"/>
        <w:pageBreakBefore w:val="0"/>
        <w:kinsoku/>
        <w:overflowPunct/>
        <w:topLinePunct w:val="0"/>
        <w:bidi w:val="0"/>
        <w:spacing w:line="360" w:lineRule="auto"/>
        <w:ind w:left="0" w:leftChars="0" w:right="0" w:rightChars="0" w:firstLine="42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14:paraId="3A64EE61">
      <w:pPr>
        <w:keepNext/>
        <w:keepLines/>
        <w:pageBreakBefore w:val="0"/>
        <w:kinsoku/>
        <w:overflowPunct/>
        <w:topLinePunct w:val="0"/>
        <w:bidi w:val="0"/>
        <w:spacing w:line="360" w:lineRule="auto"/>
        <w:ind w:left="0" w:leftChars="0" w:right="0" w:rightChars="0" w:firstLine="562" w:firstLineChars="200"/>
        <w:jc w:val="both"/>
        <w:outlineLvl w:val="1"/>
        <w:rPr>
          <w:rFonts w:hint="default" w:ascii="Times New Roman" w:hAnsi="Times New Roman" w:eastAsia="宋体" w:cs="Times New Roman"/>
          <w:b/>
          <w:bCs/>
          <w:kern w:val="44"/>
          <w:sz w:val="28"/>
          <w:szCs w:val="28"/>
          <w:highlight w:val="none"/>
        </w:rPr>
      </w:pPr>
      <w:bookmarkStart w:id="44" w:name="_Toc465187646"/>
      <w:r>
        <w:rPr>
          <w:rFonts w:hint="default" w:ascii="Times New Roman" w:hAnsi="Times New Roman" w:eastAsia="宋体" w:cs="Times New Roman"/>
          <w:b/>
          <w:bCs/>
          <w:kern w:val="44"/>
          <w:sz w:val="28"/>
          <w:szCs w:val="28"/>
          <w:highlight w:val="none"/>
        </w:rPr>
        <w:t>第五章  预验收和终验收</w:t>
      </w:r>
      <w:bookmarkEnd w:id="44"/>
    </w:p>
    <w:p w14:paraId="5629A66E">
      <w:pPr>
        <w:keepNext/>
        <w:keepLines/>
        <w:pageBreakBefore w:val="0"/>
        <w:kinsoku/>
        <w:wordWrap/>
        <w:overflowPunct/>
        <w:topLinePunct w:val="0"/>
        <w:bidi w:val="0"/>
        <w:spacing w:line="360" w:lineRule="auto"/>
        <w:ind w:firstLine="562" w:firstLineChars="200"/>
        <w:jc w:val="both"/>
        <w:outlineLvl w:val="1"/>
        <w:rPr>
          <w:rFonts w:hint="default" w:ascii="Times New Roman" w:hAnsi="Times New Roman" w:eastAsia="宋体" w:cs="Times New Roman"/>
          <w:b/>
          <w:bCs/>
          <w:kern w:val="44"/>
          <w:sz w:val="28"/>
          <w:szCs w:val="28"/>
          <w:highlight w:val="none"/>
        </w:rPr>
      </w:pPr>
      <w:r>
        <w:rPr>
          <w:rFonts w:hint="default" w:ascii="Times New Roman" w:hAnsi="Times New Roman" w:eastAsia="宋体" w:cs="Times New Roman"/>
          <w:b/>
          <w:bCs/>
          <w:kern w:val="44"/>
          <w:sz w:val="28"/>
          <w:szCs w:val="28"/>
          <w:highlight w:val="none"/>
        </w:rPr>
        <w:t>第五章预验收和终验收</w:t>
      </w:r>
    </w:p>
    <w:p w14:paraId="5E0E3041">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一、验收依据和验收标准</w:t>
      </w:r>
    </w:p>
    <w:p w14:paraId="7B861671">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1.验收标准一般以技术标书和合同规定验收。无论技术标书和合同，是否全部并准确列明验收所涉及的相关标准，均作为验收标准之一。</w:t>
      </w:r>
    </w:p>
    <w:p w14:paraId="4DE136C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2.如果验收过程中，发现招标文件、投标文件、答疑文件、技术交流文件等与技术标书、合同存在差异，原则上以涉及条款中对买方最有利条款为验收依据。</w:t>
      </w:r>
    </w:p>
    <w:p w14:paraId="7C79089E">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二、检验</w:t>
      </w:r>
    </w:p>
    <w:p w14:paraId="701EE1A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0098F80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1.国产货物的检验一般由买卖双方共同进行或按照合同要求进行。</w:t>
      </w:r>
    </w:p>
    <w:p w14:paraId="43EB7C2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2.进口货物的检验，卖方需要按照下述要求进行：</w:t>
      </w:r>
    </w:p>
    <w:p w14:paraId="7B0940F9">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2.1进口货物发货前，应对货物的质量、型号、规格、性能和数量/重量作精密、全面的检验，并出具证明书，证明所供货物符合合同规定。</w:t>
      </w:r>
    </w:p>
    <w:p w14:paraId="43429B03">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2.2应依据合同规定的要求，提供买卖双方达成一致的货物的验收标准和装箱单，作为买方检验的依据。</w:t>
      </w:r>
    </w:p>
    <w:p w14:paraId="5899E220">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78B335C">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三、验收基本条件</w:t>
      </w:r>
    </w:p>
    <w:p w14:paraId="0C2EE716">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终验收在安装调试完成及试运行后的买方现场进行。</w:t>
      </w:r>
    </w:p>
    <w:p w14:paraId="3C7DD160">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买卖双方按照合同约定执行了合同，同时货物完成了试运行并经检验合格，则具备验收条件。</w:t>
      </w:r>
    </w:p>
    <w:p w14:paraId="5336849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1.预验收一般条件</w:t>
      </w:r>
    </w:p>
    <w:p w14:paraId="10EBACF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1.1卖方已经按照“供货范围”要求提供了预验收资料，并且资料齐全、完整和有效。</w:t>
      </w:r>
    </w:p>
    <w:p w14:paraId="799D4A9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1.2货物应完整且所有的零部件应该安装牢固，外观无损伤，所有的焊缝饱满、无残渣等缺陷。</w:t>
      </w:r>
    </w:p>
    <w:p w14:paraId="1CC626A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1.3货物的油漆质量应饱满、有光泽，无掉漆、无色差、无“桔皮”等不良现象（特殊标志除外）。</w:t>
      </w:r>
    </w:p>
    <w:p w14:paraId="7E784D3C">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1.4货物标牌完整、清晰、明确。</w:t>
      </w:r>
    </w:p>
    <w:p w14:paraId="28609CE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1.5货物的安全要求符合中国最新的相关法律、法规、标准和规范以及合同要求。</w:t>
      </w:r>
    </w:p>
    <w:p w14:paraId="792FA27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2.终验收一般条件</w:t>
      </w:r>
    </w:p>
    <w:p w14:paraId="666EC816">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Cs w:val="0"/>
          <w:color w:val="000000"/>
          <w:sz w:val="24"/>
          <w:szCs w:val="24"/>
          <w:highlight w:val="none"/>
        </w:rPr>
        <w:t>2.</w:t>
      </w:r>
      <w:r>
        <w:rPr>
          <w:rFonts w:hint="default" w:ascii="Times New Roman" w:hAnsi="Times New Roman" w:eastAsia="宋体" w:cs="Times New Roman"/>
          <w:bCs w:val="0"/>
          <w:color w:val="000000"/>
          <w:sz w:val="21"/>
          <w:szCs w:val="21"/>
          <w:highlight w:val="none"/>
        </w:rPr>
        <w:t>1</w:t>
      </w:r>
      <w:r>
        <w:rPr>
          <w:rFonts w:hint="default" w:ascii="Times New Roman" w:hAnsi="Times New Roman" w:eastAsia="宋体" w:cs="Times New Roman"/>
          <w:color w:val="000000"/>
          <w:sz w:val="24"/>
          <w:szCs w:val="24"/>
          <w:highlight w:val="none"/>
        </w:rPr>
        <w:t>卖方已经按照“供货范围”要求提供了预验收资料，并且资料齐全、完整和有效。货物标牌完整、清晰、明确。货物的安全要求符合中国最新的相关法律、法规、标准和规范以及合同要求</w:t>
      </w:r>
      <w:r>
        <w:rPr>
          <w:rFonts w:hint="default" w:ascii="Times New Roman" w:hAnsi="Times New Roman" w:eastAsia="宋体" w:cs="Times New Roman"/>
          <w:bCs w:val="0"/>
          <w:color w:val="000000"/>
          <w:sz w:val="24"/>
          <w:szCs w:val="24"/>
          <w:highlight w:val="none"/>
        </w:rPr>
        <w:t>。</w:t>
      </w:r>
    </w:p>
    <w:p w14:paraId="686E1D24">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2.2货物安装调试完毕，并至少经过了验收要求的负荷试运行。</w:t>
      </w:r>
    </w:p>
    <w:p w14:paraId="489B057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2.3货物正常运行时，噪声等环境影响因素满足国家和当地环保主管部门规定，安全措施落实、有效。</w:t>
      </w:r>
    </w:p>
    <w:p w14:paraId="45FB1B25">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2.4计量仪器、仪表配套合理，采用中国的法定计量单位，计量准确、灵敏可靠。保证设计指标和仪器说明书的参数的实现（提供合格证或第三方鉴定文件）。</w:t>
      </w:r>
    </w:p>
    <w:p w14:paraId="55039422">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2.5试运行期间或之后无维修、调整等行为（特殊情况除外）。</w:t>
      </w:r>
    </w:p>
    <w:p w14:paraId="3299355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2.6货物质量、技术性能等，达到签定的技术标书和合同规定的终验收标准。</w:t>
      </w:r>
    </w:p>
    <w:p w14:paraId="7DC1F3B9">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3.终验收基本要求</w:t>
      </w:r>
    </w:p>
    <w:p w14:paraId="77206834">
      <w:pPr>
        <w:pageBreakBefore w:val="0"/>
        <w:kinsoku/>
        <w:wordWrap/>
        <w:overflowPunct/>
        <w:topLinePunct w:val="0"/>
        <w:bidi w:val="0"/>
        <w:adjustRightInd/>
        <w:snapToGrid/>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3.1设备使用验证：设备系统连续稳定一周以上，无系统、软件、通讯故障等报警。</w:t>
      </w:r>
    </w:p>
    <w:p w14:paraId="3254A84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3.2进行</w:t>
      </w:r>
      <w:r>
        <w:rPr>
          <w:rFonts w:hint="default" w:ascii="Times New Roman" w:hAnsi="Times New Roman" w:eastAsia="宋体" w:cs="Times New Roman"/>
          <w:color w:val="000000"/>
          <w:sz w:val="24"/>
          <w:szCs w:val="24"/>
          <w:highlight w:val="none"/>
        </w:rPr>
        <w:t>外观检查</w:t>
      </w:r>
    </w:p>
    <w:p w14:paraId="11AD9F2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a）管道走线要横平竖直。管道均固定牢固。</w:t>
      </w:r>
    </w:p>
    <w:p w14:paraId="7E2232A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b）管道外表面无明显破损。</w:t>
      </w:r>
    </w:p>
    <w:p w14:paraId="02C6369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c）各个管阀件无明显破损。</w:t>
      </w:r>
    </w:p>
    <w:p w14:paraId="063E20A0">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d)集装箱</w:t>
      </w:r>
      <w:r>
        <w:rPr>
          <w:rFonts w:hint="default" w:ascii="Times New Roman" w:hAnsi="Times New Roman" w:eastAsia="宋体" w:cs="Times New Roman"/>
          <w:color w:val="000000"/>
          <w:sz w:val="24"/>
          <w:szCs w:val="24"/>
          <w:highlight w:val="none"/>
          <w:lang w:val="en-US" w:eastAsia="zh-CN"/>
        </w:rPr>
        <w:t>式</w:t>
      </w:r>
      <w:r>
        <w:rPr>
          <w:rFonts w:hint="default" w:ascii="Times New Roman" w:hAnsi="Times New Roman" w:eastAsia="宋体" w:cs="Times New Roman"/>
          <w:color w:val="000000"/>
          <w:sz w:val="24"/>
          <w:szCs w:val="24"/>
          <w:highlight w:val="none"/>
          <w:lang w:eastAsia="zh-CN"/>
        </w:rPr>
        <w:t>气瓶间</w:t>
      </w:r>
      <w:r>
        <w:rPr>
          <w:rFonts w:hint="default" w:ascii="Times New Roman" w:hAnsi="Times New Roman" w:eastAsia="宋体" w:cs="Times New Roman"/>
          <w:color w:val="000000"/>
          <w:sz w:val="24"/>
          <w:szCs w:val="24"/>
          <w:highlight w:val="none"/>
        </w:rPr>
        <w:t>应符合设计要求。安全性能满足国家相关标准的要求。</w:t>
      </w:r>
    </w:p>
    <w:p w14:paraId="5C192532">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e)集装箱</w:t>
      </w:r>
      <w:r>
        <w:rPr>
          <w:rFonts w:hint="default" w:ascii="Times New Roman" w:hAnsi="Times New Roman" w:eastAsia="宋体" w:cs="Times New Roman"/>
          <w:color w:val="000000"/>
          <w:sz w:val="24"/>
          <w:szCs w:val="24"/>
          <w:highlight w:val="none"/>
          <w:lang w:val="en-US" w:eastAsia="zh-CN"/>
        </w:rPr>
        <w:t>式</w:t>
      </w:r>
      <w:r>
        <w:rPr>
          <w:rFonts w:hint="default" w:ascii="Times New Roman" w:hAnsi="Times New Roman" w:eastAsia="宋体" w:cs="Times New Roman"/>
          <w:color w:val="000000"/>
          <w:sz w:val="24"/>
          <w:szCs w:val="24"/>
          <w:highlight w:val="none"/>
          <w:lang w:eastAsia="zh-CN"/>
        </w:rPr>
        <w:t>气瓶间</w:t>
      </w:r>
      <w:r>
        <w:rPr>
          <w:rFonts w:hint="default" w:ascii="Times New Roman" w:hAnsi="Times New Roman" w:eastAsia="宋体" w:cs="Times New Roman"/>
          <w:color w:val="000000"/>
          <w:sz w:val="24"/>
          <w:szCs w:val="24"/>
          <w:highlight w:val="none"/>
        </w:rPr>
        <w:t>外观无明显破损。</w:t>
      </w:r>
    </w:p>
    <w:p w14:paraId="36A11973">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f)集装箱</w:t>
      </w:r>
      <w:r>
        <w:rPr>
          <w:rFonts w:hint="default" w:ascii="Times New Roman" w:hAnsi="Times New Roman" w:eastAsia="宋体" w:cs="Times New Roman"/>
          <w:color w:val="000000"/>
          <w:sz w:val="24"/>
          <w:szCs w:val="24"/>
          <w:highlight w:val="none"/>
          <w:lang w:val="en-US" w:eastAsia="zh-CN"/>
        </w:rPr>
        <w:t>式</w:t>
      </w:r>
      <w:r>
        <w:rPr>
          <w:rFonts w:hint="default" w:ascii="Times New Roman" w:hAnsi="Times New Roman" w:eastAsia="宋体" w:cs="Times New Roman"/>
          <w:color w:val="000000"/>
          <w:sz w:val="24"/>
          <w:szCs w:val="24"/>
          <w:highlight w:val="none"/>
          <w:lang w:eastAsia="zh-CN"/>
        </w:rPr>
        <w:t>气瓶间</w:t>
      </w:r>
      <w:r>
        <w:rPr>
          <w:rFonts w:hint="default" w:ascii="Times New Roman" w:hAnsi="Times New Roman" w:eastAsia="宋体" w:cs="Times New Roman"/>
          <w:color w:val="000000"/>
          <w:sz w:val="24"/>
          <w:szCs w:val="24"/>
          <w:highlight w:val="none"/>
        </w:rPr>
        <w:t>防爆风机、照明等设备功能正常，参数满足使用要求。</w:t>
      </w:r>
    </w:p>
    <w:p w14:paraId="25CBDE05">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2系统耐压实验</w:t>
      </w:r>
    </w:p>
    <w:p w14:paraId="31AC7E2C">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试验</w:t>
      </w:r>
      <w:r>
        <w:rPr>
          <w:rFonts w:hint="default" w:ascii="Times New Roman" w:hAnsi="Times New Roman" w:eastAsia="宋体" w:cs="Times New Roman"/>
          <w:color w:val="000000"/>
          <w:sz w:val="24"/>
          <w:szCs w:val="24"/>
          <w:highlight w:val="none"/>
        </w:rPr>
        <w:t>方法：系统内充入高纯氮气至工作压力的1.15倍最高不得超过0.99Mpa</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关闭所有阀门</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经过10分钟后系统不产生任何形变，即为合格。</w:t>
      </w:r>
    </w:p>
    <w:p w14:paraId="7B807247">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3.气密性实验</w:t>
      </w:r>
    </w:p>
    <w:p w14:paraId="254FEEE4">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lang w:val="en-US" w:eastAsia="zh-CN"/>
        </w:rPr>
        <w:t>试</w:t>
      </w:r>
      <w:r>
        <w:rPr>
          <w:rFonts w:hint="default" w:ascii="Times New Roman" w:hAnsi="Times New Roman" w:eastAsia="宋体" w:cs="Times New Roman"/>
          <w:color w:val="000000"/>
          <w:sz w:val="24"/>
          <w:szCs w:val="24"/>
          <w:highlight w:val="none"/>
        </w:rPr>
        <w:t>验方法：系统内充入高纯氮气至工作压力的1.15倍最高不得超过0.99Mpa</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关闭所有阀门</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用检漏液对所有的接口部位及可能有外漏的部位进行检测，没有泄漏为合格。</w:t>
      </w:r>
    </w:p>
    <w:p w14:paraId="4557749B">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4.泄漏量实验</w:t>
      </w:r>
    </w:p>
    <w:p w14:paraId="73D22BC8">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sz w:val="24"/>
          <w:szCs w:val="24"/>
          <w:highlight w:val="none"/>
          <w:lang w:val="en-US" w:eastAsia="zh-CN"/>
        </w:rPr>
        <w:t>试</w:t>
      </w:r>
      <w:r>
        <w:rPr>
          <w:rFonts w:hint="default" w:ascii="Times New Roman" w:hAnsi="Times New Roman" w:eastAsia="宋体" w:cs="Times New Roman"/>
          <w:color w:val="000000"/>
          <w:sz w:val="24"/>
          <w:szCs w:val="24"/>
          <w:highlight w:val="none"/>
        </w:rPr>
        <w:t>验方法：系统内充入高纯氮气至工作压力</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关闭所有阀门</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经过24小时后系统的泄漏率不得超过1%。</w:t>
      </w:r>
    </w:p>
    <w:p w14:paraId="7612D44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3.2出现下列问题之一，视作验收失败：</w:t>
      </w:r>
    </w:p>
    <w:p w14:paraId="3A3DEB5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3.2.1终验收时，其参数无法满足招标书中的技术要求。</w:t>
      </w:r>
    </w:p>
    <w:p w14:paraId="0A84043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3.2.2在整个验收过程中发生关键零部件损坏或重大故障；</w:t>
      </w:r>
    </w:p>
    <w:p w14:paraId="7961FDBE">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3.2.3一般性故障超过2次；</w:t>
      </w:r>
    </w:p>
    <w:p w14:paraId="19E28E94">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3.2.4更换的零部件货值超过总货值的1%。</w:t>
      </w:r>
    </w:p>
    <w:p w14:paraId="795D8663">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3.2.5系统未通过气密性试验、耐压试验、泄漏量试验。</w:t>
      </w:r>
    </w:p>
    <w:p w14:paraId="5A515B3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3.3累计负载运行实际性能（或生产率）达不到合同规定；</w:t>
      </w:r>
    </w:p>
    <w:p w14:paraId="70FA34E0">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3.4终验收原则上要求一次完成。若一次验收不成功，最多允许两次；如果出现第三次验收失败，重新作价或退货；</w:t>
      </w:r>
    </w:p>
    <w:p w14:paraId="1EA73BA1">
      <w:pPr>
        <w:pageBreakBefore w:val="0"/>
        <w:kinsoku/>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highlight w:val="none"/>
        </w:rPr>
        <w:t>3.5终验收通过后买卖双方共同签署终验收报告，并移交、核对全部供货范围内物品。</w:t>
      </w:r>
    </w:p>
    <w:p w14:paraId="50CEEEB2">
      <w:pPr>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14:paraId="1F352D66">
      <w:pPr>
        <w:pStyle w:val="130"/>
        <w:pageBreakBefore w:val="0"/>
        <w:kinsoku/>
        <w:wordWrap/>
        <w:overflowPunct/>
        <w:topLinePunct w:val="0"/>
        <w:bidi w:val="0"/>
        <w:spacing w:line="360" w:lineRule="auto"/>
        <w:ind w:firstLine="562" w:firstLineChars="200"/>
        <w:jc w:val="both"/>
        <w:outlineLvl w:val="1"/>
        <w:rPr>
          <w:rFonts w:hint="default" w:ascii="Times New Roman" w:hAnsi="Times New Roman" w:eastAsia="宋体" w:cs="Times New Roman"/>
          <w:b/>
          <w:bCs w:val="0"/>
          <w:iCs/>
          <w:color w:val="auto"/>
          <w:sz w:val="28"/>
          <w:highlight w:val="none"/>
        </w:rPr>
      </w:pPr>
      <w:bookmarkStart w:id="45" w:name="_Toc465187647"/>
      <w:r>
        <w:rPr>
          <w:rFonts w:hint="default" w:ascii="Times New Roman" w:hAnsi="Times New Roman" w:eastAsia="宋体" w:cs="Times New Roman"/>
          <w:b/>
          <w:bCs w:val="0"/>
          <w:iCs/>
          <w:color w:val="auto"/>
          <w:sz w:val="28"/>
          <w:highlight w:val="none"/>
        </w:rPr>
        <w:t>第六章投标技术文件一般要求</w:t>
      </w:r>
      <w:bookmarkEnd w:id="45"/>
    </w:p>
    <w:p w14:paraId="3632FAA6">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一、技术文件一般内容要求</w:t>
      </w:r>
    </w:p>
    <w:p w14:paraId="55C323BF">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1.投标人应认真阅读招标文件和本技术标书，并按要求编写投标技术文件。</w:t>
      </w:r>
    </w:p>
    <w:p w14:paraId="0ADF07F2">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2.投标技术文件至少应对投标货物的功能用途、技术性能、质量标准、技术参数等作出详细说明。</w:t>
      </w:r>
    </w:p>
    <w:p w14:paraId="07A971B1">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3.投标技术文件至少应根据投标货物的关键设备、总成、零部件或系统作出满足或优于招标文件要求的详细说明。</w:t>
      </w:r>
    </w:p>
    <w:p w14:paraId="212C225D">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4.投标技术文件至少应按照招标文件要求（或投标人建议）列明备品备件、易损件和专用耗材明细。</w:t>
      </w:r>
    </w:p>
    <w:p w14:paraId="2705AFD8">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5.投标人应当而且必须分别说明所列备品备件、易损件和专用耗材的使用寿命（以有效工作小时数说明）。</w:t>
      </w:r>
    </w:p>
    <w:p w14:paraId="6BA7D38A">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6.投标的货物，应当根据其配置和备品备件、易损件、专用耗材情况，尽可能详细且分类填入下表：</w:t>
      </w:r>
    </w:p>
    <w:p w14:paraId="09B3255C">
      <w:pPr>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6.1备品备件、易损件和专用耗材明细表：</w:t>
      </w:r>
    </w:p>
    <w:p w14:paraId="4FD6761F">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备品备件、易损件和专用耗材明细表单位：元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45A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6AC0300">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序号</w:t>
            </w:r>
          </w:p>
        </w:tc>
        <w:tc>
          <w:tcPr>
            <w:tcW w:w="1924" w:type="dxa"/>
          </w:tcPr>
          <w:p w14:paraId="161FCE61">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名称</w:t>
            </w:r>
          </w:p>
        </w:tc>
        <w:tc>
          <w:tcPr>
            <w:tcW w:w="1236" w:type="dxa"/>
          </w:tcPr>
          <w:p w14:paraId="53B6FD6B">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型号规格</w:t>
            </w:r>
          </w:p>
        </w:tc>
        <w:tc>
          <w:tcPr>
            <w:tcW w:w="720" w:type="dxa"/>
          </w:tcPr>
          <w:p w14:paraId="0069DE20">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单位</w:t>
            </w:r>
          </w:p>
        </w:tc>
        <w:tc>
          <w:tcPr>
            <w:tcW w:w="720" w:type="dxa"/>
          </w:tcPr>
          <w:p w14:paraId="4E646BA6">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数量</w:t>
            </w:r>
          </w:p>
        </w:tc>
        <w:tc>
          <w:tcPr>
            <w:tcW w:w="720" w:type="dxa"/>
          </w:tcPr>
          <w:p w14:paraId="57220EB9">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单价</w:t>
            </w:r>
          </w:p>
        </w:tc>
        <w:tc>
          <w:tcPr>
            <w:tcW w:w="720" w:type="dxa"/>
          </w:tcPr>
          <w:p w14:paraId="63307236">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总价</w:t>
            </w:r>
          </w:p>
        </w:tc>
        <w:tc>
          <w:tcPr>
            <w:tcW w:w="2235" w:type="dxa"/>
          </w:tcPr>
          <w:p w14:paraId="42CA80E0">
            <w:pPr>
              <w:pageBreakBefore w:val="0"/>
              <w:kinsoku/>
              <w:wordWrap/>
              <w:overflowPunct/>
              <w:topLinePunct w:val="0"/>
              <w:bidi w:val="0"/>
              <w:adjustRightInd w:val="0"/>
              <w:snapToGrid w:val="0"/>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制造商</w:t>
            </w:r>
          </w:p>
        </w:tc>
      </w:tr>
      <w:tr w14:paraId="22F2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D9CC9AD">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924" w:type="dxa"/>
          </w:tcPr>
          <w:p w14:paraId="7A0B06FA">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236" w:type="dxa"/>
          </w:tcPr>
          <w:p w14:paraId="570C28FA">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2738FEBF">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61A9DDC0">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52FE7EA7">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070CB12C">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2235" w:type="dxa"/>
          </w:tcPr>
          <w:p w14:paraId="3490F8C6">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r>
      <w:tr w14:paraId="5B9B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C92A5A">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924" w:type="dxa"/>
          </w:tcPr>
          <w:p w14:paraId="0D805BA4">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236" w:type="dxa"/>
          </w:tcPr>
          <w:p w14:paraId="337410A0">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0039ED50">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38139EA8">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283EB513">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447653F9">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2235" w:type="dxa"/>
          </w:tcPr>
          <w:p w14:paraId="19CCFE7B">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r>
      <w:tr w14:paraId="1BA8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C1CF313">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924" w:type="dxa"/>
          </w:tcPr>
          <w:p w14:paraId="2CC23FF1">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236" w:type="dxa"/>
          </w:tcPr>
          <w:p w14:paraId="32611F88">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73FAC49C">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41039142">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753719A2">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4095F718">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2235" w:type="dxa"/>
          </w:tcPr>
          <w:p w14:paraId="6BE06489">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r>
      <w:tr w14:paraId="127A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950678">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924" w:type="dxa"/>
          </w:tcPr>
          <w:p w14:paraId="13291B3C">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236" w:type="dxa"/>
          </w:tcPr>
          <w:p w14:paraId="7525A6E3">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29B90D44">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424156D8">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53712728">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56C59FEA">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2235" w:type="dxa"/>
          </w:tcPr>
          <w:p w14:paraId="0452349C">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r>
      <w:tr w14:paraId="6A78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5A7AFA">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924" w:type="dxa"/>
          </w:tcPr>
          <w:p w14:paraId="4E30FAEF">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236" w:type="dxa"/>
          </w:tcPr>
          <w:p w14:paraId="1AC5F54F">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525D65D5">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26194FBB">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5F0C88B6">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7225A852">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2235" w:type="dxa"/>
          </w:tcPr>
          <w:p w14:paraId="4F054031">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r>
      <w:tr w14:paraId="7947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08F993">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924" w:type="dxa"/>
          </w:tcPr>
          <w:p w14:paraId="0FF77FC2">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1236" w:type="dxa"/>
          </w:tcPr>
          <w:p w14:paraId="2FC49CA5">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48C71791">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1568789D">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534DD0C1">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720" w:type="dxa"/>
          </w:tcPr>
          <w:p w14:paraId="00A6316E">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c>
          <w:tcPr>
            <w:tcW w:w="2235" w:type="dxa"/>
          </w:tcPr>
          <w:p w14:paraId="116125AC">
            <w:pPr>
              <w:pageBreakBefore w:val="0"/>
              <w:kinsoku/>
              <w:wordWrap/>
              <w:overflowPunct/>
              <w:topLinePunct w:val="0"/>
              <w:bidi w:val="0"/>
              <w:adjustRightInd w:val="0"/>
              <w:snapToGrid w:val="0"/>
              <w:spacing w:line="360" w:lineRule="auto"/>
              <w:ind w:firstLine="420" w:firstLineChars="200"/>
              <w:jc w:val="both"/>
              <w:rPr>
                <w:rFonts w:hint="default" w:ascii="Times New Roman" w:hAnsi="Times New Roman" w:eastAsia="宋体" w:cs="Times New Roman"/>
                <w:highlight w:val="none"/>
              </w:rPr>
            </w:pPr>
          </w:p>
        </w:tc>
      </w:tr>
    </w:tbl>
    <w:p w14:paraId="0361303D">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6.2“开标一览表”和“明细表”仅作为投标人编制投标技术文件的一般格式。其中序号编写应当便于招标人了解分类或分项货物之间的所属关系，如1、1.1、1.2；</w:t>
      </w:r>
    </w:p>
    <w:p w14:paraId="6A899453">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6.3应当尽可能将货物的配置列全、列细，这将有助于投标人胜出；</w:t>
      </w:r>
    </w:p>
    <w:p w14:paraId="2DF385B5">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6.4单价与总价之间、总价与分类小计价之间、分类小计价与合计价之间数据应当齐全而且准确；</w:t>
      </w:r>
    </w:p>
    <w:p w14:paraId="2476ABF6">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6.5本条款表格中的制造商，应当为全称或公认的简称。</w:t>
      </w:r>
    </w:p>
    <w:p w14:paraId="38358BDD">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二、技术文件中货物报价格式要求</w:t>
      </w:r>
    </w:p>
    <w:p w14:paraId="6928F8D5">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A1AF20B">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2.如果投标总报价与其它价格出现错误或不一致，将有可能导致废标。</w:t>
      </w:r>
    </w:p>
    <w:p w14:paraId="19B725BC">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7988F794">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4.备品备件、易损件和专用耗材，招标人将可能与投标人按照投标价格另行签署供货合同。</w:t>
      </w:r>
    </w:p>
    <w:p w14:paraId="28F7763B">
      <w:pPr>
        <w:pageBreakBefore w:val="0"/>
        <w:kinsoku/>
        <w:wordWrap/>
        <w:overflowPunct/>
        <w:topLinePunct w:val="0"/>
        <w:bidi w:val="0"/>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5.要求投标总报价、分项报价、明细报价之间应当具有相互间对应关系以及填报分项和明细报价，仅为便于评标而不妨碍投标人以最合适的形式签署合同。</w:t>
      </w:r>
    </w:p>
    <w:p w14:paraId="60B8838C">
      <w:pPr>
        <w:pStyle w:val="117"/>
        <w:pageBreakBefore w:val="0"/>
        <w:kinsoku/>
        <w:wordWrap/>
        <w:overflowPunct/>
        <w:topLinePunct w:val="0"/>
        <w:bidi w:val="0"/>
        <w:spacing w:line="360" w:lineRule="auto"/>
        <w:ind w:firstLine="482"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三、验收标准及内容要求</w:t>
      </w:r>
    </w:p>
    <w:p w14:paraId="2EEF7486">
      <w:pPr>
        <w:pStyle w:val="2"/>
        <w:spacing w:before="120" w:after="120" w:line="360" w:lineRule="auto"/>
        <w:ind w:firstLine="480" w:firstLineChars="200"/>
        <w:jc w:val="both"/>
        <w:rPr>
          <w:rFonts w:hint="default" w:ascii="Times New Roman" w:hAnsi="Times New Roman" w:eastAsia="宋体" w:cs="Times New Roman"/>
          <w:b w:val="0"/>
          <w:bCs w:val="0"/>
          <w:kern w:val="2"/>
          <w:sz w:val="24"/>
          <w:szCs w:val="24"/>
          <w:highlight w:val="none"/>
          <w:lang w:val="en-US" w:eastAsia="zh-CN" w:bidi="ar-SA"/>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r>
        <w:rPr>
          <w:rFonts w:hint="default" w:ascii="Times New Roman" w:hAnsi="Times New Roman" w:eastAsia="宋体" w:cs="Times New Roman"/>
          <w:b w:val="0"/>
          <w:bCs w:val="0"/>
          <w:kern w:val="2"/>
          <w:sz w:val="24"/>
          <w:szCs w:val="24"/>
          <w:highlight w:val="none"/>
          <w:lang w:val="en-US" w:eastAsia="zh-CN" w:bidi="ar-SA"/>
        </w:rPr>
        <w:t>除招标文件明确的验收标准或内容之外，投标人应当在投标文件中提供预验收（必要时）和终验收的标准以及规程；在合同签定之前，经投标人和招标人双方洽谈确认并签署，以作为验收标准执行。</w:t>
      </w:r>
    </w:p>
    <w:p w14:paraId="01B4D184">
      <w:pPr>
        <w:pStyle w:val="130"/>
        <w:pageBreakBefore w:val="0"/>
        <w:kinsoku/>
        <w:wordWrap/>
        <w:overflowPunct/>
        <w:topLinePunct w:val="0"/>
        <w:bidi w:val="0"/>
        <w:spacing w:line="360" w:lineRule="auto"/>
        <w:jc w:val="both"/>
        <w:outlineLvl w:val="1"/>
        <w:rPr>
          <w:rFonts w:hint="default" w:ascii="Times New Roman" w:hAnsi="Times New Roman" w:eastAsia="宋体" w:cs="Times New Roman"/>
          <w:b/>
          <w:bCs w:val="0"/>
          <w:iCs/>
          <w:color w:val="auto"/>
          <w:sz w:val="28"/>
          <w:szCs w:val="22"/>
          <w:highlight w:val="none"/>
        </w:rPr>
      </w:pPr>
      <w:r>
        <w:rPr>
          <w:rFonts w:hint="default" w:ascii="Times New Roman" w:hAnsi="Times New Roman" w:eastAsia="宋体" w:cs="Times New Roman"/>
          <w:b/>
          <w:bCs w:val="0"/>
          <w:iCs/>
          <w:color w:val="auto"/>
          <w:sz w:val="28"/>
          <w:szCs w:val="22"/>
          <w:highlight w:val="none"/>
        </w:rPr>
        <w:t>第七章其它要求及说明</w:t>
      </w:r>
    </w:p>
    <w:p w14:paraId="537A38DA">
      <w:pPr>
        <w:pStyle w:val="117"/>
        <w:pageBreakBefore w:val="0"/>
        <w:kinsoku/>
        <w:wordWrap/>
        <w:overflowPunct/>
        <w:topLinePunct w:val="0"/>
        <w:bidi w:val="0"/>
        <w:spacing w:line="360"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一、要求</w:t>
      </w:r>
    </w:p>
    <w:p w14:paraId="5619C6A3">
      <w:pPr>
        <w:pStyle w:val="19"/>
        <w:pageBreakBefore w:val="0"/>
        <w:kinsoku/>
        <w:wordWrap/>
        <w:overflowPunct/>
        <w:topLinePunct w:val="0"/>
        <w:bidi w:val="0"/>
        <w:spacing w:after="0" w:line="360" w:lineRule="auto"/>
        <w:ind w:left="0" w:leftChars="0"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为保证本技术标书所列采购货物的质量以及先进性、可靠性、经济性和实用性，要求投标人在投标文件中，至少应具备以下资格证明文件或资料：</w:t>
      </w:r>
    </w:p>
    <w:p w14:paraId="48277CFD">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5B77EB14">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2.投标人应当是通过有关资格认证的法人。应当在投标文件中提供有效期内的资格认证证书，如：ISO9001、VDA6.1、QS9000等。</w:t>
      </w:r>
    </w:p>
    <w:p w14:paraId="79D63D25">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3.国产设备应附有采购货物（或设备）涉及的由“中国质量认证中心”颁发的《中国国家强制性产品认证证书》（CCC证书）。</w:t>
      </w:r>
    </w:p>
    <w:p w14:paraId="59E65B48">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4.应附有其它与投标人、采购货物有关的荣誉证书或资料。</w:t>
      </w:r>
    </w:p>
    <w:p w14:paraId="58740D89">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5.必须附有投标货物涉及产品要求的、国家或行业管理规定要求的、或者投标人认为能够体现其投标货物合法性及先进性的最高级别的证明材料（投标货物不涉及的除外）：</w:t>
      </w:r>
    </w:p>
    <w:p w14:paraId="4E1087FF">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5.1国家相关机构颁发的有效期之内所必需的《生产许可证》；</w:t>
      </w:r>
    </w:p>
    <w:p w14:paraId="0B5E7D70">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5.2产品（或技术）鉴定报告/证书、专利证书或专利许可证书、新技术成果证书等；</w:t>
      </w:r>
    </w:p>
    <w:p w14:paraId="44690231">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5.3产品相关检验、试验报告，如：型式试验检验报告、安全试验检验报告、电弧效应试验报告、噪声检测报告等；</w:t>
      </w:r>
    </w:p>
    <w:p w14:paraId="1E720DE2">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5.4其它能够证明所供货物的质量水平、技术水平、安全性水平、节能性水平、环保性水平等相关的其它证明文件或资料、报告等；</w:t>
      </w:r>
    </w:p>
    <w:p w14:paraId="38027E01">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5.5该类报告或证明材料对于投标人胜出乃至中标极为重要！</w:t>
      </w:r>
    </w:p>
    <w:p w14:paraId="072633FF">
      <w:pPr>
        <w:pageBreakBefore w:val="0"/>
        <w:numPr>
          <w:ilvl w:val="255"/>
          <w:numId w:val="0"/>
        </w:numPr>
        <w:kinsoku/>
        <w:wordWrap/>
        <w:overflowPunct/>
        <w:topLinePunct w:val="0"/>
        <w:bidi w:val="0"/>
        <w:spacing w:line="360" w:lineRule="auto"/>
        <w:ind w:firstLine="482"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b/>
          <w:sz w:val="24"/>
          <w:szCs w:val="24"/>
          <w:highlight w:val="none"/>
        </w:rPr>
        <w:t>6.必须附有：</w:t>
      </w:r>
      <w:r>
        <w:rPr>
          <w:rFonts w:hint="default" w:ascii="Times New Roman" w:hAnsi="Times New Roman" w:eastAsia="宋体" w:cs="Times New Roman"/>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63A956F">
      <w:pPr>
        <w:pStyle w:val="117"/>
        <w:pageBreakBefore w:val="0"/>
        <w:kinsoku/>
        <w:wordWrap/>
        <w:overflowPunct/>
        <w:topLinePunct w:val="0"/>
        <w:bidi w:val="0"/>
        <w:spacing w:line="360" w:lineRule="auto"/>
        <w:ind w:firstLine="482" w:firstLineChars="200"/>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rPr>
        <w:t>二、其他</w:t>
      </w:r>
    </w:p>
    <w:p w14:paraId="049875BE">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26FFAAB5">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2.即使有建议意见或建议方案，仍应依据招标文件和本技术标书要求，编写符合要求的投标文件。建议方案或建议意见，应以单独篇章或文件，予以说明和报价。</w:t>
      </w:r>
    </w:p>
    <w:p w14:paraId="34B7CBAF">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65945073">
      <w:pPr>
        <w:pageBreakBefore w:val="0"/>
        <w:kinsoku/>
        <w:wordWrap/>
        <w:overflowPunct/>
        <w:topLinePunct w:val="0"/>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4.招标文件、投标文件、答疑文件、技术交流文件、技术标书等，在采购过程全部为有效文件，如有差异，以对招标人最有利的条款为准。</w:t>
      </w:r>
    </w:p>
    <w:p w14:paraId="4CFF358C">
      <w:pPr>
        <w:spacing w:line="360" w:lineRule="auto"/>
        <w:ind w:firstLine="480" w:firstLineChars="200"/>
        <w:jc w:val="both"/>
        <w:rPr>
          <w:rFonts w:hint="default" w:ascii="Times New Roman" w:hAnsi="Times New Roman" w:eastAsia="宋体" w:cs="Times New Roman"/>
          <w:sz w:val="24"/>
          <w:szCs w:val="24"/>
        </w:rPr>
        <w:sectPr>
          <w:pgSz w:w="11907" w:h="16840"/>
          <w:pgMar w:top="1304" w:right="1418" w:bottom="1304" w:left="1418" w:header="724" w:footer="851" w:gutter="0"/>
          <w:cols w:space="720" w:num="1"/>
          <w:docGrid w:linePitch="290" w:charSpace="-3931"/>
        </w:sectPr>
      </w:pPr>
      <w:r>
        <w:rPr>
          <w:rFonts w:hint="default" w:ascii="Times New Roman" w:hAnsi="Times New Roman" w:eastAsia="宋体" w:cs="Times New Roman"/>
          <w:kern w:val="2"/>
          <w:sz w:val="24"/>
          <w:szCs w:val="24"/>
          <w:highlight w:val="none"/>
          <w:lang w:val="en-US" w:eastAsia="zh-CN" w:bidi="ar-SA"/>
        </w:rPr>
        <w:t>5.为避免歧义，本技术标书涉及招投标环节的条款，均将潜在的卖方称为投标人、将买方称为招标人；定标后合同签署环节以及后续的合同执行环节条款，招标人称为买方、投标人中的中标方称为卖方</w:t>
      </w:r>
      <w:r>
        <w:rPr>
          <w:rFonts w:hint="default" w:ascii="Times New Roman" w:hAnsi="Times New Roman" w:eastAsia="宋体" w:cs="Times New Roman"/>
          <w:sz w:val="24"/>
          <w:szCs w:val="24"/>
        </w:rPr>
        <w:t>。</w:t>
      </w:r>
    </w:p>
    <w:bookmarkEnd w:id="33"/>
    <w:bookmarkEnd w:id="34"/>
    <w:bookmarkEnd w:id="35"/>
    <w:bookmarkEnd w:id="36"/>
    <w:bookmarkEnd w:id="37"/>
    <w:bookmarkEnd w:id="38"/>
    <w:bookmarkEnd w:id="39"/>
    <w:p w14:paraId="7C407044">
      <w:pPr>
        <w:spacing w:line="360" w:lineRule="auto"/>
        <w:jc w:val="both"/>
        <w:outlineLvl w:val="0"/>
        <w:rPr>
          <w:rFonts w:hint="eastAsia" w:ascii="宋体" w:hAnsi="宋体" w:eastAsia="宋体" w:cs="Times New Roman"/>
          <w:b/>
          <w:sz w:val="36"/>
          <w:szCs w:val="36"/>
        </w:rPr>
      </w:pPr>
      <w:bookmarkStart w:id="46" w:name="_Toc28859"/>
    </w:p>
    <w:p w14:paraId="74A66443">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6"/>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47"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6"/>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F84D9D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0"/>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1C3A5E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2"/>
        <w:tabs>
          <w:tab w:val="right" w:leader="dot" w:pos="9061"/>
        </w:tabs>
        <w:ind w:left="0" w:firstLine="480" w:firstLineChars="200"/>
        <w:jc w:val="both"/>
        <w:rPr>
          <w:rFonts w:ascii="黑体" w:hAnsi="黑体" w:eastAsia="黑体" w:cs="黑体"/>
          <w:b w:val="0"/>
          <w:sz w:val="24"/>
          <w:szCs w:val="24"/>
        </w:rPr>
      </w:pPr>
      <w:bookmarkStart w:id="48" w:name="_Toc17619"/>
      <w:bookmarkStart w:id="49" w:name="_Toc16330018"/>
      <w:bookmarkStart w:id="50" w:name="_Toc11930"/>
      <w:bookmarkStart w:id="51" w:name="_Toc11823"/>
      <w:r>
        <w:rPr>
          <w:rFonts w:hint="eastAsia" w:ascii="黑体" w:hAnsi="黑体" w:eastAsia="黑体" w:cs="黑体"/>
          <w:b w:val="0"/>
          <w:sz w:val="24"/>
          <w:szCs w:val="24"/>
        </w:rPr>
        <w:t>1 合同设备</w:t>
      </w:r>
      <w:bookmarkEnd w:id="48"/>
      <w:bookmarkEnd w:id="49"/>
      <w:bookmarkEnd w:id="50"/>
      <w:bookmarkEnd w:id="51"/>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2" w:name="_Toc22800"/>
      <w:bookmarkStart w:id="53" w:name="_Toc29026"/>
      <w:bookmarkStart w:id="54" w:name="_Toc32510"/>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2"/>
        <w:tabs>
          <w:tab w:val="right" w:leader="dot" w:pos="9061"/>
        </w:tabs>
        <w:ind w:left="0" w:firstLine="480" w:firstLineChars="200"/>
        <w:jc w:val="both"/>
        <w:rPr>
          <w:rFonts w:ascii="黑体" w:hAnsi="黑体" w:eastAsia="黑体" w:cs="黑体"/>
          <w:b w:val="0"/>
          <w:sz w:val="24"/>
          <w:szCs w:val="24"/>
        </w:rPr>
      </w:pPr>
      <w:bookmarkStart w:id="55" w:name="_Toc16330019"/>
      <w:r>
        <w:rPr>
          <w:rFonts w:hint="eastAsia" w:ascii="黑体" w:hAnsi="黑体" w:eastAsia="黑体" w:cs="黑体"/>
          <w:b w:val="0"/>
          <w:sz w:val="24"/>
          <w:szCs w:val="24"/>
        </w:rPr>
        <w:t>2 包装</w:t>
      </w:r>
      <w:bookmarkEnd w:id="52"/>
      <w:bookmarkEnd w:id="53"/>
      <w:bookmarkEnd w:id="54"/>
      <w:bookmarkEnd w:id="55"/>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2"/>
        <w:tabs>
          <w:tab w:val="right" w:leader="dot" w:pos="9061"/>
        </w:tabs>
        <w:ind w:left="0" w:firstLine="480" w:firstLineChars="200"/>
        <w:jc w:val="both"/>
        <w:rPr>
          <w:rFonts w:ascii="黑体" w:hAnsi="黑体" w:eastAsia="黑体" w:cs="黑体"/>
          <w:b w:val="0"/>
          <w:sz w:val="24"/>
          <w:szCs w:val="24"/>
        </w:rPr>
      </w:pPr>
      <w:bookmarkStart w:id="56" w:name="_Toc27453"/>
      <w:bookmarkStart w:id="57" w:name="_Toc27144"/>
      <w:bookmarkStart w:id="58" w:name="_Toc16330020"/>
      <w:bookmarkStart w:id="59" w:name="_Toc2833"/>
      <w:r>
        <w:rPr>
          <w:rFonts w:hint="eastAsia" w:ascii="黑体" w:hAnsi="黑体" w:eastAsia="黑体" w:cs="黑体"/>
          <w:b w:val="0"/>
          <w:sz w:val="24"/>
          <w:szCs w:val="24"/>
        </w:rPr>
        <w:t>3 运输标记</w:t>
      </w:r>
      <w:bookmarkEnd w:id="56"/>
      <w:bookmarkEnd w:id="57"/>
      <w:bookmarkEnd w:id="58"/>
      <w:bookmarkEnd w:id="59"/>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2"/>
        <w:tabs>
          <w:tab w:val="right" w:leader="dot" w:pos="9061"/>
        </w:tabs>
        <w:ind w:left="0" w:firstLine="480" w:firstLineChars="200"/>
        <w:jc w:val="both"/>
        <w:rPr>
          <w:rFonts w:ascii="黑体" w:hAnsi="黑体" w:eastAsia="黑体" w:cs="黑体"/>
          <w:b w:val="0"/>
          <w:sz w:val="24"/>
          <w:szCs w:val="24"/>
        </w:rPr>
      </w:pPr>
      <w:bookmarkStart w:id="60" w:name="_Toc7431"/>
      <w:bookmarkStart w:id="61" w:name="_Toc16330021"/>
      <w:bookmarkStart w:id="62" w:name="_Toc10630"/>
      <w:bookmarkStart w:id="63" w:name="_Toc16133"/>
      <w:r>
        <w:rPr>
          <w:rFonts w:hint="eastAsia" w:ascii="黑体" w:hAnsi="黑体" w:eastAsia="黑体" w:cs="黑体"/>
          <w:b w:val="0"/>
          <w:sz w:val="24"/>
          <w:szCs w:val="24"/>
        </w:rPr>
        <w:t>4 检验</w:t>
      </w:r>
      <w:bookmarkEnd w:id="60"/>
      <w:bookmarkEnd w:id="61"/>
      <w:bookmarkEnd w:id="62"/>
      <w:bookmarkEnd w:id="63"/>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2"/>
        <w:tabs>
          <w:tab w:val="right" w:leader="dot" w:pos="9061"/>
        </w:tabs>
        <w:ind w:left="0" w:firstLine="480" w:firstLineChars="200"/>
        <w:jc w:val="both"/>
        <w:rPr>
          <w:rFonts w:ascii="黑体" w:hAnsi="黑体" w:eastAsia="黑体" w:cs="黑体"/>
          <w:b w:val="0"/>
          <w:sz w:val="24"/>
          <w:szCs w:val="24"/>
        </w:rPr>
      </w:pPr>
      <w:bookmarkStart w:id="64" w:name="_Toc19850"/>
      <w:bookmarkStart w:id="65" w:name="_Toc24467"/>
      <w:bookmarkStart w:id="66" w:name="_Toc11217"/>
      <w:bookmarkStart w:id="67" w:name="_Toc16330022"/>
      <w:r>
        <w:rPr>
          <w:rFonts w:hint="eastAsia" w:ascii="黑体" w:hAnsi="黑体" w:eastAsia="黑体" w:cs="黑体"/>
          <w:b w:val="0"/>
          <w:sz w:val="24"/>
          <w:szCs w:val="24"/>
        </w:rPr>
        <w:t>5 权利担保</w:t>
      </w:r>
      <w:bookmarkEnd w:id="64"/>
      <w:bookmarkEnd w:id="65"/>
      <w:bookmarkEnd w:id="66"/>
      <w:bookmarkEnd w:id="67"/>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2"/>
        <w:tabs>
          <w:tab w:val="right" w:leader="dot" w:pos="9061"/>
        </w:tabs>
        <w:ind w:left="0" w:firstLine="480" w:firstLineChars="200"/>
        <w:jc w:val="both"/>
        <w:rPr>
          <w:rFonts w:ascii="黑体" w:hAnsi="黑体" w:eastAsia="黑体" w:cs="黑体"/>
          <w:b w:val="0"/>
          <w:sz w:val="24"/>
          <w:szCs w:val="24"/>
        </w:rPr>
      </w:pPr>
      <w:bookmarkStart w:id="68" w:name="_Toc27500"/>
      <w:bookmarkStart w:id="69" w:name="_Toc16330023"/>
      <w:bookmarkStart w:id="70" w:name="_Toc11759"/>
      <w:bookmarkStart w:id="71" w:name="_Toc14809"/>
      <w:r>
        <w:rPr>
          <w:rFonts w:hint="eastAsia" w:ascii="黑体" w:hAnsi="黑体" w:eastAsia="黑体" w:cs="黑体"/>
          <w:b w:val="0"/>
          <w:sz w:val="24"/>
          <w:szCs w:val="24"/>
        </w:rPr>
        <w:t>6 交货</w:t>
      </w:r>
      <w:bookmarkEnd w:id="68"/>
      <w:bookmarkEnd w:id="69"/>
      <w:bookmarkEnd w:id="70"/>
      <w:bookmarkEnd w:id="71"/>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2"/>
        <w:tabs>
          <w:tab w:val="right" w:leader="dot" w:pos="9061"/>
        </w:tabs>
        <w:ind w:left="0" w:firstLine="480" w:firstLineChars="200"/>
        <w:jc w:val="both"/>
        <w:rPr>
          <w:rFonts w:ascii="黑体" w:hAnsi="黑体" w:eastAsia="黑体" w:cs="黑体"/>
          <w:b w:val="0"/>
          <w:sz w:val="24"/>
          <w:szCs w:val="24"/>
        </w:rPr>
      </w:pPr>
      <w:bookmarkStart w:id="72" w:name="_Toc16330024"/>
      <w:bookmarkStart w:id="73" w:name="_Toc25510"/>
      <w:bookmarkStart w:id="74" w:name="_Toc2984"/>
      <w:bookmarkStart w:id="75" w:name="_Toc8024"/>
      <w:r>
        <w:rPr>
          <w:rFonts w:hint="eastAsia" w:ascii="黑体" w:hAnsi="黑体" w:eastAsia="黑体" w:cs="黑体"/>
          <w:b w:val="0"/>
          <w:sz w:val="24"/>
          <w:szCs w:val="24"/>
        </w:rPr>
        <w:t>7 安装、调试</w:t>
      </w:r>
      <w:bookmarkEnd w:id="72"/>
      <w:bookmarkEnd w:id="73"/>
      <w:bookmarkEnd w:id="74"/>
      <w:bookmarkEnd w:id="75"/>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2"/>
        <w:tabs>
          <w:tab w:val="right" w:leader="dot" w:pos="9061"/>
        </w:tabs>
        <w:ind w:left="0" w:firstLine="480" w:firstLineChars="200"/>
        <w:jc w:val="both"/>
        <w:rPr>
          <w:rFonts w:ascii="黑体" w:hAnsi="黑体" w:eastAsia="黑体" w:cs="黑体"/>
          <w:b w:val="0"/>
          <w:sz w:val="24"/>
          <w:szCs w:val="24"/>
        </w:rPr>
      </w:pPr>
      <w:bookmarkStart w:id="76" w:name="_Toc14260"/>
      <w:bookmarkStart w:id="77" w:name="_Toc16330025"/>
      <w:bookmarkStart w:id="78" w:name="_Toc6350"/>
      <w:bookmarkStart w:id="79" w:name="_Toc14098"/>
      <w:r>
        <w:rPr>
          <w:rFonts w:hint="eastAsia" w:ascii="黑体" w:hAnsi="黑体" w:eastAsia="黑体" w:cs="黑体"/>
          <w:b w:val="0"/>
          <w:sz w:val="24"/>
          <w:szCs w:val="24"/>
        </w:rPr>
        <w:t>8 价款与支付</w:t>
      </w:r>
      <w:bookmarkEnd w:id="76"/>
      <w:bookmarkEnd w:id="77"/>
      <w:bookmarkEnd w:id="78"/>
      <w:bookmarkEnd w:id="79"/>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2"/>
        <w:tabs>
          <w:tab w:val="right" w:leader="dot" w:pos="9061"/>
        </w:tabs>
        <w:ind w:left="0" w:firstLine="480" w:firstLineChars="200"/>
        <w:jc w:val="both"/>
        <w:rPr>
          <w:rFonts w:ascii="黑体" w:hAnsi="黑体" w:eastAsia="黑体" w:cs="黑体"/>
          <w:b w:val="0"/>
          <w:sz w:val="24"/>
          <w:szCs w:val="24"/>
        </w:rPr>
      </w:pPr>
      <w:bookmarkStart w:id="80" w:name="_Toc24085"/>
      <w:bookmarkStart w:id="81" w:name="_Toc16330026"/>
      <w:bookmarkStart w:id="82" w:name="_Toc6726"/>
      <w:bookmarkStart w:id="83" w:name="_Toc25708"/>
      <w:r>
        <w:rPr>
          <w:rFonts w:hint="eastAsia" w:ascii="黑体" w:hAnsi="黑体" w:eastAsia="黑体" w:cs="黑体"/>
          <w:b w:val="0"/>
          <w:sz w:val="24"/>
          <w:szCs w:val="24"/>
        </w:rPr>
        <w:t>9 质量保证及售后服务</w:t>
      </w:r>
      <w:bookmarkEnd w:id="80"/>
      <w:bookmarkEnd w:id="81"/>
      <w:bookmarkEnd w:id="82"/>
      <w:bookmarkEnd w:id="83"/>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4" w:name="_Toc16330027"/>
      <w:bookmarkStart w:id="85" w:name="_Toc10359"/>
      <w:bookmarkStart w:id="86" w:name="_Toc12927"/>
      <w:bookmarkStart w:id="87" w:name="_Toc15570"/>
      <w:r>
        <w:rPr>
          <w:rFonts w:hint="eastAsia" w:ascii="黑体" w:hAnsi="黑体" w:eastAsia="黑体" w:cs="黑体"/>
          <w:b w:val="0"/>
          <w:sz w:val="24"/>
          <w:szCs w:val="24"/>
        </w:rPr>
        <w:t>10法定责任</w:t>
      </w:r>
      <w:bookmarkEnd w:id="84"/>
      <w:bookmarkEnd w:id="85"/>
      <w:bookmarkEnd w:id="86"/>
      <w:bookmarkEnd w:id="87"/>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2"/>
        <w:tabs>
          <w:tab w:val="right" w:leader="dot" w:pos="9061"/>
        </w:tabs>
        <w:ind w:left="0" w:firstLine="480" w:firstLineChars="200"/>
        <w:jc w:val="both"/>
        <w:rPr>
          <w:rFonts w:ascii="黑体" w:hAnsi="黑体" w:eastAsia="黑体" w:cs="黑体"/>
          <w:b w:val="0"/>
          <w:sz w:val="24"/>
          <w:szCs w:val="24"/>
        </w:rPr>
      </w:pPr>
      <w:bookmarkStart w:id="88" w:name="_Toc9708"/>
      <w:bookmarkStart w:id="89" w:name="_Toc27314"/>
      <w:bookmarkStart w:id="90" w:name="_Toc30381"/>
      <w:bookmarkStart w:id="91" w:name="_Toc16330028"/>
      <w:r>
        <w:rPr>
          <w:rFonts w:hint="eastAsia" w:ascii="黑体" w:hAnsi="黑体" w:eastAsia="黑体" w:cs="黑体"/>
          <w:b w:val="0"/>
          <w:sz w:val="24"/>
          <w:szCs w:val="24"/>
        </w:rPr>
        <w:t>11 违约责任</w:t>
      </w:r>
      <w:bookmarkEnd w:id="88"/>
      <w:bookmarkEnd w:id="89"/>
      <w:bookmarkEnd w:id="90"/>
      <w:bookmarkEnd w:id="91"/>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2"/>
        <w:tabs>
          <w:tab w:val="right" w:leader="dot" w:pos="9061"/>
        </w:tabs>
        <w:ind w:left="0" w:firstLine="480" w:firstLineChars="200"/>
        <w:jc w:val="both"/>
        <w:rPr>
          <w:rFonts w:ascii="黑体" w:hAnsi="黑体" w:eastAsia="黑体" w:cs="黑体"/>
          <w:b w:val="0"/>
          <w:sz w:val="24"/>
          <w:szCs w:val="24"/>
        </w:rPr>
      </w:pPr>
      <w:bookmarkStart w:id="92" w:name="_Toc1827"/>
      <w:bookmarkStart w:id="93" w:name="_Toc9172"/>
      <w:bookmarkStart w:id="94" w:name="_Toc31554"/>
      <w:bookmarkStart w:id="95" w:name="_Toc16330029"/>
      <w:r>
        <w:rPr>
          <w:rFonts w:hint="eastAsia" w:ascii="黑体" w:hAnsi="黑体" w:eastAsia="黑体" w:cs="黑体"/>
          <w:b w:val="0"/>
          <w:sz w:val="24"/>
          <w:szCs w:val="24"/>
        </w:rPr>
        <w:t>12 合同的终止与解除</w:t>
      </w:r>
      <w:bookmarkEnd w:id="92"/>
      <w:bookmarkEnd w:id="93"/>
      <w:bookmarkEnd w:id="94"/>
      <w:bookmarkEnd w:id="95"/>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2"/>
        <w:tabs>
          <w:tab w:val="right" w:leader="dot" w:pos="9061"/>
        </w:tabs>
        <w:ind w:left="0" w:firstLine="480" w:firstLineChars="200"/>
        <w:jc w:val="both"/>
        <w:rPr>
          <w:rFonts w:ascii="黑体" w:hAnsi="黑体" w:eastAsia="黑体" w:cs="黑体"/>
          <w:b w:val="0"/>
          <w:sz w:val="24"/>
          <w:szCs w:val="24"/>
        </w:rPr>
      </w:pPr>
      <w:bookmarkStart w:id="96" w:name="_Toc31945"/>
      <w:bookmarkStart w:id="97" w:name="_Toc16330030"/>
      <w:bookmarkStart w:id="98" w:name="_Toc8620"/>
      <w:bookmarkStart w:id="99" w:name="_Toc13671"/>
      <w:r>
        <w:rPr>
          <w:rFonts w:hint="eastAsia" w:ascii="黑体" w:hAnsi="黑体" w:eastAsia="黑体" w:cs="黑体"/>
          <w:b w:val="0"/>
          <w:sz w:val="24"/>
          <w:szCs w:val="24"/>
        </w:rPr>
        <w:t>13 不可抗力</w:t>
      </w:r>
      <w:bookmarkEnd w:id="96"/>
      <w:bookmarkEnd w:id="97"/>
      <w:bookmarkEnd w:id="98"/>
      <w:bookmarkEnd w:id="99"/>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2"/>
        <w:tabs>
          <w:tab w:val="right" w:leader="dot" w:pos="9061"/>
        </w:tabs>
        <w:ind w:left="0" w:firstLine="480" w:firstLineChars="200"/>
        <w:jc w:val="both"/>
        <w:rPr>
          <w:rFonts w:ascii="黑体" w:hAnsi="黑体" w:eastAsia="黑体" w:cs="黑体"/>
          <w:b w:val="0"/>
          <w:sz w:val="24"/>
          <w:szCs w:val="24"/>
        </w:rPr>
      </w:pPr>
      <w:bookmarkStart w:id="100" w:name="_Toc637"/>
      <w:bookmarkStart w:id="101" w:name="_Toc30389"/>
      <w:bookmarkStart w:id="102" w:name="_Toc31243"/>
      <w:bookmarkStart w:id="103" w:name="_Toc16330031"/>
      <w:r>
        <w:rPr>
          <w:rFonts w:hint="eastAsia" w:ascii="黑体" w:hAnsi="黑体" w:eastAsia="黑体" w:cs="黑体"/>
          <w:b w:val="0"/>
          <w:sz w:val="24"/>
          <w:szCs w:val="24"/>
        </w:rPr>
        <w:t>14 通讯</w:t>
      </w:r>
      <w:bookmarkEnd w:id="100"/>
      <w:bookmarkEnd w:id="101"/>
      <w:bookmarkEnd w:id="102"/>
      <w:bookmarkEnd w:id="103"/>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2"/>
        <w:tabs>
          <w:tab w:val="right" w:leader="dot" w:pos="9061"/>
        </w:tabs>
        <w:ind w:left="0" w:firstLine="480" w:firstLineChars="200"/>
        <w:jc w:val="both"/>
        <w:rPr>
          <w:rFonts w:ascii="黑体" w:hAnsi="黑体" w:eastAsia="黑体" w:cs="黑体"/>
          <w:b w:val="0"/>
          <w:sz w:val="24"/>
          <w:szCs w:val="24"/>
        </w:rPr>
      </w:pPr>
      <w:bookmarkStart w:id="104" w:name="_Toc11290"/>
      <w:bookmarkStart w:id="105" w:name="_Toc12984"/>
      <w:bookmarkStart w:id="106" w:name="_Toc9915"/>
      <w:bookmarkStart w:id="107" w:name="_Toc16330032"/>
      <w:r>
        <w:rPr>
          <w:rFonts w:hint="eastAsia" w:ascii="黑体" w:hAnsi="黑体" w:eastAsia="黑体" w:cs="黑体"/>
          <w:b w:val="0"/>
          <w:sz w:val="24"/>
          <w:szCs w:val="24"/>
        </w:rPr>
        <w:t>15 适用法律及争议解决</w:t>
      </w:r>
      <w:bookmarkEnd w:id="104"/>
      <w:bookmarkEnd w:id="105"/>
      <w:bookmarkEnd w:id="106"/>
      <w:bookmarkEnd w:id="107"/>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2"/>
        <w:tabs>
          <w:tab w:val="right" w:leader="dot" w:pos="9061"/>
        </w:tabs>
        <w:ind w:left="0" w:firstLine="480" w:firstLineChars="200"/>
        <w:jc w:val="both"/>
        <w:rPr>
          <w:rFonts w:ascii="黑体" w:hAnsi="黑体" w:eastAsia="黑体" w:cs="黑体"/>
          <w:b w:val="0"/>
          <w:sz w:val="24"/>
          <w:szCs w:val="24"/>
        </w:rPr>
      </w:pPr>
      <w:bookmarkStart w:id="108" w:name="_Toc23906"/>
      <w:bookmarkStart w:id="109" w:name="_Toc16330033"/>
      <w:bookmarkStart w:id="110" w:name="_Toc18207"/>
      <w:bookmarkStart w:id="111" w:name="_Toc23765"/>
      <w:r>
        <w:rPr>
          <w:rFonts w:hint="eastAsia" w:ascii="黑体" w:hAnsi="黑体" w:eastAsia="黑体" w:cs="黑体"/>
          <w:b w:val="0"/>
          <w:sz w:val="24"/>
          <w:szCs w:val="24"/>
        </w:rPr>
        <w:t>16 附件</w:t>
      </w:r>
      <w:bookmarkEnd w:id="108"/>
      <w:bookmarkEnd w:id="109"/>
      <w:bookmarkEnd w:id="110"/>
      <w:bookmarkEnd w:id="111"/>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2"/>
        <w:tabs>
          <w:tab w:val="right" w:leader="dot" w:pos="9061"/>
        </w:tabs>
        <w:ind w:left="0" w:firstLine="480" w:firstLineChars="200"/>
        <w:jc w:val="both"/>
        <w:rPr>
          <w:rFonts w:ascii="黑体" w:hAnsi="黑体" w:eastAsia="黑体" w:cs="黑体"/>
          <w:b w:val="0"/>
          <w:sz w:val="24"/>
          <w:szCs w:val="24"/>
        </w:rPr>
      </w:pPr>
      <w:bookmarkStart w:id="112" w:name="_Toc16330034"/>
      <w:bookmarkStart w:id="113" w:name="_Toc17656"/>
      <w:bookmarkStart w:id="114" w:name="_Toc27202"/>
      <w:bookmarkStart w:id="115" w:name="_Toc31331"/>
      <w:r>
        <w:rPr>
          <w:rFonts w:hint="eastAsia" w:ascii="黑体" w:hAnsi="黑体" w:eastAsia="黑体" w:cs="黑体"/>
          <w:b w:val="0"/>
          <w:sz w:val="24"/>
          <w:szCs w:val="24"/>
        </w:rPr>
        <w:t>17 其他规定</w:t>
      </w:r>
      <w:bookmarkEnd w:id="112"/>
      <w:bookmarkEnd w:id="113"/>
      <w:bookmarkEnd w:id="114"/>
      <w:bookmarkEnd w:id="115"/>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16" w:name="_Toc29136"/>
      <w:bookmarkStart w:id="117" w:name="_Toc19077"/>
      <w:bookmarkStart w:id="118" w:name="_Toc16330035"/>
      <w:bookmarkStart w:id="119"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6"/>
      <w:bookmarkEnd w:id="117"/>
      <w:bookmarkEnd w:id="118"/>
      <w:bookmarkEnd w:id="119"/>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0C33F8AB">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2"/>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11"/>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11"/>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11"/>
        <w:spacing w:after="156"/>
        <w:rPr>
          <w:rFonts w:ascii="楷体" w:hAnsi="楷体" w:eastAsia="楷体" w:cs="楷体"/>
          <w:b/>
          <w:sz w:val="24"/>
          <w:szCs w:val="28"/>
        </w:rPr>
      </w:pPr>
    </w:p>
    <w:p w14:paraId="72A707DD">
      <w:pPr>
        <w:pStyle w:val="11"/>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11"/>
        <w:spacing w:after="156"/>
        <w:rPr>
          <w:rFonts w:ascii="楷体" w:hAnsi="楷体" w:eastAsia="楷体" w:cs="楷体"/>
          <w:b/>
          <w:sz w:val="24"/>
          <w:szCs w:val="28"/>
        </w:rPr>
      </w:pPr>
    </w:p>
    <w:p w14:paraId="0ADBD6D5">
      <w:pPr>
        <w:pStyle w:val="11"/>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173D46A8">
      <w:pPr>
        <w:keepNext/>
        <w:keepLines/>
        <w:jc w:val="center"/>
        <w:outlineLvl w:val="0"/>
        <w:rPr>
          <w:rFonts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7"/>
    </w:p>
    <w:p w14:paraId="004B8CE5">
      <w:pPr>
        <w:keepNext/>
        <w:keepLines/>
        <w:rPr>
          <w:rFonts w:ascii="Times New Roman" w:hAnsi="Times New Roman" w:eastAsia="宋体" w:cs="Times New Roman"/>
          <w:b/>
          <w:bCs/>
          <w:color w:val="000000"/>
          <w:sz w:val="24"/>
          <w:szCs w:val="24"/>
        </w:rPr>
      </w:pPr>
    </w:p>
    <w:p w14:paraId="6D68D61A">
      <w:pPr>
        <w:pStyle w:val="16"/>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A885450">
      <w:pPr>
        <w:spacing w:line="420" w:lineRule="exact"/>
        <w:ind w:firstLine="480" w:firstLineChars="20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szCs w:val="24"/>
        </w:rPr>
        <w:t>5.所有附件文件应以中文书写，作为投标文件的组成部分。</w:t>
      </w:r>
    </w:p>
    <w:p w14:paraId="6E296EFF">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 投标函</w:t>
      </w:r>
    </w:p>
    <w:p w14:paraId="419D15FE">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default" w:ascii="Times New Roman" w:hAnsi="Times New Roman" w:eastAsia="宋体" w:cs="Times New Roman"/>
          <w:color w:val="000000"/>
          <w:sz w:val="24"/>
          <w:szCs w:val="24"/>
          <w:highlight w:val="none"/>
        </w:rPr>
        <w:t>中国重汽集团济南动力有限公司</w:t>
      </w:r>
      <w:r>
        <w:rPr>
          <w:rFonts w:hint="default" w:ascii="Times New Roman" w:hAnsi="Times New Roman" w:eastAsia="宋体" w:cs="Times New Roman"/>
          <w:color w:val="000000"/>
          <w:sz w:val="24"/>
          <w:szCs w:val="24"/>
        </w:rPr>
        <w:t>：</w:t>
      </w:r>
    </w:p>
    <w:p w14:paraId="2ECE078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提交投标文件：资质证明文件、商务文件和技术文件。</w:t>
      </w:r>
    </w:p>
    <w:p w14:paraId="037B15B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17DDD50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4A25BDDF">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120A256E">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7A414EC5">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55849563">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69A8BED">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3B1F4DB1">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7F4AE94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72631E2D">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115DFA1B">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67B91DAA">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713714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0EAF8240">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6E08CFD">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4B866974">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日期：     年      月      日</w:t>
      </w:r>
    </w:p>
    <w:p w14:paraId="4A3C8895">
      <w:pPr>
        <w:jc w:val="both"/>
        <w:rPr>
          <w:rFonts w:hint="default" w:ascii="Times New Roman" w:hAnsi="Times New Roman" w:eastAsia="宋体" w:cs="Times New Roman"/>
          <w:color w:val="000000"/>
          <w:sz w:val="24"/>
          <w:szCs w:val="24"/>
        </w:rPr>
      </w:pPr>
    </w:p>
    <w:p w14:paraId="28F041C0">
      <w:pPr>
        <w:jc w:val="both"/>
        <w:rPr>
          <w:rFonts w:hint="default" w:ascii="Times New Roman" w:hAnsi="Times New Roman" w:eastAsia="宋体" w:cs="Times New Roman"/>
          <w:color w:val="000000"/>
          <w:sz w:val="24"/>
          <w:szCs w:val="24"/>
        </w:rPr>
      </w:pPr>
    </w:p>
    <w:p w14:paraId="3C442650">
      <w:pPr>
        <w:pStyle w:val="16"/>
        <w:jc w:val="both"/>
        <w:rPr>
          <w:rFonts w:hint="default" w:ascii="Times New Roman" w:hAnsi="Times New Roman" w:eastAsia="宋体" w:cs="Times New Roman"/>
          <w:color w:val="000000"/>
          <w:sz w:val="24"/>
          <w:szCs w:val="24"/>
        </w:rPr>
      </w:pPr>
    </w:p>
    <w:p w14:paraId="098F5F15">
      <w:pPr>
        <w:pStyle w:val="16"/>
        <w:jc w:val="both"/>
        <w:rPr>
          <w:rFonts w:hint="default" w:ascii="Times New Roman" w:hAnsi="Times New Roman" w:eastAsia="宋体" w:cs="Times New Roman"/>
          <w:color w:val="000000"/>
          <w:sz w:val="24"/>
          <w:szCs w:val="24"/>
        </w:rPr>
      </w:pPr>
    </w:p>
    <w:p w14:paraId="32A5F3A1">
      <w:pPr>
        <w:pStyle w:val="16"/>
        <w:jc w:val="both"/>
        <w:rPr>
          <w:rFonts w:hint="default" w:ascii="Times New Roman" w:hAnsi="Times New Roman" w:eastAsia="宋体" w:cs="Times New Roman"/>
          <w:color w:val="000000"/>
          <w:sz w:val="24"/>
          <w:szCs w:val="24"/>
        </w:rPr>
      </w:pPr>
    </w:p>
    <w:p w14:paraId="64577107">
      <w:pPr>
        <w:pStyle w:val="16"/>
        <w:jc w:val="both"/>
        <w:rPr>
          <w:rFonts w:hint="default" w:ascii="Times New Roman" w:hAnsi="Times New Roman" w:eastAsia="宋体" w:cs="Times New Roman"/>
          <w:color w:val="000000"/>
          <w:sz w:val="24"/>
          <w:szCs w:val="24"/>
        </w:rPr>
      </w:pPr>
    </w:p>
    <w:p w14:paraId="71E6E55D">
      <w:pPr>
        <w:jc w:val="both"/>
        <w:rPr>
          <w:rFonts w:hint="default" w:ascii="Times New Roman" w:hAnsi="Times New Roman" w:eastAsia="宋体" w:cs="Times New Roman"/>
          <w:color w:val="000000"/>
          <w:sz w:val="24"/>
          <w:szCs w:val="24"/>
        </w:rPr>
      </w:pPr>
    </w:p>
    <w:p w14:paraId="4729972A">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B6063D3">
      <w:pPr>
        <w:adjustRightInd w:val="0"/>
        <w:snapToGrid w:val="0"/>
        <w:spacing w:before="93" w:beforeLines="30" w:line="240" w:lineRule="exact"/>
        <w:jc w:val="both"/>
        <w:rPr>
          <w:rFonts w:hint="default" w:ascii="Times New Roman" w:hAnsi="Times New Roman" w:eastAsia="宋体" w:cs="Times New Roman"/>
          <w:sz w:val="24"/>
          <w:szCs w:val="20"/>
        </w:rPr>
      </w:pPr>
    </w:p>
    <w:p w14:paraId="29E7CE3F">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default" w:ascii="Times New Roman" w:hAnsi="Times New Roman" w:eastAsia="宋体" w:cs="Times New Roman"/>
          <w:b w:val="0"/>
          <w:bCs w:val="0"/>
          <w:color w:val="000000"/>
          <w:sz w:val="24"/>
          <w:szCs w:val="24"/>
          <w:highlight w:val="none"/>
          <w:u w:val="single"/>
        </w:rPr>
        <w:t>产品试验检测中心科技园区试验室集装箱式气瓶间改造项目</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856501D">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202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5CC385D">
            <w:pPr>
              <w:adjustRightInd w:val="0"/>
              <w:snapToGrid w:val="0"/>
              <w:spacing w:before="93" w:beforeLines="30" w:line="312" w:lineRule="auto"/>
              <w:jc w:val="both"/>
              <w:rPr>
                <w:rFonts w:hint="default" w:ascii="Times New Roman" w:hAnsi="Times New Roman" w:eastAsia="宋体" w:cs="Times New Roman"/>
                <w:sz w:val="24"/>
                <w:szCs w:val="20"/>
                <w:u w:val="none"/>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sz w:val="24"/>
                <w:szCs w:val="20"/>
                <w:u w:val="none"/>
                <w:lang w:eastAsia="zh-CN"/>
              </w:rPr>
              <w:t>（</w:t>
            </w:r>
            <w:r>
              <w:rPr>
                <w:rFonts w:hint="default" w:ascii="Times New Roman" w:hAnsi="Times New Roman" w:eastAsia="宋体" w:cs="Times New Roman"/>
                <w:color w:val="000000" w:themeColor="text1"/>
                <w:sz w:val="24"/>
                <w:szCs w:val="20"/>
                <w:u w:val="none"/>
                <w:lang w:val="en-US" w:eastAsia="zh-CN"/>
                <w14:textFill>
                  <w14:solidFill>
                    <w14:schemeClr w14:val="tx1"/>
                  </w14:solidFill>
                </w14:textFill>
              </w:rPr>
              <w:t>正反面）</w:t>
            </w:r>
          </w:p>
          <w:p w14:paraId="29E05FBB">
            <w:pPr>
              <w:adjustRightInd w:val="0"/>
              <w:snapToGrid w:val="0"/>
              <w:spacing w:before="93" w:beforeLines="30" w:line="312"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w:t>
            </w:r>
            <w:r>
              <w:rPr>
                <w:rFonts w:hint="default" w:ascii="Times New Roman" w:hAnsi="Times New Roman" w:eastAsia="宋体" w:cs="Times New Roman"/>
                <w:sz w:val="24"/>
                <w:szCs w:val="20"/>
                <w:lang w:eastAsia="zh-CN"/>
              </w:rPr>
              <w:t>（</w:t>
            </w:r>
            <w:r>
              <w:rPr>
                <w:rFonts w:hint="default" w:ascii="Times New Roman" w:hAnsi="Times New Roman" w:eastAsia="宋体" w:cs="Times New Roman"/>
                <w:sz w:val="24"/>
                <w:szCs w:val="20"/>
                <w:lang w:val="en-US" w:eastAsia="zh-CN"/>
              </w:rPr>
              <w:t>正反面</w:t>
            </w:r>
            <w:r>
              <w:rPr>
                <w:rFonts w:hint="default" w:ascii="Times New Roman" w:hAnsi="Times New Roman" w:eastAsia="宋体" w:cs="Times New Roman"/>
                <w:sz w:val="24"/>
                <w:szCs w:val="20"/>
                <w:lang w:eastAsia="zh-CN"/>
              </w:rPr>
              <w:t>）</w:t>
            </w:r>
          </w:p>
        </w:tc>
      </w:tr>
    </w:tbl>
    <w:p w14:paraId="684375CE">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100D4F9F">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62B57F23">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0CAC808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3611044E">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4FBC185B">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861B381">
      <w:pPr>
        <w:spacing w:line="460" w:lineRule="exact"/>
        <w:ind w:firstLine="5520" w:firstLineChars="23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4880B5D2">
      <w:pPr>
        <w:jc w:val="both"/>
        <w:rPr>
          <w:rFonts w:hint="default" w:ascii="Times New Roman" w:hAnsi="Times New Roman" w:eastAsia="宋体" w:cs="Times New Roman"/>
          <w:b/>
          <w:bCs/>
          <w:color w:val="000000"/>
          <w:sz w:val="28"/>
          <w:szCs w:val="20"/>
        </w:rPr>
      </w:pPr>
    </w:p>
    <w:p w14:paraId="22DCF588">
      <w:pPr>
        <w:pStyle w:val="16"/>
        <w:jc w:val="both"/>
        <w:rPr>
          <w:rFonts w:hint="default" w:ascii="Times New Roman" w:hAnsi="Times New Roman" w:eastAsia="宋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0D47353">
      <w:pPr>
        <w:keepNext/>
        <w:keepLines/>
        <w:jc w:val="both"/>
        <w:outlineLvl w:val="2"/>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6653F9F5">
      <w:pPr>
        <w:keepNext/>
        <w:keepLines/>
        <w:jc w:val="both"/>
        <w:outlineLvl w:val="3"/>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AA7B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37BE58C">
            <w:pPr>
              <w:pStyle w:val="129"/>
              <w:spacing w:before="114"/>
              <w:ind w:left="720"/>
              <w:jc w:val="both"/>
              <w:rPr>
                <w:rFonts w:hint="default" w:ascii="Times New Roman" w:hAnsi="Times New Roman" w:eastAsia="宋体" w:cs="Times New Roman"/>
              </w:rPr>
            </w:pPr>
            <w:r>
              <w:rPr>
                <w:rFonts w:hint="default" w:ascii="Times New Roman" w:hAnsi="Times New Roman" w:eastAsia="宋体" w:cs="Times New Roman"/>
              </w:rPr>
              <w:t xml:space="preserve">企业名称 </w:t>
            </w:r>
          </w:p>
        </w:tc>
        <w:tc>
          <w:tcPr>
            <w:tcW w:w="4680" w:type="dxa"/>
            <w:gridSpan w:val="4"/>
            <w:vAlign w:val="center"/>
          </w:tcPr>
          <w:p w14:paraId="094E12EE">
            <w:pPr>
              <w:widowControl/>
              <w:jc w:val="both"/>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36BE2006">
            <w:pPr>
              <w:pStyle w:val="129"/>
              <w:spacing w:before="106"/>
              <w:ind w:left="154" w:right="2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联系人 </w:t>
            </w:r>
          </w:p>
        </w:tc>
        <w:tc>
          <w:tcPr>
            <w:tcW w:w="1510" w:type="dxa"/>
            <w:vAlign w:val="center"/>
          </w:tcPr>
          <w:p w14:paraId="1B2EB31A">
            <w:pPr>
              <w:widowControl/>
              <w:jc w:val="both"/>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3D207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51B1664">
            <w:pPr>
              <w:pStyle w:val="129"/>
              <w:spacing w:before="114"/>
              <w:ind w:left="720"/>
              <w:jc w:val="both"/>
              <w:rPr>
                <w:rFonts w:hint="default" w:ascii="Times New Roman" w:hAnsi="Times New Roman" w:eastAsia="宋体" w:cs="Times New Roman"/>
              </w:rPr>
            </w:pPr>
            <w:r>
              <w:rPr>
                <w:rFonts w:hint="default" w:ascii="Times New Roman" w:hAnsi="Times New Roman" w:eastAsia="宋体" w:cs="Times New Roman"/>
              </w:rPr>
              <w:t xml:space="preserve">企业地址 </w:t>
            </w:r>
          </w:p>
        </w:tc>
        <w:tc>
          <w:tcPr>
            <w:tcW w:w="4680" w:type="dxa"/>
            <w:gridSpan w:val="4"/>
            <w:vAlign w:val="center"/>
          </w:tcPr>
          <w:p w14:paraId="33C4BFAD">
            <w:pPr>
              <w:widowControl/>
              <w:jc w:val="both"/>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3AECC9B3">
            <w:pPr>
              <w:pStyle w:val="129"/>
              <w:spacing w:before="106"/>
              <w:ind w:left="154" w:right="2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联系人电话 </w:t>
            </w:r>
          </w:p>
        </w:tc>
        <w:tc>
          <w:tcPr>
            <w:tcW w:w="1510" w:type="dxa"/>
            <w:vAlign w:val="center"/>
          </w:tcPr>
          <w:p w14:paraId="5E6E2CB7">
            <w:pPr>
              <w:widowControl/>
              <w:jc w:val="both"/>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BF73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FA4009F">
            <w:pPr>
              <w:pStyle w:val="129"/>
              <w:spacing w:before="111"/>
              <w:ind w:left="720"/>
              <w:jc w:val="both"/>
              <w:rPr>
                <w:rFonts w:hint="default" w:ascii="Times New Roman" w:hAnsi="Times New Roman" w:eastAsia="宋体" w:cs="Times New Roman"/>
              </w:rPr>
            </w:pPr>
            <w:r>
              <w:rPr>
                <w:rFonts w:hint="default" w:ascii="Times New Roman" w:hAnsi="Times New Roman" w:eastAsia="宋体" w:cs="Times New Roman"/>
              </w:rPr>
              <w:t xml:space="preserve">企业性质 </w:t>
            </w:r>
          </w:p>
        </w:tc>
        <w:tc>
          <w:tcPr>
            <w:tcW w:w="4680" w:type="dxa"/>
            <w:gridSpan w:val="4"/>
            <w:vAlign w:val="center"/>
          </w:tcPr>
          <w:p w14:paraId="2BF9067F">
            <w:pPr>
              <w:widowControl/>
              <w:jc w:val="both"/>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3CB9B620">
            <w:pPr>
              <w:pStyle w:val="129"/>
              <w:spacing w:before="103"/>
              <w:ind w:left="154" w:right="2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 xml:space="preserve">注册时间 </w:t>
            </w:r>
          </w:p>
        </w:tc>
        <w:tc>
          <w:tcPr>
            <w:tcW w:w="1510" w:type="dxa"/>
            <w:vAlign w:val="center"/>
          </w:tcPr>
          <w:p w14:paraId="6A1107F6">
            <w:pPr>
              <w:widowControl/>
              <w:jc w:val="both"/>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01C8B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C5E583">
            <w:pPr>
              <w:pStyle w:val="129"/>
              <w:spacing w:before="111"/>
              <w:ind w:left="509"/>
              <w:jc w:val="both"/>
              <w:rPr>
                <w:rFonts w:hint="default" w:ascii="Times New Roman" w:hAnsi="Times New Roman" w:eastAsia="宋体" w:cs="Times New Roman"/>
                <w:highlight w:val="yellow"/>
              </w:rPr>
            </w:pPr>
            <w:r>
              <w:rPr>
                <w:rFonts w:hint="default" w:ascii="Times New Roman" w:hAnsi="Times New Roman" w:eastAsia="宋体" w:cs="Times New Roman"/>
              </w:rPr>
              <w:t xml:space="preserve">企业法人代表  </w:t>
            </w:r>
          </w:p>
        </w:tc>
        <w:tc>
          <w:tcPr>
            <w:tcW w:w="4680" w:type="dxa"/>
            <w:gridSpan w:val="4"/>
          </w:tcPr>
          <w:p w14:paraId="2EE8B141">
            <w:pPr>
              <w:pStyle w:val="4"/>
              <w:keepNext w:val="0"/>
              <w:keepLines w:val="0"/>
              <w:widowControl/>
              <w:shd w:val="clear" w:color="auto" w:fill="FFFFFF"/>
              <w:spacing w:before="0" w:after="0" w:line="450" w:lineRule="atLeast"/>
              <w:jc w:val="both"/>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15F29F9">
            <w:pPr>
              <w:pStyle w:val="129"/>
              <w:spacing w:before="103"/>
              <w:ind w:right="2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企业资质</w:t>
            </w:r>
          </w:p>
        </w:tc>
        <w:tc>
          <w:tcPr>
            <w:tcW w:w="1510" w:type="dxa"/>
            <w:vAlign w:val="center"/>
          </w:tcPr>
          <w:p w14:paraId="442047CE">
            <w:pPr>
              <w:widowControl/>
              <w:jc w:val="both"/>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7B3F5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F2B7562">
            <w:pPr>
              <w:pStyle w:val="129"/>
              <w:spacing w:before="114"/>
              <w:ind w:left="720"/>
              <w:jc w:val="both"/>
              <w:rPr>
                <w:rFonts w:hint="default" w:ascii="Times New Roman" w:hAnsi="Times New Roman" w:eastAsia="宋体" w:cs="Times New Roman"/>
              </w:rPr>
            </w:pPr>
            <w:r>
              <w:rPr>
                <w:rFonts w:hint="default" w:ascii="Times New Roman" w:hAnsi="Times New Roman" w:eastAsia="宋体" w:cs="Times New Roman"/>
              </w:rPr>
              <w:t xml:space="preserve">品牌区分 </w:t>
            </w:r>
          </w:p>
        </w:tc>
        <w:tc>
          <w:tcPr>
            <w:tcW w:w="7500" w:type="dxa"/>
            <w:gridSpan w:val="6"/>
          </w:tcPr>
          <w:p w14:paraId="70997DD4">
            <w:pPr>
              <w:pStyle w:val="129"/>
              <w:spacing w:before="106"/>
              <w:ind w:left="401"/>
              <w:jc w:val="both"/>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sym w:font="Wingdings 2" w:char="00A3"/>
            </w:r>
            <w:r>
              <w:rPr>
                <w:rFonts w:hint="default" w:ascii="Times New Roman" w:hAnsi="Times New Roman" w:eastAsia="宋体" w:cs="Times New Roman"/>
              </w:rPr>
              <w:t xml:space="preserve">自产 </w:t>
            </w:r>
            <w:r>
              <w:rPr>
                <w:rFonts w:hint="default" w:ascii="Times New Roman" w:hAnsi="Times New Roman" w:eastAsia="宋体" w:cs="Times New Roman"/>
              </w:rPr>
              <w:sym w:font="Wingdings 2" w:char="00A3"/>
            </w:r>
            <w:r>
              <w:rPr>
                <w:rFonts w:hint="default" w:ascii="Times New Roman" w:hAnsi="Times New Roman" w:eastAsia="宋体" w:cs="Times New Roman"/>
              </w:rPr>
              <w:t xml:space="preserve">总代理 </w:t>
            </w:r>
            <w:r>
              <w:rPr>
                <w:rFonts w:hint="default" w:ascii="Times New Roman" w:hAnsi="Times New Roman" w:eastAsia="宋体" w:cs="Times New Roman"/>
              </w:rPr>
              <w:sym w:font="Wingdings 2" w:char="00A3"/>
            </w:r>
            <w:r>
              <w:rPr>
                <w:rFonts w:hint="default" w:ascii="Times New Roman" w:hAnsi="Times New Roman" w:eastAsia="宋体" w:cs="Times New Roman"/>
              </w:rPr>
              <w:t xml:space="preserve">代理  </w:t>
            </w:r>
            <w:r>
              <w:rPr>
                <w:rFonts w:hint="default" w:ascii="Times New Roman" w:hAnsi="Times New Roman" w:eastAsia="宋体" w:cs="Times New Roman"/>
              </w:rPr>
              <w:sym w:font="Wingdings 2" w:char="00A3"/>
            </w:r>
            <w:r>
              <w:rPr>
                <w:rFonts w:hint="default" w:ascii="Times New Roman" w:hAnsi="Times New Roman" w:eastAsia="宋体" w:cs="Times New Roman"/>
              </w:rPr>
              <w:t xml:space="preserve">经销 </w:t>
            </w:r>
          </w:p>
        </w:tc>
      </w:tr>
      <w:tr w14:paraId="0F68B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FC6643B">
            <w:pPr>
              <w:pStyle w:val="129"/>
              <w:spacing w:before="178"/>
              <w:ind w:left="720"/>
              <w:jc w:val="both"/>
              <w:rPr>
                <w:rFonts w:hint="default" w:ascii="Times New Roman" w:hAnsi="Times New Roman" w:eastAsia="宋体" w:cs="Times New Roman"/>
              </w:rPr>
            </w:pPr>
            <w:r>
              <w:rPr>
                <w:rFonts w:hint="default" w:ascii="Times New Roman" w:hAnsi="Times New Roman" w:eastAsia="宋体" w:cs="Times New Roman"/>
              </w:rPr>
              <w:t xml:space="preserve">品牌名称 </w:t>
            </w:r>
          </w:p>
        </w:tc>
        <w:tc>
          <w:tcPr>
            <w:tcW w:w="3583" w:type="dxa"/>
            <w:gridSpan w:val="3"/>
            <w:vAlign w:val="center"/>
          </w:tcPr>
          <w:p w14:paraId="59F8DE2F">
            <w:pPr>
              <w:widowControl/>
              <w:jc w:val="both"/>
              <w:rPr>
                <w:rFonts w:hint="default" w:ascii="Times New Roman" w:hAnsi="Times New Roman" w:eastAsia="宋体" w:cs="Times New Roman"/>
                <w:kern w:val="0"/>
                <w:szCs w:val="21"/>
                <w:lang w:bidi="ar"/>
              </w:rPr>
            </w:pPr>
          </w:p>
        </w:tc>
        <w:tc>
          <w:tcPr>
            <w:tcW w:w="1097" w:type="dxa"/>
          </w:tcPr>
          <w:p w14:paraId="3A669C79">
            <w:pPr>
              <w:pStyle w:val="129"/>
              <w:spacing w:before="15"/>
              <w:ind w:left="279"/>
              <w:jc w:val="both"/>
              <w:rPr>
                <w:rFonts w:hint="default" w:ascii="Times New Roman" w:hAnsi="Times New Roman" w:eastAsia="宋体" w:cs="Times New Roman"/>
              </w:rPr>
            </w:pPr>
            <w:r>
              <w:rPr>
                <w:rFonts w:hint="default" w:ascii="Times New Roman" w:hAnsi="Times New Roman" w:eastAsia="宋体" w:cs="Times New Roman"/>
                <w:spacing w:val="-2"/>
              </w:rPr>
              <w:t>质量</w:t>
            </w:r>
            <w:r>
              <w:rPr>
                <w:rFonts w:hint="default" w:ascii="Times New Roman" w:hAnsi="Times New Roman" w:eastAsia="宋体" w:cs="Times New Roman"/>
              </w:rPr>
              <w:t xml:space="preserve"> </w:t>
            </w:r>
          </w:p>
          <w:p w14:paraId="63E9E606">
            <w:pPr>
              <w:pStyle w:val="129"/>
              <w:spacing w:before="30" w:line="277" w:lineRule="exact"/>
              <w:ind w:left="279"/>
              <w:jc w:val="both"/>
              <w:rPr>
                <w:rFonts w:hint="default" w:ascii="Times New Roman" w:hAnsi="Times New Roman" w:eastAsia="宋体" w:cs="Times New Roman"/>
              </w:rPr>
            </w:pPr>
            <w:r>
              <w:rPr>
                <w:rFonts w:hint="default" w:ascii="Times New Roman" w:hAnsi="Times New Roman" w:eastAsia="宋体" w:cs="Times New Roman"/>
              </w:rPr>
              <w:t>体系</w:t>
            </w:r>
          </w:p>
        </w:tc>
        <w:tc>
          <w:tcPr>
            <w:tcW w:w="2820" w:type="dxa"/>
            <w:gridSpan w:val="2"/>
          </w:tcPr>
          <w:p w14:paraId="694DDFC1">
            <w:pPr>
              <w:pStyle w:val="129"/>
              <w:spacing w:before="158"/>
              <w:jc w:val="both"/>
              <w:rPr>
                <w:rFonts w:hint="default" w:ascii="Times New Roman" w:hAnsi="Times New Roman" w:eastAsia="宋体" w:cs="Times New Roman"/>
                <w:sz w:val="24"/>
              </w:rPr>
            </w:pPr>
            <w:r>
              <w:rPr>
                <w:rFonts w:hint="default" w:ascii="Times New Roman" w:hAnsi="Times New Roman" w:eastAsia="宋体" w:cs="Times New Roman"/>
                <w:kern w:val="0"/>
                <w:szCs w:val="21"/>
                <w:lang w:bidi="ar"/>
              </w:rPr>
              <w:t>/</w:t>
            </w:r>
          </w:p>
        </w:tc>
      </w:tr>
      <w:tr w14:paraId="0E331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F642F8A">
            <w:pPr>
              <w:pStyle w:val="129"/>
              <w:spacing w:before="149"/>
              <w:ind w:left="3345" w:right="3223"/>
              <w:jc w:val="both"/>
              <w:rPr>
                <w:rFonts w:hint="default" w:ascii="Times New Roman" w:hAnsi="Times New Roman" w:eastAsia="宋体" w:cs="Times New Roman"/>
              </w:rPr>
            </w:pPr>
            <w:r>
              <w:rPr>
                <w:rFonts w:hint="default" w:ascii="Times New Roman" w:hAnsi="Times New Roman" w:eastAsia="宋体" w:cs="Times New Roman"/>
                <w:szCs w:val="21"/>
              </w:rPr>
              <w:t>单位概况</w:t>
            </w:r>
          </w:p>
        </w:tc>
      </w:tr>
      <w:tr w14:paraId="66BD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33F1103">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290B8F2D">
            <w:pPr>
              <w:widowControl/>
              <w:jc w:val="both"/>
              <w:textAlignment w:val="center"/>
              <w:rPr>
                <w:rFonts w:hint="default" w:ascii="Times New Roman" w:hAnsi="Times New Roman" w:eastAsia="宋体" w:cs="Times New Roman"/>
                <w:szCs w:val="21"/>
              </w:rPr>
            </w:pPr>
          </w:p>
        </w:tc>
        <w:tc>
          <w:tcPr>
            <w:tcW w:w="1530" w:type="dxa"/>
            <w:vAlign w:val="center"/>
          </w:tcPr>
          <w:p w14:paraId="081009DA">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014D5DA1">
            <w:pPr>
              <w:widowControl/>
              <w:jc w:val="both"/>
              <w:textAlignment w:val="center"/>
              <w:rPr>
                <w:rFonts w:hint="default" w:ascii="Times New Roman" w:hAnsi="Times New Roman" w:eastAsia="宋体" w:cs="Times New Roman"/>
                <w:szCs w:val="21"/>
              </w:rPr>
            </w:pPr>
          </w:p>
        </w:tc>
        <w:tc>
          <w:tcPr>
            <w:tcW w:w="1097" w:type="dxa"/>
            <w:vAlign w:val="center"/>
          </w:tcPr>
          <w:p w14:paraId="7D8E2F41">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6D80A48C">
            <w:pPr>
              <w:widowControl/>
              <w:jc w:val="both"/>
              <w:textAlignment w:val="center"/>
              <w:rPr>
                <w:rFonts w:hint="default" w:ascii="Times New Roman" w:hAnsi="Times New Roman" w:eastAsia="宋体" w:cs="Times New Roman"/>
                <w:szCs w:val="21"/>
              </w:rPr>
            </w:pPr>
          </w:p>
        </w:tc>
      </w:tr>
      <w:tr w14:paraId="362D8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0739864">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496ABF8E">
            <w:pPr>
              <w:widowControl/>
              <w:jc w:val="both"/>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DAEA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E46D4BC">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5709B388">
            <w:pPr>
              <w:widowControl/>
              <w:jc w:val="both"/>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7A027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A79A697">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5C323497">
            <w:pPr>
              <w:widowControl/>
              <w:jc w:val="both"/>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72C2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5E8B6D">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45215B32">
            <w:pPr>
              <w:widowControl/>
              <w:jc w:val="both"/>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3CC8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32459FD">
            <w:pPr>
              <w:widowControl/>
              <w:jc w:val="both"/>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583D325C">
            <w:pPr>
              <w:widowControl/>
              <w:jc w:val="both"/>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44C2C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ACEA594">
            <w:pPr>
              <w:widowControl/>
              <w:jc w:val="both"/>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highlight w:val="none"/>
              </w:rPr>
              <w:t>对本项目在设计、制造、进度、财务等方面采取的组织措施和相</w:t>
            </w:r>
            <w:r>
              <w:rPr>
                <w:rFonts w:hint="default" w:ascii="Times New Roman" w:hAnsi="Times New Roman" w:eastAsia="宋体" w:cs="Times New Roman"/>
                <w:spacing w:val="-2"/>
                <w:szCs w:val="21"/>
                <w:highlight w:val="none"/>
              </w:rPr>
              <w:t>关</w:t>
            </w:r>
            <w:r>
              <w:rPr>
                <w:rFonts w:hint="default" w:ascii="Times New Roman" w:hAnsi="Times New Roman" w:eastAsia="宋体" w:cs="Times New Roman"/>
                <w:spacing w:val="-3"/>
                <w:szCs w:val="21"/>
                <w:highlight w:val="none"/>
              </w:rPr>
              <w:t>人</w:t>
            </w:r>
            <w:r>
              <w:rPr>
                <w:rFonts w:hint="default" w:ascii="Times New Roman" w:hAnsi="Times New Roman" w:eastAsia="宋体" w:cs="Times New Roman"/>
                <w:spacing w:val="-2"/>
                <w:szCs w:val="21"/>
                <w:highlight w:val="none"/>
              </w:rPr>
              <w:t>员简介</w:t>
            </w:r>
          </w:p>
        </w:tc>
        <w:tc>
          <w:tcPr>
            <w:tcW w:w="7500" w:type="dxa"/>
            <w:gridSpan w:val="6"/>
            <w:vAlign w:val="center"/>
          </w:tcPr>
          <w:p w14:paraId="16C18628">
            <w:pPr>
              <w:widowControl/>
              <w:jc w:val="both"/>
              <w:rPr>
                <w:rFonts w:hint="default" w:ascii="Times New Roman" w:hAnsi="Times New Roman" w:eastAsia="宋体" w:cs="Times New Roman"/>
                <w:kern w:val="0"/>
                <w:szCs w:val="21"/>
                <w:lang w:bidi="ar"/>
              </w:rPr>
            </w:pPr>
          </w:p>
        </w:tc>
      </w:tr>
    </w:tbl>
    <w:p w14:paraId="2C5C3FED">
      <w:pPr>
        <w:pStyle w:val="16"/>
        <w:jc w:val="both"/>
        <w:rPr>
          <w:rFonts w:hint="default" w:ascii="Times New Roman" w:hAnsi="Times New Roman" w:eastAsia="宋体" w:cs="Times New Roman"/>
          <w:b/>
          <w:bCs/>
          <w:color w:val="000000"/>
          <w:sz w:val="24"/>
          <w:szCs w:val="24"/>
        </w:rPr>
      </w:pPr>
    </w:p>
    <w:p w14:paraId="57F3947E">
      <w:pPr>
        <w:pStyle w:val="16"/>
        <w:jc w:val="both"/>
        <w:rPr>
          <w:rFonts w:hint="default" w:ascii="Times New Roman" w:hAnsi="Times New Roman" w:eastAsia="宋体" w:cs="Times New Roman"/>
          <w:b/>
          <w:bCs/>
          <w:color w:val="000000"/>
          <w:sz w:val="24"/>
          <w:szCs w:val="24"/>
        </w:rPr>
      </w:pPr>
    </w:p>
    <w:p w14:paraId="024BBE79">
      <w:pPr>
        <w:pStyle w:val="16"/>
        <w:jc w:val="both"/>
        <w:rPr>
          <w:rFonts w:hint="default" w:ascii="Times New Roman" w:hAnsi="Times New Roman" w:eastAsia="宋体" w:cs="Times New Roman"/>
          <w:b/>
          <w:bCs/>
          <w:color w:val="000000"/>
          <w:sz w:val="24"/>
          <w:szCs w:val="24"/>
        </w:rPr>
      </w:pPr>
    </w:p>
    <w:p w14:paraId="5723DAD3">
      <w:pPr>
        <w:pStyle w:val="16"/>
        <w:jc w:val="both"/>
        <w:rPr>
          <w:rFonts w:hint="default" w:ascii="Times New Roman" w:hAnsi="Times New Roman" w:eastAsia="宋体" w:cs="Times New Roman"/>
          <w:b/>
          <w:bCs/>
          <w:color w:val="000000"/>
          <w:sz w:val="24"/>
          <w:szCs w:val="24"/>
        </w:rPr>
      </w:pPr>
    </w:p>
    <w:p w14:paraId="5680EE8B">
      <w:pPr>
        <w:pStyle w:val="16"/>
        <w:jc w:val="both"/>
        <w:rPr>
          <w:rFonts w:hint="default" w:ascii="Times New Roman" w:hAnsi="Times New Roman" w:eastAsia="宋体" w:cs="Times New Roman"/>
          <w:b/>
          <w:bCs/>
          <w:color w:val="000000"/>
          <w:sz w:val="24"/>
          <w:szCs w:val="24"/>
        </w:rPr>
      </w:pPr>
    </w:p>
    <w:p w14:paraId="6DC13593">
      <w:pPr>
        <w:pStyle w:val="16"/>
        <w:jc w:val="both"/>
        <w:rPr>
          <w:rFonts w:hint="default" w:ascii="Times New Roman" w:hAnsi="Times New Roman" w:eastAsia="宋体" w:cs="Times New Roman"/>
          <w:b/>
          <w:bCs/>
          <w:color w:val="000000"/>
          <w:sz w:val="24"/>
          <w:szCs w:val="24"/>
        </w:rPr>
      </w:pPr>
    </w:p>
    <w:p w14:paraId="2F12808F">
      <w:pPr>
        <w:pStyle w:val="16"/>
        <w:jc w:val="both"/>
        <w:rPr>
          <w:rFonts w:hint="default" w:ascii="Times New Roman" w:hAnsi="Times New Roman" w:eastAsia="宋体" w:cs="Times New Roman"/>
          <w:b/>
          <w:bCs/>
          <w:color w:val="000000"/>
          <w:sz w:val="24"/>
          <w:szCs w:val="24"/>
        </w:rPr>
      </w:pPr>
    </w:p>
    <w:p w14:paraId="635F07DC">
      <w:pPr>
        <w:pStyle w:val="16"/>
        <w:jc w:val="both"/>
        <w:rPr>
          <w:rFonts w:hint="default" w:ascii="Times New Roman" w:hAnsi="Times New Roman" w:eastAsia="宋体" w:cs="Times New Roman"/>
          <w:b/>
          <w:bCs/>
          <w:color w:val="000000"/>
          <w:sz w:val="24"/>
          <w:szCs w:val="24"/>
        </w:rPr>
      </w:pPr>
    </w:p>
    <w:p w14:paraId="7A1C6479">
      <w:pPr>
        <w:pStyle w:val="16"/>
        <w:jc w:val="both"/>
        <w:outlineLvl w:val="3"/>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p w14:paraId="290C4FFC">
      <w:pPr>
        <w:pStyle w:val="16"/>
        <w:jc w:val="both"/>
        <w:rPr>
          <w:rFonts w:hint="default"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4224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692BA6B">
            <w:pPr>
              <w:spacing w:line="440" w:lineRule="exact"/>
              <w:jc w:val="both"/>
              <w:rPr>
                <w:rFonts w:hint="default" w:ascii="Times New Roman" w:hAnsi="Times New Roman" w:eastAsia="宋体" w:cs="Times New Roman"/>
                <w:szCs w:val="24"/>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29A5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940DBE">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注册资金（万元）</w:t>
            </w:r>
          </w:p>
        </w:tc>
        <w:tc>
          <w:tcPr>
            <w:tcW w:w="3865" w:type="dxa"/>
            <w:gridSpan w:val="3"/>
          </w:tcPr>
          <w:p w14:paraId="088B2BAC">
            <w:pPr>
              <w:spacing w:line="440" w:lineRule="exact"/>
              <w:jc w:val="both"/>
              <w:rPr>
                <w:rFonts w:hint="default" w:ascii="Times New Roman" w:hAnsi="Times New Roman" w:eastAsia="宋体" w:cs="Times New Roman"/>
                <w:color w:val="000000"/>
                <w:sz w:val="24"/>
                <w:szCs w:val="24"/>
              </w:rPr>
            </w:pPr>
          </w:p>
        </w:tc>
      </w:tr>
      <w:tr w14:paraId="79A1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75BEAF">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实收资金（万元）</w:t>
            </w:r>
          </w:p>
        </w:tc>
        <w:tc>
          <w:tcPr>
            <w:tcW w:w="3865" w:type="dxa"/>
            <w:gridSpan w:val="3"/>
          </w:tcPr>
          <w:p w14:paraId="3F87DB8A">
            <w:pPr>
              <w:spacing w:line="440" w:lineRule="exact"/>
              <w:jc w:val="both"/>
              <w:rPr>
                <w:rFonts w:hint="default" w:ascii="Times New Roman" w:hAnsi="Times New Roman" w:eastAsia="宋体" w:cs="Times New Roman"/>
                <w:color w:val="000000"/>
                <w:sz w:val="24"/>
                <w:szCs w:val="24"/>
              </w:rPr>
            </w:pPr>
          </w:p>
        </w:tc>
      </w:tr>
      <w:tr w14:paraId="1DF5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F5FFC1">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年度资产情况</w:t>
            </w:r>
          </w:p>
        </w:tc>
        <w:tc>
          <w:tcPr>
            <w:tcW w:w="1287" w:type="dxa"/>
            <w:vAlign w:val="center"/>
          </w:tcPr>
          <w:p w14:paraId="64690289">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2022</w:t>
            </w:r>
            <w:r>
              <w:rPr>
                <w:rFonts w:hint="default" w:ascii="Times New Roman" w:hAnsi="Times New Roman" w:eastAsia="宋体" w:cs="Times New Roman"/>
                <w:color w:val="000000"/>
                <w:sz w:val="24"/>
                <w:szCs w:val="24"/>
              </w:rPr>
              <w:t>年</w:t>
            </w:r>
          </w:p>
        </w:tc>
        <w:tc>
          <w:tcPr>
            <w:tcW w:w="1288" w:type="dxa"/>
            <w:vAlign w:val="center"/>
          </w:tcPr>
          <w:p w14:paraId="21873AB3">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1288" w:type="dxa"/>
            <w:vAlign w:val="center"/>
          </w:tcPr>
          <w:p w14:paraId="06775EF1">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6C4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EC3BC8">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流动资产（万元）</w:t>
            </w:r>
          </w:p>
        </w:tc>
        <w:tc>
          <w:tcPr>
            <w:tcW w:w="1287" w:type="dxa"/>
          </w:tcPr>
          <w:p w14:paraId="21D24E67">
            <w:pPr>
              <w:spacing w:line="440" w:lineRule="exact"/>
              <w:jc w:val="both"/>
              <w:rPr>
                <w:rFonts w:hint="default" w:ascii="Times New Roman" w:hAnsi="Times New Roman" w:eastAsia="宋体" w:cs="Times New Roman"/>
                <w:color w:val="000000"/>
                <w:sz w:val="24"/>
                <w:szCs w:val="24"/>
              </w:rPr>
            </w:pPr>
          </w:p>
        </w:tc>
        <w:tc>
          <w:tcPr>
            <w:tcW w:w="1288" w:type="dxa"/>
          </w:tcPr>
          <w:p w14:paraId="7318F590">
            <w:pPr>
              <w:spacing w:line="440" w:lineRule="exact"/>
              <w:jc w:val="both"/>
              <w:rPr>
                <w:rFonts w:hint="default" w:ascii="Times New Roman" w:hAnsi="Times New Roman" w:eastAsia="宋体" w:cs="Times New Roman"/>
                <w:color w:val="000000"/>
                <w:sz w:val="24"/>
                <w:szCs w:val="24"/>
              </w:rPr>
            </w:pPr>
          </w:p>
        </w:tc>
        <w:tc>
          <w:tcPr>
            <w:tcW w:w="1288" w:type="dxa"/>
          </w:tcPr>
          <w:p w14:paraId="590DA5FB">
            <w:pPr>
              <w:spacing w:line="440" w:lineRule="exact"/>
              <w:jc w:val="both"/>
              <w:rPr>
                <w:rFonts w:hint="default" w:ascii="Times New Roman" w:hAnsi="Times New Roman" w:eastAsia="宋体" w:cs="Times New Roman"/>
                <w:color w:val="000000"/>
                <w:sz w:val="24"/>
                <w:szCs w:val="24"/>
              </w:rPr>
            </w:pPr>
          </w:p>
        </w:tc>
      </w:tr>
      <w:tr w14:paraId="5C3C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95FA3F">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1287" w:type="dxa"/>
          </w:tcPr>
          <w:p w14:paraId="1158A92B">
            <w:pPr>
              <w:spacing w:line="440" w:lineRule="exact"/>
              <w:jc w:val="both"/>
              <w:rPr>
                <w:rFonts w:hint="default" w:ascii="Times New Roman" w:hAnsi="Times New Roman" w:eastAsia="宋体" w:cs="Times New Roman"/>
                <w:color w:val="000000"/>
                <w:sz w:val="24"/>
                <w:szCs w:val="24"/>
              </w:rPr>
            </w:pPr>
          </w:p>
        </w:tc>
        <w:tc>
          <w:tcPr>
            <w:tcW w:w="1288" w:type="dxa"/>
          </w:tcPr>
          <w:p w14:paraId="61DB9B2F">
            <w:pPr>
              <w:spacing w:line="440" w:lineRule="exact"/>
              <w:jc w:val="both"/>
              <w:rPr>
                <w:rFonts w:hint="default" w:ascii="Times New Roman" w:hAnsi="Times New Roman" w:eastAsia="宋体" w:cs="Times New Roman"/>
                <w:color w:val="000000"/>
                <w:sz w:val="24"/>
                <w:szCs w:val="24"/>
              </w:rPr>
            </w:pPr>
          </w:p>
        </w:tc>
        <w:tc>
          <w:tcPr>
            <w:tcW w:w="1288" w:type="dxa"/>
          </w:tcPr>
          <w:p w14:paraId="5EA1DB6E">
            <w:pPr>
              <w:spacing w:line="440" w:lineRule="exact"/>
              <w:jc w:val="both"/>
              <w:rPr>
                <w:rFonts w:hint="default" w:ascii="Times New Roman" w:hAnsi="Times New Roman" w:eastAsia="宋体" w:cs="Times New Roman"/>
                <w:color w:val="000000"/>
                <w:sz w:val="24"/>
                <w:szCs w:val="24"/>
              </w:rPr>
            </w:pPr>
          </w:p>
        </w:tc>
      </w:tr>
      <w:tr w14:paraId="33F6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1E5825">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营业收入（万元）</w:t>
            </w:r>
          </w:p>
        </w:tc>
        <w:tc>
          <w:tcPr>
            <w:tcW w:w="1287" w:type="dxa"/>
          </w:tcPr>
          <w:p w14:paraId="3EC01F36">
            <w:pPr>
              <w:spacing w:line="440" w:lineRule="exact"/>
              <w:jc w:val="both"/>
              <w:rPr>
                <w:rFonts w:hint="default" w:ascii="Times New Roman" w:hAnsi="Times New Roman" w:eastAsia="宋体" w:cs="Times New Roman"/>
                <w:color w:val="000000"/>
                <w:sz w:val="24"/>
                <w:szCs w:val="24"/>
                <w:highlight w:val="yellow"/>
              </w:rPr>
            </w:pPr>
          </w:p>
        </w:tc>
        <w:tc>
          <w:tcPr>
            <w:tcW w:w="1288" w:type="dxa"/>
          </w:tcPr>
          <w:p w14:paraId="17656C5A">
            <w:pPr>
              <w:spacing w:line="440" w:lineRule="exact"/>
              <w:jc w:val="both"/>
              <w:rPr>
                <w:rFonts w:hint="default" w:ascii="Times New Roman" w:hAnsi="Times New Roman" w:eastAsia="宋体" w:cs="Times New Roman"/>
                <w:color w:val="000000"/>
                <w:sz w:val="24"/>
                <w:szCs w:val="24"/>
                <w:highlight w:val="yellow"/>
              </w:rPr>
            </w:pPr>
          </w:p>
        </w:tc>
        <w:tc>
          <w:tcPr>
            <w:tcW w:w="1288" w:type="dxa"/>
          </w:tcPr>
          <w:p w14:paraId="12AC0B0C">
            <w:pPr>
              <w:spacing w:line="440" w:lineRule="exact"/>
              <w:jc w:val="both"/>
              <w:rPr>
                <w:rFonts w:hint="default" w:ascii="Times New Roman" w:hAnsi="Times New Roman" w:eastAsia="宋体" w:cs="Times New Roman"/>
                <w:color w:val="000000"/>
                <w:sz w:val="24"/>
                <w:szCs w:val="24"/>
                <w:highlight w:val="yellow"/>
              </w:rPr>
            </w:pPr>
          </w:p>
        </w:tc>
      </w:tr>
      <w:tr w14:paraId="1D8B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FDE53F">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1287" w:type="dxa"/>
          </w:tcPr>
          <w:p w14:paraId="02EA7710">
            <w:pPr>
              <w:spacing w:line="440" w:lineRule="exact"/>
              <w:jc w:val="both"/>
              <w:rPr>
                <w:rFonts w:hint="default" w:ascii="Times New Roman" w:hAnsi="Times New Roman" w:eastAsia="宋体" w:cs="Times New Roman"/>
                <w:color w:val="000000"/>
                <w:sz w:val="24"/>
                <w:szCs w:val="24"/>
              </w:rPr>
            </w:pPr>
          </w:p>
        </w:tc>
        <w:tc>
          <w:tcPr>
            <w:tcW w:w="1288" w:type="dxa"/>
          </w:tcPr>
          <w:p w14:paraId="2CD1B567">
            <w:pPr>
              <w:spacing w:line="440" w:lineRule="exact"/>
              <w:jc w:val="both"/>
              <w:rPr>
                <w:rFonts w:hint="default" w:ascii="Times New Roman" w:hAnsi="Times New Roman" w:eastAsia="宋体" w:cs="Times New Roman"/>
                <w:color w:val="000000"/>
                <w:sz w:val="24"/>
                <w:szCs w:val="24"/>
              </w:rPr>
            </w:pPr>
          </w:p>
        </w:tc>
        <w:tc>
          <w:tcPr>
            <w:tcW w:w="1288" w:type="dxa"/>
          </w:tcPr>
          <w:p w14:paraId="449A11F9">
            <w:pPr>
              <w:spacing w:line="440" w:lineRule="exact"/>
              <w:jc w:val="both"/>
              <w:rPr>
                <w:rFonts w:hint="default" w:ascii="Times New Roman" w:hAnsi="Times New Roman" w:eastAsia="宋体" w:cs="Times New Roman"/>
                <w:color w:val="000000"/>
                <w:sz w:val="24"/>
                <w:szCs w:val="24"/>
              </w:rPr>
            </w:pPr>
          </w:p>
        </w:tc>
      </w:tr>
      <w:tr w14:paraId="589E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EA69A3">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1287" w:type="dxa"/>
          </w:tcPr>
          <w:p w14:paraId="4392E74E">
            <w:pPr>
              <w:spacing w:line="440" w:lineRule="exact"/>
              <w:jc w:val="both"/>
              <w:rPr>
                <w:rFonts w:hint="default" w:ascii="Times New Roman" w:hAnsi="Times New Roman" w:eastAsia="宋体" w:cs="Times New Roman"/>
                <w:color w:val="000000"/>
                <w:sz w:val="24"/>
                <w:szCs w:val="24"/>
              </w:rPr>
            </w:pPr>
          </w:p>
        </w:tc>
        <w:tc>
          <w:tcPr>
            <w:tcW w:w="1288" w:type="dxa"/>
          </w:tcPr>
          <w:p w14:paraId="493DDF31">
            <w:pPr>
              <w:spacing w:line="440" w:lineRule="exact"/>
              <w:jc w:val="both"/>
              <w:rPr>
                <w:rFonts w:hint="default" w:ascii="Times New Roman" w:hAnsi="Times New Roman" w:eastAsia="宋体" w:cs="Times New Roman"/>
                <w:color w:val="000000"/>
                <w:sz w:val="24"/>
                <w:szCs w:val="24"/>
              </w:rPr>
            </w:pPr>
          </w:p>
        </w:tc>
        <w:tc>
          <w:tcPr>
            <w:tcW w:w="1288" w:type="dxa"/>
          </w:tcPr>
          <w:p w14:paraId="29996AE9">
            <w:pPr>
              <w:spacing w:line="440" w:lineRule="exact"/>
              <w:jc w:val="both"/>
              <w:rPr>
                <w:rFonts w:hint="default" w:ascii="Times New Roman" w:hAnsi="Times New Roman" w:eastAsia="宋体" w:cs="Times New Roman"/>
                <w:color w:val="000000"/>
                <w:sz w:val="24"/>
                <w:szCs w:val="24"/>
              </w:rPr>
            </w:pPr>
          </w:p>
        </w:tc>
      </w:tr>
      <w:tr w14:paraId="06AE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41548B">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资产负债率（  %）</w:t>
            </w:r>
          </w:p>
        </w:tc>
        <w:tc>
          <w:tcPr>
            <w:tcW w:w="1287" w:type="dxa"/>
          </w:tcPr>
          <w:p w14:paraId="13E85D4B">
            <w:pPr>
              <w:spacing w:line="440" w:lineRule="exact"/>
              <w:jc w:val="both"/>
              <w:rPr>
                <w:rFonts w:hint="default" w:ascii="Times New Roman" w:hAnsi="Times New Roman" w:eastAsia="宋体" w:cs="Times New Roman"/>
                <w:color w:val="000000"/>
                <w:sz w:val="24"/>
                <w:szCs w:val="24"/>
                <w:highlight w:val="yellow"/>
              </w:rPr>
            </w:pPr>
          </w:p>
        </w:tc>
        <w:tc>
          <w:tcPr>
            <w:tcW w:w="1288" w:type="dxa"/>
          </w:tcPr>
          <w:p w14:paraId="7F2E91A2">
            <w:pPr>
              <w:spacing w:line="440" w:lineRule="exact"/>
              <w:jc w:val="both"/>
              <w:rPr>
                <w:rFonts w:hint="default" w:ascii="Times New Roman" w:hAnsi="Times New Roman" w:eastAsia="宋体" w:cs="Times New Roman"/>
                <w:color w:val="000000"/>
                <w:sz w:val="24"/>
                <w:szCs w:val="24"/>
                <w:highlight w:val="yellow"/>
              </w:rPr>
            </w:pPr>
          </w:p>
        </w:tc>
        <w:tc>
          <w:tcPr>
            <w:tcW w:w="1288" w:type="dxa"/>
          </w:tcPr>
          <w:p w14:paraId="446BE72C">
            <w:pPr>
              <w:spacing w:line="440" w:lineRule="exact"/>
              <w:jc w:val="both"/>
              <w:rPr>
                <w:rFonts w:hint="default" w:ascii="Times New Roman" w:hAnsi="Times New Roman" w:eastAsia="宋体" w:cs="Times New Roman"/>
                <w:color w:val="000000"/>
                <w:sz w:val="24"/>
                <w:szCs w:val="24"/>
                <w:highlight w:val="yellow"/>
              </w:rPr>
            </w:pPr>
          </w:p>
        </w:tc>
      </w:tr>
      <w:tr w14:paraId="50D4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E435340">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净利润（万元）</w:t>
            </w:r>
          </w:p>
        </w:tc>
        <w:tc>
          <w:tcPr>
            <w:tcW w:w="1287" w:type="dxa"/>
          </w:tcPr>
          <w:p w14:paraId="4FAC779D">
            <w:pPr>
              <w:spacing w:line="440" w:lineRule="exact"/>
              <w:jc w:val="both"/>
              <w:rPr>
                <w:rFonts w:hint="default" w:ascii="Times New Roman" w:hAnsi="Times New Roman" w:eastAsia="宋体" w:cs="Times New Roman"/>
                <w:color w:val="000000"/>
                <w:sz w:val="24"/>
                <w:szCs w:val="24"/>
                <w:highlight w:val="yellow"/>
              </w:rPr>
            </w:pPr>
          </w:p>
        </w:tc>
        <w:tc>
          <w:tcPr>
            <w:tcW w:w="1288" w:type="dxa"/>
          </w:tcPr>
          <w:p w14:paraId="7B30D41D">
            <w:pPr>
              <w:spacing w:line="440" w:lineRule="exact"/>
              <w:jc w:val="both"/>
              <w:rPr>
                <w:rFonts w:hint="default" w:ascii="Times New Roman" w:hAnsi="Times New Roman" w:eastAsia="宋体" w:cs="Times New Roman"/>
                <w:color w:val="000000"/>
                <w:sz w:val="24"/>
                <w:szCs w:val="24"/>
                <w:highlight w:val="yellow"/>
              </w:rPr>
            </w:pPr>
          </w:p>
        </w:tc>
        <w:tc>
          <w:tcPr>
            <w:tcW w:w="1288" w:type="dxa"/>
          </w:tcPr>
          <w:p w14:paraId="0C22B6FA">
            <w:pPr>
              <w:spacing w:line="440" w:lineRule="exact"/>
              <w:jc w:val="both"/>
              <w:rPr>
                <w:rFonts w:hint="default" w:ascii="Times New Roman" w:hAnsi="Times New Roman" w:eastAsia="宋体" w:cs="Times New Roman"/>
                <w:color w:val="000000"/>
                <w:sz w:val="24"/>
                <w:szCs w:val="24"/>
                <w:highlight w:val="yellow"/>
              </w:rPr>
            </w:pPr>
          </w:p>
        </w:tc>
      </w:tr>
      <w:tr w14:paraId="0E36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61FB74">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1287" w:type="dxa"/>
          </w:tcPr>
          <w:p w14:paraId="7AD81FA8">
            <w:pPr>
              <w:spacing w:line="440" w:lineRule="exact"/>
              <w:jc w:val="both"/>
              <w:rPr>
                <w:rFonts w:hint="default" w:ascii="Times New Roman" w:hAnsi="Times New Roman" w:eastAsia="宋体" w:cs="Times New Roman"/>
                <w:color w:val="000000"/>
                <w:sz w:val="24"/>
                <w:szCs w:val="24"/>
              </w:rPr>
            </w:pPr>
          </w:p>
        </w:tc>
        <w:tc>
          <w:tcPr>
            <w:tcW w:w="1288" w:type="dxa"/>
          </w:tcPr>
          <w:p w14:paraId="595502AC">
            <w:pPr>
              <w:spacing w:line="440" w:lineRule="exact"/>
              <w:jc w:val="both"/>
              <w:rPr>
                <w:rFonts w:hint="default" w:ascii="Times New Roman" w:hAnsi="Times New Roman" w:eastAsia="宋体" w:cs="Times New Roman"/>
                <w:color w:val="000000"/>
                <w:sz w:val="24"/>
                <w:szCs w:val="24"/>
              </w:rPr>
            </w:pPr>
          </w:p>
        </w:tc>
        <w:tc>
          <w:tcPr>
            <w:tcW w:w="1288" w:type="dxa"/>
          </w:tcPr>
          <w:p w14:paraId="62B6F341">
            <w:pPr>
              <w:spacing w:line="440" w:lineRule="exact"/>
              <w:jc w:val="both"/>
              <w:rPr>
                <w:rFonts w:hint="default" w:ascii="Times New Roman" w:hAnsi="Times New Roman" w:eastAsia="宋体" w:cs="Times New Roman"/>
                <w:color w:val="000000"/>
                <w:sz w:val="24"/>
                <w:szCs w:val="24"/>
              </w:rPr>
            </w:pPr>
          </w:p>
        </w:tc>
      </w:tr>
      <w:tr w14:paraId="354C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4B3502">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营运资金</w:t>
            </w:r>
          </w:p>
        </w:tc>
        <w:tc>
          <w:tcPr>
            <w:tcW w:w="1287" w:type="dxa"/>
          </w:tcPr>
          <w:p w14:paraId="23A96E21">
            <w:pPr>
              <w:spacing w:line="440" w:lineRule="exact"/>
              <w:jc w:val="both"/>
              <w:rPr>
                <w:rFonts w:hint="default" w:ascii="Times New Roman" w:hAnsi="Times New Roman" w:eastAsia="宋体" w:cs="Times New Roman"/>
                <w:color w:val="000000"/>
                <w:sz w:val="24"/>
                <w:szCs w:val="24"/>
              </w:rPr>
            </w:pPr>
          </w:p>
        </w:tc>
        <w:tc>
          <w:tcPr>
            <w:tcW w:w="1288" w:type="dxa"/>
          </w:tcPr>
          <w:p w14:paraId="2DD3F0D0">
            <w:pPr>
              <w:spacing w:line="440" w:lineRule="exact"/>
              <w:jc w:val="both"/>
              <w:rPr>
                <w:rFonts w:hint="default" w:ascii="Times New Roman" w:hAnsi="Times New Roman" w:eastAsia="宋体" w:cs="Times New Roman"/>
                <w:color w:val="000000"/>
                <w:sz w:val="24"/>
                <w:szCs w:val="24"/>
              </w:rPr>
            </w:pPr>
          </w:p>
        </w:tc>
        <w:tc>
          <w:tcPr>
            <w:tcW w:w="1288" w:type="dxa"/>
          </w:tcPr>
          <w:p w14:paraId="067F217B">
            <w:pPr>
              <w:spacing w:line="440" w:lineRule="exact"/>
              <w:jc w:val="both"/>
              <w:rPr>
                <w:rFonts w:hint="default" w:ascii="Times New Roman" w:hAnsi="Times New Roman" w:eastAsia="宋体" w:cs="Times New Roman"/>
                <w:color w:val="000000"/>
                <w:sz w:val="24"/>
                <w:szCs w:val="24"/>
              </w:rPr>
            </w:pPr>
          </w:p>
        </w:tc>
      </w:tr>
      <w:tr w14:paraId="7FFFD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61E8B8">
            <w:pPr>
              <w:spacing w:line="440" w:lineRule="exact"/>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1287" w:type="dxa"/>
          </w:tcPr>
          <w:p w14:paraId="625A32D6">
            <w:pPr>
              <w:spacing w:line="440" w:lineRule="exact"/>
              <w:jc w:val="both"/>
              <w:rPr>
                <w:rFonts w:hint="default" w:ascii="Times New Roman" w:hAnsi="Times New Roman" w:eastAsia="宋体" w:cs="Times New Roman"/>
                <w:color w:val="000000"/>
                <w:sz w:val="24"/>
                <w:szCs w:val="24"/>
              </w:rPr>
            </w:pPr>
          </w:p>
        </w:tc>
        <w:tc>
          <w:tcPr>
            <w:tcW w:w="1288" w:type="dxa"/>
          </w:tcPr>
          <w:p w14:paraId="76267696">
            <w:pPr>
              <w:spacing w:line="440" w:lineRule="exact"/>
              <w:jc w:val="both"/>
              <w:rPr>
                <w:rFonts w:hint="default" w:ascii="Times New Roman" w:hAnsi="Times New Roman" w:eastAsia="宋体" w:cs="Times New Roman"/>
                <w:color w:val="000000"/>
                <w:sz w:val="24"/>
                <w:szCs w:val="24"/>
              </w:rPr>
            </w:pPr>
          </w:p>
        </w:tc>
        <w:tc>
          <w:tcPr>
            <w:tcW w:w="1288" w:type="dxa"/>
          </w:tcPr>
          <w:p w14:paraId="18EAAECB">
            <w:pPr>
              <w:spacing w:line="440" w:lineRule="exact"/>
              <w:jc w:val="both"/>
              <w:rPr>
                <w:rFonts w:hint="default" w:ascii="Times New Roman" w:hAnsi="Times New Roman" w:eastAsia="宋体" w:cs="Times New Roman"/>
                <w:color w:val="000000"/>
                <w:sz w:val="24"/>
                <w:szCs w:val="24"/>
              </w:rPr>
            </w:pPr>
          </w:p>
        </w:tc>
      </w:tr>
    </w:tbl>
    <w:p w14:paraId="2578A75C">
      <w:pPr>
        <w:spacing w:line="660" w:lineRule="exact"/>
        <w:ind w:firstLine="240" w:firstLineChars="10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674ADE6C">
      <w:pPr>
        <w:spacing w:line="660" w:lineRule="exact"/>
        <w:ind w:firstLine="240" w:firstLineChars="10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233EEB2F">
      <w:pPr>
        <w:spacing w:line="660" w:lineRule="exact"/>
        <w:ind w:firstLine="240" w:firstLineChars="10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B3DA6E1">
      <w:pPr>
        <w:jc w:val="both"/>
        <w:rPr>
          <w:rFonts w:hint="default" w:ascii="Times New Roman" w:hAnsi="Times New Roman" w:eastAsia="宋体" w:cs="Times New Roman"/>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0FE78624">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08D055EB">
      <w:pPr>
        <w:spacing w:line="240" w:lineRule="exact"/>
        <w:jc w:val="both"/>
        <w:rPr>
          <w:rFonts w:hint="default" w:ascii="Times New Roman" w:hAnsi="Times New Roman" w:eastAsia="宋体" w:cs="Times New Roman"/>
          <w:b/>
          <w:bCs/>
          <w:sz w:val="36"/>
          <w:szCs w:val="20"/>
        </w:rPr>
      </w:pPr>
    </w:p>
    <w:p w14:paraId="4AD329F7">
      <w:pPr>
        <w:spacing w:line="360" w:lineRule="auto"/>
        <w:jc w:val="both"/>
        <w:rPr>
          <w:rFonts w:hint="default" w:ascii="Times New Roman" w:hAnsi="Times New Roman" w:eastAsia="宋体" w:cs="Times New Roman"/>
          <w:sz w:val="24"/>
          <w:szCs w:val="20"/>
          <w:highlight w:val="cyan"/>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4"/>
          <w:highlight w:val="none"/>
          <w:u w:val="single"/>
          <w:lang w:val="en-US" w:eastAsia="zh-CN"/>
        </w:rPr>
        <w:t>产品试验检测中心科技园区试验室集装箱式气瓶间改造项目</w:t>
      </w:r>
    </w:p>
    <w:p w14:paraId="0B3C74BE">
      <w:pPr>
        <w:spacing w:line="360" w:lineRule="auto"/>
        <w:jc w:val="both"/>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highlight w:val="none"/>
        </w:rPr>
        <w:t>中国重汽集团济南动力有限公司</w:t>
      </w:r>
      <w:r>
        <w:rPr>
          <w:rFonts w:hint="default" w:ascii="Times New Roman" w:hAnsi="Times New Roman" w:eastAsia="宋体" w:cs="Times New Roman"/>
          <w:b/>
          <w:bCs/>
          <w:sz w:val="24"/>
          <w:szCs w:val="20"/>
        </w:rPr>
        <w:t>：</w:t>
      </w:r>
    </w:p>
    <w:p w14:paraId="327D8FF6">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名称）对招标人的商业秘密作如下承诺：</w:t>
      </w:r>
    </w:p>
    <w:p w14:paraId="7B3EE564">
      <w:pPr>
        <w:spacing w:line="360" w:lineRule="auto"/>
        <w:ind w:left="479" w:leftChars="228"/>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6884CE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B1B660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958099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71DA3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AFDB55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8973689">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167E61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DC2C4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7EE2774">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1B232E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B3F7E1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2077C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873CFB0">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6D77DE5">
      <w:pPr>
        <w:spacing w:line="360" w:lineRule="auto"/>
        <w:ind w:firstLine="480" w:firstLineChars="200"/>
        <w:jc w:val="both"/>
        <w:rPr>
          <w:rFonts w:hint="default" w:ascii="Times New Roman" w:hAnsi="Times New Roman" w:eastAsia="宋体" w:cs="Times New Roman"/>
          <w:sz w:val="24"/>
          <w:szCs w:val="20"/>
          <w:u w:val="single"/>
        </w:rPr>
      </w:pPr>
    </w:p>
    <w:p w14:paraId="5F7EEEE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5F87640">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49C190C1">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1AD3E2AF">
      <w:pPr>
        <w:jc w:val="both"/>
        <w:rPr>
          <w:rFonts w:hint="default" w:ascii="Times New Roman" w:hAnsi="Times New Roman" w:eastAsia="宋体" w:cs="Times New Roman"/>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41D9115">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w:t>
      </w: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 xml:space="preserve"> 技术规格偏离表</w:t>
      </w:r>
    </w:p>
    <w:p w14:paraId="3BE6E5AB">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r>
        <w:rPr>
          <w:rFonts w:hint="default" w:ascii="Times New Roman" w:hAnsi="Times New Roman"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CE5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8BC0333">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F621D32">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307D8373">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1C7C415A">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1B86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775149">
            <w:pPr>
              <w:jc w:val="both"/>
              <w:rPr>
                <w:rFonts w:hint="default" w:ascii="Times New Roman" w:hAnsi="Times New Roman" w:eastAsia="宋体" w:cs="Times New Roman"/>
                <w:b/>
                <w:sz w:val="24"/>
                <w:szCs w:val="20"/>
              </w:rPr>
            </w:pPr>
          </w:p>
        </w:tc>
        <w:tc>
          <w:tcPr>
            <w:tcW w:w="3449" w:type="dxa"/>
          </w:tcPr>
          <w:p w14:paraId="2DD0ACF7">
            <w:pPr>
              <w:jc w:val="both"/>
              <w:rPr>
                <w:rFonts w:hint="default" w:ascii="Times New Roman" w:hAnsi="Times New Roman" w:eastAsia="宋体" w:cs="Times New Roman"/>
                <w:b/>
                <w:sz w:val="24"/>
                <w:szCs w:val="20"/>
              </w:rPr>
            </w:pPr>
            <w:r>
              <w:rPr>
                <w:rFonts w:hint="default" w:ascii="Times New Roman" w:hAnsi="Times New Roman" w:eastAsia="宋体" w:cs="Times New Roman"/>
                <w:sz w:val="24"/>
                <w:szCs w:val="24"/>
                <w:highlight w:val="none"/>
                <w:lang w:val="en-US" w:eastAsia="zh-CN"/>
              </w:rPr>
              <w:t>箱体整体结构及材质所具备的技术要求，是否能够契合相关标准</w:t>
            </w:r>
          </w:p>
        </w:tc>
        <w:tc>
          <w:tcPr>
            <w:tcW w:w="2414" w:type="dxa"/>
          </w:tcPr>
          <w:p w14:paraId="2AD42718">
            <w:pPr>
              <w:jc w:val="both"/>
              <w:rPr>
                <w:rFonts w:hint="default" w:ascii="Times New Roman" w:hAnsi="Times New Roman" w:eastAsia="宋体" w:cs="Times New Roman"/>
                <w:b/>
                <w:sz w:val="24"/>
                <w:szCs w:val="20"/>
              </w:rPr>
            </w:pPr>
          </w:p>
        </w:tc>
        <w:tc>
          <w:tcPr>
            <w:tcW w:w="1608" w:type="dxa"/>
          </w:tcPr>
          <w:p w14:paraId="26D7EAF2">
            <w:pPr>
              <w:jc w:val="both"/>
              <w:rPr>
                <w:rFonts w:hint="default" w:ascii="Times New Roman" w:hAnsi="Times New Roman" w:eastAsia="宋体" w:cs="Times New Roman"/>
                <w:b/>
                <w:sz w:val="24"/>
                <w:szCs w:val="20"/>
              </w:rPr>
            </w:pPr>
          </w:p>
        </w:tc>
      </w:tr>
      <w:tr w14:paraId="09BB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BA96108">
            <w:pPr>
              <w:jc w:val="both"/>
              <w:rPr>
                <w:rFonts w:hint="default" w:ascii="Times New Roman" w:hAnsi="Times New Roman" w:eastAsia="宋体" w:cs="Times New Roman"/>
                <w:b/>
                <w:sz w:val="24"/>
                <w:szCs w:val="20"/>
              </w:rPr>
            </w:pPr>
          </w:p>
        </w:tc>
        <w:tc>
          <w:tcPr>
            <w:tcW w:w="3449" w:type="dxa"/>
          </w:tcPr>
          <w:p w14:paraId="6EC1C4C9">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其能否满足技术标书中 2.2、2.3、2.4、2.5 节所规定的技术要求</w:t>
            </w:r>
          </w:p>
        </w:tc>
        <w:tc>
          <w:tcPr>
            <w:tcW w:w="2414" w:type="dxa"/>
          </w:tcPr>
          <w:p w14:paraId="227613E4">
            <w:pPr>
              <w:jc w:val="both"/>
              <w:rPr>
                <w:rFonts w:hint="default" w:ascii="Times New Roman" w:hAnsi="Times New Roman" w:eastAsia="宋体" w:cs="Times New Roman"/>
                <w:b/>
                <w:sz w:val="24"/>
                <w:szCs w:val="20"/>
              </w:rPr>
            </w:pPr>
          </w:p>
        </w:tc>
        <w:tc>
          <w:tcPr>
            <w:tcW w:w="1608" w:type="dxa"/>
          </w:tcPr>
          <w:p w14:paraId="65E91165">
            <w:pPr>
              <w:jc w:val="both"/>
              <w:rPr>
                <w:rFonts w:hint="default" w:ascii="Times New Roman" w:hAnsi="Times New Roman" w:eastAsia="宋体" w:cs="Times New Roman"/>
                <w:b/>
                <w:sz w:val="24"/>
                <w:szCs w:val="20"/>
              </w:rPr>
            </w:pPr>
          </w:p>
        </w:tc>
      </w:tr>
      <w:tr w14:paraId="1AC0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2E798E">
            <w:pPr>
              <w:jc w:val="both"/>
              <w:rPr>
                <w:rFonts w:hint="default" w:ascii="Times New Roman" w:hAnsi="Times New Roman" w:eastAsia="宋体" w:cs="Times New Roman"/>
                <w:b/>
                <w:sz w:val="24"/>
                <w:szCs w:val="20"/>
              </w:rPr>
            </w:pPr>
          </w:p>
        </w:tc>
        <w:tc>
          <w:tcPr>
            <w:tcW w:w="3449" w:type="dxa"/>
          </w:tcPr>
          <w:p w14:paraId="4D90911C">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对于技术标书 2.6 节中集装箱式气瓶间管路改造的技术要求，能否予以满足</w:t>
            </w:r>
          </w:p>
        </w:tc>
        <w:tc>
          <w:tcPr>
            <w:tcW w:w="2414" w:type="dxa"/>
          </w:tcPr>
          <w:p w14:paraId="337E4E5C">
            <w:pPr>
              <w:jc w:val="both"/>
              <w:rPr>
                <w:rFonts w:hint="default" w:ascii="Times New Roman" w:hAnsi="Times New Roman" w:eastAsia="宋体" w:cs="Times New Roman"/>
                <w:b/>
                <w:sz w:val="24"/>
                <w:szCs w:val="20"/>
              </w:rPr>
            </w:pPr>
          </w:p>
        </w:tc>
        <w:tc>
          <w:tcPr>
            <w:tcW w:w="1608" w:type="dxa"/>
          </w:tcPr>
          <w:p w14:paraId="60D905D3">
            <w:pPr>
              <w:jc w:val="both"/>
              <w:rPr>
                <w:rFonts w:hint="default" w:ascii="Times New Roman" w:hAnsi="Times New Roman" w:eastAsia="宋体" w:cs="Times New Roman"/>
                <w:b/>
                <w:sz w:val="24"/>
                <w:szCs w:val="20"/>
              </w:rPr>
            </w:pPr>
          </w:p>
        </w:tc>
      </w:tr>
      <w:tr w14:paraId="60DB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exact"/>
        </w:trPr>
        <w:tc>
          <w:tcPr>
            <w:tcW w:w="1585" w:type="dxa"/>
          </w:tcPr>
          <w:p w14:paraId="536487A6">
            <w:pPr>
              <w:jc w:val="both"/>
              <w:rPr>
                <w:rFonts w:hint="default" w:ascii="Times New Roman" w:hAnsi="Times New Roman" w:eastAsia="宋体" w:cs="Times New Roman"/>
                <w:b/>
                <w:sz w:val="24"/>
                <w:szCs w:val="20"/>
              </w:rPr>
            </w:pPr>
          </w:p>
        </w:tc>
        <w:tc>
          <w:tcPr>
            <w:tcW w:w="3449" w:type="dxa"/>
          </w:tcPr>
          <w:p w14:paraId="4B72A905">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针对 2.7 节所提出的防撞要求，是否能够达到标准，或者是否存在正偏离的解决方案</w:t>
            </w:r>
          </w:p>
        </w:tc>
        <w:tc>
          <w:tcPr>
            <w:tcW w:w="2414" w:type="dxa"/>
          </w:tcPr>
          <w:p w14:paraId="1F980F4B">
            <w:pPr>
              <w:jc w:val="both"/>
              <w:rPr>
                <w:rFonts w:hint="default" w:ascii="Times New Roman" w:hAnsi="Times New Roman" w:eastAsia="宋体" w:cs="Times New Roman"/>
                <w:b/>
                <w:sz w:val="24"/>
                <w:szCs w:val="20"/>
              </w:rPr>
            </w:pPr>
          </w:p>
        </w:tc>
        <w:tc>
          <w:tcPr>
            <w:tcW w:w="1608" w:type="dxa"/>
          </w:tcPr>
          <w:p w14:paraId="500C7C79">
            <w:pPr>
              <w:jc w:val="both"/>
              <w:rPr>
                <w:rFonts w:hint="default" w:ascii="Times New Roman" w:hAnsi="Times New Roman" w:eastAsia="宋体" w:cs="Times New Roman"/>
                <w:b/>
                <w:sz w:val="24"/>
                <w:szCs w:val="20"/>
              </w:rPr>
            </w:pPr>
          </w:p>
        </w:tc>
      </w:tr>
      <w:tr w14:paraId="289D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D22576">
            <w:pPr>
              <w:jc w:val="both"/>
              <w:rPr>
                <w:rFonts w:hint="default" w:ascii="Times New Roman" w:hAnsi="Times New Roman" w:eastAsia="宋体" w:cs="Times New Roman"/>
                <w:b/>
                <w:sz w:val="24"/>
                <w:szCs w:val="20"/>
              </w:rPr>
            </w:pPr>
          </w:p>
        </w:tc>
        <w:tc>
          <w:tcPr>
            <w:tcW w:w="3449" w:type="dxa"/>
          </w:tcPr>
          <w:p w14:paraId="0A3029F9">
            <w:pPr>
              <w:jc w:val="both"/>
              <w:rPr>
                <w:rFonts w:hint="default" w:ascii="Times New Roman" w:hAnsi="Times New Roman" w:eastAsia="宋体" w:cs="Times New Roman"/>
                <w:b w:val="0"/>
                <w:bCs/>
                <w:sz w:val="24"/>
                <w:szCs w:val="20"/>
              </w:rPr>
            </w:pPr>
            <w:r>
              <w:rPr>
                <w:rFonts w:hint="eastAsia" w:ascii="Times New Roman" w:hAnsi="Times New Roman" w:eastAsia="宋体" w:cs="Times New Roman"/>
                <w:sz w:val="24"/>
                <w:szCs w:val="24"/>
                <w:highlight w:val="none"/>
                <w:lang w:val="en-US" w:eastAsia="zh-CN"/>
              </w:rPr>
              <w:t>管路施工完成后进行管路吹扫和气密性检测的要求，能否得以满足</w:t>
            </w:r>
          </w:p>
        </w:tc>
        <w:tc>
          <w:tcPr>
            <w:tcW w:w="2414" w:type="dxa"/>
          </w:tcPr>
          <w:p w14:paraId="5A961C40">
            <w:pPr>
              <w:jc w:val="both"/>
              <w:rPr>
                <w:rFonts w:hint="default" w:ascii="Times New Roman" w:hAnsi="Times New Roman" w:eastAsia="宋体" w:cs="Times New Roman"/>
                <w:b/>
                <w:sz w:val="24"/>
                <w:szCs w:val="20"/>
              </w:rPr>
            </w:pPr>
          </w:p>
        </w:tc>
        <w:tc>
          <w:tcPr>
            <w:tcW w:w="1608" w:type="dxa"/>
          </w:tcPr>
          <w:p w14:paraId="59F072DD">
            <w:pPr>
              <w:jc w:val="both"/>
              <w:rPr>
                <w:rFonts w:hint="default" w:ascii="Times New Roman" w:hAnsi="Times New Roman" w:eastAsia="宋体" w:cs="Times New Roman"/>
                <w:b/>
                <w:sz w:val="24"/>
                <w:szCs w:val="20"/>
              </w:rPr>
            </w:pPr>
          </w:p>
        </w:tc>
      </w:tr>
      <w:tr w14:paraId="670C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B80B5D7">
            <w:pPr>
              <w:jc w:val="both"/>
              <w:rPr>
                <w:rFonts w:hint="default" w:ascii="Times New Roman" w:hAnsi="Times New Roman" w:eastAsia="宋体" w:cs="Times New Roman"/>
                <w:b/>
                <w:sz w:val="24"/>
                <w:szCs w:val="20"/>
              </w:rPr>
            </w:pPr>
          </w:p>
        </w:tc>
        <w:tc>
          <w:tcPr>
            <w:tcW w:w="3449" w:type="dxa"/>
          </w:tcPr>
          <w:p w14:paraId="295F96F4">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项目整体施工完成后，需聘请具备资质的第三方开展安全评估工作，并完成问题整改，此要求能否达成</w:t>
            </w:r>
          </w:p>
        </w:tc>
        <w:tc>
          <w:tcPr>
            <w:tcW w:w="2414" w:type="dxa"/>
          </w:tcPr>
          <w:p w14:paraId="5DD37DD3">
            <w:pPr>
              <w:jc w:val="both"/>
              <w:rPr>
                <w:rFonts w:hint="default" w:ascii="Times New Roman" w:hAnsi="Times New Roman" w:eastAsia="宋体" w:cs="Times New Roman"/>
                <w:b/>
                <w:sz w:val="24"/>
                <w:szCs w:val="20"/>
              </w:rPr>
            </w:pPr>
          </w:p>
        </w:tc>
        <w:tc>
          <w:tcPr>
            <w:tcW w:w="1608" w:type="dxa"/>
          </w:tcPr>
          <w:p w14:paraId="05B5B3FB">
            <w:pPr>
              <w:jc w:val="both"/>
              <w:rPr>
                <w:rFonts w:hint="default" w:ascii="Times New Roman" w:hAnsi="Times New Roman" w:eastAsia="宋体" w:cs="Times New Roman"/>
                <w:b/>
                <w:sz w:val="24"/>
                <w:szCs w:val="20"/>
              </w:rPr>
            </w:pPr>
          </w:p>
        </w:tc>
      </w:tr>
      <w:tr w14:paraId="0392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77746D">
            <w:pPr>
              <w:jc w:val="both"/>
              <w:rPr>
                <w:rFonts w:hint="default" w:ascii="Times New Roman" w:hAnsi="Times New Roman" w:eastAsia="宋体" w:cs="Times New Roman"/>
                <w:b/>
                <w:sz w:val="24"/>
                <w:szCs w:val="20"/>
              </w:rPr>
            </w:pPr>
          </w:p>
        </w:tc>
        <w:tc>
          <w:tcPr>
            <w:tcW w:w="3449" w:type="dxa"/>
          </w:tcPr>
          <w:p w14:paraId="14A10E4E">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根据招标方要求进行箱内气瓶分区存放与定位的设计，便于日常使用，能否满足</w:t>
            </w:r>
          </w:p>
        </w:tc>
        <w:tc>
          <w:tcPr>
            <w:tcW w:w="2414" w:type="dxa"/>
          </w:tcPr>
          <w:p w14:paraId="2E2EFEBC">
            <w:pPr>
              <w:jc w:val="both"/>
              <w:rPr>
                <w:rFonts w:hint="default" w:ascii="Times New Roman" w:hAnsi="Times New Roman" w:eastAsia="宋体" w:cs="Times New Roman"/>
                <w:b/>
                <w:sz w:val="24"/>
                <w:szCs w:val="20"/>
              </w:rPr>
            </w:pPr>
          </w:p>
        </w:tc>
        <w:tc>
          <w:tcPr>
            <w:tcW w:w="1608" w:type="dxa"/>
          </w:tcPr>
          <w:p w14:paraId="32191054">
            <w:pPr>
              <w:jc w:val="both"/>
              <w:rPr>
                <w:rFonts w:hint="default" w:ascii="Times New Roman" w:hAnsi="Times New Roman" w:eastAsia="宋体" w:cs="Times New Roman"/>
                <w:b/>
                <w:sz w:val="24"/>
                <w:szCs w:val="20"/>
              </w:rPr>
            </w:pPr>
          </w:p>
        </w:tc>
      </w:tr>
      <w:tr w14:paraId="511E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F89580B">
            <w:pPr>
              <w:jc w:val="both"/>
              <w:rPr>
                <w:rFonts w:hint="default" w:ascii="Times New Roman" w:hAnsi="Times New Roman" w:eastAsia="宋体" w:cs="Times New Roman"/>
                <w:b/>
                <w:sz w:val="24"/>
                <w:szCs w:val="20"/>
              </w:rPr>
            </w:pPr>
          </w:p>
        </w:tc>
        <w:tc>
          <w:tcPr>
            <w:tcW w:w="3449" w:type="dxa"/>
          </w:tcPr>
          <w:p w14:paraId="319E7BB9">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能否确保箱体颜色以及管路走线呈现出美观大方的效果</w:t>
            </w:r>
          </w:p>
        </w:tc>
        <w:tc>
          <w:tcPr>
            <w:tcW w:w="2414" w:type="dxa"/>
          </w:tcPr>
          <w:p w14:paraId="569CDFFF">
            <w:pPr>
              <w:jc w:val="both"/>
              <w:rPr>
                <w:rFonts w:hint="default" w:ascii="Times New Roman" w:hAnsi="Times New Roman" w:eastAsia="宋体" w:cs="Times New Roman"/>
                <w:b/>
                <w:sz w:val="24"/>
                <w:szCs w:val="20"/>
              </w:rPr>
            </w:pPr>
          </w:p>
        </w:tc>
        <w:tc>
          <w:tcPr>
            <w:tcW w:w="1608" w:type="dxa"/>
          </w:tcPr>
          <w:p w14:paraId="1F0C64C4">
            <w:pPr>
              <w:jc w:val="both"/>
              <w:rPr>
                <w:rFonts w:hint="default" w:ascii="Times New Roman" w:hAnsi="Times New Roman" w:eastAsia="宋体" w:cs="Times New Roman"/>
                <w:b/>
                <w:sz w:val="24"/>
                <w:szCs w:val="20"/>
              </w:rPr>
            </w:pPr>
          </w:p>
        </w:tc>
      </w:tr>
      <w:tr w14:paraId="40E3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A64F24">
            <w:pPr>
              <w:jc w:val="both"/>
              <w:rPr>
                <w:rFonts w:hint="default" w:ascii="Times New Roman" w:hAnsi="Times New Roman" w:eastAsia="宋体" w:cs="Times New Roman"/>
                <w:b/>
                <w:sz w:val="24"/>
                <w:szCs w:val="20"/>
              </w:rPr>
            </w:pPr>
          </w:p>
        </w:tc>
        <w:tc>
          <w:tcPr>
            <w:tcW w:w="3449" w:type="dxa"/>
          </w:tcPr>
          <w:p w14:paraId="3461901E">
            <w:pPr>
              <w:jc w:val="both"/>
              <w:rPr>
                <w:rFonts w:hint="default" w:ascii="Times New Roman" w:hAnsi="Times New Roman" w:eastAsia="宋体" w:cs="Times New Roman"/>
                <w:b/>
                <w:sz w:val="24"/>
                <w:szCs w:val="20"/>
              </w:rPr>
            </w:pPr>
            <w:r>
              <w:rPr>
                <w:rFonts w:hint="eastAsia" w:ascii="Times New Roman" w:hAnsi="Times New Roman" w:eastAsia="宋体" w:cs="Times New Roman"/>
                <w:sz w:val="24"/>
                <w:szCs w:val="24"/>
                <w:highlight w:val="none"/>
                <w:lang w:val="en-US" w:eastAsia="zh-CN"/>
              </w:rPr>
              <w:t>能否保证报警装置能够接入招标方的消防中控室</w:t>
            </w:r>
          </w:p>
        </w:tc>
        <w:tc>
          <w:tcPr>
            <w:tcW w:w="2414" w:type="dxa"/>
          </w:tcPr>
          <w:p w14:paraId="4E90A940">
            <w:pPr>
              <w:jc w:val="both"/>
              <w:rPr>
                <w:rFonts w:hint="default" w:ascii="Times New Roman" w:hAnsi="Times New Roman" w:eastAsia="宋体" w:cs="Times New Roman"/>
                <w:b/>
                <w:sz w:val="24"/>
                <w:szCs w:val="20"/>
              </w:rPr>
            </w:pPr>
          </w:p>
        </w:tc>
        <w:tc>
          <w:tcPr>
            <w:tcW w:w="1608" w:type="dxa"/>
          </w:tcPr>
          <w:p w14:paraId="572C686D">
            <w:pPr>
              <w:jc w:val="both"/>
              <w:rPr>
                <w:rFonts w:hint="default" w:ascii="Times New Roman" w:hAnsi="Times New Roman" w:eastAsia="宋体" w:cs="Times New Roman"/>
                <w:b/>
                <w:sz w:val="24"/>
                <w:szCs w:val="20"/>
              </w:rPr>
            </w:pPr>
          </w:p>
        </w:tc>
      </w:tr>
      <w:tr w14:paraId="2650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02E116">
            <w:pPr>
              <w:jc w:val="both"/>
              <w:rPr>
                <w:rFonts w:hint="default" w:ascii="Times New Roman" w:hAnsi="Times New Roman" w:eastAsia="宋体" w:cs="Times New Roman"/>
                <w:b/>
                <w:sz w:val="24"/>
                <w:szCs w:val="20"/>
              </w:rPr>
            </w:pPr>
          </w:p>
        </w:tc>
        <w:tc>
          <w:tcPr>
            <w:tcW w:w="3449" w:type="dxa"/>
          </w:tcPr>
          <w:p w14:paraId="6F3BFDAE">
            <w:pPr>
              <w:jc w:val="both"/>
              <w:rPr>
                <w:rFonts w:hint="default" w:ascii="Times New Roman" w:hAnsi="Times New Roman" w:eastAsia="宋体" w:cs="Times New Roman"/>
                <w:b/>
                <w:sz w:val="24"/>
                <w:szCs w:val="20"/>
              </w:rPr>
            </w:pPr>
          </w:p>
        </w:tc>
        <w:tc>
          <w:tcPr>
            <w:tcW w:w="2414" w:type="dxa"/>
          </w:tcPr>
          <w:p w14:paraId="2FAAC54D">
            <w:pPr>
              <w:jc w:val="both"/>
              <w:rPr>
                <w:rFonts w:hint="default" w:ascii="Times New Roman" w:hAnsi="Times New Roman" w:eastAsia="宋体" w:cs="Times New Roman"/>
                <w:b/>
                <w:sz w:val="24"/>
                <w:szCs w:val="20"/>
              </w:rPr>
            </w:pPr>
          </w:p>
        </w:tc>
        <w:tc>
          <w:tcPr>
            <w:tcW w:w="1608" w:type="dxa"/>
          </w:tcPr>
          <w:p w14:paraId="1725710E">
            <w:pPr>
              <w:jc w:val="both"/>
              <w:rPr>
                <w:rFonts w:hint="default" w:ascii="Times New Roman" w:hAnsi="Times New Roman" w:eastAsia="宋体" w:cs="Times New Roman"/>
                <w:b/>
                <w:sz w:val="24"/>
                <w:szCs w:val="20"/>
              </w:rPr>
            </w:pPr>
          </w:p>
        </w:tc>
      </w:tr>
      <w:tr w14:paraId="0350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C9ACAA">
            <w:pPr>
              <w:jc w:val="both"/>
              <w:rPr>
                <w:rFonts w:hint="default" w:ascii="Times New Roman" w:hAnsi="Times New Roman" w:eastAsia="宋体" w:cs="Times New Roman"/>
                <w:b/>
                <w:sz w:val="24"/>
                <w:szCs w:val="20"/>
              </w:rPr>
            </w:pPr>
          </w:p>
        </w:tc>
        <w:tc>
          <w:tcPr>
            <w:tcW w:w="3449" w:type="dxa"/>
          </w:tcPr>
          <w:p w14:paraId="117CBAB3">
            <w:pPr>
              <w:jc w:val="both"/>
              <w:rPr>
                <w:rFonts w:hint="default" w:ascii="Times New Roman" w:hAnsi="Times New Roman" w:eastAsia="宋体" w:cs="Times New Roman"/>
                <w:b/>
                <w:sz w:val="24"/>
                <w:szCs w:val="20"/>
              </w:rPr>
            </w:pPr>
          </w:p>
        </w:tc>
        <w:tc>
          <w:tcPr>
            <w:tcW w:w="2414" w:type="dxa"/>
          </w:tcPr>
          <w:p w14:paraId="2AD0FB81">
            <w:pPr>
              <w:jc w:val="both"/>
              <w:rPr>
                <w:rFonts w:hint="default" w:ascii="Times New Roman" w:hAnsi="Times New Roman" w:eastAsia="宋体" w:cs="Times New Roman"/>
                <w:b/>
                <w:sz w:val="24"/>
                <w:szCs w:val="20"/>
              </w:rPr>
            </w:pPr>
          </w:p>
        </w:tc>
        <w:tc>
          <w:tcPr>
            <w:tcW w:w="1608" w:type="dxa"/>
          </w:tcPr>
          <w:p w14:paraId="4FEB8E7D">
            <w:pPr>
              <w:jc w:val="both"/>
              <w:rPr>
                <w:rFonts w:hint="default" w:ascii="Times New Roman" w:hAnsi="Times New Roman" w:eastAsia="宋体" w:cs="Times New Roman"/>
                <w:b/>
                <w:sz w:val="24"/>
                <w:szCs w:val="20"/>
              </w:rPr>
            </w:pPr>
          </w:p>
        </w:tc>
      </w:tr>
      <w:tr w14:paraId="3F93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FCC4E63">
            <w:pPr>
              <w:jc w:val="both"/>
              <w:rPr>
                <w:rFonts w:hint="default" w:ascii="Times New Roman" w:hAnsi="Times New Roman" w:eastAsia="宋体" w:cs="Times New Roman"/>
                <w:b/>
                <w:sz w:val="24"/>
                <w:szCs w:val="20"/>
              </w:rPr>
            </w:pPr>
          </w:p>
        </w:tc>
        <w:tc>
          <w:tcPr>
            <w:tcW w:w="3449" w:type="dxa"/>
          </w:tcPr>
          <w:p w14:paraId="24C59DD2">
            <w:pPr>
              <w:jc w:val="both"/>
              <w:rPr>
                <w:rFonts w:hint="default" w:ascii="Times New Roman" w:hAnsi="Times New Roman" w:eastAsia="宋体" w:cs="Times New Roman"/>
                <w:b/>
                <w:sz w:val="24"/>
                <w:szCs w:val="20"/>
              </w:rPr>
            </w:pPr>
          </w:p>
        </w:tc>
        <w:tc>
          <w:tcPr>
            <w:tcW w:w="2414" w:type="dxa"/>
          </w:tcPr>
          <w:p w14:paraId="299C27E2">
            <w:pPr>
              <w:jc w:val="both"/>
              <w:rPr>
                <w:rFonts w:hint="default" w:ascii="Times New Roman" w:hAnsi="Times New Roman" w:eastAsia="宋体" w:cs="Times New Roman"/>
                <w:b/>
                <w:sz w:val="24"/>
                <w:szCs w:val="20"/>
              </w:rPr>
            </w:pPr>
          </w:p>
        </w:tc>
        <w:tc>
          <w:tcPr>
            <w:tcW w:w="1608" w:type="dxa"/>
          </w:tcPr>
          <w:p w14:paraId="0B646CCE">
            <w:pPr>
              <w:jc w:val="both"/>
              <w:rPr>
                <w:rFonts w:hint="default" w:ascii="Times New Roman" w:hAnsi="Times New Roman" w:eastAsia="宋体" w:cs="Times New Roman"/>
                <w:b/>
                <w:sz w:val="24"/>
                <w:szCs w:val="20"/>
              </w:rPr>
            </w:pPr>
          </w:p>
        </w:tc>
      </w:tr>
      <w:tr w14:paraId="3629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134249">
            <w:pPr>
              <w:jc w:val="both"/>
              <w:rPr>
                <w:rFonts w:hint="default" w:ascii="Times New Roman" w:hAnsi="Times New Roman" w:eastAsia="宋体" w:cs="Times New Roman"/>
                <w:b/>
                <w:sz w:val="24"/>
                <w:szCs w:val="20"/>
              </w:rPr>
            </w:pPr>
          </w:p>
        </w:tc>
        <w:tc>
          <w:tcPr>
            <w:tcW w:w="3449" w:type="dxa"/>
          </w:tcPr>
          <w:p w14:paraId="6D056728">
            <w:pPr>
              <w:jc w:val="both"/>
              <w:rPr>
                <w:rFonts w:hint="default" w:ascii="Times New Roman" w:hAnsi="Times New Roman" w:eastAsia="宋体" w:cs="Times New Roman"/>
                <w:b/>
                <w:sz w:val="24"/>
                <w:szCs w:val="20"/>
              </w:rPr>
            </w:pPr>
          </w:p>
        </w:tc>
        <w:tc>
          <w:tcPr>
            <w:tcW w:w="2414" w:type="dxa"/>
          </w:tcPr>
          <w:p w14:paraId="79F7B1D2">
            <w:pPr>
              <w:jc w:val="both"/>
              <w:rPr>
                <w:rFonts w:hint="default" w:ascii="Times New Roman" w:hAnsi="Times New Roman" w:eastAsia="宋体" w:cs="Times New Roman"/>
                <w:b/>
                <w:sz w:val="24"/>
                <w:szCs w:val="20"/>
              </w:rPr>
            </w:pPr>
          </w:p>
        </w:tc>
        <w:tc>
          <w:tcPr>
            <w:tcW w:w="1608" w:type="dxa"/>
          </w:tcPr>
          <w:p w14:paraId="1F2482BE">
            <w:pPr>
              <w:jc w:val="both"/>
              <w:rPr>
                <w:rFonts w:hint="default" w:ascii="Times New Roman" w:hAnsi="Times New Roman" w:eastAsia="宋体" w:cs="Times New Roman"/>
                <w:b/>
                <w:sz w:val="24"/>
                <w:szCs w:val="20"/>
              </w:rPr>
            </w:pPr>
          </w:p>
        </w:tc>
      </w:tr>
    </w:tbl>
    <w:p w14:paraId="303F38D5">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2C62A67C">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AE94F21">
      <w:pPr>
        <w:jc w:val="both"/>
        <w:rPr>
          <w:rFonts w:hint="default" w:ascii="Times New Roman" w:hAnsi="Times New Roman" w:eastAsia="宋体" w:cs="Times New Roman"/>
          <w:b/>
          <w:bCs/>
          <w:color w:val="000000"/>
          <w:sz w:val="28"/>
          <w:szCs w:val="20"/>
        </w:rPr>
      </w:pPr>
    </w:p>
    <w:p w14:paraId="64AA486C">
      <w:pPr>
        <w:jc w:val="both"/>
        <w:rPr>
          <w:rFonts w:hint="default" w:ascii="Times New Roman" w:hAnsi="Times New Roman" w:eastAsia="宋体" w:cs="Times New Roman"/>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C2021A9">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w:t>
      </w: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spacing w:val="13"/>
          <w:sz w:val="24"/>
          <w:szCs w:val="24"/>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备分项</w:t>
      </w:r>
      <w:r>
        <w:rPr>
          <w:rFonts w:hint="default" w:ascii="Times New Roman" w:hAnsi="Times New Roman" w:eastAsia="宋体" w:cs="Times New Roman"/>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446A4EF3">
      <w:pPr>
        <w:keepNext/>
        <w:keepLines/>
        <w:spacing w:line="400" w:lineRule="exact"/>
        <w:jc w:val="both"/>
        <w:rPr>
          <w:rFonts w:hint="default" w:ascii="Times New Roman" w:hAnsi="Times New Roman" w:eastAsia="宋体" w:cs="Times New Roman"/>
          <w:b/>
          <w:bCs/>
          <w:sz w:val="24"/>
          <w:szCs w:val="24"/>
        </w:rPr>
      </w:pPr>
      <w:r>
        <w:rPr>
          <w:rFonts w:hint="default" w:ascii="Times New Roman" w:hAnsi="Times New Roman" w:eastAsia="宋体" w:cs="Times New Roman"/>
          <w:spacing w:val="13"/>
          <w:sz w:val="24"/>
          <w:szCs w:val="24"/>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备分项</w:t>
      </w:r>
      <w:r>
        <w:rPr>
          <w:rFonts w:hint="default" w:ascii="Times New Roman" w:hAnsi="Times New Roman" w:eastAsia="宋体" w:cs="Times New Roman"/>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表</w:t>
      </w:r>
    </w:p>
    <w:p w14:paraId="2CB20C8B">
      <w:pPr>
        <w:spacing w:before="52" w:line="221" w:lineRule="auto"/>
        <w:ind w:left="9"/>
        <w:jc w:val="both"/>
        <w:rPr>
          <w:rFonts w:hint="default" w:ascii="Times New Roman" w:hAnsi="Times New Roman" w:eastAsia="宋体" w:cs="Times New Roman"/>
          <w:b/>
          <w:bCs/>
          <w:sz w:val="24"/>
          <w:szCs w:val="24"/>
        </w:rPr>
      </w:pP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 共  页</w:t>
      </w:r>
    </w:p>
    <w:tbl>
      <w:tblPr>
        <w:tblStyle w:val="127"/>
        <w:tblW w:w="137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292"/>
        <w:gridCol w:w="1915"/>
        <w:gridCol w:w="2571"/>
        <w:gridCol w:w="1114"/>
        <w:gridCol w:w="1483"/>
        <w:gridCol w:w="1683"/>
        <w:gridCol w:w="1254"/>
        <w:gridCol w:w="860"/>
        <w:gridCol w:w="860"/>
      </w:tblGrid>
      <w:tr w14:paraId="1F555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top"/>
          </w:tcPr>
          <w:p w14:paraId="3FDA2870">
            <w:pPr>
              <w:spacing w:before="97" w:line="186" w:lineRule="auto"/>
              <w:ind w:left="304" w:leftChars="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1</w:t>
            </w:r>
          </w:p>
        </w:tc>
        <w:tc>
          <w:tcPr>
            <w:tcW w:w="3207" w:type="dxa"/>
            <w:gridSpan w:val="2"/>
            <w:vAlign w:val="top"/>
          </w:tcPr>
          <w:p w14:paraId="31A4F3D5">
            <w:pPr>
              <w:spacing w:before="98" w:line="185" w:lineRule="auto"/>
              <w:ind w:left="1071" w:lef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2</w:t>
            </w:r>
          </w:p>
        </w:tc>
        <w:tc>
          <w:tcPr>
            <w:tcW w:w="2571" w:type="dxa"/>
            <w:vAlign w:val="top"/>
          </w:tcPr>
          <w:p w14:paraId="6D16977E">
            <w:pPr>
              <w:spacing w:before="99" w:line="183" w:lineRule="auto"/>
              <w:ind w:left="1075" w:leftChars="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3</w:t>
            </w:r>
          </w:p>
        </w:tc>
        <w:tc>
          <w:tcPr>
            <w:tcW w:w="1114" w:type="dxa"/>
            <w:vAlign w:val="top"/>
          </w:tcPr>
          <w:p w14:paraId="6037BA18">
            <w:pPr>
              <w:spacing w:before="98" w:line="185" w:lineRule="auto"/>
              <w:ind w:left="511" w:leftChars="0"/>
              <w:jc w:val="both"/>
              <w:rPr>
                <w:rFonts w:hint="default" w:ascii="Times New Roman" w:hAnsi="Times New Roman" w:eastAsia="宋体" w:cs="Times New Roman"/>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w:t>
            </w:r>
          </w:p>
        </w:tc>
        <w:tc>
          <w:tcPr>
            <w:tcW w:w="1483" w:type="dxa"/>
            <w:vAlign w:val="top"/>
          </w:tcPr>
          <w:p w14:paraId="35674A90">
            <w:pPr>
              <w:spacing w:before="100" w:line="182"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5</w:t>
            </w:r>
          </w:p>
        </w:tc>
        <w:tc>
          <w:tcPr>
            <w:tcW w:w="1683" w:type="dxa"/>
            <w:vAlign w:val="top"/>
          </w:tcPr>
          <w:p w14:paraId="6C4EEC1C">
            <w:pPr>
              <w:spacing w:before="98" w:line="185"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6</w:t>
            </w:r>
          </w:p>
        </w:tc>
        <w:tc>
          <w:tcPr>
            <w:tcW w:w="1254" w:type="dxa"/>
            <w:tcBorders>
              <w:right w:val="single" w:color="000000" w:sz="4" w:space="0"/>
            </w:tcBorders>
            <w:vAlign w:val="top"/>
          </w:tcPr>
          <w:p w14:paraId="4310DFAC">
            <w:pPr>
              <w:spacing w:before="98" w:line="185"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7</w:t>
            </w:r>
          </w:p>
        </w:tc>
        <w:tc>
          <w:tcPr>
            <w:tcW w:w="860" w:type="dxa"/>
            <w:tcBorders>
              <w:left w:val="single" w:color="000000" w:sz="4" w:space="0"/>
            </w:tcBorders>
            <w:vAlign w:val="top"/>
          </w:tcPr>
          <w:p w14:paraId="5F03A738">
            <w:pPr>
              <w:spacing w:before="100" w:line="182"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8</w:t>
            </w:r>
          </w:p>
        </w:tc>
        <w:tc>
          <w:tcPr>
            <w:tcW w:w="860" w:type="dxa"/>
            <w:tcBorders>
              <w:left w:val="single" w:color="000000" w:sz="4" w:space="0"/>
            </w:tcBorders>
            <w:vAlign w:val="top"/>
          </w:tcPr>
          <w:p w14:paraId="0CB365B2">
            <w:pPr>
              <w:spacing w:before="100" w:line="182" w:lineRule="auto"/>
              <w:jc w:val="both"/>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pPr>
            <w:r>
              <w:rPr>
                <w:rFonts w:hint="eastAsia"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9</w:t>
            </w:r>
          </w:p>
        </w:tc>
      </w:tr>
      <w:tr w14:paraId="4F00B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672" w:type="dxa"/>
            <w:vAlign w:val="center"/>
          </w:tcPr>
          <w:p w14:paraId="794C991C">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207" w:type="dxa"/>
            <w:gridSpan w:val="2"/>
            <w:vAlign w:val="center"/>
          </w:tcPr>
          <w:p w14:paraId="7689867B">
            <w:pPr>
              <w:spacing w:line="221" w:lineRule="auto"/>
              <w:jc w:val="center"/>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货物名称</w:t>
            </w:r>
          </w:p>
        </w:tc>
        <w:tc>
          <w:tcPr>
            <w:tcW w:w="2571" w:type="dxa"/>
            <w:vAlign w:val="center"/>
          </w:tcPr>
          <w:p w14:paraId="6B8FE521">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型号和规格</w:t>
            </w:r>
          </w:p>
        </w:tc>
        <w:tc>
          <w:tcPr>
            <w:tcW w:w="1114" w:type="dxa"/>
            <w:vAlign w:val="center"/>
          </w:tcPr>
          <w:p w14:paraId="1962DEA3">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单位</w:t>
            </w:r>
          </w:p>
        </w:tc>
        <w:tc>
          <w:tcPr>
            <w:tcW w:w="1483" w:type="dxa"/>
            <w:vAlign w:val="center"/>
          </w:tcPr>
          <w:p w14:paraId="3C9A6E43">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数量</w:t>
            </w:r>
          </w:p>
        </w:tc>
        <w:tc>
          <w:tcPr>
            <w:tcW w:w="1683" w:type="dxa"/>
            <w:vAlign w:val="center"/>
          </w:tcPr>
          <w:p w14:paraId="35CAFD2F">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原产地和制造商名称</w:t>
            </w:r>
          </w:p>
        </w:tc>
        <w:tc>
          <w:tcPr>
            <w:tcW w:w="1254" w:type="dxa"/>
            <w:tcBorders>
              <w:right w:val="single" w:color="000000" w:sz="4" w:space="0"/>
            </w:tcBorders>
            <w:vAlign w:val="center"/>
          </w:tcPr>
          <w:p w14:paraId="51949D61">
            <w:pPr>
              <w:spacing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单价（不含税）</w:t>
            </w:r>
          </w:p>
          <w:p w14:paraId="17090463">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c>
          <w:tcPr>
            <w:tcW w:w="860" w:type="dxa"/>
            <w:tcBorders>
              <w:left w:val="single" w:color="000000" w:sz="4" w:space="0"/>
            </w:tcBorders>
            <w:vAlign w:val="center"/>
          </w:tcPr>
          <w:p w14:paraId="43B21D68">
            <w:pPr>
              <w:spacing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5</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7</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]（不含税）</w:t>
            </w:r>
          </w:p>
          <w:p w14:paraId="59C923F9">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c>
          <w:tcPr>
            <w:tcW w:w="860" w:type="dxa"/>
            <w:tcBorders>
              <w:left w:val="single" w:color="000000" w:sz="4" w:space="0"/>
            </w:tcBorders>
            <w:vAlign w:val="center"/>
          </w:tcPr>
          <w:p w14:paraId="51EC5898">
            <w:pPr>
              <w:spacing w:line="221" w:lineRule="auto"/>
              <w:jc w:val="both"/>
              <w:rPr>
                <w:rFonts w:hint="eastAsia"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pPr>
            <w:r>
              <w:rPr>
                <w:rFonts w:hint="eastAsia"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备注</w:t>
            </w:r>
          </w:p>
        </w:tc>
      </w:tr>
      <w:tr w14:paraId="7AC1A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restart"/>
            <w:vAlign w:val="center"/>
          </w:tcPr>
          <w:p w14:paraId="7E66A0EC">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p>
          <w:p w14:paraId="789EF6F9">
            <w:pPr>
              <w:pageBreakBefore w:val="0"/>
              <w:kinsoku/>
              <w:wordWrap/>
              <w:overflowPunct/>
              <w:topLinePunct w:val="0"/>
              <w:bidi w:val="0"/>
              <w:spacing w:line="360" w:lineRule="auto"/>
              <w:ind w:right="0" w:rightChars="0"/>
              <w:jc w:val="center"/>
              <w:rPr>
                <w:rFonts w:hint="default" w:ascii="Times New Roman" w:hAnsi="Times New Roman" w:eastAsia="宋体" w:cs="Times New Roman"/>
              </w:rPr>
            </w:pPr>
          </w:p>
        </w:tc>
        <w:tc>
          <w:tcPr>
            <w:tcW w:w="1292" w:type="dxa"/>
            <w:vMerge w:val="restart"/>
            <w:shd w:val="clear" w:color="auto" w:fill="auto"/>
            <w:vAlign w:val="center"/>
          </w:tcPr>
          <w:p w14:paraId="34A42586">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集装箱式气瓶间</w:t>
            </w:r>
          </w:p>
        </w:tc>
        <w:tc>
          <w:tcPr>
            <w:tcW w:w="1915" w:type="dxa"/>
            <w:shd w:val="clear" w:color="auto" w:fill="auto"/>
            <w:vAlign w:val="center"/>
          </w:tcPr>
          <w:p w14:paraId="3D94E2E9">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号试验室气瓶集装箱</w:t>
            </w:r>
          </w:p>
        </w:tc>
        <w:tc>
          <w:tcPr>
            <w:tcW w:w="2571" w:type="dxa"/>
            <w:shd w:val="clear" w:color="auto" w:fill="auto"/>
            <w:vAlign w:val="center"/>
          </w:tcPr>
          <w:p w14:paraId="16E064D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58BEE47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559204C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187F6663">
            <w:pPr>
              <w:jc w:val="both"/>
              <w:rPr>
                <w:rFonts w:hint="default" w:ascii="Times New Roman" w:hAnsi="Times New Roman" w:eastAsia="宋体" w:cs="Times New Roman"/>
              </w:rPr>
            </w:pPr>
          </w:p>
        </w:tc>
        <w:tc>
          <w:tcPr>
            <w:tcW w:w="1254" w:type="dxa"/>
            <w:tcBorders>
              <w:right w:val="single" w:color="000000" w:sz="4" w:space="0"/>
            </w:tcBorders>
          </w:tcPr>
          <w:p w14:paraId="64DCF647">
            <w:pPr>
              <w:jc w:val="both"/>
              <w:rPr>
                <w:rFonts w:hint="default" w:ascii="Times New Roman" w:hAnsi="Times New Roman" w:eastAsia="宋体" w:cs="Times New Roman"/>
              </w:rPr>
            </w:pPr>
          </w:p>
        </w:tc>
        <w:tc>
          <w:tcPr>
            <w:tcW w:w="860" w:type="dxa"/>
            <w:tcBorders>
              <w:left w:val="single" w:color="000000" w:sz="4" w:space="0"/>
            </w:tcBorders>
          </w:tcPr>
          <w:p w14:paraId="444889EF">
            <w:pPr>
              <w:jc w:val="both"/>
              <w:rPr>
                <w:rFonts w:hint="default" w:ascii="Times New Roman" w:hAnsi="Times New Roman" w:eastAsia="宋体" w:cs="Times New Roman"/>
              </w:rPr>
            </w:pPr>
          </w:p>
        </w:tc>
        <w:tc>
          <w:tcPr>
            <w:tcW w:w="860" w:type="dxa"/>
            <w:tcBorders>
              <w:left w:val="single" w:color="000000" w:sz="4" w:space="0"/>
            </w:tcBorders>
          </w:tcPr>
          <w:p w14:paraId="4A453BCA">
            <w:pPr>
              <w:jc w:val="both"/>
              <w:rPr>
                <w:rFonts w:hint="default" w:ascii="Times New Roman" w:hAnsi="Times New Roman" w:eastAsia="宋体" w:cs="Times New Roman"/>
              </w:rPr>
            </w:pPr>
          </w:p>
        </w:tc>
      </w:tr>
      <w:tr w14:paraId="281F3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483B7297">
            <w:pPr>
              <w:pageBreakBefore w:val="0"/>
              <w:kinsoku/>
              <w:wordWrap/>
              <w:overflowPunct/>
              <w:topLinePunct w:val="0"/>
              <w:bidi w:val="0"/>
              <w:spacing w:line="360" w:lineRule="auto"/>
              <w:ind w:right="0" w:rightChars="0"/>
              <w:jc w:val="center"/>
              <w:rPr>
                <w:rFonts w:hint="default" w:ascii="Times New Roman" w:hAnsi="Times New Roman" w:eastAsia="宋体" w:cs="Times New Roman"/>
              </w:rPr>
            </w:pPr>
          </w:p>
        </w:tc>
        <w:tc>
          <w:tcPr>
            <w:tcW w:w="1292" w:type="dxa"/>
            <w:vMerge w:val="continue"/>
            <w:shd w:val="clear" w:color="auto" w:fill="auto"/>
            <w:vAlign w:val="center"/>
          </w:tcPr>
          <w:p w14:paraId="016C48C8">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1915" w:type="dxa"/>
            <w:shd w:val="clear" w:color="auto" w:fill="auto"/>
            <w:vAlign w:val="center"/>
          </w:tcPr>
          <w:p w14:paraId="6D0B4CF7">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（备瓶和空瓶存放区）</w:t>
            </w:r>
          </w:p>
        </w:tc>
        <w:tc>
          <w:tcPr>
            <w:tcW w:w="2571" w:type="dxa"/>
            <w:shd w:val="clear" w:color="auto" w:fill="auto"/>
            <w:vAlign w:val="center"/>
          </w:tcPr>
          <w:p w14:paraId="6DC535F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1E565A4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5E1E1DC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7EDD7A54">
            <w:pPr>
              <w:jc w:val="both"/>
              <w:rPr>
                <w:rFonts w:hint="default" w:ascii="Times New Roman" w:hAnsi="Times New Roman" w:eastAsia="宋体" w:cs="Times New Roman"/>
              </w:rPr>
            </w:pPr>
          </w:p>
        </w:tc>
        <w:tc>
          <w:tcPr>
            <w:tcW w:w="1254" w:type="dxa"/>
            <w:tcBorders>
              <w:right w:val="single" w:color="000000" w:sz="4" w:space="0"/>
            </w:tcBorders>
          </w:tcPr>
          <w:p w14:paraId="7E461DDD">
            <w:pPr>
              <w:jc w:val="both"/>
              <w:rPr>
                <w:rFonts w:hint="default" w:ascii="Times New Roman" w:hAnsi="Times New Roman" w:eastAsia="宋体" w:cs="Times New Roman"/>
              </w:rPr>
            </w:pPr>
          </w:p>
        </w:tc>
        <w:tc>
          <w:tcPr>
            <w:tcW w:w="860" w:type="dxa"/>
            <w:tcBorders>
              <w:left w:val="single" w:color="000000" w:sz="4" w:space="0"/>
            </w:tcBorders>
          </w:tcPr>
          <w:p w14:paraId="6EF5D2EB">
            <w:pPr>
              <w:jc w:val="both"/>
              <w:rPr>
                <w:rFonts w:hint="default" w:ascii="Times New Roman" w:hAnsi="Times New Roman" w:eastAsia="宋体" w:cs="Times New Roman"/>
              </w:rPr>
            </w:pPr>
          </w:p>
        </w:tc>
        <w:tc>
          <w:tcPr>
            <w:tcW w:w="860" w:type="dxa"/>
            <w:tcBorders>
              <w:left w:val="single" w:color="000000" w:sz="4" w:space="0"/>
            </w:tcBorders>
          </w:tcPr>
          <w:p w14:paraId="1C6ACF0A">
            <w:pPr>
              <w:jc w:val="both"/>
              <w:rPr>
                <w:rFonts w:hint="default" w:ascii="Times New Roman" w:hAnsi="Times New Roman" w:eastAsia="宋体" w:cs="Times New Roman"/>
              </w:rPr>
            </w:pPr>
          </w:p>
        </w:tc>
      </w:tr>
      <w:tr w14:paraId="6CF0A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6E14659C">
            <w:pPr>
              <w:pageBreakBefore w:val="0"/>
              <w:kinsoku/>
              <w:wordWrap/>
              <w:overflowPunct/>
              <w:topLinePunct w:val="0"/>
              <w:bidi w:val="0"/>
              <w:spacing w:line="360" w:lineRule="auto"/>
              <w:ind w:right="0" w:rightChars="0"/>
              <w:jc w:val="center"/>
              <w:rPr>
                <w:rFonts w:hint="default" w:ascii="Times New Roman" w:hAnsi="Times New Roman" w:eastAsia="宋体" w:cs="Times New Roman"/>
              </w:rPr>
            </w:pPr>
          </w:p>
        </w:tc>
        <w:tc>
          <w:tcPr>
            <w:tcW w:w="1292" w:type="dxa"/>
            <w:vMerge w:val="continue"/>
            <w:shd w:val="clear" w:color="auto" w:fill="auto"/>
            <w:vAlign w:val="center"/>
          </w:tcPr>
          <w:p w14:paraId="455A58A6">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1915" w:type="dxa"/>
            <w:shd w:val="clear" w:color="auto" w:fill="auto"/>
            <w:vAlign w:val="center"/>
          </w:tcPr>
          <w:p w14:paraId="78AFA000">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（需配置气体管路）</w:t>
            </w:r>
          </w:p>
        </w:tc>
        <w:tc>
          <w:tcPr>
            <w:tcW w:w="2571" w:type="dxa"/>
            <w:shd w:val="clear" w:color="auto" w:fill="auto"/>
            <w:vAlign w:val="center"/>
          </w:tcPr>
          <w:p w14:paraId="067C5A7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119E5F9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71CA8B2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2E3E5416">
            <w:pPr>
              <w:jc w:val="both"/>
              <w:rPr>
                <w:rFonts w:hint="default" w:ascii="Times New Roman" w:hAnsi="Times New Roman" w:eastAsia="宋体" w:cs="Times New Roman"/>
              </w:rPr>
            </w:pPr>
          </w:p>
        </w:tc>
        <w:tc>
          <w:tcPr>
            <w:tcW w:w="1254" w:type="dxa"/>
            <w:tcBorders>
              <w:right w:val="single" w:color="000000" w:sz="4" w:space="0"/>
            </w:tcBorders>
          </w:tcPr>
          <w:p w14:paraId="521201E8">
            <w:pPr>
              <w:jc w:val="both"/>
              <w:rPr>
                <w:rFonts w:hint="default" w:ascii="Times New Roman" w:hAnsi="Times New Roman" w:eastAsia="宋体" w:cs="Times New Roman"/>
              </w:rPr>
            </w:pPr>
          </w:p>
        </w:tc>
        <w:tc>
          <w:tcPr>
            <w:tcW w:w="860" w:type="dxa"/>
            <w:tcBorders>
              <w:left w:val="single" w:color="000000" w:sz="4" w:space="0"/>
            </w:tcBorders>
          </w:tcPr>
          <w:p w14:paraId="72D2509A">
            <w:pPr>
              <w:jc w:val="both"/>
              <w:rPr>
                <w:rFonts w:hint="default" w:ascii="Times New Roman" w:hAnsi="Times New Roman" w:eastAsia="宋体" w:cs="Times New Roman"/>
              </w:rPr>
            </w:pPr>
          </w:p>
        </w:tc>
        <w:tc>
          <w:tcPr>
            <w:tcW w:w="860" w:type="dxa"/>
            <w:tcBorders>
              <w:left w:val="single" w:color="000000" w:sz="4" w:space="0"/>
            </w:tcBorders>
          </w:tcPr>
          <w:p w14:paraId="7D974A60">
            <w:pPr>
              <w:jc w:val="both"/>
              <w:rPr>
                <w:rFonts w:hint="default" w:ascii="Times New Roman" w:hAnsi="Times New Roman" w:eastAsia="宋体" w:cs="Times New Roman"/>
              </w:rPr>
            </w:pPr>
          </w:p>
        </w:tc>
      </w:tr>
      <w:tr w14:paraId="63EFB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2275540E">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5F996865">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p>
        </w:tc>
        <w:tc>
          <w:tcPr>
            <w:tcW w:w="1915" w:type="dxa"/>
            <w:shd w:val="clear" w:color="auto" w:fill="auto"/>
            <w:vAlign w:val="center"/>
          </w:tcPr>
          <w:p w14:paraId="5ABC89C4">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7号试验室气瓶集装箱</w:t>
            </w:r>
          </w:p>
        </w:tc>
        <w:tc>
          <w:tcPr>
            <w:tcW w:w="2571" w:type="dxa"/>
            <w:shd w:val="clear" w:color="auto" w:fill="auto"/>
            <w:vAlign w:val="center"/>
          </w:tcPr>
          <w:p w14:paraId="78EF202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2A749D2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038A0EE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69FAC849">
            <w:pPr>
              <w:jc w:val="both"/>
              <w:rPr>
                <w:rFonts w:hint="default" w:ascii="Times New Roman" w:hAnsi="Times New Roman" w:eastAsia="宋体" w:cs="Times New Roman"/>
              </w:rPr>
            </w:pPr>
          </w:p>
        </w:tc>
        <w:tc>
          <w:tcPr>
            <w:tcW w:w="1254" w:type="dxa"/>
            <w:tcBorders>
              <w:right w:val="single" w:color="000000" w:sz="4" w:space="0"/>
            </w:tcBorders>
          </w:tcPr>
          <w:p w14:paraId="4960D872">
            <w:pPr>
              <w:jc w:val="both"/>
              <w:rPr>
                <w:rFonts w:hint="default" w:ascii="Times New Roman" w:hAnsi="Times New Roman" w:eastAsia="宋体" w:cs="Times New Roman"/>
              </w:rPr>
            </w:pPr>
          </w:p>
        </w:tc>
        <w:tc>
          <w:tcPr>
            <w:tcW w:w="860" w:type="dxa"/>
            <w:tcBorders>
              <w:left w:val="single" w:color="000000" w:sz="4" w:space="0"/>
            </w:tcBorders>
          </w:tcPr>
          <w:p w14:paraId="2F36BE60">
            <w:pPr>
              <w:jc w:val="both"/>
              <w:rPr>
                <w:rFonts w:hint="default" w:ascii="Times New Roman" w:hAnsi="Times New Roman" w:eastAsia="宋体" w:cs="Times New Roman"/>
              </w:rPr>
            </w:pPr>
          </w:p>
        </w:tc>
        <w:tc>
          <w:tcPr>
            <w:tcW w:w="860" w:type="dxa"/>
            <w:tcBorders>
              <w:left w:val="single" w:color="000000" w:sz="4" w:space="0"/>
            </w:tcBorders>
          </w:tcPr>
          <w:p w14:paraId="52E81CD0">
            <w:pPr>
              <w:jc w:val="both"/>
              <w:rPr>
                <w:rFonts w:hint="default" w:ascii="Times New Roman" w:hAnsi="Times New Roman" w:eastAsia="宋体" w:cs="Times New Roman"/>
              </w:rPr>
            </w:pPr>
          </w:p>
        </w:tc>
      </w:tr>
      <w:tr w14:paraId="4DFA7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54BADF1E">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1FF7EC4A">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sz w:val="24"/>
                <w:lang w:val="en-US" w:eastAsia="zh-CN"/>
              </w:rPr>
            </w:pPr>
          </w:p>
        </w:tc>
        <w:tc>
          <w:tcPr>
            <w:tcW w:w="1915" w:type="dxa"/>
            <w:shd w:val="clear" w:color="auto" w:fill="auto"/>
            <w:vAlign w:val="center"/>
          </w:tcPr>
          <w:p w14:paraId="2E57BF0B">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default" w:ascii="宋体" w:hAnsi="宋体" w:eastAsia="宋体"/>
                <w:sz w:val="24"/>
                <w:lang w:val="en-US" w:eastAsia="zh-CN"/>
              </w:rPr>
              <w:t>通风系统</w:t>
            </w:r>
          </w:p>
        </w:tc>
        <w:tc>
          <w:tcPr>
            <w:tcW w:w="2571" w:type="dxa"/>
            <w:shd w:val="clear" w:color="auto" w:fill="auto"/>
            <w:vAlign w:val="center"/>
          </w:tcPr>
          <w:p w14:paraId="407A1D1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114" w:type="dxa"/>
            <w:shd w:val="clear" w:color="auto" w:fill="auto"/>
            <w:vAlign w:val="center"/>
          </w:tcPr>
          <w:p w14:paraId="3E76A95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7B377F9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c>
          <w:tcPr>
            <w:tcW w:w="1683" w:type="dxa"/>
          </w:tcPr>
          <w:p w14:paraId="4E5748DC">
            <w:pPr>
              <w:jc w:val="both"/>
              <w:rPr>
                <w:rFonts w:hint="default" w:ascii="Times New Roman" w:hAnsi="Times New Roman" w:eastAsia="宋体" w:cs="Times New Roman"/>
              </w:rPr>
            </w:pPr>
          </w:p>
        </w:tc>
        <w:tc>
          <w:tcPr>
            <w:tcW w:w="1254" w:type="dxa"/>
            <w:tcBorders>
              <w:right w:val="single" w:color="000000" w:sz="4" w:space="0"/>
            </w:tcBorders>
          </w:tcPr>
          <w:p w14:paraId="7E4143DF">
            <w:pPr>
              <w:jc w:val="both"/>
              <w:rPr>
                <w:rFonts w:hint="default" w:ascii="Times New Roman" w:hAnsi="Times New Roman" w:eastAsia="宋体" w:cs="Times New Roman"/>
              </w:rPr>
            </w:pPr>
          </w:p>
        </w:tc>
        <w:tc>
          <w:tcPr>
            <w:tcW w:w="860" w:type="dxa"/>
            <w:tcBorders>
              <w:left w:val="single" w:color="000000" w:sz="4" w:space="0"/>
            </w:tcBorders>
          </w:tcPr>
          <w:p w14:paraId="3EF58B44">
            <w:pPr>
              <w:jc w:val="both"/>
              <w:rPr>
                <w:rFonts w:hint="default" w:ascii="Times New Roman" w:hAnsi="Times New Roman" w:eastAsia="宋体" w:cs="Times New Roman"/>
              </w:rPr>
            </w:pPr>
          </w:p>
        </w:tc>
        <w:tc>
          <w:tcPr>
            <w:tcW w:w="860" w:type="dxa"/>
            <w:tcBorders>
              <w:left w:val="single" w:color="000000" w:sz="4" w:space="0"/>
            </w:tcBorders>
          </w:tcPr>
          <w:p w14:paraId="24F113A4">
            <w:pPr>
              <w:jc w:val="both"/>
              <w:rPr>
                <w:rFonts w:hint="default" w:ascii="Times New Roman" w:hAnsi="Times New Roman" w:eastAsia="宋体" w:cs="Times New Roman"/>
              </w:rPr>
            </w:pPr>
          </w:p>
        </w:tc>
      </w:tr>
      <w:tr w14:paraId="11D8B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0A92B02A">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71ADCEBE">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sz w:val="24"/>
                <w:lang w:val="en-US" w:eastAsia="zh-CN"/>
              </w:rPr>
            </w:pPr>
          </w:p>
        </w:tc>
        <w:tc>
          <w:tcPr>
            <w:tcW w:w="1915" w:type="dxa"/>
            <w:shd w:val="clear" w:color="auto" w:fill="auto"/>
            <w:vAlign w:val="center"/>
          </w:tcPr>
          <w:p w14:paraId="4EF3F71C">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default" w:ascii="宋体" w:hAnsi="宋体" w:eastAsia="宋体"/>
                <w:sz w:val="24"/>
                <w:lang w:val="en-US" w:eastAsia="zh-CN"/>
              </w:rPr>
              <w:t>照明系统</w:t>
            </w:r>
          </w:p>
        </w:tc>
        <w:tc>
          <w:tcPr>
            <w:tcW w:w="2571" w:type="dxa"/>
            <w:shd w:val="clear" w:color="auto" w:fill="auto"/>
            <w:vAlign w:val="center"/>
          </w:tcPr>
          <w:p w14:paraId="47E2CB5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114" w:type="dxa"/>
            <w:shd w:val="clear" w:color="auto" w:fill="auto"/>
            <w:vAlign w:val="center"/>
          </w:tcPr>
          <w:p w14:paraId="3E1C1CC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00FFE83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c>
          <w:tcPr>
            <w:tcW w:w="1683" w:type="dxa"/>
          </w:tcPr>
          <w:p w14:paraId="275A5054">
            <w:pPr>
              <w:jc w:val="both"/>
              <w:rPr>
                <w:rFonts w:hint="default" w:ascii="Times New Roman" w:hAnsi="Times New Roman" w:eastAsia="宋体" w:cs="Times New Roman"/>
              </w:rPr>
            </w:pPr>
          </w:p>
        </w:tc>
        <w:tc>
          <w:tcPr>
            <w:tcW w:w="1254" w:type="dxa"/>
            <w:tcBorders>
              <w:right w:val="single" w:color="000000" w:sz="4" w:space="0"/>
            </w:tcBorders>
          </w:tcPr>
          <w:p w14:paraId="0ED13AB2">
            <w:pPr>
              <w:jc w:val="both"/>
              <w:rPr>
                <w:rFonts w:hint="default" w:ascii="Times New Roman" w:hAnsi="Times New Roman" w:eastAsia="宋体" w:cs="Times New Roman"/>
              </w:rPr>
            </w:pPr>
          </w:p>
        </w:tc>
        <w:tc>
          <w:tcPr>
            <w:tcW w:w="860" w:type="dxa"/>
            <w:tcBorders>
              <w:left w:val="single" w:color="000000" w:sz="4" w:space="0"/>
            </w:tcBorders>
          </w:tcPr>
          <w:p w14:paraId="6511BF70">
            <w:pPr>
              <w:jc w:val="both"/>
              <w:rPr>
                <w:rFonts w:hint="default" w:ascii="Times New Roman" w:hAnsi="Times New Roman" w:eastAsia="宋体" w:cs="Times New Roman"/>
              </w:rPr>
            </w:pPr>
          </w:p>
        </w:tc>
        <w:tc>
          <w:tcPr>
            <w:tcW w:w="860" w:type="dxa"/>
            <w:tcBorders>
              <w:left w:val="single" w:color="000000" w:sz="4" w:space="0"/>
            </w:tcBorders>
          </w:tcPr>
          <w:p w14:paraId="25C1009F">
            <w:pPr>
              <w:jc w:val="both"/>
              <w:rPr>
                <w:rFonts w:hint="default" w:ascii="Times New Roman" w:hAnsi="Times New Roman" w:eastAsia="宋体" w:cs="Times New Roman"/>
              </w:rPr>
            </w:pPr>
          </w:p>
        </w:tc>
      </w:tr>
      <w:tr w14:paraId="36873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6DD58DBD">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0F4A843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0FDA817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地面</w:t>
            </w:r>
            <w:r>
              <w:rPr>
                <w:rFonts w:hint="eastAsia" w:ascii="Times New Roman" w:hAnsi="Times New Roman" w:eastAsia="宋体" w:cs="Times New Roman"/>
                <w:sz w:val="24"/>
                <w:szCs w:val="24"/>
                <w:highlight w:val="none"/>
                <w:lang w:val="en-US" w:eastAsia="zh-CN"/>
              </w:rPr>
              <w:t>基建</w:t>
            </w:r>
          </w:p>
        </w:tc>
        <w:tc>
          <w:tcPr>
            <w:tcW w:w="2571" w:type="dxa"/>
            <w:shd w:val="clear" w:color="auto" w:fill="auto"/>
            <w:vAlign w:val="center"/>
          </w:tcPr>
          <w:p w14:paraId="55B4675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25EA9D3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6F15EC6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c>
          <w:tcPr>
            <w:tcW w:w="1683" w:type="dxa"/>
          </w:tcPr>
          <w:p w14:paraId="2741294D">
            <w:pPr>
              <w:jc w:val="both"/>
              <w:rPr>
                <w:rFonts w:hint="default" w:ascii="Times New Roman" w:hAnsi="Times New Roman" w:eastAsia="宋体" w:cs="Times New Roman"/>
              </w:rPr>
            </w:pPr>
          </w:p>
        </w:tc>
        <w:tc>
          <w:tcPr>
            <w:tcW w:w="1254" w:type="dxa"/>
            <w:tcBorders>
              <w:right w:val="single" w:color="000000" w:sz="4" w:space="0"/>
            </w:tcBorders>
          </w:tcPr>
          <w:p w14:paraId="2B3A9E19">
            <w:pPr>
              <w:jc w:val="both"/>
              <w:rPr>
                <w:rFonts w:hint="default" w:ascii="Times New Roman" w:hAnsi="Times New Roman" w:eastAsia="宋体" w:cs="Times New Roman"/>
              </w:rPr>
            </w:pPr>
          </w:p>
        </w:tc>
        <w:tc>
          <w:tcPr>
            <w:tcW w:w="860" w:type="dxa"/>
            <w:tcBorders>
              <w:left w:val="single" w:color="000000" w:sz="4" w:space="0"/>
            </w:tcBorders>
          </w:tcPr>
          <w:p w14:paraId="25391699">
            <w:pPr>
              <w:jc w:val="both"/>
              <w:rPr>
                <w:rFonts w:hint="default" w:ascii="Times New Roman" w:hAnsi="Times New Roman" w:eastAsia="宋体" w:cs="Times New Roman"/>
              </w:rPr>
            </w:pPr>
          </w:p>
        </w:tc>
        <w:tc>
          <w:tcPr>
            <w:tcW w:w="860" w:type="dxa"/>
            <w:tcBorders>
              <w:left w:val="single" w:color="000000" w:sz="4" w:space="0"/>
            </w:tcBorders>
          </w:tcPr>
          <w:p w14:paraId="73503A31">
            <w:pPr>
              <w:jc w:val="both"/>
              <w:rPr>
                <w:rFonts w:hint="default" w:ascii="Times New Roman" w:hAnsi="Times New Roman" w:eastAsia="宋体" w:cs="Times New Roman"/>
              </w:rPr>
            </w:pPr>
          </w:p>
        </w:tc>
      </w:tr>
      <w:tr w14:paraId="35660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40F62018">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5531B3A3">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cstheme="minorBidi"/>
                <w:kern w:val="2"/>
                <w:sz w:val="24"/>
                <w:szCs w:val="22"/>
                <w:lang w:val="en-US" w:eastAsia="zh-CN" w:bidi="ar-SA"/>
              </w:rPr>
            </w:pPr>
          </w:p>
        </w:tc>
        <w:tc>
          <w:tcPr>
            <w:tcW w:w="1915" w:type="dxa"/>
            <w:shd w:val="clear" w:color="auto" w:fill="auto"/>
            <w:vAlign w:val="center"/>
          </w:tcPr>
          <w:p w14:paraId="3060E77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安装调试</w:t>
            </w:r>
          </w:p>
        </w:tc>
        <w:tc>
          <w:tcPr>
            <w:tcW w:w="2571" w:type="dxa"/>
            <w:shd w:val="clear" w:color="auto" w:fill="auto"/>
            <w:vAlign w:val="center"/>
          </w:tcPr>
          <w:p w14:paraId="33EC007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73AD7F1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6403903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c>
          <w:tcPr>
            <w:tcW w:w="1683" w:type="dxa"/>
          </w:tcPr>
          <w:p w14:paraId="11672855">
            <w:pPr>
              <w:jc w:val="both"/>
              <w:rPr>
                <w:rFonts w:hint="default" w:ascii="Times New Roman" w:hAnsi="Times New Roman" w:eastAsia="宋体" w:cs="Times New Roman"/>
              </w:rPr>
            </w:pPr>
          </w:p>
        </w:tc>
        <w:tc>
          <w:tcPr>
            <w:tcW w:w="1254" w:type="dxa"/>
            <w:tcBorders>
              <w:right w:val="single" w:color="000000" w:sz="4" w:space="0"/>
            </w:tcBorders>
          </w:tcPr>
          <w:p w14:paraId="391AF086">
            <w:pPr>
              <w:jc w:val="both"/>
              <w:rPr>
                <w:rFonts w:hint="default" w:ascii="Times New Roman" w:hAnsi="Times New Roman" w:eastAsia="宋体" w:cs="Times New Roman"/>
              </w:rPr>
            </w:pPr>
          </w:p>
        </w:tc>
        <w:tc>
          <w:tcPr>
            <w:tcW w:w="860" w:type="dxa"/>
            <w:tcBorders>
              <w:left w:val="single" w:color="000000" w:sz="4" w:space="0"/>
            </w:tcBorders>
          </w:tcPr>
          <w:p w14:paraId="28ACF5DC">
            <w:pPr>
              <w:jc w:val="both"/>
              <w:rPr>
                <w:rFonts w:hint="default" w:ascii="Times New Roman" w:hAnsi="Times New Roman" w:eastAsia="宋体" w:cs="Times New Roman"/>
              </w:rPr>
            </w:pPr>
          </w:p>
        </w:tc>
        <w:tc>
          <w:tcPr>
            <w:tcW w:w="860" w:type="dxa"/>
            <w:tcBorders>
              <w:left w:val="single" w:color="000000" w:sz="4" w:space="0"/>
            </w:tcBorders>
          </w:tcPr>
          <w:p w14:paraId="1C82BA8A">
            <w:pPr>
              <w:jc w:val="both"/>
              <w:rPr>
                <w:rFonts w:hint="default" w:ascii="Times New Roman" w:hAnsi="Times New Roman" w:eastAsia="宋体" w:cs="Times New Roman"/>
              </w:rPr>
            </w:pPr>
          </w:p>
        </w:tc>
      </w:tr>
      <w:tr w14:paraId="76F38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074CF60C">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highlight w:val="none"/>
                <w:lang w:val="en-US" w:eastAsia="zh-CN"/>
              </w:rPr>
              <w:t>2</w:t>
            </w:r>
          </w:p>
        </w:tc>
        <w:tc>
          <w:tcPr>
            <w:tcW w:w="1292" w:type="dxa"/>
            <w:shd w:val="clear" w:color="auto" w:fill="auto"/>
            <w:vAlign w:val="center"/>
          </w:tcPr>
          <w:p w14:paraId="36E6A2D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泄漏监控、报警系统设备安装</w:t>
            </w:r>
          </w:p>
        </w:tc>
        <w:tc>
          <w:tcPr>
            <w:tcW w:w="1915" w:type="dxa"/>
            <w:shd w:val="clear" w:color="auto" w:fill="auto"/>
            <w:vAlign w:val="center"/>
          </w:tcPr>
          <w:p w14:paraId="70D90A1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可燃气体、有害气体</w:t>
            </w:r>
            <w:r>
              <w:rPr>
                <w:rFonts w:hint="eastAsia" w:ascii="宋体" w:hAnsi="宋体" w:eastAsia="宋体"/>
                <w:sz w:val="24"/>
                <w:lang w:val="en-US" w:eastAsia="zh-CN"/>
              </w:rPr>
              <w:t>监测</w:t>
            </w:r>
            <w:r>
              <w:rPr>
                <w:rFonts w:hint="eastAsia" w:ascii="宋体" w:hAnsi="宋体" w:eastAsia="宋体"/>
                <w:sz w:val="24"/>
              </w:rPr>
              <w:t>系统</w:t>
            </w:r>
          </w:p>
        </w:tc>
        <w:tc>
          <w:tcPr>
            <w:tcW w:w="2571" w:type="dxa"/>
            <w:shd w:val="clear" w:color="auto" w:fill="auto"/>
            <w:vAlign w:val="center"/>
          </w:tcPr>
          <w:p w14:paraId="13B69C2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114" w:type="dxa"/>
            <w:shd w:val="clear" w:color="auto" w:fill="auto"/>
            <w:vAlign w:val="center"/>
          </w:tcPr>
          <w:p w14:paraId="61F6842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21649BD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4</w:t>
            </w:r>
          </w:p>
        </w:tc>
        <w:tc>
          <w:tcPr>
            <w:tcW w:w="1683" w:type="dxa"/>
          </w:tcPr>
          <w:p w14:paraId="34B6BFA5">
            <w:pPr>
              <w:jc w:val="both"/>
              <w:rPr>
                <w:rFonts w:hint="default" w:ascii="Times New Roman" w:hAnsi="Times New Roman" w:eastAsia="宋体" w:cs="Times New Roman"/>
              </w:rPr>
            </w:pPr>
          </w:p>
        </w:tc>
        <w:tc>
          <w:tcPr>
            <w:tcW w:w="1254" w:type="dxa"/>
            <w:tcBorders>
              <w:right w:val="single" w:color="000000" w:sz="4" w:space="0"/>
            </w:tcBorders>
          </w:tcPr>
          <w:p w14:paraId="4E5D7C4A">
            <w:pPr>
              <w:jc w:val="both"/>
              <w:rPr>
                <w:rFonts w:hint="default" w:ascii="Times New Roman" w:hAnsi="Times New Roman" w:eastAsia="宋体" w:cs="Times New Roman"/>
              </w:rPr>
            </w:pPr>
          </w:p>
        </w:tc>
        <w:tc>
          <w:tcPr>
            <w:tcW w:w="860" w:type="dxa"/>
            <w:tcBorders>
              <w:left w:val="single" w:color="000000" w:sz="4" w:space="0"/>
            </w:tcBorders>
          </w:tcPr>
          <w:p w14:paraId="125193F7">
            <w:pPr>
              <w:jc w:val="both"/>
              <w:rPr>
                <w:rFonts w:hint="default" w:ascii="Times New Roman" w:hAnsi="Times New Roman" w:eastAsia="宋体" w:cs="Times New Roman"/>
              </w:rPr>
            </w:pPr>
          </w:p>
        </w:tc>
        <w:tc>
          <w:tcPr>
            <w:tcW w:w="860" w:type="dxa"/>
            <w:tcBorders>
              <w:left w:val="single" w:color="000000" w:sz="4" w:space="0"/>
            </w:tcBorders>
          </w:tcPr>
          <w:p w14:paraId="6207FD58">
            <w:pPr>
              <w:jc w:val="both"/>
              <w:rPr>
                <w:rFonts w:hint="default" w:ascii="Times New Roman" w:hAnsi="Times New Roman" w:eastAsia="宋体" w:cs="Times New Roman"/>
              </w:rPr>
            </w:pPr>
          </w:p>
        </w:tc>
      </w:tr>
      <w:tr w14:paraId="28A1E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restart"/>
            <w:vAlign w:val="center"/>
          </w:tcPr>
          <w:p w14:paraId="0FAD0581">
            <w:pPr>
              <w:pageBreakBefore w:val="0"/>
              <w:kinsoku/>
              <w:wordWrap/>
              <w:overflowPunct/>
              <w:topLinePunct w:val="0"/>
              <w:bidi w:val="0"/>
              <w:spacing w:line="360" w:lineRule="auto"/>
              <w:ind w:right="0" w:rightChars="0"/>
              <w:jc w:val="center"/>
              <w:rPr>
                <w:rFonts w:hint="default" w:ascii="Times New Roman" w:hAnsi="Times New Roman" w:eastAsia="宋体" w:cs="Times New Roman"/>
                <w:lang w:val="en-US" w:eastAsia="zh-CN"/>
              </w:rPr>
            </w:pPr>
            <w:r>
              <w:rPr>
                <w:rFonts w:hint="eastAsia" w:ascii="Times New Roman" w:hAnsi="Times New Roman" w:eastAsia="宋体" w:cs="Times New Roman"/>
                <w:sz w:val="24"/>
                <w:szCs w:val="24"/>
                <w:highlight w:val="none"/>
                <w:lang w:val="en-US" w:eastAsia="zh-CN"/>
              </w:rPr>
              <w:t>3</w:t>
            </w:r>
          </w:p>
        </w:tc>
        <w:tc>
          <w:tcPr>
            <w:tcW w:w="1292" w:type="dxa"/>
            <w:vMerge w:val="restart"/>
            <w:shd w:val="clear" w:color="auto" w:fill="auto"/>
            <w:vAlign w:val="center"/>
          </w:tcPr>
          <w:p w14:paraId="24333DA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管路改造</w:t>
            </w:r>
          </w:p>
        </w:tc>
        <w:tc>
          <w:tcPr>
            <w:tcW w:w="1915" w:type="dxa"/>
            <w:shd w:val="clear" w:color="auto" w:fill="auto"/>
            <w:vAlign w:val="center"/>
          </w:tcPr>
          <w:p w14:paraId="7AD0596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电磁控制阀</w:t>
            </w:r>
          </w:p>
        </w:tc>
        <w:tc>
          <w:tcPr>
            <w:tcW w:w="2571" w:type="dxa"/>
            <w:shd w:val="clear" w:color="auto" w:fill="auto"/>
            <w:vAlign w:val="center"/>
          </w:tcPr>
          <w:p w14:paraId="7E75038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1114" w:type="dxa"/>
            <w:shd w:val="clear" w:color="auto" w:fill="auto"/>
            <w:vAlign w:val="center"/>
          </w:tcPr>
          <w:p w14:paraId="499AFAB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个</w:t>
            </w:r>
          </w:p>
        </w:tc>
        <w:tc>
          <w:tcPr>
            <w:tcW w:w="1483" w:type="dxa"/>
            <w:shd w:val="clear" w:color="auto" w:fill="auto"/>
            <w:vAlign w:val="center"/>
          </w:tcPr>
          <w:p w14:paraId="5B600A1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lang w:val="en-US" w:eastAsia="zh-CN"/>
              </w:rPr>
              <w:t>16</w:t>
            </w:r>
          </w:p>
        </w:tc>
        <w:tc>
          <w:tcPr>
            <w:tcW w:w="1683" w:type="dxa"/>
          </w:tcPr>
          <w:p w14:paraId="18B5D84D">
            <w:pPr>
              <w:jc w:val="both"/>
              <w:rPr>
                <w:rFonts w:hint="default" w:ascii="Times New Roman" w:hAnsi="Times New Roman" w:eastAsia="宋体" w:cs="Times New Roman"/>
              </w:rPr>
            </w:pPr>
          </w:p>
        </w:tc>
        <w:tc>
          <w:tcPr>
            <w:tcW w:w="1254" w:type="dxa"/>
            <w:tcBorders>
              <w:right w:val="single" w:color="000000" w:sz="4" w:space="0"/>
            </w:tcBorders>
          </w:tcPr>
          <w:p w14:paraId="14AB8844">
            <w:pPr>
              <w:jc w:val="both"/>
              <w:rPr>
                <w:rFonts w:hint="default" w:ascii="Times New Roman" w:hAnsi="Times New Roman" w:eastAsia="宋体" w:cs="Times New Roman"/>
              </w:rPr>
            </w:pPr>
          </w:p>
        </w:tc>
        <w:tc>
          <w:tcPr>
            <w:tcW w:w="860" w:type="dxa"/>
            <w:tcBorders>
              <w:left w:val="single" w:color="000000" w:sz="4" w:space="0"/>
            </w:tcBorders>
          </w:tcPr>
          <w:p w14:paraId="00875BBC">
            <w:pPr>
              <w:jc w:val="both"/>
              <w:rPr>
                <w:rFonts w:hint="default" w:ascii="Times New Roman" w:hAnsi="Times New Roman" w:eastAsia="宋体" w:cs="Times New Roman"/>
              </w:rPr>
            </w:pPr>
          </w:p>
        </w:tc>
        <w:tc>
          <w:tcPr>
            <w:tcW w:w="860" w:type="dxa"/>
            <w:tcBorders>
              <w:left w:val="single" w:color="000000" w:sz="4" w:space="0"/>
            </w:tcBorders>
          </w:tcPr>
          <w:p w14:paraId="48148863">
            <w:pPr>
              <w:jc w:val="both"/>
              <w:rPr>
                <w:rFonts w:hint="default" w:ascii="Times New Roman" w:hAnsi="Times New Roman" w:eastAsia="宋体" w:cs="Times New Roman"/>
              </w:rPr>
            </w:pPr>
          </w:p>
        </w:tc>
      </w:tr>
      <w:tr w14:paraId="67E0D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1A56E88E">
            <w:pPr>
              <w:pageBreakBefore w:val="0"/>
              <w:kinsoku/>
              <w:wordWrap/>
              <w:overflowPunct/>
              <w:topLinePunct w:val="0"/>
              <w:bidi w:val="0"/>
              <w:spacing w:line="360" w:lineRule="auto"/>
              <w:ind w:right="0" w:rightChars="0"/>
              <w:jc w:val="center"/>
              <w:rPr>
                <w:rFonts w:hint="default" w:ascii="Times New Roman" w:hAnsi="Times New Roman" w:eastAsia="宋体" w:cs="Times New Roman"/>
                <w:szCs w:val="21"/>
                <w:lang w:val="en-US" w:eastAsia="zh-CN"/>
              </w:rPr>
            </w:pPr>
          </w:p>
        </w:tc>
        <w:tc>
          <w:tcPr>
            <w:tcW w:w="1292" w:type="dxa"/>
            <w:vMerge w:val="continue"/>
            <w:shd w:val="clear" w:color="auto" w:fill="auto"/>
            <w:vAlign w:val="center"/>
          </w:tcPr>
          <w:p w14:paraId="5A78952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03AC2FA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气动隔膜阀</w:t>
            </w:r>
          </w:p>
        </w:tc>
        <w:tc>
          <w:tcPr>
            <w:tcW w:w="2571" w:type="dxa"/>
            <w:shd w:val="clear" w:color="auto" w:fill="auto"/>
            <w:vAlign w:val="center"/>
          </w:tcPr>
          <w:p w14:paraId="1777C21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eastAsia" w:ascii="Times New Roman" w:hAnsi="Times New Roman" w:eastAsia="宋体" w:cs="Times New Roman"/>
                <w:sz w:val="22"/>
                <w:szCs w:val="22"/>
                <w:highlight w:val="none"/>
                <w:lang w:val="en-US" w:eastAsia="zh-CN"/>
              </w:rPr>
              <w:t>/</w:t>
            </w:r>
          </w:p>
        </w:tc>
        <w:tc>
          <w:tcPr>
            <w:tcW w:w="1114" w:type="dxa"/>
            <w:shd w:val="clear" w:color="auto" w:fill="auto"/>
            <w:vAlign w:val="center"/>
          </w:tcPr>
          <w:p w14:paraId="6019AC2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个</w:t>
            </w:r>
          </w:p>
        </w:tc>
        <w:tc>
          <w:tcPr>
            <w:tcW w:w="1483" w:type="dxa"/>
            <w:shd w:val="clear" w:color="auto" w:fill="auto"/>
            <w:vAlign w:val="center"/>
          </w:tcPr>
          <w:p w14:paraId="4FEB3CB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16</w:t>
            </w:r>
          </w:p>
        </w:tc>
        <w:tc>
          <w:tcPr>
            <w:tcW w:w="1683" w:type="dxa"/>
          </w:tcPr>
          <w:p w14:paraId="0F3789DE">
            <w:pPr>
              <w:jc w:val="both"/>
              <w:rPr>
                <w:rFonts w:hint="default" w:ascii="Times New Roman" w:hAnsi="Times New Roman" w:eastAsia="宋体" w:cs="Times New Roman"/>
              </w:rPr>
            </w:pPr>
          </w:p>
        </w:tc>
        <w:tc>
          <w:tcPr>
            <w:tcW w:w="1254" w:type="dxa"/>
            <w:tcBorders>
              <w:right w:val="single" w:color="000000" w:sz="4" w:space="0"/>
            </w:tcBorders>
          </w:tcPr>
          <w:p w14:paraId="1FFD0D0B">
            <w:pPr>
              <w:jc w:val="both"/>
              <w:rPr>
                <w:rFonts w:hint="default" w:ascii="Times New Roman" w:hAnsi="Times New Roman" w:eastAsia="宋体" w:cs="Times New Roman"/>
              </w:rPr>
            </w:pPr>
          </w:p>
        </w:tc>
        <w:tc>
          <w:tcPr>
            <w:tcW w:w="860" w:type="dxa"/>
            <w:tcBorders>
              <w:left w:val="single" w:color="000000" w:sz="4" w:space="0"/>
            </w:tcBorders>
          </w:tcPr>
          <w:p w14:paraId="7142967D">
            <w:pPr>
              <w:jc w:val="both"/>
              <w:rPr>
                <w:rFonts w:hint="default" w:ascii="Times New Roman" w:hAnsi="Times New Roman" w:eastAsia="宋体" w:cs="Times New Roman"/>
              </w:rPr>
            </w:pPr>
          </w:p>
        </w:tc>
        <w:tc>
          <w:tcPr>
            <w:tcW w:w="860" w:type="dxa"/>
            <w:tcBorders>
              <w:left w:val="single" w:color="000000" w:sz="4" w:space="0"/>
            </w:tcBorders>
          </w:tcPr>
          <w:p w14:paraId="4391AFC3">
            <w:pPr>
              <w:jc w:val="both"/>
              <w:rPr>
                <w:rFonts w:hint="default" w:ascii="Times New Roman" w:hAnsi="Times New Roman" w:eastAsia="宋体" w:cs="Times New Roman"/>
              </w:rPr>
            </w:pPr>
          </w:p>
        </w:tc>
      </w:tr>
      <w:tr w14:paraId="7DC01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5A57E0F9">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p>
        </w:tc>
        <w:tc>
          <w:tcPr>
            <w:tcW w:w="1292" w:type="dxa"/>
            <w:vMerge w:val="continue"/>
            <w:shd w:val="clear" w:color="auto" w:fill="auto"/>
            <w:vAlign w:val="center"/>
          </w:tcPr>
          <w:p w14:paraId="148E1EC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69B967D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管路</w:t>
            </w:r>
          </w:p>
        </w:tc>
        <w:tc>
          <w:tcPr>
            <w:tcW w:w="2571" w:type="dxa"/>
            <w:shd w:val="clear" w:color="auto" w:fill="auto"/>
            <w:vAlign w:val="center"/>
          </w:tcPr>
          <w:p w14:paraId="1EF51E6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材质：SS316L</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内表面粗糙度Ra&lt;0.4um</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抛光处理：BA</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外径/壁厚：6.35mm/0.89mm</w:t>
            </w:r>
          </w:p>
        </w:tc>
        <w:tc>
          <w:tcPr>
            <w:tcW w:w="1114" w:type="dxa"/>
            <w:shd w:val="clear" w:color="auto" w:fill="auto"/>
            <w:vAlign w:val="center"/>
          </w:tcPr>
          <w:p w14:paraId="3EE5460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米</w:t>
            </w:r>
          </w:p>
        </w:tc>
        <w:tc>
          <w:tcPr>
            <w:tcW w:w="1483" w:type="dxa"/>
            <w:shd w:val="clear" w:color="auto" w:fill="auto"/>
            <w:vAlign w:val="center"/>
          </w:tcPr>
          <w:p w14:paraId="03D8FCC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依照技术要求</w:t>
            </w:r>
          </w:p>
        </w:tc>
        <w:tc>
          <w:tcPr>
            <w:tcW w:w="1683" w:type="dxa"/>
          </w:tcPr>
          <w:p w14:paraId="634B4826">
            <w:pPr>
              <w:jc w:val="both"/>
              <w:rPr>
                <w:rFonts w:hint="default" w:ascii="Times New Roman" w:hAnsi="Times New Roman" w:eastAsia="宋体" w:cs="Times New Roman"/>
              </w:rPr>
            </w:pPr>
          </w:p>
        </w:tc>
        <w:tc>
          <w:tcPr>
            <w:tcW w:w="1254" w:type="dxa"/>
            <w:tcBorders>
              <w:right w:val="single" w:color="000000" w:sz="4" w:space="0"/>
            </w:tcBorders>
          </w:tcPr>
          <w:p w14:paraId="5DCE361B">
            <w:pPr>
              <w:jc w:val="both"/>
              <w:rPr>
                <w:rFonts w:hint="default" w:ascii="Times New Roman" w:hAnsi="Times New Roman" w:eastAsia="宋体" w:cs="Times New Roman"/>
              </w:rPr>
            </w:pPr>
          </w:p>
        </w:tc>
        <w:tc>
          <w:tcPr>
            <w:tcW w:w="860" w:type="dxa"/>
            <w:tcBorders>
              <w:left w:val="single" w:color="000000" w:sz="4" w:space="0"/>
            </w:tcBorders>
          </w:tcPr>
          <w:p w14:paraId="6DEB69BC">
            <w:pPr>
              <w:jc w:val="both"/>
              <w:rPr>
                <w:rFonts w:hint="default" w:ascii="Times New Roman" w:hAnsi="Times New Roman" w:eastAsia="宋体" w:cs="Times New Roman"/>
              </w:rPr>
            </w:pPr>
          </w:p>
        </w:tc>
        <w:tc>
          <w:tcPr>
            <w:tcW w:w="860" w:type="dxa"/>
            <w:tcBorders>
              <w:left w:val="single" w:color="000000" w:sz="4" w:space="0"/>
            </w:tcBorders>
          </w:tcPr>
          <w:p w14:paraId="3EA1D368">
            <w:pPr>
              <w:jc w:val="both"/>
              <w:rPr>
                <w:rFonts w:hint="default" w:ascii="Times New Roman" w:hAnsi="Times New Roman" w:eastAsia="宋体" w:cs="Times New Roman"/>
              </w:rPr>
            </w:pPr>
          </w:p>
        </w:tc>
      </w:tr>
      <w:tr w14:paraId="1939B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6A1E7C44">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p>
        </w:tc>
        <w:tc>
          <w:tcPr>
            <w:tcW w:w="1292" w:type="dxa"/>
            <w:vMerge w:val="continue"/>
            <w:shd w:val="clear" w:color="auto" w:fill="auto"/>
            <w:vAlign w:val="center"/>
          </w:tcPr>
          <w:p w14:paraId="6CADD3E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0DE078A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管道支架、吊架</w:t>
            </w:r>
          </w:p>
        </w:tc>
        <w:tc>
          <w:tcPr>
            <w:tcW w:w="2571" w:type="dxa"/>
            <w:shd w:val="clear" w:color="auto" w:fill="auto"/>
            <w:vAlign w:val="center"/>
          </w:tcPr>
          <w:p w14:paraId="7F50B73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114" w:type="dxa"/>
            <w:shd w:val="clear" w:color="auto" w:fill="auto"/>
            <w:vAlign w:val="center"/>
          </w:tcPr>
          <w:p w14:paraId="548872E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483" w:type="dxa"/>
            <w:shd w:val="clear" w:color="auto" w:fill="auto"/>
            <w:vAlign w:val="center"/>
          </w:tcPr>
          <w:p w14:paraId="62B8487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根据实际情况</w:t>
            </w:r>
          </w:p>
        </w:tc>
        <w:tc>
          <w:tcPr>
            <w:tcW w:w="1683" w:type="dxa"/>
          </w:tcPr>
          <w:p w14:paraId="185CF958">
            <w:pPr>
              <w:jc w:val="both"/>
              <w:rPr>
                <w:rFonts w:hint="default" w:ascii="Times New Roman" w:hAnsi="Times New Roman" w:eastAsia="宋体" w:cs="Times New Roman"/>
              </w:rPr>
            </w:pPr>
          </w:p>
        </w:tc>
        <w:tc>
          <w:tcPr>
            <w:tcW w:w="1254" w:type="dxa"/>
            <w:tcBorders>
              <w:right w:val="single" w:color="000000" w:sz="4" w:space="0"/>
            </w:tcBorders>
          </w:tcPr>
          <w:p w14:paraId="20DC74ED">
            <w:pPr>
              <w:jc w:val="both"/>
              <w:rPr>
                <w:rFonts w:hint="default" w:ascii="Times New Roman" w:hAnsi="Times New Roman" w:eastAsia="宋体" w:cs="Times New Roman"/>
              </w:rPr>
            </w:pPr>
          </w:p>
        </w:tc>
        <w:tc>
          <w:tcPr>
            <w:tcW w:w="860" w:type="dxa"/>
            <w:tcBorders>
              <w:left w:val="single" w:color="000000" w:sz="4" w:space="0"/>
            </w:tcBorders>
          </w:tcPr>
          <w:p w14:paraId="179F8DCB">
            <w:pPr>
              <w:jc w:val="both"/>
              <w:rPr>
                <w:rFonts w:hint="default" w:ascii="Times New Roman" w:hAnsi="Times New Roman" w:eastAsia="宋体" w:cs="Times New Roman"/>
              </w:rPr>
            </w:pPr>
          </w:p>
        </w:tc>
        <w:tc>
          <w:tcPr>
            <w:tcW w:w="860" w:type="dxa"/>
            <w:tcBorders>
              <w:left w:val="single" w:color="000000" w:sz="4" w:space="0"/>
            </w:tcBorders>
          </w:tcPr>
          <w:p w14:paraId="447410DB">
            <w:pPr>
              <w:jc w:val="both"/>
              <w:rPr>
                <w:rFonts w:hint="default" w:ascii="Times New Roman" w:hAnsi="Times New Roman" w:eastAsia="宋体" w:cs="Times New Roman"/>
              </w:rPr>
            </w:pPr>
          </w:p>
        </w:tc>
      </w:tr>
      <w:tr w14:paraId="3AA5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4086D434">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p>
        </w:tc>
        <w:tc>
          <w:tcPr>
            <w:tcW w:w="1292" w:type="dxa"/>
            <w:vMerge w:val="continue"/>
            <w:shd w:val="clear" w:color="auto" w:fill="auto"/>
            <w:vAlign w:val="center"/>
          </w:tcPr>
          <w:p w14:paraId="027C475A">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p>
        </w:tc>
        <w:tc>
          <w:tcPr>
            <w:tcW w:w="1915" w:type="dxa"/>
            <w:shd w:val="clear" w:color="auto" w:fill="auto"/>
            <w:vAlign w:val="center"/>
          </w:tcPr>
          <w:p w14:paraId="0AB9A12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管道固定卡具</w:t>
            </w:r>
          </w:p>
        </w:tc>
        <w:tc>
          <w:tcPr>
            <w:tcW w:w="2571" w:type="dxa"/>
            <w:shd w:val="clear" w:color="auto" w:fill="auto"/>
            <w:vAlign w:val="center"/>
          </w:tcPr>
          <w:p w14:paraId="60D06CD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114" w:type="dxa"/>
            <w:shd w:val="clear" w:color="auto" w:fill="auto"/>
            <w:vAlign w:val="center"/>
          </w:tcPr>
          <w:p w14:paraId="73B57E7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483" w:type="dxa"/>
            <w:shd w:val="clear" w:color="auto" w:fill="auto"/>
            <w:vAlign w:val="center"/>
          </w:tcPr>
          <w:p w14:paraId="4300AC3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根据实际情况</w:t>
            </w:r>
          </w:p>
        </w:tc>
        <w:tc>
          <w:tcPr>
            <w:tcW w:w="1683" w:type="dxa"/>
          </w:tcPr>
          <w:p w14:paraId="0C2DB9FE">
            <w:pPr>
              <w:jc w:val="both"/>
              <w:rPr>
                <w:rFonts w:hint="default" w:ascii="Times New Roman" w:hAnsi="Times New Roman" w:eastAsia="宋体" w:cs="Times New Roman"/>
              </w:rPr>
            </w:pPr>
          </w:p>
        </w:tc>
        <w:tc>
          <w:tcPr>
            <w:tcW w:w="1254" w:type="dxa"/>
            <w:tcBorders>
              <w:right w:val="single" w:color="000000" w:sz="4" w:space="0"/>
            </w:tcBorders>
          </w:tcPr>
          <w:p w14:paraId="6048BA93">
            <w:pPr>
              <w:jc w:val="both"/>
              <w:rPr>
                <w:rFonts w:hint="default" w:ascii="Times New Roman" w:hAnsi="Times New Roman" w:eastAsia="宋体" w:cs="Times New Roman"/>
              </w:rPr>
            </w:pPr>
          </w:p>
        </w:tc>
        <w:tc>
          <w:tcPr>
            <w:tcW w:w="860" w:type="dxa"/>
            <w:tcBorders>
              <w:left w:val="single" w:color="000000" w:sz="4" w:space="0"/>
            </w:tcBorders>
          </w:tcPr>
          <w:p w14:paraId="05E6B612">
            <w:pPr>
              <w:jc w:val="both"/>
              <w:rPr>
                <w:rFonts w:hint="default" w:ascii="Times New Roman" w:hAnsi="Times New Roman" w:eastAsia="宋体" w:cs="Times New Roman"/>
              </w:rPr>
            </w:pPr>
          </w:p>
        </w:tc>
        <w:tc>
          <w:tcPr>
            <w:tcW w:w="860" w:type="dxa"/>
            <w:tcBorders>
              <w:left w:val="single" w:color="000000" w:sz="4" w:space="0"/>
            </w:tcBorders>
          </w:tcPr>
          <w:p w14:paraId="430EF7A3">
            <w:pPr>
              <w:jc w:val="both"/>
              <w:rPr>
                <w:rFonts w:hint="default" w:ascii="Times New Roman" w:hAnsi="Times New Roman" w:eastAsia="宋体" w:cs="Times New Roman"/>
              </w:rPr>
            </w:pPr>
          </w:p>
        </w:tc>
      </w:tr>
      <w:tr w14:paraId="6F70A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3DDBF031">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4</w:t>
            </w:r>
          </w:p>
        </w:tc>
        <w:tc>
          <w:tcPr>
            <w:tcW w:w="1292" w:type="dxa"/>
            <w:shd w:val="clear" w:color="auto" w:fill="auto"/>
            <w:vAlign w:val="center"/>
          </w:tcPr>
          <w:p w14:paraId="0679B21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sz w:val="24"/>
              </w:rPr>
              <w:t>终端标气柜</w:t>
            </w:r>
          </w:p>
        </w:tc>
        <w:tc>
          <w:tcPr>
            <w:tcW w:w="1915" w:type="dxa"/>
            <w:shd w:val="clear" w:color="auto" w:fill="auto"/>
            <w:vAlign w:val="center"/>
          </w:tcPr>
          <w:p w14:paraId="761B5D2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0372C53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59841AE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2691609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6</w:t>
            </w:r>
          </w:p>
        </w:tc>
        <w:tc>
          <w:tcPr>
            <w:tcW w:w="1683" w:type="dxa"/>
          </w:tcPr>
          <w:p w14:paraId="1D97B60A">
            <w:pPr>
              <w:jc w:val="both"/>
              <w:rPr>
                <w:rFonts w:hint="default" w:ascii="Times New Roman" w:hAnsi="Times New Roman" w:eastAsia="宋体" w:cs="Times New Roman"/>
              </w:rPr>
            </w:pPr>
          </w:p>
        </w:tc>
        <w:tc>
          <w:tcPr>
            <w:tcW w:w="1254" w:type="dxa"/>
            <w:tcBorders>
              <w:right w:val="single" w:color="000000" w:sz="4" w:space="0"/>
            </w:tcBorders>
          </w:tcPr>
          <w:p w14:paraId="15C30351">
            <w:pPr>
              <w:jc w:val="both"/>
              <w:rPr>
                <w:rFonts w:hint="default" w:ascii="Times New Roman" w:hAnsi="Times New Roman" w:eastAsia="宋体" w:cs="Times New Roman"/>
              </w:rPr>
            </w:pPr>
          </w:p>
        </w:tc>
        <w:tc>
          <w:tcPr>
            <w:tcW w:w="860" w:type="dxa"/>
            <w:tcBorders>
              <w:left w:val="single" w:color="000000" w:sz="4" w:space="0"/>
            </w:tcBorders>
          </w:tcPr>
          <w:p w14:paraId="06C148B5">
            <w:pPr>
              <w:jc w:val="both"/>
              <w:rPr>
                <w:rFonts w:hint="default" w:ascii="Times New Roman" w:hAnsi="Times New Roman" w:eastAsia="宋体" w:cs="Times New Roman"/>
              </w:rPr>
            </w:pPr>
          </w:p>
        </w:tc>
        <w:tc>
          <w:tcPr>
            <w:tcW w:w="860" w:type="dxa"/>
            <w:tcBorders>
              <w:left w:val="single" w:color="000000" w:sz="4" w:space="0"/>
            </w:tcBorders>
          </w:tcPr>
          <w:p w14:paraId="38E74D44">
            <w:pPr>
              <w:jc w:val="both"/>
              <w:rPr>
                <w:rFonts w:hint="default" w:ascii="Times New Roman" w:hAnsi="Times New Roman" w:eastAsia="宋体" w:cs="Times New Roman"/>
              </w:rPr>
            </w:pPr>
          </w:p>
        </w:tc>
      </w:tr>
      <w:tr w14:paraId="2D5CB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97F4B94">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5</w:t>
            </w:r>
          </w:p>
        </w:tc>
        <w:tc>
          <w:tcPr>
            <w:tcW w:w="1292" w:type="dxa"/>
            <w:shd w:val="clear" w:color="auto" w:fill="auto"/>
            <w:vAlign w:val="center"/>
          </w:tcPr>
          <w:p w14:paraId="099194D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sz w:val="24"/>
              </w:rPr>
              <w:t>一级减压阀</w:t>
            </w:r>
          </w:p>
        </w:tc>
        <w:tc>
          <w:tcPr>
            <w:tcW w:w="1915" w:type="dxa"/>
            <w:shd w:val="clear" w:color="auto" w:fill="auto"/>
            <w:vAlign w:val="center"/>
          </w:tcPr>
          <w:p w14:paraId="19559FC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6C12241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145FE58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3A676C7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10</w:t>
            </w:r>
          </w:p>
        </w:tc>
        <w:tc>
          <w:tcPr>
            <w:tcW w:w="1683" w:type="dxa"/>
          </w:tcPr>
          <w:p w14:paraId="4B6ADD79">
            <w:pPr>
              <w:jc w:val="both"/>
              <w:rPr>
                <w:rFonts w:hint="default" w:ascii="Times New Roman" w:hAnsi="Times New Roman" w:eastAsia="宋体" w:cs="Times New Roman"/>
              </w:rPr>
            </w:pPr>
          </w:p>
        </w:tc>
        <w:tc>
          <w:tcPr>
            <w:tcW w:w="1254" w:type="dxa"/>
            <w:tcBorders>
              <w:right w:val="single" w:color="000000" w:sz="4" w:space="0"/>
            </w:tcBorders>
          </w:tcPr>
          <w:p w14:paraId="209FC2FD">
            <w:pPr>
              <w:jc w:val="both"/>
              <w:rPr>
                <w:rFonts w:hint="default" w:ascii="Times New Roman" w:hAnsi="Times New Roman" w:eastAsia="宋体" w:cs="Times New Roman"/>
              </w:rPr>
            </w:pPr>
          </w:p>
        </w:tc>
        <w:tc>
          <w:tcPr>
            <w:tcW w:w="860" w:type="dxa"/>
            <w:tcBorders>
              <w:left w:val="single" w:color="000000" w:sz="4" w:space="0"/>
            </w:tcBorders>
          </w:tcPr>
          <w:p w14:paraId="158BF22F">
            <w:pPr>
              <w:jc w:val="both"/>
              <w:rPr>
                <w:rFonts w:hint="default" w:ascii="Times New Roman" w:hAnsi="Times New Roman" w:eastAsia="宋体" w:cs="Times New Roman"/>
              </w:rPr>
            </w:pPr>
          </w:p>
        </w:tc>
        <w:tc>
          <w:tcPr>
            <w:tcW w:w="860" w:type="dxa"/>
            <w:tcBorders>
              <w:left w:val="single" w:color="000000" w:sz="4" w:space="0"/>
            </w:tcBorders>
          </w:tcPr>
          <w:p w14:paraId="5A4AD1E0">
            <w:pPr>
              <w:jc w:val="both"/>
              <w:rPr>
                <w:rFonts w:hint="default" w:ascii="Times New Roman" w:hAnsi="Times New Roman" w:eastAsia="宋体" w:cs="Times New Roman"/>
              </w:rPr>
            </w:pPr>
          </w:p>
        </w:tc>
      </w:tr>
      <w:tr w14:paraId="78DEC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3293B68B">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6</w:t>
            </w:r>
          </w:p>
        </w:tc>
        <w:tc>
          <w:tcPr>
            <w:tcW w:w="1292" w:type="dxa"/>
            <w:shd w:val="clear" w:color="auto" w:fill="auto"/>
            <w:vAlign w:val="center"/>
          </w:tcPr>
          <w:p w14:paraId="671BE31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sz w:val="24"/>
              </w:rPr>
              <w:t>二级减压阀</w:t>
            </w:r>
          </w:p>
        </w:tc>
        <w:tc>
          <w:tcPr>
            <w:tcW w:w="1915" w:type="dxa"/>
            <w:shd w:val="clear" w:color="auto" w:fill="auto"/>
            <w:vAlign w:val="center"/>
          </w:tcPr>
          <w:p w14:paraId="637912B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64D0E62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40251C3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41AC457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30</w:t>
            </w:r>
          </w:p>
        </w:tc>
        <w:tc>
          <w:tcPr>
            <w:tcW w:w="1683" w:type="dxa"/>
            <w:vAlign w:val="center"/>
          </w:tcPr>
          <w:p w14:paraId="41766C1C">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254" w:type="dxa"/>
            <w:tcBorders>
              <w:right w:val="single" w:color="000000" w:sz="4" w:space="0"/>
            </w:tcBorders>
            <w:vAlign w:val="center"/>
          </w:tcPr>
          <w:p w14:paraId="79B52B01">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860" w:type="dxa"/>
            <w:tcBorders>
              <w:left w:val="single" w:color="000000" w:sz="4" w:space="0"/>
            </w:tcBorders>
            <w:vAlign w:val="center"/>
          </w:tcPr>
          <w:p w14:paraId="1384EB55">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860" w:type="dxa"/>
            <w:tcBorders>
              <w:left w:val="single" w:color="000000" w:sz="4" w:space="0"/>
            </w:tcBorders>
          </w:tcPr>
          <w:p w14:paraId="1523B5FA">
            <w:pPr>
              <w:jc w:val="both"/>
              <w:rPr>
                <w:rFonts w:hint="default" w:ascii="Times New Roman" w:hAnsi="Times New Roman" w:eastAsia="宋体" w:cs="Times New Roman"/>
              </w:rPr>
            </w:pPr>
          </w:p>
        </w:tc>
      </w:tr>
      <w:tr w14:paraId="79D12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00C88BEE">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7</w:t>
            </w:r>
          </w:p>
        </w:tc>
        <w:tc>
          <w:tcPr>
            <w:tcW w:w="1292" w:type="dxa"/>
            <w:shd w:val="clear" w:color="auto" w:fill="auto"/>
            <w:vAlign w:val="center"/>
          </w:tcPr>
          <w:p w14:paraId="2CC677A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宋体" w:hAnsi="宋体" w:eastAsia="宋体"/>
                <w:sz w:val="24"/>
              </w:rPr>
              <w:t>球阀</w:t>
            </w:r>
          </w:p>
        </w:tc>
        <w:tc>
          <w:tcPr>
            <w:tcW w:w="1915" w:type="dxa"/>
            <w:shd w:val="clear" w:color="auto" w:fill="auto"/>
            <w:vAlign w:val="center"/>
          </w:tcPr>
          <w:p w14:paraId="0045977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5405A89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6B53EB1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745C793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30</w:t>
            </w:r>
          </w:p>
        </w:tc>
        <w:tc>
          <w:tcPr>
            <w:tcW w:w="1683" w:type="dxa"/>
            <w:vAlign w:val="center"/>
          </w:tcPr>
          <w:p w14:paraId="732F7C99">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49C39100">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57C18D54">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33F099C3">
            <w:pPr>
              <w:jc w:val="both"/>
              <w:rPr>
                <w:rFonts w:hint="default" w:ascii="Times New Roman" w:hAnsi="Times New Roman" w:eastAsia="宋体" w:cs="Times New Roman"/>
              </w:rPr>
            </w:pPr>
          </w:p>
        </w:tc>
      </w:tr>
      <w:tr w14:paraId="7F4D5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40B799A9">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8</w:t>
            </w:r>
          </w:p>
        </w:tc>
        <w:tc>
          <w:tcPr>
            <w:tcW w:w="1292" w:type="dxa"/>
            <w:shd w:val="clear" w:color="auto" w:fill="auto"/>
            <w:vAlign w:val="center"/>
          </w:tcPr>
          <w:p w14:paraId="7DAD5AF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宋体" w:hAnsi="宋体" w:eastAsia="宋体"/>
                <w:sz w:val="24"/>
              </w:rPr>
              <w:t>防爆逆止阀</w:t>
            </w:r>
          </w:p>
        </w:tc>
        <w:tc>
          <w:tcPr>
            <w:tcW w:w="1915" w:type="dxa"/>
            <w:shd w:val="clear" w:color="auto" w:fill="auto"/>
            <w:vAlign w:val="center"/>
          </w:tcPr>
          <w:p w14:paraId="3BAA3AD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48754CA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1D32828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591CE56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3</w:t>
            </w:r>
          </w:p>
        </w:tc>
        <w:tc>
          <w:tcPr>
            <w:tcW w:w="1683" w:type="dxa"/>
            <w:vAlign w:val="center"/>
          </w:tcPr>
          <w:p w14:paraId="09C035EE">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47A194C7">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285F72AB">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309D301C">
            <w:pPr>
              <w:jc w:val="both"/>
              <w:rPr>
                <w:rFonts w:hint="default" w:ascii="Times New Roman" w:hAnsi="Times New Roman" w:eastAsia="宋体" w:cs="Times New Roman"/>
              </w:rPr>
            </w:pPr>
          </w:p>
        </w:tc>
      </w:tr>
      <w:tr w14:paraId="3128C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7AC9D569">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9</w:t>
            </w:r>
          </w:p>
        </w:tc>
        <w:tc>
          <w:tcPr>
            <w:tcW w:w="1292" w:type="dxa"/>
            <w:shd w:val="clear" w:color="auto" w:fill="auto"/>
            <w:vAlign w:val="center"/>
          </w:tcPr>
          <w:p w14:paraId="0366CF1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宋体" w:hAnsi="宋体" w:eastAsia="宋体"/>
                <w:sz w:val="24"/>
              </w:rPr>
              <w:t>高压螺旋管（软管）</w:t>
            </w:r>
          </w:p>
        </w:tc>
        <w:tc>
          <w:tcPr>
            <w:tcW w:w="1915" w:type="dxa"/>
            <w:shd w:val="clear" w:color="auto" w:fill="auto"/>
            <w:vAlign w:val="center"/>
          </w:tcPr>
          <w:p w14:paraId="182B1D2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2BAF68A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6572703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05C357C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20</w:t>
            </w:r>
          </w:p>
        </w:tc>
        <w:tc>
          <w:tcPr>
            <w:tcW w:w="1683" w:type="dxa"/>
            <w:vAlign w:val="center"/>
          </w:tcPr>
          <w:p w14:paraId="09A3F995">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7A212AAD">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4CB710C4">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5B672302">
            <w:pPr>
              <w:jc w:val="both"/>
              <w:rPr>
                <w:rFonts w:hint="default" w:ascii="Times New Roman" w:hAnsi="Times New Roman" w:eastAsia="宋体" w:cs="Times New Roman"/>
              </w:rPr>
            </w:pPr>
          </w:p>
        </w:tc>
      </w:tr>
      <w:tr w14:paraId="0E863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7222E460">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10</w:t>
            </w:r>
          </w:p>
        </w:tc>
        <w:tc>
          <w:tcPr>
            <w:tcW w:w="1292" w:type="dxa"/>
            <w:shd w:val="clear" w:color="auto" w:fill="auto"/>
            <w:vAlign w:val="center"/>
          </w:tcPr>
          <w:p w14:paraId="4BDF4D6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长途运输</w:t>
            </w:r>
          </w:p>
        </w:tc>
        <w:tc>
          <w:tcPr>
            <w:tcW w:w="1915" w:type="dxa"/>
            <w:shd w:val="clear" w:color="auto" w:fill="auto"/>
            <w:vAlign w:val="center"/>
          </w:tcPr>
          <w:p w14:paraId="2E9EF0C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141A880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4C68E66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49864978">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1</w:t>
            </w:r>
          </w:p>
        </w:tc>
        <w:tc>
          <w:tcPr>
            <w:tcW w:w="1683" w:type="dxa"/>
            <w:vAlign w:val="center"/>
          </w:tcPr>
          <w:p w14:paraId="2CD6080A">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522FC0D2">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779F7B42">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2BCAB7CA">
            <w:pPr>
              <w:jc w:val="both"/>
              <w:rPr>
                <w:rFonts w:hint="default" w:ascii="Times New Roman" w:hAnsi="Times New Roman" w:eastAsia="宋体" w:cs="Times New Roman"/>
              </w:rPr>
            </w:pPr>
          </w:p>
        </w:tc>
      </w:tr>
      <w:tr w14:paraId="1ED67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2A533877">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11</w:t>
            </w:r>
          </w:p>
        </w:tc>
        <w:tc>
          <w:tcPr>
            <w:tcW w:w="1292" w:type="dxa"/>
            <w:shd w:val="clear" w:color="auto" w:fill="auto"/>
            <w:vAlign w:val="center"/>
          </w:tcPr>
          <w:p w14:paraId="72D18406">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吊装落位</w:t>
            </w:r>
          </w:p>
        </w:tc>
        <w:tc>
          <w:tcPr>
            <w:tcW w:w="1915" w:type="dxa"/>
            <w:shd w:val="clear" w:color="auto" w:fill="auto"/>
            <w:vAlign w:val="center"/>
          </w:tcPr>
          <w:p w14:paraId="030279C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kern w:val="2"/>
                <w:sz w:val="24"/>
                <w:szCs w:val="24"/>
                <w:highlight w:val="none"/>
                <w:lang w:val="en-US" w:eastAsia="zh-CN" w:bidi="ar-SA"/>
              </w:rPr>
              <w:t>/</w:t>
            </w:r>
          </w:p>
        </w:tc>
        <w:tc>
          <w:tcPr>
            <w:tcW w:w="2571" w:type="dxa"/>
            <w:shd w:val="clear" w:color="auto" w:fill="auto"/>
            <w:vAlign w:val="center"/>
          </w:tcPr>
          <w:p w14:paraId="243A4D2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2FE4EBF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5230B0F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highlight w:val="none"/>
                <w:lang w:val="en-US" w:eastAsia="zh-CN" w:bidi="ar-SA"/>
              </w:rPr>
              <w:t>1</w:t>
            </w:r>
          </w:p>
        </w:tc>
        <w:tc>
          <w:tcPr>
            <w:tcW w:w="1683" w:type="dxa"/>
            <w:vAlign w:val="center"/>
          </w:tcPr>
          <w:p w14:paraId="590DFA24">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5731D1AE">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7B3B0161">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2A2EDF0D">
            <w:pPr>
              <w:jc w:val="both"/>
              <w:rPr>
                <w:rFonts w:hint="default" w:ascii="Times New Roman" w:hAnsi="Times New Roman" w:eastAsia="宋体" w:cs="Times New Roman"/>
              </w:rPr>
            </w:pPr>
          </w:p>
        </w:tc>
      </w:tr>
      <w:tr w14:paraId="49E41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0CAA677A">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12</w:t>
            </w:r>
          </w:p>
        </w:tc>
        <w:tc>
          <w:tcPr>
            <w:tcW w:w="1292" w:type="dxa"/>
            <w:shd w:val="clear" w:color="auto" w:fill="auto"/>
            <w:vAlign w:val="center"/>
          </w:tcPr>
          <w:p w14:paraId="2B7F2D7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第三方安全评估</w:t>
            </w:r>
          </w:p>
        </w:tc>
        <w:tc>
          <w:tcPr>
            <w:tcW w:w="1915" w:type="dxa"/>
            <w:shd w:val="clear" w:color="auto" w:fill="auto"/>
            <w:vAlign w:val="center"/>
          </w:tcPr>
          <w:p w14:paraId="3F2821D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kern w:val="2"/>
                <w:sz w:val="24"/>
                <w:szCs w:val="24"/>
                <w:highlight w:val="none"/>
                <w:lang w:val="en-US" w:eastAsia="zh-CN" w:bidi="ar-SA"/>
              </w:rPr>
              <w:t>/</w:t>
            </w:r>
          </w:p>
        </w:tc>
        <w:tc>
          <w:tcPr>
            <w:tcW w:w="2571" w:type="dxa"/>
            <w:shd w:val="clear" w:color="auto" w:fill="auto"/>
            <w:vAlign w:val="center"/>
          </w:tcPr>
          <w:p w14:paraId="3832EA1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086A633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7AD29A4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1</w:t>
            </w:r>
          </w:p>
        </w:tc>
        <w:tc>
          <w:tcPr>
            <w:tcW w:w="1683" w:type="dxa"/>
            <w:vAlign w:val="center"/>
          </w:tcPr>
          <w:p w14:paraId="15DA719D">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58564FAC">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0AE7A2EA">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789FA434">
            <w:pPr>
              <w:jc w:val="both"/>
              <w:rPr>
                <w:rFonts w:hint="default" w:ascii="Times New Roman" w:hAnsi="Times New Roman" w:eastAsia="宋体" w:cs="Times New Roman"/>
              </w:rPr>
            </w:pPr>
          </w:p>
        </w:tc>
      </w:tr>
      <w:tr w14:paraId="6D20B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4DC853E3">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13</w:t>
            </w:r>
          </w:p>
        </w:tc>
        <w:tc>
          <w:tcPr>
            <w:tcW w:w="1292" w:type="dxa"/>
            <w:shd w:val="clear" w:color="auto" w:fill="auto"/>
            <w:vAlign w:val="center"/>
          </w:tcPr>
          <w:p w14:paraId="4B0431F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技术资料</w:t>
            </w:r>
          </w:p>
        </w:tc>
        <w:tc>
          <w:tcPr>
            <w:tcW w:w="1915" w:type="dxa"/>
            <w:shd w:val="clear" w:color="auto" w:fill="auto"/>
            <w:vAlign w:val="center"/>
          </w:tcPr>
          <w:p w14:paraId="7341248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2571" w:type="dxa"/>
            <w:shd w:val="clear" w:color="auto" w:fill="auto"/>
            <w:vAlign w:val="center"/>
          </w:tcPr>
          <w:p w14:paraId="677DF6A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712128E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378A8EE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683" w:type="dxa"/>
            <w:vAlign w:val="center"/>
          </w:tcPr>
          <w:p w14:paraId="69162D15">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7E5B6E7B">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6D930A04">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40BE1AF0">
            <w:pPr>
              <w:jc w:val="both"/>
              <w:rPr>
                <w:rFonts w:hint="default" w:ascii="Times New Roman" w:hAnsi="Times New Roman" w:eastAsia="宋体" w:cs="Times New Roman"/>
              </w:rPr>
            </w:pPr>
          </w:p>
        </w:tc>
      </w:tr>
      <w:tr w14:paraId="04972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72" w:type="dxa"/>
            <w:tcBorders>
              <w:right w:val="single" w:color="000000" w:sz="4" w:space="0"/>
            </w:tcBorders>
          </w:tcPr>
          <w:p w14:paraId="2C541589">
            <w:pPr>
              <w:jc w:val="both"/>
              <w:rPr>
                <w:rFonts w:hint="default" w:ascii="Times New Roman" w:hAnsi="Times New Roman" w:eastAsia="宋体" w:cs="Times New Roman"/>
                <w:spacing w:val="-6"/>
                <w:szCs w:val="21"/>
              </w:rPr>
            </w:pPr>
          </w:p>
        </w:tc>
        <w:tc>
          <w:tcPr>
            <w:tcW w:w="1292" w:type="dxa"/>
            <w:tcBorders>
              <w:right w:val="single" w:color="000000" w:sz="4" w:space="0"/>
            </w:tcBorders>
          </w:tcPr>
          <w:p w14:paraId="56438687">
            <w:pPr>
              <w:jc w:val="both"/>
              <w:rPr>
                <w:rFonts w:hint="default" w:ascii="Times New Roman" w:hAnsi="Times New Roman" w:eastAsia="宋体" w:cs="Times New Roman"/>
                <w:spacing w:val="-6"/>
                <w:szCs w:val="21"/>
              </w:rPr>
            </w:pPr>
          </w:p>
        </w:tc>
        <w:tc>
          <w:tcPr>
            <w:tcW w:w="10020" w:type="dxa"/>
            <w:gridSpan w:val="6"/>
            <w:tcBorders>
              <w:right w:val="single" w:color="000000" w:sz="4" w:space="0"/>
            </w:tcBorders>
          </w:tcPr>
          <w:p w14:paraId="5A84F151">
            <w:pPr>
              <w:spacing w:after="0" w:afterLines="50" w:afterAutospacing="0"/>
              <w:jc w:val="both"/>
              <w:rPr>
                <w:rFonts w:hint="default" w:ascii="Times New Roman" w:hAnsi="Times New Roman" w:eastAsia="宋体" w:cs="Times New Roman"/>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 xml:space="preserve">价合计列入价格汇总表 </w:t>
            </w:r>
            <w:r>
              <w:rPr>
                <w:rFonts w:hint="default" w:ascii="Times New Roman" w:hAnsi="Times New Roman" w:eastAsia="宋体" w:cs="Times New Roman"/>
                <w:spacing w:val="-4"/>
                <w:szCs w:val="21"/>
                <w:lang w:val="en-US" w:eastAsia="zh-CN"/>
              </w:rPr>
              <w:t>9</w:t>
            </w:r>
            <w:r>
              <w:rPr>
                <w:rFonts w:hint="default" w:ascii="Times New Roman" w:hAnsi="Times New Roman" w:eastAsia="宋体" w:cs="Times New Roman"/>
                <w:spacing w:val="-4"/>
                <w:szCs w:val="21"/>
              </w:rPr>
              <w:t>-5</w:t>
            </w:r>
          </w:p>
        </w:tc>
        <w:tc>
          <w:tcPr>
            <w:tcW w:w="860" w:type="dxa"/>
            <w:tcBorders>
              <w:left w:val="single" w:color="000000" w:sz="4" w:space="0"/>
            </w:tcBorders>
          </w:tcPr>
          <w:p w14:paraId="630E0A90">
            <w:pPr>
              <w:jc w:val="both"/>
              <w:rPr>
                <w:rFonts w:hint="default" w:ascii="Times New Roman" w:hAnsi="Times New Roman" w:eastAsia="宋体" w:cs="Times New Roman"/>
              </w:rPr>
            </w:pPr>
          </w:p>
        </w:tc>
        <w:tc>
          <w:tcPr>
            <w:tcW w:w="860" w:type="dxa"/>
            <w:tcBorders>
              <w:left w:val="single" w:color="000000" w:sz="4" w:space="0"/>
            </w:tcBorders>
          </w:tcPr>
          <w:p w14:paraId="2074138D">
            <w:pPr>
              <w:jc w:val="both"/>
              <w:rPr>
                <w:rFonts w:hint="default" w:ascii="Times New Roman" w:hAnsi="Times New Roman" w:eastAsia="宋体" w:cs="Times New Roman"/>
              </w:rPr>
            </w:pPr>
          </w:p>
        </w:tc>
      </w:tr>
    </w:tbl>
    <w:p w14:paraId="0D4ED876">
      <w:pPr>
        <w:spacing w:before="78" w:line="219" w:lineRule="auto"/>
        <w:ind w:left="431"/>
        <w:jc w:val="both"/>
        <w:rPr>
          <w:rFonts w:hint="default" w:ascii="Times New Roman" w:hAnsi="Times New Roman" w:eastAsia="宋体" w:cs="Times New Roman"/>
          <w:spacing w:val="-6"/>
          <w:szCs w:val="21"/>
        </w:rPr>
      </w:pPr>
      <w:r>
        <w:rPr>
          <w:rFonts w:hint="default" w:ascii="Times New Roman" w:hAnsi="Times New Roman" w:eastAsia="宋体" w:cs="Times New Roman"/>
          <w:spacing w:val="-8"/>
          <w:szCs w:val="21"/>
        </w:rPr>
        <w:t>注：</w:t>
      </w:r>
    </w:p>
    <w:p w14:paraId="6D3D8024">
      <w:pPr>
        <w:spacing w:before="78" w:line="219" w:lineRule="auto"/>
        <w:ind w:left="431"/>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lang w:val="en-US" w:eastAsia="zh-CN"/>
        </w:rPr>
        <w:t>1</w:t>
      </w:r>
      <w:r>
        <w:rPr>
          <w:rFonts w:hint="default" w:ascii="Times New Roman" w:hAnsi="Times New Roman" w:eastAsia="宋体" w:cs="Times New Roman"/>
          <w:spacing w:val="-6"/>
          <w:szCs w:val="21"/>
        </w:rPr>
        <w:t>.该明细表所有信息均为必填项，不得删减，可细化可增加。</w:t>
      </w:r>
    </w:p>
    <w:p w14:paraId="5E68D550">
      <w:pPr>
        <w:spacing w:before="78" w:line="219" w:lineRule="auto"/>
        <w:ind w:left="431"/>
        <w:jc w:val="both"/>
        <w:rPr>
          <w:rFonts w:hint="default" w:ascii="Times New Roman" w:hAnsi="Times New Roman" w:eastAsia="宋体" w:cs="Times New Roman"/>
          <w:b/>
          <w:bCs/>
          <w:spacing w:val="-6"/>
          <w:szCs w:val="21"/>
          <w:highlight w:val="yellow"/>
          <w:lang w:val="en-US" w:eastAsia="zh-CN"/>
        </w:rPr>
      </w:pPr>
      <w:r>
        <w:rPr>
          <w:rFonts w:hint="default" w:ascii="Times New Roman" w:hAnsi="Times New Roman" w:eastAsia="宋体" w:cs="Times New Roman"/>
          <w:b/>
          <w:bCs/>
          <w:spacing w:val="-6"/>
          <w:szCs w:val="21"/>
          <w:highlight w:val="yellow"/>
          <w:lang w:val="en-US" w:eastAsia="zh-CN"/>
        </w:rPr>
        <w:t>2.此表格需在技术标中体现，并明确规格型号、品牌等信息。</w:t>
      </w:r>
    </w:p>
    <w:p w14:paraId="24F09E8C">
      <w:pPr>
        <w:spacing w:before="78" w:line="219" w:lineRule="auto"/>
        <w:ind w:left="431"/>
        <w:jc w:val="both"/>
        <w:rPr>
          <w:rFonts w:hint="default" w:ascii="Times New Roman" w:hAnsi="Times New Roman" w:eastAsia="宋体" w:cs="Times New Roman"/>
          <w:spacing w:val="-6"/>
          <w:szCs w:val="21"/>
          <w:highlight w:val="yellow"/>
          <w:lang w:val="en-US" w:eastAsia="zh-CN"/>
        </w:rPr>
      </w:pPr>
      <w:r>
        <w:rPr>
          <w:rFonts w:hint="default" w:ascii="Times New Roman" w:hAnsi="Times New Roman" w:eastAsia="宋体" w:cs="Times New Roman"/>
          <w:spacing w:val="-6"/>
          <w:szCs w:val="21"/>
          <w:highlight w:val="yellow"/>
          <w:lang w:val="en-US" w:eastAsia="zh-CN"/>
        </w:rPr>
        <w:t>3.此表分项明细需要和附表9-1完全对应。</w:t>
      </w:r>
    </w:p>
    <w:p w14:paraId="5B1A787A">
      <w:pPr>
        <w:spacing w:before="78" w:line="219" w:lineRule="auto"/>
        <w:ind w:left="431"/>
        <w:jc w:val="both"/>
        <w:rPr>
          <w:rFonts w:hint="default" w:ascii="Times New Roman" w:hAnsi="Times New Roman" w:eastAsia="宋体" w:cs="Times New Roman"/>
          <w:spacing w:val="-6"/>
          <w:szCs w:val="21"/>
          <w:lang w:val="en-US" w:eastAsia="zh-CN"/>
        </w:rPr>
      </w:pPr>
      <w:r>
        <w:rPr>
          <w:rFonts w:hint="default" w:ascii="Times New Roman" w:hAnsi="Times New Roman" w:eastAsia="宋体" w:cs="Times New Roman"/>
          <w:spacing w:val="-6"/>
          <w:szCs w:val="21"/>
          <w:lang w:val="en-US" w:eastAsia="zh-CN"/>
        </w:rPr>
        <w:t>4.因填写不规范造成废标及终止招标的，责任由投标人自负。</w:t>
      </w:r>
    </w:p>
    <w:p w14:paraId="0E51D077">
      <w:pPr>
        <w:spacing w:before="78" w:line="219" w:lineRule="auto"/>
        <w:ind w:left="431"/>
        <w:jc w:val="both"/>
        <w:rPr>
          <w:rFonts w:hint="default" w:ascii="Times New Roman" w:hAnsi="Times New Roman" w:eastAsia="宋体" w:cs="Times New Roman"/>
          <w:b w:val="0"/>
          <w:bCs w:val="0"/>
          <w:spacing w:val="-6"/>
          <w:szCs w:val="21"/>
          <w:lang w:val="en-US" w:eastAsia="zh-CN"/>
        </w:rPr>
      </w:pPr>
    </w:p>
    <w:p w14:paraId="5775D8BE">
      <w:pPr>
        <w:spacing w:line="105" w:lineRule="exact"/>
        <w:jc w:val="both"/>
        <w:rPr>
          <w:rFonts w:hint="default" w:ascii="Times New Roman" w:hAnsi="Times New Roman" w:eastAsia="宋体" w:cs="Times New Roman"/>
        </w:rPr>
      </w:pPr>
    </w:p>
    <w:p w14:paraId="3AFB9761">
      <w:pPr>
        <w:jc w:val="both"/>
        <w:rPr>
          <w:rFonts w:hint="default" w:ascii="Times New Roman" w:hAnsi="Times New Roman" w:eastAsia="宋体" w:cs="Times New Roman"/>
        </w:rPr>
        <w:sectPr>
          <w:footerReference r:id="rId27" w:type="default"/>
          <w:pgSz w:w="16841" w:h="11907" w:orient="landscape"/>
          <w:pgMar w:top="400" w:right="1387" w:bottom="1168" w:left="1473" w:header="0" w:footer="990" w:gutter="0"/>
          <w:cols w:equalWidth="0" w:num="1">
            <w:col w:w="13980"/>
          </w:cols>
        </w:sectPr>
      </w:pPr>
    </w:p>
    <w:p w14:paraId="45338F2C">
      <w:pPr>
        <w:spacing w:before="85" w:line="198" w:lineRule="auto"/>
        <w:ind w:left="432"/>
        <w:jc w:val="both"/>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投标人(章)：</w:t>
      </w:r>
    </w:p>
    <w:p w14:paraId="53A14C5C">
      <w:pPr>
        <w:spacing w:line="14"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column"/>
      </w:r>
    </w:p>
    <w:p w14:paraId="47A3FF12">
      <w:pPr>
        <w:spacing w:before="40" w:line="186" w:lineRule="auto"/>
        <w:jc w:val="both"/>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授权代表(签字)：</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14:paraId="5ADC0BFD">
      <w:pPr>
        <w:jc w:val="both"/>
        <w:rPr>
          <w:rFonts w:hint="default" w:ascii="Times New Roman" w:hAnsi="Times New Roman" w:eastAsia="宋体" w:cs="Times New Roman"/>
          <w:sz w:val="24"/>
          <w:szCs w:val="24"/>
        </w:rPr>
        <w:sectPr>
          <w:type w:val="continuous"/>
          <w:pgSz w:w="16841" w:h="11907"/>
          <w:pgMar w:top="400" w:right="1387" w:bottom="1168" w:left="1473" w:header="0" w:footer="990" w:gutter="0"/>
          <w:cols w:equalWidth="0" w:num="2">
            <w:col w:w="4757" w:space="100"/>
            <w:col w:w="9124"/>
          </w:cols>
        </w:sectPr>
      </w:pPr>
    </w:p>
    <w:p w14:paraId="05E1B8A5">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 xml:space="preserve">附件6 </w:t>
      </w:r>
      <w:r>
        <w:rPr>
          <w:rFonts w:hint="default"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eastAsia="zh-CN"/>
        </w:rPr>
        <w:t>2022</w:t>
      </w:r>
      <w:r>
        <w:rPr>
          <w:rFonts w:hint="default" w:ascii="Times New Roman" w:hAnsi="Times New Roman" w:eastAsia="宋体" w:cs="Times New Roman"/>
          <w:b/>
          <w:bCs/>
          <w:color w:val="000000"/>
          <w:sz w:val="24"/>
          <w:szCs w:val="24"/>
        </w:rPr>
        <w:t>年1月1日至今同类项目业绩一览表</w:t>
      </w:r>
    </w:p>
    <w:p w14:paraId="091AF04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r>
        <w:rPr>
          <w:rFonts w:hint="default" w:ascii="Times New Roman" w:hAnsi="Times New Roman"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E0F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8F14243">
            <w:pPr>
              <w:ind w:left="420" w:hanging="420"/>
              <w:jc w:val="both"/>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78402B86">
            <w:pPr>
              <w:ind w:left="420" w:hanging="420"/>
              <w:jc w:val="both"/>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2485719F">
            <w:pPr>
              <w:ind w:left="420" w:hanging="420"/>
              <w:jc w:val="both"/>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65E3832E">
            <w:pPr>
              <w:ind w:left="420" w:hanging="420"/>
              <w:jc w:val="both"/>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E007BCE">
            <w:pPr>
              <w:jc w:val="both"/>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31F036ED">
            <w:pPr>
              <w:jc w:val="both"/>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E586866">
            <w:pPr>
              <w:jc w:val="both"/>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4D9D4A87">
            <w:pPr>
              <w:ind w:left="420" w:hanging="420"/>
              <w:jc w:val="both"/>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860912">
            <w:pPr>
              <w:ind w:left="420" w:hanging="420"/>
              <w:jc w:val="both"/>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3225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B03A74">
            <w:pPr>
              <w:ind w:left="420" w:hanging="420"/>
              <w:jc w:val="both"/>
              <w:rPr>
                <w:rFonts w:hint="default" w:ascii="Times New Roman" w:hAnsi="Times New Roman" w:eastAsia="宋体" w:cs="Times New Roman"/>
                <w:b/>
                <w:szCs w:val="20"/>
              </w:rPr>
            </w:pPr>
          </w:p>
        </w:tc>
        <w:tc>
          <w:tcPr>
            <w:tcW w:w="2082" w:type="dxa"/>
          </w:tcPr>
          <w:p w14:paraId="024008A9">
            <w:pPr>
              <w:ind w:left="420" w:hanging="420"/>
              <w:jc w:val="both"/>
              <w:rPr>
                <w:rFonts w:hint="default" w:ascii="Times New Roman" w:hAnsi="Times New Roman" w:eastAsia="宋体" w:cs="Times New Roman"/>
                <w:b/>
                <w:szCs w:val="20"/>
              </w:rPr>
            </w:pPr>
          </w:p>
        </w:tc>
        <w:tc>
          <w:tcPr>
            <w:tcW w:w="1355" w:type="dxa"/>
          </w:tcPr>
          <w:p w14:paraId="1F207969">
            <w:pPr>
              <w:ind w:left="420" w:hanging="420"/>
              <w:jc w:val="both"/>
              <w:rPr>
                <w:rFonts w:hint="default" w:ascii="Times New Roman" w:hAnsi="Times New Roman" w:eastAsia="宋体" w:cs="Times New Roman"/>
                <w:b/>
                <w:szCs w:val="20"/>
              </w:rPr>
            </w:pPr>
          </w:p>
        </w:tc>
        <w:tc>
          <w:tcPr>
            <w:tcW w:w="826" w:type="dxa"/>
          </w:tcPr>
          <w:p w14:paraId="04264956">
            <w:pPr>
              <w:ind w:left="420" w:hanging="420"/>
              <w:jc w:val="both"/>
              <w:rPr>
                <w:rFonts w:hint="default" w:ascii="Times New Roman" w:hAnsi="Times New Roman" w:eastAsia="宋体" w:cs="Times New Roman"/>
                <w:b/>
                <w:szCs w:val="20"/>
              </w:rPr>
            </w:pPr>
          </w:p>
        </w:tc>
        <w:tc>
          <w:tcPr>
            <w:tcW w:w="1320" w:type="dxa"/>
          </w:tcPr>
          <w:p w14:paraId="1E592A85">
            <w:pPr>
              <w:ind w:left="420" w:hanging="420"/>
              <w:jc w:val="both"/>
              <w:rPr>
                <w:rFonts w:hint="default" w:ascii="Times New Roman" w:hAnsi="Times New Roman" w:eastAsia="宋体" w:cs="Times New Roman"/>
                <w:b/>
                <w:szCs w:val="20"/>
              </w:rPr>
            </w:pPr>
          </w:p>
        </w:tc>
        <w:tc>
          <w:tcPr>
            <w:tcW w:w="1023" w:type="dxa"/>
          </w:tcPr>
          <w:p w14:paraId="6DACEB6D">
            <w:pPr>
              <w:ind w:left="420" w:hanging="420"/>
              <w:jc w:val="both"/>
              <w:rPr>
                <w:rFonts w:hint="default" w:ascii="Times New Roman" w:hAnsi="Times New Roman" w:eastAsia="宋体" w:cs="Times New Roman"/>
                <w:b/>
                <w:szCs w:val="20"/>
              </w:rPr>
            </w:pPr>
          </w:p>
        </w:tc>
        <w:tc>
          <w:tcPr>
            <w:tcW w:w="1590" w:type="dxa"/>
          </w:tcPr>
          <w:p w14:paraId="27E3D068">
            <w:pPr>
              <w:ind w:left="420" w:hanging="420"/>
              <w:jc w:val="both"/>
              <w:rPr>
                <w:rFonts w:hint="default" w:ascii="Times New Roman" w:hAnsi="Times New Roman" w:eastAsia="宋体" w:cs="Times New Roman"/>
                <w:b/>
                <w:szCs w:val="20"/>
              </w:rPr>
            </w:pPr>
          </w:p>
        </w:tc>
      </w:tr>
      <w:tr w14:paraId="18D7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BEA2BF">
            <w:pPr>
              <w:ind w:left="420" w:hanging="420"/>
              <w:jc w:val="both"/>
              <w:rPr>
                <w:rFonts w:hint="default" w:ascii="Times New Roman" w:hAnsi="Times New Roman" w:eastAsia="宋体" w:cs="Times New Roman"/>
                <w:b/>
                <w:szCs w:val="20"/>
              </w:rPr>
            </w:pPr>
          </w:p>
        </w:tc>
        <w:tc>
          <w:tcPr>
            <w:tcW w:w="2082" w:type="dxa"/>
          </w:tcPr>
          <w:p w14:paraId="435D5766">
            <w:pPr>
              <w:ind w:left="420" w:hanging="420"/>
              <w:jc w:val="both"/>
              <w:rPr>
                <w:rFonts w:hint="default" w:ascii="Times New Roman" w:hAnsi="Times New Roman" w:eastAsia="宋体" w:cs="Times New Roman"/>
                <w:b/>
                <w:szCs w:val="20"/>
              </w:rPr>
            </w:pPr>
          </w:p>
        </w:tc>
        <w:tc>
          <w:tcPr>
            <w:tcW w:w="1355" w:type="dxa"/>
          </w:tcPr>
          <w:p w14:paraId="08FAEE20">
            <w:pPr>
              <w:ind w:left="420" w:hanging="420"/>
              <w:jc w:val="both"/>
              <w:rPr>
                <w:rFonts w:hint="default" w:ascii="Times New Roman" w:hAnsi="Times New Roman" w:eastAsia="宋体" w:cs="Times New Roman"/>
                <w:b/>
                <w:szCs w:val="20"/>
              </w:rPr>
            </w:pPr>
          </w:p>
        </w:tc>
        <w:tc>
          <w:tcPr>
            <w:tcW w:w="826" w:type="dxa"/>
          </w:tcPr>
          <w:p w14:paraId="2D005532">
            <w:pPr>
              <w:ind w:left="420" w:hanging="420"/>
              <w:jc w:val="both"/>
              <w:rPr>
                <w:rFonts w:hint="default" w:ascii="Times New Roman" w:hAnsi="Times New Roman" w:eastAsia="宋体" w:cs="Times New Roman"/>
                <w:b/>
                <w:szCs w:val="20"/>
              </w:rPr>
            </w:pPr>
          </w:p>
        </w:tc>
        <w:tc>
          <w:tcPr>
            <w:tcW w:w="1320" w:type="dxa"/>
          </w:tcPr>
          <w:p w14:paraId="5B3BD71D">
            <w:pPr>
              <w:ind w:left="420" w:hanging="420"/>
              <w:jc w:val="both"/>
              <w:rPr>
                <w:rFonts w:hint="default" w:ascii="Times New Roman" w:hAnsi="Times New Roman" w:eastAsia="宋体" w:cs="Times New Roman"/>
                <w:b/>
                <w:szCs w:val="20"/>
              </w:rPr>
            </w:pPr>
          </w:p>
        </w:tc>
        <w:tc>
          <w:tcPr>
            <w:tcW w:w="1023" w:type="dxa"/>
          </w:tcPr>
          <w:p w14:paraId="6F10108D">
            <w:pPr>
              <w:ind w:left="420" w:hanging="420"/>
              <w:jc w:val="both"/>
              <w:rPr>
                <w:rFonts w:hint="default" w:ascii="Times New Roman" w:hAnsi="Times New Roman" w:eastAsia="宋体" w:cs="Times New Roman"/>
                <w:b/>
                <w:szCs w:val="20"/>
              </w:rPr>
            </w:pPr>
          </w:p>
        </w:tc>
        <w:tc>
          <w:tcPr>
            <w:tcW w:w="1590" w:type="dxa"/>
          </w:tcPr>
          <w:p w14:paraId="24490173">
            <w:pPr>
              <w:ind w:left="420" w:hanging="420"/>
              <w:jc w:val="both"/>
              <w:rPr>
                <w:rFonts w:hint="default" w:ascii="Times New Roman" w:hAnsi="Times New Roman" w:eastAsia="宋体" w:cs="Times New Roman"/>
                <w:b/>
                <w:szCs w:val="20"/>
              </w:rPr>
            </w:pPr>
          </w:p>
        </w:tc>
      </w:tr>
      <w:tr w14:paraId="2914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922C1B">
            <w:pPr>
              <w:ind w:left="420" w:hanging="420"/>
              <w:jc w:val="both"/>
              <w:rPr>
                <w:rFonts w:hint="default" w:ascii="Times New Roman" w:hAnsi="Times New Roman" w:eastAsia="宋体" w:cs="Times New Roman"/>
                <w:b/>
                <w:szCs w:val="20"/>
              </w:rPr>
            </w:pPr>
          </w:p>
        </w:tc>
        <w:tc>
          <w:tcPr>
            <w:tcW w:w="2082" w:type="dxa"/>
          </w:tcPr>
          <w:p w14:paraId="08494CE3">
            <w:pPr>
              <w:ind w:left="420" w:hanging="420"/>
              <w:jc w:val="both"/>
              <w:rPr>
                <w:rFonts w:hint="default" w:ascii="Times New Roman" w:hAnsi="Times New Roman" w:eastAsia="宋体" w:cs="Times New Roman"/>
                <w:b/>
                <w:szCs w:val="20"/>
              </w:rPr>
            </w:pPr>
          </w:p>
        </w:tc>
        <w:tc>
          <w:tcPr>
            <w:tcW w:w="1355" w:type="dxa"/>
          </w:tcPr>
          <w:p w14:paraId="4184099D">
            <w:pPr>
              <w:ind w:left="420" w:hanging="420"/>
              <w:jc w:val="both"/>
              <w:rPr>
                <w:rFonts w:hint="default" w:ascii="Times New Roman" w:hAnsi="Times New Roman" w:eastAsia="宋体" w:cs="Times New Roman"/>
                <w:b/>
                <w:szCs w:val="20"/>
              </w:rPr>
            </w:pPr>
          </w:p>
        </w:tc>
        <w:tc>
          <w:tcPr>
            <w:tcW w:w="826" w:type="dxa"/>
          </w:tcPr>
          <w:p w14:paraId="632148CB">
            <w:pPr>
              <w:ind w:left="420" w:hanging="420"/>
              <w:jc w:val="both"/>
              <w:rPr>
                <w:rFonts w:hint="default" w:ascii="Times New Roman" w:hAnsi="Times New Roman" w:eastAsia="宋体" w:cs="Times New Roman"/>
                <w:b/>
                <w:szCs w:val="20"/>
              </w:rPr>
            </w:pPr>
          </w:p>
        </w:tc>
        <w:tc>
          <w:tcPr>
            <w:tcW w:w="1320" w:type="dxa"/>
          </w:tcPr>
          <w:p w14:paraId="0751F8C9">
            <w:pPr>
              <w:ind w:left="420" w:hanging="420"/>
              <w:jc w:val="both"/>
              <w:rPr>
                <w:rFonts w:hint="default" w:ascii="Times New Roman" w:hAnsi="Times New Roman" w:eastAsia="宋体" w:cs="Times New Roman"/>
                <w:b/>
                <w:szCs w:val="20"/>
              </w:rPr>
            </w:pPr>
          </w:p>
        </w:tc>
        <w:tc>
          <w:tcPr>
            <w:tcW w:w="1023" w:type="dxa"/>
          </w:tcPr>
          <w:p w14:paraId="2464EDDF">
            <w:pPr>
              <w:ind w:left="420" w:hanging="420"/>
              <w:jc w:val="both"/>
              <w:rPr>
                <w:rFonts w:hint="default" w:ascii="Times New Roman" w:hAnsi="Times New Roman" w:eastAsia="宋体" w:cs="Times New Roman"/>
                <w:b/>
                <w:szCs w:val="20"/>
              </w:rPr>
            </w:pPr>
          </w:p>
        </w:tc>
        <w:tc>
          <w:tcPr>
            <w:tcW w:w="1590" w:type="dxa"/>
          </w:tcPr>
          <w:p w14:paraId="5A2956DE">
            <w:pPr>
              <w:ind w:left="420" w:hanging="420"/>
              <w:jc w:val="both"/>
              <w:rPr>
                <w:rFonts w:hint="default" w:ascii="Times New Roman" w:hAnsi="Times New Roman" w:eastAsia="宋体" w:cs="Times New Roman"/>
                <w:b/>
                <w:szCs w:val="20"/>
              </w:rPr>
            </w:pPr>
          </w:p>
        </w:tc>
      </w:tr>
      <w:tr w14:paraId="1DF2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6437EC">
            <w:pPr>
              <w:ind w:left="420" w:hanging="420"/>
              <w:jc w:val="both"/>
              <w:rPr>
                <w:rFonts w:hint="default" w:ascii="Times New Roman" w:hAnsi="Times New Roman" w:eastAsia="宋体" w:cs="Times New Roman"/>
                <w:b/>
                <w:szCs w:val="20"/>
              </w:rPr>
            </w:pPr>
          </w:p>
        </w:tc>
        <w:tc>
          <w:tcPr>
            <w:tcW w:w="2082" w:type="dxa"/>
          </w:tcPr>
          <w:p w14:paraId="6B76D7ED">
            <w:pPr>
              <w:ind w:left="420" w:hanging="420"/>
              <w:jc w:val="both"/>
              <w:rPr>
                <w:rFonts w:hint="default" w:ascii="Times New Roman" w:hAnsi="Times New Roman" w:eastAsia="宋体" w:cs="Times New Roman"/>
                <w:b/>
                <w:szCs w:val="20"/>
              </w:rPr>
            </w:pPr>
          </w:p>
        </w:tc>
        <w:tc>
          <w:tcPr>
            <w:tcW w:w="1355" w:type="dxa"/>
          </w:tcPr>
          <w:p w14:paraId="67384EC5">
            <w:pPr>
              <w:ind w:left="420" w:hanging="420"/>
              <w:jc w:val="both"/>
              <w:rPr>
                <w:rFonts w:hint="default" w:ascii="Times New Roman" w:hAnsi="Times New Roman" w:eastAsia="宋体" w:cs="Times New Roman"/>
                <w:b/>
                <w:szCs w:val="20"/>
              </w:rPr>
            </w:pPr>
          </w:p>
        </w:tc>
        <w:tc>
          <w:tcPr>
            <w:tcW w:w="826" w:type="dxa"/>
          </w:tcPr>
          <w:p w14:paraId="7C2228C1">
            <w:pPr>
              <w:ind w:left="420" w:hanging="420"/>
              <w:jc w:val="both"/>
              <w:rPr>
                <w:rFonts w:hint="default" w:ascii="Times New Roman" w:hAnsi="Times New Roman" w:eastAsia="宋体" w:cs="Times New Roman"/>
                <w:b/>
                <w:szCs w:val="20"/>
              </w:rPr>
            </w:pPr>
          </w:p>
        </w:tc>
        <w:tc>
          <w:tcPr>
            <w:tcW w:w="1320" w:type="dxa"/>
          </w:tcPr>
          <w:p w14:paraId="7B80922B">
            <w:pPr>
              <w:ind w:left="420" w:hanging="420"/>
              <w:jc w:val="both"/>
              <w:rPr>
                <w:rFonts w:hint="default" w:ascii="Times New Roman" w:hAnsi="Times New Roman" w:eastAsia="宋体" w:cs="Times New Roman"/>
                <w:b/>
                <w:szCs w:val="20"/>
              </w:rPr>
            </w:pPr>
          </w:p>
        </w:tc>
        <w:tc>
          <w:tcPr>
            <w:tcW w:w="1023" w:type="dxa"/>
          </w:tcPr>
          <w:p w14:paraId="1D7D32EB">
            <w:pPr>
              <w:ind w:left="420" w:hanging="420"/>
              <w:jc w:val="both"/>
              <w:rPr>
                <w:rFonts w:hint="default" w:ascii="Times New Roman" w:hAnsi="Times New Roman" w:eastAsia="宋体" w:cs="Times New Roman"/>
                <w:b/>
                <w:szCs w:val="20"/>
              </w:rPr>
            </w:pPr>
          </w:p>
        </w:tc>
        <w:tc>
          <w:tcPr>
            <w:tcW w:w="1590" w:type="dxa"/>
          </w:tcPr>
          <w:p w14:paraId="15B51C3F">
            <w:pPr>
              <w:ind w:left="420" w:hanging="420"/>
              <w:jc w:val="both"/>
              <w:rPr>
                <w:rFonts w:hint="default" w:ascii="Times New Roman" w:hAnsi="Times New Roman" w:eastAsia="宋体" w:cs="Times New Roman"/>
                <w:b/>
                <w:szCs w:val="20"/>
              </w:rPr>
            </w:pPr>
          </w:p>
        </w:tc>
      </w:tr>
      <w:tr w14:paraId="439A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998204">
            <w:pPr>
              <w:ind w:left="420" w:hanging="420"/>
              <w:jc w:val="both"/>
              <w:rPr>
                <w:rFonts w:hint="default" w:ascii="Times New Roman" w:hAnsi="Times New Roman" w:eastAsia="宋体" w:cs="Times New Roman"/>
                <w:b/>
                <w:szCs w:val="20"/>
              </w:rPr>
            </w:pPr>
          </w:p>
        </w:tc>
        <w:tc>
          <w:tcPr>
            <w:tcW w:w="2082" w:type="dxa"/>
          </w:tcPr>
          <w:p w14:paraId="601C9BA0">
            <w:pPr>
              <w:ind w:left="420" w:hanging="420"/>
              <w:jc w:val="both"/>
              <w:rPr>
                <w:rFonts w:hint="default" w:ascii="Times New Roman" w:hAnsi="Times New Roman" w:eastAsia="宋体" w:cs="Times New Roman"/>
                <w:b/>
                <w:szCs w:val="20"/>
              </w:rPr>
            </w:pPr>
          </w:p>
        </w:tc>
        <w:tc>
          <w:tcPr>
            <w:tcW w:w="1355" w:type="dxa"/>
          </w:tcPr>
          <w:p w14:paraId="19B6E1D5">
            <w:pPr>
              <w:ind w:left="420" w:hanging="420"/>
              <w:jc w:val="both"/>
              <w:rPr>
                <w:rFonts w:hint="default" w:ascii="Times New Roman" w:hAnsi="Times New Roman" w:eastAsia="宋体" w:cs="Times New Roman"/>
                <w:b/>
                <w:szCs w:val="20"/>
              </w:rPr>
            </w:pPr>
          </w:p>
        </w:tc>
        <w:tc>
          <w:tcPr>
            <w:tcW w:w="826" w:type="dxa"/>
          </w:tcPr>
          <w:p w14:paraId="4C6C833E">
            <w:pPr>
              <w:ind w:left="420" w:hanging="420"/>
              <w:jc w:val="both"/>
              <w:rPr>
                <w:rFonts w:hint="default" w:ascii="Times New Roman" w:hAnsi="Times New Roman" w:eastAsia="宋体" w:cs="Times New Roman"/>
                <w:b/>
                <w:szCs w:val="20"/>
              </w:rPr>
            </w:pPr>
          </w:p>
        </w:tc>
        <w:tc>
          <w:tcPr>
            <w:tcW w:w="1320" w:type="dxa"/>
          </w:tcPr>
          <w:p w14:paraId="574E093B">
            <w:pPr>
              <w:ind w:left="420" w:hanging="420"/>
              <w:jc w:val="both"/>
              <w:rPr>
                <w:rFonts w:hint="default" w:ascii="Times New Roman" w:hAnsi="Times New Roman" w:eastAsia="宋体" w:cs="Times New Roman"/>
                <w:b/>
                <w:szCs w:val="20"/>
              </w:rPr>
            </w:pPr>
          </w:p>
        </w:tc>
        <w:tc>
          <w:tcPr>
            <w:tcW w:w="1023" w:type="dxa"/>
          </w:tcPr>
          <w:p w14:paraId="11E23CD6">
            <w:pPr>
              <w:ind w:left="420" w:hanging="420"/>
              <w:jc w:val="both"/>
              <w:rPr>
                <w:rFonts w:hint="default" w:ascii="Times New Roman" w:hAnsi="Times New Roman" w:eastAsia="宋体" w:cs="Times New Roman"/>
                <w:b/>
                <w:szCs w:val="20"/>
              </w:rPr>
            </w:pPr>
          </w:p>
        </w:tc>
        <w:tc>
          <w:tcPr>
            <w:tcW w:w="1590" w:type="dxa"/>
          </w:tcPr>
          <w:p w14:paraId="7ED7BB67">
            <w:pPr>
              <w:ind w:left="420" w:hanging="420"/>
              <w:jc w:val="both"/>
              <w:rPr>
                <w:rFonts w:hint="default" w:ascii="Times New Roman" w:hAnsi="Times New Roman" w:eastAsia="宋体" w:cs="Times New Roman"/>
                <w:b/>
                <w:szCs w:val="20"/>
              </w:rPr>
            </w:pPr>
          </w:p>
        </w:tc>
      </w:tr>
      <w:tr w14:paraId="1135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BAAC432">
            <w:pPr>
              <w:ind w:left="420" w:hanging="420"/>
              <w:jc w:val="both"/>
              <w:rPr>
                <w:rFonts w:hint="default" w:ascii="Times New Roman" w:hAnsi="Times New Roman" w:eastAsia="宋体" w:cs="Times New Roman"/>
                <w:b/>
                <w:szCs w:val="20"/>
              </w:rPr>
            </w:pPr>
          </w:p>
        </w:tc>
        <w:tc>
          <w:tcPr>
            <w:tcW w:w="2082" w:type="dxa"/>
          </w:tcPr>
          <w:p w14:paraId="29E8C5D5">
            <w:pPr>
              <w:ind w:left="420" w:hanging="420"/>
              <w:jc w:val="both"/>
              <w:rPr>
                <w:rFonts w:hint="default" w:ascii="Times New Roman" w:hAnsi="Times New Roman" w:eastAsia="宋体" w:cs="Times New Roman"/>
                <w:b/>
                <w:szCs w:val="20"/>
              </w:rPr>
            </w:pPr>
          </w:p>
        </w:tc>
        <w:tc>
          <w:tcPr>
            <w:tcW w:w="1355" w:type="dxa"/>
          </w:tcPr>
          <w:p w14:paraId="5A028A7D">
            <w:pPr>
              <w:ind w:left="420" w:hanging="420"/>
              <w:jc w:val="both"/>
              <w:rPr>
                <w:rFonts w:hint="default" w:ascii="Times New Roman" w:hAnsi="Times New Roman" w:eastAsia="宋体" w:cs="Times New Roman"/>
                <w:b/>
                <w:szCs w:val="20"/>
              </w:rPr>
            </w:pPr>
          </w:p>
        </w:tc>
        <w:tc>
          <w:tcPr>
            <w:tcW w:w="826" w:type="dxa"/>
          </w:tcPr>
          <w:p w14:paraId="40A5AAF2">
            <w:pPr>
              <w:ind w:left="420" w:hanging="420"/>
              <w:jc w:val="both"/>
              <w:rPr>
                <w:rFonts w:hint="default" w:ascii="Times New Roman" w:hAnsi="Times New Roman" w:eastAsia="宋体" w:cs="Times New Roman"/>
                <w:b/>
                <w:szCs w:val="20"/>
              </w:rPr>
            </w:pPr>
          </w:p>
        </w:tc>
        <w:tc>
          <w:tcPr>
            <w:tcW w:w="1320" w:type="dxa"/>
          </w:tcPr>
          <w:p w14:paraId="3228E611">
            <w:pPr>
              <w:ind w:left="420" w:hanging="420"/>
              <w:jc w:val="both"/>
              <w:rPr>
                <w:rFonts w:hint="default" w:ascii="Times New Roman" w:hAnsi="Times New Roman" w:eastAsia="宋体" w:cs="Times New Roman"/>
                <w:b/>
                <w:szCs w:val="20"/>
              </w:rPr>
            </w:pPr>
          </w:p>
        </w:tc>
        <w:tc>
          <w:tcPr>
            <w:tcW w:w="1023" w:type="dxa"/>
          </w:tcPr>
          <w:p w14:paraId="443D80DE">
            <w:pPr>
              <w:ind w:left="420" w:hanging="420"/>
              <w:jc w:val="both"/>
              <w:rPr>
                <w:rFonts w:hint="default" w:ascii="Times New Roman" w:hAnsi="Times New Roman" w:eastAsia="宋体" w:cs="Times New Roman"/>
                <w:b/>
                <w:szCs w:val="20"/>
              </w:rPr>
            </w:pPr>
          </w:p>
        </w:tc>
        <w:tc>
          <w:tcPr>
            <w:tcW w:w="1590" w:type="dxa"/>
          </w:tcPr>
          <w:p w14:paraId="4A8D2BAC">
            <w:pPr>
              <w:ind w:left="420" w:hanging="420"/>
              <w:jc w:val="both"/>
              <w:rPr>
                <w:rFonts w:hint="default" w:ascii="Times New Roman" w:hAnsi="Times New Roman" w:eastAsia="宋体" w:cs="Times New Roman"/>
                <w:b/>
                <w:szCs w:val="20"/>
              </w:rPr>
            </w:pPr>
          </w:p>
        </w:tc>
      </w:tr>
      <w:tr w14:paraId="346C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EE06EE">
            <w:pPr>
              <w:ind w:left="420" w:hanging="420"/>
              <w:jc w:val="both"/>
              <w:rPr>
                <w:rFonts w:hint="default" w:ascii="Times New Roman" w:hAnsi="Times New Roman" w:eastAsia="宋体" w:cs="Times New Roman"/>
                <w:b/>
                <w:szCs w:val="20"/>
              </w:rPr>
            </w:pPr>
          </w:p>
        </w:tc>
        <w:tc>
          <w:tcPr>
            <w:tcW w:w="2082" w:type="dxa"/>
          </w:tcPr>
          <w:p w14:paraId="3D248577">
            <w:pPr>
              <w:ind w:left="420" w:hanging="420"/>
              <w:jc w:val="both"/>
              <w:rPr>
                <w:rFonts w:hint="default" w:ascii="Times New Roman" w:hAnsi="Times New Roman" w:eastAsia="宋体" w:cs="Times New Roman"/>
                <w:b/>
                <w:szCs w:val="20"/>
              </w:rPr>
            </w:pPr>
          </w:p>
        </w:tc>
        <w:tc>
          <w:tcPr>
            <w:tcW w:w="1355" w:type="dxa"/>
          </w:tcPr>
          <w:p w14:paraId="5C3715D0">
            <w:pPr>
              <w:ind w:left="420" w:hanging="420"/>
              <w:jc w:val="both"/>
              <w:rPr>
                <w:rFonts w:hint="default" w:ascii="Times New Roman" w:hAnsi="Times New Roman" w:eastAsia="宋体" w:cs="Times New Roman"/>
                <w:b/>
                <w:szCs w:val="20"/>
              </w:rPr>
            </w:pPr>
          </w:p>
        </w:tc>
        <w:tc>
          <w:tcPr>
            <w:tcW w:w="826" w:type="dxa"/>
          </w:tcPr>
          <w:p w14:paraId="1E02A69A">
            <w:pPr>
              <w:ind w:left="420" w:hanging="420"/>
              <w:jc w:val="both"/>
              <w:rPr>
                <w:rFonts w:hint="default" w:ascii="Times New Roman" w:hAnsi="Times New Roman" w:eastAsia="宋体" w:cs="Times New Roman"/>
                <w:b/>
                <w:szCs w:val="20"/>
              </w:rPr>
            </w:pPr>
          </w:p>
        </w:tc>
        <w:tc>
          <w:tcPr>
            <w:tcW w:w="1320" w:type="dxa"/>
          </w:tcPr>
          <w:p w14:paraId="00040359">
            <w:pPr>
              <w:ind w:left="420" w:hanging="420"/>
              <w:jc w:val="both"/>
              <w:rPr>
                <w:rFonts w:hint="default" w:ascii="Times New Roman" w:hAnsi="Times New Roman" w:eastAsia="宋体" w:cs="Times New Roman"/>
                <w:b/>
                <w:szCs w:val="20"/>
              </w:rPr>
            </w:pPr>
          </w:p>
        </w:tc>
        <w:tc>
          <w:tcPr>
            <w:tcW w:w="1023" w:type="dxa"/>
          </w:tcPr>
          <w:p w14:paraId="747A8FE9">
            <w:pPr>
              <w:ind w:left="420" w:hanging="420"/>
              <w:jc w:val="both"/>
              <w:rPr>
                <w:rFonts w:hint="default" w:ascii="Times New Roman" w:hAnsi="Times New Roman" w:eastAsia="宋体" w:cs="Times New Roman"/>
                <w:b/>
                <w:szCs w:val="20"/>
              </w:rPr>
            </w:pPr>
          </w:p>
        </w:tc>
        <w:tc>
          <w:tcPr>
            <w:tcW w:w="1590" w:type="dxa"/>
          </w:tcPr>
          <w:p w14:paraId="69275A21">
            <w:pPr>
              <w:ind w:left="420" w:hanging="420"/>
              <w:jc w:val="both"/>
              <w:rPr>
                <w:rFonts w:hint="default" w:ascii="Times New Roman" w:hAnsi="Times New Roman" w:eastAsia="宋体" w:cs="Times New Roman"/>
                <w:b/>
                <w:szCs w:val="20"/>
              </w:rPr>
            </w:pPr>
          </w:p>
        </w:tc>
      </w:tr>
      <w:tr w14:paraId="3C92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6037BD">
            <w:pPr>
              <w:ind w:left="420" w:hanging="420"/>
              <w:jc w:val="both"/>
              <w:rPr>
                <w:rFonts w:hint="default" w:ascii="Times New Roman" w:hAnsi="Times New Roman" w:eastAsia="宋体" w:cs="Times New Roman"/>
                <w:b/>
                <w:szCs w:val="20"/>
              </w:rPr>
            </w:pPr>
          </w:p>
        </w:tc>
        <w:tc>
          <w:tcPr>
            <w:tcW w:w="2082" w:type="dxa"/>
          </w:tcPr>
          <w:p w14:paraId="2F0F320C">
            <w:pPr>
              <w:ind w:left="420" w:hanging="420"/>
              <w:jc w:val="both"/>
              <w:rPr>
                <w:rFonts w:hint="default" w:ascii="Times New Roman" w:hAnsi="Times New Roman" w:eastAsia="宋体" w:cs="Times New Roman"/>
                <w:b/>
                <w:szCs w:val="20"/>
              </w:rPr>
            </w:pPr>
          </w:p>
        </w:tc>
        <w:tc>
          <w:tcPr>
            <w:tcW w:w="1355" w:type="dxa"/>
          </w:tcPr>
          <w:p w14:paraId="0F74D72D">
            <w:pPr>
              <w:ind w:left="420" w:hanging="420"/>
              <w:jc w:val="both"/>
              <w:rPr>
                <w:rFonts w:hint="default" w:ascii="Times New Roman" w:hAnsi="Times New Roman" w:eastAsia="宋体" w:cs="Times New Roman"/>
                <w:b/>
                <w:szCs w:val="20"/>
              </w:rPr>
            </w:pPr>
          </w:p>
        </w:tc>
        <w:tc>
          <w:tcPr>
            <w:tcW w:w="826" w:type="dxa"/>
          </w:tcPr>
          <w:p w14:paraId="4F69F32D">
            <w:pPr>
              <w:ind w:left="420" w:hanging="420"/>
              <w:jc w:val="both"/>
              <w:rPr>
                <w:rFonts w:hint="default" w:ascii="Times New Roman" w:hAnsi="Times New Roman" w:eastAsia="宋体" w:cs="Times New Roman"/>
                <w:b/>
                <w:szCs w:val="20"/>
              </w:rPr>
            </w:pPr>
          </w:p>
        </w:tc>
        <w:tc>
          <w:tcPr>
            <w:tcW w:w="1320" w:type="dxa"/>
          </w:tcPr>
          <w:p w14:paraId="6A7BBA49">
            <w:pPr>
              <w:ind w:left="420" w:hanging="420"/>
              <w:jc w:val="both"/>
              <w:rPr>
                <w:rFonts w:hint="default" w:ascii="Times New Roman" w:hAnsi="Times New Roman" w:eastAsia="宋体" w:cs="Times New Roman"/>
                <w:b/>
                <w:szCs w:val="20"/>
              </w:rPr>
            </w:pPr>
          </w:p>
        </w:tc>
        <w:tc>
          <w:tcPr>
            <w:tcW w:w="1023" w:type="dxa"/>
          </w:tcPr>
          <w:p w14:paraId="4FF0ECA4">
            <w:pPr>
              <w:ind w:left="420" w:hanging="420"/>
              <w:jc w:val="both"/>
              <w:rPr>
                <w:rFonts w:hint="default" w:ascii="Times New Roman" w:hAnsi="Times New Roman" w:eastAsia="宋体" w:cs="Times New Roman"/>
                <w:b/>
                <w:szCs w:val="20"/>
              </w:rPr>
            </w:pPr>
          </w:p>
        </w:tc>
        <w:tc>
          <w:tcPr>
            <w:tcW w:w="1590" w:type="dxa"/>
          </w:tcPr>
          <w:p w14:paraId="60A984A4">
            <w:pPr>
              <w:ind w:left="420" w:hanging="420"/>
              <w:jc w:val="both"/>
              <w:rPr>
                <w:rFonts w:hint="default" w:ascii="Times New Roman" w:hAnsi="Times New Roman" w:eastAsia="宋体" w:cs="Times New Roman"/>
                <w:b/>
                <w:szCs w:val="20"/>
              </w:rPr>
            </w:pPr>
          </w:p>
        </w:tc>
      </w:tr>
      <w:tr w14:paraId="0841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AACD155">
            <w:pPr>
              <w:ind w:left="420" w:hanging="420"/>
              <w:jc w:val="both"/>
              <w:rPr>
                <w:rFonts w:hint="default" w:ascii="Times New Roman" w:hAnsi="Times New Roman" w:eastAsia="宋体" w:cs="Times New Roman"/>
                <w:b/>
                <w:szCs w:val="20"/>
              </w:rPr>
            </w:pPr>
          </w:p>
        </w:tc>
        <w:tc>
          <w:tcPr>
            <w:tcW w:w="2082" w:type="dxa"/>
          </w:tcPr>
          <w:p w14:paraId="20D999EE">
            <w:pPr>
              <w:ind w:left="420" w:hanging="420"/>
              <w:jc w:val="both"/>
              <w:rPr>
                <w:rFonts w:hint="default" w:ascii="Times New Roman" w:hAnsi="Times New Roman" w:eastAsia="宋体" w:cs="Times New Roman"/>
                <w:b/>
                <w:szCs w:val="20"/>
              </w:rPr>
            </w:pPr>
          </w:p>
        </w:tc>
        <w:tc>
          <w:tcPr>
            <w:tcW w:w="1355" w:type="dxa"/>
          </w:tcPr>
          <w:p w14:paraId="1B6E8503">
            <w:pPr>
              <w:ind w:left="420" w:hanging="420"/>
              <w:jc w:val="both"/>
              <w:rPr>
                <w:rFonts w:hint="default" w:ascii="Times New Roman" w:hAnsi="Times New Roman" w:eastAsia="宋体" w:cs="Times New Roman"/>
                <w:b/>
                <w:szCs w:val="20"/>
              </w:rPr>
            </w:pPr>
          </w:p>
        </w:tc>
        <w:tc>
          <w:tcPr>
            <w:tcW w:w="826" w:type="dxa"/>
          </w:tcPr>
          <w:p w14:paraId="5E8FF727">
            <w:pPr>
              <w:ind w:left="420" w:hanging="420"/>
              <w:jc w:val="both"/>
              <w:rPr>
                <w:rFonts w:hint="default" w:ascii="Times New Roman" w:hAnsi="Times New Roman" w:eastAsia="宋体" w:cs="Times New Roman"/>
                <w:b/>
                <w:szCs w:val="20"/>
              </w:rPr>
            </w:pPr>
          </w:p>
        </w:tc>
        <w:tc>
          <w:tcPr>
            <w:tcW w:w="1320" w:type="dxa"/>
          </w:tcPr>
          <w:p w14:paraId="08A224AA">
            <w:pPr>
              <w:ind w:left="420" w:hanging="420"/>
              <w:jc w:val="both"/>
              <w:rPr>
                <w:rFonts w:hint="default" w:ascii="Times New Roman" w:hAnsi="Times New Roman" w:eastAsia="宋体" w:cs="Times New Roman"/>
                <w:b/>
                <w:szCs w:val="20"/>
              </w:rPr>
            </w:pPr>
          </w:p>
        </w:tc>
        <w:tc>
          <w:tcPr>
            <w:tcW w:w="1023" w:type="dxa"/>
          </w:tcPr>
          <w:p w14:paraId="3AB08D33">
            <w:pPr>
              <w:ind w:left="420" w:hanging="420"/>
              <w:jc w:val="both"/>
              <w:rPr>
                <w:rFonts w:hint="default" w:ascii="Times New Roman" w:hAnsi="Times New Roman" w:eastAsia="宋体" w:cs="Times New Roman"/>
                <w:b/>
                <w:szCs w:val="20"/>
              </w:rPr>
            </w:pPr>
          </w:p>
        </w:tc>
        <w:tc>
          <w:tcPr>
            <w:tcW w:w="1590" w:type="dxa"/>
          </w:tcPr>
          <w:p w14:paraId="55962429">
            <w:pPr>
              <w:ind w:left="420" w:hanging="420"/>
              <w:jc w:val="both"/>
              <w:rPr>
                <w:rFonts w:hint="default" w:ascii="Times New Roman" w:hAnsi="Times New Roman" w:eastAsia="宋体" w:cs="Times New Roman"/>
                <w:b/>
                <w:szCs w:val="20"/>
              </w:rPr>
            </w:pPr>
          </w:p>
        </w:tc>
      </w:tr>
      <w:tr w14:paraId="7277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3C2123">
            <w:pPr>
              <w:ind w:left="420" w:hanging="420"/>
              <w:jc w:val="both"/>
              <w:rPr>
                <w:rFonts w:hint="default" w:ascii="Times New Roman" w:hAnsi="Times New Roman" w:eastAsia="宋体" w:cs="Times New Roman"/>
                <w:b/>
                <w:szCs w:val="20"/>
              </w:rPr>
            </w:pPr>
          </w:p>
        </w:tc>
        <w:tc>
          <w:tcPr>
            <w:tcW w:w="2082" w:type="dxa"/>
          </w:tcPr>
          <w:p w14:paraId="311781AB">
            <w:pPr>
              <w:ind w:left="420" w:hanging="420"/>
              <w:jc w:val="both"/>
              <w:rPr>
                <w:rFonts w:hint="default" w:ascii="Times New Roman" w:hAnsi="Times New Roman" w:eastAsia="宋体" w:cs="Times New Roman"/>
                <w:b/>
                <w:szCs w:val="20"/>
              </w:rPr>
            </w:pPr>
          </w:p>
        </w:tc>
        <w:tc>
          <w:tcPr>
            <w:tcW w:w="1355" w:type="dxa"/>
          </w:tcPr>
          <w:p w14:paraId="673C3B62">
            <w:pPr>
              <w:ind w:left="420" w:hanging="420"/>
              <w:jc w:val="both"/>
              <w:rPr>
                <w:rFonts w:hint="default" w:ascii="Times New Roman" w:hAnsi="Times New Roman" w:eastAsia="宋体" w:cs="Times New Roman"/>
                <w:b/>
                <w:szCs w:val="20"/>
              </w:rPr>
            </w:pPr>
          </w:p>
        </w:tc>
        <w:tc>
          <w:tcPr>
            <w:tcW w:w="826" w:type="dxa"/>
          </w:tcPr>
          <w:p w14:paraId="63DF3663">
            <w:pPr>
              <w:ind w:left="420" w:hanging="420"/>
              <w:jc w:val="both"/>
              <w:rPr>
                <w:rFonts w:hint="default" w:ascii="Times New Roman" w:hAnsi="Times New Roman" w:eastAsia="宋体" w:cs="Times New Roman"/>
                <w:b/>
                <w:szCs w:val="20"/>
              </w:rPr>
            </w:pPr>
          </w:p>
        </w:tc>
        <w:tc>
          <w:tcPr>
            <w:tcW w:w="1320" w:type="dxa"/>
          </w:tcPr>
          <w:p w14:paraId="668EBC6C">
            <w:pPr>
              <w:ind w:left="420" w:hanging="420"/>
              <w:jc w:val="both"/>
              <w:rPr>
                <w:rFonts w:hint="default" w:ascii="Times New Roman" w:hAnsi="Times New Roman" w:eastAsia="宋体" w:cs="Times New Roman"/>
                <w:b/>
                <w:szCs w:val="20"/>
              </w:rPr>
            </w:pPr>
          </w:p>
        </w:tc>
        <w:tc>
          <w:tcPr>
            <w:tcW w:w="1023" w:type="dxa"/>
          </w:tcPr>
          <w:p w14:paraId="6CF07825">
            <w:pPr>
              <w:ind w:left="420" w:hanging="420"/>
              <w:jc w:val="both"/>
              <w:rPr>
                <w:rFonts w:hint="default" w:ascii="Times New Roman" w:hAnsi="Times New Roman" w:eastAsia="宋体" w:cs="Times New Roman"/>
                <w:b/>
                <w:szCs w:val="20"/>
              </w:rPr>
            </w:pPr>
          </w:p>
        </w:tc>
        <w:tc>
          <w:tcPr>
            <w:tcW w:w="1590" w:type="dxa"/>
          </w:tcPr>
          <w:p w14:paraId="0E5773F3">
            <w:pPr>
              <w:ind w:left="420" w:hanging="420"/>
              <w:jc w:val="both"/>
              <w:rPr>
                <w:rFonts w:hint="default" w:ascii="Times New Roman" w:hAnsi="Times New Roman" w:eastAsia="宋体" w:cs="Times New Roman"/>
                <w:b/>
                <w:szCs w:val="20"/>
              </w:rPr>
            </w:pPr>
          </w:p>
        </w:tc>
      </w:tr>
      <w:tr w14:paraId="2264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34BBFA">
            <w:pPr>
              <w:ind w:left="420" w:hanging="420"/>
              <w:jc w:val="both"/>
              <w:rPr>
                <w:rFonts w:hint="default" w:ascii="Times New Roman" w:hAnsi="Times New Roman" w:eastAsia="宋体" w:cs="Times New Roman"/>
                <w:b/>
                <w:szCs w:val="20"/>
              </w:rPr>
            </w:pPr>
          </w:p>
        </w:tc>
        <w:tc>
          <w:tcPr>
            <w:tcW w:w="2082" w:type="dxa"/>
          </w:tcPr>
          <w:p w14:paraId="1261E0BA">
            <w:pPr>
              <w:ind w:left="420" w:hanging="420"/>
              <w:jc w:val="both"/>
              <w:rPr>
                <w:rFonts w:hint="default" w:ascii="Times New Roman" w:hAnsi="Times New Roman" w:eastAsia="宋体" w:cs="Times New Roman"/>
                <w:b/>
                <w:szCs w:val="20"/>
              </w:rPr>
            </w:pPr>
          </w:p>
        </w:tc>
        <w:tc>
          <w:tcPr>
            <w:tcW w:w="1355" w:type="dxa"/>
          </w:tcPr>
          <w:p w14:paraId="1CA96951">
            <w:pPr>
              <w:ind w:left="420" w:hanging="420"/>
              <w:jc w:val="both"/>
              <w:rPr>
                <w:rFonts w:hint="default" w:ascii="Times New Roman" w:hAnsi="Times New Roman" w:eastAsia="宋体" w:cs="Times New Roman"/>
                <w:b/>
                <w:szCs w:val="20"/>
              </w:rPr>
            </w:pPr>
          </w:p>
        </w:tc>
        <w:tc>
          <w:tcPr>
            <w:tcW w:w="826" w:type="dxa"/>
          </w:tcPr>
          <w:p w14:paraId="1958F6BE">
            <w:pPr>
              <w:ind w:left="420" w:hanging="420"/>
              <w:jc w:val="both"/>
              <w:rPr>
                <w:rFonts w:hint="default" w:ascii="Times New Roman" w:hAnsi="Times New Roman" w:eastAsia="宋体" w:cs="Times New Roman"/>
                <w:b/>
                <w:szCs w:val="20"/>
              </w:rPr>
            </w:pPr>
          </w:p>
        </w:tc>
        <w:tc>
          <w:tcPr>
            <w:tcW w:w="1320" w:type="dxa"/>
          </w:tcPr>
          <w:p w14:paraId="6A61677C">
            <w:pPr>
              <w:ind w:left="420" w:hanging="420"/>
              <w:jc w:val="both"/>
              <w:rPr>
                <w:rFonts w:hint="default" w:ascii="Times New Roman" w:hAnsi="Times New Roman" w:eastAsia="宋体" w:cs="Times New Roman"/>
                <w:b/>
                <w:szCs w:val="20"/>
              </w:rPr>
            </w:pPr>
          </w:p>
        </w:tc>
        <w:tc>
          <w:tcPr>
            <w:tcW w:w="1023" w:type="dxa"/>
          </w:tcPr>
          <w:p w14:paraId="7B3B0CA1">
            <w:pPr>
              <w:ind w:left="420" w:hanging="420"/>
              <w:jc w:val="both"/>
              <w:rPr>
                <w:rFonts w:hint="default" w:ascii="Times New Roman" w:hAnsi="Times New Roman" w:eastAsia="宋体" w:cs="Times New Roman"/>
                <w:b/>
                <w:szCs w:val="20"/>
              </w:rPr>
            </w:pPr>
          </w:p>
        </w:tc>
        <w:tc>
          <w:tcPr>
            <w:tcW w:w="1590" w:type="dxa"/>
          </w:tcPr>
          <w:p w14:paraId="15C3A755">
            <w:pPr>
              <w:ind w:left="420" w:hanging="420"/>
              <w:jc w:val="both"/>
              <w:rPr>
                <w:rFonts w:hint="default" w:ascii="Times New Roman" w:hAnsi="Times New Roman" w:eastAsia="宋体" w:cs="Times New Roman"/>
                <w:b/>
                <w:szCs w:val="20"/>
              </w:rPr>
            </w:pPr>
          </w:p>
        </w:tc>
      </w:tr>
      <w:tr w14:paraId="7F3A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936D29">
            <w:pPr>
              <w:ind w:left="420" w:hanging="420"/>
              <w:jc w:val="both"/>
              <w:rPr>
                <w:rFonts w:hint="default" w:ascii="Times New Roman" w:hAnsi="Times New Roman" w:eastAsia="宋体" w:cs="Times New Roman"/>
                <w:b/>
                <w:szCs w:val="20"/>
              </w:rPr>
            </w:pPr>
          </w:p>
        </w:tc>
        <w:tc>
          <w:tcPr>
            <w:tcW w:w="2082" w:type="dxa"/>
          </w:tcPr>
          <w:p w14:paraId="5D355F7C">
            <w:pPr>
              <w:ind w:left="420" w:hanging="420"/>
              <w:jc w:val="both"/>
              <w:rPr>
                <w:rFonts w:hint="default" w:ascii="Times New Roman" w:hAnsi="Times New Roman" w:eastAsia="宋体" w:cs="Times New Roman"/>
                <w:b/>
                <w:szCs w:val="20"/>
              </w:rPr>
            </w:pPr>
          </w:p>
        </w:tc>
        <w:tc>
          <w:tcPr>
            <w:tcW w:w="1355" w:type="dxa"/>
          </w:tcPr>
          <w:p w14:paraId="12854139">
            <w:pPr>
              <w:ind w:left="420" w:hanging="420"/>
              <w:jc w:val="both"/>
              <w:rPr>
                <w:rFonts w:hint="default" w:ascii="Times New Roman" w:hAnsi="Times New Roman" w:eastAsia="宋体" w:cs="Times New Roman"/>
                <w:b/>
                <w:szCs w:val="20"/>
              </w:rPr>
            </w:pPr>
          </w:p>
        </w:tc>
        <w:tc>
          <w:tcPr>
            <w:tcW w:w="826" w:type="dxa"/>
          </w:tcPr>
          <w:p w14:paraId="4C45F468">
            <w:pPr>
              <w:ind w:left="420" w:hanging="420"/>
              <w:jc w:val="both"/>
              <w:rPr>
                <w:rFonts w:hint="default" w:ascii="Times New Roman" w:hAnsi="Times New Roman" w:eastAsia="宋体" w:cs="Times New Roman"/>
                <w:b/>
                <w:szCs w:val="20"/>
              </w:rPr>
            </w:pPr>
          </w:p>
        </w:tc>
        <w:tc>
          <w:tcPr>
            <w:tcW w:w="1320" w:type="dxa"/>
          </w:tcPr>
          <w:p w14:paraId="2749B95C">
            <w:pPr>
              <w:ind w:left="420" w:hanging="420"/>
              <w:jc w:val="both"/>
              <w:rPr>
                <w:rFonts w:hint="default" w:ascii="Times New Roman" w:hAnsi="Times New Roman" w:eastAsia="宋体" w:cs="Times New Roman"/>
                <w:b/>
                <w:szCs w:val="20"/>
              </w:rPr>
            </w:pPr>
          </w:p>
        </w:tc>
        <w:tc>
          <w:tcPr>
            <w:tcW w:w="1023" w:type="dxa"/>
          </w:tcPr>
          <w:p w14:paraId="514C0E0A">
            <w:pPr>
              <w:ind w:left="420" w:hanging="420"/>
              <w:jc w:val="both"/>
              <w:rPr>
                <w:rFonts w:hint="default" w:ascii="Times New Roman" w:hAnsi="Times New Roman" w:eastAsia="宋体" w:cs="Times New Roman"/>
                <w:b/>
                <w:szCs w:val="20"/>
              </w:rPr>
            </w:pPr>
          </w:p>
        </w:tc>
        <w:tc>
          <w:tcPr>
            <w:tcW w:w="1590" w:type="dxa"/>
          </w:tcPr>
          <w:p w14:paraId="5A5125F9">
            <w:pPr>
              <w:ind w:left="420" w:hanging="420"/>
              <w:jc w:val="both"/>
              <w:rPr>
                <w:rFonts w:hint="default" w:ascii="Times New Roman" w:hAnsi="Times New Roman" w:eastAsia="宋体" w:cs="Times New Roman"/>
                <w:b/>
                <w:szCs w:val="20"/>
              </w:rPr>
            </w:pPr>
          </w:p>
        </w:tc>
      </w:tr>
      <w:tr w14:paraId="3AD5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BC5E1E3">
            <w:pPr>
              <w:ind w:left="420" w:hanging="420"/>
              <w:jc w:val="both"/>
              <w:rPr>
                <w:rFonts w:hint="default" w:ascii="Times New Roman" w:hAnsi="Times New Roman" w:eastAsia="宋体" w:cs="Times New Roman"/>
                <w:b/>
                <w:szCs w:val="20"/>
              </w:rPr>
            </w:pPr>
            <w:r>
              <w:rPr>
                <w:rFonts w:hint="default" w:ascii="Times New Roman" w:hAnsi="Times New Roman" w:eastAsia="宋体" w:cs="Times New Roman"/>
                <w:sz w:val="24"/>
                <w:szCs w:val="24"/>
                <w:highlight w:val="yellow"/>
                <w:lang w:eastAsia="zh-CN"/>
              </w:rPr>
              <w:t>2022</w:t>
            </w:r>
            <w:r>
              <w:rPr>
                <w:rFonts w:hint="default" w:ascii="Times New Roman" w:hAnsi="Times New Roman" w:eastAsia="宋体" w:cs="Times New Roman"/>
                <w:sz w:val="24"/>
                <w:szCs w:val="24"/>
                <w:highlight w:val="yellow"/>
              </w:rPr>
              <w:t>年1月1日至今所有业绩合同总额汇总（必填）</w:t>
            </w:r>
          </w:p>
        </w:tc>
        <w:tc>
          <w:tcPr>
            <w:tcW w:w="826" w:type="dxa"/>
          </w:tcPr>
          <w:p w14:paraId="435F17DE">
            <w:pPr>
              <w:ind w:left="420" w:hanging="420"/>
              <w:jc w:val="both"/>
              <w:rPr>
                <w:rFonts w:hint="default" w:ascii="Times New Roman" w:hAnsi="Times New Roman" w:eastAsia="宋体" w:cs="Times New Roman"/>
                <w:b/>
                <w:szCs w:val="20"/>
              </w:rPr>
            </w:pPr>
          </w:p>
        </w:tc>
        <w:tc>
          <w:tcPr>
            <w:tcW w:w="1320" w:type="dxa"/>
          </w:tcPr>
          <w:p w14:paraId="0954E810">
            <w:pPr>
              <w:ind w:left="420" w:hanging="420"/>
              <w:jc w:val="both"/>
              <w:rPr>
                <w:rFonts w:hint="default" w:ascii="Times New Roman" w:hAnsi="Times New Roman" w:eastAsia="宋体" w:cs="Times New Roman"/>
                <w:b/>
                <w:szCs w:val="20"/>
              </w:rPr>
            </w:pPr>
          </w:p>
        </w:tc>
        <w:tc>
          <w:tcPr>
            <w:tcW w:w="1023" w:type="dxa"/>
          </w:tcPr>
          <w:p w14:paraId="16BD7094">
            <w:pPr>
              <w:ind w:left="420" w:hanging="420"/>
              <w:jc w:val="both"/>
              <w:rPr>
                <w:rFonts w:hint="default" w:ascii="Times New Roman" w:hAnsi="Times New Roman" w:eastAsia="宋体" w:cs="Times New Roman"/>
                <w:b/>
                <w:szCs w:val="20"/>
              </w:rPr>
            </w:pPr>
          </w:p>
        </w:tc>
        <w:tc>
          <w:tcPr>
            <w:tcW w:w="1590" w:type="dxa"/>
          </w:tcPr>
          <w:p w14:paraId="27C4F0E0">
            <w:pPr>
              <w:ind w:left="420" w:hanging="420"/>
              <w:jc w:val="both"/>
              <w:rPr>
                <w:rFonts w:hint="default" w:ascii="Times New Roman" w:hAnsi="Times New Roman" w:eastAsia="宋体" w:cs="Times New Roman"/>
                <w:b/>
                <w:szCs w:val="20"/>
              </w:rPr>
            </w:pPr>
          </w:p>
        </w:tc>
      </w:tr>
    </w:tbl>
    <w:p w14:paraId="07FDD772">
      <w:pPr>
        <w:spacing w:line="240" w:lineRule="atLeas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w:t>
      </w:r>
      <w:r>
        <w:rPr>
          <w:rFonts w:hint="default" w:ascii="Times New Roman" w:hAnsi="Times New Roman" w:eastAsia="宋体" w:cs="Times New Roman"/>
          <w:kern w:val="0"/>
          <w:sz w:val="24"/>
          <w:szCs w:val="20"/>
          <w:lang w:eastAsia="zh-CN"/>
        </w:rPr>
        <w:t>2022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163A3161">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09B0F7A">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8E74F1B">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F666981">
      <w:pPr>
        <w:keepNext/>
        <w:keepLines/>
        <w:jc w:val="both"/>
        <w:outlineLvl w:val="2"/>
        <w:rPr>
          <w:rFonts w:hint="default" w:ascii="Times New Roman" w:hAnsi="Times New Roman" w:eastAsia="宋体" w:cs="Times New Roman"/>
          <w:b/>
          <w:bCs/>
          <w:color w:val="000000"/>
          <w:sz w:val="24"/>
          <w:szCs w:val="24"/>
        </w:rPr>
      </w:pPr>
    </w:p>
    <w:p w14:paraId="1B82D728">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040052E1">
      <w:pPr>
        <w:spacing w:line="240" w:lineRule="exact"/>
        <w:jc w:val="both"/>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6D137613">
      <w:pPr>
        <w:spacing w:line="360" w:lineRule="auto"/>
        <w:jc w:val="both"/>
        <w:rPr>
          <w:rFonts w:hint="default" w:ascii="Times New Roman" w:hAnsi="Times New Roman" w:eastAsia="宋体" w:cs="Times New Roman"/>
          <w:sz w:val="24"/>
          <w:szCs w:val="20"/>
          <w:highlight w:val="cyan"/>
          <w:u w:val="single"/>
        </w:rPr>
      </w:pPr>
      <w:r>
        <w:rPr>
          <w:rFonts w:hint="default" w:ascii="Times New Roman" w:hAnsi="Times New Roman" w:eastAsia="宋体" w:cs="Times New Roman"/>
          <w:sz w:val="24"/>
          <w:szCs w:val="20"/>
        </w:rPr>
        <w:t xml:space="preserve">项目名称: </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p>
    <w:p w14:paraId="1014C29A">
      <w:pPr>
        <w:spacing w:line="360" w:lineRule="auto"/>
        <w:jc w:val="both"/>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14:paraId="5E421DA5">
      <w:pPr>
        <w:spacing w:line="360" w:lineRule="auto"/>
        <w:ind w:firstLine="480" w:firstLineChars="20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名称)为保证中标产品的质量特作如下承诺：</w:t>
      </w:r>
    </w:p>
    <w:p w14:paraId="334B0D9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6C5531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83691B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6196EF9">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19D617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266861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0C263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75C74A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3F280B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DEF9F34">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660D12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2B2F0E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D92D5A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D18DED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4FD059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6FA90F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2302B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72324A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2F356CD">
      <w:pPr>
        <w:spacing w:line="360" w:lineRule="auto"/>
        <w:ind w:left="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 xml:space="preserve">                           </w:t>
      </w:r>
    </w:p>
    <w:p w14:paraId="671FB2BC">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503AE49F">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28BB8228">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212D9AB">
      <w:pPr>
        <w:jc w:val="both"/>
        <w:rPr>
          <w:rFonts w:hint="default" w:ascii="Times New Roman" w:hAnsi="Times New Roman" w:eastAsia="宋体" w:cs="Times New Roman"/>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6CCA507">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附件8 开标一览表</w:t>
      </w:r>
    </w:p>
    <w:p w14:paraId="71DAD00B">
      <w:pPr>
        <w:spacing w:line="360" w:lineRule="auto"/>
        <w:ind w:firstLine="482" w:firstLineChars="200"/>
        <w:jc w:val="both"/>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《开标一览表》单独封存，以备唱标使用</w:t>
      </w:r>
    </w:p>
    <w:p w14:paraId="4E33A16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r>
        <w:rPr>
          <w:rFonts w:hint="default" w:ascii="Times New Roman" w:hAnsi="Times New Roman"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8B6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43BB5FA">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1518" w:type="dxa"/>
            <w:vAlign w:val="center"/>
          </w:tcPr>
          <w:p w14:paraId="21CBC0B0">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货物名称</w:t>
            </w:r>
          </w:p>
        </w:tc>
        <w:tc>
          <w:tcPr>
            <w:tcW w:w="848" w:type="dxa"/>
            <w:vAlign w:val="center"/>
          </w:tcPr>
          <w:p w14:paraId="0C96C602">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数量</w:t>
            </w:r>
          </w:p>
        </w:tc>
        <w:tc>
          <w:tcPr>
            <w:tcW w:w="2270" w:type="dxa"/>
            <w:vAlign w:val="center"/>
          </w:tcPr>
          <w:p w14:paraId="0FD5DF71">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投标总价（元）</w:t>
            </w:r>
          </w:p>
        </w:tc>
        <w:tc>
          <w:tcPr>
            <w:tcW w:w="1100" w:type="dxa"/>
            <w:vAlign w:val="center"/>
          </w:tcPr>
          <w:p w14:paraId="2017860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1243" w:type="dxa"/>
            <w:vAlign w:val="center"/>
          </w:tcPr>
          <w:p w14:paraId="18BF49FE">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交货及安装</w:t>
            </w:r>
          </w:p>
          <w:p w14:paraId="7D993EC6">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时间</w:t>
            </w:r>
          </w:p>
        </w:tc>
        <w:tc>
          <w:tcPr>
            <w:tcW w:w="705" w:type="dxa"/>
            <w:vAlign w:val="center"/>
          </w:tcPr>
          <w:p w14:paraId="7612C18C">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付款方式及比例如何响应</w:t>
            </w:r>
          </w:p>
        </w:tc>
        <w:tc>
          <w:tcPr>
            <w:tcW w:w="699" w:type="dxa"/>
            <w:vAlign w:val="center"/>
          </w:tcPr>
          <w:p w14:paraId="044A1220">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付款方式及比例是否偏离</w:t>
            </w:r>
          </w:p>
        </w:tc>
      </w:tr>
      <w:tr w14:paraId="5B11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3619BE9">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1</w:t>
            </w:r>
          </w:p>
        </w:tc>
        <w:tc>
          <w:tcPr>
            <w:tcW w:w="1518" w:type="dxa"/>
            <w:vAlign w:val="center"/>
          </w:tcPr>
          <w:p w14:paraId="63F953A0">
            <w:pPr>
              <w:jc w:val="both"/>
              <w:rPr>
                <w:rFonts w:hint="default" w:ascii="Times New Roman" w:hAnsi="Times New Roman" w:eastAsia="宋体" w:cs="Times New Roman"/>
                <w:b/>
                <w:szCs w:val="20"/>
              </w:rPr>
            </w:pPr>
            <w:r>
              <w:rPr>
                <w:rFonts w:hint="default" w:ascii="Times New Roman" w:hAnsi="Times New Roman" w:eastAsia="宋体" w:cs="Times New Roman"/>
                <w:sz w:val="24"/>
                <w:szCs w:val="24"/>
                <w:highlight w:val="none"/>
                <w:u w:val="single"/>
                <w:lang w:val="en-US" w:eastAsia="zh-CN"/>
              </w:rPr>
              <w:t>产品试验检测中心集装箱式气瓶间</w:t>
            </w:r>
          </w:p>
        </w:tc>
        <w:tc>
          <w:tcPr>
            <w:tcW w:w="848" w:type="dxa"/>
            <w:vAlign w:val="center"/>
          </w:tcPr>
          <w:p w14:paraId="3BC6F911">
            <w:pPr>
              <w:jc w:val="both"/>
              <w:rPr>
                <w:rFonts w:hint="default" w:ascii="Times New Roman" w:hAnsi="Times New Roman" w:eastAsia="宋体" w:cs="Times New Roman"/>
                <w:b/>
                <w:szCs w:val="20"/>
                <w:highlight w:val="yellow"/>
                <w:lang w:val="en-US" w:eastAsia="zh-CN"/>
              </w:rPr>
            </w:pPr>
            <w:r>
              <w:rPr>
                <w:rFonts w:hint="eastAsia" w:ascii="Times New Roman" w:hAnsi="Times New Roman" w:eastAsia="宋体" w:cs="Times New Roman"/>
                <w:b/>
                <w:szCs w:val="20"/>
                <w:highlight w:val="yellow"/>
                <w:lang w:val="en-US" w:eastAsia="zh-CN"/>
              </w:rPr>
              <w:t>4</w:t>
            </w:r>
            <w:r>
              <w:rPr>
                <w:rFonts w:hint="default" w:ascii="Times New Roman" w:hAnsi="Times New Roman" w:eastAsia="宋体" w:cs="Times New Roman"/>
                <w:b/>
                <w:szCs w:val="20"/>
                <w:highlight w:val="yellow"/>
                <w:lang w:val="en-US" w:eastAsia="zh-CN"/>
              </w:rPr>
              <w:t>套</w:t>
            </w:r>
          </w:p>
        </w:tc>
        <w:tc>
          <w:tcPr>
            <w:tcW w:w="2270" w:type="dxa"/>
            <w:vAlign w:val="center"/>
          </w:tcPr>
          <w:p w14:paraId="3CC491A2">
            <w:pPr>
              <w:ind w:left="0" w:leftChars="0" w:firstLine="91" w:firstLineChars="43"/>
              <w:jc w:val="both"/>
              <w:rPr>
                <w:rFonts w:hint="default" w:ascii="Times New Roman" w:hAnsi="Times New Roman" w:eastAsia="宋体" w:cs="Times New Roman"/>
                <w:b/>
                <w:szCs w:val="20"/>
                <w:u w:val="single"/>
                <w:lang w:val="en-US" w:eastAsia="zh-CN"/>
              </w:rPr>
            </w:pPr>
            <w:r>
              <w:rPr>
                <w:rFonts w:hint="default" w:ascii="Times New Roman" w:hAnsi="Times New Roman" w:eastAsia="宋体" w:cs="Times New Roman"/>
                <w:b/>
                <w:szCs w:val="20"/>
              </w:rPr>
              <w:t>不含税价</w:t>
            </w:r>
            <w:r>
              <w:rPr>
                <w:rFonts w:hint="default" w:ascii="Times New Roman" w:hAnsi="Times New Roman" w:eastAsia="宋体" w:cs="Times New Roman"/>
                <w:b/>
                <w:szCs w:val="20"/>
                <w:lang w:eastAsia="zh-CN"/>
              </w:rPr>
              <w:t>：</w:t>
            </w:r>
            <w:r>
              <w:rPr>
                <w:rFonts w:hint="default" w:ascii="Times New Roman" w:hAnsi="Times New Roman" w:eastAsia="宋体" w:cs="Times New Roman"/>
                <w:b/>
                <w:szCs w:val="20"/>
                <w:u w:val="single"/>
                <w:lang w:val="en-US" w:eastAsia="zh-CN"/>
              </w:rPr>
              <w:t xml:space="preserve">          </w:t>
            </w:r>
          </w:p>
          <w:p w14:paraId="0B9E3612">
            <w:pPr>
              <w:jc w:val="both"/>
              <w:rPr>
                <w:rFonts w:hint="default" w:ascii="Times New Roman" w:hAnsi="Times New Roman" w:eastAsia="宋体" w:cs="Times New Roman"/>
                <w:b/>
                <w:szCs w:val="20"/>
                <w:lang w:val="en-US" w:eastAsia="zh-CN"/>
              </w:rPr>
            </w:pPr>
            <w:r>
              <w:rPr>
                <w:rFonts w:hint="default" w:ascii="Times New Roman" w:hAnsi="Times New Roman" w:eastAsia="宋体" w:cs="Times New Roman"/>
                <w:b/>
                <w:szCs w:val="20"/>
              </w:rPr>
              <w:t>含税价格：</w:t>
            </w:r>
            <w:r>
              <w:rPr>
                <w:rFonts w:hint="default" w:ascii="Times New Roman" w:hAnsi="Times New Roman" w:eastAsia="宋体" w:cs="Times New Roman"/>
                <w:b/>
                <w:szCs w:val="20"/>
                <w:u w:val="single"/>
                <w:lang w:val="en-US" w:eastAsia="zh-CN"/>
              </w:rPr>
              <w:t xml:space="preserve">   （大写：  ）</w:t>
            </w:r>
          </w:p>
          <w:p w14:paraId="725E3960">
            <w:pPr>
              <w:ind w:left="0" w:leftChars="0" w:firstLine="512" w:firstLineChars="243"/>
              <w:jc w:val="both"/>
              <w:rPr>
                <w:rFonts w:hint="default" w:ascii="Times New Roman" w:hAnsi="Times New Roman" w:eastAsia="宋体" w:cs="Times New Roman"/>
                <w:b/>
                <w:szCs w:val="20"/>
                <w:u w:val="single"/>
                <w:lang w:val="en-US" w:eastAsia="zh-CN"/>
              </w:rPr>
            </w:pPr>
            <w:r>
              <w:rPr>
                <w:rFonts w:hint="default" w:ascii="Times New Roman" w:hAnsi="Times New Roman" w:eastAsia="宋体" w:cs="Times New Roman"/>
                <w:b/>
                <w:szCs w:val="20"/>
              </w:rPr>
              <w:t>税率：</w:t>
            </w:r>
            <w:r>
              <w:rPr>
                <w:rFonts w:hint="default" w:ascii="Times New Roman" w:hAnsi="Times New Roman" w:eastAsia="宋体" w:cs="Times New Roman"/>
                <w:b/>
                <w:szCs w:val="20"/>
                <w:u w:val="single"/>
                <w:lang w:val="en-US" w:eastAsia="zh-CN"/>
              </w:rPr>
              <w:t xml:space="preserve">        </w:t>
            </w:r>
          </w:p>
        </w:tc>
        <w:tc>
          <w:tcPr>
            <w:tcW w:w="1100" w:type="dxa"/>
            <w:vAlign w:val="center"/>
          </w:tcPr>
          <w:p w14:paraId="2733B991">
            <w:pPr>
              <w:jc w:val="both"/>
              <w:rPr>
                <w:rFonts w:hint="default" w:ascii="Times New Roman" w:hAnsi="Times New Roman" w:eastAsia="宋体" w:cs="Times New Roman"/>
                <w:b/>
                <w:szCs w:val="20"/>
              </w:rPr>
            </w:pPr>
          </w:p>
        </w:tc>
        <w:tc>
          <w:tcPr>
            <w:tcW w:w="1243" w:type="dxa"/>
            <w:vAlign w:val="center"/>
          </w:tcPr>
          <w:p w14:paraId="323BA914">
            <w:pPr>
              <w:jc w:val="both"/>
              <w:rPr>
                <w:rFonts w:hint="default" w:ascii="Times New Roman" w:hAnsi="Times New Roman" w:eastAsia="宋体" w:cs="Times New Roman"/>
                <w:b/>
                <w:szCs w:val="20"/>
              </w:rPr>
            </w:pPr>
          </w:p>
        </w:tc>
        <w:tc>
          <w:tcPr>
            <w:tcW w:w="705" w:type="dxa"/>
            <w:vAlign w:val="center"/>
          </w:tcPr>
          <w:p w14:paraId="66B38A54">
            <w:pPr>
              <w:jc w:val="both"/>
              <w:rPr>
                <w:rFonts w:hint="default" w:ascii="Times New Roman" w:hAnsi="Times New Roman" w:eastAsia="宋体" w:cs="Times New Roman"/>
                <w:b/>
                <w:szCs w:val="20"/>
              </w:rPr>
            </w:pPr>
          </w:p>
        </w:tc>
        <w:tc>
          <w:tcPr>
            <w:tcW w:w="699" w:type="dxa"/>
            <w:vAlign w:val="center"/>
          </w:tcPr>
          <w:p w14:paraId="1FBAAF8A">
            <w:pPr>
              <w:jc w:val="both"/>
              <w:rPr>
                <w:rFonts w:hint="default" w:ascii="Times New Roman" w:hAnsi="Times New Roman" w:eastAsia="宋体" w:cs="Times New Roman"/>
                <w:b/>
                <w:szCs w:val="20"/>
              </w:rPr>
            </w:pPr>
          </w:p>
        </w:tc>
      </w:tr>
    </w:tbl>
    <w:p w14:paraId="0AC24BC3">
      <w:pPr>
        <w:jc w:val="both"/>
        <w:rPr>
          <w:rFonts w:hint="default" w:ascii="Times New Roman" w:hAnsi="Times New Roman" w:eastAsia="宋体" w:cs="Times New Roman"/>
          <w:sz w:val="24"/>
          <w:szCs w:val="24"/>
        </w:rPr>
      </w:pPr>
    </w:p>
    <w:p w14:paraId="6796FDEA">
      <w:pPr>
        <w:spacing w:line="400" w:lineRule="exact"/>
        <w:jc w:val="both"/>
        <w:rPr>
          <w:rFonts w:hint="default" w:ascii="Times New Roman" w:hAnsi="Times New Roman" w:eastAsia="宋体" w:cs="Times New Roman"/>
          <w:szCs w:val="21"/>
        </w:rPr>
      </w:pPr>
      <w:r>
        <w:rPr>
          <w:rFonts w:hint="default" w:ascii="Times New Roman" w:hAnsi="Times New Roman" w:eastAsia="宋体" w:cs="Times New Roman"/>
          <w:b/>
          <w:bCs/>
          <w:szCs w:val="21"/>
        </w:rPr>
        <w:t>注：</w:t>
      </w:r>
    </w:p>
    <w:p w14:paraId="627AA217">
      <w:pPr>
        <w:spacing w:line="520" w:lineRule="exact"/>
        <w:jc w:val="both"/>
        <w:rPr>
          <w:rFonts w:hint="default" w:ascii="Times New Roman" w:hAnsi="Times New Roman" w:eastAsia="宋体" w:cs="Times New Roman"/>
          <w:b/>
          <w:bCs/>
          <w:szCs w:val="21"/>
        </w:rPr>
      </w:pPr>
      <w:r>
        <w:rPr>
          <w:rFonts w:hint="default" w:ascii="Times New Roman" w:hAnsi="Times New Roman" w:eastAsia="宋体" w:cs="Times New Roman"/>
          <w:b/>
          <w:bCs/>
          <w:szCs w:val="21"/>
        </w:rPr>
        <w:t>1.此表中的报价必须与相应的报价明细表中的报价一致。</w:t>
      </w:r>
    </w:p>
    <w:p w14:paraId="0148E30D">
      <w:pPr>
        <w:spacing w:line="300" w:lineRule="auto"/>
        <w:jc w:val="both"/>
        <w:rPr>
          <w:rFonts w:hint="default" w:ascii="Times New Roman" w:hAnsi="Times New Roman" w:eastAsia="宋体" w:cs="Times New Roman"/>
          <w:b/>
          <w:bCs/>
          <w:szCs w:val="21"/>
        </w:rPr>
      </w:pPr>
      <w:r>
        <w:rPr>
          <w:rFonts w:hint="default" w:ascii="Times New Roman" w:hAnsi="Times New Roman" w:eastAsia="宋体" w:cs="Times New Roman"/>
          <w:b/>
          <w:bCs/>
          <w:szCs w:val="21"/>
        </w:rPr>
        <w:t>2.此表在投递标书时请单独密封两份，否则不予唱标。</w:t>
      </w:r>
    </w:p>
    <w:p w14:paraId="38B57995">
      <w:pPr>
        <w:spacing w:line="300" w:lineRule="auto"/>
        <w:jc w:val="both"/>
        <w:rPr>
          <w:rFonts w:hint="default" w:ascii="Times New Roman" w:hAnsi="Times New Roman" w:eastAsia="宋体" w:cs="Times New Roman"/>
          <w:b/>
          <w:szCs w:val="20"/>
        </w:rPr>
      </w:pPr>
      <w:r>
        <w:rPr>
          <w:rFonts w:hint="default" w:ascii="Times New Roman" w:hAnsi="Times New Roman" w:eastAsia="宋体" w:cs="Times New Roman"/>
          <w:b/>
          <w:szCs w:val="20"/>
        </w:rPr>
        <w:t>3.需写明含税价、不含税价格、税率。</w:t>
      </w:r>
    </w:p>
    <w:p w14:paraId="2A7EB722">
      <w:pPr>
        <w:pStyle w:val="16"/>
        <w:jc w:val="both"/>
        <w:rPr>
          <w:rFonts w:hint="default" w:ascii="Times New Roman" w:hAnsi="Times New Roman" w:eastAsia="宋体" w:cs="Times New Roman"/>
          <w:b/>
          <w:bCs/>
          <w:szCs w:val="21"/>
          <w:highlight w:val="yellow"/>
        </w:rPr>
      </w:pPr>
      <w:r>
        <w:rPr>
          <w:rFonts w:hint="default" w:ascii="Times New Roman" w:hAnsi="Times New Roman" w:eastAsia="宋体" w:cs="Times New Roman"/>
          <w:b/>
          <w:szCs w:val="20"/>
          <w:highlight w:val="yellow"/>
        </w:rPr>
        <w:t>4.</w:t>
      </w:r>
      <w:r>
        <w:rPr>
          <w:rFonts w:hint="default" w:ascii="Times New Roman" w:hAnsi="Times New Roman" w:eastAsia="宋体" w:cs="Times New Roman"/>
          <w:b/>
          <w:bCs/>
          <w:szCs w:val="21"/>
          <w:highlight w:val="yellow"/>
        </w:rPr>
        <w:t>投标总价包括设备费、调试费、备品备件、特殊工具、运杂费、装卸费、技术服务费、保险费及增值税和其它税费。</w:t>
      </w:r>
    </w:p>
    <w:p w14:paraId="601CEC43">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359702CB">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108D909F">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401FFD0C">
      <w:pPr>
        <w:ind w:firstLine="480"/>
        <w:jc w:val="both"/>
        <w:rPr>
          <w:rFonts w:hint="default" w:ascii="Times New Roman" w:hAnsi="Times New Roman" w:eastAsia="宋体" w:cs="Times New Roman"/>
          <w:color w:val="000000"/>
          <w:sz w:val="24"/>
          <w:szCs w:val="24"/>
        </w:rPr>
      </w:pPr>
    </w:p>
    <w:p w14:paraId="51AB2317">
      <w:pPr>
        <w:pStyle w:val="16"/>
        <w:jc w:val="both"/>
        <w:rPr>
          <w:rFonts w:hint="default" w:ascii="Times New Roman" w:hAnsi="Times New Roman" w:eastAsia="宋体" w:cs="Times New Roman"/>
        </w:rPr>
        <w:sectPr>
          <w:pgSz w:w="11906" w:h="16838"/>
          <w:pgMar w:top="1588" w:right="1418" w:bottom="1134" w:left="1418" w:header="851" w:footer="992" w:gutter="0"/>
          <w:cols w:space="720" w:num="1"/>
          <w:titlePg/>
          <w:docGrid w:type="lines" w:linePitch="312" w:charSpace="0"/>
        </w:sectPr>
      </w:pPr>
    </w:p>
    <w:p w14:paraId="62A97AF0">
      <w:pPr>
        <w:jc w:val="both"/>
        <w:rPr>
          <w:rFonts w:hint="default" w:ascii="Times New Roman" w:hAnsi="Times New Roman" w:eastAsia="宋体" w:cs="Times New Roman"/>
          <w:color w:val="000000"/>
          <w:sz w:val="24"/>
          <w:szCs w:val="24"/>
        </w:rPr>
      </w:pPr>
    </w:p>
    <w:p w14:paraId="59E875A6">
      <w:pPr>
        <w:pStyle w:val="4"/>
        <w:jc w:val="both"/>
        <w:rPr>
          <w:rFonts w:hint="eastAsia" w:ascii="Times New Roman" w:hAnsi="Times New Roman" w:eastAsia="宋体" w:cs="Times New Roman"/>
          <w:spacing w:val="8"/>
          <w:sz w:val="24"/>
          <w:szCs w:val="24"/>
          <w:lang w:eastAsia="zh-CN"/>
          <w14:textOutline w14:w="5791" w14:cap="flat" w14:cmpd="sng" w14:algn="ctr">
            <w14:solidFill>
              <w14:srgbClr w14:val="000000"/>
            </w14:solidFill>
            <w14:prstDash w14:val="solid"/>
            <w14:miter w14:val="0"/>
          </w14:textOutline>
        </w:rPr>
      </w:pPr>
      <w:r>
        <w:rPr>
          <w:rFonts w:hint="default" w:ascii="Times New Roman" w:hAnsi="Times New Roman" w:eastAsia="宋体" w:cs="Times New Roman"/>
          <w:color w:val="000000"/>
          <w:sz w:val="24"/>
          <w:szCs w:val="24"/>
        </w:rPr>
        <w:t xml:space="preserve">附件9 </w:t>
      </w:r>
      <w:r>
        <w:rPr>
          <w:rFonts w:hint="default" w:ascii="Times New Roman" w:hAnsi="Times New Roman" w:eastAsia="宋体" w:cs="Times New Roman"/>
          <w:spacing w:val="13"/>
          <w:sz w:val="24"/>
          <w:szCs w:val="24"/>
          <w:highlight w:val="none"/>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highlight w:val="none"/>
          <w14:textOutline w14:w="5791" w14:cap="flat" w14:cmpd="sng" w14:algn="ctr">
            <w14:solidFill>
              <w14:srgbClr w14:val="000000"/>
            </w14:solidFill>
            <w14:prstDash w14:val="solid"/>
            <w14:miter w14:val="0"/>
          </w14:textOutline>
        </w:rPr>
        <w:t>备分项报价表</w:t>
      </w:r>
    </w:p>
    <w:p w14:paraId="363BE16B">
      <w:pPr>
        <w:pStyle w:val="4"/>
        <w:jc w:val="both"/>
        <w:rPr>
          <w:rFonts w:hint="default" w:ascii="Times New Roman" w:hAnsi="Times New Roman" w:eastAsia="宋体" w:cs="Times New Roman"/>
          <w:b/>
          <w:bCs/>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spacing w:val="-7"/>
          <w:sz w:val="24"/>
          <w:szCs w:val="24"/>
          <w:lang w:val="en-US" w:eastAsia="zh-CN"/>
          <w14:textOutline w14:w="4356" w14:cap="flat" w14:cmpd="sng" w14:algn="ctr">
            <w14:solidFill>
              <w14:srgbClr w14:val="000000"/>
            </w14:solidFill>
            <w14:prstDash w14:val="solid"/>
            <w14:miter w14:val="0"/>
          </w14:textOutline>
        </w:rPr>
        <w:t>9</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-1</w:t>
      </w:r>
      <w:r>
        <w:rPr>
          <w:rFonts w:hint="default" w:ascii="Times New Roman" w:hAnsi="Times New Roman" w:eastAsia="宋体" w:cs="Times New Roman"/>
          <w:spacing w:val="13"/>
          <w:sz w:val="24"/>
          <w:szCs w:val="24"/>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备分项报价表</w:t>
      </w:r>
    </w:p>
    <w:p w14:paraId="4934CDFD">
      <w:pPr>
        <w:spacing w:before="52" w:line="221" w:lineRule="auto"/>
        <w:ind w:left="9"/>
        <w:jc w:val="both"/>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 共  页</w:t>
      </w:r>
    </w:p>
    <w:tbl>
      <w:tblPr>
        <w:tblStyle w:val="127"/>
        <w:tblW w:w="137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292"/>
        <w:gridCol w:w="1915"/>
        <w:gridCol w:w="2571"/>
        <w:gridCol w:w="1114"/>
        <w:gridCol w:w="1483"/>
        <w:gridCol w:w="1683"/>
        <w:gridCol w:w="1254"/>
        <w:gridCol w:w="860"/>
        <w:gridCol w:w="860"/>
      </w:tblGrid>
      <w:tr w14:paraId="6D2F3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top"/>
          </w:tcPr>
          <w:p w14:paraId="2C5565BA">
            <w:pPr>
              <w:spacing w:before="97" w:line="186" w:lineRule="auto"/>
              <w:ind w:left="304" w:leftChars="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1</w:t>
            </w:r>
          </w:p>
        </w:tc>
        <w:tc>
          <w:tcPr>
            <w:tcW w:w="3207" w:type="dxa"/>
            <w:gridSpan w:val="2"/>
            <w:vAlign w:val="top"/>
          </w:tcPr>
          <w:p w14:paraId="7B3E5437">
            <w:pPr>
              <w:spacing w:before="98" w:line="185" w:lineRule="auto"/>
              <w:ind w:left="1071" w:left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2</w:t>
            </w:r>
          </w:p>
        </w:tc>
        <w:tc>
          <w:tcPr>
            <w:tcW w:w="2571" w:type="dxa"/>
            <w:vAlign w:val="top"/>
          </w:tcPr>
          <w:p w14:paraId="62CDE570">
            <w:pPr>
              <w:spacing w:before="99" w:line="183" w:lineRule="auto"/>
              <w:ind w:left="1075" w:leftChars="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3</w:t>
            </w:r>
          </w:p>
        </w:tc>
        <w:tc>
          <w:tcPr>
            <w:tcW w:w="1114" w:type="dxa"/>
            <w:vAlign w:val="top"/>
          </w:tcPr>
          <w:p w14:paraId="57B0E659">
            <w:pPr>
              <w:spacing w:before="98" w:line="185" w:lineRule="auto"/>
              <w:ind w:left="511" w:leftChars="0"/>
              <w:jc w:val="both"/>
              <w:rPr>
                <w:rFonts w:hint="default" w:ascii="Times New Roman" w:hAnsi="Times New Roman" w:eastAsia="宋体" w:cs="Times New Roman"/>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w:t>
            </w:r>
          </w:p>
        </w:tc>
        <w:tc>
          <w:tcPr>
            <w:tcW w:w="1483" w:type="dxa"/>
            <w:vAlign w:val="top"/>
          </w:tcPr>
          <w:p w14:paraId="0C822AEB">
            <w:pPr>
              <w:spacing w:before="100" w:line="182"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5</w:t>
            </w:r>
          </w:p>
        </w:tc>
        <w:tc>
          <w:tcPr>
            <w:tcW w:w="1683" w:type="dxa"/>
            <w:vAlign w:val="top"/>
          </w:tcPr>
          <w:p w14:paraId="78E2D303">
            <w:pPr>
              <w:spacing w:before="98" w:line="185"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6</w:t>
            </w:r>
          </w:p>
        </w:tc>
        <w:tc>
          <w:tcPr>
            <w:tcW w:w="1254" w:type="dxa"/>
            <w:tcBorders>
              <w:right w:val="single" w:color="000000" w:sz="4" w:space="0"/>
            </w:tcBorders>
            <w:vAlign w:val="top"/>
          </w:tcPr>
          <w:p w14:paraId="33B2B908">
            <w:pPr>
              <w:spacing w:before="98" w:line="185"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7</w:t>
            </w:r>
          </w:p>
        </w:tc>
        <w:tc>
          <w:tcPr>
            <w:tcW w:w="860" w:type="dxa"/>
            <w:tcBorders>
              <w:left w:val="single" w:color="000000" w:sz="4" w:space="0"/>
            </w:tcBorders>
            <w:vAlign w:val="top"/>
          </w:tcPr>
          <w:p w14:paraId="4E1E7293">
            <w:pPr>
              <w:spacing w:before="100" w:line="182" w:lineRule="auto"/>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8</w:t>
            </w:r>
          </w:p>
        </w:tc>
        <w:tc>
          <w:tcPr>
            <w:tcW w:w="860" w:type="dxa"/>
            <w:tcBorders>
              <w:left w:val="single" w:color="000000" w:sz="4" w:space="0"/>
            </w:tcBorders>
            <w:vAlign w:val="top"/>
          </w:tcPr>
          <w:p w14:paraId="69E81B4B">
            <w:pPr>
              <w:spacing w:before="100" w:line="182" w:lineRule="auto"/>
              <w:jc w:val="both"/>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pPr>
            <w:r>
              <w:rPr>
                <w:rFonts w:hint="eastAsia"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9</w:t>
            </w:r>
          </w:p>
        </w:tc>
      </w:tr>
      <w:tr w14:paraId="149B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672" w:type="dxa"/>
            <w:vAlign w:val="center"/>
          </w:tcPr>
          <w:p w14:paraId="1E1ECAD3">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207" w:type="dxa"/>
            <w:gridSpan w:val="2"/>
            <w:vAlign w:val="center"/>
          </w:tcPr>
          <w:p w14:paraId="097A491E">
            <w:pPr>
              <w:spacing w:line="221" w:lineRule="auto"/>
              <w:jc w:val="center"/>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货物名称</w:t>
            </w:r>
          </w:p>
        </w:tc>
        <w:tc>
          <w:tcPr>
            <w:tcW w:w="2571" w:type="dxa"/>
            <w:vAlign w:val="center"/>
          </w:tcPr>
          <w:p w14:paraId="66180E9E">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型号和规格</w:t>
            </w:r>
          </w:p>
        </w:tc>
        <w:tc>
          <w:tcPr>
            <w:tcW w:w="1114" w:type="dxa"/>
            <w:vAlign w:val="center"/>
          </w:tcPr>
          <w:p w14:paraId="55F5DAF1">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zCs w:val="21"/>
                <w:lang w:val="en-US" w:eastAsia="zh-CN"/>
                <w14:textOutline w14:w="3835" w14:cap="flat" w14:cmpd="sng" w14:algn="ctr">
                  <w14:solidFill>
                    <w14:srgbClr w14:val="000000"/>
                  </w14:solidFill>
                  <w14:prstDash w14:val="solid"/>
                  <w14:miter w14:val="0"/>
                </w14:textOutline>
              </w:rPr>
              <w:t>单位</w:t>
            </w:r>
          </w:p>
        </w:tc>
        <w:tc>
          <w:tcPr>
            <w:tcW w:w="1483" w:type="dxa"/>
            <w:vAlign w:val="center"/>
          </w:tcPr>
          <w:p w14:paraId="126349D5">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数量</w:t>
            </w:r>
          </w:p>
        </w:tc>
        <w:tc>
          <w:tcPr>
            <w:tcW w:w="1683" w:type="dxa"/>
            <w:vAlign w:val="center"/>
          </w:tcPr>
          <w:p w14:paraId="57BC32CC">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原产地和制造商名称</w:t>
            </w:r>
          </w:p>
        </w:tc>
        <w:tc>
          <w:tcPr>
            <w:tcW w:w="1254" w:type="dxa"/>
            <w:tcBorders>
              <w:right w:val="single" w:color="000000" w:sz="4" w:space="0"/>
            </w:tcBorders>
            <w:vAlign w:val="center"/>
          </w:tcPr>
          <w:p w14:paraId="34D6EFB8">
            <w:pPr>
              <w:spacing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单价（不含税）</w:t>
            </w:r>
          </w:p>
          <w:p w14:paraId="014F65E0">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c>
          <w:tcPr>
            <w:tcW w:w="860" w:type="dxa"/>
            <w:tcBorders>
              <w:left w:val="single" w:color="000000" w:sz="4" w:space="0"/>
            </w:tcBorders>
            <w:vAlign w:val="center"/>
          </w:tcPr>
          <w:p w14:paraId="50B5AC83">
            <w:pPr>
              <w:spacing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5</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7</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]（不含税）</w:t>
            </w:r>
          </w:p>
          <w:p w14:paraId="4C81E89F">
            <w:pPr>
              <w:spacing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c>
          <w:tcPr>
            <w:tcW w:w="860" w:type="dxa"/>
            <w:tcBorders>
              <w:left w:val="single" w:color="000000" w:sz="4" w:space="0"/>
            </w:tcBorders>
            <w:vAlign w:val="center"/>
          </w:tcPr>
          <w:p w14:paraId="230FC041">
            <w:pPr>
              <w:spacing w:line="221" w:lineRule="auto"/>
              <w:jc w:val="both"/>
              <w:rPr>
                <w:rFonts w:hint="eastAsia"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pPr>
            <w:r>
              <w:rPr>
                <w:rFonts w:hint="eastAsia"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备注</w:t>
            </w:r>
          </w:p>
        </w:tc>
      </w:tr>
      <w:tr w14:paraId="169A4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restart"/>
            <w:vAlign w:val="center"/>
          </w:tcPr>
          <w:p w14:paraId="02693730">
            <w:pPr>
              <w:pageBreakBefore w:val="0"/>
              <w:kinsoku/>
              <w:wordWrap/>
              <w:overflowPunct/>
              <w:topLinePunct w:val="0"/>
              <w:bidi w:val="0"/>
              <w:spacing w:line="360" w:lineRule="auto"/>
              <w:ind w:right="0" w:right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w:t>
            </w:r>
          </w:p>
          <w:p w14:paraId="5D12DF0D">
            <w:pPr>
              <w:pageBreakBefore w:val="0"/>
              <w:kinsoku/>
              <w:wordWrap/>
              <w:overflowPunct/>
              <w:topLinePunct w:val="0"/>
              <w:bidi w:val="0"/>
              <w:spacing w:line="360" w:lineRule="auto"/>
              <w:ind w:right="0" w:rightChars="0"/>
              <w:jc w:val="center"/>
              <w:rPr>
                <w:rFonts w:hint="default" w:ascii="Times New Roman" w:hAnsi="Times New Roman" w:eastAsia="宋体" w:cs="Times New Roman"/>
              </w:rPr>
            </w:pPr>
          </w:p>
        </w:tc>
        <w:tc>
          <w:tcPr>
            <w:tcW w:w="1292" w:type="dxa"/>
            <w:vMerge w:val="restart"/>
            <w:shd w:val="clear" w:color="auto" w:fill="auto"/>
            <w:vAlign w:val="center"/>
          </w:tcPr>
          <w:p w14:paraId="31DC3331">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集装箱式气瓶间</w:t>
            </w:r>
          </w:p>
        </w:tc>
        <w:tc>
          <w:tcPr>
            <w:tcW w:w="1915" w:type="dxa"/>
            <w:shd w:val="clear" w:color="auto" w:fill="auto"/>
            <w:vAlign w:val="center"/>
          </w:tcPr>
          <w:p w14:paraId="0F776C8A">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号试验室气瓶集装箱</w:t>
            </w:r>
          </w:p>
        </w:tc>
        <w:tc>
          <w:tcPr>
            <w:tcW w:w="2571" w:type="dxa"/>
            <w:shd w:val="clear" w:color="auto" w:fill="auto"/>
            <w:vAlign w:val="center"/>
          </w:tcPr>
          <w:p w14:paraId="1B152FA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503AC95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31EC791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41C487DD">
            <w:pPr>
              <w:jc w:val="both"/>
              <w:rPr>
                <w:rFonts w:hint="default" w:ascii="Times New Roman" w:hAnsi="Times New Roman" w:eastAsia="宋体" w:cs="Times New Roman"/>
              </w:rPr>
            </w:pPr>
          </w:p>
        </w:tc>
        <w:tc>
          <w:tcPr>
            <w:tcW w:w="1254" w:type="dxa"/>
            <w:tcBorders>
              <w:right w:val="single" w:color="000000" w:sz="4" w:space="0"/>
            </w:tcBorders>
          </w:tcPr>
          <w:p w14:paraId="67D099C7">
            <w:pPr>
              <w:jc w:val="both"/>
              <w:rPr>
                <w:rFonts w:hint="default" w:ascii="Times New Roman" w:hAnsi="Times New Roman" w:eastAsia="宋体" w:cs="Times New Roman"/>
              </w:rPr>
            </w:pPr>
          </w:p>
        </w:tc>
        <w:tc>
          <w:tcPr>
            <w:tcW w:w="860" w:type="dxa"/>
            <w:tcBorders>
              <w:left w:val="single" w:color="000000" w:sz="4" w:space="0"/>
            </w:tcBorders>
          </w:tcPr>
          <w:p w14:paraId="17305EF7">
            <w:pPr>
              <w:jc w:val="both"/>
              <w:rPr>
                <w:rFonts w:hint="default" w:ascii="Times New Roman" w:hAnsi="Times New Roman" w:eastAsia="宋体" w:cs="Times New Roman"/>
              </w:rPr>
            </w:pPr>
          </w:p>
        </w:tc>
        <w:tc>
          <w:tcPr>
            <w:tcW w:w="860" w:type="dxa"/>
            <w:tcBorders>
              <w:left w:val="single" w:color="000000" w:sz="4" w:space="0"/>
            </w:tcBorders>
          </w:tcPr>
          <w:p w14:paraId="661C4465">
            <w:pPr>
              <w:jc w:val="both"/>
              <w:rPr>
                <w:rFonts w:hint="default" w:ascii="Times New Roman" w:hAnsi="Times New Roman" w:eastAsia="宋体" w:cs="Times New Roman"/>
              </w:rPr>
            </w:pPr>
          </w:p>
        </w:tc>
      </w:tr>
      <w:tr w14:paraId="5EB20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1D1ADD80">
            <w:pPr>
              <w:pageBreakBefore w:val="0"/>
              <w:kinsoku/>
              <w:wordWrap/>
              <w:overflowPunct/>
              <w:topLinePunct w:val="0"/>
              <w:bidi w:val="0"/>
              <w:spacing w:line="360" w:lineRule="auto"/>
              <w:ind w:right="0" w:rightChars="0"/>
              <w:jc w:val="center"/>
              <w:rPr>
                <w:rFonts w:hint="default" w:ascii="Times New Roman" w:hAnsi="Times New Roman" w:eastAsia="宋体" w:cs="Times New Roman"/>
              </w:rPr>
            </w:pPr>
          </w:p>
        </w:tc>
        <w:tc>
          <w:tcPr>
            <w:tcW w:w="1292" w:type="dxa"/>
            <w:vMerge w:val="continue"/>
            <w:shd w:val="clear" w:color="auto" w:fill="auto"/>
            <w:vAlign w:val="center"/>
          </w:tcPr>
          <w:p w14:paraId="30A4A813">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1915" w:type="dxa"/>
            <w:shd w:val="clear" w:color="auto" w:fill="auto"/>
            <w:vAlign w:val="center"/>
          </w:tcPr>
          <w:p w14:paraId="6C2292E8">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（备瓶和空瓶存放区）</w:t>
            </w:r>
          </w:p>
        </w:tc>
        <w:tc>
          <w:tcPr>
            <w:tcW w:w="2571" w:type="dxa"/>
            <w:shd w:val="clear" w:color="auto" w:fill="auto"/>
            <w:vAlign w:val="center"/>
          </w:tcPr>
          <w:p w14:paraId="5F70B0B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6032370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5BC3927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58841FC4">
            <w:pPr>
              <w:jc w:val="both"/>
              <w:rPr>
                <w:rFonts w:hint="default" w:ascii="Times New Roman" w:hAnsi="Times New Roman" w:eastAsia="宋体" w:cs="Times New Roman"/>
              </w:rPr>
            </w:pPr>
          </w:p>
        </w:tc>
        <w:tc>
          <w:tcPr>
            <w:tcW w:w="1254" w:type="dxa"/>
            <w:tcBorders>
              <w:right w:val="single" w:color="000000" w:sz="4" w:space="0"/>
            </w:tcBorders>
          </w:tcPr>
          <w:p w14:paraId="75AAFBBE">
            <w:pPr>
              <w:jc w:val="both"/>
              <w:rPr>
                <w:rFonts w:hint="default" w:ascii="Times New Roman" w:hAnsi="Times New Roman" w:eastAsia="宋体" w:cs="Times New Roman"/>
              </w:rPr>
            </w:pPr>
          </w:p>
        </w:tc>
        <w:tc>
          <w:tcPr>
            <w:tcW w:w="860" w:type="dxa"/>
            <w:tcBorders>
              <w:left w:val="single" w:color="000000" w:sz="4" w:space="0"/>
            </w:tcBorders>
          </w:tcPr>
          <w:p w14:paraId="2ACC1224">
            <w:pPr>
              <w:jc w:val="both"/>
              <w:rPr>
                <w:rFonts w:hint="default" w:ascii="Times New Roman" w:hAnsi="Times New Roman" w:eastAsia="宋体" w:cs="Times New Roman"/>
              </w:rPr>
            </w:pPr>
          </w:p>
        </w:tc>
        <w:tc>
          <w:tcPr>
            <w:tcW w:w="860" w:type="dxa"/>
            <w:tcBorders>
              <w:left w:val="single" w:color="000000" w:sz="4" w:space="0"/>
            </w:tcBorders>
          </w:tcPr>
          <w:p w14:paraId="2B50F1A7">
            <w:pPr>
              <w:jc w:val="both"/>
              <w:rPr>
                <w:rFonts w:hint="default" w:ascii="Times New Roman" w:hAnsi="Times New Roman" w:eastAsia="宋体" w:cs="Times New Roman"/>
              </w:rPr>
            </w:pPr>
          </w:p>
        </w:tc>
      </w:tr>
      <w:tr w14:paraId="034F2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5F251131">
            <w:pPr>
              <w:pageBreakBefore w:val="0"/>
              <w:kinsoku/>
              <w:wordWrap/>
              <w:overflowPunct/>
              <w:topLinePunct w:val="0"/>
              <w:bidi w:val="0"/>
              <w:spacing w:line="360" w:lineRule="auto"/>
              <w:ind w:right="0" w:rightChars="0"/>
              <w:jc w:val="center"/>
              <w:rPr>
                <w:rFonts w:hint="default" w:ascii="Times New Roman" w:hAnsi="Times New Roman" w:eastAsia="宋体" w:cs="Times New Roman"/>
              </w:rPr>
            </w:pPr>
          </w:p>
        </w:tc>
        <w:tc>
          <w:tcPr>
            <w:tcW w:w="1292" w:type="dxa"/>
            <w:vMerge w:val="continue"/>
            <w:shd w:val="clear" w:color="auto" w:fill="auto"/>
            <w:vAlign w:val="center"/>
          </w:tcPr>
          <w:p w14:paraId="7178CC6F">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p>
        </w:tc>
        <w:tc>
          <w:tcPr>
            <w:tcW w:w="1915" w:type="dxa"/>
            <w:shd w:val="clear" w:color="auto" w:fill="auto"/>
            <w:vAlign w:val="center"/>
          </w:tcPr>
          <w:p w14:paraId="1686B37A">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yellow"/>
                <w:lang w:val="en-US" w:eastAsia="zh-CN" w:bidi="ar-SA"/>
              </w:rPr>
            </w:pPr>
            <w:r>
              <w:rPr>
                <w:rFonts w:hint="default" w:ascii="Times New Roman" w:hAnsi="Times New Roman" w:eastAsia="宋体" w:cs="Times New Roman"/>
                <w:sz w:val="24"/>
                <w:szCs w:val="24"/>
                <w:highlight w:val="none"/>
                <w:lang w:val="en-US" w:eastAsia="zh-CN"/>
              </w:rPr>
              <w:t>6号试验室气瓶集装箱</w:t>
            </w:r>
            <w:r>
              <w:rPr>
                <w:rFonts w:hint="eastAsia" w:ascii="Times New Roman" w:hAnsi="Times New Roman" w:eastAsia="宋体" w:cs="Times New Roman"/>
                <w:sz w:val="24"/>
                <w:szCs w:val="24"/>
                <w:highlight w:val="none"/>
                <w:lang w:val="en-US" w:eastAsia="zh-CN"/>
              </w:rPr>
              <w:t>（需配置气体管路）</w:t>
            </w:r>
          </w:p>
        </w:tc>
        <w:tc>
          <w:tcPr>
            <w:tcW w:w="2571" w:type="dxa"/>
            <w:shd w:val="clear" w:color="auto" w:fill="auto"/>
            <w:vAlign w:val="center"/>
          </w:tcPr>
          <w:p w14:paraId="122323C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28B06DE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69A6371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56EB7986">
            <w:pPr>
              <w:jc w:val="both"/>
              <w:rPr>
                <w:rFonts w:hint="default" w:ascii="Times New Roman" w:hAnsi="Times New Roman" w:eastAsia="宋体" w:cs="Times New Roman"/>
              </w:rPr>
            </w:pPr>
          </w:p>
        </w:tc>
        <w:tc>
          <w:tcPr>
            <w:tcW w:w="1254" w:type="dxa"/>
            <w:tcBorders>
              <w:right w:val="single" w:color="000000" w:sz="4" w:space="0"/>
            </w:tcBorders>
          </w:tcPr>
          <w:p w14:paraId="239D3E1F">
            <w:pPr>
              <w:jc w:val="both"/>
              <w:rPr>
                <w:rFonts w:hint="default" w:ascii="Times New Roman" w:hAnsi="Times New Roman" w:eastAsia="宋体" w:cs="Times New Roman"/>
              </w:rPr>
            </w:pPr>
          </w:p>
        </w:tc>
        <w:tc>
          <w:tcPr>
            <w:tcW w:w="860" w:type="dxa"/>
            <w:tcBorders>
              <w:left w:val="single" w:color="000000" w:sz="4" w:space="0"/>
            </w:tcBorders>
          </w:tcPr>
          <w:p w14:paraId="7D9056A8">
            <w:pPr>
              <w:jc w:val="both"/>
              <w:rPr>
                <w:rFonts w:hint="default" w:ascii="Times New Roman" w:hAnsi="Times New Roman" w:eastAsia="宋体" w:cs="Times New Roman"/>
              </w:rPr>
            </w:pPr>
          </w:p>
        </w:tc>
        <w:tc>
          <w:tcPr>
            <w:tcW w:w="860" w:type="dxa"/>
            <w:tcBorders>
              <w:left w:val="single" w:color="000000" w:sz="4" w:space="0"/>
            </w:tcBorders>
          </w:tcPr>
          <w:p w14:paraId="14FAF254">
            <w:pPr>
              <w:jc w:val="both"/>
              <w:rPr>
                <w:rFonts w:hint="default" w:ascii="Times New Roman" w:hAnsi="Times New Roman" w:eastAsia="宋体" w:cs="Times New Roman"/>
              </w:rPr>
            </w:pPr>
          </w:p>
        </w:tc>
      </w:tr>
      <w:tr w14:paraId="5286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4FFF84A3">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5E550D28">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eastAsia" w:ascii="宋体" w:hAnsi="宋体" w:eastAsia="宋体"/>
                <w:sz w:val="24"/>
              </w:rPr>
            </w:pPr>
          </w:p>
        </w:tc>
        <w:tc>
          <w:tcPr>
            <w:tcW w:w="1915" w:type="dxa"/>
            <w:shd w:val="clear" w:color="auto" w:fill="auto"/>
            <w:vAlign w:val="center"/>
          </w:tcPr>
          <w:p w14:paraId="7064E7E2">
            <w:pPr>
              <w:pageBreakBefore w:val="0"/>
              <w:tabs>
                <w:tab w:val="center" w:pos="809"/>
                <w:tab w:val="right" w:pos="1498"/>
              </w:tabs>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7号试验室气瓶集装箱</w:t>
            </w:r>
          </w:p>
        </w:tc>
        <w:tc>
          <w:tcPr>
            <w:tcW w:w="2571" w:type="dxa"/>
            <w:shd w:val="clear" w:color="auto" w:fill="auto"/>
            <w:vAlign w:val="center"/>
          </w:tcPr>
          <w:p w14:paraId="06A1A12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3米</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rPr>
              <w:t>2.7米</w:t>
            </w:r>
          </w:p>
        </w:tc>
        <w:tc>
          <w:tcPr>
            <w:tcW w:w="1114" w:type="dxa"/>
            <w:shd w:val="clear" w:color="auto" w:fill="auto"/>
            <w:vAlign w:val="center"/>
          </w:tcPr>
          <w:p w14:paraId="2131613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789FA70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1</w:t>
            </w:r>
          </w:p>
        </w:tc>
        <w:tc>
          <w:tcPr>
            <w:tcW w:w="1683" w:type="dxa"/>
          </w:tcPr>
          <w:p w14:paraId="78B68B69">
            <w:pPr>
              <w:jc w:val="both"/>
              <w:rPr>
                <w:rFonts w:hint="default" w:ascii="Times New Roman" w:hAnsi="Times New Roman" w:eastAsia="宋体" w:cs="Times New Roman"/>
              </w:rPr>
            </w:pPr>
          </w:p>
        </w:tc>
        <w:tc>
          <w:tcPr>
            <w:tcW w:w="1254" w:type="dxa"/>
            <w:tcBorders>
              <w:right w:val="single" w:color="000000" w:sz="4" w:space="0"/>
            </w:tcBorders>
          </w:tcPr>
          <w:p w14:paraId="370E7A2D">
            <w:pPr>
              <w:jc w:val="both"/>
              <w:rPr>
                <w:rFonts w:hint="default" w:ascii="Times New Roman" w:hAnsi="Times New Roman" w:eastAsia="宋体" w:cs="Times New Roman"/>
              </w:rPr>
            </w:pPr>
          </w:p>
        </w:tc>
        <w:tc>
          <w:tcPr>
            <w:tcW w:w="860" w:type="dxa"/>
            <w:tcBorders>
              <w:left w:val="single" w:color="000000" w:sz="4" w:space="0"/>
            </w:tcBorders>
          </w:tcPr>
          <w:p w14:paraId="45505EF8">
            <w:pPr>
              <w:jc w:val="both"/>
              <w:rPr>
                <w:rFonts w:hint="default" w:ascii="Times New Roman" w:hAnsi="Times New Roman" w:eastAsia="宋体" w:cs="Times New Roman"/>
              </w:rPr>
            </w:pPr>
          </w:p>
        </w:tc>
        <w:tc>
          <w:tcPr>
            <w:tcW w:w="860" w:type="dxa"/>
            <w:tcBorders>
              <w:left w:val="single" w:color="000000" w:sz="4" w:space="0"/>
            </w:tcBorders>
          </w:tcPr>
          <w:p w14:paraId="5AF0110B">
            <w:pPr>
              <w:jc w:val="both"/>
              <w:rPr>
                <w:rFonts w:hint="default" w:ascii="Times New Roman" w:hAnsi="Times New Roman" w:eastAsia="宋体" w:cs="Times New Roman"/>
              </w:rPr>
            </w:pPr>
          </w:p>
        </w:tc>
      </w:tr>
      <w:tr w14:paraId="0BEAD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6EF7DD60">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385171FD">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sz w:val="24"/>
                <w:lang w:val="en-US" w:eastAsia="zh-CN"/>
              </w:rPr>
            </w:pPr>
          </w:p>
        </w:tc>
        <w:tc>
          <w:tcPr>
            <w:tcW w:w="1915" w:type="dxa"/>
            <w:shd w:val="clear" w:color="auto" w:fill="auto"/>
            <w:vAlign w:val="center"/>
          </w:tcPr>
          <w:p w14:paraId="49D985CF">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default" w:ascii="宋体" w:hAnsi="宋体" w:eastAsia="宋体"/>
                <w:sz w:val="24"/>
                <w:lang w:val="en-US" w:eastAsia="zh-CN"/>
              </w:rPr>
              <w:t>通风系统</w:t>
            </w:r>
          </w:p>
        </w:tc>
        <w:tc>
          <w:tcPr>
            <w:tcW w:w="2571" w:type="dxa"/>
            <w:shd w:val="clear" w:color="auto" w:fill="auto"/>
            <w:vAlign w:val="center"/>
          </w:tcPr>
          <w:p w14:paraId="6114BB6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114" w:type="dxa"/>
            <w:shd w:val="clear" w:color="auto" w:fill="auto"/>
            <w:vAlign w:val="center"/>
          </w:tcPr>
          <w:p w14:paraId="10EA3AF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29F2A42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c>
          <w:tcPr>
            <w:tcW w:w="1683" w:type="dxa"/>
          </w:tcPr>
          <w:p w14:paraId="286904E3">
            <w:pPr>
              <w:jc w:val="both"/>
              <w:rPr>
                <w:rFonts w:hint="default" w:ascii="Times New Roman" w:hAnsi="Times New Roman" w:eastAsia="宋体" w:cs="Times New Roman"/>
              </w:rPr>
            </w:pPr>
          </w:p>
        </w:tc>
        <w:tc>
          <w:tcPr>
            <w:tcW w:w="1254" w:type="dxa"/>
            <w:tcBorders>
              <w:right w:val="single" w:color="000000" w:sz="4" w:space="0"/>
            </w:tcBorders>
          </w:tcPr>
          <w:p w14:paraId="0452C711">
            <w:pPr>
              <w:jc w:val="both"/>
              <w:rPr>
                <w:rFonts w:hint="default" w:ascii="Times New Roman" w:hAnsi="Times New Roman" w:eastAsia="宋体" w:cs="Times New Roman"/>
              </w:rPr>
            </w:pPr>
          </w:p>
        </w:tc>
        <w:tc>
          <w:tcPr>
            <w:tcW w:w="860" w:type="dxa"/>
            <w:tcBorders>
              <w:left w:val="single" w:color="000000" w:sz="4" w:space="0"/>
            </w:tcBorders>
          </w:tcPr>
          <w:p w14:paraId="042A2ECC">
            <w:pPr>
              <w:jc w:val="both"/>
              <w:rPr>
                <w:rFonts w:hint="default" w:ascii="Times New Roman" w:hAnsi="Times New Roman" w:eastAsia="宋体" w:cs="Times New Roman"/>
              </w:rPr>
            </w:pPr>
          </w:p>
        </w:tc>
        <w:tc>
          <w:tcPr>
            <w:tcW w:w="860" w:type="dxa"/>
            <w:tcBorders>
              <w:left w:val="single" w:color="000000" w:sz="4" w:space="0"/>
            </w:tcBorders>
          </w:tcPr>
          <w:p w14:paraId="6D8FB296">
            <w:pPr>
              <w:jc w:val="both"/>
              <w:rPr>
                <w:rFonts w:hint="default" w:ascii="Times New Roman" w:hAnsi="Times New Roman" w:eastAsia="宋体" w:cs="Times New Roman"/>
              </w:rPr>
            </w:pPr>
          </w:p>
        </w:tc>
      </w:tr>
      <w:tr w14:paraId="16A80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583F3B4F">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6F1EB0A6">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sz w:val="24"/>
                <w:lang w:val="en-US" w:eastAsia="zh-CN"/>
              </w:rPr>
            </w:pPr>
          </w:p>
        </w:tc>
        <w:tc>
          <w:tcPr>
            <w:tcW w:w="1915" w:type="dxa"/>
            <w:shd w:val="clear" w:color="auto" w:fill="auto"/>
            <w:vAlign w:val="center"/>
          </w:tcPr>
          <w:p w14:paraId="0F3949A1">
            <w:pPr>
              <w:pageBreakBefore w:val="0"/>
              <w:kinsoku/>
              <w:wordWrap/>
              <w:overflowPunct/>
              <w:topLinePunct w:val="0"/>
              <w:autoSpaceDE w:val="0"/>
              <w:autoSpaceDN w:val="0"/>
              <w:bidi w:val="0"/>
              <w:adjustRightInd w:val="0"/>
              <w:spacing w:line="360" w:lineRule="auto"/>
              <w:ind w:right="0" w:rightChars="0"/>
              <w:jc w:val="center"/>
              <w:rPr>
                <w:rFonts w:hint="default" w:ascii="宋体" w:hAnsi="宋体" w:eastAsia="宋体" w:cstheme="minorBidi"/>
                <w:kern w:val="2"/>
                <w:sz w:val="24"/>
                <w:szCs w:val="22"/>
                <w:lang w:val="en-US" w:eastAsia="zh-CN" w:bidi="ar-SA"/>
              </w:rPr>
            </w:pPr>
            <w:r>
              <w:rPr>
                <w:rFonts w:hint="default" w:ascii="宋体" w:hAnsi="宋体" w:eastAsia="宋体"/>
                <w:sz w:val="24"/>
                <w:lang w:val="en-US" w:eastAsia="zh-CN"/>
              </w:rPr>
              <w:t>照明系统</w:t>
            </w:r>
          </w:p>
        </w:tc>
        <w:tc>
          <w:tcPr>
            <w:tcW w:w="2571" w:type="dxa"/>
            <w:shd w:val="clear" w:color="auto" w:fill="auto"/>
            <w:vAlign w:val="center"/>
          </w:tcPr>
          <w:p w14:paraId="2923C49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114" w:type="dxa"/>
            <w:shd w:val="clear" w:color="auto" w:fill="auto"/>
            <w:vAlign w:val="center"/>
          </w:tcPr>
          <w:p w14:paraId="50D770B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3399F76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3</w:t>
            </w:r>
          </w:p>
        </w:tc>
        <w:tc>
          <w:tcPr>
            <w:tcW w:w="1683" w:type="dxa"/>
          </w:tcPr>
          <w:p w14:paraId="0F1974EE">
            <w:pPr>
              <w:jc w:val="both"/>
              <w:rPr>
                <w:rFonts w:hint="default" w:ascii="Times New Roman" w:hAnsi="Times New Roman" w:eastAsia="宋体" w:cs="Times New Roman"/>
              </w:rPr>
            </w:pPr>
          </w:p>
        </w:tc>
        <w:tc>
          <w:tcPr>
            <w:tcW w:w="1254" w:type="dxa"/>
            <w:tcBorders>
              <w:right w:val="single" w:color="000000" w:sz="4" w:space="0"/>
            </w:tcBorders>
          </w:tcPr>
          <w:p w14:paraId="429ACC90">
            <w:pPr>
              <w:jc w:val="both"/>
              <w:rPr>
                <w:rFonts w:hint="default" w:ascii="Times New Roman" w:hAnsi="Times New Roman" w:eastAsia="宋体" w:cs="Times New Roman"/>
              </w:rPr>
            </w:pPr>
          </w:p>
        </w:tc>
        <w:tc>
          <w:tcPr>
            <w:tcW w:w="860" w:type="dxa"/>
            <w:tcBorders>
              <w:left w:val="single" w:color="000000" w:sz="4" w:space="0"/>
            </w:tcBorders>
          </w:tcPr>
          <w:p w14:paraId="14A3E255">
            <w:pPr>
              <w:jc w:val="both"/>
              <w:rPr>
                <w:rFonts w:hint="default" w:ascii="Times New Roman" w:hAnsi="Times New Roman" w:eastAsia="宋体" w:cs="Times New Roman"/>
              </w:rPr>
            </w:pPr>
          </w:p>
        </w:tc>
        <w:tc>
          <w:tcPr>
            <w:tcW w:w="860" w:type="dxa"/>
            <w:tcBorders>
              <w:left w:val="single" w:color="000000" w:sz="4" w:space="0"/>
            </w:tcBorders>
          </w:tcPr>
          <w:p w14:paraId="5D558933">
            <w:pPr>
              <w:jc w:val="both"/>
              <w:rPr>
                <w:rFonts w:hint="default" w:ascii="Times New Roman" w:hAnsi="Times New Roman" w:eastAsia="宋体" w:cs="Times New Roman"/>
              </w:rPr>
            </w:pPr>
          </w:p>
        </w:tc>
      </w:tr>
      <w:tr w14:paraId="45D8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4E0C5E75">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2E188F4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53A4F8E4">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lang w:val="en-US" w:eastAsia="zh-CN"/>
              </w:rPr>
              <w:t>地面</w:t>
            </w:r>
            <w:r>
              <w:rPr>
                <w:rFonts w:hint="eastAsia" w:ascii="Times New Roman" w:hAnsi="Times New Roman" w:eastAsia="宋体" w:cs="Times New Roman"/>
                <w:sz w:val="24"/>
                <w:szCs w:val="24"/>
                <w:highlight w:val="none"/>
                <w:lang w:val="en-US" w:eastAsia="zh-CN"/>
              </w:rPr>
              <w:t>基建</w:t>
            </w:r>
          </w:p>
        </w:tc>
        <w:tc>
          <w:tcPr>
            <w:tcW w:w="2571" w:type="dxa"/>
            <w:shd w:val="clear" w:color="auto" w:fill="auto"/>
            <w:vAlign w:val="center"/>
          </w:tcPr>
          <w:p w14:paraId="4B2CD57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40518EC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028E34B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c>
          <w:tcPr>
            <w:tcW w:w="1683" w:type="dxa"/>
          </w:tcPr>
          <w:p w14:paraId="142744C2">
            <w:pPr>
              <w:jc w:val="both"/>
              <w:rPr>
                <w:rFonts w:hint="default" w:ascii="Times New Roman" w:hAnsi="Times New Roman" w:eastAsia="宋体" w:cs="Times New Roman"/>
              </w:rPr>
            </w:pPr>
          </w:p>
        </w:tc>
        <w:tc>
          <w:tcPr>
            <w:tcW w:w="1254" w:type="dxa"/>
            <w:tcBorders>
              <w:right w:val="single" w:color="000000" w:sz="4" w:space="0"/>
            </w:tcBorders>
          </w:tcPr>
          <w:p w14:paraId="61D5519B">
            <w:pPr>
              <w:jc w:val="both"/>
              <w:rPr>
                <w:rFonts w:hint="default" w:ascii="Times New Roman" w:hAnsi="Times New Roman" w:eastAsia="宋体" w:cs="Times New Roman"/>
              </w:rPr>
            </w:pPr>
          </w:p>
        </w:tc>
        <w:tc>
          <w:tcPr>
            <w:tcW w:w="860" w:type="dxa"/>
            <w:tcBorders>
              <w:left w:val="single" w:color="000000" w:sz="4" w:space="0"/>
            </w:tcBorders>
          </w:tcPr>
          <w:p w14:paraId="4D519714">
            <w:pPr>
              <w:jc w:val="both"/>
              <w:rPr>
                <w:rFonts w:hint="default" w:ascii="Times New Roman" w:hAnsi="Times New Roman" w:eastAsia="宋体" w:cs="Times New Roman"/>
              </w:rPr>
            </w:pPr>
          </w:p>
        </w:tc>
        <w:tc>
          <w:tcPr>
            <w:tcW w:w="860" w:type="dxa"/>
            <w:tcBorders>
              <w:left w:val="single" w:color="000000" w:sz="4" w:space="0"/>
            </w:tcBorders>
          </w:tcPr>
          <w:p w14:paraId="2317F9DF">
            <w:pPr>
              <w:jc w:val="both"/>
              <w:rPr>
                <w:rFonts w:hint="default" w:ascii="Times New Roman" w:hAnsi="Times New Roman" w:eastAsia="宋体" w:cs="Times New Roman"/>
              </w:rPr>
            </w:pPr>
          </w:p>
        </w:tc>
      </w:tr>
      <w:tr w14:paraId="04CBF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02E1B275">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p>
        </w:tc>
        <w:tc>
          <w:tcPr>
            <w:tcW w:w="1292" w:type="dxa"/>
            <w:vMerge w:val="continue"/>
            <w:shd w:val="clear" w:color="auto" w:fill="auto"/>
            <w:vAlign w:val="center"/>
          </w:tcPr>
          <w:p w14:paraId="7BE76E13">
            <w:pPr>
              <w:pageBreakBefore w:val="0"/>
              <w:kinsoku/>
              <w:wordWrap/>
              <w:overflowPunct/>
              <w:topLinePunct w:val="0"/>
              <w:autoSpaceDE w:val="0"/>
              <w:autoSpaceDN w:val="0"/>
              <w:bidi w:val="0"/>
              <w:adjustRightInd w:val="0"/>
              <w:spacing w:line="360" w:lineRule="auto"/>
              <w:ind w:right="0" w:rightChars="0"/>
              <w:jc w:val="center"/>
              <w:rPr>
                <w:rFonts w:hint="eastAsia" w:ascii="宋体" w:hAnsi="宋体" w:eastAsia="宋体" w:cstheme="minorBidi"/>
                <w:kern w:val="2"/>
                <w:sz w:val="24"/>
                <w:szCs w:val="22"/>
                <w:lang w:val="en-US" w:eastAsia="zh-CN" w:bidi="ar-SA"/>
              </w:rPr>
            </w:pPr>
          </w:p>
        </w:tc>
        <w:tc>
          <w:tcPr>
            <w:tcW w:w="1915" w:type="dxa"/>
            <w:shd w:val="clear" w:color="auto" w:fill="auto"/>
            <w:vAlign w:val="center"/>
          </w:tcPr>
          <w:p w14:paraId="296B023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安装调试</w:t>
            </w:r>
          </w:p>
        </w:tc>
        <w:tc>
          <w:tcPr>
            <w:tcW w:w="2571" w:type="dxa"/>
            <w:shd w:val="clear" w:color="auto" w:fill="auto"/>
            <w:vAlign w:val="center"/>
          </w:tcPr>
          <w:p w14:paraId="1FA6DC3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6C81C33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5D00F7D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w:t>
            </w:r>
          </w:p>
        </w:tc>
        <w:tc>
          <w:tcPr>
            <w:tcW w:w="1683" w:type="dxa"/>
          </w:tcPr>
          <w:p w14:paraId="0541D1E2">
            <w:pPr>
              <w:jc w:val="both"/>
              <w:rPr>
                <w:rFonts w:hint="default" w:ascii="Times New Roman" w:hAnsi="Times New Roman" w:eastAsia="宋体" w:cs="Times New Roman"/>
              </w:rPr>
            </w:pPr>
          </w:p>
        </w:tc>
        <w:tc>
          <w:tcPr>
            <w:tcW w:w="1254" w:type="dxa"/>
            <w:tcBorders>
              <w:right w:val="single" w:color="000000" w:sz="4" w:space="0"/>
            </w:tcBorders>
          </w:tcPr>
          <w:p w14:paraId="54A43E7A">
            <w:pPr>
              <w:jc w:val="both"/>
              <w:rPr>
                <w:rFonts w:hint="default" w:ascii="Times New Roman" w:hAnsi="Times New Roman" w:eastAsia="宋体" w:cs="Times New Roman"/>
              </w:rPr>
            </w:pPr>
          </w:p>
        </w:tc>
        <w:tc>
          <w:tcPr>
            <w:tcW w:w="860" w:type="dxa"/>
            <w:tcBorders>
              <w:left w:val="single" w:color="000000" w:sz="4" w:space="0"/>
            </w:tcBorders>
          </w:tcPr>
          <w:p w14:paraId="518D8D01">
            <w:pPr>
              <w:jc w:val="both"/>
              <w:rPr>
                <w:rFonts w:hint="default" w:ascii="Times New Roman" w:hAnsi="Times New Roman" w:eastAsia="宋体" w:cs="Times New Roman"/>
              </w:rPr>
            </w:pPr>
          </w:p>
        </w:tc>
        <w:tc>
          <w:tcPr>
            <w:tcW w:w="860" w:type="dxa"/>
            <w:tcBorders>
              <w:left w:val="single" w:color="000000" w:sz="4" w:space="0"/>
            </w:tcBorders>
          </w:tcPr>
          <w:p w14:paraId="5330693F">
            <w:pPr>
              <w:jc w:val="both"/>
              <w:rPr>
                <w:rFonts w:hint="default" w:ascii="Times New Roman" w:hAnsi="Times New Roman" w:eastAsia="宋体" w:cs="Times New Roman"/>
              </w:rPr>
            </w:pPr>
          </w:p>
        </w:tc>
      </w:tr>
      <w:tr w14:paraId="3ADDF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79561E7F">
            <w:pPr>
              <w:pageBreakBefore w:val="0"/>
              <w:kinsoku/>
              <w:wordWrap/>
              <w:overflowPunct/>
              <w:topLinePunct w:val="0"/>
              <w:bidi w:val="0"/>
              <w:spacing w:line="360" w:lineRule="auto"/>
              <w:ind w:right="0" w:rightChars="0"/>
              <w:jc w:val="center"/>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highlight w:val="none"/>
                <w:lang w:val="en-US" w:eastAsia="zh-CN"/>
              </w:rPr>
              <w:t>2</w:t>
            </w:r>
          </w:p>
        </w:tc>
        <w:tc>
          <w:tcPr>
            <w:tcW w:w="1292" w:type="dxa"/>
            <w:shd w:val="clear" w:color="auto" w:fill="auto"/>
            <w:vAlign w:val="center"/>
          </w:tcPr>
          <w:p w14:paraId="1395733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泄漏监控、报警系统设备安装</w:t>
            </w:r>
          </w:p>
        </w:tc>
        <w:tc>
          <w:tcPr>
            <w:tcW w:w="1915" w:type="dxa"/>
            <w:shd w:val="clear" w:color="auto" w:fill="auto"/>
            <w:vAlign w:val="center"/>
          </w:tcPr>
          <w:p w14:paraId="12F6BD8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sz w:val="24"/>
              </w:rPr>
              <w:t>可燃气体、有害气体</w:t>
            </w:r>
            <w:r>
              <w:rPr>
                <w:rFonts w:hint="eastAsia" w:ascii="宋体" w:hAnsi="宋体" w:eastAsia="宋体"/>
                <w:sz w:val="24"/>
                <w:lang w:val="en-US" w:eastAsia="zh-CN"/>
              </w:rPr>
              <w:t>监测</w:t>
            </w:r>
            <w:r>
              <w:rPr>
                <w:rFonts w:hint="eastAsia" w:ascii="宋体" w:hAnsi="宋体" w:eastAsia="宋体"/>
                <w:sz w:val="24"/>
              </w:rPr>
              <w:t>系统</w:t>
            </w:r>
          </w:p>
        </w:tc>
        <w:tc>
          <w:tcPr>
            <w:tcW w:w="2571" w:type="dxa"/>
            <w:shd w:val="clear" w:color="auto" w:fill="auto"/>
            <w:vAlign w:val="center"/>
          </w:tcPr>
          <w:p w14:paraId="7B2875C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见第二章技术要求</w:t>
            </w:r>
          </w:p>
        </w:tc>
        <w:tc>
          <w:tcPr>
            <w:tcW w:w="1114" w:type="dxa"/>
            <w:shd w:val="clear" w:color="auto" w:fill="auto"/>
            <w:vAlign w:val="center"/>
          </w:tcPr>
          <w:p w14:paraId="0827BDC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sz w:val="24"/>
                <w:szCs w:val="24"/>
                <w:highlight w:val="none"/>
              </w:rPr>
              <w:t>套</w:t>
            </w:r>
          </w:p>
        </w:tc>
        <w:tc>
          <w:tcPr>
            <w:tcW w:w="1483" w:type="dxa"/>
            <w:shd w:val="clear" w:color="auto" w:fill="auto"/>
            <w:vAlign w:val="center"/>
          </w:tcPr>
          <w:p w14:paraId="707D10C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4</w:t>
            </w:r>
          </w:p>
        </w:tc>
        <w:tc>
          <w:tcPr>
            <w:tcW w:w="1683" w:type="dxa"/>
          </w:tcPr>
          <w:p w14:paraId="44C22B73">
            <w:pPr>
              <w:jc w:val="both"/>
              <w:rPr>
                <w:rFonts w:hint="default" w:ascii="Times New Roman" w:hAnsi="Times New Roman" w:eastAsia="宋体" w:cs="Times New Roman"/>
              </w:rPr>
            </w:pPr>
          </w:p>
        </w:tc>
        <w:tc>
          <w:tcPr>
            <w:tcW w:w="1254" w:type="dxa"/>
            <w:tcBorders>
              <w:right w:val="single" w:color="000000" w:sz="4" w:space="0"/>
            </w:tcBorders>
          </w:tcPr>
          <w:p w14:paraId="7FA7E707">
            <w:pPr>
              <w:jc w:val="both"/>
              <w:rPr>
                <w:rFonts w:hint="default" w:ascii="Times New Roman" w:hAnsi="Times New Roman" w:eastAsia="宋体" w:cs="Times New Roman"/>
              </w:rPr>
            </w:pPr>
          </w:p>
        </w:tc>
        <w:tc>
          <w:tcPr>
            <w:tcW w:w="860" w:type="dxa"/>
            <w:tcBorders>
              <w:left w:val="single" w:color="000000" w:sz="4" w:space="0"/>
            </w:tcBorders>
          </w:tcPr>
          <w:p w14:paraId="322658E6">
            <w:pPr>
              <w:jc w:val="both"/>
              <w:rPr>
                <w:rFonts w:hint="default" w:ascii="Times New Roman" w:hAnsi="Times New Roman" w:eastAsia="宋体" w:cs="Times New Roman"/>
              </w:rPr>
            </w:pPr>
          </w:p>
        </w:tc>
        <w:tc>
          <w:tcPr>
            <w:tcW w:w="860" w:type="dxa"/>
            <w:tcBorders>
              <w:left w:val="single" w:color="000000" w:sz="4" w:space="0"/>
            </w:tcBorders>
          </w:tcPr>
          <w:p w14:paraId="3E7DFA40">
            <w:pPr>
              <w:jc w:val="both"/>
              <w:rPr>
                <w:rFonts w:hint="default" w:ascii="Times New Roman" w:hAnsi="Times New Roman" w:eastAsia="宋体" w:cs="Times New Roman"/>
              </w:rPr>
            </w:pPr>
          </w:p>
        </w:tc>
      </w:tr>
      <w:tr w14:paraId="59485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restart"/>
            <w:vAlign w:val="center"/>
          </w:tcPr>
          <w:p w14:paraId="3906AD86">
            <w:pPr>
              <w:pageBreakBefore w:val="0"/>
              <w:kinsoku/>
              <w:wordWrap/>
              <w:overflowPunct/>
              <w:topLinePunct w:val="0"/>
              <w:bidi w:val="0"/>
              <w:spacing w:line="360" w:lineRule="auto"/>
              <w:ind w:right="0" w:rightChars="0"/>
              <w:jc w:val="center"/>
              <w:rPr>
                <w:rFonts w:hint="default" w:ascii="Times New Roman" w:hAnsi="Times New Roman" w:eastAsia="宋体" w:cs="Times New Roman"/>
                <w:lang w:val="en-US" w:eastAsia="zh-CN"/>
              </w:rPr>
            </w:pPr>
            <w:r>
              <w:rPr>
                <w:rFonts w:hint="eastAsia" w:ascii="Times New Roman" w:hAnsi="Times New Roman" w:eastAsia="宋体" w:cs="Times New Roman"/>
                <w:sz w:val="24"/>
                <w:szCs w:val="24"/>
                <w:highlight w:val="none"/>
                <w:lang w:val="en-US" w:eastAsia="zh-CN"/>
              </w:rPr>
              <w:t>3</w:t>
            </w:r>
          </w:p>
        </w:tc>
        <w:tc>
          <w:tcPr>
            <w:tcW w:w="1292" w:type="dxa"/>
            <w:vMerge w:val="restart"/>
            <w:shd w:val="clear" w:color="auto" w:fill="auto"/>
            <w:vAlign w:val="center"/>
          </w:tcPr>
          <w:p w14:paraId="52A2277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管路改造</w:t>
            </w:r>
          </w:p>
        </w:tc>
        <w:tc>
          <w:tcPr>
            <w:tcW w:w="1915" w:type="dxa"/>
            <w:shd w:val="clear" w:color="auto" w:fill="auto"/>
            <w:vAlign w:val="center"/>
          </w:tcPr>
          <w:p w14:paraId="7592C96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电磁控制阀</w:t>
            </w:r>
          </w:p>
        </w:tc>
        <w:tc>
          <w:tcPr>
            <w:tcW w:w="2571" w:type="dxa"/>
            <w:shd w:val="clear" w:color="auto" w:fill="auto"/>
            <w:vAlign w:val="center"/>
          </w:tcPr>
          <w:p w14:paraId="4584019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default" w:ascii="Times New Roman" w:hAnsi="Times New Roman" w:eastAsia="宋体" w:cs="Times New Roman"/>
                <w:sz w:val="24"/>
                <w:szCs w:val="24"/>
                <w:highlight w:val="none"/>
                <w:lang w:val="en-US" w:eastAsia="zh-CN"/>
              </w:rPr>
              <w:t>/</w:t>
            </w:r>
          </w:p>
        </w:tc>
        <w:tc>
          <w:tcPr>
            <w:tcW w:w="1114" w:type="dxa"/>
            <w:shd w:val="clear" w:color="auto" w:fill="auto"/>
            <w:vAlign w:val="center"/>
          </w:tcPr>
          <w:p w14:paraId="4AA2BE1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个</w:t>
            </w:r>
          </w:p>
        </w:tc>
        <w:tc>
          <w:tcPr>
            <w:tcW w:w="1483" w:type="dxa"/>
            <w:shd w:val="clear" w:color="auto" w:fill="auto"/>
            <w:vAlign w:val="center"/>
          </w:tcPr>
          <w:p w14:paraId="1058AD7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lang w:val="en-US" w:eastAsia="zh-CN"/>
              </w:rPr>
              <w:t>16</w:t>
            </w:r>
          </w:p>
        </w:tc>
        <w:tc>
          <w:tcPr>
            <w:tcW w:w="1683" w:type="dxa"/>
          </w:tcPr>
          <w:p w14:paraId="665DA054">
            <w:pPr>
              <w:jc w:val="both"/>
              <w:rPr>
                <w:rFonts w:hint="default" w:ascii="Times New Roman" w:hAnsi="Times New Roman" w:eastAsia="宋体" w:cs="Times New Roman"/>
              </w:rPr>
            </w:pPr>
          </w:p>
        </w:tc>
        <w:tc>
          <w:tcPr>
            <w:tcW w:w="1254" w:type="dxa"/>
            <w:tcBorders>
              <w:right w:val="single" w:color="000000" w:sz="4" w:space="0"/>
            </w:tcBorders>
          </w:tcPr>
          <w:p w14:paraId="458F3E56">
            <w:pPr>
              <w:jc w:val="both"/>
              <w:rPr>
                <w:rFonts w:hint="default" w:ascii="Times New Roman" w:hAnsi="Times New Roman" w:eastAsia="宋体" w:cs="Times New Roman"/>
              </w:rPr>
            </w:pPr>
          </w:p>
        </w:tc>
        <w:tc>
          <w:tcPr>
            <w:tcW w:w="860" w:type="dxa"/>
            <w:tcBorders>
              <w:left w:val="single" w:color="000000" w:sz="4" w:space="0"/>
            </w:tcBorders>
          </w:tcPr>
          <w:p w14:paraId="333F4F5F">
            <w:pPr>
              <w:jc w:val="both"/>
              <w:rPr>
                <w:rFonts w:hint="default" w:ascii="Times New Roman" w:hAnsi="Times New Roman" w:eastAsia="宋体" w:cs="Times New Roman"/>
              </w:rPr>
            </w:pPr>
          </w:p>
        </w:tc>
        <w:tc>
          <w:tcPr>
            <w:tcW w:w="860" w:type="dxa"/>
            <w:tcBorders>
              <w:left w:val="single" w:color="000000" w:sz="4" w:space="0"/>
            </w:tcBorders>
          </w:tcPr>
          <w:p w14:paraId="43349428">
            <w:pPr>
              <w:jc w:val="both"/>
              <w:rPr>
                <w:rFonts w:hint="default" w:ascii="Times New Roman" w:hAnsi="Times New Roman" w:eastAsia="宋体" w:cs="Times New Roman"/>
              </w:rPr>
            </w:pPr>
          </w:p>
        </w:tc>
      </w:tr>
      <w:tr w14:paraId="175EC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0B93CA5C">
            <w:pPr>
              <w:pageBreakBefore w:val="0"/>
              <w:kinsoku/>
              <w:wordWrap/>
              <w:overflowPunct/>
              <w:topLinePunct w:val="0"/>
              <w:bidi w:val="0"/>
              <w:spacing w:line="360" w:lineRule="auto"/>
              <w:ind w:right="0" w:rightChars="0"/>
              <w:jc w:val="center"/>
              <w:rPr>
                <w:rFonts w:hint="default" w:ascii="Times New Roman" w:hAnsi="Times New Roman" w:eastAsia="宋体" w:cs="Times New Roman"/>
                <w:szCs w:val="21"/>
                <w:lang w:val="en-US" w:eastAsia="zh-CN"/>
              </w:rPr>
            </w:pPr>
          </w:p>
        </w:tc>
        <w:tc>
          <w:tcPr>
            <w:tcW w:w="1292" w:type="dxa"/>
            <w:vMerge w:val="continue"/>
            <w:shd w:val="clear" w:color="auto" w:fill="auto"/>
            <w:vAlign w:val="center"/>
          </w:tcPr>
          <w:p w14:paraId="7071EDE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7803777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气动隔膜阀</w:t>
            </w:r>
          </w:p>
        </w:tc>
        <w:tc>
          <w:tcPr>
            <w:tcW w:w="2571" w:type="dxa"/>
            <w:shd w:val="clear" w:color="auto" w:fill="auto"/>
            <w:vAlign w:val="center"/>
          </w:tcPr>
          <w:p w14:paraId="5A2B191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2"/>
                <w:szCs w:val="22"/>
                <w:highlight w:val="none"/>
                <w:lang w:val="en-US" w:eastAsia="zh-CN" w:bidi="ar-SA"/>
              </w:rPr>
            </w:pPr>
            <w:r>
              <w:rPr>
                <w:rFonts w:hint="eastAsia" w:ascii="Times New Roman" w:hAnsi="Times New Roman" w:eastAsia="宋体" w:cs="Times New Roman"/>
                <w:sz w:val="22"/>
                <w:szCs w:val="22"/>
                <w:highlight w:val="none"/>
                <w:lang w:val="en-US" w:eastAsia="zh-CN"/>
              </w:rPr>
              <w:t>/</w:t>
            </w:r>
          </w:p>
        </w:tc>
        <w:tc>
          <w:tcPr>
            <w:tcW w:w="1114" w:type="dxa"/>
            <w:shd w:val="clear" w:color="auto" w:fill="auto"/>
            <w:vAlign w:val="center"/>
          </w:tcPr>
          <w:p w14:paraId="6BCBC6CC">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个</w:t>
            </w:r>
          </w:p>
        </w:tc>
        <w:tc>
          <w:tcPr>
            <w:tcW w:w="1483" w:type="dxa"/>
            <w:shd w:val="clear" w:color="auto" w:fill="auto"/>
            <w:vAlign w:val="center"/>
          </w:tcPr>
          <w:p w14:paraId="6D8D4AE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16</w:t>
            </w:r>
          </w:p>
        </w:tc>
        <w:tc>
          <w:tcPr>
            <w:tcW w:w="1683" w:type="dxa"/>
          </w:tcPr>
          <w:p w14:paraId="264C46D3">
            <w:pPr>
              <w:jc w:val="both"/>
              <w:rPr>
                <w:rFonts w:hint="default" w:ascii="Times New Roman" w:hAnsi="Times New Roman" w:eastAsia="宋体" w:cs="Times New Roman"/>
              </w:rPr>
            </w:pPr>
          </w:p>
        </w:tc>
        <w:tc>
          <w:tcPr>
            <w:tcW w:w="1254" w:type="dxa"/>
            <w:tcBorders>
              <w:right w:val="single" w:color="000000" w:sz="4" w:space="0"/>
            </w:tcBorders>
          </w:tcPr>
          <w:p w14:paraId="319B873A">
            <w:pPr>
              <w:jc w:val="both"/>
              <w:rPr>
                <w:rFonts w:hint="default" w:ascii="Times New Roman" w:hAnsi="Times New Roman" w:eastAsia="宋体" w:cs="Times New Roman"/>
              </w:rPr>
            </w:pPr>
          </w:p>
        </w:tc>
        <w:tc>
          <w:tcPr>
            <w:tcW w:w="860" w:type="dxa"/>
            <w:tcBorders>
              <w:left w:val="single" w:color="000000" w:sz="4" w:space="0"/>
            </w:tcBorders>
          </w:tcPr>
          <w:p w14:paraId="449AF129">
            <w:pPr>
              <w:jc w:val="both"/>
              <w:rPr>
                <w:rFonts w:hint="default" w:ascii="Times New Roman" w:hAnsi="Times New Roman" w:eastAsia="宋体" w:cs="Times New Roman"/>
              </w:rPr>
            </w:pPr>
          </w:p>
        </w:tc>
        <w:tc>
          <w:tcPr>
            <w:tcW w:w="860" w:type="dxa"/>
            <w:tcBorders>
              <w:left w:val="single" w:color="000000" w:sz="4" w:space="0"/>
            </w:tcBorders>
          </w:tcPr>
          <w:p w14:paraId="7130E279">
            <w:pPr>
              <w:jc w:val="both"/>
              <w:rPr>
                <w:rFonts w:hint="default" w:ascii="Times New Roman" w:hAnsi="Times New Roman" w:eastAsia="宋体" w:cs="Times New Roman"/>
              </w:rPr>
            </w:pPr>
          </w:p>
        </w:tc>
      </w:tr>
      <w:tr w14:paraId="7433A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2807DFF1">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p>
        </w:tc>
        <w:tc>
          <w:tcPr>
            <w:tcW w:w="1292" w:type="dxa"/>
            <w:vMerge w:val="continue"/>
            <w:shd w:val="clear" w:color="auto" w:fill="auto"/>
            <w:vAlign w:val="center"/>
          </w:tcPr>
          <w:p w14:paraId="243800A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645739B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管路</w:t>
            </w:r>
          </w:p>
        </w:tc>
        <w:tc>
          <w:tcPr>
            <w:tcW w:w="2571" w:type="dxa"/>
            <w:shd w:val="clear" w:color="auto" w:fill="auto"/>
            <w:vAlign w:val="center"/>
          </w:tcPr>
          <w:p w14:paraId="66AFB3E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材质：SS316L</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内表面粗糙度Ra&lt;0.4um</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抛光处理：BA</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外径/壁厚：6.35mm/0.89mm</w:t>
            </w:r>
          </w:p>
        </w:tc>
        <w:tc>
          <w:tcPr>
            <w:tcW w:w="1114" w:type="dxa"/>
            <w:shd w:val="clear" w:color="auto" w:fill="auto"/>
            <w:vAlign w:val="center"/>
          </w:tcPr>
          <w:p w14:paraId="04A8DCF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米</w:t>
            </w:r>
          </w:p>
        </w:tc>
        <w:tc>
          <w:tcPr>
            <w:tcW w:w="1483" w:type="dxa"/>
            <w:shd w:val="clear" w:color="auto" w:fill="auto"/>
            <w:vAlign w:val="center"/>
          </w:tcPr>
          <w:p w14:paraId="17F76A0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依照技术要求</w:t>
            </w:r>
          </w:p>
        </w:tc>
        <w:tc>
          <w:tcPr>
            <w:tcW w:w="1683" w:type="dxa"/>
          </w:tcPr>
          <w:p w14:paraId="5A386F7C">
            <w:pPr>
              <w:jc w:val="both"/>
              <w:rPr>
                <w:rFonts w:hint="default" w:ascii="Times New Roman" w:hAnsi="Times New Roman" w:eastAsia="宋体" w:cs="Times New Roman"/>
              </w:rPr>
            </w:pPr>
          </w:p>
        </w:tc>
        <w:tc>
          <w:tcPr>
            <w:tcW w:w="1254" w:type="dxa"/>
            <w:tcBorders>
              <w:right w:val="single" w:color="000000" w:sz="4" w:space="0"/>
            </w:tcBorders>
          </w:tcPr>
          <w:p w14:paraId="596855D4">
            <w:pPr>
              <w:jc w:val="both"/>
              <w:rPr>
                <w:rFonts w:hint="default" w:ascii="Times New Roman" w:hAnsi="Times New Roman" w:eastAsia="宋体" w:cs="Times New Roman"/>
              </w:rPr>
            </w:pPr>
          </w:p>
        </w:tc>
        <w:tc>
          <w:tcPr>
            <w:tcW w:w="860" w:type="dxa"/>
            <w:tcBorders>
              <w:left w:val="single" w:color="000000" w:sz="4" w:space="0"/>
            </w:tcBorders>
          </w:tcPr>
          <w:p w14:paraId="3DB41C2F">
            <w:pPr>
              <w:jc w:val="both"/>
              <w:rPr>
                <w:rFonts w:hint="default" w:ascii="Times New Roman" w:hAnsi="Times New Roman" w:eastAsia="宋体" w:cs="Times New Roman"/>
              </w:rPr>
            </w:pPr>
          </w:p>
        </w:tc>
        <w:tc>
          <w:tcPr>
            <w:tcW w:w="860" w:type="dxa"/>
            <w:tcBorders>
              <w:left w:val="single" w:color="000000" w:sz="4" w:space="0"/>
            </w:tcBorders>
          </w:tcPr>
          <w:p w14:paraId="717B6E08">
            <w:pPr>
              <w:jc w:val="both"/>
              <w:rPr>
                <w:rFonts w:hint="default" w:ascii="Times New Roman" w:hAnsi="Times New Roman" w:eastAsia="宋体" w:cs="Times New Roman"/>
              </w:rPr>
            </w:pPr>
          </w:p>
        </w:tc>
      </w:tr>
      <w:tr w14:paraId="55CC3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1F6EF4DB">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p>
        </w:tc>
        <w:tc>
          <w:tcPr>
            <w:tcW w:w="1292" w:type="dxa"/>
            <w:vMerge w:val="continue"/>
            <w:shd w:val="clear" w:color="auto" w:fill="auto"/>
            <w:vAlign w:val="center"/>
          </w:tcPr>
          <w:p w14:paraId="644A7F1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p>
        </w:tc>
        <w:tc>
          <w:tcPr>
            <w:tcW w:w="1915" w:type="dxa"/>
            <w:shd w:val="clear" w:color="auto" w:fill="auto"/>
            <w:vAlign w:val="center"/>
          </w:tcPr>
          <w:p w14:paraId="54DC415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管道支架、吊架</w:t>
            </w:r>
          </w:p>
        </w:tc>
        <w:tc>
          <w:tcPr>
            <w:tcW w:w="2571" w:type="dxa"/>
            <w:shd w:val="clear" w:color="auto" w:fill="auto"/>
            <w:vAlign w:val="center"/>
          </w:tcPr>
          <w:p w14:paraId="39F3BAED">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114" w:type="dxa"/>
            <w:shd w:val="clear" w:color="auto" w:fill="auto"/>
            <w:vAlign w:val="center"/>
          </w:tcPr>
          <w:p w14:paraId="0572F708">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483" w:type="dxa"/>
            <w:shd w:val="clear" w:color="auto" w:fill="auto"/>
            <w:vAlign w:val="center"/>
          </w:tcPr>
          <w:p w14:paraId="6F356A6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根据实际情况</w:t>
            </w:r>
          </w:p>
        </w:tc>
        <w:tc>
          <w:tcPr>
            <w:tcW w:w="1683" w:type="dxa"/>
          </w:tcPr>
          <w:p w14:paraId="4F1029CA">
            <w:pPr>
              <w:jc w:val="both"/>
              <w:rPr>
                <w:rFonts w:hint="default" w:ascii="Times New Roman" w:hAnsi="Times New Roman" w:eastAsia="宋体" w:cs="Times New Roman"/>
              </w:rPr>
            </w:pPr>
          </w:p>
        </w:tc>
        <w:tc>
          <w:tcPr>
            <w:tcW w:w="1254" w:type="dxa"/>
            <w:tcBorders>
              <w:right w:val="single" w:color="000000" w:sz="4" w:space="0"/>
            </w:tcBorders>
          </w:tcPr>
          <w:p w14:paraId="3050B903">
            <w:pPr>
              <w:jc w:val="both"/>
              <w:rPr>
                <w:rFonts w:hint="default" w:ascii="Times New Roman" w:hAnsi="Times New Roman" w:eastAsia="宋体" w:cs="Times New Roman"/>
              </w:rPr>
            </w:pPr>
          </w:p>
        </w:tc>
        <w:tc>
          <w:tcPr>
            <w:tcW w:w="860" w:type="dxa"/>
            <w:tcBorders>
              <w:left w:val="single" w:color="000000" w:sz="4" w:space="0"/>
            </w:tcBorders>
          </w:tcPr>
          <w:p w14:paraId="2479CB3C">
            <w:pPr>
              <w:jc w:val="both"/>
              <w:rPr>
                <w:rFonts w:hint="default" w:ascii="Times New Roman" w:hAnsi="Times New Roman" w:eastAsia="宋体" w:cs="Times New Roman"/>
              </w:rPr>
            </w:pPr>
          </w:p>
        </w:tc>
        <w:tc>
          <w:tcPr>
            <w:tcW w:w="860" w:type="dxa"/>
            <w:tcBorders>
              <w:left w:val="single" w:color="000000" w:sz="4" w:space="0"/>
            </w:tcBorders>
          </w:tcPr>
          <w:p w14:paraId="1B9F0CAD">
            <w:pPr>
              <w:jc w:val="both"/>
              <w:rPr>
                <w:rFonts w:hint="default" w:ascii="Times New Roman" w:hAnsi="Times New Roman" w:eastAsia="宋体" w:cs="Times New Roman"/>
              </w:rPr>
            </w:pPr>
          </w:p>
        </w:tc>
      </w:tr>
      <w:tr w14:paraId="648FC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Merge w:val="continue"/>
            <w:vAlign w:val="center"/>
          </w:tcPr>
          <w:p w14:paraId="5BF965D3">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p>
        </w:tc>
        <w:tc>
          <w:tcPr>
            <w:tcW w:w="1292" w:type="dxa"/>
            <w:vMerge w:val="continue"/>
            <w:shd w:val="clear" w:color="auto" w:fill="auto"/>
            <w:vAlign w:val="center"/>
          </w:tcPr>
          <w:p w14:paraId="1893EB2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kern w:val="2"/>
                <w:sz w:val="24"/>
                <w:szCs w:val="24"/>
                <w:highlight w:val="none"/>
                <w:lang w:val="en-US" w:eastAsia="zh-CN" w:bidi="ar-SA"/>
              </w:rPr>
            </w:pPr>
          </w:p>
        </w:tc>
        <w:tc>
          <w:tcPr>
            <w:tcW w:w="1915" w:type="dxa"/>
            <w:shd w:val="clear" w:color="auto" w:fill="auto"/>
            <w:vAlign w:val="center"/>
          </w:tcPr>
          <w:p w14:paraId="65EF823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管道固定卡具</w:t>
            </w:r>
          </w:p>
        </w:tc>
        <w:tc>
          <w:tcPr>
            <w:tcW w:w="2571" w:type="dxa"/>
            <w:shd w:val="clear" w:color="auto" w:fill="auto"/>
            <w:vAlign w:val="center"/>
          </w:tcPr>
          <w:p w14:paraId="6120784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sz w:val="22"/>
                <w:szCs w:val="22"/>
                <w:highlight w:val="none"/>
                <w:lang w:val="en-US" w:eastAsia="zh-CN"/>
              </w:rPr>
              <w:t>/</w:t>
            </w:r>
          </w:p>
        </w:tc>
        <w:tc>
          <w:tcPr>
            <w:tcW w:w="1114" w:type="dxa"/>
            <w:shd w:val="clear" w:color="auto" w:fill="auto"/>
            <w:vAlign w:val="center"/>
          </w:tcPr>
          <w:p w14:paraId="3D3C180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483" w:type="dxa"/>
            <w:shd w:val="clear" w:color="auto" w:fill="auto"/>
            <w:vAlign w:val="center"/>
          </w:tcPr>
          <w:p w14:paraId="20A75075">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根据实际情况</w:t>
            </w:r>
          </w:p>
        </w:tc>
        <w:tc>
          <w:tcPr>
            <w:tcW w:w="1683" w:type="dxa"/>
          </w:tcPr>
          <w:p w14:paraId="75C43EE9">
            <w:pPr>
              <w:jc w:val="both"/>
              <w:rPr>
                <w:rFonts w:hint="default" w:ascii="Times New Roman" w:hAnsi="Times New Roman" w:eastAsia="宋体" w:cs="Times New Roman"/>
              </w:rPr>
            </w:pPr>
          </w:p>
        </w:tc>
        <w:tc>
          <w:tcPr>
            <w:tcW w:w="1254" w:type="dxa"/>
            <w:tcBorders>
              <w:right w:val="single" w:color="000000" w:sz="4" w:space="0"/>
            </w:tcBorders>
          </w:tcPr>
          <w:p w14:paraId="27CACC18">
            <w:pPr>
              <w:jc w:val="both"/>
              <w:rPr>
                <w:rFonts w:hint="default" w:ascii="Times New Roman" w:hAnsi="Times New Roman" w:eastAsia="宋体" w:cs="Times New Roman"/>
              </w:rPr>
            </w:pPr>
          </w:p>
        </w:tc>
        <w:tc>
          <w:tcPr>
            <w:tcW w:w="860" w:type="dxa"/>
            <w:tcBorders>
              <w:left w:val="single" w:color="000000" w:sz="4" w:space="0"/>
            </w:tcBorders>
          </w:tcPr>
          <w:p w14:paraId="221432A3">
            <w:pPr>
              <w:jc w:val="both"/>
              <w:rPr>
                <w:rFonts w:hint="default" w:ascii="Times New Roman" w:hAnsi="Times New Roman" w:eastAsia="宋体" w:cs="Times New Roman"/>
              </w:rPr>
            </w:pPr>
          </w:p>
        </w:tc>
        <w:tc>
          <w:tcPr>
            <w:tcW w:w="860" w:type="dxa"/>
            <w:tcBorders>
              <w:left w:val="single" w:color="000000" w:sz="4" w:space="0"/>
            </w:tcBorders>
          </w:tcPr>
          <w:p w14:paraId="5E8492F1">
            <w:pPr>
              <w:jc w:val="both"/>
              <w:rPr>
                <w:rFonts w:hint="default" w:ascii="Times New Roman" w:hAnsi="Times New Roman" w:eastAsia="宋体" w:cs="Times New Roman"/>
              </w:rPr>
            </w:pPr>
          </w:p>
        </w:tc>
      </w:tr>
      <w:tr w14:paraId="585E1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BB6E1A8">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4</w:t>
            </w:r>
          </w:p>
        </w:tc>
        <w:tc>
          <w:tcPr>
            <w:tcW w:w="1292" w:type="dxa"/>
            <w:shd w:val="clear" w:color="auto" w:fill="auto"/>
            <w:vAlign w:val="center"/>
          </w:tcPr>
          <w:p w14:paraId="25242D3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sz w:val="24"/>
              </w:rPr>
              <w:t>终端标气柜</w:t>
            </w:r>
          </w:p>
        </w:tc>
        <w:tc>
          <w:tcPr>
            <w:tcW w:w="1915" w:type="dxa"/>
            <w:shd w:val="clear" w:color="auto" w:fill="auto"/>
            <w:vAlign w:val="center"/>
          </w:tcPr>
          <w:p w14:paraId="26D28F9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4B2A52E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0EDA66C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6FC06F9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6</w:t>
            </w:r>
          </w:p>
        </w:tc>
        <w:tc>
          <w:tcPr>
            <w:tcW w:w="1683" w:type="dxa"/>
          </w:tcPr>
          <w:p w14:paraId="1D986422">
            <w:pPr>
              <w:jc w:val="both"/>
              <w:rPr>
                <w:rFonts w:hint="default" w:ascii="Times New Roman" w:hAnsi="Times New Roman" w:eastAsia="宋体" w:cs="Times New Roman"/>
              </w:rPr>
            </w:pPr>
          </w:p>
        </w:tc>
        <w:tc>
          <w:tcPr>
            <w:tcW w:w="1254" w:type="dxa"/>
            <w:tcBorders>
              <w:right w:val="single" w:color="000000" w:sz="4" w:space="0"/>
            </w:tcBorders>
          </w:tcPr>
          <w:p w14:paraId="1AA9946E">
            <w:pPr>
              <w:jc w:val="both"/>
              <w:rPr>
                <w:rFonts w:hint="default" w:ascii="Times New Roman" w:hAnsi="Times New Roman" w:eastAsia="宋体" w:cs="Times New Roman"/>
              </w:rPr>
            </w:pPr>
          </w:p>
        </w:tc>
        <w:tc>
          <w:tcPr>
            <w:tcW w:w="860" w:type="dxa"/>
            <w:tcBorders>
              <w:left w:val="single" w:color="000000" w:sz="4" w:space="0"/>
            </w:tcBorders>
          </w:tcPr>
          <w:p w14:paraId="1BA4276E">
            <w:pPr>
              <w:jc w:val="both"/>
              <w:rPr>
                <w:rFonts w:hint="default" w:ascii="Times New Roman" w:hAnsi="Times New Roman" w:eastAsia="宋体" w:cs="Times New Roman"/>
              </w:rPr>
            </w:pPr>
          </w:p>
        </w:tc>
        <w:tc>
          <w:tcPr>
            <w:tcW w:w="860" w:type="dxa"/>
            <w:tcBorders>
              <w:left w:val="single" w:color="000000" w:sz="4" w:space="0"/>
            </w:tcBorders>
          </w:tcPr>
          <w:p w14:paraId="0A5E7229">
            <w:pPr>
              <w:jc w:val="both"/>
              <w:rPr>
                <w:rFonts w:hint="default" w:ascii="Times New Roman" w:hAnsi="Times New Roman" w:eastAsia="宋体" w:cs="Times New Roman"/>
              </w:rPr>
            </w:pPr>
          </w:p>
        </w:tc>
      </w:tr>
      <w:tr w14:paraId="44E0D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07B216A">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5</w:t>
            </w:r>
          </w:p>
        </w:tc>
        <w:tc>
          <w:tcPr>
            <w:tcW w:w="1292" w:type="dxa"/>
            <w:shd w:val="clear" w:color="auto" w:fill="auto"/>
            <w:vAlign w:val="center"/>
          </w:tcPr>
          <w:p w14:paraId="0A0948E8">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sz w:val="24"/>
              </w:rPr>
              <w:t>一级减压阀</w:t>
            </w:r>
          </w:p>
        </w:tc>
        <w:tc>
          <w:tcPr>
            <w:tcW w:w="1915" w:type="dxa"/>
            <w:shd w:val="clear" w:color="auto" w:fill="auto"/>
            <w:vAlign w:val="center"/>
          </w:tcPr>
          <w:p w14:paraId="2A9D5698">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713986A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2194E1BC">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1C6F76F3">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10</w:t>
            </w:r>
          </w:p>
        </w:tc>
        <w:tc>
          <w:tcPr>
            <w:tcW w:w="1683" w:type="dxa"/>
          </w:tcPr>
          <w:p w14:paraId="6D5679DB">
            <w:pPr>
              <w:jc w:val="both"/>
              <w:rPr>
                <w:rFonts w:hint="default" w:ascii="Times New Roman" w:hAnsi="Times New Roman" w:eastAsia="宋体" w:cs="Times New Roman"/>
              </w:rPr>
            </w:pPr>
          </w:p>
        </w:tc>
        <w:tc>
          <w:tcPr>
            <w:tcW w:w="1254" w:type="dxa"/>
            <w:tcBorders>
              <w:right w:val="single" w:color="000000" w:sz="4" w:space="0"/>
            </w:tcBorders>
          </w:tcPr>
          <w:p w14:paraId="36B44D42">
            <w:pPr>
              <w:jc w:val="both"/>
              <w:rPr>
                <w:rFonts w:hint="default" w:ascii="Times New Roman" w:hAnsi="Times New Roman" w:eastAsia="宋体" w:cs="Times New Roman"/>
              </w:rPr>
            </w:pPr>
          </w:p>
        </w:tc>
        <w:tc>
          <w:tcPr>
            <w:tcW w:w="860" w:type="dxa"/>
            <w:tcBorders>
              <w:left w:val="single" w:color="000000" w:sz="4" w:space="0"/>
            </w:tcBorders>
          </w:tcPr>
          <w:p w14:paraId="31923657">
            <w:pPr>
              <w:jc w:val="both"/>
              <w:rPr>
                <w:rFonts w:hint="default" w:ascii="Times New Roman" w:hAnsi="Times New Roman" w:eastAsia="宋体" w:cs="Times New Roman"/>
              </w:rPr>
            </w:pPr>
          </w:p>
        </w:tc>
        <w:tc>
          <w:tcPr>
            <w:tcW w:w="860" w:type="dxa"/>
            <w:tcBorders>
              <w:left w:val="single" w:color="000000" w:sz="4" w:space="0"/>
            </w:tcBorders>
          </w:tcPr>
          <w:p w14:paraId="7A887A80">
            <w:pPr>
              <w:jc w:val="both"/>
              <w:rPr>
                <w:rFonts w:hint="default" w:ascii="Times New Roman" w:hAnsi="Times New Roman" w:eastAsia="宋体" w:cs="Times New Roman"/>
              </w:rPr>
            </w:pPr>
          </w:p>
        </w:tc>
      </w:tr>
      <w:tr w14:paraId="51627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0369AD18">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6</w:t>
            </w:r>
          </w:p>
        </w:tc>
        <w:tc>
          <w:tcPr>
            <w:tcW w:w="1292" w:type="dxa"/>
            <w:shd w:val="clear" w:color="auto" w:fill="auto"/>
            <w:vAlign w:val="center"/>
          </w:tcPr>
          <w:p w14:paraId="61B5E9C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sz w:val="24"/>
              </w:rPr>
              <w:t>二级减压阀</w:t>
            </w:r>
          </w:p>
        </w:tc>
        <w:tc>
          <w:tcPr>
            <w:tcW w:w="1915" w:type="dxa"/>
            <w:shd w:val="clear" w:color="auto" w:fill="auto"/>
            <w:vAlign w:val="center"/>
          </w:tcPr>
          <w:p w14:paraId="532B626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066AD18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2"/>
                <w:szCs w:val="22"/>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2CF6937A">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7FD6F8B6">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30</w:t>
            </w:r>
          </w:p>
        </w:tc>
        <w:tc>
          <w:tcPr>
            <w:tcW w:w="1683" w:type="dxa"/>
            <w:vAlign w:val="center"/>
          </w:tcPr>
          <w:p w14:paraId="1C67197E">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254" w:type="dxa"/>
            <w:tcBorders>
              <w:right w:val="single" w:color="000000" w:sz="4" w:space="0"/>
            </w:tcBorders>
            <w:vAlign w:val="center"/>
          </w:tcPr>
          <w:p w14:paraId="0C549AC3">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860" w:type="dxa"/>
            <w:tcBorders>
              <w:left w:val="single" w:color="000000" w:sz="4" w:space="0"/>
            </w:tcBorders>
            <w:vAlign w:val="center"/>
          </w:tcPr>
          <w:p w14:paraId="10F529CF">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860" w:type="dxa"/>
            <w:tcBorders>
              <w:left w:val="single" w:color="000000" w:sz="4" w:space="0"/>
            </w:tcBorders>
          </w:tcPr>
          <w:p w14:paraId="3EF10DA2">
            <w:pPr>
              <w:jc w:val="both"/>
              <w:rPr>
                <w:rFonts w:hint="default" w:ascii="Times New Roman" w:hAnsi="Times New Roman" w:eastAsia="宋体" w:cs="Times New Roman"/>
              </w:rPr>
            </w:pPr>
          </w:p>
        </w:tc>
      </w:tr>
      <w:tr w14:paraId="7627F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6A19EFE7">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7</w:t>
            </w:r>
          </w:p>
        </w:tc>
        <w:tc>
          <w:tcPr>
            <w:tcW w:w="1292" w:type="dxa"/>
            <w:shd w:val="clear" w:color="auto" w:fill="auto"/>
            <w:vAlign w:val="center"/>
          </w:tcPr>
          <w:p w14:paraId="48766A7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宋体" w:hAnsi="宋体" w:eastAsia="宋体"/>
                <w:sz w:val="24"/>
              </w:rPr>
              <w:t>球阀</w:t>
            </w:r>
          </w:p>
        </w:tc>
        <w:tc>
          <w:tcPr>
            <w:tcW w:w="1915" w:type="dxa"/>
            <w:shd w:val="clear" w:color="auto" w:fill="auto"/>
            <w:vAlign w:val="center"/>
          </w:tcPr>
          <w:p w14:paraId="4935A4DB">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6309F8D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6B8115D8">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421D0BF1">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30</w:t>
            </w:r>
          </w:p>
        </w:tc>
        <w:tc>
          <w:tcPr>
            <w:tcW w:w="1683" w:type="dxa"/>
            <w:vAlign w:val="center"/>
          </w:tcPr>
          <w:p w14:paraId="1C8A6B6F">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4DA06BE7">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30F7B643">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292E4452">
            <w:pPr>
              <w:jc w:val="both"/>
              <w:rPr>
                <w:rFonts w:hint="default" w:ascii="Times New Roman" w:hAnsi="Times New Roman" w:eastAsia="宋体" w:cs="Times New Roman"/>
              </w:rPr>
            </w:pPr>
          </w:p>
        </w:tc>
      </w:tr>
      <w:tr w14:paraId="5D7A0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5B3B4999">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8</w:t>
            </w:r>
          </w:p>
        </w:tc>
        <w:tc>
          <w:tcPr>
            <w:tcW w:w="1292" w:type="dxa"/>
            <w:shd w:val="clear" w:color="auto" w:fill="auto"/>
            <w:vAlign w:val="center"/>
          </w:tcPr>
          <w:p w14:paraId="7230CAB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宋体" w:hAnsi="宋体" w:eastAsia="宋体"/>
                <w:sz w:val="24"/>
              </w:rPr>
              <w:t>防爆逆止阀</w:t>
            </w:r>
          </w:p>
        </w:tc>
        <w:tc>
          <w:tcPr>
            <w:tcW w:w="1915" w:type="dxa"/>
            <w:shd w:val="clear" w:color="auto" w:fill="auto"/>
            <w:vAlign w:val="center"/>
          </w:tcPr>
          <w:p w14:paraId="7FD2D3A0">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17E7C6E9">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4274A5A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4923C62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3</w:t>
            </w:r>
          </w:p>
        </w:tc>
        <w:tc>
          <w:tcPr>
            <w:tcW w:w="1683" w:type="dxa"/>
            <w:vAlign w:val="center"/>
          </w:tcPr>
          <w:p w14:paraId="27E4C6B6">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2221A33D">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318270E7">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1D68CCCF">
            <w:pPr>
              <w:jc w:val="both"/>
              <w:rPr>
                <w:rFonts w:hint="default" w:ascii="Times New Roman" w:hAnsi="Times New Roman" w:eastAsia="宋体" w:cs="Times New Roman"/>
              </w:rPr>
            </w:pPr>
          </w:p>
        </w:tc>
      </w:tr>
      <w:tr w14:paraId="66E8B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78F0694A">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sz w:val="24"/>
                <w:szCs w:val="24"/>
                <w:highlight w:val="none"/>
                <w:lang w:val="en-US" w:eastAsia="zh-CN"/>
              </w:rPr>
              <w:t>9</w:t>
            </w:r>
          </w:p>
        </w:tc>
        <w:tc>
          <w:tcPr>
            <w:tcW w:w="1292" w:type="dxa"/>
            <w:shd w:val="clear" w:color="auto" w:fill="auto"/>
            <w:vAlign w:val="center"/>
          </w:tcPr>
          <w:p w14:paraId="5D7F7DD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eastAsia" w:ascii="宋体" w:hAnsi="宋体" w:eastAsia="宋体"/>
                <w:sz w:val="24"/>
              </w:rPr>
              <w:t>高压螺旋管（软管）</w:t>
            </w:r>
          </w:p>
        </w:tc>
        <w:tc>
          <w:tcPr>
            <w:tcW w:w="1915" w:type="dxa"/>
            <w:shd w:val="clear" w:color="auto" w:fill="auto"/>
            <w:vAlign w:val="center"/>
          </w:tcPr>
          <w:p w14:paraId="78AC1F6F">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3E44C1D1">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2FF6A49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158A709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20</w:t>
            </w:r>
          </w:p>
        </w:tc>
        <w:tc>
          <w:tcPr>
            <w:tcW w:w="1683" w:type="dxa"/>
            <w:vAlign w:val="center"/>
          </w:tcPr>
          <w:p w14:paraId="18768F3B">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40320199">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43830D40">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0FA16FC5">
            <w:pPr>
              <w:jc w:val="both"/>
              <w:rPr>
                <w:rFonts w:hint="default" w:ascii="Times New Roman" w:hAnsi="Times New Roman" w:eastAsia="宋体" w:cs="Times New Roman"/>
              </w:rPr>
            </w:pPr>
          </w:p>
        </w:tc>
      </w:tr>
      <w:tr w14:paraId="0478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56A91661">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10</w:t>
            </w:r>
          </w:p>
        </w:tc>
        <w:tc>
          <w:tcPr>
            <w:tcW w:w="1292" w:type="dxa"/>
            <w:shd w:val="clear" w:color="auto" w:fill="auto"/>
            <w:vAlign w:val="center"/>
          </w:tcPr>
          <w:p w14:paraId="319382DB">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长途运输</w:t>
            </w:r>
          </w:p>
        </w:tc>
        <w:tc>
          <w:tcPr>
            <w:tcW w:w="1915" w:type="dxa"/>
            <w:shd w:val="clear" w:color="auto" w:fill="auto"/>
            <w:vAlign w:val="center"/>
          </w:tcPr>
          <w:p w14:paraId="31D67A12">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p>
        </w:tc>
        <w:tc>
          <w:tcPr>
            <w:tcW w:w="2571" w:type="dxa"/>
            <w:shd w:val="clear" w:color="auto" w:fill="auto"/>
            <w:vAlign w:val="center"/>
          </w:tcPr>
          <w:p w14:paraId="75D75AF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02B61B87">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5B433757">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1</w:t>
            </w:r>
          </w:p>
        </w:tc>
        <w:tc>
          <w:tcPr>
            <w:tcW w:w="1683" w:type="dxa"/>
            <w:vAlign w:val="center"/>
          </w:tcPr>
          <w:p w14:paraId="7433FA69">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74747836">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45F51F2B">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692936C5">
            <w:pPr>
              <w:jc w:val="both"/>
              <w:rPr>
                <w:rFonts w:hint="default" w:ascii="Times New Roman" w:hAnsi="Times New Roman" w:eastAsia="宋体" w:cs="Times New Roman"/>
              </w:rPr>
            </w:pPr>
          </w:p>
        </w:tc>
      </w:tr>
      <w:tr w14:paraId="5B4A6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05069883">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11</w:t>
            </w:r>
          </w:p>
        </w:tc>
        <w:tc>
          <w:tcPr>
            <w:tcW w:w="1292" w:type="dxa"/>
            <w:shd w:val="clear" w:color="auto" w:fill="auto"/>
            <w:vAlign w:val="center"/>
          </w:tcPr>
          <w:p w14:paraId="061AE083">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吊装落位</w:t>
            </w:r>
          </w:p>
        </w:tc>
        <w:tc>
          <w:tcPr>
            <w:tcW w:w="1915" w:type="dxa"/>
            <w:shd w:val="clear" w:color="auto" w:fill="auto"/>
            <w:vAlign w:val="center"/>
          </w:tcPr>
          <w:p w14:paraId="3198552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kern w:val="2"/>
                <w:sz w:val="24"/>
                <w:szCs w:val="24"/>
                <w:highlight w:val="none"/>
                <w:lang w:val="en-US" w:eastAsia="zh-CN" w:bidi="ar-SA"/>
              </w:rPr>
              <w:t>/</w:t>
            </w:r>
          </w:p>
        </w:tc>
        <w:tc>
          <w:tcPr>
            <w:tcW w:w="2571" w:type="dxa"/>
            <w:shd w:val="clear" w:color="auto" w:fill="auto"/>
            <w:vAlign w:val="center"/>
          </w:tcPr>
          <w:p w14:paraId="391709E5">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5C54ACAA">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08391981">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highlight w:val="none"/>
                <w:lang w:val="en-US" w:eastAsia="zh-CN" w:bidi="ar-SA"/>
              </w:rPr>
              <w:t>1</w:t>
            </w:r>
          </w:p>
        </w:tc>
        <w:tc>
          <w:tcPr>
            <w:tcW w:w="1683" w:type="dxa"/>
            <w:vAlign w:val="center"/>
          </w:tcPr>
          <w:p w14:paraId="6BBEDF1F">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7CE91727">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4EABFF90">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7632BB8E">
            <w:pPr>
              <w:jc w:val="both"/>
              <w:rPr>
                <w:rFonts w:hint="default" w:ascii="Times New Roman" w:hAnsi="Times New Roman" w:eastAsia="宋体" w:cs="Times New Roman"/>
              </w:rPr>
            </w:pPr>
          </w:p>
        </w:tc>
      </w:tr>
      <w:tr w14:paraId="1BF3D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3AEE1B32">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12</w:t>
            </w:r>
          </w:p>
        </w:tc>
        <w:tc>
          <w:tcPr>
            <w:tcW w:w="1292" w:type="dxa"/>
            <w:shd w:val="clear" w:color="auto" w:fill="auto"/>
            <w:vAlign w:val="center"/>
          </w:tcPr>
          <w:p w14:paraId="7D20BEA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第三方安全评估</w:t>
            </w:r>
          </w:p>
        </w:tc>
        <w:tc>
          <w:tcPr>
            <w:tcW w:w="1915" w:type="dxa"/>
            <w:shd w:val="clear" w:color="auto" w:fill="auto"/>
            <w:vAlign w:val="center"/>
          </w:tcPr>
          <w:p w14:paraId="1F974A4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kern w:val="2"/>
                <w:sz w:val="24"/>
                <w:szCs w:val="24"/>
                <w:highlight w:val="none"/>
                <w:lang w:val="en-US" w:eastAsia="zh-CN" w:bidi="ar-SA"/>
              </w:rPr>
              <w:t>/</w:t>
            </w:r>
          </w:p>
        </w:tc>
        <w:tc>
          <w:tcPr>
            <w:tcW w:w="2571" w:type="dxa"/>
            <w:shd w:val="clear" w:color="auto" w:fill="auto"/>
            <w:vAlign w:val="center"/>
          </w:tcPr>
          <w:p w14:paraId="4FCF60D2">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4E964DC0">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6B0F2D3E">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1</w:t>
            </w:r>
          </w:p>
        </w:tc>
        <w:tc>
          <w:tcPr>
            <w:tcW w:w="1683" w:type="dxa"/>
            <w:vAlign w:val="center"/>
          </w:tcPr>
          <w:p w14:paraId="20442837">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51123765">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7DABF8B8">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0A0F20F6">
            <w:pPr>
              <w:jc w:val="both"/>
              <w:rPr>
                <w:rFonts w:hint="default" w:ascii="Times New Roman" w:hAnsi="Times New Roman" w:eastAsia="宋体" w:cs="Times New Roman"/>
              </w:rPr>
            </w:pPr>
          </w:p>
        </w:tc>
      </w:tr>
      <w:tr w14:paraId="4F019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jc w:val="center"/>
        </w:trPr>
        <w:tc>
          <w:tcPr>
            <w:tcW w:w="672" w:type="dxa"/>
            <w:vAlign w:val="center"/>
          </w:tcPr>
          <w:p w14:paraId="01A124AB">
            <w:pPr>
              <w:pageBreakBefore w:val="0"/>
              <w:kinsoku/>
              <w:wordWrap/>
              <w:overflowPunct/>
              <w:topLinePunct w:val="0"/>
              <w:bidi w:val="0"/>
              <w:spacing w:line="360" w:lineRule="auto"/>
              <w:ind w:right="0" w:rightChars="0"/>
              <w:jc w:val="center"/>
              <w:rPr>
                <w:rFonts w:hint="eastAsia" w:ascii="Times New Roman" w:hAnsi="Times New Roman" w:eastAsia="宋体" w:cs="Times New Roman"/>
                <w:position w:val="1"/>
                <w:szCs w:val="21"/>
                <w:lang w:val="en-US" w:eastAsia="zh-CN"/>
              </w:rPr>
            </w:pPr>
            <w:r>
              <w:rPr>
                <w:rFonts w:hint="eastAsia" w:ascii="Times New Roman" w:hAnsi="Times New Roman" w:eastAsia="宋体" w:cs="Times New Roman"/>
                <w:kern w:val="2"/>
                <w:sz w:val="24"/>
                <w:szCs w:val="24"/>
                <w:highlight w:val="none"/>
                <w:lang w:val="en-US" w:eastAsia="zh-CN" w:bidi="ar-SA"/>
              </w:rPr>
              <w:t>13</w:t>
            </w:r>
          </w:p>
        </w:tc>
        <w:tc>
          <w:tcPr>
            <w:tcW w:w="1292" w:type="dxa"/>
            <w:shd w:val="clear" w:color="auto" w:fill="auto"/>
            <w:vAlign w:val="center"/>
          </w:tcPr>
          <w:p w14:paraId="52FC9EFD">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技术资料</w:t>
            </w:r>
          </w:p>
        </w:tc>
        <w:tc>
          <w:tcPr>
            <w:tcW w:w="1915" w:type="dxa"/>
            <w:shd w:val="clear" w:color="auto" w:fill="auto"/>
            <w:vAlign w:val="center"/>
          </w:tcPr>
          <w:p w14:paraId="67B41424">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2571" w:type="dxa"/>
            <w:shd w:val="clear" w:color="auto" w:fill="auto"/>
            <w:vAlign w:val="center"/>
          </w:tcPr>
          <w:p w14:paraId="47F6C89E">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114" w:type="dxa"/>
            <w:shd w:val="clear" w:color="auto" w:fill="auto"/>
            <w:vAlign w:val="center"/>
          </w:tcPr>
          <w:p w14:paraId="5951481F">
            <w:pPr>
              <w:pageBreakBefore w:val="0"/>
              <w:kinsoku/>
              <w:wordWrap/>
              <w:overflowPunct/>
              <w:topLinePunct w:val="0"/>
              <w:autoSpaceDE w:val="0"/>
              <w:autoSpaceDN w:val="0"/>
              <w:bidi w:val="0"/>
              <w:adjustRightInd w:val="0"/>
              <w:spacing w:line="360" w:lineRule="auto"/>
              <w:ind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p>
        </w:tc>
        <w:tc>
          <w:tcPr>
            <w:tcW w:w="1483" w:type="dxa"/>
            <w:shd w:val="clear" w:color="auto" w:fill="auto"/>
            <w:vAlign w:val="center"/>
          </w:tcPr>
          <w:p w14:paraId="7C07FFA9">
            <w:pPr>
              <w:pageBreakBefore w:val="0"/>
              <w:kinsoku/>
              <w:wordWrap/>
              <w:overflowPunct/>
              <w:topLinePunct w:val="0"/>
              <w:autoSpaceDE w:val="0"/>
              <w:autoSpaceDN w:val="0"/>
              <w:bidi w:val="0"/>
              <w:adjustRightInd w:val="0"/>
              <w:spacing w:line="360" w:lineRule="auto"/>
              <w:ind w:right="0" w:rightChars="0"/>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c>
          <w:tcPr>
            <w:tcW w:w="1683" w:type="dxa"/>
            <w:vAlign w:val="center"/>
          </w:tcPr>
          <w:p w14:paraId="1E0F79BD">
            <w:pPr>
              <w:jc w:val="center"/>
              <w:rPr>
                <w:rFonts w:hint="eastAsia" w:ascii="Times New Roman" w:hAnsi="Times New Roman" w:eastAsia="宋体" w:cs="Times New Roman"/>
                <w:lang w:val="en-US" w:eastAsia="zh-CN"/>
              </w:rPr>
            </w:pPr>
          </w:p>
        </w:tc>
        <w:tc>
          <w:tcPr>
            <w:tcW w:w="1254" w:type="dxa"/>
            <w:tcBorders>
              <w:right w:val="single" w:color="000000" w:sz="4" w:space="0"/>
            </w:tcBorders>
            <w:vAlign w:val="center"/>
          </w:tcPr>
          <w:p w14:paraId="0F809DB7">
            <w:pPr>
              <w:jc w:val="center"/>
              <w:rPr>
                <w:rFonts w:hint="eastAsia" w:ascii="Times New Roman" w:hAnsi="Times New Roman" w:eastAsia="宋体" w:cs="Times New Roman"/>
                <w:lang w:val="en-US" w:eastAsia="zh-CN"/>
              </w:rPr>
            </w:pPr>
          </w:p>
        </w:tc>
        <w:tc>
          <w:tcPr>
            <w:tcW w:w="860" w:type="dxa"/>
            <w:tcBorders>
              <w:left w:val="single" w:color="000000" w:sz="4" w:space="0"/>
            </w:tcBorders>
            <w:vAlign w:val="center"/>
          </w:tcPr>
          <w:p w14:paraId="428A9AB0">
            <w:pPr>
              <w:jc w:val="center"/>
              <w:rPr>
                <w:rFonts w:hint="eastAsia" w:ascii="Times New Roman" w:hAnsi="Times New Roman" w:eastAsia="宋体" w:cs="Times New Roman"/>
                <w:lang w:val="en-US" w:eastAsia="zh-CN"/>
              </w:rPr>
            </w:pPr>
          </w:p>
        </w:tc>
        <w:tc>
          <w:tcPr>
            <w:tcW w:w="860" w:type="dxa"/>
            <w:tcBorders>
              <w:left w:val="single" w:color="000000" w:sz="4" w:space="0"/>
            </w:tcBorders>
          </w:tcPr>
          <w:p w14:paraId="26957EA5">
            <w:pPr>
              <w:jc w:val="both"/>
              <w:rPr>
                <w:rFonts w:hint="default" w:ascii="Times New Roman" w:hAnsi="Times New Roman" w:eastAsia="宋体" w:cs="Times New Roman"/>
              </w:rPr>
            </w:pPr>
          </w:p>
        </w:tc>
      </w:tr>
      <w:tr w14:paraId="47AB3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672" w:type="dxa"/>
            <w:tcBorders>
              <w:right w:val="single" w:color="000000" w:sz="4" w:space="0"/>
            </w:tcBorders>
          </w:tcPr>
          <w:p w14:paraId="48EC561D">
            <w:pPr>
              <w:jc w:val="both"/>
              <w:rPr>
                <w:rFonts w:hint="default" w:ascii="Times New Roman" w:hAnsi="Times New Roman" w:eastAsia="宋体" w:cs="Times New Roman"/>
                <w:spacing w:val="-6"/>
                <w:szCs w:val="21"/>
              </w:rPr>
            </w:pPr>
          </w:p>
        </w:tc>
        <w:tc>
          <w:tcPr>
            <w:tcW w:w="1292" w:type="dxa"/>
            <w:tcBorders>
              <w:right w:val="single" w:color="000000" w:sz="4" w:space="0"/>
            </w:tcBorders>
          </w:tcPr>
          <w:p w14:paraId="2D469AB7">
            <w:pPr>
              <w:jc w:val="both"/>
              <w:rPr>
                <w:rFonts w:hint="default" w:ascii="Times New Roman" w:hAnsi="Times New Roman" w:eastAsia="宋体" w:cs="Times New Roman"/>
                <w:spacing w:val="-6"/>
                <w:szCs w:val="21"/>
              </w:rPr>
            </w:pPr>
          </w:p>
        </w:tc>
        <w:tc>
          <w:tcPr>
            <w:tcW w:w="10020" w:type="dxa"/>
            <w:gridSpan w:val="6"/>
            <w:tcBorders>
              <w:right w:val="single" w:color="000000" w:sz="4" w:space="0"/>
            </w:tcBorders>
          </w:tcPr>
          <w:p w14:paraId="36505A64">
            <w:pPr>
              <w:spacing w:after="0" w:afterLines="50" w:afterAutospacing="0"/>
              <w:jc w:val="both"/>
              <w:rPr>
                <w:rFonts w:hint="default" w:ascii="Times New Roman" w:hAnsi="Times New Roman" w:eastAsia="宋体" w:cs="Times New Roman"/>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 xml:space="preserve">价合计列入价格汇总表 </w:t>
            </w:r>
            <w:r>
              <w:rPr>
                <w:rFonts w:hint="default" w:ascii="Times New Roman" w:hAnsi="Times New Roman" w:eastAsia="宋体" w:cs="Times New Roman"/>
                <w:spacing w:val="-4"/>
                <w:szCs w:val="21"/>
                <w:lang w:val="en-US" w:eastAsia="zh-CN"/>
              </w:rPr>
              <w:t>9</w:t>
            </w:r>
            <w:r>
              <w:rPr>
                <w:rFonts w:hint="default" w:ascii="Times New Roman" w:hAnsi="Times New Roman" w:eastAsia="宋体" w:cs="Times New Roman"/>
                <w:spacing w:val="-4"/>
                <w:szCs w:val="21"/>
              </w:rPr>
              <w:t>-5</w:t>
            </w:r>
          </w:p>
        </w:tc>
        <w:tc>
          <w:tcPr>
            <w:tcW w:w="860" w:type="dxa"/>
            <w:tcBorders>
              <w:left w:val="single" w:color="000000" w:sz="4" w:space="0"/>
            </w:tcBorders>
          </w:tcPr>
          <w:p w14:paraId="44A2BC82">
            <w:pPr>
              <w:jc w:val="both"/>
              <w:rPr>
                <w:rFonts w:hint="default" w:ascii="Times New Roman" w:hAnsi="Times New Roman" w:eastAsia="宋体" w:cs="Times New Roman"/>
              </w:rPr>
            </w:pPr>
          </w:p>
        </w:tc>
        <w:tc>
          <w:tcPr>
            <w:tcW w:w="860" w:type="dxa"/>
            <w:tcBorders>
              <w:left w:val="single" w:color="000000" w:sz="4" w:space="0"/>
            </w:tcBorders>
          </w:tcPr>
          <w:p w14:paraId="797D4900">
            <w:pPr>
              <w:jc w:val="both"/>
              <w:rPr>
                <w:rFonts w:hint="default" w:ascii="Times New Roman" w:hAnsi="Times New Roman" w:eastAsia="宋体" w:cs="Times New Roman"/>
              </w:rPr>
            </w:pPr>
          </w:p>
        </w:tc>
      </w:tr>
    </w:tbl>
    <w:p w14:paraId="466CFE19">
      <w:pPr>
        <w:spacing w:before="52" w:line="221" w:lineRule="auto"/>
        <w:ind w:left="9"/>
        <w:jc w:val="both"/>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pPr>
    </w:p>
    <w:p w14:paraId="2713A077">
      <w:pPr>
        <w:spacing w:before="58" w:line="219" w:lineRule="auto"/>
        <w:ind w:left="8"/>
        <w:jc w:val="both"/>
        <w:rPr>
          <w:rFonts w:hint="default" w:ascii="Times New Roman" w:hAnsi="Times New Roman" w:eastAsia="宋体" w:cs="Times New Roman"/>
          <w:szCs w:val="21"/>
        </w:rPr>
      </w:pPr>
      <w:r>
        <w:rPr>
          <w:rFonts w:hint="default" w:ascii="Times New Roman" w:hAnsi="Times New Roman" w:eastAsia="宋体" w:cs="Times New Roman"/>
          <w:spacing w:val="-8"/>
          <w:szCs w:val="21"/>
        </w:rPr>
        <w:t>注： 1.以上</w:t>
      </w:r>
      <w:r>
        <w:rPr>
          <w:rFonts w:hint="default" w:ascii="Times New Roman" w:hAnsi="Times New Roman" w:eastAsia="宋体" w:cs="Times New Roman"/>
          <w:spacing w:val="-5"/>
          <w:szCs w:val="21"/>
        </w:rPr>
        <w:t>是</w:t>
      </w:r>
      <w:r>
        <w:rPr>
          <w:rFonts w:hint="default" w:ascii="Times New Roman" w:hAnsi="Times New Roman" w:eastAsia="宋体" w:cs="Times New Roman"/>
          <w:spacing w:val="-4"/>
          <w:szCs w:val="21"/>
        </w:rPr>
        <w:t>各单体设备分项报价应包括的内容， 但不限于此，表中“总价合计”构成主机价格的一部分。</w:t>
      </w:r>
    </w:p>
    <w:p w14:paraId="57B1DBE6">
      <w:pPr>
        <w:spacing w:before="78" w:line="219" w:lineRule="auto"/>
        <w:ind w:left="431"/>
        <w:jc w:val="both"/>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计算的结果与总价不一致，以单价为准修正总价。</w:t>
      </w:r>
    </w:p>
    <w:p w14:paraId="63CD01C5">
      <w:pPr>
        <w:spacing w:before="85" w:line="198" w:lineRule="auto"/>
        <w:ind w:left="432"/>
        <w:jc w:val="both"/>
        <w:rPr>
          <w:rFonts w:hint="default" w:ascii="Times New Roman" w:hAnsi="Times New Roman" w:eastAsia="宋体" w:cs="Times New Roman"/>
        </w:rPr>
      </w:pPr>
      <w:r>
        <w:rPr>
          <w:rFonts w:hint="default" w:ascii="Times New Roman" w:hAnsi="Times New Roman" w:eastAsia="宋体" w:cs="Times New Roman"/>
          <w:spacing w:val="-4"/>
          <w:szCs w:val="21"/>
        </w:rPr>
        <w:t>3.此分项报价，仅是为</w:t>
      </w:r>
      <w:r>
        <w:rPr>
          <w:rFonts w:hint="default" w:ascii="Times New Roman" w:hAnsi="Times New Roman" w:eastAsia="宋体" w:cs="Times New Roman"/>
          <w:spacing w:val="-2"/>
          <w:szCs w:val="21"/>
        </w:rPr>
        <w:t>了方便招标人对投标文件进行分析比较，不作为限制订立合同的条件</w:t>
      </w:r>
      <w:r>
        <w:rPr>
          <w:rFonts w:hint="default" w:ascii="Times New Roman" w:hAnsi="Times New Roman" w:eastAsia="宋体" w:cs="Times New Roman"/>
          <w:spacing w:val="-2"/>
          <w:sz w:val="24"/>
          <w:szCs w:val="24"/>
        </w:rPr>
        <w:t>。</w:t>
      </w:r>
    </w:p>
    <w:p w14:paraId="62EA6A7C">
      <w:pPr>
        <w:spacing w:before="78" w:line="219" w:lineRule="auto"/>
        <w:ind w:left="431"/>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14:paraId="745C4540">
      <w:pPr>
        <w:spacing w:before="78" w:line="219" w:lineRule="auto"/>
        <w:ind w:left="431"/>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14:paraId="278624D6">
      <w:pPr>
        <w:spacing w:before="78" w:line="219" w:lineRule="auto"/>
        <w:ind w:left="431"/>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14:paraId="4E2BBD2F">
      <w:pPr>
        <w:spacing w:line="105" w:lineRule="exact"/>
        <w:jc w:val="both"/>
        <w:rPr>
          <w:rFonts w:hint="default" w:ascii="Times New Roman" w:hAnsi="Times New Roman" w:eastAsia="宋体" w:cs="Times New Roman"/>
        </w:rPr>
      </w:pPr>
    </w:p>
    <w:p w14:paraId="1B701DD6">
      <w:pPr>
        <w:jc w:val="both"/>
        <w:rPr>
          <w:rFonts w:hint="default" w:ascii="Times New Roman" w:hAnsi="Times New Roman" w:eastAsia="宋体" w:cs="Times New Roman"/>
        </w:rPr>
        <w:sectPr>
          <w:footerReference r:id="rId30" w:type="default"/>
          <w:pgSz w:w="16841" w:h="11907" w:orient="landscape"/>
          <w:pgMar w:top="400" w:right="1387" w:bottom="1168" w:left="1473" w:header="0" w:footer="990" w:gutter="0"/>
          <w:cols w:equalWidth="0" w:num="1">
            <w:col w:w="13980"/>
          </w:cols>
        </w:sectPr>
      </w:pPr>
    </w:p>
    <w:p w14:paraId="49176752">
      <w:pPr>
        <w:spacing w:before="85" w:line="198" w:lineRule="auto"/>
        <w:ind w:left="432"/>
        <w:jc w:val="both"/>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投标人(章)：</w:t>
      </w:r>
    </w:p>
    <w:p w14:paraId="691BD36F">
      <w:pPr>
        <w:spacing w:line="14" w:lineRule="auto"/>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column"/>
      </w:r>
    </w:p>
    <w:p w14:paraId="2FC860A2">
      <w:pPr>
        <w:spacing w:before="40" w:line="186" w:lineRule="auto"/>
        <w:jc w:val="both"/>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授权代表(签字)：</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14:paraId="3E8E7F7B">
      <w:pPr>
        <w:jc w:val="both"/>
        <w:rPr>
          <w:rFonts w:hint="default" w:ascii="Times New Roman" w:hAnsi="Times New Roman" w:eastAsia="宋体" w:cs="Times New Roman"/>
          <w:sz w:val="24"/>
          <w:szCs w:val="24"/>
        </w:rPr>
        <w:sectPr>
          <w:type w:val="continuous"/>
          <w:pgSz w:w="16841" w:h="11907"/>
          <w:pgMar w:top="400" w:right="1387" w:bottom="1168" w:left="1473" w:header="0" w:footer="990" w:gutter="0"/>
          <w:cols w:equalWidth="0" w:num="2">
            <w:col w:w="4757" w:space="100"/>
            <w:col w:w="9124"/>
          </w:cols>
        </w:sectPr>
      </w:pPr>
    </w:p>
    <w:p w14:paraId="5FC799E2">
      <w:pPr>
        <w:pStyle w:val="5"/>
        <w:jc w:val="both"/>
        <w:rPr>
          <w:rFonts w:hint="default" w:ascii="Times New Roman" w:hAnsi="Times New Roman" w:eastAsia="宋体" w:cs="Times New Roman"/>
          <w:spacing w:val="-10"/>
          <w:sz w:val="24"/>
          <w:szCs w:val="24"/>
          <w:lang w:eastAsia="zh-CN"/>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 xml:space="preserve">表 </w:t>
      </w:r>
      <w:r>
        <w:rPr>
          <w:rFonts w:hint="default" w:ascii="Times New Roman" w:hAnsi="Times New Roman" w:eastAsia="宋体" w:cs="Times New Roman"/>
          <w:spacing w:val="-10"/>
          <w:sz w:val="24"/>
          <w:szCs w:val="24"/>
          <w:lang w:val="en-US" w:eastAsia="zh-CN"/>
          <w14:textOutline w14:w="3835" w14:cap="flat" w14:cmpd="sng" w14:algn="ctr">
            <w14:solidFill>
              <w14:srgbClr w14:val="000000"/>
            </w14:solidFill>
            <w14:prstDash w14:val="solid"/>
            <w14:miter w14:val="0"/>
          </w14:textOutline>
        </w:rPr>
        <w:t>9</w:t>
      </w: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0"/>
          <w:sz w:val="24"/>
          <w:szCs w:val="24"/>
          <w:lang w:val="en-US" w:eastAsia="zh-CN"/>
          <w14:textOutline w14:w="3835" w14:cap="flat" w14:cmpd="sng" w14:algn="ctr">
            <w14:solidFill>
              <w14:srgbClr w14:val="000000"/>
            </w14:solidFill>
            <w14:prstDash w14:val="solid"/>
            <w14:miter w14:val="0"/>
          </w14:textOutline>
        </w:rPr>
        <w:t>2</w:t>
      </w:r>
    </w:p>
    <w:p w14:paraId="1EBAE849">
      <w:pPr>
        <w:spacing w:before="186" w:line="224" w:lineRule="auto"/>
        <w:ind w:left="5342"/>
        <w:jc w:val="both"/>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14:textOutline w14:w="5791" w14:cap="flat" w14:cmpd="sng" w14:algn="ctr">
            <w14:solidFill>
              <w14:srgbClr w14:val="000000"/>
            </w14:solidFill>
            <w14:prstDash w14:val="solid"/>
            <w14:miter w14:val="0"/>
          </w14:textOutline>
        </w:rPr>
        <w:t>运</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输及服务分项报价表</w:t>
      </w:r>
    </w:p>
    <w:p w14:paraId="39A47101">
      <w:pPr>
        <w:spacing w:before="132" w:line="221" w:lineRule="auto"/>
        <w:ind w:left="310"/>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14:paraId="2D0036E3">
      <w:pPr>
        <w:spacing w:line="172" w:lineRule="exact"/>
        <w:jc w:val="both"/>
        <w:rPr>
          <w:rFonts w:hint="default" w:ascii="Times New Roman" w:hAnsi="Times New Roman" w:eastAsia="宋体" w:cs="Times New Roman"/>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A8F2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06BA4DD">
            <w:pPr>
              <w:spacing w:line="296" w:lineRule="auto"/>
              <w:jc w:val="both"/>
              <w:rPr>
                <w:rFonts w:hint="default" w:ascii="Times New Roman" w:hAnsi="Times New Roman" w:eastAsia="宋体" w:cs="Times New Roman"/>
              </w:rPr>
            </w:pPr>
          </w:p>
          <w:p w14:paraId="67112B0C">
            <w:pPr>
              <w:spacing w:before="68" w:line="222" w:lineRule="auto"/>
              <w:ind w:left="194"/>
              <w:jc w:val="both"/>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F743A09">
            <w:pPr>
              <w:spacing w:line="295" w:lineRule="auto"/>
              <w:jc w:val="both"/>
              <w:rPr>
                <w:rFonts w:hint="default" w:ascii="Times New Roman" w:hAnsi="Times New Roman" w:eastAsia="宋体" w:cs="Times New Roman"/>
              </w:rPr>
            </w:pPr>
          </w:p>
          <w:p w14:paraId="2CAD82DC">
            <w:pPr>
              <w:spacing w:before="68" w:line="221" w:lineRule="auto"/>
              <w:ind w:left="1476"/>
              <w:jc w:val="both"/>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2159" w:type="dxa"/>
          </w:tcPr>
          <w:p w14:paraId="7AF307D5">
            <w:pPr>
              <w:spacing w:before="130" w:line="221" w:lineRule="auto"/>
              <w:ind w:left="766"/>
              <w:jc w:val="both"/>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  量</w:t>
            </w:r>
          </w:p>
        </w:tc>
        <w:tc>
          <w:tcPr>
            <w:tcW w:w="2186" w:type="dxa"/>
          </w:tcPr>
          <w:p w14:paraId="7ED585A5">
            <w:pPr>
              <w:spacing w:before="131" w:line="219"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单价(元)（</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不</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含税）</w:t>
            </w:r>
          </w:p>
        </w:tc>
        <w:tc>
          <w:tcPr>
            <w:tcW w:w="2596" w:type="dxa"/>
          </w:tcPr>
          <w:p w14:paraId="7A9E678C">
            <w:pPr>
              <w:spacing w:before="131" w:line="219"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总价(元)（</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不</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含税）</w:t>
            </w:r>
          </w:p>
        </w:tc>
        <w:tc>
          <w:tcPr>
            <w:tcW w:w="2164" w:type="dxa"/>
          </w:tcPr>
          <w:p w14:paraId="6F8EC94B">
            <w:pPr>
              <w:spacing w:before="130" w:line="222" w:lineRule="auto"/>
              <w:ind w:left="770"/>
              <w:jc w:val="both"/>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  注</w:t>
            </w:r>
          </w:p>
        </w:tc>
      </w:tr>
      <w:tr w14:paraId="491E6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571FA16">
            <w:pPr>
              <w:jc w:val="both"/>
              <w:rPr>
                <w:rFonts w:hint="default" w:ascii="Times New Roman" w:hAnsi="Times New Roman" w:eastAsia="宋体" w:cs="Times New Roman"/>
              </w:rPr>
            </w:pPr>
          </w:p>
        </w:tc>
        <w:tc>
          <w:tcPr>
            <w:tcW w:w="3530" w:type="dxa"/>
            <w:vMerge w:val="continue"/>
            <w:tcBorders>
              <w:top w:val="nil"/>
            </w:tcBorders>
          </w:tcPr>
          <w:p w14:paraId="59423356">
            <w:pPr>
              <w:jc w:val="both"/>
              <w:rPr>
                <w:rFonts w:hint="default" w:ascii="Times New Roman" w:hAnsi="Times New Roman" w:eastAsia="宋体" w:cs="Times New Roman"/>
              </w:rPr>
            </w:pPr>
          </w:p>
        </w:tc>
        <w:tc>
          <w:tcPr>
            <w:tcW w:w="2159" w:type="dxa"/>
          </w:tcPr>
          <w:p w14:paraId="6E656D37">
            <w:pPr>
              <w:spacing w:before="160" w:line="186" w:lineRule="auto"/>
              <w:ind w:left="1044"/>
              <w:jc w:val="both"/>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186" w:type="dxa"/>
          </w:tcPr>
          <w:p w14:paraId="3B64EB6B">
            <w:pPr>
              <w:spacing w:before="161" w:line="185" w:lineRule="auto"/>
              <w:ind w:left="1047"/>
              <w:jc w:val="both"/>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96" w:type="dxa"/>
          </w:tcPr>
          <w:p w14:paraId="7537C215">
            <w:pPr>
              <w:spacing w:before="126" w:line="223" w:lineRule="auto"/>
              <w:ind w:left="835"/>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3 (1</w:t>
            </w:r>
            <w:r>
              <w:rPr>
                <w:rFonts w:hint="default" w:ascii="Times New Roman" w:hAnsi="Times New Roman" w:eastAsia="宋体" w:cs="Times New Roman"/>
                <w:spacing w:val="-1"/>
                <w:szCs w:val="21"/>
              </w:rPr>
              <w:t>×2)</w:t>
            </w:r>
          </w:p>
        </w:tc>
        <w:tc>
          <w:tcPr>
            <w:tcW w:w="2164" w:type="dxa"/>
          </w:tcPr>
          <w:p w14:paraId="25DCA77E">
            <w:pPr>
              <w:spacing w:before="161" w:line="185" w:lineRule="auto"/>
              <w:ind w:left="1031"/>
              <w:jc w:val="both"/>
              <w:rPr>
                <w:rFonts w:hint="default" w:ascii="Times New Roman" w:hAnsi="Times New Roman" w:eastAsia="宋体" w:cs="Times New Roman"/>
                <w:szCs w:val="21"/>
              </w:rPr>
            </w:pPr>
            <w:r>
              <w:rPr>
                <w:rFonts w:hint="default" w:ascii="Times New Roman" w:hAnsi="Times New Roman" w:eastAsia="宋体" w:cs="Times New Roman"/>
                <w:szCs w:val="21"/>
              </w:rPr>
              <w:t>4</w:t>
            </w:r>
          </w:p>
        </w:tc>
      </w:tr>
      <w:tr w14:paraId="39797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0DF1E68">
            <w:pPr>
              <w:spacing w:before="244" w:line="185" w:lineRule="auto"/>
              <w:ind w:left="353"/>
              <w:jc w:val="both"/>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1</w:t>
            </w:r>
          </w:p>
        </w:tc>
        <w:tc>
          <w:tcPr>
            <w:tcW w:w="3530" w:type="dxa"/>
          </w:tcPr>
          <w:p w14:paraId="7678DB23">
            <w:pPr>
              <w:spacing w:before="209" w:line="221" w:lineRule="auto"/>
              <w:ind w:left="1450"/>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包</w:t>
            </w:r>
            <w:r>
              <w:rPr>
                <w:rFonts w:hint="default" w:ascii="Times New Roman" w:hAnsi="Times New Roman" w:eastAsia="宋体" w:cs="Times New Roman"/>
                <w:spacing w:val="-1"/>
                <w:szCs w:val="21"/>
              </w:rPr>
              <w:t>装费</w:t>
            </w:r>
          </w:p>
        </w:tc>
        <w:tc>
          <w:tcPr>
            <w:tcW w:w="2159" w:type="dxa"/>
          </w:tcPr>
          <w:p w14:paraId="414A7728">
            <w:pPr>
              <w:jc w:val="both"/>
              <w:rPr>
                <w:rFonts w:hint="default" w:ascii="Times New Roman" w:hAnsi="Times New Roman" w:eastAsia="宋体" w:cs="Times New Roman"/>
              </w:rPr>
            </w:pPr>
          </w:p>
        </w:tc>
        <w:tc>
          <w:tcPr>
            <w:tcW w:w="2186" w:type="dxa"/>
          </w:tcPr>
          <w:p w14:paraId="0CD283BB">
            <w:pPr>
              <w:jc w:val="both"/>
              <w:rPr>
                <w:rFonts w:hint="default" w:ascii="Times New Roman" w:hAnsi="Times New Roman" w:eastAsia="宋体" w:cs="Times New Roman"/>
              </w:rPr>
            </w:pPr>
          </w:p>
        </w:tc>
        <w:tc>
          <w:tcPr>
            <w:tcW w:w="2596" w:type="dxa"/>
          </w:tcPr>
          <w:p w14:paraId="4963A663">
            <w:pPr>
              <w:jc w:val="both"/>
              <w:rPr>
                <w:rFonts w:hint="default" w:ascii="Times New Roman" w:hAnsi="Times New Roman" w:eastAsia="宋体" w:cs="Times New Roman"/>
              </w:rPr>
            </w:pPr>
          </w:p>
        </w:tc>
        <w:tc>
          <w:tcPr>
            <w:tcW w:w="2164" w:type="dxa"/>
          </w:tcPr>
          <w:p w14:paraId="49849D6A">
            <w:pPr>
              <w:jc w:val="both"/>
              <w:rPr>
                <w:rFonts w:hint="default" w:ascii="Times New Roman" w:hAnsi="Times New Roman" w:eastAsia="宋体" w:cs="Times New Roman"/>
              </w:rPr>
            </w:pPr>
          </w:p>
        </w:tc>
      </w:tr>
      <w:tr w14:paraId="69FCC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C575F84">
            <w:pPr>
              <w:spacing w:before="245" w:line="183" w:lineRule="auto"/>
              <w:ind w:left="355"/>
              <w:jc w:val="both"/>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2</w:t>
            </w:r>
          </w:p>
        </w:tc>
        <w:tc>
          <w:tcPr>
            <w:tcW w:w="3530" w:type="dxa"/>
          </w:tcPr>
          <w:p w14:paraId="6BCEED5E">
            <w:pPr>
              <w:spacing w:before="209" w:line="221" w:lineRule="auto"/>
              <w:ind w:left="1450"/>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运</w:t>
            </w:r>
            <w:r>
              <w:rPr>
                <w:rFonts w:hint="default" w:ascii="Times New Roman" w:hAnsi="Times New Roman" w:eastAsia="宋体" w:cs="Times New Roman"/>
                <w:spacing w:val="-1"/>
                <w:szCs w:val="21"/>
              </w:rPr>
              <w:t>输费</w:t>
            </w:r>
          </w:p>
        </w:tc>
        <w:tc>
          <w:tcPr>
            <w:tcW w:w="2159" w:type="dxa"/>
          </w:tcPr>
          <w:p w14:paraId="216AD156">
            <w:pPr>
              <w:jc w:val="both"/>
              <w:rPr>
                <w:rFonts w:hint="default" w:ascii="Times New Roman" w:hAnsi="Times New Roman" w:eastAsia="宋体" w:cs="Times New Roman"/>
              </w:rPr>
            </w:pPr>
          </w:p>
        </w:tc>
        <w:tc>
          <w:tcPr>
            <w:tcW w:w="2186" w:type="dxa"/>
          </w:tcPr>
          <w:p w14:paraId="3E9D37AF">
            <w:pPr>
              <w:jc w:val="both"/>
              <w:rPr>
                <w:rFonts w:hint="default" w:ascii="Times New Roman" w:hAnsi="Times New Roman" w:eastAsia="宋体" w:cs="Times New Roman"/>
              </w:rPr>
            </w:pPr>
          </w:p>
        </w:tc>
        <w:tc>
          <w:tcPr>
            <w:tcW w:w="2596" w:type="dxa"/>
          </w:tcPr>
          <w:p w14:paraId="68953ED3">
            <w:pPr>
              <w:jc w:val="both"/>
              <w:rPr>
                <w:rFonts w:hint="default" w:ascii="Times New Roman" w:hAnsi="Times New Roman" w:eastAsia="宋体" w:cs="Times New Roman"/>
              </w:rPr>
            </w:pPr>
          </w:p>
        </w:tc>
        <w:tc>
          <w:tcPr>
            <w:tcW w:w="2164" w:type="dxa"/>
            <w:vMerge w:val="restart"/>
            <w:tcBorders>
              <w:bottom w:val="nil"/>
            </w:tcBorders>
          </w:tcPr>
          <w:p w14:paraId="0680C5C8">
            <w:pPr>
              <w:spacing w:line="295" w:lineRule="auto"/>
              <w:jc w:val="both"/>
              <w:rPr>
                <w:rFonts w:hint="default" w:ascii="Times New Roman" w:hAnsi="Times New Roman" w:eastAsia="宋体" w:cs="Times New Roman"/>
              </w:rPr>
            </w:pPr>
          </w:p>
          <w:p w14:paraId="146A9CAC">
            <w:pPr>
              <w:spacing w:before="68" w:line="300" w:lineRule="auto"/>
              <w:ind w:left="873" w:right="133" w:hanging="734"/>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运输方式及</w:t>
            </w:r>
            <w:r>
              <w:rPr>
                <w:rFonts w:hint="default" w:ascii="Times New Roman" w:hAnsi="Times New Roman" w:eastAsia="宋体" w:cs="Times New Roman"/>
                <w:szCs w:val="21"/>
              </w:rPr>
              <w:t xml:space="preserve">运输起止 </w:t>
            </w:r>
            <w:r>
              <w:rPr>
                <w:rFonts w:hint="default" w:ascii="Times New Roman" w:hAnsi="Times New Roman" w:eastAsia="宋体" w:cs="Times New Roman"/>
                <w:spacing w:val="-2"/>
                <w:szCs w:val="21"/>
              </w:rPr>
              <w:t>地</w:t>
            </w:r>
            <w:r>
              <w:rPr>
                <w:rFonts w:hint="default" w:ascii="Times New Roman" w:hAnsi="Times New Roman" w:eastAsia="宋体" w:cs="Times New Roman"/>
                <w:spacing w:val="-1"/>
                <w:szCs w:val="21"/>
              </w:rPr>
              <w:t>点</w:t>
            </w:r>
          </w:p>
        </w:tc>
      </w:tr>
      <w:tr w14:paraId="2B29E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D29D1B9">
            <w:pPr>
              <w:spacing w:before="248" w:line="185" w:lineRule="auto"/>
              <w:ind w:left="350"/>
              <w:jc w:val="both"/>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3</w:t>
            </w:r>
          </w:p>
        </w:tc>
        <w:tc>
          <w:tcPr>
            <w:tcW w:w="3530" w:type="dxa"/>
          </w:tcPr>
          <w:p w14:paraId="21B2D8B6">
            <w:pPr>
              <w:spacing w:before="212" w:line="221" w:lineRule="auto"/>
              <w:ind w:left="1241"/>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运输保险费</w:t>
            </w:r>
          </w:p>
        </w:tc>
        <w:tc>
          <w:tcPr>
            <w:tcW w:w="2159" w:type="dxa"/>
          </w:tcPr>
          <w:p w14:paraId="62D926F6">
            <w:pPr>
              <w:jc w:val="both"/>
              <w:rPr>
                <w:rFonts w:hint="default" w:ascii="Times New Roman" w:hAnsi="Times New Roman" w:eastAsia="宋体" w:cs="Times New Roman"/>
              </w:rPr>
            </w:pPr>
          </w:p>
        </w:tc>
        <w:tc>
          <w:tcPr>
            <w:tcW w:w="2186" w:type="dxa"/>
          </w:tcPr>
          <w:p w14:paraId="1F8F326E">
            <w:pPr>
              <w:jc w:val="both"/>
              <w:rPr>
                <w:rFonts w:hint="default" w:ascii="Times New Roman" w:hAnsi="Times New Roman" w:eastAsia="宋体" w:cs="Times New Roman"/>
              </w:rPr>
            </w:pPr>
          </w:p>
        </w:tc>
        <w:tc>
          <w:tcPr>
            <w:tcW w:w="2596" w:type="dxa"/>
          </w:tcPr>
          <w:p w14:paraId="17C04321">
            <w:pPr>
              <w:jc w:val="both"/>
              <w:rPr>
                <w:rFonts w:hint="default" w:ascii="Times New Roman" w:hAnsi="Times New Roman" w:eastAsia="宋体" w:cs="Times New Roman"/>
              </w:rPr>
            </w:pPr>
          </w:p>
        </w:tc>
        <w:tc>
          <w:tcPr>
            <w:tcW w:w="2164" w:type="dxa"/>
            <w:vMerge w:val="continue"/>
            <w:tcBorders>
              <w:top w:val="nil"/>
            </w:tcBorders>
          </w:tcPr>
          <w:p w14:paraId="7C15AD43">
            <w:pPr>
              <w:jc w:val="both"/>
              <w:rPr>
                <w:rFonts w:hint="default" w:ascii="Times New Roman" w:hAnsi="Times New Roman" w:eastAsia="宋体" w:cs="Times New Roman"/>
              </w:rPr>
            </w:pPr>
          </w:p>
        </w:tc>
      </w:tr>
      <w:tr w14:paraId="05B92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90C5AD">
            <w:pPr>
              <w:spacing w:before="247" w:line="182" w:lineRule="auto"/>
              <w:ind w:left="355"/>
              <w:jc w:val="both"/>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4</w:t>
            </w:r>
          </w:p>
        </w:tc>
        <w:tc>
          <w:tcPr>
            <w:tcW w:w="3530" w:type="dxa"/>
          </w:tcPr>
          <w:p w14:paraId="43B4200D">
            <w:pPr>
              <w:spacing w:before="210" w:line="221" w:lineRule="auto"/>
              <w:ind w:left="1450"/>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装</w:t>
            </w:r>
            <w:r>
              <w:rPr>
                <w:rFonts w:hint="default" w:ascii="Times New Roman" w:hAnsi="Times New Roman" w:eastAsia="宋体" w:cs="Times New Roman"/>
                <w:spacing w:val="-1"/>
                <w:szCs w:val="21"/>
              </w:rPr>
              <w:t>卸费</w:t>
            </w:r>
          </w:p>
        </w:tc>
        <w:tc>
          <w:tcPr>
            <w:tcW w:w="2159" w:type="dxa"/>
          </w:tcPr>
          <w:p w14:paraId="639139D5">
            <w:pPr>
              <w:jc w:val="both"/>
              <w:rPr>
                <w:rFonts w:hint="default" w:ascii="Times New Roman" w:hAnsi="Times New Roman" w:eastAsia="宋体" w:cs="Times New Roman"/>
              </w:rPr>
            </w:pPr>
          </w:p>
        </w:tc>
        <w:tc>
          <w:tcPr>
            <w:tcW w:w="2186" w:type="dxa"/>
          </w:tcPr>
          <w:p w14:paraId="136BA2F8">
            <w:pPr>
              <w:jc w:val="both"/>
              <w:rPr>
                <w:rFonts w:hint="default" w:ascii="Times New Roman" w:hAnsi="Times New Roman" w:eastAsia="宋体" w:cs="Times New Roman"/>
              </w:rPr>
            </w:pPr>
          </w:p>
        </w:tc>
        <w:tc>
          <w:tcPr>
            <w:tcW w:w="2596" w:type="dxa"/>
          </w:tcPr>
          <w:p w14:paraId="0098F5D4">
            <w:pPr>
              <w:jc w:val="both"/>
              <w:rPr>
                <w:rFonts w:hint="default" w:ascii="Times New Roman" w:hAnsi="Times New Roman" w:eastAsia="宋体" w:cs="Times New Roman"/>
              </w:rPr>
            </w:pPr>
          </w:p>
        </w:tc>
        <w:tc>
          <w:tcPr>
            <w:tcW w:w="2164" w:type="dxa"/>
          </w:tcPr>
          <w:p w14:paraId="18B97682">
            <w:pPr>
              <w:spacing w:before="210" w:line="221" w:lineRule="auto"/>
              <w:ind w:left="457"/>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发生</w:t>
            </w:r>
            <w:r>
              <w:rPr>
                <w:rFonts w:hint="default" w:ascii="Times New Roman" w:hAnsi="Times New Roman" w:eastAsia="宋体" w:cs="Times New Roman"/>
                <w:spacing w:val="-1"/>
                <w:szCs w:val="21"/>
              </w:rPr>
              <w:t>费用地点</w:t>
            </w:r>
          </w:p>
        </w:tc>
      </w:tr>
      <w:tr w14:paraId="347F6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6132510">
            <w:pPr>
              <w:spacing w:before="247" w:line="183" w:lineRule="auto"/>
              <w:ind w:left="352"/>
              <w:jc w:val="both"/>
              <w:rPr>
                <w:rFonts w:hint="default" w:ascii="Times New Roman" w:hAnsi="Times New Roman" w:eastAsia="宋体" w:cs="Times New Roman"/>
                <w:szCs w:val="21"/>
                <w:lang w:eastAsia="zh-CN"/>
              </w:rPr>
            </w:pPr>
            <w:r>
              <w:rPr>
                <w:rFonts w:hint="default" w:ascii="Times New Roman" w:hAnsi="Times New Roman" w:eastAsia="宋体" w:cs="Times New Roman"/>
                <w:szCs w:val="21"/>
                <w:lang w:val="en-US" w:eastAsia="zh-CN"/>
              </w:rPr>
              <w:t>5</w:t>
            </w:r>
          </w:p>
        </w:tc>
        <w:tc>
          <w:tcPr>
            <w:tcW w:w="3530" w:type="dxa"/>
          </w:tcPr>
          <w:p w14:paraId="7FE0DD6F">
            <w:pPr>
              <w:spacing w:before="211" w:line="221" w:lineRule="auto"/>
              <w:ind w:left="1557"/>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其他</w:t>
            </w:r>
          </w:p>
        </w:tc>
        <w:tc>
          <w:tcPr>
            <w:tcW w:w="2159" w:type="dxa"/>
          </w:tcPr>
          <w:p w14:paraId="484E2CAC">
            <w:pPr>
              <w:jc w:val="both"/>
              <w:rPr>
                <w:rFonts w:hint="default" w:ascii="Times New Roman" w:hAnsi="Times New Roman" w:eastAsia="宋体" w:cs="Times New Roman"/>
              </w:rPr>
            </w:pPr>
          </w:p>
        </w:tc>
        <w:tc>
          <w:tcPr>
            <w:tcW w:w="2186" w:type="dxa"/>
          </w:tcPr>
          <w:p w14:paraId="57A517CA">
            <w:pPr>
              <w:jc w:val="both"/>
              <w:rPr>
                <w:rFonts w:hint="default" w:ascii="Times New Roman" w:hAnsi="Times New Roman" w:eastAsia="宋体" w:cs="Times New Roman"/>
              </w:rPr>
            </w:pPr>
          </w:p>
        </w:tc>
        <w:tc>
          <w:tcPr>
            <w:tcW w:w="2596" w:type="dxa"/>
          </w:tcPr>
          <w:p w14:paraId="7E179381">
            <w:pPr>
              <w:jc w:val="both"/>
              <w:rPr>
                <w:rFonts w:hint="default" w:ascii="Times New Roman" w:hAnsi="Times New Roman" w:eastAsia="宋体" w:cs="Times New Roman"/>
              </w:rPr>
            </w:pPr>
          </w:p>
        </w:tc>
        <w:tc>
          <w:tcPr>
            <w:tcW w:w="2164" w:type="dxa"/>
          </w:tcPr>
          <w:p w14:paraId="64B0DA19">
            <w:pPr>
              <w:spacing w:before="210" w:line="221" w:lineRule="auto"/>
              <w:ind w:left="456"/>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说明</w:t>
            </w:r>
            <w:r>
              <w:rPr>
                <w:rFonts w:hint="default" w:ascii="Times New Roman" w:hAnsi="Times New Roman" w:eastAsia="宋体" w:cs="Times New Roman"/>
                <w:spacing w:val="-1"/>
                <w:szCs w:val="21"/>
              </w:rPr>
              <w:t>具体内容</w:t>
            </w:r>
          </w:p>
        </w:tc>
      </w:tr>
      <w:tr w14:paraId="1022F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5FE856F">
            <w:pPr>
              <w:spacing w:before="211" w:line="219" w:lineRule="auto"/>
              <w:ind w:left="3008"/>
              <w:jc w:val="both"/>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 xml:space="preserve">价合计列入价格汇总表 </w:t>
            </w:r>
            <w:r>
              <w:rPr>
                <w:rFonts w:hint="default" w:ascii="Times New Roman" w:hAnsi="Times New Roman" w:eastAsia="宋体" w:cs="Times New Roman"/>
                <w:spacing w:val="-4"/>
                <w:szCs w:val="21"/>
                <w:lang w:val="en-US" w:eastAsia="zh-CN"/>
              </w:rPr>
              <w:t>9</w:t>
            </w:r>
            <w:r>
              <w:rPr>
                <w:rFonts w:hint="default" w:ascii="Times New Roman" w:hAnsi="Times New Roman" w:eastAsia="宋体" w:cs="Times New Roman"/>
                <w:spacing w:val="-4"/>
                <w:szCs w:val="21"/>
              </w:rPr>
              <w:t>-5</w:t>
            </w:r>
          </w:p>
        </w:tc>
        <w:tc>
          <w:tcPr>
            <w:tcW w:w="4760" w:type="dxa"/>
            <w:gridSpan w:val="2"/>
          </w:tcPr>
          <w:p w14:paraId="202429B5">
            <w:pPr>
              <w:spacing w:before="211" w:line="219" w:lineRule="auto"/>
              <w:jc w:val="both"/>
              <w:rPr>
                <w:rFonts w:hint="default" w:ascii="Times New Roman" w:hAnsi="Times New Roman" w:eastAsia="宋体" w:cs="Times New Roman"/>
                <w:szCs w:val="21"/>
              </w:rPr>
            </w:pPr>
            <w:r>
              <w:rPr>
                <w:rFonts w:hint="default" w:ascii="Times New Roman" w:hAnsi="Times New Roman" w:eastAsia="宋体" w:cs="Times New Roman"/>
                <w:b/>
                <w:bCs/>
                <w:szCs w:val="21"/>
              </w:rPr>
              <w:t>总价合计</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不含税</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Cs w:val="21"/>
              </w:rPr>
              <w:t>￥    元</w:t>
            </w:r>
          </w:p>
        </w:tc>
      </w:tr>
    </w:tbl>
    <w:p w14:paraId="7DDC10A9">
      <w:pPr>
        <w:spacing w:before="59" w:line="219" w:lineRule="auto"/>
        <w:ind w:left="211"/>
        <w:jc w:val="both"/>
        <w:rPr>
          <w:rFonts w:hint="default" w:ascii="Times New Roman" w:hAnsi="Times New Roman" w:eastAsia="宋体" w:cs="Times New Roman"/>
          <w:szCs w:val="21"/>
        </w:rPr>
      </w:pPr>
      <w:r>
        <w:rPr>
          <w:rFonts w:hint="default" w:ascii="Times New Roman" w:hAnsi="Times New Roman" w:eastAsia="宋体" w:cs="Times New Roman"/>
          <w:spacing w:val="-10"/>
          <w:szCs w:val="21"/>
        </w:rPr>
        <w:t xml:space="preserve">注： </w:t>
      </w:r>
      <w:r>
        <w:rPr>
          <w:rFonts w:hint="default" w:ascii="Times New Roman" w:hAnsi="Times New Roman" w:eastAsia="宋体" w:cs="Times New Roman"/>
          <w:spacing w:val="-5"/>
          <w:szCs w:val="21"/>
        </w:rPr>
        <w:t>1.投标人需另附页给出价格的详细说明。</w:t>
      </w:r>
    </w:p>
    <w:p w14:paraId="6148231A">
      <w:pPr>
        <w:spacing w:before="77"/>
        <w:ind w:left="633"/>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2.如果按单价计算的结果与总价不一致，以单</w:t>
      </w:r>
      <w:r>
        <w:rPr>
          <w:rFonts w:hint="default" w:ascii="Times New Roman" w:hAnsi="Times New Roman" w:eastAsia="宋体" w:cs="Times New Roman"/>
          <w:szCs w:val="21"/>
        </w:rPr>
        <w:t>价为准修正总价。</w:t>
      </w:r>
    </w:p>
    <w:p w14:paraId="61D9955E">
      <w:pPr>
        <w:spacing w:before="64" w:line="198" w:lineRule="auto"/>
        <w:ind w:firstLine="606" w:firstLineChars="300"/>
        <w:jc w:val="both"/>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14:paraId="1D82E954">
      <w:pPr>
        <w:spacing w:before="78" w:line="219" w:lineRule="auto"/>
        <w:ind w:firstLine="594" w:firstLineChars="3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14:paraId="5914C93F">
      <w:pPr>
        <w:spacing w:before="78" w:line="219" w:lineRule="auto"/>
        <w:ind w:firstLine="594" w:firstLineChars="3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14:paraId="3E833696">
      <w:pPr>
        <w:spacing w:before="78" w:line="219" w:lineRule="auto"/>
        <w:ind w:firstLine="594" w:firstLineChars="300"/>
        <w:jc w:val="both"/>
        <w:rPr>
          <w:rFonts w:hint="default" w:ascii="Times New Roman" w:hAnsi="Times New Roman" w:eastAsia="宋体" w:cs="Times New Roman"/>
          <w:spacing w:val="6"/>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6"/>
          <w:szCs w:val="21"/>
        </w:rPr>
        <w:t>6.因填写不规范造成废标及终止招标的，责任由投标人自负。</w:t>
      </w:r>
    </w:p>
    <w:p w14:paraId="18A254B2">
      <w:pPr>
        <w:spacing w:before="140" w:line="220" w:lineRule="auto"/>
        <w:ind w:left="2" w:firstLine="464" w:firstLineChars="200"/>
        <w:jc w:val="both"/>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 授权代表(签字)：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年  月  日</w:t>
      </w:r>
    </w:p>
    <w:p w14:paraId="34AFD538">
      <w:pPr>
        <w:jc w:val="both"/>
        <w:rPr>
          <w:rFonts w:hint="default" w:ascii="Times New Roman" w:hAnsi="Times New Roman" w:eastAsia="宋体" w:cs="Times New Roman"/>
          <w:sz w:val="24"/>
          <w:szCs w:val="24"/>
        </w:rPr>
        <w:sectPr>
          <w:footerReference r:id="rId31" w:type="default"/>
          <w:pgSz w:w="16841" w:h="11907"/>
          <w:pgMar w:top="400" w:right="1699" w:bottom="1184" w:left="1481" w:header="0" w:footer="1022" w:gutter="0"/>
          <w:cols w:space="720" w:num="1"/>
        </w:sectPr>
      </w:pPr>
    </w:p>
    <w:p w14:paraId="215C95FD">
      <w:pPr>
        <w:pStyle w:val="5"/>
        <w:jc w:val="both"/>
        <w:rPr>
          <w:rFonts w:hint="default" w:ascii="Times New Roman" w:hAnsi="Times New Roman" w:eastAsia="宋体" w:cs="Times New Roman"/>
          <w:spacing w:val="-10"/>
          <w:sz w:val="24"/>
          <w:szCs w:val="24"/>
          <w:lang w:eastAsia="zh-CN"/>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 xml:space="preserve">表 </w:t>
      </w:r>
      <w:r>
        <w:rPr>
          <w:rFonts w:hint="default" w:ascii="Times New Roman" w:hAnsi="Times New Roman" w:eastAsia="宋体" w:cs="Times New Roman"/>
          <w:spacing w:val="-10"/>
          <w:sz w:val="24"/>
          <w:szCs w:val="24"/>
          <w:lang w:val="en-US" w:eastAsia="zh-CN"/>
          <w14:textOutline w14:w="3835" w14:cap="flat" w14:cmpd="sng" w14:algn="ctr">
            <w14:solidFill>
              <w14:srgbClr w14:val="000000"/>
            </w14:solidFill>
            <w14:prstDash w14:val="solid"/>
            <w14:miter w14:val="0"/>
          </w14:textOutline>
        </w:rPr>
        <w:t>9</w:t>
      </w: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0"/>
          <w:sz w:val="24"/>
          <w:szCs w:val="24"/>
          <w:lang w:val="en-US" w:eastAsia="zh-CN"/>
          <w14:textOutline w14:w="3835" w14:cap="flat" w14:cmpd="sng" w14:algn="ctr">
            <w14:solidFill>
              <w14:srgbClr w14:val="000000"/>
            </w14:solidFill>
            <w14:prstDash w14:val="solid"/>
            <w14:miter w14:val="0"/>
          </w14:textOutline>
        </w:rPr>
        <w:t>3</w:t>
      </w:r>
    </w:p>
    <w:p w14:paraId="6AE8DA04">
      <w:pPr>
        <w:spacing w:before="104" w:line="224" w:lineRule="auto"/>
        <w:ind w:left="5024"/>
        <w:jc w:val="both"/>
        <w:rPr>
          <w:rFonts w:hint="default" w:ascii="Times New Roman" w:hAnsi="Times New Roman" w:eastAsia="宋体" w:cs="Times New Roman"/>
          <w:sz w:val="31"/>
          <w:szCs w:val="31"/>
        </w:rPr>
      </w:pP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技术服务和培训分项报价</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表</w:t>
      </w:r>
    </w:p>
    <w:p w14:paraId="1B3DAB31">
      <w:pPr>
        <w:spacing w:before="134" w:line="221" w:lineRule="auto"/>
        <w:ind w:left="212"/>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14:paraId="60B0E527">
      <w:pPr>
        <w:jc w:val="both"/>
        <w:rPr>
          <w:rFonts w:hint="default" w:ascii="Times New Roman" w:hAnsi="Times New Roman" w:eastAsia="宋体" w:cs="Times New Roman"/>
        </w:rPr>
      </w:pPr>
    </w:p>
    <w:p w14:paraId="190E1E85">
      <w:pPr>
        <w:spacing w:line="20" w:lineRule="exact"/>
        <w:jc w:val="both"/>
        <w:rPr>
          <w:rFonts w:hint="default" w:ascii="Times New Roman" w:hAnsi="Times New Roman" w:eastAsia="宋体" w:cs="Times New Roman"/>
        </w:rPr>
      </w:pPr>
    </w:p>
    <w:tbl>
      <w:tblPr>
        <w:tblStyle w:val="127"/>
        <w:tblW w:w="13514" w:type="dxa"/>
        <w:tblInd w:w="222"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65F781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A08F7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DD5AFF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B613E0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5CF7316F">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3181EF4A">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007879E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2B06890">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39BF1F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417CABA">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361CF1FC">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7A78F7CC">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7FBD3BEC">
            <w:pPr>
              <w:spacing w:before="266" w:line="221" w:lineRule="auto"/>
              <w:jc w:val="center"/>
              <w:rPr>
                <w:rFonts w:ascii="宋体" w:hAnsi="宋体" w:eastAsia="宋体" w:cs="宋体"/>
                <w:spacing w:val="-2"/>
                <w:szCs w:val="21"/>
              </w:rPr>
            </w:pPr>
          </w:p>
        </w:tc>
        <w:tc>
          <w:tcPr>
            <w:tcW w:w="1138" w:type="dxa"/>
          </w:tcPr>
          <w:p w14:paraId="2B9753A4">
            <w:pPr>
              <w:spacing w:before="266" w:line="221" w:lineRule="auto"/>
              <w:jc w:val="center"/>
              <w:rPr>
                <w:rFonts w:ascii="宋体" w:hAnsi="宋体" w:eastAsia="宋体" w:cs="宋体"/>
                <w:spacing w:val="-2"/>
                <w:szCs w:val="21"/>
              </w:rPr>
            </w:pPr>
          </w:p>
        </w:tc>
        <w:tc>
          <w:tcPr>
            <w:tcW w:w="2449" w:type="dxa"/>
          </w:tcPr>
          <w:p w14:paraId="74C02321">
            <w:pPr>
              <w:rPr>
                <w:rFonts w:ascii="Arial"/>
              </w:rPr>
            </w:pPr>
          </w:p>
        </w:tc>
        <w:tc>
          <w:tcPr>
            <w:tcW w:w="3328" w:type="dxa"/>
          </w:tcPr>
          <w:p w14:paraId="06A095E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647A32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E793D4">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4FEEB543">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74AC77D4">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2E9F6494">
            <w:pPr>
              <w:spacing w:before="266" w:line="221" w:lineRule="auto"/>
              <w:jc w:val="center"/>
              <w:rPr>
                <w:rFonts w:ascii="宋体" w:hAnsi="宋体" w:eastAsia="宋体" w:cs="宋体"/>
                <w:spacing w:val="-2"/>
                <w:szCs w:val="21"/>
              </w:rPr>
            </w:pPr>
          </w:p>
        </w:tc>
        <w:tc>
          <w:tcPr>
            <w:tcW w:w="1138" w:type="dxa"/>
          </w:tcPr>
          <w:p w14:paraId="1AA52A0C">
            <w:pPr>
              <w:spacing w:before="266" w:line="221" w:lineRule="auto"/>
              <w:jc w:val="center"/>
              <w:rPr>
                <w:rFonts w:ascii="宋体" w:hAnsi="宋体" w:eastAsia="宋体" w:cs="宋体"/>
                <w:spacing w:val="-2"/>
                <w:szCs w:val="21"/>
              </w:rPr>
            </w:pPr>
          </w:p>
        </w:tc>
        <w:tc>
          <w:tcPr>
            <w:tcW w:w="2449" w:type="dxa"/>
          </w:tcPr>
          <w:p w14:paraId="0414D613">
            <w:pPr>
              <w:rPr>
                <w:rFonts w:ascii="Arial"/>
              </w:rPr>
            </w:pPr>
          </w:p>
        </w:tc>
        <w:tc>
          <w:tcPr>
            <w:tcW w:w="3328" w:type="dxa"/>
          </w:tcPr>
          <w:p w14:paraId="6EAEE06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A45A40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27A2AEE">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273B0A50">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00CD1205">
            <w:pPr>
              <w:spacing w:before="266" w:line="221" w:lineRule="auto"/>
              <w:jc w:val="center"/>
              <w:rPr>
                <w:rFonts w:ascii="宋体" w:hAnsi="宋体" w:eastAsia="宋体" w:cs="宋体"/>
                <w:spacing w:val="-2"/>
                <w:szCs w:val="21"/>
              </w:rPr>
            </w:pPr>
          </w:p>
        </w:tc>
        <w:tc>
          <w:tcPr>
            <w:tcW w:w="1138" w:type="dxa"/>
          </w:tcPr>
          <w:p w14:paraId="6E292206">
            <w:pPr>
              <w:spacing w:before="266" w:line="221" w:lineRule="auto"/>
              <w:jc w:val="center"/>
              <w:rPr>
                <w:rFonts w:ascii="宋体" w:hAnsi="宋体" w:eastAsia="宋体" w:cs="宋体"/>
                <w:spacing w:val="-2"/>
                <w:szCs w:val="21"/>
              </w:rPr>
            </w:pPr>
          </w:p>
        </w:tc>
        <w:tc>
          <w:tcPr>
            <w:tcW w:w="1138" w:type="dxa"/>
          </w:tcPr>
          <w:p w14:paraId="22A721F4">
            <w:pPr>
              <w:spacing w:before="266" w:line="221" w:lineRule="auto"/>
              <w:jc w:val="center"/>
              <w:rPr>
                <w:rFonts w:ascii="宋体" w:hAnsi="宋体" w:eastAsia="宋体" w:cs="宋体"/>
                <w:spacing w:val="-2"/>
                <w:szCs w:val="21"/>
              </w:rPr>
            </w:pPr>
          </w:p>
        </w:tc>
        <w:tc>
          <w:tcPr>
            <w:tcW w:w="2449" w:type="dxa"/>
          </w:tcPr>
          <w:p w14:paraId="27A26C3C">
            <w:pPr>
              <w:rPr>
                <w:rFonts w:ascii="Arial"/>
              </w:rPr>
            </w:pPr>
          </w:p>
        </w:tc>
        <w:tc>
          <w:tcPr>
            <w:tcW w:w="3328" w:type="dxa"/>
          </w:tcPr>
          <w:p w14:paraId="4AF6B46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C77E38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8AA34E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162D1EB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BDEE5D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04D7C5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D99C6F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54E6CEF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E464A61">
      <w:pPr>
        <w:spacing w:before="78" w:line="224" w:lineRule="auto"/>
        <w:ind w:firstLine="178" w:firstLineChars="100"/>
        <w:jc w:val="both"/>
        <w:rPr>
          <w:rFonts w:hint="default" w:ascii="Times New Roman" w:hAnsi="Times New Roman" w:eastAsia="宋体" w:cs="Times New Roman"/>
          <w:spacing w:val="-8"/>
          <w:szCs w:val="21"/>
        </w:rPr>
      </w:pPr>
      <w:r>
        <w:rPr>
          <w:rFonts w:hint="default" w:ascii="Times New Roman" w:hAnsi="Times New Roman" w:eastAsia="宋体" w:cs="Times New Roman"/>
          <w:spacing w:val="-16"/>
          <w:szCs w:val="21"/>
        </w:rPr>
        <w:t>注</w:t>
      </w:r>
      <w:r>
        <w:rPr>
          <w:rFonts w:hint="default" w:ascii="Times New Roman" w:hAnsi="Times New Roman" w:eastAsia="宋体" w:cs="Times New Roman"/>
          <w:spacing w:val="-8"/>
          <w:szCs w:val="21"/>
        </w:rPr>
        <w:t>：   1.投标人需给出价格的详细说明。</w:t>
      </w:r>
    </w:p>
    <w:p w14:paraId="6B435AC0">
      <w:pPr>
        <w:spacing w:before="75" w:line="219" w:lineRule="auto"/>
        <w:ind w:left="409" w:firstLine="396" w:firstLineChars="200"/>
        <w:jc w:val="both"/>
        <w:rPr>
          <w:rFonts w:hint="default" w:ascii="Times New Roman" w:hAnsi="Times New Roman" w:eastAsia="宋体" w:cs="Times New Roman"/>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14:paraId="2F76A240">
      <w:pPr>
        <w:spacing w:before="35" w:line="239" w:lineRule="auto"/>
        <w:ind w:firstLine="824" w:firstLineChars="400"/>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3.此分项</w:t>
      </w:r>
      <w:r>
        <w:rPr>
          <w:rFonts w:hint="default" w:ascii="Times New Roman" w:hAnsi="Times New Roman" w:eastAsia="宋体" w:cs="Times New Roman"/>
          <w:spacing w:val="-1"/>
          <w:szCs w:val="21"/>
        </w:rPr>
        <w:t>报价，仅是为了方便招标人对投标文件进行比较，不作为限制订立合同的条件。</w:t>
      </w:r>
    </w:p>
    <w:p w14:paraId="097E761F">
      <w:pPr>
        <w:spacing w:before="78" w:line="219" w:lineRule="auto"/>
        <w:ind w:firstLine="792" w:firstLineChars="4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14:paraId="3775CCB8">
      <w:pPr>
        <w:spacing w:before="78" w:line="219" w:lineRule="auto"/>
        <w:ind w:firstLine="792" w:firstLineChars="4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14:paraId="4626608F">
      <w:pPr>
        <w:spacing w:before="78" w:line="219" w:lineRule="auto"/>
        <w:ind w:firstLine="792" w:firstLineChars="4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14:paraId="04150EC7">
      <w:pPr>
        <w:jc w:val="both"/>
        <w:rPr>
          <w:rFonts w:hint="default" w:ascii="Times New Roman" w:hAnsi="Times New Roman" w:eastAsia="宋体" w:cs="Times New Roman"/>
        </w:rPr>
      </w:pPr>
    </w:p>
    <w:p w14:paraId="1B344A36">
      <w:pPr>
        <w:pStyle w:val="16"/>
        <w:jc w:val="both"/>
        <w:rPr>
          <w:rFonts w:hint="default" w:ascii="Times New Roman" w:hAnsi="Times New Roman" w:eastAsia="宋体" w:cs="Times New Roman"/>
        </w:rPr>
      </w:pPr>
    </w:p>
    <w:p w14:paraId="35F42836">
      <w:pPr>
        <w:spacing w:before="35" w:line="239" w:lineRule="auto"/>
        <w:ind w:left="724"/>
        <w:jc w:val="both"/>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年  月  日</w:t>
      </w:r>
    </w:p>
    <w:p w14:paraId="5894F3FA">
      <w:pPr>
        <w:spacing w:before="35" w:line="239" w:lineRule="auto"/>
        <w:ind w:left="724"/>
        <w:jc w:val="both"/>
        <w:rPr>
          <w:rFonts w:hint="default" w:ascii="Times New Roman" w:hAnsi="Times New Roman" w:eastAsia="宋体" w:cs="Times New Roman"/>
          <w:spacing w:val="-1"/>
          <w:sz w:val="24"/>
          <w:szCs w:val="24"/>
        </w:rPr>
        <w:sectPr>
          <w:footerReference r:id="rId32" w:type="default"/>
          <w:pgSz w:w="16841" w:h="11907"/>
          <w:pgMar w:top="400" w:right="1699" w:bottom="1184" w:left="1481" w:header="0" w:footer="1022" w:gutter="0"/>
          <w:cols w:space="720" w:num="1"/>
        </w:sectPr>
      </w:pPr>
    </w:p>
    <w:p w14:paraId="22CD2738">
      <w:pPr>
        <w:pStyle w:val="5"/>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表</w:t>
      </w:r>
      <w:r>
        <w:rPr>
          <w:rFonts w:hint="default" w:ascii="Times New Roman" w:hAnsi="Times New Roman" w:eastAsia="宋体" w:cs="Times New Roman"/>
          <w:spacing w:val="-9"/>
          <w:sz w:val="24"/>
          <w:szCs w:val="24"/>
        </w:rPr>
        <w:t xml:space="preserve"> </w:t>
      </w:r>
      <w:r>
        <w:rPr>
          <w:rFonts w:hint="default" w:ascii="Times New Roman" w:hAnsi="Times New Roman" w:eastAsia="宋体" w:cs="Times New Roman"/>
          <w:spacing w:val="-9"/>
          <w:sz w:val="24"/>
          <w:szCs w:val="24"/>
          <w:lang w:val="en-US" w:eastAsia="zh-CN"/>
          <w14:textOutline w14:w="3835" w14:cap="flat" w14:cmpd="sng" w14:algn="ctr">
            <w14:solidFill>
              <w14:srgbClr w14:val="000000"/>
            </w14:solidFill>
            <w14:prstDash w14:val="solid"/>
            <w14:miter w14:val="0"/>
          </w14:textOutline>
        </w:rPr>
        <w:t>9</w:t>
      </w:r>
      <w:r>
        <w:rPr>
          <w:rFonts w:hint="default" w:ascii="Times New Roman" w:hAnsi="Times New Roman" w:eastAsia="宋体" w:cs="Times New Roman"/>
          <w:spacing w:val="-9"/>
          <w:sz w:val="24"/>
          <w:szCs w:val="24"/>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9"/>
          <w:sz w:val="24"/>
          <w:szCs w:val="24"/>
          <w:lang w:val="en-US" w:eastAsia="zh-CN"/>
          <w14:textOutline w14:w="3835" w14:cap="flat" w14:cmpd="sng" w14:algn="ctr">
            <w14:solidFill>
              <w14:srgbClr w14:val="000000"/>
            </w14:solidFill>
            <w14:prstDash w14:val="solid"/>
            <w14:miter w14:val="0"/>
          </w14:textOutline>
        </w:rPr>
        <w:t>4</w:t>
      </w:r>
    </w:p>
    <w:p w14:paraId="13BF8E52">
      <w:pPr>
        <w:spacing w:before="125" w:line="294" w:lineRule="auto"/>
        <w:ind w:left="6150" w:right="1626" w:hanging="4500"/>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分项报价</w:t>
      </w:r>
      <w:r>
        <w:rPr>
          <w:rFonts w:hint="default" w:ascii="Times New Roman" w:hAnsi="Times New Roman" w:eastAsia="宋体" w:cs="Times New Roman"/>
          <w:spacing w:val="7"/>
          <w:sz w:val="24"/>
          <w:szCs w:val="24"/>
          <w14:textOutline w14:w="5791" w14:cap="flat" w14:cmpd="sng" w14:algn="ctr">
            <w14:solidFill>
              <w14:srgbClr w14:val="000000"/>
            </w14:solidFill>
            <w14:prstDash w14:val="solid"/>
            <w14:miter w14:val="0"/>
          </w14:textOutline>
        </w:rPr>
        <w:t>表</w:t>
      </w:r>
    </w:p>
    <w:p w14:paraId="31B182D0">
      <w:pPr>
        <w:spacing w:line="220" w:lineRule="auto"/>
        <w:ind w:left="1"/>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14:paraId="2628307E">
      <w:pPr>
        <w:spacing w:line="172" w:lineRule="exact"/>
        <w:jc w:val="both"/>
        <w:rPr>
          <w:rFonts w:hint="default" w:ascii="Times New Roman" w:hAnsi="Times New Roman" w:eastAsia="宋体" w:cs="Times New Roman"/>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F8D3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64B3DFC">
            <w:pPr>
              <w:spacing w:before="100" w:line="186" w:lineRule="auto"/>
              <w:ind w:left="223"/>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1</w:t>
            </w:r>
          </w:p>
        </w:tc>
        <w:tc>
          <w:tcPr>
            <w:tcW w:w="2543" w:type="dxa"/>
          </w:tcPr>
          <w:p w14:paraId="7BDB5402">
            <w:pPr>
              <w:spacing w:before="101" w:line="185" w:lineRule="auto"/>
              <w:ind w:left="1225"/>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2</w:t>
            </w:r>
          </w:p>
        </w:tc>
        <w:tc>
          <w:tcPr>
            <w:tcW w:w="2100" w:type="dxa"/>
          </w:tcPr>
          <w:p w14:paraId="6CB05A79">
            <w:pPr>
              <w:spacing w:before="102" w:line="183" w:lineRule="auto"/>
              <w:ind w:left="1005"/>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3</w:t>
            </w:r>
          </w:p>
        </w:tc>
        <w:tc>
          <w:tcPr>
            <w:tcW w:w="840" w:type="dxa"/>
          </w:tcPr>
          <w:p w14:paraId="0AE14F04">
            <w:pPr>
              <w:spacing w:before="101" w:line="185" w:lineRule="auto"/>
              <w:ind w:left="371"/>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w:t>
            </w:r>
          </w:p>
        </w:tc>
        <w:tc>
          <w:tcPr>
            <w:tcW w:w="2239" w:type="dxa"/>
          </w:tcPr>
          <w:p w14:paraId="6BDD5801">
            <w:pPr>
              <w:spacing w:before="103" w:line="182" w:lineRule="auto"/>
              <w:ind w:left="1075"/>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5</w:t>
            </w:r>
          </w:p>
        </w:tc>
        <w:tc>
          <w:tcPr>
            <w:tcW w:w="1498" w:type="dxa"/>
          </w:tcPr>
          <w:p w14:paraId="1B1559E0">
            <w:pPr>
              <w:spacing w:before="102" w:line="183" w:lineRule="auto"/>
              <w:ind w:left="585"/>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6</w:t>
            </w:r>
          </w:p>
        </w:tc>
        <w:tc>
          <w:tcPr>
            <w:tcW w:w="1861" w:type="dxa"/>
          </w:tcPr>
          <w:p w14:paraId="66A8980C">
            <w:pPr>
              <w:spacing w:before="103" w:line="182" w:lineRule="auto"/>
              <w:ind w:left="1010"/>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7</w:t>
            </w:r>
          </w:p>
        </w:tc>
        <w:tc>
          <w:tcPr>
            <w:tcW w:w="1120" w:type="dxa"/>
          </w:tcPr>
          <w:p w14:paraId="242A3A37">
            <w:pPr>
              <w:spacing w:before="102" w:line="183" w:lineRule="auto"/>
              <w:ind w:left="516"/>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8</w:t>
            </w:r>
          </w:p>
        </w:tc>
        <w:tc>
          <w:tcPr>
            <w:tcW w:w="1125" w:type="dxa"/>
          </w:tcPr>
          <w:p w14:paraId="5BC69D6D">
            <w:pPr>
              <w:spacing w:before="102" w:line="183" w:lineRule="auto"/>
              <w:ind w:left="515"/>
              <w:jc w:val="both"/>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9</w:t>
            </w:r>
          </w:p>
        </w:tc>
      </w:tr>
      <w:tr w14:paraId="60C93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3A539B">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BB5F084">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备件或工具名称</w:t>
            </w:r>
          </w:p>
        </w:tc>
        <w:tc>
          <w:tcPr>
            <w:tcW w:w="2100" w:type="dxa"/>
            <w:vAlign w:val="center"/>
          </w:tcPr>
          <w:p w14:paraId="1FC44C85">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型号和规格</w:t>
            </w:r>
          </w:p>
        </w:tc>
        <w:tc>
          <w:tcPr>
            <w:tcW w:w="840" w:type="dxa"/>
            <w:vAlign w:val="center"/>
          </w:tcPr>
          <w:p w14:paraId="4C705859">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78347D1">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position w:val="0"/>
                <w:szCs w:val="21"/>
                <w14:textOutline w14:w="3835" w14:cap="flat" w14:cmpd="sng" w14:algn="ctr">
                  <w14:solidFill>
                    <w14:srgbClr w14:val="000000"/>
                  </w14:solidFill>
                  <w14:prstDash w14:val="solid"/>
                  <w14:miter w14:val="0"/>
                </w14:textOutline>
              </w:rPr>
              <w:t>原产地和</w:t>
            </w:r>
          </w:p>
          <w:p w14:paraId="1F3C6D34">
            <w:pPr>
              <w:spacing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制造商名称</w:t>
            </w:r>
          </w:p>
        </w:tc>
        <w:tc>
          <w:tcPr>
            <w:tcW w:w="1498" w:type="dxa"/>
            <w:vAlign w:val="center"/>
          </w:tcPr>
          <w:p w14:paraId="4CD832DB">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不</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含税）</w:t>
            </w:r>
          </w:p>
          <w:p w14:paraId="63F3465D">
            <w:pPr>
              <w:spacing w:before="0"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100BF7F">
            <w:pPr>
              <w:spacing w:before="0"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总价[4×6]（</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不</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含税）</w:t>
            </w:r>
          </w:p>
          <w:p w14:paraId="128855D8">
            <w:pPr>
              <w:spacing w:before="0"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6A6B0C5">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position w:val="0"/>
                <w:szCs w:val="21"/>
                <w14:textOutline w14:w="3835" w14:cap="flat" w14:cmpd="sng" w14:algn="ctr">
                  <w14:solidFill>
                    <w14:srgbClr w14:val="000000"/>
                  </w14:solidFill>
                  <w14:prstDash w14:val="solid"/>
                  <w14:miter w14:val="0"/>
                </w14:textOutline>
              </w:rPr>
              <w:t>更换</w:t>
            </w:r>
          </w:p>
          <w:p w14:paraId="522511EC">
            <w:pPr>
              <w:spacing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4008BF0F">
            <w:pPr>
              <w:spacing w:before="0" w:line="221" w:lineRule="auto"/>
              <w:ind w:left="0"/>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  注</w:t>
            </w:r>
          </w:p>
        </w:tc>
      </w:tr>
      <w:tr w14:paraId="068C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BCA8E34">
            <w:pPr>
              <w:spacing w:before="237" w:line="186" w:lineRule="auto"/>
              <w:ind w:left="223"/>
              <w:jc w:val="both"/>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543" w:type="dxa"/>
          </w:tcPr>
          <w:p w14:paraId="3F5072ED">
            <w:pPr>
              <w:jc w:val="both"/>
              <w:rPr>
                <w:rFonts w:hint="default" w:ascii="Times New Roman" w:hAnsi="Times New Roman" w:eastAsia="宋体" w:cs="Times New Roman"/>
              </w:rPr>
            </w:pPr>
          </w:p>
        </w:tc>
        <w:tc>
          <w:tcPr>
            <w:tcW w:w="2100" w:type="dxa"/>
          </w:tcPr>
          <w:p w14:paraId="241AB6DD">
            <w:pPr>
              <w:jc w:val="both"/>
              <w:rPr>
                <w:rFonts w:hint="default" w:ascii="Times New Roman" w:hAnsi="Times New Roman" w:eastAsia="宋体" w:cs="Times New Roman"/>
              </w:rPr>
            </w:pPr>
          </w:p>
        </w:tc>
        <w:tc>
          <w:tcPr>
            <w:tcW w:w="840" w:type="dxa"/>
          </w:tcPr>
          <w:p w14:paraId="0A9EF40D">
            <w:pPr>
              <w:jc w:val="both"/>
              <w:rPr>
                <w:rFonts w:hint="default" w:ascii="Times New Roman" w:hAnsi="Times New Roman" w:eastAsia="宋体" w:cs="Times New Roman"/>
              </w:rPr>
            </w:pPr>
          </w:p>
        </w:tc>
        <w:tc>
          <w:tcPr>
            <w:tcW w:w="2239" w:type="dxa"/>
          </w:tcPr>
          <w:p w14:paraId="3FF6DC18">
            <w:pPr>
              <w:jc w:val="both"/>
              <w:rPr>
                <w:rFonts w:hint="default" w:ascii="Times New Roman" w:hAnsi="Times New Roman" w:eastAsia="宋体" w:cs="Times New Roman"/>
              </w:rPr>
            </w:pPr>
          </w:p>
        </w:tc>
        <w:tc>
          <w:tcPr>
            <w:tcW w:w="1498" w:type="dxa"/>
          </w:tcPr>
          <w:p w14:paraId="593092DB">
            <w:pPr>
              <w:jc w:val="both"/>
              <w:rPr>
                <w:rFonts w:hint="default" w:ascii="Times New Roman" w:hAnsi="Times New Roman" w:eastAsia="宋体" w:cs="Times New Roman"/>
              </w:rPr>
            </w:pPr>
          </w:p>
        </w:tc>
        <w:tc>
          <w:tcPr>
            <w:tcW w:w="1861" w:type="dxa"/>
          </w:tcPr>
          <w:p w14:paraId="67387156">
            <w:pPr>
              <w:jc w:val="both"/>
              <w:rPr>
                <w:rFonts w:hint="default" w:ascii="Times New Roman" w:hAnsi="Times New Roman" w:eastAsia="宋体" w:cs="Times New Roman"/>
              </w:rPr>
            </w:pPr>
          </w:p>
        </w:tc>
        <w:tc>
          <w:tcPr>
            <w:tcW w:w="1120" w:type="dxa"/>
          </w:tcPr>
          <w:p w14:paraId="2C1833B8">
            <w:pPr>
              <w:jc w:val="both"/>
              <w:rPr>
                <w:rFonts w:hint="default" w:ascii="Times New Roman" w:hAnsi="Times New Roman" w:eastAsia="宋体" w:cs="Times New Roman"/>
              </w:rPr>
            </w:pPr>
          </w:p>
        </w:tc>
        <w:tc>
          <w:tcPr>
            <w:tcW w:w="1125" w:type="dxa"/>
          </w:tcPr>
          <w:p w14:paraId="1E2133EA">
            <w:pPr>
              <w:jc w:val="both"/>
              <w:rPr>
                <w:rFonts w:hint="default" w:ascii="Times New Roman" w:hAnsi="Times New Roman" w:eastAsia="宋体" w:cs="Times New Roman"/>
              </w:rPr>
            </w:pPr>
          </w:p>
        </w:tc>
      </w:tr>
      <w:tr w14:paraId="1589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5480B77">
            <w:pPr>
              <w:spacing w:before="239" w:line="185" w:lineRule="auto"/>
              <w:ind w:left="210"/>
              <w:jc w:val="both"/>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43" w:type="dxa"/>
          </w:tcPr>
          <w:p w14:paraId="57D209A3">
            <w:pPr>
              <w:jc w:val="both"/>
              <w:rPr>
                <w:rFonts w:hint="default" w:ascii="Times New Roman" w:hAnsi="Times New Roman" w:eastAsia="宋体" w:cs="Times New Roman"/>
              </w:rPr>
            </w:pPr>
          </w:p>
        </w:tc>
        <w:tc>
          <w:tcPr>
            <w:tcW w:w="2100" w:type="dxa"/>
          </w:tcPr>
          <w:p w14:paraId="254E6548">
            <w:pPr>
              <w:jc w:val="both"/>
              <w:rPr>
                <w:rFonts w:hint="default" w:ascii="Times New Roman" w:hAnsi="Times New Roman" w:eastAsia="宋体" w:cs="Times New Roman"/>
              </w:rPr>
            </w:pPr>
          </w:p>
        </w:tc>
        <w:tc>
          <w:tcPr>
            <w:tcW w:w="840" w:type="dxa"/>
          </w:tcPr>
          <w:p w14:paraId="75E48BE7">
            <w:pPr>
              <w:jc w:val="both"/>
              <w:rPr>
                <w:rFonts w:hint="default" w:ascii="Times New Roman" w:hAnsi="Times New Roman" w:eastAsia="宋体" w:cs="Times New Roman"/>
              </w:rPr>
            </w:pPr>
          </w:p>
        </w:tc>
        <w:tc>
          <w:tcPr>
            <w:tcW w:w="2239" w:type="dxa"/>
          </w:tcPr>
          <w:p w14:paraId="172E32A9">
            <w:pPr>
              <w:jc w:val="both"/>
              <w:rPr>
                <w:rFonts w:hint="default" w:ascii="Times New Roman" w:hAnsi="Times New Roman" w:eastAsia="宋体" w:cs="Times New Roman"/>
              </w:rPr>
            </w:pPr>
          </w:p>
        </w:tc>
        <w:tc>
          <w:tcPr>
            <w:tcW w:w="1498" w:type="dxa"/>
          </w:tcPr>
          <w:p w14:paraId="1AE0E90D">
            <w:pPr>
              <w:jc w:val="both"/>
              <w:rPr>
                <w:rFonts w:hint="default" w:ascii="Times New Roman" w:hAnsi="Times New Roman" w:eastAsia="宋体" w:cs="Times New Roman"/>
              </w:rPr>
            </w:pPr>
          </w:p>
        </w:tc>
        <w:tc>
          <w:tcPr>
            <w:tcW w:w="1861" w:type="dxa"/>
          </w:tcPr>
          <w:p w14:paraId="1C26E6CA">
            <w:pPr>
              <w:jc w:val="both"/>
              <w:rPr>
                <w:rFonts w:hint="default" w:ascii="Times New Roman" w:hAnsi="Times New Roman" w:eastAsia="宋体" w:cs="Times New Roman"/>
              </w:rPr>
            </w:pPr>
          </w:p>
        </w:tc>
        <w:tc>
          <w:tcPr>
            <w:tcW w:w="1120" w:type="dxa"/>
          </w:tcPr>
          <w:p w14:paraId="4C6529CF">
            <w:pPr>
              <w:jc w:val="both"/>
              <w:rPr>
                <w:rFonts w:hint="default" w:ascii="Times New Roman" w:hAnsi="Times New Roman" w:eastAsia="宋体" w:cs="Times New Roman"/>
              </w:rPr>
            </w:pPr>
          </w:p>
        </w:tc>
        <w:tc>
          <w:tcPr>
            <w:tcW w:w="1125" w:type="dxa"/>
          </w:tcPr>
          <w:p w14:paraId="78FABAB6">
            <w:pPr>
              <w:jc w:val="both"/>
              <w:rPr>
                <w:rFonts w:hint="default" w:ascii="Times New Roman" w:hAnsi="Times New Roman" w:eastAsia="宋体" w:cs="Times New Roman"/>
              </w:rPr>
            </w:pPr>
          </w:p>
        </w:tc>
      </w:tr>
      <w:tr w14:paraId="7EC2D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9ABA285">
            <w:pPr>
              <w:jc w:val="both"/>
              <w:rPr>
                <w:rFonts w:hint="default" w:ascii="Times New Roman" w:hAnsi="Times New Roman" w:eastAsia="宋体" w:cs="Times New Roman"/>
              </w:rPr>
            </w:pPr>
          </w:p>
        </w:tc>
        <w:tc>
          <w:tcPr>
            <w:tcW w:w="2543" w:type="dxa"/>
          </w:tcPr>
          <w:p w14:paraId="7CD2A6CD">
            <w:pPr>
              <w:jc w:val="both"/>
              <w:rPr>
                <w:rFonts w:hint="default" w:ascii="Times New Roman" w:hAnsi="Times New Roman" w:eastAsia="宋体" w:cs="Times New Roman"/>
              </w:rPr>
            </w:pPr>
          </w:p>
        </w:tc>
        <w:tc>
          <w:tcPr>
            <w:tcW w:w="2100" w:type="dxa"/>
          </w:tcPr>
          <w:p w14:paraId="4EAA31C9">
            <w:pPr>
              <w:jc w:val="both"/>
              <w:rPr>
                <w:rFonts w:hint="default" w:ascii="Times New Roman" w:hAnsi="Times New Roman" w:eastAsia="宋体" w:cs="Times New Roman"/>
              </w:rPr>
            </w:pPr>
          </w:p>
        </w:tc>
        <w:tc>
          <w:tcPr>
            <w:tcW w:w="840" w:type="dxa"/>
          </w:tcPr>
          <w:p w14:paraId="1DF31455">
            <w:pPr>
              <w:jc w:val="both"/>
              <w:rPr>
                <w:rFonts w:hint="default" w:ascii="Times New Roman" w:hAnsi="Times New Roman" w:eastAsia="宋体" w:cs="Times New Roman"/>
              </w:rPr>
            </w:pPr>
          </w:p>
        </w:tc>
        <w:tc>
          <w:tcPr>
            <w:tcW w:w="2239" w:type="dxa"/>
          </w:tcPr>
          <w:p w14:paraId="64EC54EF">
            <w:pPr>
              <w:jc w:val="both"/>
              <w:rPr>
                <w:rFonts w:hint="default" w:ascii="Times New Roman" w:hAnsi="Times New Roman" w:eastAsia="宋体" w:cs="Times New Roman"/>
              </w:rPr>
            </w:pPr>
          </w:p>
        </w:tc>
        <w:tc>
          <w:tcPr>
            <w:tcW w:w="1498" w:type="dxa"/>
          </w:tcPr>
          <w:p w14:paraId="48F09472">
            <w:pPr>
              <w:jc w:val="both"/>
              <w:rPr>
                <w:rFonts w:hint="default" w:ascii="Times New Roman" w:hAnsi="Times New Roman" w:eastAsia="宋体" w:cs="Times New Roman"/>
              </w:rPr>
            </w:pPr>
          </w:p>
        </w:tc>
        <w:tc>
          <w:tcPr>
            <w:tcW w:w="1861" w:type="dxa"/>
          </w:tcPr>
          <w:p w14:paraId="170574D2">
            <w:pPr>
              <w:jc w:val="both"/>
              <w:rPr>
                <w:rFonts w:hint="default" w:ascii="Times New Roman" w:hAnsi="Times New Roman" w:eastAsia="宋体" w:cs="Times New Roman"/>
              </w:rPr>
            </w:pPr>
          </w:p>
        </w:tc>
        <w:tc>
          <w:tcPr>
            <w:tcW w:w="1120" w:type="dxa"/>
          </w:tcPr>
          <w:p w14:paraId="6ABDE1A8">
            <w:pPr>
              <w:jc w:val="both"/>
              <w:rPr>
                <w:rFonts w:hint="default" w:ascii="Times New Roman" w:hAnsi="Times New Roman" w:eastAsia="宋体" w:cs="Times New Roman"/>
              </w:rPr>
            </w:pPr>
          </w:p>
        </w:tc>
        <w:tc>
          <w:tcPr>
            <w:tcW w:w="1125" w:type="dxa"/>
          </w:tcPr>
          <w:p w14:paraId="07A8EA5C">
            <w:pPr>
              <w:jc w:val="both"/>
              <w:rPr>
                <w:rFonts w:hint="default" w:ascii="Times New Roman" w:hAnsi="Times New Roman" w:eastAsia="宋体" w:cs="Times New Roman"/>
              </w:rPr>
            </w:pPr>
          </w:p>
        </w:tc>
      </w:tr>
      <w:tr w14:paraId="5E1AC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3A6B2A0">
            <w:pPr>
              <w:jc w:val="both"/>
              <w:rPr>
                <w:rFonts w:hint="default" w:ascii="Times New Roman" w:hAnsi="Times New Roman" w:eastAsia="宋体" w:cs="Times New Roman"/>
              </w:rPr>
            </w:pPr>
          </w:p>
        </w:tc>
        <w:tc>
          <w:tcPr>
            <w:tcW w:w="2543" w:type="dxa"/>
          </w:tcPr>
          <w:p w14:paraId="76FA86F2">
            <w:pPr>
              <w:jc w:val="both"/>
              <w:rPr>
                <w:rFonts w:hint="default" w:ascii="Times New Roman" w:hAnsi="Times New Roman" w:eastAsia="宋体" w:cs="Times New Roman"/>
              </w:rPr>
            </w:pPr>
          </w:p>
        </w:tc>
        <w:tc>
          <w:tcPr>
            <w:tcW w:w="2100" w:type="dxa"/>
          </w:tcPr>
          <w:p w14:paraId="10E9D6CE">
            <w:pPr>
              <w:jc w:val="both"/>
              <w:rPr>
                <w:rFonts w:hint="default" w:ascii="Times New Roman" w:hAnsi="Times New Roman" w:eastAsia="宋体" w:cs="Times New Roman"/>
              </w:rPr>
            </w:pPr>
          </w:p>
        </w:tc>
        <w:tc>
          <w:tcPr>
            <w:tcW w:w="840" w:type="dxa"/>
          </w:tcPr>
          <w:p w14:paraId="2D25AC0C">
            <w:pPr>
              <w:jc w:val="both"/>
              <w:rPr>
                <w:rFonts w:hint="default" w:ascii="Times New Roman" w:hAnsi="Times New Roman" w:eastAsia="宋体" w:cs="Times New Roman"/>
              </w:rPr>
            </w:pPr>
          </w:p>
        </w:tc>
        <w:tc>
          <w:tcPr>
            <w:tcW w:w="2239" w:type="dxa"/>
          </w:tcPr>
          <w:p w14:paraId="3B88AAC7">
            <w:pPr>
              <w:jc w:val="both"/>
              <w:rPr>
                <w:rFonts w:hint="default" w:ascii="Times New Roman" w:hAnsi="Times New Roman" w:eastAsia="宋体" w:cs="Times New Roman"/>
              </w:rPr>
            </w:pPr>
          </w:p>
        </w:tc>
        <w:tc>
          <w:tcPr>
            <w:tcW w:w="1498" w:type="dxa"/>
          </w:tcPr>
          <w:p w14:paraId="4FD6DECC">
            <w:pPr>
              <w:jc w:val="both"/>
              <w:rPr>
                <w:rFonts w:hint="default" w:ascii="Times New Roman" w:hAnsi="Times New Roman" w:eastAsia="宋体" w:cs="Times New Roman"/>
              </w:rPr>
            </w:pPr>
          </w:p>
        </w:tc>
        <w:tc>
          <w:tcPr>
            <w:tcW w:w="1861" w:type="dxa"/>
          </w:tcPr>
          <w:p w14:paraId="20B86D6C">
            <w:pPr>
              <w:jc w:val="both"/>
              <w:rPr>
                <w:rFonts w:hint="default" w:ascii="Times New Roman" w:hAnsi="Times New Roman" w:eastAsia="宋体" w:cs="Times New Roman"/>
              </w:rPr>
            </w:pPr>
          </w:p>
        </w:tc>
        <w:tc>
          <w:tcPr>
            <w:tcW w:w="1120" w:type="dxa"/>
          </w:tcPr>
          <w:p w14:paraId="6644FAF9">
            <w:pPr>
              <w:jc w:val="both"/>
              <w:rPr>
                <w:rFonts w:hint="default" w:ascii="Times New Roman" w:hAnsi="Times New Roman" w:eastAsia="宋体" w:cs="Times New Roman"/>
              </w:rPr>
            </w:pPr>
          </w:p>
        </w:tc>
        <w:tc>
          <w:tcPr>
            <w:tcW w:w="1125" w:type="dxa"/>
          </w:tcPr>
          <w:p w14:paraId="1EADAAF8">
            <w:pPr>
              <w:jc w:val="both"/>
              <w:rPr>
                <w:rFonts w:hint="default" w:ascii="Times New Roman" w:hAnsi="Times New Roman" w:eastAsia="宋体" w:cs="Times New Roman"/>
              </w:rPr>
            </w:pPr>
          </w:p>
        </w:tc>
      </w:tr>
      <w:tr w14:paraId="48A1D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836DC58">
            <w:pPr>
              <w:jc w:val="both"/>
              <w:rPr>
                <w:rFonts w:hint="default" w:ascii="Times New Roman" w:hAnsi="Times New Roman" w:eastAsia="宋体" w:cs="Times New Roman"/>
              </w:rPr>
            </w:pPr>
          </w:p>
        </w:tc>
        <w:tc>
          <w:tcPr>
            <w:tcW w:w="2543" w:type="dxa"/>
          </w:tcPr>
          <w:p w14:paraId="530B892A">
            <w:pPr>
              <w:jc w:val="both"/>
              <w:rPr>
                <w:rFonts w:hint="default" w:ascii="Times New Roman" w:hAnsi="Times New Roman" w:eastAsia="宋体" w:cs="Times New Roman"/>
              </w:rPr>
            </w:pPr>
          </w:p>
        </w:tc>
        <w:tc>
          <w:tcPr>
            <w:tcW w:w="2100" w:type="dxa"/>
          </w:tcPr>
          <w:p w14:paraId="72F78076">
            <w:pPr>
              <w:jc w:val="both"/>
              <w:rPr>
                <w:rFonts w:hint="default" w:ascii="Times New Roman" w:hAnsi="Times New Roman" w:eastAsia="宋体" w:cs="Times New Roman"/>
              </w:rPr>
            </w:pPr>
          </w:p>
        </w:tc>
        <w:tc>
          <w:tcPr>
            <w:tcW w:w="840" w:type="dxa"/>
          </w:tcPr>
          <w:p w14:paraId="08900ADD">
            <w:pPr>
              <w:jc w:val="both"/>
              <w:rPr>
                <w:rFonts w:hint="default" w:ascii="Times New Roman" w:hAnsi="Times New Roman" w:eastAsia="宋体" w:cs="Times New Roman"/>
              </w:rPr>
            </w:pPr>
          </w:p>
        </w:tc>
        <w:tc>
          <w:tcPr>
            <w:tcW w:w="2239" w:type="dxa"/>
          </w:tcPr>
          <w:p w14:paraId="1CE75C8F">
            <w:pPr>
              <w:jc w:val="both"/>
              <w:rPr>
                <w:rFonts w:hint="default" w:ascii="Times New Roman" w:hAnsi="Times New Roman" w:eastAsia="宋体" w:cs="Times New Roman"/>
              </w:rPr>
            </w:pPr>
          </w:p>
        </w:tc>
        <w:tc>
          <w:tcPr>
            <w:tcW w:w="1498" w:type="dxa"/>
          </w:tcPr>
          <w:p w14:paraId="49C986A2">
            <w:pPr>
              <w:jc w:val="both"/>
              <w:rPr>
                <w:rFonts w:hint="default" w:ascii="Times New Roman" w:hAnsi="Times New Roman" w:eastAsia="宋体" w:cs="Times New Roman"/>
              </w:rPr>
            </w:pPr>
          </w:p>
        </w:tc>
        <w:tc>
          <w:tcPr>
            <w:tcW w:w="1861" w:type="dxa"/>
          </w:tcPr>
          <w:p w14:paraId="3BB39649">
            <w:pPr>
              <w:jc w:val="both"/>
              <w:rPr>
                <w:rFonts w:hint="default" w:ascii="Times New Roman" w:hAnsi="Times New Roman" w:eastAsia="宋体" w:cs="Times New Roman"/>
              </w:rPr>
            </w:pPr>
          </w:p>
        </w:tc>
        <w:tc>
          <w:tcPr>
            <w:tcW w:w="1120" w:type="dxa"/>
          </w:tcPr>
          <w:p w14:paraId="2605C7D2">
            <w:pPr>
              <w:jc w:val="both"/>
              <w:rPr>
                <w:rFonts w:hint="default" w:ascii="Times New Roman" w:hAnsi="Times New Roman" w:eastAsia="宋体" w:cs="Times New Roman"/>
              </w:rPr>
            </w:pPr>
          </w:p>
        </w:tc>
        <w:tc>
          <w:tcPr>
            <w:tcW w:w="1125" w:type="dxa"/>
          </w:tcPr>
          <w:p w14:paraId="72C6720E">
            <w:pPr>
              <w:jc w:val="both"/>
              <w:rPr>
                <w:rFonts w:hint="default" w:ascii="Times New Roman" w:hAnsi="Times New Roman" w:eastAsia="宋体" w:cs="Times New Roman"/>
              </w:rPr>
            </w:pPr>
          </w:p>
        </w:tc>
      </w:tr>
      <w:tr w14:paraId="3A77A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2E3356A">
            <w:pPr>
              <w:spacing w:before="207" w:line="219" w:lineRule="auto"/>
              <w:ind w:left="3416"/>
              <w:jc w:val="both"/>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 xml:space="preserve">价合计列入价格汇总表 </w:t>
            </w:r>
            <w:r>
              <w:rPr>
                <w:rFonts w:hint="default" w:ascii="Times New Roman" w:hAnsi="Times New Roman" w:eastAsia="宋体" w:cs="Times New Roman"/>
                <w:spacing w:val="-4"/>
                <w:szCs w:val="21"/>
                <w:lang w:val="en-US" w:eastAsia="zh-CN"/>
              </w:rPr>
              <w:t>9</w:t>
            </w:r>
            <w:r>
              <w:rPr>
                <w:rFonts w:hint="default" w:ascii="Times New Roman" w:hAnsi="Times New Roman" w:eastAsia="宋体" w:cs="Times New Roman"/>
                <w:spacing w:val="-4"/>
                <w:szCs w:val="21"/>
              </w:rPr>
              <w:t>-5</w:t>
            </w:r>
          </w:p>
        </w:tc>
        <w:tc>
          <w:tcPr>
            <w:tcW w:w="4106" w:type="dxa"/>
            <w:gridSpan w:val="3"/>
          </w:tcPr>
          <w:p w14:paraId="0E1D3A45">
            <w:pPr>
              <w:spacing w:before="207" w:line="219" w:lineRule="auto"/>
              <w:jc w:val="both"/>
              <w:rPr>
                <w:rFonts w:hint="default" w:ascii="Times New Roman" w:hAnsi="Times New Roman" w:eastAsia="宋体" w:cs="Times New Roman"/>
                <w:szCs w:val="21"/>
              </w:rPr>
            </w:pPr>
            <w:r>
              <w:rPr>
                <w:rFonts w:hint="default" w:ascii="Times New Roman" w:hAnsi="Times New Roman" w:eastAsia="宋体" w:cs="Times New Roman"/>
                <w:b/>
                <w:bCs/>
                <w:szCs w:val="21"/>
              </w:rPr>
              <w:t>总价合计</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lang w:val="en-US" w:eastAsia="zh-CN"/>
              </w:rPr>
              <w:t>不含税</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Cs w:val="21"/>
              </w:rPr>
              <w:t>￥    元</w:t>
            </w:r>
          </w:p>
        </w:tc>
      </w:tr>
    </w:tbl>
    <w:p w14:paraId="1CE410D2">
      <w:pPr>
        <w:spacing w:before="69" w:line="219" w:lineRule="auto"/>
        <w:jc w:val="both"/>
        <w:rPr>
          <w:rFonts w:hint="default" w:ascii="Times New Roman" w:hAnsi="Times New Roman" w:eastAsia="宋体" w:cs="Times New Roman"/>
          <w:szCs w:val="21"/>
        </w:rPr>
      </w:pPr>
      <w:r>
        <w:rPr>
          <w:rFonts w:hint="default" w:ascii="Times New Roman" w:hAnsi="Times New Roman" w:eastAsia="宋体" w:cs="Times New Roman"/>
          <w:spacing w:val="-3"/>
          <w:szCs w:val="21"/>
        </w:rPr>
        <w:t>注：1.本表须详细列出质保期内全部随机备品备件和专用工具等的详细价格</w:t>
      </w:r>
      <w:r>
        <w:rPr>
          <w:rFonts w:hint="default" w:ascii="Times New Roman" w:hAnsi="Times New Roman" w:eastAsia="宋体" w:cs="Times New Roman"/>
          <w:spacing w:val="-1"/>
          <w:szCs w:val="21"/>
        </w:rPr>
        <w:t>。</w:t>
      </w:r>
    </w:p>
    <w:p w14:paraId="5936B1F9">
      <w:pPr>
        <w:spacing w:before="75" w:line="219" w:lineRule="auto"/>
        <w:ind w:left="409"/>
        <w:jc w:val="both"/>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14:paraId="6B333CDA">
      <w:pPr>
        <w:spacing w:before="87" w:line="198" w:lineRule="auto"/>
        <w:ind w:left="411"/>
        <w:jc w:val="both"/>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14:paraId="3FA9384E">
      <w:pPr>
        <w:spacing w:before="78" w:line="219" w:lineRule="auto"/>
        <w:ind w:firstLine="396" w:firstLineChars="2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14:paraId="3B9D6EF9">
      <w:pPr>
        <w:spacing w:before="78" w:line="219" w:lineRule="auto"/>
        <w:ind w:firstLine="396" w:firstLineChars="2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14:paraId="739F82DB">
      <w:pPr>
        <w:spacing w:before="78" w:line="219" w:lineRule="auto"/>
        <w:ind w:firstLine="396" w:firstLineChars="2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14:paraId="0C4F307E">
      <w:pPr>
        <w:spacing w:before="140" w:line="220" w:lineRule="auto"/>
        <w:ind w:left="215"/>
        <w:jc w:val="both"/>
        <w:rPr>
          <w:rFonts w:hint="default" w:ascii="Times New Roman" w:hAnsi="Times New Roman" w:eastAsia="宋体" w:cs="Times New Roman"/>
          <w:spacing w:val="6"/>
          <w:szCs w:val="21"/>
          <w14:textOutline w14:w="3835" w14:cap="flat" w14:cmpd="sng" w14:algn="ctr">
            <w14:solidFill>
              <w14:srgbClr w14:val="000000"/>
            </w14:solidFill>
            <w14:prstDash w14:val="solid"/>
            <w14:miter w14:val="0"/>
          </w14:textOutline>
        </w:rPr>
      </w:pPr>
    </w:p>
    <w:p w14:paraId="27AA5ED1">
      <w:pPr>
        <w:spacing w:before="140" w:line="220" w:lineRule="auto"/>
        <w:ind w:left="215"/>
        <w:jc w:val="both"/>
        <w:rPr>
          <w:rFonts w:hint="default" w:ascii="Times New Roman" w:hAnsi="Times New Roman" w:eastAsia="宋体" w:cs="Times New Roman"/>
          <w:spacing w:val="6"/>
          <w:szCs w:val="21"/>
          <w14:textOutline w14:w="3835" w14:cap="flat" w14:cmpd="sng" w14:algn="ctr">
            <w14:solidFill>
              <w14:srgbClr w14:val="000000"/>
            </w14:solidFill>
            <w14:prstDash w14:val="solid"/>
            <w14:miter w14:val="0"/>
          </w14:textOutline>
        </w:rPr>
      </w:pPr>
    </w:p>
    <w:p w14:paraId="19F480D0">
      <w:pPr>
        <w:spacing w:before="87" w:line="198" w:lineRule="auto"/>
        <w:ind w:left="411"/>
        <w:jc w:val="both"/>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14:paraId="0F0A0CC2">
      <w:pPr>
        <w:spacing w:before="87" w:line="198" w:lineRule="auto"/>
        <w:ind w:left="411"/>
        <w:jc w:val="both"/>
        <w:rPr>
          <w:rFonts w:hint="default" w:ascii="Times New Roman" w:hAnsi="Times New Roman" w:eastAsia="宋体" w:cs="Times New Roman"/>
          <w:spacing w:val="-2"/>
          <w:sz w:val="24"/>
          <w:szCs w:val="24"/>
        </w:rPr>
        <w:sectPr>
          <w:footerReference r:id="rId33" w:type="default"/>
          <w:pgSz w:w="16841" w:h="11907"/>
          <w:pgMar w:top="400" w:right="1500" w:bottom="1184" w:left="1480" w:header="0" w:footer="1022" w:gutter="0"/>
          <w:cols w:space="720" w:num="1"/>
        </w:sectPr>
      </w:pPr>
    </w:p>
    <w:p w14:paraId="2C09A5A8">
      <w:pPr>
        <w:pStyle w:val="5"/>
        <w:jc w:val="both"/>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 xml:space="preserve">表 </w:t>
      </w:r>
      <w:r>
        <w:rPr>
          <w:rFonts w:hint="default" w:ascii="Times New Roman" w:hAnsi="Times New Roman" w:eastAsia="宋体" w:cs="Times New Roman"/>
          <w:spacing w:val="-10"/>
          <w:sz w:val="24"/>
          <w:szCs w:val="24"/>
          <w:lang w:val="en-US" w:eastAsia="zh-CN"/>
          <w14:textOutline w14:w="3835" w14:cap="flat" w14:cmpd="sng" w14:algn="ctr">
            <w14:solidFill>
              <w14:srgbClr w14:val="000000"/>
            </w14:solidFill>
            <w14:prstDash w14:val="solid"/>
            <w14:miter w14:val="0"/>
          </w14:textOutline>
        </w:rPr>
        <w:t>9</w:t>
      </w:r>
      <w:r>
        <w:rPr>
          <w:rFonts w:hint="default" w:ascii="Times New Roman" w:hAnsi="Times New Roman" w:eastAsia="宋体" w:cs="Times New Roman"/>
          <w:spacing w:val="-10"/>
          <w:sz w:val="24"/>
          <w:szCs w:val="24"/>
          <w14:textOutline w14:w="3835" w14:cap="flat" w14:cmpd="sng" w14:algn="ctr">
            <w14:solidFill>
              <w14:srgbClr w14:val="000000"/>
            </w14:solidFill>
            <w14:prstDash w14:val="solid"/>
            <w14:miter w14:val="0"/>
          </w14:textOutline>
        </w:rPr>
        <w:t>-5</w:t>
      </w:r>
    </w:p>
    <w:p w14:paraId="141D7B4B">
      <w:pPr>
        <w:spacing w:before="253" w:line="224" w:lineRule="auto"/>
        <w:ind w:left="6488"/>
        <w:jc w:val="both"/>
        <w:rPr>
          <w:rFonts w:hint="default" w:ascii="Times New Roman" w:hAnsi="Times New Roman" w:eastAsia="宋体" w:cs="Times New Roman"/>
          <w:sz w:val="31"/>
          <w:szCs w:val="31"/>
        </w:rPr>
      </w:pP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价</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格汇总表</w:t>
      </w:r>
    </w:p>
    <w:p w14:paraId="1F5172F0">
      <w:pPr>
        <w:spacing w:before="24" w:line="221" w:lineRule="auto"/>
        <w:ind w:left="211" w:firstLine="2310" w:firstLineChars="1100"/>
        <w:jc w:val="both"/>
        <w:rPr>
          <w:rFonts w:hint="default" w:ascii="Times New Roman" w:hAnsi="Times New Roman" w:eastAsia="宋体" w:cs="Times New Roman"/>
          <w:szCs w:val="21"/>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14:paraId="164A7ACD">
      <w:pPr>
        <w:spacing w:line="127" w:lineRule="exact"/>
        <w:jc w:val="both"/>
        <w:rPr>
          <w:rFonts w:hint="default" w:ascii="Times New Roman" w:hAnsi="Times New Roman" w:eastAsia="宋体" w:cs="Times New Roman"/>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3188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522D8A6">
            <w:pPr>
              <w:spacing w:before="276" w:line="222" w:lineRule="auto"/>
              <w:ind w:left="334"/>
              <w:jc w:val="both"/>
              <w:rPr>
                <w:rFonts w:hint="default" w:ascii="Times New Roman" w:hAnsi="Times New Roman" w:eastAsia="宋体" w:cs="Times New Roman"/>
                <w:szCs w:val="21"/>
              </w:rPr>
            </w:pPr>
            <w:r>
              <w:rPr>
                <w:rFonts w:hint="default" w:ascii="Times New Roman" w:hAnsi="Times New Roman" w:eastAsia="宋体" w:cs="Times New Roman"/>
                <w:spacing w:val="-2"/>
                <w:szCs w:val="21"/>
              </w:rPr>
              <w:t>序</w:t>
            </w:r>
            <w:r>
              <w:rPr>
                <w:rFonts w:hint="default" w:ascii="Times New Roman" w:hAnsi="Times New Roman" w:eastAsia="宋体" w:cs="Times New Roman"/>
                <w:spacing w:val="-1"/>
                <w:szCs w:val="21"/>
              </w:rPr>
              <w:t>号</w:t>
            </w:r>
          </w:p>
        </w:tc>
        <w:tc>
          <w:tcPr>
            <w:tcW w:w="5765" w:type="dxa"/>
          </w:tcPr>
          <w:p w14:paraId="3BEA81AA">
            <w:pPr>
              <w:spacing w:before="276" w:line="221" w:lineRule="auto"/>
              <w:ind w:left="2544"/>
              <w:jc w:val="both"/>
              <w:rPr>
                <w:rFonts w:hint="default" w:ascii="Times New Roman" w:hAnsi="Times New Roman" w:eastAsia="宋体" w:cs="Times New Roman"/>
                <w:szCs w:val="21"/>
              </w:rPr>
            </w:pPr>
            <w:r>
              <w:rPr>
                <w:rFonts w:hint="default" w:ascii="Times New Roman" w:hAnsi="Times New Roman" w:eastAsia="宋体" w:cs="Times New Roman"/>
                <w:spacing w:val="-6"/>
                <w:szCs w:val="21"/>
              </w:rPr>
              <w:t>内</w:t>
            </w:r>
            <w:r>
              <w:rPr>
                <w:rFonts w:hint="default" w:ascii="Times New Roman" w:hAnsi="Times New Roman" w:eastAsia="宋体" w:cs="Times New Roman"/>
                <w:spacing w:val="-4"/>
                <w:szCs w:val="21"/>
              </w:rPr>
              <w:t xml:space="preserve">   容</w:t>
            </w:r>
          </w:p>
        </w:tc>
        <w:tc>
          <w:tcPr>
            <w:tcW w:w="3354" w:type="dxa"/>
          </w:tcPr>
          <w:p w14:paraId="13341643">
            <w:pPr>
              <w:spacing w:before="276" w:line="219" w:lineRule="auto"/>
              <w:jc w:val="both"/>
              <w:rPr>
                <w:rFonts w:hint="default" w:ascii="Times New Roman" w:hAnsi="Times New Roman" w:eastAsia="宋体" w:cs="Times New Roman"/>
                <w:szCs w:val="21"/>
              </w:rPr>
            </w:pPr>
            <w:r>
              <w:rPr>
                <w:rFonts w:hint="default" w:ascii="Times New Roman" w:hAnsi="Times New Roman" w:eastAsia="宋体" w:cs="Times New Roman"/>
                <w:spacing w:val="18"/>
                <w:szCs w:val="21"/>
              </w:rPr>
              <w:t>总</w:t>
            </w:r>
            <w:r>
              <w:rPr>
                <w:rFonts w:hint="default" w:ascii="Times New Roman" w:hAnsi="Times New Roman" w:eastAsia="宋体" w:cs="Times New Roman"/>
                <w:spacing w:val="14"/>
                <w:szCs w:val="21"/>
              </w:rPr>
              <w:t>价(元)</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3"/>
                <w:szCs w:val="21"/>
                <w:lang w:val="en-US" w:eastAsia="zh-CN"/>
                <w14:textOutline w14:w="3835" w14:cap="flat" w14:cmpd="sng" w14:algn="ctr">
                  <w14:solidFill>
                    <w14:srgbClr w14:val="000000"/>
                  </w14:solidFill>
                  <w14:prstDash w14:val="solid"/>
                  <w14:miter w14:val="0"/>
                </w14:textOutline>
              </w:rPr>
              <w:t>不</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含税）</w:t>
            </w:r>
          </w:p>
        </w:tc>
        <w:tc>
          <w:tcPr>
            <w:tcW w:w="3362" w:type="dxa"/>
          </w:tcPr>
          <w:p w14:paraId="54B2321F">
            <w:pPr>
              <w:spacing w:before="276" w:line="222" w:lineRule="auto"/>
              <w:ind w:left="1215"/>
              <w:jc w:val="both"/>
              <w:rPr>
                <w:rFonts w:hint="default" w:ascii="Times New Roman" w:hAnsi="Times New Roman" w:eastAsia="宋体" w:cs="Times New Roman"/>
                <w:szCs w:val="21"/>
              </w:rPr>
            </w:pPr>
            <w:r>
              <w:rPr>
                <w:rFonts w:hint="default" w:ascii="Times New Roman" w:hAnsi="Times New Roman" w:eastAsia="宋体" w:cs="Times New Roman"/>
                <w:spacing w:val="-1"/>
                <w:szCs w:val="21"/>
              </w:rPr>
              <w:t>备</w:t>
            </w:r>
            <w:r>
              <w:rPr>
                <w:rFonts w:hint="default" w:ascii="Times New Roman" w:hAnsi="Times New Roman" w:eastAsia="宋体" w:cs="Times New Roman"/>
                <w:szCs w:val="21"/>
              </w:rPr>
              <w:t xml:space="preserve">     注</w:t>
            </w:r>
          </w:p>
        </w:tc>
      </w:tr>
      <w:tr w14:paraId="488BA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1FE19EC">
            <w:pPr>
              <w:spacing w:before="309" w:line="186" w:lineRule="auto"/>
              <w:ind w:left="508"/>
              <w:jc w:val="both"/>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765" w:type="dxa"/>
          </w:tcPr>
          <w:p w14:paraId="3C894877">
            <w:pPr>
              <w:spacing w:before="275" w:line="222" w:lineRule="auto"/>
              <w:ind w:left="2378"/>
              <w:jc w:val="both"/>
              <w:rPr>
                <w:rFonts w:hint="default" w:ascii="Times New Roman" w:hAnsi="Times New Roman" w:eastAsia="宋体" w:cs="Times New Roman"/>
                <w:szCs w:val="21"/>
              </w:rPr>
            </w:pPr>
            <w:r>
              <w:rPr>
                <w:rFonts w:hint="default" w:ascii="Times New Roman" w:hAnsi="Times New Roman" w:eastAsia="宋体" w:cs="Times New Roman"/>
                <w:spacing w:val="-17"/>
                <w:szCs w:val="21"/>
              </w:rPr>
              <w:t>表</w:t>
            </w:r>
            <w:r>
              <w:rPr>
                <w:rFonts w:hint="default" w:ascii="Times New Roman" w:hAnsi="Times New Roman" w:eastAsia="宋体" w:cs="Times New Roman"/>
                <w:spacing w:val="-11"/>
                <w:szCs w:val="21"/>
              </w:rPr>
              <w:t xml:space="preserve"> </w:t>
            </w:r>
            <w:r>
              <w:rPr>
                <w:rFonts w:hint="default" w:ascii="Times New Roman" w:hAnsi="Times New Roman" w:eastAsia="宋体" w:cs="Times New Roman"/>
                <w:spacing w:val="-11"/>
                <w:szCs w:val="21"/>
                <w:lang w:val="en-US" w:eastAsia="zh-CN"/>
              </w:rPr>
              <w:t>9</w:t>
            </w:r>
            <w:r>
              <w:rPr>
                <w:rFonts w:hint="default" w:ascii="Times New Roman" w:hAnsi="Times New Roman" w:eastAsia="宋体" w:cs="Times New Roman"/>
                <w:spacing w:val="-11"/>
                <w:szCs w:val="21"/>
              </w:rPr>
              <w:t>- 1 总计</w:t>
            </w:r>
          </w:p>
        </w:tc>
        <w:tc>
          <w:tcPr>
            <w:tcW w:w="3354" w:type="dxa"/>
          </w:tcPr>
          <w:p w14:paraId="371E6339">
            <w:pPr>
              <w:jc w:val="both"/>
              <w:rPr>
                <w:rFonts w:hint="default" w:ascii="Times New Roman" w:hAnsi="Times New Roman" w:eastAsia="宋体" w:cs="Times New Roman"/>
              </w:rPr>
            </w:pPr>
          </w:p>
        </w:tc>
        <w:tc>
          <w:tcPr>
            <w:tcW w:w="3362" w:type="dxa"/>
          </w:tcPr>
          <w:p w14:paraId="722BE2A0">
            <w:pPr>
              <w:jc w:val="both"/>
              <w:rPr>
                <w:rFonts w:hint="default" w:ascii="Times New Roman" w:hAnsi="Times New Roman" w:eastAsia="宋体" w:cs="Times New Roman"/>
              </w:rPr>
            </w:pPr>
          </w:p>
        </w:tc>
      </w:tr>
      <w:tr w14:paraId="3FBDC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6278878">
            <w:pPr>
              <w:spacing w:before="299" w:line="185" w:lineRule="auto"/>
              <w:ind w:left="495"/>
              <w:jc w:val="both"/>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765" w:type="dxa"/>
          </w:tcPr>
          <w:p w14:paraId="52B0F495">
            <w:pPr>
              <w:spacing w:before="263" w:line="222" w:lineRule="auto"/>
              <w:ind w:left="2378"/>
              <w:jc w:val="both"/>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6"/>
                <w:szCs w:val="21"/>
                <w:lang w:val="en-US" w:eastAsia="zh-CN"/>
              </w:rPr>
              <w:t>9</w:t>
            </w:r>
            <w:r>
              <w:rPr>
                <w:rFonts w:hint="default" w:ascii="Times New Roman" w:hAnsi="Times New Roman" w:eastAsia="宋体" w:cs="Times New Roman"/>
                <w:spacing w:val="-6"/>
                <w:szCs w:val="21"/>
              </w:rPr>
              <w:t>-2 总计</w:t>
            </w:r>
          </w:p>
        </w:tc>
        <w:tc>
          <w:tcPr>
            <w:tcW w:w="3354" w:type="dxa"/>
          </w:tcPr>
          <w:p w14:paraId="13943B44">
            <w:pPr>
              <w:jc w:val="both"/>
              <w:rPr>
                <w:rFonts w:hint="default" w:ascii="Times New Roman" w:hAnsi="Times New Roman" w:eastAsia="宋体" w:cs="Times New Roman"/>
              </w:rPr>
            </w:pPr>
          </w:p>
        </w:tc>
        <w:tc>
          <w:tcPr>
            <w:tcW w:w="3362" w:type="dxa"/>
          </w:tcPr>
          <w:p w14:paraId="2DF5534D">
            <w:pPr>
              <w:jc w:val="both"/>
              <w:rPr>
                <w:rFonts w:hint="default" w:ascii="Times New Roman" w:hAnsi="Times New Roman" w:eastAsia="宋体" w:cs="Times New Roman"/>
              </w:rPr>
            </w:pPr>
          </w:p>
        </w:tc>
      </w:tr>
      <w:tr w14:paraId="51003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4FE6B2D">
            <w:pPr>
              <w:jc w:val="both"/>
              <w:rPr>
                <w:rFonts w:hint="default" w:ascii="Times New Roman" w:hAnsi="Times New Roman" w:eastAsia="宋体" w:cs="Times New Roman"/>
              </w:rPr>
            </w:pPr>
          </w:p>
          <w:p w14:paraId="6C6A85F1">
            <w:pPr>
              <w:spacing w:before="68" w:line="183" w:lineRule="auto"/>
              <w:ind w:left="497"/>
              <w:jc w:val="both"/>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765" w:type="dxa"/>
          </w:tcPr>
          <w:p w14:paraId="29FE6C62">
            <w:pPr>
              <w:spacing w:before="274" w:line="222" w:lineRule="auto"/>
              <w:ind w:left="2378"/>
              <w:jc w:val="both"/>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6"/>
                <w:szCs w:val="21"/>
                <w:lang w:val="en-US" w:eastAsia="zh-CN"/>
              </w:rPr>
              <w:t>9</w:t>
            </w:r>
            <w:r>
              <w:rPr>
                <w:rFonts w:hint="default" w:ascii="Times New Roman" w:hAnsi="Times New Roman" w:eastAsia="宋体" w:cs="Times New Roman"/>
                <w:spacing w:val="-6"/>
                <w:szCs w:val="21"/>
              </w:rPr>
              <w:t>-3 总计</w:t>
            </w:r>
          </w:p>
        </w:tc>
        <w:tc>
          <w:tcPr>
            <w:tcW w:w="3354" w:type="dxa"/>
          </w:tcPr>
          <w:p w14:paraId="439BB8E9">
            <w:pPr>
              <w:jc w:val="both"/>
              <w:rPr>
                <w:rFonts w:hint="default" w:ascii="Times New Roman" w:hAnsi="Times New Roman" w:eastAsia="宋体" w:cs="Times New Roman"/>
              </w:rPr>
            </w:pPr>
          </w:p>
        </w:tc>
        <w:tc>
          <w:tcPr>
            <w:tcW w:w="3362" w:type="dxa"/>
          </w:tcPr>
          <w:p w14:paraId="4DFE37AA">
            <w:pPr>
              <w:jc w:val="both"/>
              <w:rPr>
                <w:rFonts w:hint="default" w:ascii="Times New Roman" w:hAnsi="Times New Roman" w:eastAsia="宋体" w:cs="Times New Roman"/>
              </w:rPr>
            </w:pPr>
          </w:p>
        </w:tc>
      </w:tr>
      <w:tr w14:paraId="1C00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4D3CCF8">
            <w:pPr>
              <w:spacing w:before="300" w:line="185" w:lineRule="auto"/>
              <w:ind w:left="492"/>
              <w:jc w:val="both"/>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765" w:type="dxa"/>
          </w:tcPr>
          <w:p w14:paraId="6308AD28">
            <w:pPr>
              <w:spacing w:before="265" w:line="222" w:lineRule="auto"/>
              <w:ind w:left="2378"/>
              <w:jc w:val="both"/>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6"/>
                <w:szCs w:val="21"/>
                <w:lang w:val="en-US" w:eastAsia="zh-CN"/>
              </w:rPr>
              <w:t>9</w:t>
            </w:r>
            <w:r>
              <w:rPr>
                <w:rFonts w:hint="default" w:ascii="Times New Roman" w:hAnsi="Times New Roman" w:eastAsia="宋体" w:cs="Times New Roman"/>
                <w:spacing w:val="-6"/>
                <w:szCs w:val="21"/>
              </w:rPr>
              <w:t>-4 总计</w:t>
            </w:r>
          </w:p>
        </w:tc>
        <w:tc>
          <w:tcPr>
            <w:tcW w:w="3354" w:type="dxa"/>
          </w:tcPr>
          <w:p w14:paraId="223DC620">
            <w:pPr>
              <w:jc w:val="both"/>
              <w:rPr>
                <w:rFonts w:hint="default" w:ascii="Times New Roman" w:hAnsi="Times New Roman" w:eastAsia="宋体" w:cs="Times New Roman"/>
              </w:rPr>
            </w:pPr>
          </w:p>
        </w:tc>
        <w:tc>
          <w:tcPr>
            <w:tcW w:w="3362" w:type="dxa"/>
          </w:tcPr>
          <w:p w14:paraId="62F8BB1F">
            <w:pPr>
              <w:jc w:val="both"/>
              <w:rPr>
                <w:rFonts w:hint="default" w:ascii="Times New Roman" w:hAnsi="Times New Roman" w:eastAsia="宋体" w:cs="Times New Roman"/>
              </w:rPr>
            </w:pPr>
          </w:p>
        </w:tc>
      </w:tr>
      <w:tr w14:paraId="07074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22C939C">
            <w:pPr>
              <w:spacing w:before="266" w:line="221" w:lineRule="auto"/>
              <w:jc w:val="both"/>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0F954F4">
            <w:pPr>
              <w:spacing w:before="266" w:line="221" w:lineRule="auto"/>
              <w:jc w:val="both"/>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 w:val="21"/>
                <w:szCs w:val="21"/>
                <w:lang w:eastAsia="zh-CN"/>
              </w:rPr>
              <w:t>（</w:t>
            </w:r>
            <w:r>
              <w:rPr>
                <w:rFonts w:hint="default" w:ascii="Times New Roman" w:hAnsi="Times New Roman" w:eastAsia="宋体" w:cs="Times New Roman"/>
                <w:b/>
                <w:bCs/>
                <w:spacing w:val="-3"/>
                <w:sz w:val="21"/>
                <w:szCs w:val="21"/>
                <w:lang w:val="en-US" w:eastAsia="zh-CN"/>
              </w:rPr>
              <w:t>不含税</w:t>
            </w:r>
            <w:r>
              <w:rPr>
                <w:rFonts w:hint="default" w:ascii="Times New Roman" w:hAnsi="Times New Roman" w:eastAsia="宋体" w:cs="Times New Roman"/>
                <w:b/>
                <w:bCs/>
                <w:spacing w:val="-3"/>
                <w:sz w:val="21"/>
                <w:szCs w:val="21"/>
                <w:lang w:eastAsia="zh-CN"/>
              </w:rPr>
              <w:t>）</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121B674">
            <w:pPr>
              <w:spacing w:before="266" w:line="221" w:lineRule="auto"/>
              <w:ind w:firstLine="416" w:firstLineChars="200"/>
              <w:jc w:val="both"/>
              <w:rPr>
                <w:rFonts w:hint="default"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r w14:paraId="0EA82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046A12EB">
            <w:pPr>
              <w:spacing w:before="266"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E7C7B7A">
            <w:pPr>
              <w:spacing w:before="266" w:line="221" w:lineRule="auto"/>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 w:val="21"/>
                <w:szCs w:val="21"/>
                <w:lang w:eastAsia="zh-CN"/>
              </w:rPr>
              <w:t>（</w:t>
            </w:r>
            <w:r>
              <w:rPr>
                <w:rFonts w:hint="default" w:ascii="Times New Roman" w:hAnsi="Times New Roman" w:eastAsia="宋体" w:cs="Times New Roman"/>
                <w:b/>
                <w:bCs/>
                <w:spacing w:val="-3"/>
                <w:sz w:val="21"/>
                <w:szCs w:val="21"/>
                <w:lang w:val="en-US" w:eastAsia="zh-CN"/>
              </w:rPr>
              <w:t>含税</w:t>
            </w:r>
            <w:r>
              <w:rPr>
                <w:rFonts w:hint="default" w:ascii="Times New Roman" w:hAnsi="Times New Roman" w:eastAsia="宋体" w:cs="Times New Roman"/>
                <w:b/>
                <w:bCs/>
                <w:spacing w:val="-3"/>
                <w:sz w:val="21"/>
                <w:szCs w:val="21"/>
                <w:lang w:eastAsia="zh-CN"/>
              </w:rPr>
              <w:t>）</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61B55EE1">
            <w:pPr>
              <w:spacing w:before="266" w:line="221" w:lineRule="auto"/>
              <w:ind w:firstLine="416" w:firstLineChars="200"/>
              <w:jc w:val="both"/>
              <w:rPr>
                <w:rFonts w:hint="default" w:ascii="Times New Roman" w:hAnsi="Times New Roman" w:eastAsia="宋体" w:cs="Times New Roman"/>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 xml:space="preserve"> </w:t>
            </w:r>
            <w:r>
              <w:rPr>
                <w:rFonts w:hint="default"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税率：</w:t>
            </w:r>
            <w:r>
              <w:rPr>
                <w:rFonts w:hint="default" w:ascii="Times New Roman" w:hAnsi="Times New Roman" w:eastAsia="宋体" w:cs="Times New Roman"/>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w:t>
            </w:r>
          </w:p>
        </w:tc>
      </w:tr>
    </w:tbl>
    <w:p w14:paraId="3076A63C">
      <w:pPr>
        <w:spacing w:line="291" w:lineRule="auto"/>
        <w:jc w:val="both"/>
        <w:rPr>
          <w:rFonts w:hint="default" w:ascii="Times New Roman" w:hAnsi="Times New Roman" w:eastAsia="宋体" w:cs="Times New Roman"/>
        </w:rPr>
      </w:pPr>
    </w:p>
    <w:p w14:paraId="50349689">
      <w:pPr>
        <w:spacing w:before="78" w:line="198" w:lineRule="auto"/>
        <w:ind w:left="211" w:firstLine="202" w:firstLineChars="100"/>
        <w:jc w:val="both"/>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注：  1.此表格中的总价合</w:t>
      </w:r>
      <w:r>
        <w:rPr>
          <w:rFonts w:hint="default" w:ascii="Times New Roman" w:hAnsi="Times New Roman" w:eastAsia="宋体" w:cs="Times New Roman"/>
          <w:spacing w:val="-2"/>
          <w:szCs w:val="21"/>
        </w:rPr>
        <w:t>计应与“投标货物数量及价目表”及开标一览表的价格一致</w:t>
      </w:r>
      <w:r>
        <w:rPr>
          <w:rFonts w:hint="default" w:ascii="Times New Roman" w:hAnsi="Times New Roman" w:eastAsia="宋体" w:cs="Times New Roman"/>
          <w:spacing w:val="-2"/>
          <w:sz w:val="24"/>
          <w:szCs w:val="24"/>
        </w:rPr>
        <w:t>。</w:t>
      </w:r>
    </w:p>
    <w:p w14:paraId="68EC9A12">
      <w:pPr>
        <w:spacing w:before="78" w:line="219" w:lineRule="auto"/>
        <w:ind w:firstLine="990" w:firstLineChars="5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2.该明细表所有信息均为必填项，不得删减，价格部分不得合并，可细化可增加。</w:t>
      </w:r>
    </w:p>
    <w:p w14:paraId="10A6A27C">
      <w:pPr>
        <w:spacing w:before="78" w:line="219" w:lineRule="auto"/>
        <w:ind w:firstLine="990" w:firstLineChars="500"/>
        <w:jc w:val="both"/>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3.因填写不规范造成废标及终止招标的，责任由投标人自负。</w:t>
      </w:r>
    </w:p>
    <w:p w14:paraId="428C85D6">
      <w:pPr>
        <w:pStyle w:val="16"/>
        <w:jc w:val="both"/>
        <w:rPr>
          <w:rFonts w:hint="default" w:ascii="Times New Roman" w:hAnsi="Times New Roman" w:eastAsia="宋体" w:cs="Times New Roman"/>
        </w:rPr>
      </w:pPr>
    </w:p>
    <w:p w14:paraId="14D6EB6E">
      <w:pPr>
        <w:pStyle w:val="16"/>
        <w:jc w:val="both"/>
        <w:rPr>
          <w:rFonts w:hint="default" w:ascii="Times New Roman" w:hAnsi="Times New Roman" w:eastAsia="宋体" w:cs="Times New Roman"/>
        </w:rPr>
      </w:pPr>
    </w:p>
    <w:p w14:paraId="44B33EB0">
      <w:pPr>
        <w:spacing w:before="140" w:line="220" w:lineRule="auto"/>
        <w:ind w:left="2" w:firstLine="464" w:firstLineChars="200"/>
        <w:jc w:val="both"/>
        <w:rPr>
          <w:rFonts w:hint="default" w:ascii="Times New Roman" w:hAnsi="Times New Roman" w:eastAsia="宋体" w:cs="Times New Roman"/>
          <w:spacing w:val="-2"/>
          <w:szCs w:val="21"/>
        </w:rPr>
        <w:sectPr>
          <w:footerReference r:id="rId34" w:type="default"/>
          <w:pgSz w:w="16841" w:h="11907"/>
          <w:pgMar w:top="400" w:right="1699" w:bottom="1168" w:left="1481" w:header="0" w:footer="990" w:gutter="0"/>
          <w:cols w:equalWidth="0" w:num="1">
            <w:col w:w="13660"/>
          </w:cols>
        </w:sect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 xml:space="preserve"> 授权代表(签字)：</w:t>
      </w:r>
      <w:r>
        <w:rPr>
          <w:rFonts w:hint="default" w:ascii="Times New Roman" w:hAnsi="Times New Roman" w:eastAsia="宋体" w:cs="Times New Roman"/>
          <w:spacing w:val="-2"/>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14:paraId="46A2AD18">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7BB871DE">
      <w:pPr>
        <w:jc w:val="both"/>
        <w:rPr>
          <w:rFonts w:hint="default" w:ascii="Times New Roman" w:hAnsi="Times New Roman"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A810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575943">
            <w:pPr>
              <w:jc w:val="both"/>
              <w:rPr>
                <w:rFonts w:hint="default" w:ascii="Times New Roman" w:hAnsi="Times New Roman" w:eastAsia="宋体" w:cs="Times New Roman"/>
                <w:b/>
                <w:szCs w:val="20"/>
              </w:rPr>
            </w:pP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p>
        </w:tc>
        <w:tc>
          <w:tcPr>
            <w:tcW w:w="2875" w:type="dxa"/>
            <w:tcBorders>
              <w:top w:val="single" w:color="auto" w:sz="4" w:space="0"/>
              <w:left w:val="single" w:color="auto" w:sz="4" w:space="0"/>
              <w:bottom w:val="single" w:color="auto" w:sz="4" w:space="0"/>
              <w:right w:val="single" w:color="auto" w:sz="4" w:space="0"/>
            </w:tcBorders>
            <w:vAlign w:val="center"/>
          </w:tcPr>
          <w:p w14:paraId="461C723E">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7605C34">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5C552A45">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4B56CBB9">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008168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F36F5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31E81E2">
            <w:pPr>
              <w:jc w:val="both"/>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E59127">
            <w:pPr>
              <w:jc w:val="both"/>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0064BDD">
            <w:pPr>
              <w:jc w:val="both"/>
              <w:rPr>
                <w:rFonts w:hint="default" w:ascii="Times New Roman" w:hAnsi="Times New Roman" w:eastAsia="宋体" w:cs="Times New Roman"/>
                <w:b/>
                <w:szCs w:val="20"/>
              </w:rPr>
            </w:pPr>
          </w:p>
        </w:tc>
      </w:tr>
      <w:tr w14:paraId="2F26C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2AD6C64">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688620B">
            <w:pPr>
              <w:jc w:val="both"/>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D0B9764">
            <w:pPr>
              <w:jc w:val="both"/>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3F6784">
            <w:pPr>
              <w:jc w:val="both"/>
              <w:rPr>
                <w:rFonts w:hint="default" w:ascii="Times New Roman" w:hAnsi="Times New Roman" w:eastAsia="宋体" w:cs="Times New Roman"/>
                <w:b/>
                <w:szCs w:val="21"/>
              </w:rPr>
            </w:pPr>
          </w:p>
        </w:tc>
      </w:tr>
      <w:tr w14:paraId="1327F9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28D7DF">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1A53DF1">
            <w:pPr>
              <w:jc w:val="both"/>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4E74FC5">
            <w:pPr>
              <w:jc w:val="both"/>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85240E1">
            <w:pPr>
              <w:jc w:val="both"/>
              <w:rPr>
                <w:rFonts w:hint="default" w:ascii="Times New Roman" w:hAnsi="Times New Roman" w:eastAsia="宋体" w:cs="Times New Roman"/>
                <w:b/>
                <w:szCs w:val="20"/>
              </w:rPr>
            </w:pPr>
          </w:p>
        </w:tc>
      </w:tr>
      <w:tr w14:paraId="52E3D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21B0EF6">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64BEE9D">
            <w:pPr>
              <w:jc w:val="both"/>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D8AD856">
            <w:pPr>
              <w:jc w:val="both"/>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C04E394">
            <w:pPr>
              <w:jc w:val="both"/>
              <w:rPr>
                <w:rFonts w:hint="default" w:ascii="Times New Roman" w:hAnsi="Times New Roman" w:eastAsia="宋体" w:cs="Times New Roman"/>
                <w:b/>
                <w:szCs w:val="21"/>
              </w:rPr>
            </w:pPr>
          </w:p>
          <w:p w14:paraId="2DE06104">
            <w:pPr>
              <w:jc w:val="both"/>
              <w:rPr>
                <w:rFonts w:hint="default" w:ascii="Times New Roman" w:hAnsi="Times New Roman" w:eastAsia="宋体" w:cs="Times New Roman"/>
                <w:b/>
                <w:szCs w:val="21"/>
              </w:rPr>
            </w:pPr>
          </w:p>
          <w:p w14:paraId="27595049">
            <w:pPr>
              <w:jc w:val="both"/>
              <w:rPr>
                <w:rFonts w:hint="default" w:ascii="Times New Roman" w:hAnsi="Times New Roman" w:eastAsia="宋体" w:cs="Times New Roman"/>
                <w:b/>
                <w:szCs w:val="21"/>
              </w:rPr>
            </w:pPr>
          </w:p>
          <w:p w14:paraId="1F58D93E">
            <w:pPr>
              <w:jc w:val="both"/>
              <w:rPr>
                <w:rFonts w:hint="default" w:ascii="Times New Roman" w:hAnsi="Times New Roman" w:eastAsia="宋体" w:cs="Times New Roman"/>
                <w:b/>
                <w:szCs w:val="21"/>
              </w:rPr>
            </w:pPr>
          </w:p>
          <w:p w14:paraId="11AC6A89">
            <w:pPr>
              <w:jc w:val="both"/>
              <w:rPr>
                <w:rFonts w:hint="default" w:ascii="Times New Roman" w:hAnsi="Times New Roman" w:eastAsia="宋体" w:cs="Times New Roman"/>
                <w:b/>
                <w:szCs w:val="21"/>
              </w:rPr>
            </w:pPr>
          </w:p>
          <w:p w14:paraId="75F554E0">
            <w:pPr>
              <w:jc w:val="both"/>
              <w:rPr>
                <w:rFonts w:hint="default" w:ascii="Times New Roman" w:hAnsi="Times New Roman" w:eastAsia="宋体" w:cs="Times New Roman"/>
                <w:b/>
                <w:szCs w:val="21"/>
              </w:rPr>
            </w:pPr>
          </w:p>
          <w:p w14:paraId="60E968B3">
            <w:pPr>
              <w:jc w:val="both"/>
              <w:rPr>
                <w:rFonts w:hint="default" w:ascii="Times New Roman" w:hAnsi="Times New Roman" w:eastAsia="宋体" w:cs="Times New Roman"/>
                <w:b/>
                <w:szCs w:val="21"/>
              </w:rPr>
            </w:pPr>
          </w:p>
          <w:p w14:paraId="358309CE">
            <w:pPr>
              <w:jc w:val="both"/>
              <w:rPr>
                <w:rFonts w:hint="default" w:ascii="Times New Roman" w:hAnsi="Times New Roman" w:eastAsia="宋体" w:cs="Times New Roman"/>
                <w:b/>
                <w:szCs w:val="21"/>
              </w:rPr>
            </w:pPr>
          </w:p>
          <w:p w14:paraId="2E492685">
            <w:pPr>
              <w:jc w:val="both"/>
              <w:rPr>
                <w:rFonts w:hint="default" w:ascii="Times New Roman" w:hAnsi="Times New Roman" w:eastAsia="宋体" w:cs="Times New Roman"/>
                <w:b/>
                <w:szCs w:val="21"/>
              </w:rPr>
            </w:pPr>
          </w:p>
          <w:p w14:paraId="1B9F1E6E">
            <w:pPr>
              <w:jc w:val="both"/>
              <w:rPr>
                <w:rFonts w:hint="default" w:ascii="Times New Roman" w:hAnsi="Times New Roman" w:eastAsia="宋体" w:cs="Times New Roman"/>
                <w:b/>
                <w:szCs w:val="21"/>
              </w:rPr>
            </w:pPr>
          </w:p>
          <w:p w14:paraId="01A2D6BF">
            <w:pPr>
              <w:jc w:val="both"/>
              <w:rPr>
                <w:rFonts w:hint="default" w:ascii="Times New Roman" w:hAnsi="Times New Roman" w:eastAsia="宋体" w:cs="Times New Roman"/>
                <w:b/>
                <w:szCs w:val="21"/>
              </w:rPr>
            </w:pPr>
          </w:p>
          <w:p w14:paraId="3C465CEE">
            <w:pPr>
              <w:jc w:val="both"/>
              <w:rPr>
                <w:rFonts w:hint="default" w:ascii="Times New Roman" w:hAnsi="Times New Roman" w:eastAsia="宋体" w:cs="Times New Roman"/>
                <w:b/>
                <w:szCs w:val="21"/>
              </w:rPr>
            </w:pPr>
          </w:p>
          <w:p w14:paraId="74FA0EE3">
            <w:pPr>
              <w:jc w:val="both"/>
              <w:rPr>
                <w:rFonts w:hint="default" w:ascii="Times New Roman" w:hAnsi="Times New Roman" w:eastAsia="宋体" w:cs="Times New Roman"/>
                <w:b/>
                <w:szCs w:val="21"/>
              </w:rPr>
            </w:pPr>
          </w:p>
          <w:p w14:paraId="37446B76">
            <w:pPr>
              <w:jc w:val="both"/>
              <w:rPr>
                <w:rFonts w:hint="default" w:ascii="Times New Roman" w:hAnsi="Times New Roman" w:eastAsia="宋体" w:cs="Times New Roman"/>
                <w:b/>
                <w:szCs w:val="21"/>
              </w:rPr>
            </w:pPr>
          </w:p>
          <w:p w14:paraId="4B9476A1">
            <w:pPr>
              <w:jc w:val="both"/>
              <w:rPr>
                <w:rFonts w:hint="default" w:ascii="Times New Roman" w:hAnsi="Times New Roman" w:eastAsia="宋体" w:cs="Times New Roman"/>
                <w:b/>
                <w:szCs w:val="21"/>
              </w:rPr>
            </w:pPr>
          </w:p>
          <w:p w14:paraId="1C606922">
            <w:pPr>
              <w:jc w:val="both"/>
              <w:rPr>
                <w:rFonts w:hint="default" w:ascii="Times New Roman" w:hAnsi="Times New Roman" w:eastAsia="宋体" w:cs="Times New Roman"/>
                <w:b/>
                <w:szCs w:val="21"/>
              </w:rPr>
            </w:pPr>
          </w:p>
          <w:p w14:paraId="0EAA3C63">
            <w:pPr>
              <w:jc w:val="both"/>
              <w:rPr>
                <w:rFonts w:hint="default" w:ascii="Times New Roman" w:hAnsi="Times New Roman" w:eastAsia="宋体" w:cs="Times New Roman"/>
                <w:b/>
                <w:szCs w:val="20"/>
              </w:rPr>
            </w:pPr>
          </w:p>
        </w:tc>
      </w:tr>
      <w:tr w14:paraId="36B932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58ACFAE">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756446D">
            <w:pPr>
              <w:jc w:val="both"/>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E771690">
            <w:pPr>
              <w:jc w:val="both"/>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A020DF1">
            <w:pPr>
              <w:jc w:val="both"/>
              <w:rPr>
                <w:rFonts w:hint="default" w:ascii="Times New Roman" w:hAnsi="Times New Roman" w:eastAsia="宋体" w:cs="Times New Roman"/>
                <w:b/>
                <w:szCs w:val="20"/>
              </w:rPr>
            </w:pPr>
          </w:p>
        </w:tc>
      </w:tr>
    </w:tbl>
    <w:p w14:paraId="311958CE">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471FAE15">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7C257796">
      <w:pPr>
        <w:jc w:val="both"/>
        <w:rPr>
          <w:rFonts w:hint="default" w:ascii="Times New Roman" w:hAnsi="Times New Roman" w:eastAsia="宋体" w:cs="Times New Roman"/>
          <w:szCs w:val="20"/>
        </w:rPr>
      </w:pPr>
    </w:p>
    <w:p w14:paraId="6E139FF0">
      <w:pPr>
        <w:jc w:val="both"/>
        <w:rPr>
          <w:rFonts w:hint="default" w:ascii="Times New Roman" w:hAnsi="Times New Roman" w:eastAsia="宋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457354A">
      <w:pPr>
        <w:spacing w:before="110" w:line="227" w:lineRule="auto"/>
        <w:ind w:left="29"/>
        <w:jc w:val="both"/>
        <w:outlineLvl w:val="2"/>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2BE1B37B">
      <w:pPr>
        <w:spacing w:line="272" w:lineRule="auto"/>
        <w:jc w:val="both"/>
        <w:rPr>
          <w:rFonts w:hint="default" w:ascii="Times New Roman" w:hAnsi="Times New Roman" w:eastAsia="宋体" w:cs="Times New Roman"/>
        </w:rPr>
      </w:pPr>
    </w:p>
    <w:p w14:paraId="3ED83D8B">
      <w:pPr>
        <w:spacing w:before="75" w:line="228" w:lineRule="auto"/>
        <w:ind w:left="134"/>
        <w:jc w:val="both"/>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p>
    <w:p w14:paraId="6B8D8506">
      <w:pPr>
        <w:spacing w:before="306" w:line="227" w:lineRule="auto"/>
        <w:ind w:left="205"/>
        <w:jc w:val="both"/>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40B10A99">
      <w:pPr>
        <w:jc w:val="both"/>
        <w:rPr>
          <w:rFonts w:hint="default" w:ascii="Times New Roman" w:hAnsi="Times New Roman" w:eastAsia="宋体" w:cs="Times New Roman"/>
        </w:rPr>
      </w:pPr>
    </w:p>
    <w:p w14:paraId="10DA4623">
      <w:pPr>
        <w:spacing w:line="109" w:lineRule="exact"/>
        <w:jc w:val="both"/>
        <w:rPr>
          <w:rFonts w:hint="default" w:ascii="Times New Roman" w:hAnsi="Times New Roman" w:eastAsia="宋体" w:cs="Times New Roman"/>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191622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E595FD5">
            <w:pPr>
              <w:spacing w:before="52" w:line="227" w:lineRule="auto"/>
              <w:ind w:left="128"/>
              <w:jc w:val="both"/>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5D8DBB98">
            <w:pPr>
              <w:spacing w:before="48" w:line="391" w:lineRule="auto"/>
              <w:ind w:left="125" w:right="115" w:firstLine="491"/>
              <w:jc w:val="both"/>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8D6FBC0">
      <w:pPr>
        <w:keepNext/>
        <w:keepLines/>
        <w:jc w:val="both"/>
        <w:rPr>
          <w:rFonts w:hint="default" w:ascii="Times New Roman" w:hAnsi="Times New Roman" w:eastAsia="宋体" w:cs="Times New Roman"/>
          <w:b/>
          <w:bCs/>
          <w:color w:val="000000"/>
          <w:sz w:val="24"/>
          <w:szCs w:val="24"/>
        </w:rPr>
      </w:pPr>
    </w:p>
    <w:p w14:paraId="36385778">
      <w:pPr>
        <w:spacing w:before="75" w:line="227" w:lineRule="auto"/>
        <w:ind w:left="135"/>
        <w:jc w:val="both"/>
        <w:rPr>
          <w:rFonts w:hint="default" w:ascii="Times New Roman" w:hAnsi="Times New Roman" w:eastAsia="宋体" w:cs="Times New Roman"/>
          <w:spacing w:val="-2"/>
          <w:sz w:val="24"/>
          <w:szCs w:val="24"/>
        </w:rPr>
      </w:pPr>
    </w:p>
    <w:p w14:paraId="3C77DEFE">
      <w:pPr>
        <w:spacing w:before="75" w:line="227" w:lineRule="auto"/>
        <w:ind w:left="135"/>
        <w:jc w:val="both"/>
        <w:rPr>
          <w:rFonts w:hint="default" w:ascii="Times New Roman" w:hAnsi="Times New Roman" w:eastAsia="宋体" w:cs="Times New Roman"/>
          <w:spacing w:val="-2"/>
          <w:sz w:val="24"/>
          <w:szCs w:val="24"/>
        </w:rPr>
      </w:pPr>
    </w:p>
    <w:p w14:paraId="720D96E3">
      <w:pPr>
        <w:spacing w:before="75" w:line="227" w:lineRule="auto"/>
        <w:ind w:left="135"/>
        <w:jc w:val="both"/>
        <w:rPr>
          <w:rFonts w:hint="default" w:ascii="Times New Roman" w:hAnsi="Times New Roman" w:eastAsia="宋体" w:cs="Times New Roman"/>
          <w:sz w:val="24"/>
          <w:szCs w:val="24"/>
        </w:rPr>
        <w:sectPr>
          <w:footerReference r:id="rId35" w:type="default"/>
          <w:pgSz w:w="11906" w:h="16839"/>
          <w:pgMar w:top="1431" w:right="1417" w:bottom="1179" w:left="1304" w:header="850" w:footer="992" w:gutter="0"/>
          <w:cols w:space="720" w:num="1"/>
        </w:sect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67214EB0">
      <w:pPr>
        <w:keepNext/>
        <w:keepLines/>
        <w:jc w:val="both"/>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7E180CB3">
      <w:pPr>
        <w:spacing w:line="240" w:lineRule="exact"/>
        <w:jc w:val="both"/>
        <w:rPr>
          <w:rFonts w:hint="default" w:ascii="Times New Roman" w:hAnsi="Times New Roman" w:eastAsia="宋体" w:cs="Times New Roman"/>
          <w:b/>
          <w:bCs/>
          <w:sz w:val="36"/>
          <w:szCs w:val="20"/>
        </w:rPr>
      </w:pPr>
    </w:p>
    <w:p w14:paraId="006C53F8">
      <w:pPr>
        <w:spacing w:line="360" w:lineRule="auto"/>
        <w:jc w:val="both"/>
        <w:rPr>
          <w:rFonts w:hint="default" w:ascii="Times New Roman" w:hAnsi="Times New Roman" w:eastAsia="宋体" w:cs="Times New Roman"/>
          <w:sz w:val="24"/>
          <w:szCs w:val="20"/>
          <w:highlight w:val="cyan"/>
        </w:rPr>
      </w:pPr>
      <w:r>
        <w:rPr>
          <w:rFonts w:hint="default" w:ascii="Times New Roman" w:hAnsi="Times New Roman" w:eastAsia="宋体" w:cs="Times New Roman"/>
          <w:sz w:val="24"/>
          <w:szCs w:val="20"/>
        </w:rPr>
        <w:t>项目名称：</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p>
    <w:p w14:paraId="10308AC3">
      <w:pPr>
        <w:spacing w:line="360" w:lineRule="auto"/>
        <w:jc w:val="both"/>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14:paraId="653A453F">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39C7681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B31E44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2A818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AB823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D92CD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D8E35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07A1E51">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4ECF59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E1086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DEAA58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57D7F6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00D3D4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95FC43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6D43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41E090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42501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A4554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4E3E895">
      <w:pPr>
        <w:spacing w:line="360" w:lineRule="auto"/>
        <w:ind w:firstLine="480" w:firstLineChars="200"/>
        <w:jc w:val="both"/>
        <w:rPr>
          <w:rFonts w:hint="default" w:ascii="Times New Roman" w:hAnsi="Times New Roman" w:eastAsia="宋体" w:cs="Times New Roman"/>
          <w:sz w:val="24"/>
          <w:szCs w:val="20"/>
          <w:u w:val="single"/>
        </w:rPr>
      </w:pPr>
    </w:p>
    <w:p w14:paraId="3A8CE09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ECD7ED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53FDC0EF">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38858E34">
      <w:pPr>
        <w:jc w:val="both"/>
        <w:rPr>
          <w:rFonts w:hint="default" w:ascii="Times New Roman" w:hAnsi="Times New Roman" w:eastAsia="宋体" w:cs="Times New Roman"/>
          <w:b/>
          <w:bCs/>
          <w:color w:val="000000"/>
          <w:sz w:val="28"/>
          <w:szCs w:val="20"/>
        </w:rPr>
      </w:pPr>
    </w:p>
    <w:p w14:paraId="4F2E9443">
      <w:pPr>
        <w:pStyle w:val="16"/>
        <w:jc w:val="both"/>
        <w:rPr>
          <w:rFonts w:hint="default" w:ascii="Times New Roman" w:hAnsi="Times New Roman" w:eastAsia="宋体" w:cs="Times New Roman"/>
          <w:b/>
          <w:bCs/>
          <w:color w:val="000000"/>
          <w:sz w:val="28"/>
          <w:szCs w:val="20"/>
        </w:rPr>
      </w:pPr>
    </w:p>
    <w:p w14:paraId="20709794">
      <w:pPr>
        <w:jc w:val="both"/>
        <w:rPr>
          <w:rFonts w:hint="default" w:ascii="Times New Roman" w:hAnsi="Times New Roman" w:eastAsia="宋体" w:cs="Times New Roman"/>
          <w:b/>
          <w:bCs/>
          <w:color w:val="000000"/>
          <w:sz w:val="28"/>
          <w:szCs w:val="20"/>
        </w:rPr>
      </w:pPr>
    </w:p>
    <w:p w14:paraId="4A1BE59C">
      <w:pPr>
        <w:jc w:val="both"/>
        <w:outlineLvl w:val="2"/>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05A88D97">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1B4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E763816">
            <w:pPr>
              <w:jc w:val="both"/>
              <w:rPr>
                <w:rFonts w:hint="default" w:ascii="Times New Roman" w:hAnsi="Times New Roman" w:eastAsia="宋体" w:cs="Times New Roman"/>
                <w:b/>
                <w:szCs w:val="20"/>
              </w:rPr>
            </w:pPr>
          </w:p>
          <w:p w14:paraId="6E473079">
            <w:pPr>
              <w:jc w:val="both"/>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781C6EE9">
            <w:pPr>
              <w:jc w:val="both"/>
              <w:rPr>
                <w:rFonts w:hint="default" w:ascii="Times New Roman" w:hAnsi="Times New Roman" w:eastAsia="宋体" w:cs="Times New Roman"/>
                <w:b/>
                <w:sz w:val="30"/>
                <w:szCs w:val="30"/>
              </w:rPr>
            </w:pPr>
          </w:p>
          <w:p w14:paraId="3DF343EC">
            <w:pPr>
              <w:jc w:val="both"/>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（1正本/</w:t>
            </w:r>
            <w:r>
              <w:rPr>
                <w:rFonts w:hint="default" w:ascii="Times New Roman" w:hAnsi="Times New Roman" w:eastAsia="宋体" w:cs="Times New Roman"/>
                <w:b/>
                <w:sz w:val="30"/>
                <w:szCs w:val="30"/>
                <w:u w:val="single"/>
              </w:rPr>
              <w:t xml:space="preserve"> </w:t>
            </w:r>
            <w:r>
              <w:rPr>
                <w:rFonts w:hint="default" w:ascii="Times New Roman" w:hAnsi="Times New Roman" w:eastAsia="宋体" w:cs="Times New Roman"/>
                <w:b/>
                <w:sz w:val="30"/>
                <w:szCs w:val="30"/>
                <w:u w:val="single"/>
                <w:lang w:val="en-US" w:eastAsia="zh-CN"/>
              </w:rPr>
              <w:t>0</w:t>
            </w:r>
            <w:r>
              <w:rPr>
                <w:rFonts w:hint="default" w:ascii="Times New Roman" w:hAnsi="Times New Roman" w:eastAsia="宋体" w:cs="Times New Roman"/>
                <w:b/>
                <w:sz w:val="30"/>
                <w:szCs w:val="30"/>
                <w:u w:val="single"/>
              </w:rPr>
              <w:t xml:space="preserve"> </w:t>
            </w:r>
            <w:r>
              <w:rPr>
                <w:rFonts w:hint="default" w:ascii="Times New Roman" w:hAnsi="Times New Roman" w:eastAsia="宋体" w:cs="Times New Roman"/>
                <w:b/>
                <w:sz w:val="30"/>
                <w:szCs w:val="30"/>
              </w:rPr>
              <w:t>副本）</w:t>
            </w:r>
          </w:p>
          <w:p w14:paraId="7B13FBEE">
            <w:pPr>
              <w:jc w:val="both"/>
              <w:rPr>
                <w:rFonts w:hint="default" w:ascii="Times New Roman" w:hAnsi="Times New Roman" w:eastAsia="宋体" w:cs="Times New Roman"/>
                <w:b/>
                <w:szCs w:val="20"/>
              </w:rPr>
            </w:pPr>
          </w:p>
          <w:p w14:paraId="54BDDDD3">
            <w:pPr>
              <w:jc w:val="both"/>
              <w:rPr>
                <w:rFonts w:hint="default" w:ascii="Times New Roman" w:hAnsi="Times New Roman" w:eastAsia="宋体" w:cs="Times New Roman"/>
                <w:b/>
                <w:szCs w:val="20"/>
              </w:rPr>
            </w:pPr>
          </w:p>
          <w:p w14:paraId="670447FD">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项目名称：</w:t>
            </w:r>
            <w:r>
              <w:rPr>
                <w:rFonts w:hint="eastAsia" w:ascii="Times New Roman" w:hAnsi="Times New Roman" w:eastAsia="宋体" w:cs="Times New Roman"/>
                <w:sz w:val="24"/>
                <w:szCs w:val="24"/>
                <w:highlight w:val="none"/>
                <w:u w:val="single"/>
                <w:lang w:val="en-US" w:eastAsia="zh-CN"/>
              </w:rPr>
              <w:t>产品试验检测中心科技园区试验室集装箱式气瓶间改造项目</w:t>
            </w:r>
          </w:p>
          <w:p w14:paraId="30595E3D">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0D0FCC59">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396151F4">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5534B6D2">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0C4D163A">
            <w:pPr>
              <w:jc w:val="both"/>
              <w:rPr>
                <w:rFonts w:hint="default" w:ascii="Times New Roman" w:hAnsi="Times New Roman" w:eastAsia="宋体" w:cs="Times New Roman"/>
                <w:b/>
                <w:szCs w:val="20"/>
              </w:rPr>
            </w:pPr>
          </w:p>
          <w:p w14:paraId="61B46841">
            <w:pPr>
              <w:jc w:val="both"/>
              <w:rPr>
                <w:rFonts w:hint="default" w:ascii="Times New Roman" w:hAnsi="Times New Roman" w:eastAsia="宋体" w:cs="Times New Roman"/>
                <w:b/>
                <w:szCs w:val="20"/>
              </w:rPr>
            </w:pPr>
          </w:p>
        </w:tc>
      </w:tr>
    </w:tbl>
    <w:p w14:paraId="6F8A2855">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53675CC4">
      <w:pPr>
        <w:pStyle w:val="16"/>
        <w:jc w:val="both"/>
        <w:rPr>
          <w:rFonts w:hint="default" w:ascii="Times New Roman" w:hAnsi="Times New Roman" w:eastAsia="宋体" w:cs="Times New Roman"/>
        </w:rPr>
      </w:pPr>
    </w:p>
    <w:p w14:paraId="321BB4CD">
      <w:pPr>
        <w:jc w:val="both"/>
        <w:rPr>
          <w:rFonts w:hint="default" w:ascii="Times New Roman" w:hAnsi="Times New Roman" w:eastAsia="宋体" w:cs="Times New Roman"/>
          <w:sz w:val="20"/>
          <w:szCs w:val="20"/>
        </w:rPr>
      </w:pPr>
    </w:p>
    <w:p w14:paraId="575CECFF">
      <w:pPr>
        <w:jc w:val="both"/>
        <w:rPr>
          <w:rFonts w:hint="default" w:ascii="Times New Roman" w:hAnsi="Times New Roman" w:eastAsia="宋体" w:cs="Times New Roman"/>
          <w:sz w:val="20"/>
          <w:szCs w:val="20"/>
        </w:rPr>
      </w:pPr>
    </w:p>
    <w:p w14:paraId="53492573">
      <w:pPr>
        <w:jc w:val="both"/>
        <w:rPr>
          <w:rFonts w:hint="default" w:ascii="Times New Roman" w:hAnsi="Times New Roman" w:eastAsia="宋体" w:cs="Times New Roman"/>
        </w:r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59CD4C8B">
      <w:pPr>
        <w:adjustRightInd/>
        <w:snapToGrid/>
        <w:spacing w:line="240" w:lineRule="auto"/>
        <w:ind w:firstLine="0" w:firstLineChars="0"/>
        <w:jc w:val="both"/>
        <w:outlineLvl w:val="2"/>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b/>
          <w:bCs/>
          <w:color w:val="000000"/>
          <w:sz w:val="24"/>
          <w:szCs w:val="24"/>
        </w:rPr>
        <w:t>附件1</w:t>
      </w:r>
      <w:r>
        <w:rPr>
          <w:rFonts w:hint="default" w:ascii="Times New Roman" w:hAnsi="Times New Roman" w:eastAsia="宋体" w:cs="Times New Roman"/>
          <w:b/>
          <w:bCs/>
          <w:color w:val="000000"/>
          <w:sz w:val="24"/>
          <w:szCs w:val="24"/>
          <w:lang w:val="en-US" w:eastAsia="zh-CN"/>
        </w:rPr>
        <w:t>4技术标</w:t>
      </w:r>
      <w:r>
        <w:rPr>
          <w:rFonts w:hint="default" w:ascii="Times New Roman" w:hAnsi="Times New Roman" w:eastAsia="宋体" w:cs="Times New Roman"/>
          <w:b/>
          <w:bCs/>
          <w:color w:val="000000"/>
          <w:sz w:val="24"/>
          <w:szCs w:val="24"/>
        </w:rPr>
        <w:t>评分标准</w:t>
      </w:r>
    </w:p>
    <w:p w14:paraId="1CD7B6CB">
      <w:pPr>
        <w:keepNext/>
        <w:keepLines/>
        <w:spacing w:before="156" w:beforeLines="50" w:after="156" w:afterLines="50" w:line="360" w:lineRule="auto"/>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技术标评审表（100分）</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810"/>
        <w:gridCol w:w="1523"/>
        <w:gridCol w:w="10234"/>
      </w:tblGrid>
      <w:tr w14:paraId="1C66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dxa"/>
            <w:vAlign w:val="center"/>
          </w:tcPr>
          <w:p w14:paraId="6F41E337">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评审内容</w:t>
            </w:r>
          </w:p>
        </w:tc>
        <w:tc>
          <w:tcPr>
            <w:tcW w:w="810" w:type="dxa"/>
            <w:vAlign w:val="center"/>
          </w:tcPr>
          <w:p w14:paraId="3F3E9ED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分值</w:t>
            </w:r>
          </w:p>
        </w:tc>
        <w:tc>
          <w:tcPr>
            <w:tcW w:w="1523" w:type="dxa"/>
            <w:shd w:val="clear" w:color="auto" w:fill="auto"/>
            <w:vAlign w:val="center"/>
          </w:tcPr>
          <w:p w14:paraId="44A83F35">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内容</w:t>
            </w:r>
          </w:p>
        </w:tc>
        <w:tc>
          <w:tcPr>
            <w:tcW w:w="10234" w:type="dxa"/>
            <w:shd w:val="clear" w:color="auto" w:fill="auto"/>
            <w:vAlign w:val="center"/>
          </w:tcPr>
          <w:p w14:paraId="14CD55B5">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sz w:val="28"/>
                <w:szCs w:val="28"/>
                <w:vertAlign w:val="baseline"/>
                <w:lang w:val="en-US" w:eastAsia="zh-CN"/>
              </w:rPr>
              <w:t>评价标准</w:t>
            </w:r>
          </w:p>
        </w:tc>
      </w:tr>
      <w:tr w14:paraId="7D65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trPr>
        <w:tc>
          <w:tcPr>
            <w:tcW w:w="1644" w:type="dxa"/>
            <w:vMerge w:val="restart"/>
            <w:vAlign w:val="center"/>
          </w:tcPr>
          <w:p w14:paraId="55E6F2AD">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 w:val="0"/>
                <w:i w:val="0"/>
                <w:iCs w:val="0"/>
                <w:caps w:val="0"/>
                <w:color w:val="000000"/>
                <w:spacing w:val="0"/>
                <w:kern w:val="0"/>
                <w:sz w:val="28"/>
                <w:szCs w:val="28"/>
                <w:lang w:val="en-US" w:eastAsia="zh-CN" w:bidi="ar"/>
              </w:rPr>
              <w:t>1.企业资质与业绩</w:t>
            </w:r>
          </w:p>
        </w:tc>
        <w:tc>
          <w:tcPr>
            <w:tcW w:w="810" w:type="dxa"/>
            <w:vMerge w:val="restart"/>
            <w:vAlign w:val="center"/>
          </w:tcPr>
          <w:p w14:paraId="356F3A8D">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25</w:t>
            </w:r>
          </w:p>
        </w:tc>
        <w:tc>
          <w:tcPr>
            <w:tcW w:w="1523" w:type="dxa"/>
            <w:shd w:val="clear" w:color="auto" w:fill="auto"/>
            <w:vAlign w:val="center"/>
          </w:tcPr>
          <w:p w14:paraId="21FA7054">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
                <w:bCs/>
                <w:i w:val="0"/>
                <w:iCs w:val="0"/>
                <w:caps w:val="0"/>
                <w:color w:val="000000"/>
                <w:spacing w:val="0"/>
                <w:kern w:val="0"/>
                <w:sz w:val="28"/>
                <w:szCs w:val="28"/>
                <w:lang w:val="en-US" w:eastAsia="zh-CN" w:bidi="ar"/>
              </w:rPr>
            </w:pPr>
            <w:r>
              <w:rPr>
                <w:rFonts w:hint="default" w:ascii="Times New Roman" w:hAnsi="Times New Roman" w:eastAsia="宋体" w:cs="Times New Roman"/>
                <w:b/>
                <w:bCs/>
                <w:i w:val="0"/>
                <w:iCs w:val="0"/>
                <w:caps w:val="0"/>
                <w:color w:val="000000"/>
                <w:spacing w:val="0"/>
                <w:kern w:val="0"/>
                <w:sz w:val="28"/>
                <w:szCs w:val="28"/>
                <w:lang w:val="en-US" w:eastAsia="zh-CN" w:bidi="ar"/>
              </w:rPr>
              <w:t>企业资质</w:t>
            </w:r>
          </w:p>
        </w:tc>
        <w:tc>
          <w:tcPr>
            <w:tcW w:w="10234" w:type="dxa"/>
            <w:vMerge w:val="restart"/>
            <w:shd w:val="clear" w:color="auto" w:fill="auto"/>
            <w:vAlign w:val="center"/>
          </w:tcPr>
          <w:p w14:paraId="0AF68F8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both"/>
              <w:textAlignment w:val="auto"/>
              <w:rPr>
                <w:rFonts w:hint="default" w:ascii="Times New Roman" w:hAnsi="Times New Roman" w:eastAsia="宋体" w:cs="Times New Roman"/>
                <w:b w:val="0"/>
                <w:i w:val="0"/>
                <w:iCs w:val="0"/>
                <w:caps w:val="0"/>
                <w:color w:val="000000"/>
                <w:spacing w:val="0"/>
                <w:kern w:val="0"/>
                <w:sz w:val="28"/>
                <w:szCs w:val="28"/>
                <w:lang w:val="en-US" w:eastAsia="zh-CN" w:bidi="ar"/>
              </w:rPr>
            </w:pPr>
            <w:r>
              <w:rPr>
                <w:rFonts w:hint="default" w:ascii="Times New Roman" w:hAnsi="Times New Roman" w:eastAsia="宋体" w:cs="Times New Roman"/>
                <w:b w:val="0"/>
                <w:i w:val="0"/>
                <w:iCs w:val="0"/>
                <w:caps w:val="0"/>
                <w:color w:val="000000"/>
                <w:spacing w:val="0"/>
                <w:kern w:val="0"/>
                <w:sz w:val="28"/>
                <w:szCs w:val="28"/>
                <w:lang w:val="en-US" w:eastAsia="zh-CN" w:bidi="ar"/>
              </w:rPr>
              <w:t>投标人提供自2022年1月1日以来投入使用的同类项目的项目业绩(以合同复印件加盖公章为准，时间以签订日期为准)由评标委员会成员按照营业执照是否完备、合同相关性以及财务状况三个方面进行客观打分：</w:t>
            </w:r>
          </w:p>
          <w:p w14:paraId="69E0446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both"/>
              <w:textAlignment w:val="auto"/>
              <w:rPr>
                <w:rFonts w:hint="default" w:ascii="Times New Roman" w:hAnsi="Times New Roman" w:eastAsia="宋体" w:cs="Times New Roman"/>
                <w:b w:val="0"/>
                <w:i w:val="0"/>
                <w:iCs w:val="0"/>
                <w:caps w:val="0"/>
                <w:color w:val="000000"/>
                <w:spacing w:val="0"/>
                <w:kern w:val="0"/>
                <w:sz w:val="28"/>
                <w:szCs w:val="28"/>
                <w:lang w:val="en-US" w:eastAsia="zh-CN" w:bidi="ar"/>
              </w:rPr>
            </w:pPr>
            <w:r>
              <w:rPr>
                <w:rFonts w:hint="default" w:ascii="Times New Roman" w:hAnsi="Times New Roman" w:eastAsia="宋体" w:cs="Times New Roman"/>
                <w:b w:val="0"/>
                <w:i w:val="0"/>
                <w:iCs w:val="0"/>
                <w:caps w:val="0"/>
                <w:color w:val="000000"/>
                <w:spacing w:val="0"/>
                <w:kern w:val="0"/>
                <w:sz w:val="28"/>
                <w:szCs w:val="28"/>
                <w:lang w:val="en-US" w:eastAsia="zh-CN" w:bidi="ar"/>
              </w:rPr>
              <w:t>1.具备有效的营业执照、安全生产许可证、压力容器安装资质等证件，资质等级符合项目要求，0-10分；</w:t>
            </w:r>
          </w:p>
          <w:p w14:paraId="063BFB73">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 w:val="0"/>
                <w:i w:val="0"/>
                <w:iCs w:val="0"/>
                <w:caps w:val="0"/>
                <w:color w:val="000000"/>
                <w:spacing w:val="0"/>
                <w:kern w:val="0"/>
                <w:sz w:val="28"/>
                <w:szCs w:val="28"/>
                <w:lang w:val="en-US" w:eastAsia="zh-CN" w:bidi="ar"/>
              </w:rPr>
              <w:t>2.近三年内完成过类似箱式气瓶间项目，提供合同复印件及用户反馈，业绩数量与规模与本项目匹配度高0-10分；</w:t>
            </w:r>
          </w:p>
          <w:p w14:paraId="6EF6F654">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 w:val="0"/>
                <w:i w:val="0"/>
                <w:iCs w:val="0"/>
                <w:caps w:val="0"/>
                <w:color w:val="000000"/>
                <w:spacing w:val="0"/>
                <w:kern w:val="0"/>
                <w:sz w:val="28"/>
                <w:szCs w:val="28"/>
                <w:lang w:val="en-US" w:eastAsia="zh-CN" w:bidi="ar"/>
              </w:rPr>
              <w:t>3.提供近三年财务审计报告，财务状况稳健，无重大债务纠纷0-5分。</w:t>
            </w:r>
          </w:p>
        </w:tc>
      </w:tr>
      <w:tr w14:paraId="6239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1644" w:type="dxa"/>
            <w:vMerge w:val="continue"/>
            <w:vAlign w:val="center"/>
          </w:tcPr>
          <w:p w14:paraId="396D5B00">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810" w:type="dxa"/>
            <w:vMerge w:val="continue"/>
            <w:vAlign w:val="center"/>
          </w:tcPr>
          <w:p w14:paraId="5EB0EDC7">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1523" w:type="dxa"/>
            <w:shd w:val="clear" w:color="auto" w:fill="auto"/>
            <w:vAlign w:val="center"/>
          </w:tcPr>
          <w:p w14:paraId="7576EA3D">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i w:val="0"/>
                <w:iCs w:val="0"/>
                <w:caps w:val="0"/>
                <w:color w:val="000000"/>
                <w:spacing w:val="0"/>
                <w:kern w:val="0"/>
                <w:sz w:val="28"/>
                <w:szCs w:val="28"/>
                <w:lang w:val="en-US" w:eastAsia="zh-CN" w:bidi="ar"/>
              </w:rPr>
            </w:pPr>
            <w:r>
              <w:rPr>
                <w:rFonts w:hint="default" w:ascii="Times New Roman" w:hAnsi="Times New Roman" w:eastAsia="宋体" w:cs="Times New Roman"/>
                <w:b/>
                <w:bCs/>
                <w:i w:val="0"/>
                <w:iCs w:val="0"/>
                <w:caps w:val="0"/>
                <w:color w:val="000000"/>
                <w:spacing w:val="0"/>
                <w:kern w:val="0"/>
                <w:sz w:val="28"/>
                <w:szCs w:val="28"/>
                <w:lang w:val="en-US" w:eastAsia="zh-CN" w:bidi="ar"/>
              </w:rPr>
              <w:t>业绩经验</w:t>
            </w:r>
          </w:p>
        </w:tc>
        <w:tc>
          <w:tcPr>
            <w:tcW w:w="10234" w:type="dxa"/>
            <w:vMerge w:val="continue"/>
            <w:shd w:val="clear" w:color="auto" w:fill="auto"/>
            <w:vAlign w:val="center"/>
          </w:tcPr>
          <w:p w14:paraId="6EE947E4">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p>
        </w:tc>
      </w:tr>
      <w:tr w14:paraId="6C4C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dxa"/>
            <w:vMerge w:val="continue"/>
            <w:vAlign w:val="center"/>
          </w:tcPr>
          <w:p w14:paraId="07CFCFAD">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810" w:type="dxa"/>
            <w:vMerge w:val="continue"/>
            <w:vAlign w:val="center"/>
          </w:tcPr>
          <w:p w14:paraId="5822D469">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1523" w:type="dxa"/>
            <w:shd w:val="clear" w:color="auto" w:fill="auto"/>
            <w:vAlign w:val="center"/>
          </w:tcPr>
          <w:p w14:paraId="3C5181C8">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i w:val="0"/>
                <w:iCs w:val="0"/>
                <w:caps w:val="0"/>
                <w:color w:val="000000"/>
                <w:spacing w:val="0"/>
                <w:kern w:val="0"/>
                <w:sz w:val="28"/>
                <w:szCs w:val="28"/>
                <w:lang w:val="en-US" w:eastAsia="zh-CN" w:bidi="ar"/>
              </w:rPr>
            </w:pPr>
            <w:r>
              <w:rPr>
                <w:rFonts w:hint="default" w:ascii="Times New Roman" w:hAnsi="Times New Roman" w:eastAsia="宋体" w:cs="Times New Roman"/>
                <w:b/>
                <w:bCs/>
                <w:i w:val="0"/>
                <w:iCs w:val="0"/>
                <w:caps w:val="0"/>
                <w:color w:val="000000"/>
                <w:spacing w:val="0"/>
                <w:kern w:val="0"/>
                <w:sz w:val="28"/>
                <w:szCs w:val="28"/>
                <w:lang w:val="en-US" w:eastAsia="zh-CN" w:bidi="ar"/>
              </w:rPr>
              <w:t>财务状况</w:t>
            </w:r>
          </w:p>
        </w:tc>
        <w:tc>
          <w:tcPr>
            <w:tcW w:w="10234" w:type="dxa"/>
            <w:vMerge w:val="continue"/>
            <w:shd w:val="clear" w:color="auto" w:fill="auto"/>
            <w:vAlign w:val="center"/>
          </w:tcPr>
          <w:p w14:paraId="28BF9F20">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p>
        </w:tc>
      </w:tr>
      <w:tr w14:paraId="4247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644" w:type="dxa"/>
            <w:vMerge w:val="restart"/>
            <w:vAlign w:val="center"/>
          </w:tcPr>
          <w:p w14:paraId="11A92CB0">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r>
              <w:rPr>
                <w:rFonts w:hint="default" w:ascii="Times New Roman" w:hAnsi="Times New Roman" w:eastAsia="宋体" w:cs="Times New Roman"/>
                <w:bCs/>
                <w:sz w:val="28"/>
                <w:szCs w:val="28"/>
                <w:vertAlign w:val="baseline"/>
                <w:lang w:val="en-US" w:eastAsia="zh-CN"/>
              </w:rPr>
              <w:t>2.</w:t>
            </w:r>
            <w:r>
              <w:rPr>
                <w:rFonts w:hint="default" w:ascii="Times New Roman" w:hAnsi="Times New Roman" w:eastAsia="宋体" w:cs="Times New Roman"/>
                <w:bCs/>
                <w:sz w:val="28"/>
                <w:szCs w:val="28"/>
                <w:vertAlign w:val="baseline"/>
              </w:rPr>
              <w:t>产品技术</w:t>
            </w:r>
          </w:p>
        </w:tc>
        <w:tc>
          <w:tcPr>
            <w:tcW w:w="810" w:type="dxa"/>
            <w:vMerge w:val="restart"/>
            <w:vAlign w:val="center"/>
          </w:tcPr>
          <w:p w14:paraId="437B0FFB">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25</w:t>
            </w:r>
          </w:p>
        </w:tc>
        <w:tc>
          <w:tcPr>
            <w:tcW w:w="1523" w:type="dxa"/>
            <w:shd w:val="clear" w:color="auto" w:fill="auto"/>
            <w:vAlign w:val="center"/>
          </w:tcPr>
          <w:p w14:paraId="64A3793C">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val="0"/>
                <w:kern w:val="2"/>
                <w:sz w:val="28"/>
                <w:szCs w:val="28"/>
                <w:vertAlign w:val="baseline"/>
                <w:lang w:val="en-US" w:eastAsia="zh-CN" w:bidi="ar-SA"/>
              </w:rPr>
            </w:pPr>
            <w:r>
              <w:rPr>
                <w:rFonts w:hint="default" w:ascii="Times New Roman" w:hAnsi="Times New Roman" w:eastAsia="宋体" w:cs="Times New Roman"/>
                <w:b/>
                <w:bCs w:val="0"/>
                <w:kern w:val="2"/>
                <w:sz w:val="28"/>
                <w:szCs w:val="28"/>
                <w:vertAlign w:val="baseline"/>
                <w:lang w:val="en-US" w:eastAsia="zh-CN" w:bidi="ar-SA"/>
              </w:rPr>
              <w:t>设计方案</w:t>
            </w:r>
          </w:p>
        </w:tc>
        <w:tc>
          <w:tcPr>
            <w:tcW w:w="10234" w:type="dxa"/>
            <w:vMerge w:val="restart"/>
            <w:shd w:val="clear" w:color="auto" w:fill="auto"/>
            <w:vAlign w:val="center"/>
          </w:tcPr>
          <w:p w14:paraId="0756FFE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以下各项由评标委员会成员独立进行客观、公正的评们打分：</w:t>
            </w:r>
          </w:p>
          <w:p w14:paraId="188CFD23">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1.气体管路改造方案布局合理，安全可靠、技术水平、方便使用性等优势明显，0-15分；</w:t>
            </w:r>
          </w:p>
          <w:p w14:paraId="711B5B42">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2.满足招标要求外具备的自身优势，0-5分；</w:t>
            </w:r>
          </w:p>
          <w:p w14:paraId="2583DF2D">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3.企业生产情况，加工设备情况，人员数量与构成，0-5分；</w:t>
            </w:r>
          </w:p>
          <w:p w14:paraId="30E131C1">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4.提供详细的施工进度表，明确各阶段时间节点，计划合理，满足项目总工期要求0-5分。</w:t>
            </w:r>
          </w:p>
        </w:tc>
      </w:tr>
      <w:tr w14:paraId="4DEC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dxa"/>
            <w:vMerge w:val="continue"/>
            <w:vAlign w:val="center"/>
          </w:tcPr>
          <w:p w14:paraId="5DA11495">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810" w:type="dxa"/>
            <w:vMerge w:val="continue"/>
            <w:vAlign w:val="center"/>
          </w:tcPr>
          <w:p w14:paraId="21C1DF9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1523" w:type="dxa"/>
            <w:shd w:val="clear" w:color="auto" w:fill="auto"/>
            <w:vAlign w:val="center"/>
          </w:tcPr>
          <w:p w14:paraId="21CA56F4">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
                <w:bCs w:val="0"/>
                <w:kern w:val="2"/>
                <w:sz w:val="28"/>
                <w:szCs w:val="28"/>
                <w:vertAlign w:val="baseline"/>
                <w:lang w:val="en-US" w:eastAsia="zh-CN" w:bidi="ar-SA"/>
              </w:rPr>
              <w:t>企业情况</w:t>
            </w:r>
          </w:p>
        </w:tc>
        <w:tc>
          <w:tcPr>
            <w:tcW w:w="10234" w:type="dxa"/>
            <w:vMerge w:val="continue"/>
            <w:shd w:val="clear" w:color="auto" w:fill="auto"/>
            <w:vAlign w:val="center"/>
          </w:tcPr>
          <w:p w14:paraId="4203E33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p>
        </w:tc>
      </w:tr>
      <w:tr w14:paraId="7332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644" w:type="dxa"/>
            <w:vMerge w:val="restart"/>
            <w:vAlign w:val="center"/>
          </w:tcPr>
          <w:p w14:paraId="5910D0CF">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3.方案讲解</w:t>
            </w:r>
          </w:p>
        </w:tc>
        <w:tc>
          <w:tcPr>
            <w:tcW w:w="810" w:type="dxa"/>
            <w:vMerge w:val="restart"/>
            <w:vAlign w:val="center"/>
          </w:tcPr>
          <w:p w14:paraId="174D1EB7">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30</w:t>
            </w:r>
          </w:p>
        </w:tc>
        <w:tc>
          <w:tcPr>
            <w:tcW w:w="1523" w:type="dxa"/>
            <w:shd w:val="clear" w:color="auto" w:fill="auto"/>
            <w:vAlign w:val="center"/>
          </w:tcPr>
          <w:p w14:paraId="229C2B16">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val="0"/>
                <w:kern w:val="2"/>
                <w:sz w:val="28"/>
                <w:szCs w:val="28"/>
                <w:vertAlign w:val="baseline"/>
                <w:lang w:val="en-US" w:eastAsia="zh-CN" w:bidi="ar-SA"/>
              </w:rPr>
            </w:pPr>
            <w:r>
              <w:rPr>
                <w:rFonts w:hint="default" w:ascii="Times New Roman" w:hAnsi="Times New Roman" w:eastAsia="宋体" w:cs="Times New Roman"/>
                <w:b/>
                <w:bCs w:val="0"/>
                <w:kern w:val="2"/>
                <w:sz w:val="28"/>
                <w:szCs w:val="28"/>
                <w:vertAlign w:val="baseline"/>
                <w:lang w:val="en-US" w:eastAsia="zh-CN" w:bidi="ar-SA"/>
              </w:rPr>
              <w:t>讲解</w:t>
            </w:r>
          </w:p>
        </w:tc>
        <w:tc>
          <w:tcPr>
            <w:tcW w:w="10234" w:type="dxa"/>
            <w:vMerge w:val="restart"/>
            <w:shd w:val="clear" w:color="auto" w:fill="auto"/>
            <w:vAlign w:val="center"/>
          </w:tcPr>
          <w:p w14:paraId="210A26E1">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1.投标人对投标方案、技术优势的讲解，以及认为该项目难点在哪？并出具解决方案，0-10分；</w:t>
            </w:r>
          </w:p>
          <w:p w14:paraId="604A193C">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2.是否了解招标方现有设备配置，0-10分；</w:t>
            </w:r>
          </w:p>
          <w:p w14:paraId="37C0FFDC">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3.回答评标专家现场提问，0-10分。</w:t>
            </w:r>
          </w:p>
        </w:tc>
      </w:tr>
      <w:tr w14:paraId="2671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dxa"/>
            <w:vMerge w:val="continue"/>
            <w:vAlign w:val="center"/>
          </w:tcPr>
          <w:p w14:paraId="0FCE486A">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810" w:type="dxa"/>
            <w:vMerge w:val="continue"/>
            <w:vAlign w:val="center"/>
          </w:tcPr>
          <w:p w14:paraId="03E9AA6F">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rPr>
            </w:pPr>
          </w:p>
        </w:tc>
        <w:tc>
          <w:tcPr>
            <w:tcW w:w="1523" w:type="dxa"/>
            <w:shd w:val="clear" w:color="auto" w:fill="auto"/>
            <w:vAlign w:val="center"/>
          </w:tcPr>
          <w:p w14:paraId="26DFD8D1">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val="0"/>
                <w:kern w:val="2"/>
                <w:sz w:val="28"/>
                <w:szCs w:val="28"/>
                <w:vertAlign w:val="baseline"/>
                <w:lang w:val="en-US" w:eastAsia="zh-CN" w:bidi="ar-SA"/>
              </w:rPr>
            </w:pPr>
            <w:r>
              <w:rPr>
                <w:rFonts w:hint="default" w:ascii="Times New Roman" w:hAnsi="Times New Roman" w:eastAsia="宋体" w:cs="Times New Roman"/>
                <w:b/>
                <w:bCs w:val="0"/>
                <w:kern w:val="2"/>
                <w:sz w:val="28"/>
                <w:szCs w:val="28"/>
                <w:vertAlign w:val="baseline"/>
                <w:lang w:val="en-US" w:eastAsia="zh-CN" w:bidi="ar-SA"/>
              </w:rPr>
              <w:t>答疑</w:t>
            </w:r>
          </w:p>
        </w:tc>
        <w:tc>
          <w:tcPr>
            <w:tcW w:w="10234" w:type="dxa"/>
            <w:vMerge w:val="continue"/>
            <w:shd w:val="clear" w:color="auto" w:fill="auto"/>
            <w:vAlign w:val="center"/>
          </w:tcPr>
          <w:p w14:paraId="027FAFB8">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p>
        </w:tc>
      </w:tr>
      <w:tr w14:paraId="0AD9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trPr>
        <w:tc>
          <w:tcPr>
            <w:tcW w:w="1644" w:type="dxa"/>
            <w:vAlign w:val="center"/>
          </w:tcPr>
          <w:p w14:paraId="6EEAD1AE">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4.技术偏离</w:t>
            </w:r>
          </w:p>
        </w:tc>
        <w:tc>
          <w:tcPr>
            <w:tcW w:w="810" w:type="dxa"/>
            <w:vAlign w:val="center"/>
          </w:tcPr>
          <w:p w14:paraId="1E7519CB">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10</w:t>
            </w:r>
          </w:p>
        </w:tc>
        <w:tc>
          <w:tcPr>
            <w:tcW w:w="1523" w:type="dxa"/>
            <w:shd w:val="clear" w:color="auto" w:fill="auto"/>
            <w:vAlign w:val="center"/>
          </w:tcPr>
          <w:p w14:paraId="4F40D85E">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val="0"/>
                <w:kern w:val="2"/>
                <w:sz w:val="28"/>
                <w:szCs w:val="28"/>
                <w:vertAlign w:val="baseline"/>
                <w:lang w:val="en-US" w:eastAsia="zh-CN" w:bidi="ar-SA"/>
              </w:rPr>
            </w:pPr>
            <w:r>
              <w:rPr>
                <w:rFonts w:hint="default" w:ascii="Times New Roman" w:hAnsi="Times New Roman" w:eastAsia="宋体" w:cs="Times New Roman"/>
                <w:b/>
                <w:bCs w:val="0"/>
                <w:kern w:val="2"/>
                <w:sz w:val="28"/>
                <w:szCs w:val="28"/>
                <w:vertAlign w:val="baseline"/>
                <w:lang w:val="en-US" w:eastAsia="zh-CN" w:bidi="ar-SA"/>
              </w:rPr>
              <w:t>技术偏离</w:t>
            </w:r>
          </w:p>
        </w:tc>
        <w:tc>
          <w:tcPr>
            <w:tcW w:w="10234" w:type="dxa"/>
            <w:shd w:val="clear" w:color="auto" w:fill="auto"/>
            <w:vAlign w:val="center"/>
          </w:tcPr>
          <w:p w14:paraId="75AB6745">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根据各投标人的气瓶间设计方案、技术偏离情况，在满足我司技术基本要求的前提下偏离。由评标委员会成员独立进行客观、公正的评价打分：</w:t>
            </w:r>
          </w:p>
          <w:p w14:paraId="71DB417E">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(1)无负偏离得6分；一般偏离一项扣2分，较大偏离一项扣4分，最低0分；标书中星标项不允许偏离，若有偏离项目直接淘汰；</w:t>
            </w:r>
          </w:p>
          <w:p w14:paraId="6AED02D5">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(2)实质性正偏离，一项加2分，最高4分。</w:t>
            </w:r>
          </w:p>
        </w:tc>
      </w:tr>
      <w:tr w14:paraId="5664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1644" w:type="dxa"/>
            <w:vAlign w:val="center"/>
          </w:tcPr>
          <w:p w14:paraId="67EDCEC0">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5.售后服务</w:t>
            </w:r>
          </w:p>
        </w:tc>
        <w:tc>
          <w:tcPr>
            <w:tcW w:w="810" w:type="dxa"/>
            <w:vAlign w:val="center"/>
          </w:tcPr>
          <w:p w14:paraId="26DAF3CE">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jc w:val="center"/>
              <w:textAlignment w:val="auto"/>
              <w:rPr>
                <w:rFonts w:hint="default" w:ascii="Times New Roman" w:hAnsi="Times New Roman" w:eastAsia="宋体" w:cs="Times New Roman"/>
                <w:bCs/>
                <w:sz w:val="28"/>
                <w:szCs w:val="28"/>
                <w:vertAlign w:val="baseline"/>
                <w:lang w:val="en-US" w:eastAsia="zh-CN"/>
              </w:rPr>
            </w:pPr>
            <w:r>
              <w:rPr>
                <w:rFonts w:hint="default" w:ascii="Times New Roman" w:hAnsi="Times New Roman" w:eastAsia="宋体" w:cs="Times New Roman"/>
                <w:bCs/>
                <w:sz w:val="28"/>
                <w:szCs w:val="28"/>
                <w:vertAlign w:val="baseline"/>
                <w:lang w:val="en-US" w:eastAsia="zh-CN"/>
              </w:rPr>
              <w:t>10</w:t>
            </w:r>
          </w:p>
        </w:tc>
        <w:tc>
          <w:tcPr>
            <w:tcW w:w="1523" w:type="dxa"/>
            <w:shd w:val="clear" w:color="auto" w:fill="auto"/>
            <w:vAlign w:val="center"/>
          </w:tcPr>
          <w:p w14:paraId="1CB940D2">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center"/>
              <w:textAlignment w:val="auto"/>
              <w:rPr>
                <w:rFonts w:hint="default" w:ascii="Times New Roman" w:hAnsi="Times New Roman" w:eastAsia="宋体" w:cs="Times New Roman"/>
                <w:b/>
                <w:bCs w:val="0"/>
                <w:kern w:val="2"/>
                <w:sz w:val="28"/>
                <w:szCs w:val="28"/>
                <w:vertAlign w:val="baseline"/>
                <w:lang w:val="en-US" w:eastAsia="zh-CN" w:bidi="ar-SA"/>
              </w:rPr>
            </w:pPr>
            <w:r>
              <w:rPr>
                <w:rFonts w:hint="default" w:ascii="Times New Roman" w:hAnsi="Times New Roman" w:eastAsia="宋体" w:cs="Times New Roman"/>
                <w:b/>
                <w:bCs w:val="0"/>
                <w:kern w:val="2"/>
                <w:sz w:val="28"/>
                <w:szCs w:val="28"/>
                <w:vertAlign w:val="baseline"/>
                <w:lang w:val="en-US" w:eastAsia="zh-CN" w:bidi="ar-SA"/>
              </w:rPr>
              <w:t>售后服务</w:t>
            </w:r>
          </w:p>
        </w:tc>
        <w:tc>
          <w:tcPr>
            <w:tcW w:w="10234" w:type="dxa"/>
            <w:shd w:val="clear" w:color="auto" w:fill="auto"/>
            <w:vAlign w:val="center"/>
          </w:tcPr>
          <w:p w14:paraId="2E9B43D3">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根据投标人售后技术力量和规模进行打分，0-5分；</w:t>
            </w:r>
          </w:p>
          <w:p w14:paraId="4DB89604">
            <w:pPr>
              <w:pStyle w:val="125"/>
              <w:keepNext w:val="0"/>
              <w:keepLines w:val="0"/>
              <w:pageBreakBefore w:val="0"/>
              <w:widowControl w:val="0"/>
              <w:numPr>
                <w:ilvl w:val="0"/>
                <w:numId w:val="0"/>
              </w:numPr>
              <w:kinsoku/>
              <w:wordWrap/>
              <w:overflowPunct/>
              <w:topLinePunct w:val="0"/>
              <w:autoSpaceDE/>
              <w:autoSpaceDN/>
              <w:bidi w:val="0"/>
              <w:snapToGrid w:val="0"/>
              <w:spacing w:line="240" w:lineRule="atLeast"/>
              <w:ind w:left="0" w:leftChars="0" w:firstLine="0" w:firstLineChars="0"/>
              <w:jc w:val="both"/>
              <w:textAlignment w:val="auto"/>
              <w:rPr>
                <w:rFonts w:hint="default" w:ascii="Times New Roman" w:hAnsi="Times New Roman" w:eastAsia="宋体" w:cs="Times New Roman"/>
                <w:bCs/>
                <w:kern w:val="2"/>
                <w:sz w:val="28"/>
                <w:szCs w:val="28"/>
                <w:vertAlign w:val="baseline"/>
                <w:lang w:val="en-US" w:eastAsia="zh-CN" w:bidi="ar-SA"/>
              </w:rPr>
            </w:pPr>
            <w:r>
              <w:rPr>
                <w:rFonts w:hint="default" w:ascii="Times New Roman" w:hAnsi="Times New Roman" w:eastAsia="宋体" w:cs="Times New Roman"/>
                <w:bCs/>
                <w:kern w:val="2"/>
                <w:sz w:val="28"/>
                <w:szCs w:val="28"/>
                <w:vertAlign w:val="baseline"/>
                <w:lang w:val="en-US" w:eastAsia="zh-CN" w:bidi="ar-SA"/>
              </w:rPr>
              <w:t>根据投标人售后服务的承诺和具体的保证措施，承诺到现场的响应时间进行打分，0-5分。</w:t>
            </w:r>
          </w:p>
        </w:tc>
      </w:tr>
    </w:tbl>
    <w:p w14:paraId="2131E06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评标方法</w:t>
      </w:r>
    </w:p>
    <w:p w14:paraId="5BBBF352">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55DC1EC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b、评委打分超过得分界限或未按本方法赋分时，该评委的打分按废票处理。</w:t>
      </w:r>
    </w:p>
    <w:p w14:paraId="1804B47B">
      <w:pPr>
        <w:ind w:firstLine="480" w:firstLineChars="200"/>
        <w:jc w:val="both"/>
        <w:rPr>
          <w:rFonts w:hint="default" w:ascii="Times New Roman" w:hAnsi="Times New Roman" w:eastAsia="宋体" w:cs="Times New Roman"/>
          <w:color w:val="000000"/>
          <w:sz w:val="24"/>
          <w:szCs w:val="24"/>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r>
        <w:rPr>
          <w:rFonts w:hint="default" w:ascii="Times New Roman" w:hAnsi="Times New Roman" w:eastAsia="宋体" w:cs="Times New Roman"/>
          <w:color w:val="000000"/>
          <w:sz w:val="24"/>
          <w:szCs w:val="24"/>
        </w:rPr>
        <w:t>c、评标过程中，若出现本办法以外的特殊情况时，将暂停评标，有关情况处理意见待招标工作小组确认后，再行评定</w:t>
      </w:r>
      <w:r>
        <w:rPr>
          <w:rFonts w:hint="default" w:ascii="Times New Roman" w:hAnsi="Times New Roman" w:eastAsia="宋体" w:cs="Times New Roman"/>
          <w:color w:val="000000"/>
          <w:sz w:val="24"/>
          <w:szCs w:val="24"/>
          <w:lang w:eastAsia="zh-CN"/>
        </w:rPr>
        <w:t>。</w:t>
      </w:r>
    </w:p>
    <w:p w14:paraId="76E821E9">
      <w:pPr>
        <w:pStyle w:val="16"/>
        <w:jc w:val="both"/>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附件15 SRM非生产供应商注册操作手册</w:t>
      </w:r>
    </w:p>
    <w:p w14:paraId="2D29356C">
      <w:pPr>
        <w:pStyle w:val="16"/>
        <w:jc w:val="both"/>
        <w:rPr>
          <w:rFonts w:hint="default" w:ascii="Times New Roman" w:hAnsi="Times New Roman" w:eastAsia="宋体" w:cs="Times New Roman"/>
          <w:lang w:val="en-US" w:eastAsia="zh-CN"/>
        </w:rPr>
      </w:pPr>
    </w:p>
    <w:p w14:paraId="26481FA6">
      <w:pPr>
        <w:adjustRightInd w:val="0"/>
        <w:snapToGrid w:val="0"/>
        <w:spacing w:before="0" w:after="0" w:line="360" w:lineRule="auto"/>
        <w:ind w:left="0" w:right="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sz w:val="24"/>
          <w:szCs w:val="24"/>
          <w:u w:val="none"/>
        </w:rPr>
        <w:t>浏览器中输入地址;</w:t>
      </w:r>
    </w:p>
    <w:p w14:paraId="2334B83B">
      <w:pPr>
        <w:adjustRightInd w:val="0"/>
        <w:snapToGrid w:val="0"/>
        <w:spacing w:before="0" w:after="0" w:line="360" w:lineRule="auto"/>
        <w:ind w:left="0" w:right="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HYPERLINK http://ecaitong.sinotruk.com:8012/#/login normalLink \tdkey d38o9f \tdfe -10 \tdfu http://ecaitong.sinotruk.com:8012/#/login \tdlt inline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http</w:t>
      </w:r>
      <w:r>
        <w:rPr>
          <w:rFonts w:hint="default" w:ascii="Times New Roman" w:hAnsi="Times New Roman" w:eastAsia="宋体" w:cs="Times New Roman"/>
          <w:sz w:val="24"/>
          <w:szCs w:val="24"/>
          <w:lang w:val="en-US" w:eastAsia="zh-CN"/>
        </w:rPr>
        <w:t>s</w:t>
      </w:r>
      <w:r>
        <w:rPr>
          <w:rFonts w:hint="default" w:ascii="Times New Roman" w:hAnsi="Times New Roman" w:eastAsia="宋体" w:cs="Times New Roman"/>
          <w:sz w:val="24"/>
          <w:szCs w:val="24"/>
        </w:rPr>
        <w:t>://ecaitong.sinotruk.com:8012/#/login</w:t>
      </w:r>
      <w:r>
        <w:rPr>
          <w:rFonts w:hint="default" w:ascii="Times New Roman" w:hAnsi="Times New Roman" w:eastAsia="宋体" w:cs="Times New Roman"/>
          <w:sz w:val="24"/>
          <w:szCs w:val="24"/>
        </w:rPr>
        <w:fldChar w:fldCharType="end"/>
      </w:r>
    </w:p>
    <w:p w14:paraId="62ADC387">
      <w:pPr>
        <w:adjustRightInd w:val="0"/>
        <w:snapToGrid w:val="0"/>
        <w:spacing w:before="0" w:after="0" w:line="360" w:lineRule="auto"/>
        <w:ind w:left="0" w:right="0" w:firstLine="0" w:firstLineChars="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sz w:val="24"/>
          <w:szCs w:val="24"/>
          <w:u w:val="none"/>
        </w:rPr>
        <w:t>1.点击立即注册</w:t>
      </w:r>
    </w:p>
    <w:p w14:paraId="5D364CA8">
      <w:pPr>
        <w:snapToGrid w:val="0"/>
        <w:spacing w:line="312" w:lineRule="auto"/>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933065"/>
            <wp:effectExtent l="0" t="0" r="5715" b="635"/>
            <wp:docPr id="60" name="picture" descr="descript"/>
            <wp:cNvGraphicFramePr/>
            <a:graphic xmlns:a="http://schemas.openxmlformats.org/drawingml/2006/main">
              <a:graphicData uri="http://schemas.openxmlformats.org/drawingml/2006/picture">
                <pic:pic xmlns:pic="http://schemas.openxmlformats.org/drawingml/2006/picture">
                  <pic:nvPicPr>
                    <pic:cNvPr id="60" name="picture" descr="descript"/>
                    <pic:cNvPicPr/>
                  </pic:nvPicPr>
                  <pic:blipFill>
                    <a:blip r:embed="rId59"/>
                    <a:stretch>
                      <a:fillRect/>
                    </a:stretch>
                  </pic:blipFill>
                  <pic:spPr>
                    <a:xfrm>
                      <a:off x="0" y="0"/>
                      <a:ext cx="5760085" cy="2933377"/>
                    </a:xfrm>
                    <a:prstGeom prst="rect">
                      <a:avLst/>
                    </a:prstGeom>
                  </pic:spPr>
                </pic:pic>
              </a:graphicData>
            </a:graphic>
          </wp:inline>
        </w:drawing>
      </w:r>
    </w:p>
    <w:p w14:paraId="38CBD282">
      <w:pPr>
        <w:snapToGrid/>
        <w:spacing w:before="0" w:after="0" w:line="360" w:lineRule="auto"/>
        <w:ind w:left="0" w:right="0" w:firstLine="0"/>
        <w:jc w:val="both"/>
        <w:rPr>
          <w:rFonts w:hint="default" w:ascii="Times New Roman" w:hAnsi="Times New Roman" w:eastAsia="宋体" w:cs="Times New Roman"/>
          <w:sz w:val="24"/>
          <w:szCs w:val="28"/>
        </w:rPr>
      </w:pPr>
      <w:r>
        <w:rPr>
          <w:rFonts w:hint="default" w:ascii="Times New Roman" w:hAnsi="Times New Roman" w:eastAsia="宋体" w:cs="Times New Roman"/>
          <w:i w:val="0"/>
          <w:strike w:val="0"/>
          <w:color w:val="000000"/>
          <w:sz w:val="24"/>
          <w:szCs w:val="28"/>
          <w:u w:val="none"/>
        </w:rPr>
        <w:t>2.填写手机号码（没有注册过的）</w:t>
      </w:r>
    </w:p>
    <w:p w14:paraId="5983B752">
      <w:pPr>
        <w:snapToGrid w:val="0"/>
        <w:spacing w:line="312" w:lineRule="auto"/>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766695"/>
            <wp:effectExtent l="0" t="0" r="5715" b="1905"/>
            <wp:docPr id="61" name="picture" descr="descript"/>
            <wp:cNvGraphicFramePr/>
            <a:graphic xmlns:a="http://schemas.openxmlformats.org/drawingml/2006/main">
              <a:graphicData uri="http://schemas.openxmlformats.org/drawingml/2006/picture">
                <pic:pic xmlns:pic="http://schemas.openxmlformats.org/drawingml/2006/picture">
                  <pic:nvPicPr>
                    <pic:cNvPr id="61" name="picture" descr="descript"/>
                    <pic:cNvPicPr/>
                  </pic:nvPicPr>
                  <pic:blipFill>
                    <a:blip r:embed="rId60"/>
                    <a:stretch>
                      <a:fillRect/>
                    </a:stretch>
                  </pic:blipFill>
                  <pic:spPr>
                    <a:xfrm>
                      <a:off x="0" y="0"/>
                      <a:ext cx="5760085" cy="2766707"/>
                    </a:xfrm>
                    <a:prstGeom prst="rect">
                      <a:avLst/>
                    </a:prstGeom>
                  </pic:spPr>
                </pic:pic>
              </a:graphicData>
            </a:graphic>
          </wp:inline>
        </w:drawing>
      </w:r>
    </w:p>
    <w:p w14:paraId="23B1452D">
      <w:pPr>
        <w:snapToGrid/>
        <w:spacing w:before="0" w:after="0" w:line="360" w:lineRule="auto"/>
        <w:ind w:left="0" w:right="0" w:firstLine="0"/>
        <w:jc w:val="both"/>
        <w:rPr>
          <w:rFonts w:hint="default" w:ascii="Times New Roman" w:hAnsi="Times New Roman" w:eastAsia="宋体" w:cs="Times New Roman"/>
          <w:sz w:val="24"/>
          <w:szCs w:val="28"/>
        </w:rPr>
      </w:pPr>
      <w:r>
        <w:rPr>
          <w:rFonts w:hint="default" w:ascii="Times New Roman" w:hAnsi="Times New Roman" w:eastAsia="宋体" w:cs="Times New Roman"/>
          <w:i w:val="0"/>
          <w:strike w:val="0"/>
          <w:color w:val="000000"/>
          <w:sz w:val="24"/>
          <w:szCs w:val="28"/>
          <w:u w:val="none"/>
        </w:rPr>
        <w:t>3.注册成功登录这个手机号码的账号进入系统，点击供应商注册</w:t>
      </w:r>
    </w:p>
    <w:p w14:paraId="4848B7EB">
      <w:pPr>
        <w:snapToGrid w:val="0"/>
        <w:spacing w:line="312" w:lineRule="auto"/>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69565"/>
            <wp:effectExtent l="0" t="0" r="5715" b="635"/>
            <wp:docPr id="62" name="picture" descr="descript"/>
            <wp:cNvGraphicFramePr/>
            <a:graphic xmlns:a="http://schemas.openxmlformats.org/drawingml/2006/main">
              <a:graphicData uri="http://schemas.openxmlformats.org/drawingml/2006/picture">
                <pic:pic xmlns:pic="http://schemas.openxmlformats.org/drawingml/2006/picture">
                  <pic:nvPicPr>
                    <pic:cNvPr id="62" name="picture" descr="descript"/>
                    <pic:cNvPicPr/>
                  </pic:nvPicPr>
                  <pic:blipFill>
                    <a:blip r:embed="rId61"/>
                    <a:stretch>
                      <a:fillRect/>
                    </a:stretch>
                  </pic:blipFill>
                  <pic:spPr>
                    <a:xfrm>
                      <a:off x="0" y="0"/>
                      <a:ext cx="5760085" cy="2870054"/>
                    </a:xfrm>
                    <a:prstGeom prst="rect">
                      <a:avLst/>
                    </a:prstGeom>
                  </pic:spPr>
                </pic:pic>
              </a:graphicData>
            </a:graphic>
          </wp:inline>
        </w:drawing>
      </w:r>
    </w:p>
    <w:p w14:paraId="63F9B407">
      <w:pPr>
        <w:snapToGrid/>
        <w:spacing w:before="0" w:after="0" w:line="360" w:lineRule="auto"/>
        <w:ind w:left="0" w:right="0" w:firstLine="0"/>
        <w:jc w:val="both"/>
        <w:rPr>
          <w:rFonts w:hint="default" w:ascii="Times New Roman" w:hAnsi="Times New Roman" w:eastAsia="宋体" w:cs="Times New Roman"/>
          <w:sz w:val="24"/>
          <w:szCs w:val="28"/>
        </w:rPr>
      </w:pPr>
      <w:r>
        <w:rPr>
          <w:rFonts w:hint="default" w:ascii="Times New Roman" w:hAnsi="Times New Roman" w:eastAsia="宋体" w:cs="Times New Roman"/>
          <w:i w:val="0"/>
          <w:strike w:val="0"/>
          <w:color w:val="000000"/>
          <w:sz w:val="24"/>
          <w:szCs w:val="28"/>
          <w:u w:val="none"/>
        </w:rPr>
        <w:t>4.点击新增</w:t>
      </w:r>
    </w:p>
    <w:p w14:paraId="0886126C">
      <w:pPr>
        <w:snapToGrid w:val="0"/>
        <w:spacing w:line="312" w:lineRule="auto"/>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53055"/>
            <wp:effectExtent l="0" t="0" r="5715" b="4445"/>
            <wp:docPr id="63" name="picture" descr="descript"/>
            <wp:cNvGraphicFramePr/>
            <a:graphic xmlns:a="http://schemas.openxmlformats.org/drawingml/2006/main">
              <a:graphicData uri="http://schemas.openxmlformats.org/drawingml/2006/picture">
                <pic:pic xmlns:pic="http://schemas.openxmlformats.org/drawingml/2006/picture">
                  <pic:nvPicPr>
                    <pic:cNvPr id="63" name="picture" descr="descript"/>
                    <pic:cNvPicPr/>
                  </pic:nvPicPr>
                  <pic:blipFill>
                    <a:blip r:embed="rId62"/>
                    <a:stretch>
                      <a:fillRect/>
                    </a:stretch>
                  </pic:blipFill>
                  <pic:spPr>
                    <a:xfrm>
                      <a:off x="0" y="0"/>
                      <a:ext cx="5760085" cy="2853375"/>
                    </a:xfrm>
                    <a:prstGeom prst="rect">
                      <a:avLst/>
                    </a:prstGeom>
                  </pic:spPr>
                </pic:pic>
              </a:graphicData>
            </a:graphic>
          </wp:inline>
        </w:drawing>
      </w:r>
    </w:p>
    <w:p w14:paraId="60FF48B8">
      <w:pPr>
        <w:snapToGrid/>
        <w:spacing w:before="0" w:after="0" w:line="360" w:lineRule="auto"/>
        <w:ind w:left="0" w:right="0" w:firstLine="0"/>
        <w:jc w:val="both"/>
        <w:rPr>
          <w:rFonts w:hint="default" w:ascii="Times New Roman" w:hAnsi="Times New Roman" w:eastAsia="宋体" w:cs="Times New Roman"/>
          <w:sz w:val="24"/>
          <w:szCs w:val="28"/>
        </w:rPr>
      </w:pPr>
      <w:r>
        <w:rPr>
          <w:rFonts w:hint="default" w:ascii="Times New Roman" w:hAnsi="Times New Roman" w:eastAsia="宋体" w:cs="Times New Roman"/>
          <w:sz w:val="24"/>
          <w:szCs w:val="28"/>
        </w:rPr>
        <w:t>5</w:t>
      </w:r>
      <w:r>
        <w:rPr>
          <w:rFonts w:hint="default" w:ascii="Times New Roman" w:hAnsi="Times New Roman" w:eastAsia="宋体" w:cs="Times New Roman"/>
          <w:i w:val="0"/>
          <w:strike w:val="0"/>
          <w:color w:val="000000"/>
          <w:sz w:val="24"/>
          <w:szCs w:val="28"/>
          <w:u w:val="none"/>
          <w:lang w:eastAsia="zh-CN"/>
        </w:rPr>
        <w:t>.</w:t>
      </w:r>
      <w:r>
        <w:rPr>
          <w:rFonts w:hint="default" w:ascii="Times New Roman" w:hAnsi="Times New Roman" w:eastAsia="宋体" w:cs="Times New Roman"/>
          <w:i w:val="0"/>
          <w:strike w:val="0"/>
          <w:color w:val="000000"/>
          <w:sz w:val="24"/>
          <w:szCs w:val="28"/>
          <w:u w:val="none"/>
        </w:rPr>
        <w:t>按要求填写所有信息，注意非生产类要填写合作单位，最后提交审批</w:t>
      </w:r>
    </w:p>
    <w:p w14:paraId="4C54EEA3">
      <w:pPr>
        <w:pStyle w:val="16"/>
        <w:jc w:val="both"/>
        <w:rPr>
          <w:rFonts w:hint="default" w:ascii="Times New Roman" w:hAnsi="Times New Roman" w:eastAsia="宋体" w:cs="Times New Roman"/>
          <w:lang w:val="en-US" w:eastAsia="zh-CN"/>
        </w:rPr>
      </w:pPr>
    </w:p>
    <w:p w14:paraId="2699ADFA">
      <w:pPr>
        <w:snapToGrid/>
        <w:spacing w:before="0" w:after="0" w:line="240" w:lineRule="auto"/>
        <w:ind w:left="0" w:right="0" w:firstLine="0"/>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09875"/>
            <wp:effectExtent l="0" t="0" r="5715" b="9525"/>
            <wp:docPr id="64" name="picture" descr="descript"/>
            <wp:cNvGraphicFramePr/>
            <a:graphic xmlns:a="http://schemas.openxmlformats.org/drawingml/2006/main">
              <a:graphicData uri="http://schemas.openxmlformats.org/drawingml/2006/picture">
                <pic:pic xmlns:pic="http://schemas.openxmlformats.org/drawingml/2006/picture">
                  <pic:nvPicPr>
                    <pic:cNvPr id="64" name="picture" descr="descript"/>
                    <pic:cNvPicPr/>
                  </pic:nvPicPr>
                  <pic:blipFill>
                    <a:blip r:embed="rId63"/>
                    <a:stretch>
                      <a:fillRect/>
                    </a:stretch>
                  </pic:blipFill>
                  <pic:spPr>
                    <a:xfrm>
                      <a:off x="0" y="0"/>
                      <a:ext cx="5760085" cy="2810122"/>
                    </a:xfrm>
                    <a:prstGeom prst="rect">
                      <a:avLst/>
                    </a:prstGeom>
                  </pic:spPr>
                </pic:pic>
              </a:graphicData>
            </a:graphic>
          </wp:inline>
        </w:drawing>
      </w:r>
    </w:p>
    <w:p w14:paraId="7181C943">
      <w:pPr>
        <w:pStyle w:val="16"/>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20035"/>
            <wp:effectExtent l="0" t="0" r="5715" b="12065"/>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64"/>
                    <a:stretch>
                      <a:fillRect/>
                    </a:stretch>
                  </pic:blipFill>
                  <pic:spPr>
                    <a:xfrm>
                      <a:off x="0" y="0"/>
                      <a:ext cx="5760085" cy="2820042"/>
                    </a:xfrm>
                    <a:prstGeom prst="rect">
                      <a:avLst/>
                    </a:prstGeom>
                  </pic:spPr>
                </pic:pic>
              </a:graphicData>
            </a:graphic>
          </wp:inline>
        </w:drawing>
      </w:r>
    </w:p>
    <w:p w14:paraId="04950E3D">
      <w:pPr>
        <w:pStyle w:val="16"/>
        <w:jc w:val="both"/>
        <w:rPr>
          <w:rFonts w:hint="default" w:ascii="Times New Roman" w:hAnsi="Times New Roman" w:eastAsia="宋体" w:cs="Times New Roman"/>
        </w:rPr>
      </w:pPr>
    </w:p>
    <w:p w14:paraId="00B53161">
      <w:pPr>
        <w:snapToGrid/>
        <w:spacing w:before="0" w:after="0" w:line="240" w:lineRule="auto"/>
        <w:ind w:left="0" w:right="0" w:firstLine="0"/>
        <w:jc w:val="both"/>
        <w:rPr>
          <w:rFonts w:hint="default" w:ascii="Times New Roman" w:hAnsi="Times New Roman" w:eastAsia="宋体" w:cs="Times New Roman"/>
          <w:b/>
          <w:bCs/>
          <w:i w:val="0"/>
          <w:strike w:val="0"/>
          <w:color w:val="000000"/>
          <w:sz w:val="24"/>
          <w:szCs w:val="28"/>
          <w:highlight w:val="yellow"/>
          <w:u w:val="none"/>
          <w:lang w:val="en-US" w:eastAsia="zh-CN"/>
        </w:rPr>
      </w:pPr>
      <w:r>
        <w:rPr>
          <w:rFonts w:hint="default" w:ascii="Times New Roman" w:hAnsi="Times New Roman" w:eastAsia="宋体" w:cs="Times New Roman"/>
          <w:b/>
          <w:bCs/>
          <w:i w:val="0"/>
          <w:strike w:val="0"/>
          <w:color w:val="000000"/>
          <w:sz w:val="24"/>
          <w:szCs w:val="28"/>
          <w:highlight w:val="yellow"/>
          <w:u w:val="none"/>
          <w:lang w:val="en-US" w:eastAsia="zh-CN"/>
        </w:rPr>
        <w:t>注：</w:t>
      </w:r>
    </w:p>
    <w:p w14:paraId="23333F20">
      <w:pPr>
        <w:snapToGrid/>
        <w:spacing w:before="0" w:after="0" w:line="240" w:lineRule="auto"/>
        <w:ind w:left="0" w:right="0" w:firstLine="0"/>
        <w:jc w:val="both"/>
        <w:rPr>
          <w:rFonts w:hint="default" w:ascii="Times New Roman" w:hAnsi="Times New Roman" w:eastAsia="宋体" w:cs="Times New Roman"/>
          <w:b/>
          <w:bCs/>
          <w:i w:val="0"/>
          <w:strike w:val="0"/>
          <w:color w:val="000000"/>
          <w:sz w:val="24"/>
          <w:szCs w:val="28"/>
          <w:highlight w:val="yellow"/>
          <w:u w:val="none"/>
          <w:lang w:val="en-US" w:eastAsia="zh-CN"/>
        </w:rPr>
      </w:pPr>
      <w:r>
        <w:rPr>
          <w:rFonts w:hint="default" w:ascii="Times New Roman" w:hAnsi="Times New Roman" w:eastAsia="宋体" w:cs="Times New Roman"/>
          <w:b/>
          <w:bCs/>
          <w:i w:val="0"/>
          <w:strike w:val="0"/>
          <w:color w:val="000000"/>
          <w:sz w:val="24"/>
          <w:szCs w:val="28"/>
          <w:highlight w:val="yellow"/>
          <w:u w:val="none"/>
          <w:lang w:val="en-US" w:eastAsia="zh-CN"/>
        </w:rPr>
        <w:t>1.“项目名称”和“采购形式编号”见投标须知前附表1.1；</w:t>
      </w:r>
    </w:p>
    <w:p w14:paraId="0209C7E7">
      <w:pPr>
        <w:pStyle w:val="16"/>
        <w:jc w:val="both"/>
        <w:rPr>
          <w:rFonts w:hint="default" w:ascii="Times New Roman" w:hAnsi="Times New Roman" w:eastAsia="宋体" w:cs="Times New Roman"/>
          <w:lang w:val="en-US" w:eastAsia="zh-CN"/>
        </w:rPr>
      </w:pPr>
      <w:r>
        <w:rPr>
          <w:rFonts w:hint="default" w:ascii="Times New Roman" w:hAnsi="Times New Roman" w:eastAsia="宋体" w:cs="Times New Roman"/>
          <w:b/>
          <w:bCs/>
          <w:i w:val="0"/>
          <w:strike w:val="0"/>
          <w:color w:val="000000"/>
          <w:sz w:val="24"/>
          <w:szCs w:val="28"/>
          <w:highlight w:val="yellow"/>
          <w:u w:val="none"/>
          <w:lang w:val="en-US" w:eastAsia="zh-CN"/>
        </w:rPr>
        <w:t>2.配套能力“供货类别”填“</w:t>
      </w:r>
      <w:r>
        <w:rPr>
          <w:rFonts w:hint="eastAsia" w:ascii="Times New Roman" w:hAnsi="Times New Roman" w:eastAsia="宋体" w:cs="Times New Roman"/>
          <w:b/>
          <w:bCs/>
          <w:i w:val="0"/>
          <w:strike w:val="0"/>
          <w:color w:val="000000"/>
          <w:sz w:val="24"/>
          <w:szCs w:val="28"/>
          <w:highlight w:val="yellow"/>
          <w:u w:val="none"/>
          <w:lang w:val="en-US" w:eastAsia="zh-CN"/>
        </w:rPr>
        <w:t>直管单位非生产招标 / 研发试验类设备 / 研发试验类设备（产品试验检测中心）</w:t>
      </w:r>
      <w:r>
        <w:rPr>
          <w:rFonts w:hint="default" w:ascii="Times New Roman" w:hAnsi="Times New Roman" w:eastAsia="宋体" w:cs="Times New Roman"/>
          <w:b/>
          <w:bCs/>
          <w:i w:val="0"/>
          <w:strike w:val="0"/>
          <w:color w:val="000000"/>
          <w:sz w:val="24"/>
          <w:szCs w:val="28"/>
          <w:highlight w:val="yellow"/>
          <w:u w:val="none"/>
          <w:lang w:val="en-US" w:eastAsia="zh-CN"/>
        </w:rPr>
        <w:t>”，业务主管部门选择“</w:t>
      </w:r>
      <w:r>
        <w:rPr>
          <w:rFonts w:hint="eastAsia" w:ascii="Times New Roman" w:hAnsi="Times New Roman" w:eastAsia="宋体" w:cs="Times New Roman"/>
          <w:b/>
          <w:bCs/>
          <w:i w:val="0"/>
          <w:strike w:val="0"/>
          <w:color w:val="000000"/>
          <w:sz w:val="24"/>
          <w:szCs w:val="28"/>
          <w:highlight w:val="yellow"/>
          <w:u w:val="none"/>
          <w:lang w:val="en-US" w:eastAsia="zh-CN"/>
        </w:rPr>
        <w:t>产品试验检测中心</w:t>
      </w:r>
      <w:r>
        <w:rPr>
          <w:rFonts w:hint="default" w:ascii="Times New Roman" w:hAnsi="Times New Roman" w:eastAsia="宋体" w:cs="Times New Roman"/>
          <w:b/>
          <w:bCs/>
          <w:i w:val="0"/>
          <w:strike w:val="0"/>
          <w:color w:val="000000"/>
          <w:sz w:val="24"/>
          <w:szCs w:val="28"/>
          <w:highlight w:val="yellow"/>
          <w:u w:val="none"/>
          <w:lang w:val="en-US" w:eastAsia="zh-CN"/>
        </w:rPr>
        <w:t>”。</w:t>
      </w:r>
    </w:p>
    <w:p w14:paraId="41C92F29">
      <w:pPr>
        <w:pStyle w:val="16"/>
        <w:jc w:val="both"/>
        <w:rPr>
          <w:rFonts w:hint="default" w:ascii="Times New Roman" w:hAnsi="Times New Roman" w:eastAsia="宋体" w:cs="Times New Roman"/>
        </w:rPr>
        <w:sectPr>
          <w:pgSz w:w="11906" w:h="16838"/>
          <w:pgMar w:top="1588" w:right="1418" w:bottom="1134" w:left="1418" w:header="851" w:footer="992" w:gutter="0"/>
          <w:cols w:space="720" w:num="1"/>
          <w:titlePg/>
          <w:docGrid w:type="lines" w:linePitch="312" w:charSpace="0"/>
        </w:sectPr>
      </w:pPr>
    </w:p>
    <w:p w14:paraId="4DEFF32A">
      <w:pPr>
        <w:pStyle w:val="16"/>
        <w:jc w:val="both"/>
        <w:outlineLvl w:val="2"/>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bCs/>
          <w:color w:val="000000"/>
          <w:sz w:val="24"/>
          <w:szCs w:val="24"/>
          <w:lang w:val="en-US" w:eastAsia="zh-CN"/>
        </w:rPr>
        <w:t xml:space="preserve">附件16 </w:t>
      </w:r>
      <w:r>
        <w:rPr>
          <w:rFonts w:hint="default" w:ascii="Times New Roman" w:hAnsi="Times New Roman" w:eastAsia="宋体" w:cs="Times New Roman"/>
          <w:b/>
          <w:color w:val="000000"/>
          <w:sz w:val="24"/>
          <w:szCs w:val="24"/>
          <w:lang w:val="en-US" w:eastAsia="zh-CN"/>
        </w:rPr>
        <w:t>SRM系统供应商用户手册</w:t>
      </w:r>
    </w:p>
    <w:p w14:paraId="3D870C31">
      <w:pPr>
        <w:snapToGrid/>
        <w:spacing w:before="0" w:after="0" w:line="360" w:lineRule="auto"/>
        <w:ind w:left="0" w:right="0" w:firstLine="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系统网址：</w:t>
      </w:r>
      <w:r>
        <w:rPr>
          <w:rStyle w:val="43"/>
          <w:rFonts w:hint="default" w:ascii="Times New Roman" w:hAnsi="Times New Roman" w:eastAsia="宋体" w:cs="Times New Roman"/>
          <w:sz w:val="24"/>
          <w:szCs w:val="24"/>
        </w:rPr>
        <w:fldChar w:fldCharType="begin"/>
      </w:r>
      <w:r>
        <w:rPr>
          <w:rStyle w:val="43"/>
          <w:rFonts w:hint="default" w:ascii="Times New Roman" w:hAnsi="Times New Roman" w:eastAsia="宋体" w:cs="Times New Roman"/>
          <w:sz w:val="24"/>
          <w:szCs w:val="24"/>
        </w:rPr>
        <w:instrText xml:space="preserve">HYPERLINK http://ecaitong.sinotruk.com:8012/ normalLink \tdkey u5b6qk \tdfu http://ecaitong.sinotruk.com:8012/ \tdfn http%3A//ecaitong.sinotruk.com%3A8012/ \tdfe -10 \tdlt text </w:instrText>
      </w:r>
      <w:r>
        <w:rPr>
          <w:rStyle w:val="43"/>
          <w:rFonts w:hint="default" w:ascii="Times New Roman" w:hAnsi="Times New Roman" w:eastAsia="宋体" w:cs="Times New Roman"/>
          <w:sz w:val="24"/>
          <w:szCs w:val="24"/>
        </w:rPr>
        <w:fldChar w:fldCharType="separate"/>
      </w:r>
      <w:r>
        <w:rPr>
          <w:rStyle w:val="43"/>
          <w:rFonts w:hint="default" w:ascii="Times New Roman" w:hAnsi="Times New Roman" w:eastAsia="宋体" w:cs="Times New Roman"/>
          <w:sz w:val="24"/>
          <w:szCs w:val="24"/>
        </w:rPr>
        <w:t>http</w:t>
      </w:r>
      <w:r>
        <w:rPr>
          <w:rStyle w:val="43"/>
          <w:rFonts w:hint="default" w:ascii="Times New Roman" w:hAnsi="Times New Roman" w:eastAsia="宋体" w:cs="Times New Roman"/>
          <w:sz w:val="24"/>
          <w:szCs w:val="24"/>
          <w:lang w:val="en-US" w:eastAsia="zh-CN"/>
        </w:rPr>
        <w:t>s</w:t>
      </w:r>
      <w:r>
        <w:rPr>
          <w:rStyle w:val="43"/>
          <w:rFonts w:hint="default" w:ascii="Times New Roman" w:hAnsi="Times New Roman" w:eastAsia="宋体" w:cs="Times New Roman"/>
          <w:sz w:val="24"/>
          <w:szCs w:val="24"/>
        </w:rPr>
        <w:t>://ecaitong.sinotruk.com:8012/</w:t>
      </w:r>
      <w:r>
        <w:rPr>
          <w:rStyle w:val="43"/>
          <w:rFonts w:hint="default" w:ascii="Times New Roman" w:hAnsi="Times New Roman" w:eastAsia="宋体" w:cs="Times New Roman"/>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CC908CE">
      <w:pPr>
        <w:spacing w:before="0" w:after="0" w:line="360" w:lineRule="auto"/>
        <w:ind w:left="0"/>
        <w:jc w:val="both"/>
        <w:rPr>
          <w:rFonts w:hint="default" w:ascii="Times New Roman" w:hAnsi="Times New Roman" w:eastAsia="宋体" w:cs="Times New Roman"/>
          <w:b/>
          <w:bCs/>
          <w:color w:val="000000"/>
          <w:sz w:val="24"/>
          <w:szCs w:val="24"/>
          <w:u w:val="none"/>
        </w:rPr>
      </w:pPr>
      <w:r>
        <w:rPr>
          <w:rFonts w:hint="default" w:ascii="Times New Roman" w:hAnsi="Times New Roman" w:eastAsia="宋体" w:cs="Times New Roman"/>
          <w:b/>
          <w:bCs/>
          <w:i w:val="0"/>
          <w:strike w:val="0"/>
          <w:color w:val="000000"/>
          <w:sz w:val="24"/>
          <w:szCs w:val="24"/>
          <w:u w:val="none"/>
        </w:rPr>
        <w:t>1.供应商应标</w:t>
      </w:r>
    </w:p>
    <w:p w14:paraId="538185E9">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路径：招投标中心-非生产类招投标-供应商应标</w:t>
      </w:r>
    </w:p>
    <w:p w14:paraId="60011258">
      <w:pPr>
        <w:snapToGrid/>
        <w:spacing w:before="0" w:after="0" w:line="360" w:lineRule="auto"/>
        <w:ind w:left="0" w:right="0"/>
        <w:jc w:val="both"/>
        <w:rPr>
          <w:rFonts w:hint="default" w:ascii="Times New Roman" w:hAnsi="Times New Roman" w:eastAsia="宋体" w:cs="Times New Roman"/>
          <w:i w:val="0"/>
          <w:strike w:val="0"/>
          <w:color w:val="000000"/>
          <w:sz w:val="24"/>
          <w:szCs w:val="24"/>
          <w:u w:val="none"/>
        </w:rPr>
      </w:pPr>
      <w:r>
        <w:rPr>
          <w:rFonts w:hint="default" w:ascii="Times New Roman" w:hAnsi="Times New Roman" w:eastAsia="宋体" w:cs="Times New Roman"/>
          <w:i w:val="0"/>
          <w:strike w:val="0"/>
          <w:color w:val="000000"/>
          <w:sz w:val="24"/>
          <w:szCs w:val="24"/>
          <w:u w:val="none"/>
        </w:rPr>
        <w:t>点击应标，上传文件之后点击提交。</w:t>
      </w:r>
    </w:p>
    <w:p w14:paraId="1CBC8475">
      <w:pPr>
        <w:snapToGrid/>
        <w:spacing w:before="0" w:after="0" w:line="240" w:lineRule="auto"/>
        <w:ind w:left="0" w:right="0"/>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269490"/>
            <wp:effectExtent l="0" t="0" r="5715" b="3810"/>
            <wp:docPr id="66" name="picture" descr="descript"/>
            <wp:cNvGraphicFramePr/>
            <a:graphic xmlns:a="http://schemas.openxmlformats.org/drawingml/2006/main">
              <a:graphicData uri="http://schemas.openxmlformats.org/drawingml/2006/picture">
                <pic:pic xmlns:pic="http://schemas.openxmlformats.org/drawingml/2006/picture">
                  <pic:nvPicPr>
                    <pic:cNvPr id="66" name="picture" descr="descript"/>
                    <pic:cNvPicPr/>
                  </pic:nvPicPr>
                  <pic:blipFill>
                    <a:blip r:embed="rId65"/>
                    <a:stretch>
                      <a:fillRect/>
                    </a:stretch>
                  </pic:blipFill>
                  <pic:spPr>
                    <a:xfrm>
                      <a:off x="0" y="0"/>
                      <a:ext cx="5760085" cy="2269864"/>
                    </a:xfrm>
                    <a:prstGeom prst="rect">
                      <a:avLst/>
                    </a:prstGeom>
                  </pic:spPr>
                </pic:pic>
              </a:graphicData>
            </a:graphic>
          </wp:inline>
        </w:drawing>
      </w:r>
    </w:p>
    <w:p w14:paraId="6C2028F9">
      <w:pPr>
        <w:snapToGrid/>
        <w:spacing w:before="0" w:after="0" w:line="240" w:lineRule="auto"/>
        <w:ind w:left="0" w:right="0"/>
        <w:jc w:val="both"/>
        <w:rPr>
          <w:rFonts w:hint="default" w:ascii="Times New Roman" w:hAnsi="Times New Roman" w:eastAsia="宋体" w:cs="Times New Roman"/>
        </w:rPr>
      </w:pPr>
    </w:p>
    <w:p w14:paraId="3F61D8F4">
      <w:pPr>
        <w:spacing w:before="0" w:after="0" w:line="360" w:lineRule="auto"/>
        <w:ind w:left="0"/>
        <w:jc w:val="both"/>
        <w:rPr>
          <w:rFonts w:hint="default" w:ascii="Times New Roman" w:hAnsi="Times New Roman" w:eastAsia="宋体" w:cs="Times New Roman"/>
          <w:b/>
          <w:bCs/>
          <w:color w:val="000000"/>
          <w:sz w:val="24"/>
          <w:szCs w:val="24"/>
          <w:u w:val="none"/>
        </w:rPr>
      </w:pPr>
      <w:r>
        <w:rPr>
          <w:rFonts w:hint="default" w:ascii="Times New Roman" w:hAnsi="Times New Roman" w:eastAsia="宋体" w:cs="Times New Roman"/>
          <w:b/>
          <w:bCs/>
          <w:i w:val="0"/>
          <w:strike w:val="0"/>
          <w:color w:val="000000"/>
          <w:sz w:val="24"/>
          <w:szCs w:val="24"/>
          <w:u w:val="none"/>
        </w:rPr>
        <w:t>2.供应商投标</w:t>
      </w:r>
    </w:p>
    <w:p w14:paraId="270741F3">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路径：招投标中心-非生产类招投标-供应商投标</w:t>
      </w:r>
    </w:p>
    <w:p w14:paraId="2EF89D15">
      <w:pPr>
        <w:snapToGrid/>
        <w:spacing w:before="0" w:after="0" w:line="240" w:lineRule="auto"/>
        <w:ind w:left="0" w:right="0"/>
        <w:jc w:val="both"/>
        <w:rPr>
          <w:rFonts w:hint="default" w:ascii="Times New Roman" w:hAnsi="Times New Roman" w:eastAsia="宋体" w:cs="Times New Roman"/>
          <w:i w:val="0"/>
          <w:strike w:val="0"/>
          <w:color w:val="000000"/>
          <w:sz w:val="21"/>
          <w:u w:val="none"/>
        </w:rPr>
      </w:pPr>
      <w:r>
        <w:rPr>
          <w:rFonts w:hint="default" w:ascii="Times New Roman" w:hAnsi="Times New Roman" w:eastAsia="宋体" w:cs="Times New Roman"/>
          <w:i w:val="0"/>
          <w:strike w:val="0"/>
          <w:color w:val="000000"/>
          <w:sz w:val="21"/>
          <w:u w:val="none"/>
        </w:rPr>
        <w:drawing>
          <wp:inline distT="0" distB="0" distL="0" distR="0">
            <wp:extent cx="5760085" cy="2125345"/>
            <wp:effectExtent l="0" t="0" r="5715" b="8255"/>
            <wp:docPr id="69" name="picture" descr="descript"/>
            <wp:cNvGraphicFramePr/>
            <a:graphic xmlns:a="http://schemas.openxmlformats.org/drawingml/2006/main">
              <a:graphicData uri="http://schemas.openxmlformats.org/drawingml/2006/picture">
                <pic:pic xmlns:pic="http://schemas.openxmlformats.org/drawingml/2006/picture">
                  <pic:nvPicPr>
                    <pic:cNvPr id="69" name="picture" descr="descript"/>
                    <pic:cNvPicPr/>
                  </pic:nvPicPr>
                  <pic:blipFill>
                    <a:blip r:embed="rId66"/>
                    <a:stretch>
                      <a:fillRect/>
                    </a:stretch>
                  </pic:blipFill>
                  <pic:spPr>
                    <a:xfrm>
                      <a:off x="0" y="0"/>
                      <a:ext cx="5760085" cy="2125673"/>
                    </a:xfrm>
                    <a:prstGeom prst="rect">
                      <a:avLst/>
                    </a:prstGeom>
                  </pic:spPr>
                </pic:pic>
              </a:graphicData>
            </a:graphic>
          </wp:inline>
        </w:drawing>
      </w:r>
    </w:p>
    <w:p w14:paraId="56ACC7BE">
      <w:pPr>
        <w:snapToGrid/>
        <w:spacing w:before="0" w:after="0" w:line="360" w:lineRule="auto"/>
        <w:ind w:left="0" w:right="0"/>
        <w:jc w:val="both"/>
        <w:rPr>
          <w:rFonts w:hint="default" w:ascii="Times New Roman" w:hAnsi="Times New Roman" w:eastAsia="宋体" w:cs="Times New Roman"/>
          <w:i w:val="0"/>
          <w:strike w:val="0"/>
          <w:color w:val="000000"/>
          <w:sz w:val="24"/>
          <w:szCs w:val="28"/>
          <w:u w:val="none"/>
        </w:rPr>
      </w:pPr>
      <w:r>
        <w:rPr>
          <w:rFonts w:hint="default" w:ascii="Times New Roman" w:hAnsi="Times New Roman" w:eastAsia="宋体" w:cs="Times New Roman"/>
          <w:i w:val="0"/>
          <w:strike w:val="0"/>
          <w:color w:val="000000"/>
          <w:sz w:val="24"/>
          <w:szCs w:val="28"/>
          <w:u w:val="none"/>
        </w:rPr>
        <w:t>点击投标按钮，进入详情页，输入投标报价并上传相应的附件。</w:t>
      </w:r>
    </w:p>
    <w:p w14:paraId="1324916C">
      <w:pPr>
        <w:pStyle w:val="16"/>
        <w:jc w:val="both"/>
        <w:rPr>
          <w:rFonts w:hint="default" w:ascii="Times New Roman" w:hAnsi="Times New Roman" w:eastAsia="宋体" w:cs="Times New Roman"/>
        </w:rPr>
      </w:pPr>
      <w:r>
        <w:rPr>
          <w:rFonts w:hint="default" w:ascii="Times New Roman" w:hAnsi="Times New Roman" w:eastAsia="宋体" w:cs="Times New Roman"/>
          <w:i w:val="0"/>
          <w:strike w:val="0"/>
          <w:color w:val="000000"/>
          <w:sz w:val="24"/>
          <w:szCs w:val="28"/>
          <w:highlight w:val="yellow"/>
          <w:u w:val="none"/>
          <w:lang w:val="en-US" w:eastAsia="zh-CN"/>
        </w:rPr>
        <w:t>注意：系统内的投标报价单位为“万元”，如开标现场发现填错报价，即直接淘汰。</w:t>
      </w:r>
    </w:p>
    <w:p w14:paraId="7FC5E660">
      <w:pPr>
        <w:pStyle w:val="5"/>
        <w:snapToGrid/>
        <w:spacing w:before="280" w:after="290" w:line="372" w:lineRule="auto"/>
        <w:ind w:left="425" w:right="0" w:hanging="425"/>
        <w:jc w:val="both"/>
        <w:rPr>
          <w:rFonts w:hint="default" w:ascii="Times New Roman" w:hAnsi="Times New Roman" w:eastAsia="宋体" w:cs="Times New Roman"/>
          <w:i w:val="0"/>
          <w:strike w:val="0"/>
          <w:color w:val="000000"/>
          <w:sz w:val="28"/>
          <w:u w:val="none"/>
        </w:rPr>
      </w:pPr>
      <w:r>
        <w:rPr>
          <w:rFonts w:hint="default" w:ascii="Times New Roman" w:hAnsi="Times New Roman" w:eastAsia="宋体" w:cs="Times New Roman"/>
          <w:i w:val="0"/>
          <w:strike w:val="0"/>
          <w:color w:val="000000"/>
          <w:sz w:val="28"/>
          <w:u w:val="none"/>
        </w:rPr>
        <w:drawing>
          <wp:inline distT="0" distB="0" distL="0" distR="0">
            <wp:extent cx="5490210" cy="2668905"/>
            <wp:effectExtent l="0" t="0" r="8890" b="10795"/>
            <wp:docPr id="70" name="picture" descr="descript"/>
            <wp:cNvGraphicFramePr/>
            <a:graphic xmlns:a="http://schemas.openxmlformats.org/drawingml/2006/main">
              <a:graphicData uri="http://schemas.openxmlformats.org/drawingml/2006/picture">
                <pic:pic xmlns:pic="http://schemas.openxmlformats.org/drawingml/2006/picture">
                  <pic:nvPicPr>
                    <pic:cNvPr id="70" name="picture" descr="descript"/>
                    <pic:cNvPicPr/>
                  </pic:nvPicPr>
                  <pic:blipFill>
                    <a:blip r:embed="rId67"/>
                    <a:stretch>
                      <a:fillRect/>
                    </a:stretch>
                  </pic:blipFill>
                  <pic:spPr>
                    <a:xfrm>
                      <a:off x="0" y="0"/>
                      <a:ext cx="5490210" cy="2669498"/>
                    </a:xfrm>
                    <a:prstGeom prst="rect">
                      <a:avLst/>
                    </a:prstGeom>
                  </pic:spPr>
                </pic:pic>
              </a:graphicData>
            </a:graphic>
          </wp:inline>
        </w:drawing>
      </w:r>
    </w:p>
    <w:p w14:paraId="7A96FF60">
      <w:pPr>
        <w:spacing w:before="0" w:after="0" w:line="360" w:lineRule="auto"/>
        <w:ind w:left="0"/>
        <w:jc w:val="both"/>
        <w:rPr>
          <w:rFonts w:hint="default" w:ascii="Times New Roman" w:hAnsi="Times New Roman" w:eastAsia="宋体" w:cs="Times New Roman"/>
          <w:b/>
          <w:bCs/>
          <w:color w:val="000000"/>
          <w:sz w:val="24"/>
          <w:szCs w:val="24"/>
          <w:u w:val="none"/>
        </w:rPr>
      </w:pPr>
      <w:r>
        <w:rPr>
          <w:rFonts w:hint="default" w:ascii="Times New Roman" w:hAnsi="Times New Roman" w:eastAsia="宋体" w:cs="Times New Roman"/>
          <w:b/>
          <w:bCs/>
          <w:i w:val="0"/>
          <w:strike w:val="0"/>
          <w:color w:val="000000"/>
          <w:sz w:val="24"/>
          <w:szCs w:val="24"/>
          <w:u w:val="none"/>
        </w:rPr>
        <w:t>3.供应商技术标澄清函</w:t>
      </w:r>
    </w:p>
    <w:p w14:paraId="7D3BCDED">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路径：招投标中心-非生产类招投标-供应商技术标澄清函</w:t>
      </w:r>
    </w:p>
    <w:p w14:paraId="461FF7C3">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点击编辑按钮进入系统，上传技术标澄清函。</w:t>
      </w:r>
    </w:p>
    <w:p w14:paraId="3D7512EA">
      <w:pPr>
        <w:spacing w:before="0" w:after="0" w:line="360" w:lineRule="auto"/>
        <w:ind w:left="0"/>
        <w:jc w:val="both"/>
        <w:rPr>
          <w:rFonts w:hint="default" w:ascii="Times New Roman" w:hAnsi="Times New Roman" w:eastAsia="宋体" w:cs="Times New Roman"/>
          <w:i w:val="0"/>
          <w:strike w:val="0"/>
          <w:color w:val="000000"/>
          <w:sz w:val="28"/>
          <w:u w:val="none"/>
        </w:rPr>
      </w:pPr>
      <w:r>
        <w:rPr>
          <w:rFonts w:hint="default" w:ascii="Times New Roman" w:hAnsi="Times New Roman" w:eastAsia="宋体" w:cs="Times New Roman"/>
          <w:i w:val="0"/>
          <w:strike w:val="0"/>
          <w:color w:val="000000"/>
          <w:sz w:val="24"/>
          <w:szCs w:val="24"/>
          <w:u w:val="none"/>
        </w:rPr>
        <w:t>开标之后所有投标的供应商都可编辑提交，技术标入围之后 都不可编辑</w:t>
      </w:r>
      <w:r>
        <w:rPr>
          <w:rFonts w:hint="default" w:ascii="Times New Roman" w:hAnsi="Times New Roman" w:eastAsia="宋体" w:cs="Times New Roman"/>
          <w:i w:val="0"/>
          <w:strike w:val="0"/>
          <w:color w:val="000000"/>
          <w:sz w:val="28"/>
          <w:u w:val="none"/>
        </w:rPr>
        <w:drawing>
          <wp:inline distT="0" distB="0" distL="0" distR="0">
            <wp:extent cx="5490210" cy="1992630"/>
            <wp:effectExtent l="0" t="0" r="8890" b="1270"/>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68"/>
                    <a:stretch>
                      <a:fillRect/>
                    </a:stretch>
                  </pic:blipFill>
                  <pic:spPr>
                    <a:xfrm>
                      <a:off x="0" y="0"/>
                      <a:ext cx="5490210" cy="1992743"/>
                    </a:xfrm>
                    <a:prstGeom prst="rect">
                      <a:avLst/>
                    </a:prstGeom>
                  </pic:spPr>
                </pic:pic>
              </a:graphicData>
            </a:graphic>
          </wp:inline>
        </w:drawing>
      </w:r>
    </w:p>
    <w:p w14:paraId="1D86FAD1">
      <w:pPr>
        <w:spacing w:before="0" w:after="0" w:line="360" w:lineRule="auto"/>
        <w:ind w:left="0"/>
        <w:jc w:val="both"/>
        <w:rPr>
          <w:rFonts w:hint="default" w:ascii="Times New Roman" w:hAnsi="Times New Roman" w:eastAsia="宋体" w:cs="Times New Roman"/>
          <w:b/>
          <w:bCs/>
          <w:color w:val="000000"/>
          <w:sz w:val="24"/>
          <w:szCs w:val="24"/>
          <w:u w:val="none"/>
        </w:rPr>
      </w:pPr>
      <w:r>
        <w:rPr>
          <w:rFonts w:hint="default" w:ascii="Times New Roman" w:hAnsi="Times New Roman" w:eastAsia="宋体" w:cs="Times New Roman"/>
          <w:b/>
          <w:bCs/>
          <w:i w:val="0"/>
          <w:strike w:val="0"/>
          <w:color w:val="000000"/>
          <w:sz w:val="24"/>
          <w:szCs w:val="24"/>
          <w:u w:val="none"/>
        </w:rPr>
        <w:t>4.供应商报价</w:t>
      </w:r>
    </w:p>
    <w:p w14:paraId="4B452CEC">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路径：招投标中心-非生产类招投标-供应商报价</w:t>
      </w:r>
    </w:p>
    <w:p w14:paraId="1321C008">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点击报价按钮进入报价详情界面，请在此轮报价起止时间内报价，否则无法报价。</w:t>
      </w:r>
    </w:p>
    <w:p w14:paraId="153C56B0">
      <w:pPr>
        <w:spacing w:before="0" w:after="0" w:line="360" w:lineRule="auto"/>
        <w:ind w:left="0"/>
        <w:jc w:val="both"/>
        <w:rPr>
          <w:rFonts w:hint="default" w:ascii="Times New Roman" w:hAnsi="Times New Roman" w:eastAsia="宋体" w:cs="Times New Roman"/>
          <w:b/>
          <w:bCs/>
          <w:color w:val="000000"/>
          <w:sz w:val="24"/>
          <w:szCs w:val="24"/>
          <w:u w:val="none"/>
        </w:rPr>
      </w:pPr>
      <w:r>
        <w:rPr>
          <w:rFonts w:hint="default" w:ascii="Times New Roman" w:hAnsi="Times New Roman" w:eastAsia="宋体" w:cs="Times New Roman"/>
          <w:b/>
          <w:bCs/>
          <w:i w:val="0"/>
          <w:strike w:val="0"/>
          <w:color w:val="000000"/>
          <w:sz w:val="24"/>
          <w:szCs w:val="24"/>
          <w:u w:val="none"/>
        </w:rPr>
        <w:t>5.供应商澄清报价</w:t>
      </w:r>
    </w:p>
    <w:p w14:paraId="3ED31DBF">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路径：招投标中心-非生产类招投标-供应商澄清报价</w:t>
      </w:r>
    </w:p>
    <w:p w14:paraId="2B189E7C">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10F71BCD">
      <w:pPr>
        <w:pStyle w:val="5"/>
        <w:snapToGrid/>
        <w:spacing w:before="280" w:after="290" w:line="372" w:lineRule="auto"/>
        <w:ind w:left="425" w:right="0" w:hanging="425"/>
        <w:jc w:val="both"/>
        <w:rPr>
          <w:rFonts w:hint="default" w:ascii="Times New Roman" w:hAnsi="Times New Roman" w:eastAsia="宋体" w:cs="Times New Roman"/>
          <w:i w:val="0"/>
          <w:strike w:val="0"/>
          <w:color w:val="000000"/>
          <w:sz w:val="28"/>
          <w:u w:val="none"/>
        </w:rPr>
      </w:pPr>
      <w:r>
        <w:rPr>
          <w:rFonts w:hint="default" w:ascii="Times New Roman" w:hAnsi="Times New Roman" w:eastAsia="宋体" w:cs="Times New Roman"/>
          <w:i w:val="0"/>
          <w:strike w:val="0"/>
          <w:color w:val="000000"/>
          <w:sz w:val="28"/>
          <w:u w:val="none"/>
        </w:rPr>
        <w:drawing>
          <wp:inline distT="0" distB="0" distL="0" distR="0">
            <wp:extent cx="5490210" cy="2544445"/>
            <wp:effectExtent l="0" t="0" r="8890" b="8255"/>
            <wp:docPr id="72" name="picture" descr="descript"/>
            <wp:cNvGraphicFramePr/>
            <a:graphic xmlns:a="http://schemas.openxmlformats.org/drawingml/2006/main">
              <a:graphicData uri="http://schemas.openxmlformats.org/drawingml/2006/picture">
                <pic:pic xmlns:pic="http://schemas.openxmlformats.org/drawingml/2006/picture">
                  <pic:nvPicPr>
                    <pic:cNvPr id="72" name="picture" descr="descript"/>
                    <pic:cNvPicPr/>
                  </pic:nvPicPr>
                  <pic:blipFill>
                    <a:blip r:embed="rId69"/>
                    <a:stretch>
                      <a:fillRect/>
                    </a:stretch>
                  </pic:blipFill>
                  <pic:spPr>
                    <a:xfrm>
                      <a:off x="0" y="0"/>
                      <a:ext cx="5490210" cy="2544669"/>
                    </a:xfrm>
                    <a:prstGeom prst="rect">
                      <a:avLst/>
                    </a:prstGeom>
                  </pic:spPr>
                </pic:pic>
              </a:graphicData>
            </a:graphic>
          </wp:inline>
        </w:drawing>
      </w:r>
    </w:p>
    <w:p w14:paraId="3428E0E0">
      <w:pPr>
        <w:spacing w:before="0" w:after="0" w:line="360" w:lineRule="auto"/>
        <w:ind w:left="0"/>
        <w:jc w:val="both"/>
        <w:rPr>
          <w:rFonts w:hint="default" w:ascii="Times New Roman" w:hAnsi="Times New Roman" w:eastAsia="宋体" w:cs="Times New Roman"/>
          <w:b/>
          <w:bCs/>
          <w:color w:val="000000"/>
          <w:sz w:val="24"/>
          <w:szCs w:val="24"/>
          <w:u w:val="none"/>
        </w:rPr>
      </w:pPr>
      <w:r>
        <w:rPr>
          <w:rFonts w:hint="default" w:ascii="Times New Roman" w:hAnsi="Times New Roman" w:eastAsia="宋体" w:cs="Times New Roman"/>
          <w:b/>
          <w:bCs/>
          <w:i w:val="0"/>
          <w:strike w:val="0"/>
          <w:color w:val="000000"/>
          <w:sz w:val="24"/>
          <w:szCs w:val="24"/>
          <w:u w:val="none"/>
        </w:rPr>
        <w:t>6.供应商查看中标通知</w:t>
      </w:r>
    </w:p>
    <w:p w14:paraId="2F31B18B">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路径：招投标中心-非生产类招投标-中标项目</w:t>
      </w:r>
    </w:p>
    <w:p w14:paraId="3613F2AE">
      <w:pPr>
        <w:snapToGrid/>
        <w:spacing w:before="0" w:after="0"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i w:val="0"/>
          <w:strike w:val="0"/>
          <w:color w:val="000000"/>
          <w:sz w:val="24"/>
          <w:szCs w:val="24"/>
          <w:u w:val="none"/>
        </w:rPr>
        <w:t>点击查看进入查看中标项目详情</w:t>
      </w:r>
    </w:p>
    <w:p w14:paraId="1FDE59DF">
      <w:pPr>
        <w:snapToGrid/>
        <w:spacing w:before="0" w:after="0" w:line="240" w:lineRule="auto"/>
        <w:ind w:left="0" w:right="0"/>
        <w:jc w:val="both"/>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1956435"/>
            <wp:effectExtent l="0" t="0" r="5715" b="12065"/>
            <wp:docPr id="73" name="picture" descr="descript"/>
            <wp:cNvGraphicFramePr/>
            <a:graphic xmlns:a="http://schemas.openxmlformats.org/drawingml/2006/main">
              <a:graphicData uri="http://schemas.openxmlformats.org/drawingml/2006/picture">
                <pic:pic xmlns:pic="http://schemas.openxmlformats.org/drawingml/2006/picture">
                  <pic:nvPicPr>
                    <pic:cNvPr id="73" name="picture" descr="descript"/>
                    <pic:cNvPicPr/>
                  </pic:nvPicPr>
                  <pic:blipFill>
                    <a:blip r:embed="rId70"/>
                    <a:stretch>
                      <a:fillRect/>
                    </a:stretch>
                  </pic:blipFill>
                  <pic:spPr>
                    <a:xfrm>
                      <a:off x="0" y="0"/>
                      <a:ext cx="5760085" cy="1956600"/>
                    </a:xfrm>
                    <a:prstGeom prst="rect">
                      <a:avLst/>
                    </a:prstGeom>
                  </pic:spPr>
                </pic:pic>
              </a:graphicData>
            </a:graphic>
          </wp:inline>
        </w:drawing>
      </w:r>
    </w:p>
    <w:p w14:paraId="5E2B3351">
      <w:pPr>
        <w:pStyle w:val="16"/>
        <w:jc w:val="both"/>
        <w:rPr>
          <w:rFonts w:hint="default" w:ascii="Times New Roman" w:hAnsi="Times New Roman" w:eastAsia="宋体" w:cs="Times New Roman"/>
          <w:b/>
          <w:color w:val="000000"/>
          <w:sz w:val="24"/>
          <w:szCs w:val="24"/>
          <w:lang w:val="en-US" w:eastAsia="zh-CN"/>
        </w:rPr>
      </w:pPr>
    </w:p>
    <w:p w14:paraId="36E46F93"/>
    <w:p w14:paraId="0D602392">
      <w:pPr>
        <w:pStyle w:val="16"/>
        <w:rPr>
          <w:rFonts w:hAnsi="宋体" w:eastAsia="宋体" w:cs="Times New Roman"/>
          <w:b/>
          <w:color w:val="000000"/>
          <w:sz w:val="24"/>
          <w:szCs w:val="24"/>
        </w:rPr>
        <w:sectPr>
          <w:headerReference r:id="rId45" w:type="first"/>
          <w:footerReference r:id="rId47" w:type="first"/>
          <w:headerReference r:id="rId44" w:type="default"/>
          <w:footerReference r:id="rId46" w:type="default"/>
          <w:pgSz w:w="11906" w:h="16838"/>
          <w:pgMar w:top="1588" w:right="1418" w:bottom="1134" w:left="1418" w:header="851" w:footer="992" w:gutter="0"/>
          <w:cols w:space="720" w:num="1"/>
          <w:titlePg/>
          <w:docGrid w:type="lines" w:linePitch="312" w:charSpace="0"/>
        </w:sectPr>
      </w:pPr>
    </w:p>
    <w:p w14:paraId="358FB386">
      <w:pPr>
        <w:pStyle w:val="16"/>
        <w:rPr>
          <w:rFonts w:hAnsi="宋体" w:eastAsia="宋体" w:cs="Times New Roman"/>
          <w:b/>
          <w:color w:val="000000"/>
          <w:sz w:val="24"/>
          <w:szCs w:val="24"/>
        </w:rPr>
      </w:pPr>
    </w:p>
    <w:sectPr>
      <w:headerReference r:id="rId49" w:type="first"/>
      <w:footerReference r:id="rId51" w:type="first"/>
      <w:headerReference r:id="rId48" w:type="default"/>
      <w:footerReference r:id="rId50"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A8A01CE-61EA-4A36-BD34-E12BFDBEB1B5}"/>
  </w:font>
  <w:font w:name="黑体">
    <w:panose1 w:val="02010609060101010101"/>
    <w:charset w:val="86"/>
    <w:family w:val="auto"/>
    <w:pitch w:val="default"/>
    <w:sig w:usb0="800002BF" w:usb1="38CF7CFA" w:usb2="00000016" w:usb3="00000000" w:csb0="00040001" w:csb1="00000000"/>
    <w:embedRegular r:id="rId2" w:fontKey="{1F9BB375-6CD3-4E2E-AA53-911D77B187A2}"/>
  </w:font>
  <w:font w:name="Courier New">
    <w:panose1 w:val="02070309020205020404"/>
    <w:charset w:val="01"/>
    <w:family w:val="modern"/>
    <w:pitch w:val="default"/>
    <w:sig w:usb0="E0002EFF" w:usb1="C0007843" w:usb2="00000009" w:usb3="00000000" w:csb0="400001FF" w:csb1="FFFF0000"/>
    <w:embedRegular r:id="rId3" w:fontKey="{53E6B3A7-8D99-4CB5-AD03-D8534CE494D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B1FD99E-3D6D-4233-AFB8-B93EA0B65DF2}"/>
  </w:font>
  <w:font w:name="等线">
    <w:panose1 w:val="02010600030101010101"/>
    <w:charset w:val="86"/>
    <w:family w:val="auto"/>
    <w:pitch w:val="default"/>
    <w:sig w:usb0="A00002BF" w:usb1="38CF7CFA" w:usb2="00000016" w:usb3="00000000" w:csb0="0004000F" w:csb1="00000000"/>
    <w:embedRegular r:id="rId5" w:fontKey="{31195FB9-D31D-4362-AD3E-F43578393A57}"/>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E2C0125B-EC20-4D1E-AB81-63515BD80238}"/>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194AA8B2-7870-4D3C-9B5A-7A6382D332E6}"/>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8" w:fontKey="{AAE95A01-19F5-41E2-90CF-E8D428C4BC67}"/>
  </w:font>
  <w:font w:name="方正小标宋简体">
    <w:panose1 w:val="02000000000000000000"/>
    <w:charset w:val="86"/>
    <w:family w:val="script"/>
    <w:pitch w:val="default"/>
    <w:sig w:usb0="A00002BF" w:usb1="184F6CFA" w:usb2="00000012" w:usb3="00000000" w:csb0="00040001" w:csb1="00000000"/>
    <w:embedRegular r:id="rId9" w:fontKey="{AC5A8D48-AE98-4987-93A7-E33C28B52ADD}"/>
  </w:font>
  <w:font w:name="Wingdings 2">
    <w:panose1 w:val="05020102010507070707"/>
    <w:charset w:val="02"/>
    <w:family w:val="roman"/>
    <w:pitch w:val="default"/>
    <w:sig w:usb0="00000000" w:usb1="00000000" w:usb2="00000000" w:usb3="00000000" w:csb0="80000000" w:csb1="00000000"/>
    <w:embedRegular r:id="rId10" w:fontKey="{8C48B1D7-64E0-4762-98AA-C630BFCE75C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1"/>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1"/>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1"/>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1"/>
                    </w:pPr>
                  </w:p>
                </w:txbxContent>
              </v:textbox>
            </v:shape>
          </w:pict>
        </mc:Fallback>
      </mc:AlternateContent>
    </w:r>
  </w:p>
  <w:p w14:paraId="76DCFF2F">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3E718">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50F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14:paraId="59050F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5995">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1C95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5B1C95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20AEB">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7E6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0107E6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67E26">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39A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14:paraId="55239A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563D4">
    <w:pPr>
      <w:pStyle w:val="21"/>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821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818213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BB699">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9C7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629C7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7F9B">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977B8">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6B8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14:paraId="4686B8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83E7">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E961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31DE961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CB068">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D5B7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CE26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859B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9A1C">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1Ob0Et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1Ob0E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BEFBA">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204C5">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7A2204C5">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69386">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77E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70677E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AB931">
    <w:pPr>
      <w:pStyle w:val="21"/>
      <w:jc w:val="center"/>
      <w:rPr>
        <w:rFonts w:hint="eastAsia"/>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DB1F5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7hhwzAgAAZ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7hhwzAgAAZQQAAA4AAAAAAAAAAQAgAAAAHwEAAGRycy9lMm9Eb2MueG1sUEsF&#10;BgAAAAAGAAYAWQEAAMQFAAAAAA==&#10;">
              <v:fill on="f" focussize="0,0"/>
              <v:stroke on="f" weight="0.5pt"/>
              <v:imagedata o:title=""/>
              <o:lock v:ext="edit" aspectratio="f"/>
              <v:textbox inset="0mm,0mm,0mm,0mm" style="mso-fit-shape-to-text:t;">
                <w:txbxContent>
                  <w:p w14:paraId="36DB1F5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425CE">
    <w:pPr>
      <w:pStyle w:val="21"/>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4E4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63D4E47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1"/>
      <w:jc w:val="center"/>
    </w:pPr>
  </w:p>
  <w:p w14:paraId="4BAB3D9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6213C">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9A50B">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D99A50B">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46BF4">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7B763">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E27B763">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1"/>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1"/>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1"/>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643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1"/>
                    </w:pPr>
                  </w:p>
                </w:txbxContent>
              </v:textbox>
            </v:shape>
          </w:pict>
        </mc:Fallback>
      </mc:AlternateContent>
    </w:r>
  </w:p>
  <w:p w14:paraId="5657E234">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2"/>
    </w:pPr>
  </w:p>
  <w:p w14:paraId="3935E60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6D7BE">
    <w:pPr>
      <w:pStyle w:val="22"/>
    </w:pPr>
  </w:p>
  <w:p w14:paraId="65812F29">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E0A57">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EF61">
    <w:pPr>
      <w:pStyle w:val="22"/>
    </w:pPr>
  </w:p>
  <w:p w14:paraId="21AB7805">
    <w:pPr>
      <w:pStyle w:val="22"/>
    </w:pPr>
    <w:r>
      <w:rPr>
        <w:sz w:val="18"/>
      </w:rPr>
      <w:pict>
        <v:shape id="PowerPlusWaterMarkObject74730566" o:spid="_x0000_s3087" o:spt="136" type="#_x0000_t136" style="position:absolute;left:0pt;margin-left:711.4pt;margin-top:169.4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3088" o:spt="136" type="#_x0000_t136" style="position:absolute;left:0pt;margin-left:599pt;margin-top:281.8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3089" o:spt="136" type="#_x0000_t136" style="position:absolute;left:0pt;margin-left:486.55pt;margin-top:394.25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3090" o:spt="136" type="#_x0000_t136" style="position:absolute;left:0pt;margin-left:374.15pt;margin-top:506.7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3091" o:spt="136" type="#_x0000_t136" style="position:absolute;left:0pt;margin-left:599pt;margin-top:-77.4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3092" o:spt="136" type="#_x0000_t136" style="position:absolute;left:0pt;margin-left:486.55pt;margin-top:34.9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3093" o:spt="136" type="#_x0000_t136" style="position:absolute;left:0pt;margin-left:374.15pt;margin-top:147.4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3094" o:spt="136" type="#_x0000_t136" style="position:absolute;left:0pt;margin-left:261.7pt;margin-top:259.8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3095" o:spt="136" type="#_x0000_t136" style="position:absolute;left:0pt;margin-left:149.25pt;margin-top:372.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3096" o:spt="136" type="#_x0000_t136" style="position:absolute;left:0pt;margin-left:36.85pt;margin-top:484.7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3097" o:spt="136" type="#_x0000_t136" style="position:absolute;left:0pt;margin-left:261.7pt;margin-top:-99.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3098" o:spt="136" type="#_x0000_t136" style="position:absolute;left:0pt;margin-left:149.25pt;margin-top:12.9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3099" o:spt="136" type="#_x0000_t136" style="position:absolute;left:0pt;margin-left:36.85pt;margin-top:125.4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3100" o:spt="136" type="#_x0000_t136" style="position:absolute;left:0pt;margin-left:-75.6pt;margin-top:237.8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8B0A3">
    <w:pPr>
      <w:pStyle w:val="22"/>
    </w:pPr>
    <w:r>
      <w:rPr>
        <w:sz w:val="18"/>
      </w:rPr>
      <w:pict>
        <v:shape id="PowerPlusWaterMarkObject81859546" o:spid="_x0000_s3073" o:spt="136" type="#_x0000_t136" style="position:absolute;left:0pt;margin-left:711.4pt;margin-top:169.4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3074" o:spt="136" type="#_x0000_t136" style="position:absolute;left:0pt;margin-left:599pt;margin-top:281.8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3075" o:spt="136" type="#_x0000_t136" style="position:absolute;left:0pt;margin-left:486.55pt;margin-top:394.25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3076" o:spt="136" type="#_x0000_t136" style="position:absolute;left:0pt;margin-left:374.15pt;margin-top:506.7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3077" o:spt="136" type="#_x0000_t136" style="position:absolute;left:0pt;margin-left:599pt;margin-top:-77.4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3078" o:spt="136" type="#_x0000_t136" style="position:absolute;left:0pt;margin-left:486.55pt;margin-top:34.95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3079" o:spt="136" type="#_x0000_t136" style="position:absolute;left:0pt;margin-left:374.15pt;margin-top:147.4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3080" o:spt="136" type="#_x0000_t136" style="position:absolute;left:0pt;margin-left:261.7pt;margin-top:259.8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3081" o:spt="136" type="#_x0000_t136" style="position:absolute;left:0pt;margin-left:149.25pt;margin-top:372.2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3082" o:spt="136" type="#_x0000_t136" style="position:absolute;left:0pt;margin-left:36.85pt;margin-top:484.7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3083" o:spt="136" type="#_x0000_t136" style="position:absolute;left:0pt;margin-left:261.7pt;margin-top:-99.5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3084" o:spt="136" type="#_x0000_t136" style="position:absolute;left:0pt;margin-left:149.25pt;margin-top:12.9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3085" o:spt="136" type="#_x0000_t136" style="position:absolute;left:0pt;margin-left:36.85pt;margin-top:125.4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3086" o:spt="136" type="#_x0000_t136" style="position:absolute;left:0pt;margin-left:-75.6pt;margin-top:237.8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2"/>
    </w:pPr>
  </w:p>
  <w:p w14:paraId="3893B6F7">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1662795"/>
    <w:multiLevelType w:val="singleLevel"/>
    <w:tmpl w:val="11662795"/>
    <w:lvl w:ilvl="0" w:tentative="0">
      <w:start w:val="1"/>
      <w:numFmt w:val="lowerLetter"/>
      <w:lvlText w:val="%1."/>
      <w:lvlJc w:val="left"/>
      <w:pPr>
        <w:tabs>
          <w:tab w:val="left" w:pos="312"/>
        </w:tabs>
      </w:pPr>
    </w:lvl>
  </w:abstractNum>
  <w:abstractNum w:abstractNumId="4">
    <w:nsid w:val="1D05F88D"/>
    <w:multiLevelType w:val="singleLevel"/>
    <w:tmpl w:val="1D05F88D"/>
    <w:lvl w:ilvl="0" w:tentative="0">
      <w:start w:val="1"/>
      <w:numFmt w:val="lowerLetter"/>
      <w:lvlText w:val="%1."/>
      <w:lvlJc w:val="left"/>
      <w:pPr>
        <w:tabs>
          <w:tab w:val="left" w:pos="312"/>
        </w:tabs>
      </w:p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4D45F5E"/>
    <w:multiLevelType w:val="singleLevel"/>
    <w:tmpl w:val="74D45F5E"/>
    <w:lvl w:ilvl="0" w:tentative="0">
      <w:start w:val="4"/>
      <w:numFmt w:val="decimal"/>
      <w:lvlText w:val="%1."/>
      <w:lvlJc w:val="left"/>
      <w:pPr>
        <w:tabs>
          <w:tab w:val="left" w:pos="312"/>
        </w:tabs>
      </w:pPr>
    </w:lvl>
  </w:abstractNum>
  <w:abstractNum w:abstractNumId="11">
    <w:nsid w:val="78E84C28"/>
    <w:multiLevelType w:val="singleLevel"/>
    <w:tmpl w:val="78E84C28"/>
    <w:lvl w:ilvl="0" w:tentative="0">
      <w:start w:val="2"/>
      <w:numFmt w:val="decimal"/>
      <w:lvlText w:val="%1."/>
      <w:lvlJc w:val="left"/>
      <w:pPr>
        <w:tabs>
          <w:tab w:val="left" w:pos="312"/>
        </w:tabs>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0"/>
  </w:num>
  <w:num w:numId="3">
    <w:abstractNumId w:val="12"/>
  </w:num>
  <w:num w:numId="4">
    <w:abstractNumId w:val="6"/>
  </w:num>
  <w:num w:numId="5">
    <w:abstractNumId w:val="2"/>
  </w:num>
  <w:num w:numId="6">
    <w:abstractNumId w:val="8"/>
  </w:num>
  <w:num w:numId="7">
    <w:abstractNumId w:val="1"/>
  </w:num>
  <w:num w:numId="8">
    <w:abstractNumId w:val="7"/>
  </w:num>
  <w:num w:numId="9">
    <w:abstractNumId w:val="5"/>
  </w:num>
  <w:num w:numId="10">
    <w:abstractNumId w:val="11"/>
  </w:num>
  <w:num w:numId="11">
    <w:abstractNumId w:val="4"/>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BF52BD"/>
    <w:rsid w:val="00C01073"/>
    <w:rsid w:val="00C855F6"/>
    <w:rsid w:val="00C92F53"/>
    <w:rsid w:val="00CD5223"/>
    <w:rsid w:val="00CE5010"/>
    <w:rsid w:val="00CE6E17"/>
    <w:rsid w:val="00D0528A"/>
    <w:rsid w:val="00D11B37"/>
    <w:rsid w:val="00D408EF"/>
    <w:rsid w:val="00D5145C"/>
    <w:rsid w:val="00D64DAE"/>
    <w:rsid w:val="00D729A1"/>
    <w:rsid w:val="00D94578"/>
    <w:rsid w:val="00DB26E3"/>
    <w:rsid w:val="00DB5225"/>
    <w:rsid w:val="00DD1E5E"/>
    <w:rsid w:val="00DE6417"/>
    <w:rsid w:val="00E16182"/>
    <w:rsid w:val="00E1627A"/>
    <w:rsid w:val="00E34C35"/>
    <w:rsid w:val="00E56895"/>
    <w:rsid w:val="00E64BF7"/>
    <w:rsid w:val="00E650A8"/>
    <w:rsid w:val="00E878B4"/>
    <w:rsid w:val="00EA52E2"/>
    <w:rsid w:val="00EB3D00"/>
    <w:rsid w:val="00F71720"/>
    <w:rsid w:val="00FE040F"/>
    <w:rsid w:val="00FE42B3"/>
    <w:rsid w:val="014832F2"/>
    <w:rsid w:val="014C6B51"/>
    <w:rsid w:val="014D51C1"/>
    <w:rsid w:val="01536978"/>
    <w:rsid w:val="01714809"/>
    <w:rsid w:val="0179546C"/>
    <w:rsid w:val="01C52478"/>
    <w:rsid w:val="02313F99"/>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62137"/>
    <w:rsid w:val="04AD02B8"/>
    <w:rsid w:val="04DE51C8"/>
    <w:rsid w:val="04DF17D4"/>
    <w:rsid w:val="04EE7F1F"/>
    <w:rsid w:val="051931EE"/>
    <w:rsid w:val="05355B4E"/>
    <w:rsid w:val="053578FC"/>
    <w:rsid w:val="05412745"/>
    <w:rsid w:val="05491761"/>
    <w:rsid w:val="05A351AD"/>
    <w:rsid w:val="05F257ED"/>
    <w:rsid w:val="05F9748A"/>
    <w:rsid w:val="0619721E"/>
    <w:rsid w:val="06266F78"/>
    <w:rsid w:val="063D4D3E"/>
    <w:rsid w:val="063E7B7A"/>
    <w:rsid w:val="06582413"/>
    <w:rsid w:val="06682E69"/>
    <w:rsid w:val="066A28A8"/>
    <w:rsid w:val="067E33B8"/>
    <w:rsid w:val="06B96433"/>
    <w:rsid w:val="06E82FCB"/>
    <w:rsid w:val="06F34B95"/>
    <w:rsid w:val="072D6233"/>
    <w:rsid w:val="07426476"/>
    <w:rsid w:val="07571DAC"/>
    <w:rsid w:val="07612C2A"/>
    <w:rsid w:val="07867620"/>
    <w:rsid w:val="079254DA"/>
    <w:rsid w:val="07A34FF1"/>
    <w:rsid w:val="07D4782B"/>
    <w:rsid w:val="085676E3"/>
    <w:rsid w:val="08916B94"/>
    <w:rsid w:val="089D4136"/>
    <w:rsid w:val="08D5567E"/>
    <w:rsid w:val="08D767A2"/>
    <w:rsid w:val="08DD171B"/>
    <w:rsid w:val="08E64121"/>
    <w:rsid w:val="09097B66"/>
    <w:rsid w:val="090F1795"/>
    <w:rsid w:val="093323A4"/>
    <w:rsid w:val="0942017F"/>
    <w:rsid w:val="096A4386"/>
    <w:rsid w:val="09BA1FBB"/>
    <w:rsid w:val="09CB139F"/>
    <w:rsid w:val="09EA6F07"/>
    <w:rsid w:val="0A0106F5"/>
    <w:rsid w:val="0A112AB7"/>
    <w:rsid w:val="0A4E5482"/>
    <w:rsid w:val="0A590531"/>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162709"/>
    <w:rsid w:val="0D202483"/>
    <w:rsid w:val="0D5D20E6"/>
    <w:rsid w:val="0D807235"/>
    <w:rsid w:val="0D9308F8"/>
    <w:rsid w:val="0DE76C3D"/>
    <w:rsid w:val="0E1A1D85"/>
    <w:rsid w:val="0E1B0427"/>
    <w:rsid w:val="0E204E4E"/>
    <w:rsid w:val="0E303356"/>
    <w:rsid w:val="0E455182"/>
    <w:rsid w:val="0E750568"/>
    <w:rsid w:val="0E8A515C"/>
    <w:rsid w:val="0E961A83"/>
    <w:rsid w:val="0E9C3C97"/>
    <w:rsid w:val="0EBD5B29"/>
    <w:rsid w:val="0ED52E86"/>
    <w:rsid w:val="0F2D7A80"/>
    <w:rsid w:val="0F4277E5"/>
    <w:rsid w:val="0F697AF2"/>
    <w:rsid w:val="0F930041"/>
    <w:rsid w:val="0FA75561"/>
    <w:rsid w:val="0FB83603"/>
    <w:rsid w:val="0FCA77F1"/>
    <w:rsid w:val="0FCD5DCC"/>
    <w:rsid w:val="10043197"/>
    <w:rsid w:val="10270545"/>
    <w:rsid w:val="103409DF"/>
    <w:rsid w:val="108A1D4B"/>
    <w:rsid w:val="10A10111"/>
    <w:rsid w:val="10BE093E"/>
    <w:rsid w:val="10E20BD8"/>
    <w:rsid w:val="10F16DCD"/>
    <w:rsid w:val="111B0FE9"/>
    <w:rsid w:val="112C77F4"/>
    <w:rsid w:val="113440E3"/>
    <w:rsid w:val="114755AB"/>
    <w:rsid w:val="115F67A8"/>
    <w:rsid w:val="117F087D"/>
    <w:rsid w:val="119A7465"/>
    <w:rsid w:val="11C07DA5"/>
    <w:rsid w:val="11C2491E"/>
    <w:rsid w:val="11F36B75"/>
    <w:rsid w:val="12092610"/>
    <w:rsid w:val="12491386"/>
    <w:rsid w:val="12C8487B"/>
    <w:rsid w:val="12E60579"/>
    <w:rsid w:val="12EB0F02"/>
    <w:rsid w:val="130D1D87"/>
    <w:rsid w:val="13695B36"/>
    <w:rsid w:val="1372609F"/>
    <w:rsid w:val="13D03611"/>
    <w:rsid w:val="13D73572"/>
    <w:rsid w:val="13FA41EA"/>
    <w:rsid w:val="14504752"/>
    <w:rsid w:val="145A6A37"/>
    <w:rsid w:val="1467440F"/>
    <w:rsid w:val="14A423A8"/>
    <w:rsid w:val="14CF399E"/>
    <w:rsid w:val="14D7277E"/>
    <w:rsid w:val="14F275B8"/>
    <w:rsid w:val="15400323"/>
    <w:rsid w:val="15433A9B"/>
    <w:rsid w:val="15925A46"/>
    <w:rsid w:val="15995C85"/>
    <w:rsid w:val="15F34DF0"/>
    <w:rsid w:val="15FC2F04"/>
    <w:rsid w:val="16181FAC"/>
    <w:rsid w:val="16421E79"/>
    <w:rsid w:val="168756A0"/>
    <w:rsid w:val="16A2521C"/>
    <w:rsid w:val="16CF7BB0"/>
    <w:rsid w:val="16F94849"/>
    <w:rsid w:val="17045E51"/>
    <w:rsid w:val="172011D4"/>
    <w:rsid w:val="17252C3B"/>
    <w:rsid w:val="17312619"/>
    <w:rsid w:val="173C25C7"/>
    <w:rsid w:val="173F0A2E"/>
    <w:rsid w:val="17770BC2"/>
    <w:rsid w:val="17860E2F"/>
    <w:rsid w:val="178D2907"/>
    <w:rsid w:val="17A119AA"/>
    <w:rsid w:val="17AB5FD7"/>
    <w:rsid w:val="180E4708"/>
    <w:rsid w:val="18586F2B"/>
    <w:rsid w:val="19087FDA"/>
    <w:rsid w:val="19A766B9"/>
    <w:rsid w:val="19C332D1"/>
    <w:rsid w:val="19CE76BA"/>
    <w:rsid w:val="19F26070"/>
    <w:rsid w:val="19F97C8B"/>
    <w:rsid w:val="1A1523CE"/>
    <w:rsid w:val="1A8E1B30"/>
    <w:rsid w:val="1AA44EB0"/>
    <w:rsid w:val="1AA730BD"/>
    <w:rsid w:val="1ADF38C8"/>
    <w:rsid w:val="1B212F72"/>
    <w:rsid w:val="1B2B1506"/>
    <w:rsid w:val="1B2D6FD2"/>
    <w:rsid w:val="1B333D5D"/>
    <w:rsid w:val="1B392643"/>
    <w:rsid w:val="1B4F7512"/>
    <w:rsid w:val="1B587618"/>
    <w:rsid w:val="1B5F19C7"/>
    <w:rsid w:val="1B612DA1"/>
    <w:rsid w:val="1B8C2514"/>
    <w:rsid w:val="1BC85FA4"/>
    <w:rsid w:val="1BF367A5"/>
    <w:rsid w:val="1C1C709B"/>
    <w:rsid w:val="1C1D6162"/>
    <w:rsid w:val="1C47643B"/>
    <w:rsid w:val="1C4F6795"/>
    <w:rsid w:val="1C9F6814"/>
    <w:rsid w:val="1CE7377A"/>
    <w:rsid w:val="1D100F23"/>
    <w:rsid w:val="1D5C514E"/>
    <w:rsid w:val="1D646B79"/>
    <w:rsid w:val="1D6E79F7"/>
    <w:rsid w:val="1D865D14"/>
    <w:rsid w:val="1D8705EC"/>
    <w:rsid w:val="1D9A07EC"/>
    <w:rsid w:val="1DAF24EA"/>
    <w:rsid w:val="1DEC0E7D"/>
    <w:rsid w:val="1DF20628"/>
    <w:rsid w:val="1DF63B37"/>
    <w:rsid w:val="1E43150B"/>
    <w:rsid w:val="1E4B0A5F"/>
    <w:rsid w:val="1E911BEF"/>
    <w:rsid w:val="1EA93E80"/>
    <w:rsid w:val="1ED33FB6"/>
    <w:rsid w:val="1EE81332"/>
    <w:rsid w:val="1F0C74C8"/>
    <w:rsid w:val="1F1C3BAF"/>
    <w:rsid w:val="1F32415A"/>
    <w:rsid w:val="1F542F9A"/>
    <w:rsid w:val="1F702632"/>
    <w:rsid w:val="1F7E2174"/>
    <w:rsid w:val="1F845B16"/>
    <w:rsid w:val="1FA3607E"/>
    <w:rsid w:val="1FB64E98"/>
    <w:rsid w:val="1FCA360B"/>
    <w:rsid w:val="1FEA7809"/>
    <w:rsid w:val="20062169"/>
    <w:rsid w:val="20107567"/>
    <w:rsid w:val="20605D1D"/>
    <w:rsid w:val="20A420AE"/>
    <w:rsid w:val="20AB56C6"/>
    <w:rsid w:val="21093CBF"/>
    <w:rsid w:val="21547789"/>
    <w:rsid w:val="2176507C"/>
    <w:rsid w:val="21A1039B"/>
    <w:rsid w:val="21AE2AB8"/>
    <w:rsid w:val="21BE35AF"/>
    <w:rsid w:val="21C11174"/>
    <w:rsid w:val="22113368"/>
    <w:rsid w:val="22244B28"/>
    <w:rsid w:val="223034CD"/>
    <w:rsid w:val="22396826"/>
    <w:rsid w:val="22467FD4"/>
    <w:rsid w:val="22675ACD"/>
    <w:rsid w:val="229451FD"/>
    <w:rsid w:val="22A12DB6"/>
    <w:rsid w:val="22F64717"/>
    <w:rsid w:val="236356D1"/>
    <w:rsid w:val="23A91C83"/>
    <w:rsid w:val="23C2284B"/>
    <w:rsid w:val="23C962E8"/>
    <w:rsid w:val="246D2675"/>
    <w:rsid w:val="247E4FED"/>
    <w:rsid w:val="24AD78E0"/>
    <w:rsid w:val="24B30BE8"/>
    <w:rsid w:val="24B37628"/>
    <w:rsid w:val="24C22B02"/>
    <w:rsid w:val="24E34060"/>
    <w:rsid w:val="251B0465"/>
    <w:rsid w:val="253A0491"/>
    <w:rsid w:val="254E0478"/>
    <w:rsid w:val="25535E50"/>
    <w:rsid w:val="257D2ECD"/>
    <w:rsid w:val="25B14925"/>
    <w:rsid w:val="25E036B2"/>
    <w:rsid w:val="25E9082A"/>
    <w:rsid w:val="25F42473"/>
    <w:rsid w:val="264E03C6"/>
    <w:rsid w:val="269C17B8"/>
    <w:rsid w:val="26AF2D79"/>
    <w:rsid w:val="26B34B91"/>
    <w:rsid w:val="270075A9"/>
    <w:rsid w:val="270D66E8"/>
    <w:rsid w:val="27514612"/>
    <w:rsid w:val="2753038A"/>
    <w:rsid w:val="278B0DAB"/>
    <w:rsid w:val="278D3850"/>
    <w:rsid w:val="27960276"/>
    <w:rsid w:val="279C6B0E"/>
    <w:rsid w:val="27A64735"/>
    <w:rsid w:val="27CC4DF2"/>
    <w:rsid w:val="280D64D7"/>
    <w:rsid w:val="281864F2"/>
    <w:rsid w:val="28640ABE"/>
    <w:rsid w:val="28671684"/>
    <w:rsid w:val="286903EF"/>
    <w:rsid w:val="287F5DD3"/>
    <w:rsid w:val="288047CB"/>
    <w:rsid w:val="289C366A"/>
    <w:rsid w:val="289E62FA"/>
    <w:rsid w:val="28FD6E90"/>
    <w:rsid w:val="291E2CA6"/>
    <w:rsid w:val="29331862"/>
    <w:rsid w:val="29622B06"/>
    <w:rsid w:val="297B5976"/>
    <w:rsid w:val="297D349C"/>
    <w:rsid w:val="299741EC"/>
    <w:rsid w:val="299E147F"/>
    <w:rsid w:val="29BD6726"/>
    <w:rsid w:val="29C32A87"/>
    <w:rsid w:val="29CF26DC"/>
    <w:rsid w:val="2A1C5DA0"/>
    <w:rsid w:val="2A1D0634"/>
    <w:rsid w:val="2A200D39"/>
    <w:rsid w:val="2A507EFF"/>
    <w:rsid w:val="2ADC05A4"/>
    <w:rsid w:val="2AEA2A3C"/>
    <w:rsid w:val="2AEF2177"/>
    <w:rsid w:val="2B161149"/>
    <w:rsid w:val="2B1B2F6C"/>
    <w:rsid w:val="2B3B716B"/>
    <w:rsid w:val="2B6F0D7F"/>
    <w:rsid w:val="2B844FB6"/>
    <w:rsid w:val="2B8716BD"/>
    <w:rsid w:val="2B8A1EA0"/>
    <w:rsid w:val="2B8B76FF"/>
    <w:rsid w:val="2BD5034F"/>
    <w:rsid w:val="2CB35427"/>
    <w:rsid w:val="2CD95958"/>
    <w:rsid w:val="2CDF446E"/>
    <w:rsid w:val="2D025012"/>
    <w:rsid w:val="2D4178F0"/>
    <w:rsid w:val="2DAE631A"/>
    <w:rsid w:val="2DD877E0"/>
    <w:rsid w:val="2DE616C9"/>
    <w:rsid w:val="2DFC2451"/>
    <w:rsid w:val="2E3422F8"/>
    <w:rsid w:val="2E532A1D"/>
    <w:rsid w:val="2E607565"/>
    <w:rsid w:val="2E644CBB"/>
    <w:rsid w:val="2E6E566D"/>
    <w:rsid w:val="2E7F188E"/>
    <w:rsid w:val="2E953036"/>
    <w:rsid w:val="2EBC0905"/>
    <w:rsid w:val="2EC73739"/>
    <w:rsid w:val="2EFB1B0E"/>
    <w:rsid w:val="2F1403FE"/>
    <w:rsid w:val="2F4D56BE"/>
    <w:rsid w:val="2F5C684F"/>
    <w:rsid w:val="2F63756E"/>
    <w:rsid w:val="2F6440CA"/>
    <w:rsid w:val="2F77098D"/>
    <w:rsid w:val="2FE936ED"/>
    <w:rsid w:val="2FEC3129"/>
    <w:rsid w:val="303D3985"/>
    <w:rsid w:val="30405223"/>
    <w:rsid w:val="306A6644"/>
    <w:rsid w:val="30717AD3"/>
    <w:rsid w:val="307610EA"/>
    <w:rsid w:val="307776D1"/>
    <w:rsid w:val="30862574"/>
    <w:rsid w:val="30B631E1"/>
    <w:rsid w:val="30BD737C"/>
    <w:rsid w:val="30DF2A6F"/>
    <w:rsid w:val="30E860A3"/>
    <w:rsid w:val="30F8231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457C23"/>
    <w:rsid w:val="335B2774"/>
    <w:rsid w:val="335F1E64"/>
    <w:rsid w:val="33A4642E"/>
    <w:rsid w:val="33D4039C"/>
    <w:rsid w:val="33D47E05"/>
    <w:rsid w:val="33DE547F"/>
    <w:rsid w:val="33E505BB"/>
    <w:rsid w:val="3413677D"/>
    <w:rsid w:val="342B544B"/>
    <w:rsid w:val="345E036E"/>
    <w:rsid w:val="34C47852"/>
    <w:rsid w:val="34DB19BE"/>
    <w:rsid w:val="34DE1E4F"/>
    <w:rsid w:val="34DF325D"/>
    <w:rsid w:val="34F07DB1"/>
    <w:rsid w:val="34F207AF"/>
    <w:rsid w:val="35092435"/>
    <w:rsid w:val="356C2617"/>
    <w:rsid w:val="359009FB"/>
    <w:rsid w:val="35B75F88"/>
    <w:rsid w:val="35D354B8"/>
    <w:rsid w:val="35D4025C"/>
    <w:rsid w:val="362666BC"/>
    <w:rsid w:val="368A6B11"/>
    <w:rsid w:val="37085B1F"/>
    <w:rsid w:val="372E04CB"/>
    <w:rsid w:val="378B76CC"/>
    <w:rsid w:val="37B07132"/>
    <w:rsid w:val="37CA01F4"/>
    <w:rsid w:val="37E172EC"/>
    <w:rsid w:val="381274A5"/>
    <w:rsid w:val="38206BF2"/>
    <w:rsid w:val="3860148D"/>
    <w:rsid w:val="386F66A6"/>
    <w:rsid w:val="38847236"/>
    <w:rsid w:val="38AD71CE"/>
    <w:rsid w:val="38E070F2"/>
    <w:rsid w:val="390D33AB"/>
    <w:rsid w:val="391E6D06"/>
    <w:rsid w:val="3929719C"/>
    <w:rsid w:val="393374BE"/>
    <w:rsid w:val="3A074847"/>
    <w:rsid w:val="3A4122C4"/>
    <w:rsid w:val="3A5B3385"/>
    <w:rsid w:val="3A685AA2"/>
    <w:rsid w:val="3A830B2E"/>
    <w:rsid w:val="3AA90FE6"/>
    <w:rsid w:val="3AA9318F"/>
    <w:rsid w:val="3AB62DA0"/>
    <w:rsid w:val="3ACA1B91"/>
    <w:rsid w:val="3AF347C1"/>
    <w:rsid w:val="3B0D21A6"/>
    <w:rsid w:val="3B451BFD"/>
    <w:rsid w:val="3B47390A"/>
    <w:rsid w:val="3B69577B"/>
    <w:rsid w:val="3B702D85"/>
    <w:rsid w:val="3B7D3FD5"/>
    <w:rsid w:val="3B823DDF"/>
    <w:rsid w:val="3B8726A7"/>
    <w:rsid w:val="3BAD5FC5"/>
    <w:rsid w:val="3BC431AC"/>
    <w:rsid w:val="3BD50F16"/>
    <w:rsid w:val="3BD827B4"/>
    <w:rsid w:val="3C12216A"/>
    <w:rsid w:val="3C237ED3"/>
    <w:rsid w:val="3C460D90"/>
    <w:rsid w:val="3C4D2D59"/>
    <w:rsid w:val="3C633AAA"/>
    <w:rsid w:val="3CAA596A"/>
    <w:rsid w:val="3CAF1D22"/>
    <w:rsid w:val="3CB1587B"/>
    <w:rsid w:val="3CB735F2"/>
    <w:rsid w:val="3CCD42E3"/>
    <w:rsid w:val="3D037D04"/>
    <w:rsid w:val="3D0A1093"/>
    <w:rsid w:val="3D186684"/>
    <w:rsid w:val="3D363C36"/>
    <w:rsid w:val="3D6A1B31"/>
    <w:rsid w:val="3D791D75"/>
    <w:rsid w:val="3D8B2178"/>
    <w:rsid w:val="3DB34909"/>
    <w:rsid w:val="3DC96858"/>
    <w:rsid w:val="3DD115F5"/>
    <w:rsid w:val="3DE435F0"/>
    <w:rsid w:val="3DE5122C"/>
    <w:rsid w:val="3DEA67CE"/>
    <w:rsid w:val="3DF37E53"/>
    <w:rsid w:val="3EC314F9"/>
    <w:rsid w:val="3ED26DE9"/>
    <w:rsid w:val="3ED2798E"/>
    <w:rsid w:val="3EED17D0"/>
    <w:rsid w:val="3F0C0304"/>
    <w:rsid w:val="3F774839"/>
    <w:rsid w:val="3F7D3D9E"/>
    <w:rsid w:val="3F9410E8"/>
    <w:rsid w:val="3FEC147E"/>
    <w:rsid w:val="40376375"/>
    <w:rsid w:val="40520154"/>
    <w:rsid w:val="40786313"/>
    <w:rsid w:val="40BE01CA"/>
    <w:rsid w:val="412732B7"/>
    <w:rsid w:val="4127791F"/>
    <w:rsid w:val="41281794"/>
    <w:rsid w:val="413A48EE"/>
    <w:rsid w:val="413C1FDF"/>
    <w:rsid w:val="41806A69"/>
    <w:rsid w:val="41B0259C"/>
    <w:rsid w:val="41BC6F1C"/>
    <w:rsid w:val="41C061C4"/>
    <w:rsid w:val="41EF0857"/>
    <w:rsid w:val="41EF2363"/>
    <w:rsid w:val="41F77860"/>
    <w:rsid w:val="424A4B98"/>
    <w:rsid w:val="42581D3A"/>
    <w:rsid w:val="42CF76AF"/>
    <w:rsid w:val="42D860A5"/>
    <w:rsid w:val="42ED2EA4"/>
    <w:rsid w:val="42F6649D"/>
    <w:rsid w:val="42FE0080"/>
    <w:rsid w:val="43315D2E"/>
    <w:rsid w:val="43670C99"/>
    <w:rsid w:val="43824A1C"/>
    <w:rsid w:val="43AE09CA"/>
    <w:rsid w:val="43B1743B"/>
    <w:rsid w:val="43D110E1"/>
    <w:rsid w:val="43D61CCF"/>
    <w:rsid w:val="43DF072A"/>
    <w:rsid w:val="43E873C9"/>
    <w:rsid w:val="44905B1F"/>
    <w:rsid w:val="4530573E"/>
    <w:rsid w:val="45316885"/>
    <w:rsid w:val="45326A50"/>
    <w:rsid w:val="45334280"/>
    <w:rsid w:val="453C3DB3"/>
    <w:rsid w:val="454E56C4"/>
    <w:rsid w:val="45A95EE9"/>
    <w:rsid w:val="45FB0F21"/>
    <w:rsid w:val="46167166"/>
    <w:rsid w:val="46195EA3"/>
    <w:rsid w:val="46232BF2"/>
    <w:rsid w:val="46255415"/>
    <w:rsid w:val="4636719A"/>
    <w:rsid w:val="46380A1F"/>
    <w:rsid w:val="46CE1FBA"/>
    <w:rsid w:val="4703102D"/>
    <w:rsid w:val="4714591E"/>
    <w:rsid w:val="47200EE3"/>
    <w:rsid w:val="47435AC2"/>
    <w:rsid w:val="47544B78"/>
    <w:rsid w:val="47587AF7"/>
    <w:rsid w:val="47745A86"/>
    <w:rsid w:val="479954ED"/>
    <w:rsid w:val="47D130B0"/>
    <w:rsid w:val="47E239AC"/>
    <w:rsid w:val="47F46BC7"/>
    <w:rsid w:val="480F4B73"/>
    <w:rsid w:val="487974BD"/>
    <w:rsid w:val="48895562"/>
    <w:rsid w:val="48C40CEB"/>
    <w:rsid w:val="48DB38E3"/>
    <w:rsid w:val="49001B5E"/>
    <w:rsid w:val="49376DB0"/>
    <w:rsid w:val="49535B70"/>
    <w:rsid w:val="49804BB7"/>
    <w:rsid w:val="49826DCB"/>
    <w:rsid w:val="499013E7"/>
    <w:rsid w:val="49980CDE"/>
    <w:rsid w:val="49C8088A"/>
    <w:rsid w:val="4A0C644A"/>
    <w:rsid w:val="4A0F6D68"/>
    <w:rsid w:val="4A301C93"/>
    <w:rsid w:val="4A3302AB"/>
    <w:rsid w:val="4A4060F4"/>
    <w:rsid w:val="4A572A17"/>
    <w:rsid w:val="4A5D3188"/>
    <w:rsid w:val="4A6F2535"/>
    <w:rsid w:val="4AC85D49"/>
    <w:rsid w:val="4AE308A9"/>
    <w:rsid w:val="4B117A90"/>
    <w:rsid w:val="4B260F2D"/>
    <w:rsid w:val="4B3F4D7F"/>
    <w:rsid w:val="4B4367B4"/>
    <w:rsid w:val="4B9A1456"/>
    <w:rsid w:val="4BA32C82"/>
    <w:rsid w:val="4BE70627"/>
    <w:rsid w:val="4BFC24EE"/>
    <w:rsid w:val="4BFC429C"/>
    <w:rsid w:val="4C0A5AE1"/>
    <w:rsid w:val="4C130AB8"/>
    <w:rsid w:val="4C5A284D"/>
    <w:rsid w:val="4C5C0673"/>
    <w:rsid w:val="4C786019"/>
    <w:rsid w:val="4C856040"/>
    <w:rsid w:val="4CB96B43"/>
    <w:rsid w:val="4CC75FCC"/>
    <w:rsid w:val="4CC87A5E"/>
    <w:rsid w:val="4CD63947"/>
    <w:rsid w:val="4CDB2104"/>
    <w:rsid w:val="4CEE5706"/>
    <w:rsid w:val="4CFC49F4"/>
    <w:rsid w:val="4D073D73"/>
    <w:rsid w:val="4D0F3761"/>
    <w:rsid w:val="4D1D44CA"/>
    <w:rsid w:val="4D1E27BA"/>
    <w:rsid w:val="4D23574A"/>
    <w:rsid w:val="4D4C4DB0"/>
    <w:rsid w:val="4D7322D5"/>
    <w:rsid w:val="4D881079"/>
    <w:rsid w:val="4DC000E1"/>
    <w:rsid w:val="4DD7034C"/>
    <w:rsid w:val="4DE312CB"/>
    <w:rsid w:val="4DF5318E"/>
    <w:rsid w:val="4E1F4862"/>
    <w:rsid w:val="4E2E4393"/>
    <w:rsid w:val="4E535EF2"/>
    <w:rsid w:val="4E823DD4"/>
    <w:rsid w:val="4EBB0839"/>
    <w:rsid w:val="4EBF3C55"/>
    <w:rsid w:val="4EDA4744"/>
    <w:rsid w:val="4EDD6607"/>
    <w:rsid w:val="4F0170F3"/>
    <w:rsid w:val="4F08773C"/>
    <w:rsid w:val="4F31409F"/>
    <w:rsid w:val="4F5E670E"/>
    <w:rsid w:val="4F846A83"/>
    <w:rsid w:val="4F883E6C"/>
    <w:rsid w:val="4F9D711A"/>
    <w:rsid w:val="50070E2C"/>
    <w:rsid w:val="501112F3"/>
    <w:rsid w:val="504B57F2"/>
    <w:rsid w:val="504E4B6F"/>
    <w:rsid w:val="50850D04"/>
    <w:rsid w:val="50C5433A"/>
    <w:rsid w:val="50C62BC7"/>
    <w:rsid w:val="50C64E79"/>
    <w:rsid w:val="50D3475E"/>
    <w:rsid w:val="50F72A66"/>
    <w:rsid w:val="5123368C"/>
    <w:rsid w:val="5130747C"/>
    <w:rsid w:val="51417051"/>
    <w:rsid w:val="515C765A"/>
    <w:rsid w:val="51905BB3"/>
    <w:rsid w:val="51946FCB"/>
    <w:rsid w:val="51AC406F"/>
    <w:rsid w:val="51BD002A"/>
    <w:rsid w:val="51DD796B"/>
    <w:rsid w:val="51DF373B"/>
    <w:rsid w:val="525A0B43"/>
    <w:rsid w:val="52846D9A"/>
    <w:rsid w:val="528B0128"/>
    <w:rsid w:val="52BC4786"/>
    <w:rsid w:val="52C96FAF"/>
    <w:rsid w:val="52EF4CB5"/>
    <w:rsid w:val="52F959F0"/>
    <w:rsid w:val="53015744"/>
    <w:rsid w:val="5302488E"/>
    <w:rsid w:val="53136173"/>
    <w:rsid w:val="53163E96"/>
    <w:rsid w:val="53165C44"/>
    <w:rsid w:val="534B12B7"/>
    <w:rsid w:val="535D3873"/>
    <w:rsid w:val="539442AF"/>
    <w:rsid w:val="539A4AC7"/>
    <w:rsid w:val="53A616BE"/>
    <w:rsid w:val="53D61877"/>
    <w:rsid w:val="542631B6"/>
    <w:rsid w:val="542B3971"/>
    <w:rsid w:val="543D6020"/>
    <w:rsid w:val="5447483C"/>
    <w:rsid w:val="54600AF5"/>
    <w:rsid w:val="547A000A"/>
    <w:rsid w:val="54862A07"/>
    <w:rsid w:val="54942CAE"/>
    <w:rsid w:val="549A663C"/>
    <w:rsid w:val="54A61722"/>
    <w:rsid w:val="54B0031A"/>
    <w:rsid w:val="54B31FAF"/>
    <w:rsid w:val="54D44008"/>
    <w:rsid w:val="54FB10D7"/>
    <w:rsid w:val="54FD46FE"/>
    <w:rsid w:val="55326D63"/>
    <w:rsid w:val="555413F3"/>
    <w:rsid w:val="555D1A10"/>
    <w:rsid w:val="55AC419A"/>
    <w:rsid w:val="55C300FC"/>
    <w:rsid w:val="55F81E61"/>
    <w:rsid w:val="56585B42"/>
    <w:rsid w:val="56AC4A78"/>
    <w:rsid w:val="56CB4F97"/>
    <w:rsid w:val="56D46542"/>
    <w:rsid w:val="56DB16B9"/>
    <w:rsid w:val="574D00A2"/>
    <w:rsid w:val="5778511F"/>
    <w:rsid w:val="577A3463"/>
    <w:rsid w:val="57AA72A2"/>
    <w:rsid w:val="57F967AD"/>
    <w:rsid w:val="58052975"/>
    <w:rsid w:val="58063909"/>
    <w:rsid w:val="580F5357"/>
    <w:rsid w:val="58346361"/>
    <w:rsid w:val="583D3C73"/>
    <w:rsid w:val="584D1A65"/>
    <w:rsid w:val="584F5C44"/>
    <w:rsid w:val="58C85C32"/>
    <w:rsid w:val="58E525CA"/>
    <w:rsid w:val="58EE7372"/>
    <w:rsid w:val="59227E09"/>
    <w:rsid w:val="593D045A"/>
    <w:rsid w:val="5960739E"/>
    <w:rsid w:val="59896D0A"/>
    <w:rsid w:val="59B72684"/>
    <w:rsid w:val="5A7140A7"/>
    <w:rsid w:val="5A7871E4"/>
    <w:rsid w:val="5A8E6A07"/>
    <w:rsid w:val="5A9579AE"/>
    <w:rsid w:val="5AA91A93"/>
    <w:rsid w:val="5AB0697E"/>
    <w:rsid w:val="5AC468CD"/>
    <w:rsid w:val="5ADD173D"/>
    <w:rsid w:val="5B342B9A"/>
    <w:rsid w:val="5B5953B0"/>
    <w:rsid w:val="5B630802"/>
    <w:rsid w:val="5B807F68"/>
    <w:rsid w:val="5BA72CE5"/>
    <w:rsid w:val="5C034D53"/>
    <w:rsid w:val="5C0A43A9"/>
    <w:rsid w:val="5C146454"/>
    <w:rsid w:val="5C647631"/>
    <w:rsid w:val="5C7B276E"/>
    <w:rsid w:val="5C89392A"/>
    <w:rsid w:val="5C9A1694"/>
    <w:rsid w:val="5CC96BFE"/>
    <w:rsid w:val="5D722852"/>
    <w:rsid w:val="5DA13E95"/>
    <w:rsid w:val="5DB42C29"/>
    <w:rsid w:val="5DE51034"/>
    <w:rsid w:val="5DF60588"/>
    <w:rsid w:val="5E0F1C0D"/>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4F09E7"/>
    <w:rsid w:val="607777D6"/>
    <w:rsid w:val="608508AD"/>
    <w:rsid w:val="608F5287"/>
    <w:rsid w:val="60B50B3A"/>
    <w:rsid w:val="60BC76A1"/>
    <w:rsid w:val="60D62EB6"/>
    <w:rsid w:val="610B7637"/>
    <w:rsid w:val="610E0230"/>
    <w:rsid w:val="612279BA"/>
    <w:rsid w:val="615F5624"/>
    <w:rsid w:val="61D215CF"/>
    <w:rsid w:val="61D73926"/>
    <w:rsid w:val="62184788"/>
    <w:rsid w:val="62265778"/>
    <w:rsid w:val="62326812"/>
    <w:rsid w:val="625C563D"/>
    <w:rsid w:val="626A1704"/>
    <w:rsid w:val="62775FD3"/>
    <w:rsid w:val="627921C2"/>
    <w:rsid w:val="629848C7"/>
    <w:rsid w:val="62B362C8"/>
    <w:rsid w:val="62C1330E"/>
    <w:rsid w:val="633D0FCB"/>
    <w:rsid w:val="6342085E"/>
    <w:rsid w:val="636F415C"/>
    <w:rsid w:val="643117C9"/>
    <w:rsid w:val="64350074"/>
    <w:rsid w:val="644C0547"/>
    <w:rsid w:val="6488096B"/>
    <w:rsid w:val="64917820"/>
    <w:rsid w:val="649E018F"/>
    <w:rsid w:val="64AA1CC5"/>
    <w:rsid w:val="64F47DAF"/>
    <w:rsid w:val="65200BA4"/>
    <w:rsid w:val="6528341F"/>
    <w:rsid w:val="656B2909"/>
    <w:rsid w:val="658D448B"/>
    <w:rsid w:val="65970AF2"/>
    <w:rsid w:val="65A3045D"/>
    <w:rsid w:val="65B337C6"/>
    <w:rsid w:val="65C21C5B"/>
    <w:rsid w:val="65D97752"/>
    <w:rsid w:val="65E25E59"/>
    <w:rsid w:val="66307F76"/>
    <w:rsid w:val="66580EAF"/>
    <w:rsid w:val="66684AA6"/>
    <w:rsid w:val="66694D0D"/>
    <w:rsid w:val="667B4472"/>
    <w:rsid w:val="668A09CB"/>
    <w:rsid w:val="66AA4BC9"/>
    <w:rsid w:val="66F041A8"/>
    <w:rsid w:val="6721178A"/>
    <w:rsid w:val="6739399A"/>
    <w:rsid w:val="673B1CC5"/>
    <w:rsid w:val="673F39DE"/>
    <w:rsid w:val="674C5D22"/>
    <w:rsid w:val="67663AF8"/>
    <w:rsid w:val="67762CFD"/>
    <w:rsid w:val="677A678D"/>
    <w:rsid w:val="677F7E04"/>
    <w:rsid w:val="67B77327"/>
    <w:rsid w:val="67D30B32"/>
    <w:rsid w:val="67DB0DB2"/>
    <w:rsid w:val="68011379"/>
    <w:rsid w:val="681A365A"/>
    <w:rsid w:val="68252C37"/>
    <w:rsid w:val="683338F6"/>
    <w:rsid w:val="68541290"/>
    <w:rsid w:val="68817BAC"/>
    <w:rsid w:val="689A5E59"/>
    <w:rsid w:val="68A94E70"/>
    <w:rsid w:val="68BA5430"/>
    <w:rsid w:val="68EE72DF"/>
    <w:rsid w:val="68FE744E"/>
    <w:rsid w:val="690B4C92"/>
    <w:rsid w:val="69485FEA"/>
    <w:rsid w:val="69677DC0"/>
    <w:rsid w:val="69937EC7"/>
    <w:rsid w:val="69D64558"/>
    <w:rsid w:val="69D837FB"/>
    <w:rsid w:val="6A042548"/>
    <w:rsid w:val="6A0A597F"/>
    <w:rsid w:val="6A3A2708"/>
    <w:rsid w:val="6A471EFD"/>
    <w:rsid w:val="6A505A87"/>
    <w:rsid w:val="6A755CB7"/>
    <w:rsid w:val="6AB57116"/>
    <w:rsid w:val="6AFC79BD"/>
    <w:rsid w:val="6B17424A"/>
    <w:rsid w:val="6B2218FA"/>
    <w:rsid w:val="6B57393D"/>
    <w:rsid w:val="6B613714"/>
    <w:rsid w:val="6B686C59"/>
    <w:rsid w:val="6B691672"/>
    <w:rsid w:val="6BAF2C82"/>
    <w:rsid w:val="6BC06C3D"/>
    <w:rsid w:val="6BE97F42"/>
    <w:rsid w:val="6C270A6A"/>
    <w:rsid w:val="6C5E6A51"/>
    <w:rsid w:val="6C6513C3"/>
    <w:rsid w:val="6C744268"/>
    <w:rsid w:val="6C913746"/>
    <w:rsid w:val="6C9E4A60"/>
    <w:rsid w:val="6CA64085"/>
    <w:rsid w:val="6CD62D03"/>
    <w:rsid w:val="6CD97FB6"/>
    <w:rsid w:val="6D0E5050"/>
    <w:rsid w:val="6D4B22B8"/>
    <w:rsid w:val="6D930013"/>
    <w:rsid w:val="6DB0626B"/>
    <w:rsid w:val="6DBE0F5A"/>
    <w:rsid w:val="6DD54C21"/>
    <w:rsid w:val="6DFB0400"/>
    <w:rsid w:val="6E1A1656"/>
    <w:rsid w:val="6E231DD6"/>
    <w:rsid w:val="6E274D51"/>
    <w:rsid w:val="6E5A5288"/>
    <w:rsid w:val="6E9A5523"/>
    <w:rsid w:val="6EB40B82"/>
    <w:rsid w:val="6EE013EE"/>
    <w:rsid w:val="6EE079F1"/>
    <w:rsid w:val="6EE42C42"/>
    <w:rsid w:val="6F213E96"/>
    <w:rsid w:val="6F241291"/>
    <w:rsid w:val="6F7F7CB0"/>
    <w:rsid w:val="6F87626C"/>
    <w:rsid w:val="6FE0165C"/>
    <w:rsid w:val="6FE1063B"/>
    <w:rsid w:val="6FE10C44"/>
    <w:rsid w:val="6FE32EFA"/>
    <w:rsid w:val="70222744"/>
    <w:rsid w:val="704D0643"/>
    <w:rsid w:val="706D25DF"/>
    <w:rsid w:val="706D2B21"/>
    <w:rsid w:val="707B1384"/>
    <w:rsid w:val="70857A34"/>
    <w:rsid w:val="70985D3C"/>
    <w:rsid w:val="70ED4030"/>
    <w:rsid w:val="70F81685"/>
    <w:rsid w:val="7104581E"/>
    <w:rsid w:val="71047C73"/>
    <w:rsid w:val="7107096A"/>
    <w:rsid w:val="7109004F"/>
    <w:rsid w:val="71103167"/>
    <w:rsid w:val="712E56F7"/>
    <w:rsid w:val="713175C0"/>
    <w:rsid w:val="71691ABB"/>
    <w:rsid w:val="718510F9"/>
    <w:rsid w:val="71AE1AEA"/>
    <w:rsid w:val="71CF3B6C"/>
    <w:rsid w:val="71DB032D"/>
    <w:rsid w:val="71F80F33"/>
    <w:rsid w:val="721101F2"/>
    <w:rsid w:val="722922C6"/>
    <w:rsid w:val="7251239D"/>
    <w:rsid w:val="727176A7"/>
    <w:rsid w:val="72AC2584"/>
    <w:rsid w:val="72CB03A1"/>
    <w:rsid w:val="72D336FA"/>
    <w:rsid w:val="732D4B5D"/>
    <w:rsid w:val="73393C88"/>
    <w:rsid w:val="7362513F"/>
    <w:rsid w:val="73771D49"/>
    <w:rsid w:val="73A1354E"/>
    <w:rsid w:val="74006876"/>
    <w:rsid w:val="7407365B"/>
    <w:rsid w:val="745B5755"/>
    <w:rsid w:val="747607E0"/>
    <w:rsid w:val="74A11E7D"/>
    <w:rsid w:val="74C4654A"/>
    <w:rsid w:val="74FD680C"/>
    <w:rsid w:val="75387844"/>
    <w:rsid w:val="753A79B9"/>
    <w:rsid w:val="75590B0A"/>
    <w:rsid w:val="7582279F"/>
    <w:rsid w:val="75843EB5"/>
    <w:rsid w:val="75894CFE"/>
    <w:rsid w:val="75BB71AF"/>
    <w:rsid w:val="75D05CCE"/>
    <w:rsid w:val="75F01962"/>
    <w:rsid w:val="75F145C2"/>
    <w:rsid w:val="760E19DF"/>
    <w:rsid w:val="76330546"/>
    <w:rsid w:val="764E52E0"/>
    <w:rsid w:val="76557F3E"/>
    <w:rsid w:val="76674885"/>
    <w:rsid w:val="76676A53"/>
    <w:rsid w:val="76806C9E"/>
    <w:rsid w:val="76961750"/>
    <w:rsid w:val="76A3294D"/>
    <w:rsid w:val="76B620A1"/>
    <w:rsid w:val="76F20814"/>
    <w:rsid w:val="77462524"/>
    <w:rsid w:val="776C358D"/>
    <w:rsid w:val="77972F48"/>
    <w:rsid w:val="779A6594"/>
    <w:rsid w:val="77A21064"/>
    <w:rsid w:val="77E34EB2"/>
    <w:rsid w:val="78071E5D"/>
    <w:rsid w:val="780B56E4"/>
    <w:rsid w:val="781564B8"/>
    <w:rsid w:val="781B2E5F"/>
    <w:rsid w:val="78224ACF"/>
    <w:rsid w:val="783E7E0B"/>
    <w:rsid w:val="788336F5"/>
    <w:rsid w:val="78CD6DCC"/>
    <w:rsid w:val="78CE0BEB"/>
    <w:rsid w:val="78D07CAF"/>
    <w:rsid w:val="78DE12D7"/>
    <w:rsid w:val="79210683"/>
    <w:rsid w:val="796926C2"/>
    <w:rsid w:val="799C3465"/>
    <w:rsid w:val="79B14EC4"/>
    <w:rsid w:val="79E9683F"/>
    <w:rsid w:val="7A260B7D"/>
    <w:rsid w:val="7A2A6B4A"/>
    <w:rsid w:val="7A304F8E"/>
    <w:rsid w:val="7A3507F6"/>
    <w:rsid w:val="7A4B626B"/>
    <w:rsid w:val="7A4F58B5"/>
    <w:rsid w:val="7A6730A5"/>
    <w:rsid w:val="7A676C97"/>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4F425B"/>
    <w:rsid w:val="7C885555"/>
    <w:rsid w:val="7C8E41ED"/>
    <w:rsid w:val="7CB14B4D"/>
    <w:rsid w:val="7CB43C54"/>
    <w:rsid w:val="7CF26969"/>
    <w:rsid w:val="7D0755A2"/>
    <w:rsid w:val="7D25523C"/>
    <w:rsid w:val="7D2A660C"/>
    <w:rsid w:val="7D6C2781"/>
    <w:rsid w:val="7DB23041"/>
    <w:rsid w:val="7DBB7264"/>
    <w:rsid w:val="7DCD68B4"/>
    <w:rsid w:val="7E253FEC"/>
    <w:rsid w:val="7E5F7809"/>
    <w:rsid w:val="7E947BDA"/>
    <w:rsid w:val="7ED56C53"/>
    <w:rsid w:val="7EEA1BAF"/>
    <w:rsid w:val="7F5460D4"/>
    <w:rsid w:val="7F552892"/>
    <w:rsid w:val="7F596D35"/>
    <w:rsid w:val="7FA90F6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1"/>
    <w:next w:val="1"/>
    <w:link w:val="46"/>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8"/>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59"/>
    <w:qFormat/>
    <w:uiPriority w:val="0"/>
    <w:pPr>
      <w:jc w:val="left"/>
    </w:pPr>
  </w:style>
  <w:style w:type="paragraph" w:styleId="11">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4"/>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0"/>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8"/>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1"/>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4"/>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17.png"/><Relationship Id="rId7" Type="http://schemas.openxmlformats.org/officeDocument/2006/relationships/header" Target="header2.xml"/><Relationship Id="rId69" Type="http://schemas.openxmlformats.org/officeDocument/2006/relationships/image" Target="media/image16.png"/><Relationship Id="rId68" Type="http://schemas.openxmlformats.org/officeDocument/2006/relationships/image" Target="media/image15.png"/><Relationship Id="rId67" Type="http://schemas.openxmlformats.org/officeDocument/2006/relationships/image" Target="media/image14.png"/><Relationship Id="rId66" Type="http://schemas.openxmlformats.org/officeDocument/2006/relationships/image" Target="media/image13.png"/><Relationship Id="rId65" Type="http://schemas.openxmlformats.org/officeDocument/2006/relationships/image" Target="media/image12.png"/><Relationship Id="rId64" Type="http://schemas.openxmlformats.org/officeDocument/2006/relationships/image" Target="media/image11.png"/><Relationship Id="rId63" Type="http://schemas.openxmlformats.org/officeDocument/2006/relationships/image" Target="media/image10.png"/><Relationship Id="rId62" Type="http://schemas.openxmlformats.org/officeDocument/2006/relationships/image" Target="media/image9.png"/><Relationship Id="rId61" Type="http://schemas.openxmlformats.org/officeDocument/2006/relationships/image" Target="media/image8.png"/><Relationship Id="rId60" Type="http://schemas.openxmlformats.org/officeDocument/2006/relationships/image" Target="media/image7.png"/><Relationship Id="rId6" Type="http://schemas.openxmlformats.org/officeDocument/2006/relationships/footer" Target="footer3.xml"/><Relationship Id="rId59" Type="http://schemas.openxmlformats.org/officeDocument/2006/relationships/image" Target="media/image6.png"/><Relationship Id="rId58" Type="http://schemas.openxmlformats.org/officeDocument/2006/relationships/image" Target="media/image5.emf"/><Relationship Id="rId57" Type="http://schemas.openxmlformats.org/officeDocument/2006/relationships/oleObject" Target="embeddings/oleObject1.bin"/><Relationship Id="rId56" Type="http://schemas.openxmlformats.org/officeDocument/2006/relationships/image" Target="media/image4.png"/><Relationship Id="rId55" Type="http://schemas.openxmlformats.org/officeDocument/2006/relationships/image" Target="media/image3.png"/><Relationship Id="rId54" Type="http://schemas.openxmlformats.org/officeDocument/2006/relationships/image" Target="media/image2.png"/><Relationship Id="rId53" Type="http://schemas.openxmlformats.org/officeDocument/2006/relationships/image" Target="media/image1.png"/><Relationship Id="rId52" Type="http://schemas.openxmlformats.org/officeDocument/2006/relationships/theme" Target="theme/theme1.xml"/><Relationship Id="rId51" Type="http://schemas.openxmlformats.org/officeDocument/2006/relationships/footer" Target="footer37.xml"/><Relationship Id="rId50" Type="http://schemas.openxmlformats.org/officeDocument/2006/relationships/footer" Target="footer36.xml"/><Relationship Id="rId5" Type="http://schemas.openxmlformats.org/officeDocument/2006/relationships/header" Target="header1.xml"/><Relationship Id="rId49" Type="http://schemas.openxmlformats.org/officeDocument/2006/relationships/header" Target="header12.xml"/><Relationship Id="rId48" Type="http://schemas.openxmlformats.org/officeDocument/2006/relationships/header" Target="header11.xml"/><Relationship Id="rId47" Type="http://schemas.openxmlformats.org/officeDocument/2006/relationships/footer" Target="footer35.xml"/><Relationship Id="rId46" Type="http://schemas.openxmlformats.org/officeDocument/2006/relationships/footer" Target="footer34.xml"/><Relationship Id="rId45" Type="http://schemas.openxmlformats.org/officeDocument/2006/relationships/header" Target="header10.xml"/><Relationship Id="rId44" Type="http://schemas.openxmlformats.org/officeDocument/2006/relationships/header" Target="header9.xml"/><Relationship Id="rId43" Type="http://schemas.openxmlformats.org/officeDocument/2006/relationships/footer" Target="footer33.xml"/><Relationship Id="rId42" Type="http://schemas.openxmlformats.org/officeDocument/2006/relationships/footer" Target="footer32.xml"/><Relationship Id="rId41" Type="http://schemas.openxmlformats.org/officeDocument/2006/relationships/header" Target="header8.xml"/><Relationship Id="rId40" Type="http://schemas.openxmlformats.org/officeDocument/2006/relationships/header" Target="header7.xml"/><Relationship Id="rId4" Type="http://schemas.openxmlformats.org/officeDocument/2006/relationships/footer" Target="footer2.xml"/><Relationship Id="rId39" Type="http://schemas.openxmlformats.org/officeDocument/2006/relationships/footer" Target="footer31.xml"/><Relationship Id="rId38" Type="http://schemas.openxmlformats.org/officeDocument/2006/relationships/footer" Target="footer30.xml"/><Relationship Id="rId37" Type="http://schemas.openxmlformats.org/officeDocument/2006/relationships/header" Target="header6.xml"/><Relationship Id="rId36" Type="http://schemas.openxmlformats.org/officeDocument/2006/relationships/header" Target="header5.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23161</Words>
  <Characters>24571</Characters>
  <Lines>364</Lines>
  <Paragraphs>102</Paragraphs>
  <TotalTime>2</TotalTime>
  <ScaleCrop>false</ScaleCrop>
  <LinksUpToDate>false</LinksUpToDate>
  <CharactersWithSpaces>24717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wosyh</cp:lastModifiedBy>
  <dcterms:modified xsi:type="dcterms:W3CDTF">2025-11-05T05:48:45Z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0B1218D1AFC44B4A927B11B1D638B56B_11</vt:lpwstr>
  </property>
  <property fmtid="{D5CDD505-2E9C-101B-9397-08002B2CF9AE}" pid="4" name="KSOTemplateDocerSaveRecord">
    <vt:lpwstr>eyJoZGlkIjoiNDE1M2QwOGQyZTlkOTk1YTk3ZGYwNjRmMTMwNWQ1MjEiLCJ1c2VySWQiOiIyOTIxNzE2NzgifQ==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