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卡车公司莱芜工厂聚脲喷涂项目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FSCZB2025100004</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卡车公司莱芜工厂聚脲喷涂项目招标公告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卡车公司莱芜工厂聚脲喷涂项目</w:t>
      </w:r>
    </w:p>
    <w:p w14:paraId="15020D03">
      <w:pPr>
        <w:pStyle w:val="73"/>
      </w:pPr>
      <w:r>
        <w:rPr>
          <w:rFonts w:hint="eastAsia"/>
        </w:rPr>
        <w:t>项目编号：</w:t>
      </w:r>
      <w:r>
        <w:rPr>
          <w:rFonts w:hint="eastAsia"/>
          <w:highlight w:val="yellow"/>
        </w:rPr>
        <w:t xml:space="preserve"> FSCZB2025100004</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none"/>
        </w:rPr>
        <w:t>根据中国重汽集团济南卡车制造公司要求，将聚脲喷涂业务进行生产业务外包，满足生产需求，保障整车制造单位生产秩序</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44F049DA">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投标人须遵守《中华人民共和国招标投标法》、《中华人民共和国民法典》及其它有关的法律和法规；为中华人民共和国境内注册的独立法人机构，具有独立承担民事责任能力；</w:t>
      </w:r>
    </w:p>
    <w:p w14:paraId="652E3D4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（2）具有独立法人资格和国家综合服务型物流企业认证资质，注册资本金 500 万元以上（已进入中国重汽物流商目录的不受该条件限制）；经营范围应包括涂料施工、涂料技术服务、涂装施工等服务项目；</w:t>
      </w:r>
    </w:p>
    <w:p w14:paraId="2D03C054">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（3）有 3 年以上汽车行业涂料喷涂服务经验，有经验丰富的从事喷涂业务的员工团队，有为客户提供一体化涂装服务的硬件资源和运营能力；</w:t>
      </w:r>
    </w:p>
    <w:p w14:paraId="64CE618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（4）具有良好的商业信誉，在国家企业信用信息公示系统中无与本项目有关的行政处罚、列入经营异常名录和列入严重违法失信企业名单（黑名单）信息或上述信息已被移除；</w:t>
      </w:r>
    </w:p>
    <w:p w14:paraId="75526FC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（5）投标人近三年内在经营活动中无与本项目有关的违法及重大违规情况；</w:t>
      </w:r>
    </w:p>
    <w:p w14:paraId="61D4262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（6）具有健全的财务会计制度，财务状况和市场行为良好。没有处于被有权机关吊销营业执照、吊销资质、停业整顿、取消投标资格以及财产被接管、冻结或进入破产程序等。</w:t>
      </w:r>
    </w:p>
    <w:p w14:paraId="7D0C323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（7）投标人没有被列入招标人处《黑名单》（《黑名单》指投标人与招标人在以往或正在进行的合作中，存在招标人认为的违反合同约定或违反法律法规等的失信行为）的；</w:t>
      </w:r>
    </w:p>
    <w:p w14:paraId="1229BFE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（8）投标人须具有履行合同所必须的财务、技术、服务等方面的资质和能力；</w:t>
      </w:r>
    </w:p>
    <w:p w14:paraId="4FEAFEE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（9）投标人须认可招标人的工作指令，包括节、假日能正常开展工作的要求；</w:t>
      </w:r>
    </w:p>
    <w:p w14:paraId="63CD0D92">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（10）供方的直接或间接股东、法定代表人、董事、监事、高管非重汽员工及其亲属；</w:t>
      </w:r>
    </w:p>
    <w:p w14:paraId="3F3FD19F">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（11）不接受联合体投标；</w:t>
      </w:r>
    </w:p>
    <w:p w14:paraId="5C9E7AB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（12）投标人必须是最终投保、签订合同的单位，不得以任何理由将已中标项目以任何形式分包或转包给其他单位。</w:t>
      </w:r>
    </w:p>
    <w:p w14:paraId="13C445CE">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（13）合同签订：明确合同条款，包括质量标准、交付时间、费用等。</w:t>
      </w:r>
    </w:p>
    <w:p w14:paraId="5C3C611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（14）流程对接：确保外包作业流程与内部生产流程高效、高质量衔接，减少中断。</w:t>
      </w:r>
    </w:p>
    <w:p w14:paraId="26C1DCB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（15）质量监控：设定质量检查标准，确保外包聚脲喷涂质量符合要求。</w:t>
      </w:r>
    </w:p>
    <w:p w14:paraId="68344A0F">
      <w:pPr>
        <w:pStyle w:val="72"/>
        <w:numPr>
          <w:ilvl w:val="0"/>
          <w:numId w:val="0"/>
        </w:numPr>
        <w:ind w:leftChars="0"/>
        <w:rPr>
          <w:rFonts w:hint="eastAsia" w:ascii="宋体" w:hAnsi="宋体" w:eastAsia="宋体" w:cs="宋体"/>
          <w:sz w:val="21"/>
          <w:szCs w:val="21"/>
          <w:highlight w:val="yellow"/>
        </w:rPr>
      </w:pPr>
      <w:r>
        <w:rPr>
          <w:rFonts w:hint="eastAsia" w:ascii="宋体" w:hAnsi="宋体" w:eastAsia="宋体" w:cs="宋体"/>
          <w:sz w:val="21"/>
          <w:szCs w:val="21"/>
          <w:highlight w:val="none"/>
        </w:rPr>
        <w:t>（16）交付和反馈：按时交付产品，并定期与合作伙伴进行反馈和改进。</w:t>
      </w:r>
    </w:p>
    <w:p w14:paraId="76B97D53">
      <w:pPr>
        <w:pStyle w:val="72"/>
        <w:rPr>
          <w:highlight w:val="yellow"/>
        </w:rPr>
      </w:pPr>
      <w:bookmarkStart w:id="6" w:name="_Toc47976591"/>
      <w:r>
        <w:rPr>
          <w:rFonts w:hint="eastAsia"/>
          <w:highlight w:val="yellow"/>
        </w:rPr>
        <w:t>报名及招标文件的获取</w:t>
      </w:r>
      <w:bookmarkEnd w:id="6"/>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42C4566E">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4F8D25C4">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30F0D54E">
      <w:pPr>
        <w:pStyle w:val="72"/>
        <w:numPr>
          <w:ilvl w:val="0"/>
          <w:numId w:val="11"/>
        </w:numPr>
        <w:ind w:left="840"/>
        <w:rPr>
          <w:highlight w:val="yellow"/>
        </w:rPr>
      </w:pPr>
      <w:r>
        <w:rPr>
          <w:rFonts w:hint="eastAsia" w:ascii="宋体" w:hAnsi="宋体" w:eastAsia="宋体" w:cs="宋体"/>
          <w:sz w:val="21"/>
          <w:szCs w:val="21"/>
          <w:highlight w:val="yellow"/>
        </w:rPr>
        <w:t>时间：2025年11月</w:t>
      </w:r>
      <w:r>
        <w:rPr>
          <w:rFonts w:hint="eastAsia" w:ascii="宋体" w:hAnsi="宋体" w:eastAsia="宋体" w:cs="宋体"/>
          <w:sz w:val="21"/>
          <w:szCs w:val="21"/>
          <w:highlight w:val="yellow"/>
          <w:lang w:val="en-US" w:eastAsia="zh-CN"/>
        </w:rPr>
        <w:t>21</w:t>
      </w:r>
      <w:r>
        <w:rPr>
          <w:rFonts w:hint="eastAsia" w:ascii="宋体" w:hAnsi="宋体" w:eastAsia="宋体" w:cs="宋体"/>
          <w:sz w:val="21"/>
          <w:szCs w:val="21"/>
          <w:highlight w:val="yellow"/>
        </w:rPr>
        <w:t>日9:00:00</w:t>
      </w:r>
    </w:p>
    <w:p w14:paraId="18F8A10C">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8" w:name="_Toc47976593"/>
      <w:r>
        <w:rPr>
          <w:rFonts w:hint="eastAsia"/>
        </w:rPr>
        <w:t>招标公告发布媒介</w:t>
      </w:r>
      <w:bookmarkEnd w:id="8"/>
    </w:p>
    <w:p w14:paraId="15C59335">
      <w:pPr>
        <w:pStyle w:val="73"/>
        <w:numPr>
          <w:ilvl w:val="0"/>
          <w:numId w:val="0"/>
        </w:numPr>
        <w:ind w:left="1130" w:hanging="420"/>
        <w:rPr>
          <w:rFonts w:hint="eastAsia"/>
          <w:highlight w:val="none"/>
        </w:rPr>
      </w:pPr>
      <w:r>
        <w:rPr>
          <w:rFonts w:hint="eastAsia"/>
          <w:highlight w:val="none"/>
        </w:rPr>
        <w:t xml:space="preserve">本次招标公告同时在 </w:t>
      </w:r>
      <w:r>
        <w:rPr>
          <w:rFonts w:hint="eastAsia"/>
          <w:highlight w:val="yellow"/>
        </w:rPr>
        <w:t>中国重型汽车集团有限公司官网</w:t>
      </w:r>
      <w:r>
        <w:rPr>
          <w:rFonts w:hint="eastAsia"/>
          <w:highlight w:val="yellow"/>
          <w:lang w:val="en-US" w:eastAsia="zh-CN"/>
        </w:rPr>
        <w:t xml:space="preserve"> </w:t>
      </w:r>
      <w:r>
        <w:rPr>
          <w:rFonts w:hint="eastAsia"/>
          <w:highlight w:val="none"/>
        </w:rPr>
        <w:t>上发布。</w:t>
      </w:r>
    </w:p>
    <w:p w14:paraId="65FC2213">
      <w:pPr>
        <w:pStyle w:val="72"/>
        <w:rPr>
          <w:highlight w:val="yellow"/>
        </w:rPr>
      </w:pPr>
      <w:bookmarkStart w:id="9" w:name="_Toc47976594"/>
      <w:r>
        <w:rPr>
          <w:rFonts w:hint="eastAsia"/>
          <w:highlight w:val="yellow"/>
        </w:rPr>
        <w:t>联系方式</w:t>
      </w:r>
      <w:bookmarkEnd w:id="9"/>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97A6E13">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058523DE">
      <w:pPr>
        <w:pStyle w:val="72"/>
        <w:numPr>
          <w:ilvl w:val="0"/>
          <w:numId w:val="0"/>
        </w:numPr>
        <w:ind w:leftChars="0" w:firstLine="420" w:firstLineChars="200"/>
        <w:rPr>
          <w:rFonts w:hint="eastAsia" w:hAnsi="宋体" w:cs="宋体"/>
          <w:b w:val="0"/>
          <w:bCs w:val="0"/>
          <w:sz w:val="21"/>
          <w:szCs w:val="21"/>
          <w:highlight w:val="yellow"/>
        </w:rPr>
      </w:pPr>
      <w:r>
        <w:rPr>
          <w:rFonts w:hint="eastAsia" w:ascii="宋体" w:hAnsi="宋体" w:eastAsia="宋体" w:cs="宋体"/>
          <w:b w:val="0"/>
          <w:bCs w:val="0"/>
          <w:sz w:val="21"/>
          <w:szCs w:val="21"/>
        </w:rPr>
        <w:t>邮箱：</w:t>
      </w:r>
      <w:r>
        <w:rPr>
          <w:rFonts w:hint="eastAsia" w:hAnsi="宋体" w:cs="宋体"/>
          <w:b w:val="0"/>
          <w:bCs w:val="0"/>
          <w:sz w:val="21"/>
          <w:szCs w:val="21"/>
        </w:rPr>
        <w:t>yangshuqing1@sinotruk.com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23</w:t>
      </w:r>
      <w:r>
        <w:rPr>
          <w:rFonts w:hint="eastAsia"/>
        </w:rPr>
        <w:t>日</w:t>
      </w:r>
    </w:p>
    <w:p w14:paraId="04C96706">
      <w:pPr>
        <w:pStyle w:val="76"/>
      </w:pPr>
    </w:p>
    <w:p w14:paraId="3D820EEC">
      <w:pPr>
        <w:pStyle w:val="71"/>
      </w:pPr>
      <w:bookmarkStart w:id="10" w:name="_Toc47976595"/>
      <w:bookmarkStart w:id="11" w:name="_Toc7753"/>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卡车公司莱芜工厂聚脲喷涂项目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FSCZB2025100004</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none"/>
        </w:rPr>
        <w:t>为满足产能和质量需求，卡车公司莱芜工厂聚脲喷涂业务采用外包的生产形式。外包工序分别为：整车外观检查与清洁、整车补漆、遮蔽、聚脲调漆喷涂、去遮蔽、下线排查及异常问题返修共计6个工序，工艺定员4人。</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5399A6B3">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7F443FF4">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5E5CDF1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1B80A1FE">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0ADA04C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08AACBD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杨淑清</w:t>
      </w:r>
    </w:p>
    <w:p w14:paraId="5F1760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38A0F77C">
      <w:pPr>
        <w:pStyle w:val="76"/>
        <w:numPr>
          <w:ilvl w:val="0"/>
          <w:numId w:val="0"/>
        </w:numPr>
        <w:ind w:leftChars="0" w:firstLine="420" w:firstLineChars="200"/>
        <w:rPr>
          <w:rFonts w:hint="eastAsia" w:cs="Times New Roman"/>
          <w:highlight w:val="none"/>
          <w:lang w:val="en-US" w:eastAsia="zh-CN"/>
        </w:rPr>
      </w:pPr>
      <w:r>
        <w:rPr>
          <w:rFonts w:hint="eastAsia" w:ascii="宋体" w:hAnsi="宋体" w:eastAsia="宋体" w:cs="宋体"/>
          <w:b w:val="0"/>
          <w:bCs w:val="0"/>
          <w:sz w:val="21"/>
          <w:szCs w:val="21"/>
        </w:rPr>
        <w:t>邮箱：</w:t>
      </w:r>
      <w:r>
        <w:rPr>
          <w:rFonts w:hint="eastAsia" w:hAnsi="宋体" w:cs="宋体"/>
          <w:b w:val="0"/>
          <w:bCs w:val="0"/>
          <w:sz w:val="21"/>
          <w:szCs w:val="21"/>
        </w:rPr>
        <w:t>yangshuqing1@sinotruk.com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24</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p>
    <w:p w14:paraId="74C144A6">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58E07E19">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41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3F049EA4">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2025年11月</w:t>
      </w:r>
      <w:r>
        <w:rPr>
          <w:rFonts w:hint="eastAsia"/>
          <w:bCs/>
          <w:highlight w:val="yellow"/>
          <w:lang w:val="en-US" w:eastAsia="zh-CN"/>
        </w:rPr>
        <w:t>21</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6ECA75D6">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6CFF2E22">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882662F">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7C876C37">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2025年11月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开标时间：2025年11月</w:t>
      </w:r>
      <w:r>
        <w:rPr>
          <w:rFonts w:hint="eastAsia" w:ascii="宋体" w:hAnsi="宋体" w:eastAsia="宋体" w:cs="宋体"/>
          <w:b w:val="0"/>
          <w:bCs w:val="0"/>
          <w:sz w:val="21"/>
          <w:szCs w:val="21"/>
          <w:highlight w:val="yellow"/>
          <w:lang w:val="en-US" w:eastAsia="zh-CN"/>
        </w:rPr>
        <w:t>21</w:t>
      </w:r>
      <w:r>
        <w:rPr>
          <w:rFonts w:hint="eastAsia" w:ascii="宋体" w:hAnsi="宋体" w:eastAsia="宋体" w:cs="宋体"/>
          <w:b w:val="0"/>
          <w:bCs w:val="0"/>
          <w:sz w:val="21"/>
          <w:szCs w:val="21"/>
          <w:highlight w:val="yellow"/>
        </w:rPr>
        <w:t>日9:00:00</w:t>
      </w:r>
    </w:p>
    <w:p w14:paraId="6D07768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714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46" w:type="dxa"/>
            <w:noWrap w:val="0"/>
            <w:vAlign w:val="center"/>
          </w:tcPr>
          <w:p w14:paraId="44EC0163">
            <w:pPr>
              <w:jc w:val="center"/>
              <w:rPr>
                <w:rFonts w:hint="eastAsia" w:ascii="宋体" w:hAnsi="宋体"/>
                <w:b/>
                <w:bCs/>
                <w:sz w:val="21"/>
                <w:szCs w:val="21"/>
              </w:rPr>
            </w:pPr>
            <w:r>
              <w:rPr>
                <w:rFonts w:hint="eastAsia" w:ascii="宋体" w:hAnsi="宋体"/>
                <w:b/>
                <w:bCs/>
                <w:sz w:val="21"/>
                <w:szCs w:val="21"/>
              </w:rPr>
              <w:t>评标因素</w:t>
            </w:r>
          </w:p>
        </w:tc>
        <w:tc>
          <w:tcPr>
            <w:tcW w:w="831" w:type="dxa"/>
            <w:noWrap w:val="0"/>
            <w:vAlign w:val="center"/>
          </w:tcPr>
          <w:p w14:paraId="2C6C14FF">
            <w:pPr>
              <w:jc w:val="center"/>
              <w:rPr>
                <w:rFonts w:hint="eastAsia" w:ascii="宋体" w:hAnsi="宋体"/>
                <w:b/>
                <w:bCs/>
                <w:sz w:val="21"/>
                <w:szCs w:val="21"/>
              </w:rPr>
            </w:pPr>
            <w:r>
              <w:rPr>
                <w:rFonts w:hint="eastAsia" w:ascii="宋体" w:hAnsi="宋体"/>
                <w:b/>
                <w:bCs/>
                <w:sz w:val="21"/>
                <w:szCs w:val="21"/>
              </w:rPr>
              <w:t>总分</w:t>
            </w:r>
          </w:p>
        </w:tc>
        <w:tc>
          <w:tcPr>
            <w:tcW w:w="2268" w:type="dxa"/>
            <w:gridSpan w:val="2"/>
            <w:noWrap w:val="0"/>
            <w:vAlign w:val="center"/>
          </w:tcPr>
          <w:p w14:paraId="397987A4">
            <w:pPr>
              <w:jc w:val="center"/>
              <w:rPr>
                <w:rFonts w:hint="eastAsia" w:ascii="宋体" w:hAnsi="宋体"/>
                <w:b/>
                <w:bCs/>
                <w:sz w:val="21"/>
                <w:szCs w:val="21"/>
              </w:rPr>
            </w:pPr>
            <w:r>
              <w:rPr>
                <w:rFonts w:hint="eastAsia" w:ascii="宋体" w:hAnsi="宋体"/>
                <w:b/>
                <w:bCs/>
                <w:sz w:val="21"/>
                <w:szCs w:val="21"/>
              </w:rPr>
              <w:t>评审内容</w:t>
            </w:r>
          </w:p>
        </w:tc>
        <w:tc>
          <w:tcPr>
            <w:tcW w:w="5406" w:type="dxa"/>
            <w:noWrap w:val="0"/>
            <w:vAlign w:val="center"/>
          </w:tcPr>
          <w:p w14:paraId="30259CF1">
            <w:pPr>
              <w:jc w:val="center"/>
              <w:rPr>
                <w:rFonts w:hint="eastAsia" w:ascii="宋体" w:hAnsi="宋体"/>
                <w:b/>
                <w:bCs/>
                <w:sz w:val="21"/>
                <w:szCs w:val="21"/>
              </w:rPr>
            </w:pPr>
            <w:r>
              <w:rPr>
                <w:rFonts w:hint="eastAsia" w:ascii="宋体" w:hAnsi="宋体"/>
                <w:b/>
                <w:bCs/>
                <w:sz w:val="21"/>
                <w:szCs w:val="21"/>
              </w:rPr>
              <w:t>评分标准</w:t>
            </w:r>
          </w:p>
        </w:tc>
        <w:tc>
          <w:tcPr>
            <w:tcW w:w="1276" w:type="dxa"/>
            <w:noWrap w:val="0"/>
            <w:vAlign w:val="center"/>
          </w:tcPr>
          <w:p w14:paraId="11F33904">
            <w:pPr>
              <w:jc w:val="center"/>
              <w:rPr>
                <w:rFonts w:hint="eastAsia" w:ascii="宋体" w:hAnsi="宋体"/>
                <w:b/>
                <w:bCs/>
                <w:sz w:val="21"/>
                <w:szCs w:val="21"/>
              </w:rPr>
            </w:pPr>
            <w:r>
              <w:rPr>
                <w:rFonts w:hint="eastAsia" w:ascii="宋体" w:hAnsi="宋体"/>
                <w:b/>
                <w:bCs/>
                <w:sz w:val="21"/>
                <w:szCs w:val="21"/>
              </w:rPr>
              <w:t>最高得分</w:t>
            </w:r>
          </w:p>
        </w:tc>
      </w:tr>
      <w:tr w14:paraId="648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627" w:type="dxa"/>
            <w:gridSpan w:val="6"/>
            <w:noWrap w:val="0"/>
            <w:vAlign w:val="top"/>
          </w:tcPr>
          <w:p w14:paraId="3EEB824F">
            <w:pPr>
              <w:rPr>
                <w:rFonts w:hint="eastAsia" w:ascii="宋体" w:hAnsi="宋体"/>
                <w:b/>
                <w:bCs/>
                <w:sz w:val="21"/>
                <w:szCs w:val="21"/>
              </w:rPr>
            </w:pPr>
            <w:r>
              <w:rPr>
                <w:rFonts w:hint="eastAsia" w:ascii="宋体" w:hAnsi="宋体"/>
                <w:b/>
                <w:bCs/>
                <w:sz w:val="21"/>
                <w:szCs w:val="21"/>
              </w:rPr>
              <w:t>一、技术因素</w:t>
            </w:r>
          </w:p>
        </w:tc>
      </w:tr>
      <w:tr w14:paraId="4FEC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627" w:type="dxa"/>
            <w:gridSpan w:val="6"/>
            <w:noWrap w:val="0"/>
            <w:vAlign w:val="top"/>
          </w:tcPr>
          <w:p w14:paraId="3CFCE50E">
            <w:pPr>
              <w:rPr>
                <w:rFonts w:hint="eastAsia" w:ascii="宋体" w:hAnsi="宋体"/>
                <w:sz w:val="21"/>
                <w:szCs w:val="21"/>
              </w:rPr>
            </w:pPr>
            <w:r>
              <w:rPr>
                <w:rFonts w:hint="eastAsia" w:ascii="宋体" w:hAnsi="宋体"/>
                <w:sz w:val="21"/>
                <w:szCs w:val="21"/>
              </w:rPr>
              <w:t>1、技术评分标准要量化，各项目权重合理。</w:t>
            </w:r>
          </w:p>
        </w:tc>
      </w:tr>
      <w:tr w14:paraId="215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4D4A7DED">
            <w:pPr>
              <w:rPr>
                <w:rFonts w:hint="eastAsia" w:ascii="宋体" w:hAnsi="宋体"/>
                <w:sz w:val="21"/>
                <w:szCs w:val="21"/>
              </w:rPr>
            </w:pPr>
            <w:r>
              <w:rPr>
                <w:rFonts w:hint="eastAsia" w:ascii="宋体" w:hAnsi="宋体"/>
                <w:sz w:val="21"/>
                <w:szCs w:val="21"/>
              </w:rPr>
              <w:t>依照技术方案、质量保障、服务及其他评价内容的优先次序，根据分项评价值进行排名。若上述排名皆相同的，则由全体评委成员无记名投票，得票高者排序在前。</w:t>
            </w:r>
          </w:p>
        </w:tc>
      </w:tr>
      <w:tr w14:paraId="1687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627" w:type="dxa"/>
            <w:gridSpan w:val="6"/>
            <w:noWrap w:val="0"/>
            <w:vAlign w:val="top"/>
          </w:tcPr>
          <w:p w14:paraId="5383A575">
            <w:pPr>
              <w:rPr>
                <w:rFonts w:hint="eastAsia" w:ascii="宋体" w:hAnsi="宋体"/>
                <w:sz w:val="21"/>
                <w:szCs w:val="21"/>
              </w:rPr>
            </w:pPr>
            <w:r>
              <w:rPr>
                <w:rFonts w:hint="eastAsia" w:ascii="宋体" w:hAnsi="宋体"/>
                <w:sz w:val="21"/>
                <w:szCs w:val="21"/>
              </w:rPr>
              <w:t>2、评委打分不得超过得分界限。</w:t>
            </w:r>
          </w:p>
        </w:tc>
      </w:tr>
      <w:tr w14:paraId="7528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restart"/>
            <w:noWrap w:val="0"/>
            <w:vAlign w:val="center"/>
          </w:tcPr>
          <w:p w14:paraId="25D99478">
            <w:pPr>
              <w:jc w:val="center"/>
              <w:rPr>
                <w:rFonts w:hint="default" w:ascii="宋体" w:hAnsi="宋体" w:eastAsia="宋体"/>
                <w:sz w:val="21"/>
                <w:szCs w:val="21"/>
                <w:lang w:val="en-US" w:eastAsia="zh-CN"/>
              </w:rPr>
            </w:pPr>
            <w:r>
              <w:rPr>
                <w:rFonts w:hint="eastAsia" w:ascii="宋体" w:hAnsi="宋体"/>
                <w:sz w:val="21"/>
                <w:szCs w:val="21"/>
              </w:rPr>
              <w:t>技术因素</w:t>
            </w:r>
            <w:r>
              <w:rPr>
                <w:rFonts w:hint="eastAsia" w:ascii="宋体" w:hAnsi="宋体"/>
                <w:sz w:val="21"/>
                <w:szCs w:val="21"/>
                <w:lang w:eastAsia="zh-CN"/>
              </w:rPr>
              <w:t>（</w:t>
            </w:r>
            <w:r>
              <w:rPr>
                <w:rFonts w:hint="eastAsia" w:ascii="宋体" w:hAnsi="宋体"/>
                <w:sz w:val="21"/>
                <w:szCs w:val="21"/>
                <w:lang w:val="en-US" w:eastAsia="zh-CN"/>
              </w:rPr>
              <w:t>30%）</w:t>
            </w:r>
          </w:p>
        </w:tc>
        <w:tc>
          <w:tcPr>
            <w:tcW w:w="831" w:type="dxa"/>
            <w:vMerge w:val="restart"/>
            <w:noWrap w:val="0"/>
            <w:vAlign w:val="center"/>
          </w:tcPr>
          <w:p w14:paraId="09BE2193">
            <w:pPr>
              <w:jc w:val="center"/>
              <w:rPr>
                <w:rFonts w:hint="eastAsia" w:ascii="宋体" w:hAnsi="宋体"/>
                <w:sz w:val="21"/>
                <w:szCs w:val="21"/>
              </w:rPr>
            </w:pPr>
            <w:r>
              <w:rPr>
                <w:rFonts w:hint="eastAsia" w:ascii="宋体" w:hAnsi="宋体"/>
                <w:sz w:val="21"/>
                <w:szCs w:val="21"/>
              </w:rPr>
              <w:t>100</w:t>
            </w:r>
          </w:p>
        </w:tc>
        <w:tc>
          <w:tcPr>
            <w:tcW w:w="1134" w:type="dxa"/>
            <w:vMerge w:val="restart"/>
            <w:noWrap w:val="0"/>
            <w:vAlign w:val="center"/>
          </w:tcPr>
          <w:p w14:paraId="296561EC">
            <w:pPr>
              <w:jc w:val="center"/>
              <w:rPr>
                <w:rFonts w:hint="eastAsia" w:ascii="宋体" w:hAnsi="宋体"/>
                <w:sz w:val="21"/>
                <w:szCs w:val="21"/>
              </w:rPr>
            </w:pPr>
            <w:r>
              <w:rPr>
                <w:rFonts w:hint="eastAsia" w:ascii="宋体" w:hAnsi="宋体"/>
                <w:sz w:val="21"/>
                <w:szCs w:val="21"/>
              </w:rPr>
              <w:t>技术方案</w:t>
            </w:r>
          </w:p>
        </w:tc>
        <w:tc>
          <w:tcPr>
            <w:tcW w:w="1134" w:type="dxa"/>
            <w:vMerge w:val="restart"/>
            <w:noWrap w:val="0"/>
            <w:vAlign w:val="center"/>
          </w:tcPr>
          <w:p w14:paraId="69429541">
            <w:pPr>
              <w:jc w:val="center"/>
              <w:rPr>
                <w:rFonts w:hint="eastAsia" w:ascii="宋体" w:hAnsi="宋体"/>
                <w:sz w:val="21"/>
                <w:szCs w:val="21"/>
              </w:rPr>
            </w:pPr>
            <w:r>
              <w:rPr>
                <w:rFonts w:hint="eastAsia" w:ascii="宋体" w:hAnsi="宋体"/>
                <w:sz w:val="21"/>
                <w:szCs w:val="21"/>
              </w:rPr>
              <w:t>技术方案</w:t>
            </w:r>
          </w:p>
        </w:tc>
        <w:tc>
          <w:tcPr>
            <w:tcW w:w="5406" w:type="dxa"/>
            <w:noWrap w:val="0"/>
            <w:vAlign w:val="top"/>
          </w:tcPr>
          <w:p w14:paraId="2C138D62">
            <w:pPr>
              <w:rPr>
                <w:rFonts w:hint="eastAsia" w:ascii="宋体" w:hAnsi="宋体"/>
                <w:sz w:val="21"/>
                <w:szCs w:val="21"/>
              </w:rPr>
            </w:pPr>
            <w:r>
              <w:rPr>
                <w:rFonts w:hint="eastAsia" w:ascii="宋体" w:hAnsi="宋体"/>
                <w:sz w:val="21"/>
                <w:szCs w:val="21"/>
              </w:rPr>
              <w:t>技术标偏离情况只允许出现优于（即正偏离）、符合标书约定技术要求。</w:t>
            </w:r>
          </w:p>
        </w:tc>
        <w:tc>
          <w:tcPr>
            <w:tcW w:w="1276" w:type="dxa"/>
            <w:vMerge w:val="restart"/>
            <w:noWrap w:val="0"/>
            <w:vAlign w:val="center"/>
          </w:tcPr>
          <w:p w14:paraId="5A85D520">
            <w:pPr>
              <w:jc w:val="center"/>
              <w:rPr>
                <w:rFonts w:hint="eastAsia" w:ascii="宋体" w:hAnsi="宋体"/>
                <w:sz w:val="21"/>
                <w:szCs w:val="21"/>
              </w:rPr>
            </w:pPr>
            <w:r>
              <w:rPr>
                <w:rFonts w:hint="eastAsia" w:ascii="宋体" w:hAnsi="宋体"/>
                <w:sz w:val="21"/>
                <w:szCs w:val="21"/>
              </w:rPr>
              <w:t>10</w:t>
            </w:r>
          </w:p>
        </w:tc>
      </w:tr>
      <w:tr w14:paraId="5F6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AFD0A7D">
            <w:pPr>
              <w:jc w:val="center"/>
              <w:rPr>
                <w:rFonts w:ascii="宋体" w:hAnsi="宋体"/>
                <w:sz w:val="21"/>
                <w:szCs w:val="21"/>
              </w:rPr>
            </w:pPr>
          </w:p>
        </w:tc>
        <w:tc>
          <w:tcPr>
            <w:tcW w:w="831" w:type="dxa"/>
            <w:vMerge w:val="continue"/>
            <w:noWrap w:val="0"/>
            <w:vAlign w:val="center"/>
          </w:tcPr>
          <w:p w14:paraId="0696EEB4">
            <w:pPr>
              <w:jc w:val="center"/>
              <w:rPr>
                <w:rFonts w:ascii="宋体" w:hAnsi="宋体"/>
                <w:sz w:val="21"/>
                <w:szCs w:val="21"/>
              </w:rPr>
            </w:pPr>
          </w:p>
        </w:tc>
        <w:tc>
          <w:tcPr>
            <w:tcW w:w="1134" w:type="dxa"/>
            <w:vMerge w:val="continue"/>
            <w:noWrap w:val="0"/>
            <w:vAlign w:val="center"/>
          </w:tcPr>
          <w:p w14:paraId="2C552660">
            <w:pPr>
              <w:jc w:val="center"/>
              <w:rPr>
                <w:rFonts w:ascii="宋体" w:hAnsi="宋体"/>
                <w:sz w:val="21"/>
                <w:szCs w:val="21"/>
              </w:rPr>
            </w:pPr>
          </w:p>
        </w:tc>
        <w:tc>
          <w:tcPr>
            <w:tcW w:w="1134" w:type="dxa"/>
            <w:vMerge w:val="continue"/>
            <w:noWrap w:val="0"/>
            <w:vAlign w:val="center"/>
          </w:tcPr>
          <w:p w14:paraId="1BE4154D">
            <w:pPr>
              <w:jc w:val="center"/>
              <w:rPr>
                <w:rFonts w:ascii="宋体" w:hAnsi="宋体"/>
                <w:sz w:val="21"/>
                <w:szCs w:val="21"/>
              </w:rPr>
            </w:pPr>
          </w:p>
        </w:tc>
        <w:tc>
          <w:tcPr>
            <w:tcW w:w="5406" w:type="dxa"/>
            <w:noWrap w:val="0"/>
            <w:vAlign w:val="top"/>
          </w:tcPr>
          <w:p w14:paraId="764D2DA8">
            <w:pPr>
              <w:rPr>
                <w:rFonts w:hint="eastAsia" w:ascii="宋体" w:hAnsi="宋体"/>
                <w:sz w:val="21"/>
                <w:szCs w:val="21"/>
              </w:rPr>
            </w:pPr>
            <w:r>
              <w:rPr>
                <w:rFonts w:hint="eastAsia" w:ascii="宋体" w:hAnsi="宋体"/>
                <w:sz w:val="21"/>
                <w:szCs w:val="21"/>
              </w:rPr>
              <w:t>当所供技术服务优于招标文件要求，有具体可行性说明建议，得10分。完全满足标书要求，得8分。</w:t>
            </w:r>
          </w:p>
        </w:tc>
        <w:tc>
          <w:tcPr>
            <w:tcW w:w="1276" w:type="dxa"/>
            <w:vMerge w:val="continue"/>
            <w:noWrap w:val="0"/>
            <w:vAlign w:val="center"/>
          </w:tcPr>
          <w:p w14:paraId="248BE590">
            <w:pPr>
              <w:jc w:val="center"/>
              <w:rPr>
                <w:rFonts w:ascii="宋体" w:hAnsi="宋体"/>
                <w:sz w:val="21"/>
                <w:szCs w:val="21"/>
              </w:rPr>
            </w:pPr>
          </w:p>
        </w:tc>
      </w:tr>
      <w:tr w14:paraId="5907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46" w:type="dxa"/>
            <w:vMerge w:val="continue"/>
            <w:noWrap w:val="0"/>
            <w:vAlign w:val="center"/>
          </w:tcPr>
          <w:p w14:paraId="2D3DF3D8">
            <w:pPr>
              <w:jc w:val="center"/>
              <w:rPr>
                <w:rFonts w:ascii="宋体" w:hAnsi="宋体"/>
                <w:sz w:val="21"/>
                <w:szCs w:val="21"/>
              </w:rPr>
            </w:pPr>
          </w:p>
        </w:tc>
        <w:tc>
          <w:tcPr>
            <w:tcW w:w="831" w:type="dxa"/>
            <w:vMerge w:val="continue"/>
            <w:noWrap w:val="0"/>
            <w:vAlign w:val="center"/>
          </w:tcPr>
          <w:p w14:paraId="358367BF">
            <w:pPr>
              <w:jc w:val="center"/>
              <w:rPr>
                <w:rFonts w:ascii="宋体" w:hAnsi="宋体"/>
                <w:sz w:val="21"/>
                <w:szCs w:val="21"/>
              </w:rPr>
            </w:pPr>
          </w:p>
        </w:tc>
        <w:tc>
          <w:tcPr>
            <w:tcW w:w="1134" w:type="dxa"/>
            <w:vMerge w:val="continue"/>
            <w:noWrap w:val="0"/>
            <w:vAlign w:val="center"/>
          </w:tcPr>
          <w:p w14:paraId="2A61DE33">
            <w:pPr>
              <w:jc w:val="center"/>
              <w:rPr>
                <w:rFonts w:ascii="宋体" w:hAnsi="宋体"/>
                <w:sz w:val="21"/>
                <w:szCs w:val="21"/>
              </w:rPr>
            </w:pPr>
          </w:p>
        </w:tc>
        <w:tc>
          <w:tcPr>
            <w:tcW w:w="1134" w:type="dxa"/>
            <w:vMerge w:val="restart"/>
            <w:noWrap w:val="0"/>
            <w:vAlign w:val="center"/>
          </w:tcPr>
          <w:p w14:paraId="27D9C795">
            <w:pPr>
              <w:jc w:val="center"/>
              <w:rPr>
                <w:rFonts w:hint="eastAsia" w:ascii="宋体" w:hAnsi="宋体"/>
                <w:sz w:val="21"/>
                <w:szCs w:val="21"/>
              </w:rPr>
            </w:pPr>
            <w:r>
              <w:rPr>
                <w:rFonts w:hint="eastAsia" w:ascii="宋体" w:hAnsi="宋体"/>
                <w:sz w:val="21"/>
                <w:szCs w:val="21"/>
              </w:rPr>
              <w:t>项目规划</w:t>
            </w:r>
          </w:p>
        </w:tc>
        <w:tc>
          <w:tcPr>
            <w:tcW w:w="5406" w:type="dxa"/>
            <w:noWrap w:val="0"/>
            <w:vAlign w:val="top"/>
          </w:tcPr>
          <w:p w14:paraId="39061EA7">
            <w:pPr>
              <w:rPr>
                <w:rFonts w:hint="eastAsia" w:ascii="宋体" w:hAnsi="宋体" w:eastAsia="宋体"/>
                <w:sz w:val="21"/>
                <w:szCs w:val="21"/>
                <w:lang w:eastAsia="zh-CN"/>
              </w:rPr>
            </w:pPr>
            <w:r>
              <w:rPr>
                <w:rFonts w:hint="eastAsia" w:ascii="宋体" w:hAnsi="宋体"/>
                <w:sz w:val="21"/>
                <w:szCs w:val="21"/>
              </w:rPr>
              <w:t>项目总体规划实施方案（人员规划、作业流程设计、管理制度支持等）流程合理、完善、切实可行，视情况得0-20</w:t>
            </w:r>
            <w:r>
              <w:rPr>
                <w:rFonts w:hint="eastAsia" w:ascii="宋体" w:hAnsi="宋体"/>
                <w:sz w:val="21"/>
                <w:szCs w:val="21"/>
                <w:lang w:eastAsia="zh-CN"/>
              </w:rPr>
              <w:t>。</w:t>
            </w:r>
          </w:p>
        </w:tc>
        <w:tc>
          <w:tcPr>
            <w:tcW w:w="1276" w:type="dxa"/>
            <w:noWrap w:val="0"/>
            <w:vAlign w:val="center"/>
          </w:tcPr>
          <w:p w14:paraId="4638B69A">
            <w:pPr>
              <w:jc w:val="center"/>
              <w:rPr>
                <w:rFonts w:hint="eastAsia" w:ascii="宋体" w:hAnsi="宋体"/>
                <w:sz w:val="21"/>
                <w:szCs w:val="21"/>
              </w:rPr>
            </w:pPr>
            <w:r>
              <w:rPr>
                <w:rFonts w:hint="eastAsia" w:ascii="宋体" w:hAnsi="宋体"/>
                <w:sz w:val="21"/>
                <w:szCs w:val="21"/>
              </w:rPr>
              <w:t>20</w:t>
            </w:r>
          </w:p>
        </w:tc>
      </w:tr>
      <w:tr w14:paraId="19C1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46" w:type="dxa"/>
            <w:vMerge w:val="continue"/>
            <w:noWrap w:val="0"/>
            <w:vAlign w:val="center"/>
          </w:tcPr>
          <w:p w14:paraId="749BCD5B">
            <w:pPr>
              <w:jc w:val="center"/>
              <w:rPr>
                <w:rFonts w:ascii="宋体" w:hAnsi="宋体"/>
                <w:sz w:val="21"/>
                <w:szCs w:val="21"/>
              </w:rPr>
            </w:pPr>
          </w:p>
        </w:tc>
        <w:tc>
          <w:tcPr>
            <w:tcW w:w="831" w:type="dxa"/>
            <w:vMerge w:val="continue"/>
            <w:noWrap w:val="0"/>
            <w:vAlign w:val="center"/>
          </w:tcPr>
          <w:p w14:paraId="41DAF52A">
            <w:pPr>
              <w:jc w:val="center"/>
              <w:rPr>
                <w:rFonts w:ascii="宋体" w:hAnsi="宋体"/>
                <w:sz w:val="21"/>
                <w:szCs w:val="21"/>
              </w:rPr>
            </w:pPr>
          </w:p>
        </w:tc>
        <w:tc>
          <w:tcPr>
            <w:tcW w:w="1134" w:type="dxa"/>
            <w:vMerge w:val="continue"/>
            <w:noWrap w:val="0"/>
            <w:vAlign w:val="center"/>
          </w:tcPr>
          <w:p w14:paraId="2A7C85D3">
            <w:pPr>
              <w:jc w:val="center"/>
              <w:rPr>
                <w:rFonts w:ascii="宋体" w:hAnsi="宋体"/>
                <w:sz w:val="21"/>
                <w:szCs w:val="21"/>
              </w:rPr>
            </w:pPr>
          </w:p>
        </w:tc>
        <w:tc>
          <w:tcPr>
            <w:tcW w:w="1134" w:type="dxa"/>
            <w:vMerge w:val="continue"/>
            <w:noWrap w:val="0"/>
            <w:vAlign w:val="center"/>
          </w:tcPr>
          <w:p w14:paraId="1D7E891E">
            <w:pPr>
              <w:jc w:val="center"/>
              <w:rPr>
                <w:rFonts w:ascii="宋体" w:hAnsi="宋体"/>
                <w:sz w:val="21"/>
                <w:szCs w:val="21"/>
              </w:rPr>
            </w:pPr>
          </w:p>
        </w:tc>
        <w:tc>
          <w:tcPr>
            <w:tcW w:w="5406" w:type="dxa"/>
            <w:noWrap w:val="0"/>
            <w:vAlign w:val="top"/>
          </w:tcPr>
          <w:p w14:paraId="1802E750">
            <w:pPr>
              <w:rPr>
                <w:rFonts w:hint="eastAsia" w:ascii="宋体" w:hAnsi="宋体" w:eastAsia="宋体"/>
                <w:sz w:val="21"/>
                <w:szCs w:val="21"/>
                <w:lang w:eastAsia="zh-CN"/>
              </w:rPr>
            </w:pPr>
            <w:r>
              <w:rPr>
                <w:rFonts w:hint="eastAsia" w:ascii="宋体" w:hAnsi="宋体"/>
                <w:sz w:val="21"/>
                <w:szCs w:val="21"/>
              </w:rPr>
              <w:t>目标及预计取得效果，视情况得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1E5FD83E">
            <w:pPr>
              <w:jc w:val="center"/>
              <w:rPr>
                <w:rFonts w:hint="eastAsia" w:ascii="宋体" w:hAnsi="宋体"/>
                <w:sz w:val="21"/>
                <w:szCs w:val="21"/>
              </w:rPr>
            </w:pPr>
            <w:r>
              <w:rPr>
                <w:rFonts w:ascii="宋体" w:hAnsi="宋体"/>
                <w:sz w:val="21"/>
                <w:szCs w:val="21"/>
              </w:rPr>
              <w:t>10</w:t>
            </w:r>
          </w:p>
        </w:tc>
      </w:tr>
      <w:tr w14:paraId="635E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6" w:type="dxa"/>
            <w:vMerge w:val="continue"/>
            <w:noWrap w:val="0"/>
            <w:vAlign w:val="center"/>
          </w:tcPr>
          <w:p w14:paraId="3C58F907">
            <w:pPr>
              <w:jc w:val="center"/>
              <w:rPr>
                <w:rFonts w:ascii="宋体" w:hAnsi="宋体"/>
                <w:sz w:val="21"/>
                <w:szCs w:val="21"/>
              </w:rPr>
            </w:pPr>
          </w:p>
        </w:tc>
        <w:tc>
          <w:tcPr>
            <w:tcW w:w="831" w:type="dxa"/>
            <w:vMerge w:val="continue"/>
            <w:noWrap w:val="0"/>
            <w:vAlign w:val="center"/>
          </w:tcPr>
          <w:p w14:paraId="12EB49DF">
            <w:pPr>
              <w:jc w:val="center"/>
              <w:rPr>
                <w:rFonts w:ascii="宋体" w:hAnsi="宋体"/>
                <w:sz w:val="21"/>
                <w:szCs w:val="21"/>
              </w:rPr>
            </w:pPr>
          </w:p>
        </w:tc>
        <w:tc>
          <w:tcPr>
            <w:tcW w:w="1134" w:type="dxa"/>
            <w:vMerge w:val="continue"/>
            <w:noWrap w:val="0"/>
            <w:vAlign w:val="center"/>
          </w:tcPr>
          <w:p w14:paraId="06D6073E">
            <w:pPr>
              <w:jc w:val="center"/>
              <w:rPr>
                <w:rFonts w:ascii="宋体" w:hAnsi="宋体"/>
                <w:sz w:val="21"/>
                <w:szCs w:val="21"/>
              </w:rPr>
            </w:pPr>
          </w:p>
        </w:tc>
        <w:tc>
          <w:tcPr>
            <w:tcW w:w="1134" w:type="dxa"/>
            <w:vMerge w:val="continue"/>
            <w:noWrap w:val="0"/>
            <w:vAlign w:val="center"/>
          </w:tcPr>
          <w:p w14:paraId="45EEF0BB">
            <w:pPr>
              <w:jc w:val="center"/>
              <w:rPr>
                <w:rFonts w:ascii="宋体" w:hAnsi="宋体"/>
                <w:sz w:val="21"/>
                <w:szCs w:val="21"/>
              </w:rPr>
            </w:pPr>
          </w:p>
        </w:tc>
        <w:tc>
          <w:tcPr>
            <w:tcW w:w="5406" w:type="dxa"/>
            <w:noWrap w:val="0"/>
            <w:vAlign w:val="top"/>
          </w:tcPr>
          <w:p w14:paraId="3A0934A4">
            <w:pPr>
              <w:rPr>
                <w:rFonts w:hint="eastAsia" w:ascii="宋体" w:hAnsi="宋体" w:eastAsia="宋体"/>
                <w:sz w:val="21"/>
                <w:szCs w:val="21"/>
                <w:lang w:eastAsia="zh-CN"/>
              </w:rPr>
            </w:pPr>
            <w:r>
              <w:rPr>
                <w:rFonts w:hint="eastAsia" w:ascii="宋体" w:hAnsi="宋体"/>
                <w:sz w:val="21"/>
                <w:szCs w:val="21"/>
              </w:rPr>
              <w:t>深度合作方案、持续降本措施，视情况得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688A8C51">
            <w:pPr>
              <w:jc w:val="center"/>
              <w:rPr>
                <w:rFonts w:hint="eastAsia" w:ascii="宋体" w:hAnsi="宋体"/>
                <w:sz w:val="21"/>
                <w:szCs w:val="21"/>
              </w:rPr>
            </w:pPr>
            <w:r>
              <w:rPr>
                <w:rFonts w:hint="eastAsia" w:ascii="宋体" w:hAnsi="宋体"/>
                <w:sz w:val="21"/>
                <w:szCs w:val="21"/>
              </w:rPr>
              <w:t>10</w:t>
            </w:r>
          </w:p>
        </w:tc>
      </w:tr>
      <w:tr w14:paraId="07C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BF34D7A">
            <w:pPr>
              <w:jc w:val="center"/>
              <w:rPr>
                <w:rFonts w:ascii="宋体" w:hAnsi="宋体"/>
                <w:sz w:val="21"/>
                <w:szCs w:val="21"/>
              </w:rPr>
            </w:pPr>
          </w:p>
        </w:tc>
        <w:tc>
          <w:tcPr>
            <w:tcW w:w="831" w:type="dxa"/>
            <w:vMerge w:val="continue"/>
            <w:noWrap w:val="0"/>
            <w:vAlign w:val="center"/>
          </w:tcPr>
          <w:p w14:paraId="5BC03861">
            <w:pPr>
              <w:jc w:val="center"/>
              <w:rPr>
                <w:rFonts w:ascii="宋体" w:hAnsi="宋体"/>
                <w:sz w:val="21"/>
                <w:szCs w:val="21"/>
              </w:rPr>
            </w:pPr>
          </w:p>
        </w:tc>
        <w:tc>
          <w:tcPr>
            <w:tcW w:w="2268" w:type="dxa"/>
            <w:gridSpan w:val="2"/>
            <w:vMerge w:val="restart"/>
            <w:noWrap w:val="0"/>
            <w:vAlign w:val="center"/>
          </w:tcPr>
          <w:p w14:paraId="68BCD11F">
            <w:pPr>
              <w:jc w:val="center"/>
              <w:rPr>
                <w:rFonts w:hint="eastAsia" w:ascii="宋体" w:hAnsi="宋体"/>
                <w:sz w:val="21"/>
                <w:szCs w:val="21"/>
              </w:rPr>
            </w:pPr>
            <w:r>
              <w:rPr>
                <w:rFonts w:hint="eastAsia" w:ascii="宋体" w:hAnsi="宋体"/>
                <w:sz w:val="21"/>
                <w:szCs w:val="21"/>
              </w:rPr>
              <w:t>质量保障</w:t>
            </w:r>
          </w:p>
        </w:tc>
        <w:tc>
          <w:tcPr>
            <w:tcW w:w="5406" w:type="dxa"/>
            <w:noWrap w:val="0"/>
            <w:vAlign w:val="top"/>
          </w:tcPr>
          <w:p w14:paraId="1D06753B">
            <w:pPr>
              <w:rPr>
                <w:rFonts w:hint="eastAsia" w:ascii="宋体" w:hAnsi="宋体"/>
                <w:sz w:val="21"/>
                <w:szCs w:val="21"/>
              </w:rPr>
            </w:pPr>
            <w:r>
              <w:rPr>
                <w:rFonts w:hint="eastAsia" w:ascii="宋体" w:hAnsi="宋体"/>
                <w:sz w:val="21"/>
                <w:szCs w:val="21"/>
              </w:rPr>
              <w:t>质量保证体系完整，措施有力，能有项目控制计划和质量保证相关承诺。根据提供的资料从优到劣进行综合评审排序，自主赋分0</w:t>
            </w:r>
            <w:r>
              <w:rPr>
                <w:rFonts w:ascii="宋体" w:hAnsi="宋体"/>
                <w:sz w:val="21"/>
                <w:szCs w:val="21"/>
              </w:rPr>
              <w:t>-20</w:t>
            </w:r>
            <w:r>
              <w:rPr>
                <w:rFonts w:hint="eastAsia" w:ascii="宋体" w:hAnsi="宋体"/>
                <w:sz w:val="21"/>
                <w:szCs w:val="21"/>
              </w:rPr>
              <w:t>。</w:t>
            </w:r>
          </w:p>
        </w:tc>
        <w:tc>
          <w:tcPr>
            <w:tcW w:w="1276" w:type="dxa"/>
            <w:noWrap w:val="0"/>
            <w:vAlign w:val="center"/>
          </w:tcPr>
          <w:p w14:paraId="1A6CC066">
            <w:pPr>
              <w:jc w:val="center"/>
              <w:rPr>
                <w:rFonts w:hint="eastAsia" w:ascii="宋体" w:hAnsi="宋体"/>
                <w:sz w:val="21"/>
                <w:szCs w:val="21"/>
              </w:rPr>
            </w:pPr>
            <w:r>
              <w:rPr>
                <w:rFonts w:hint="eastAsia" w:ascii="宋体" w:hAnsi="宋体"/>
                <w:sz w:val="21"/>
                <w:szCs w:val="21"/>
              </w:rPr>
              <w:t>20</w:t>
            </w:r>
          </w:p>
        </w:tc>
      </w:tr>
      <w:tr w14:paraId="4E5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5D3758E8">
            <w:pPr>
              <w:jc w:val="center"/>
              <w:rPr>
                <w:rFonts w:ascii="宋体" w:hAnsi="宋体"/>
                <w:sz w:val="21"/>
                <w:szCs w:val="21"/>
              </w:rPr>
            </w:pPr>
          </w:p>
        </w:tc>
        <w:tc>
          <w:tcPr>
            <w:tcW w:w="831" w:type="dxa"/>
            <w:vMerge w:val="continue"/>
            <w:noWrap w:val="0"/>
            <w:vAlign w:val="center"/>
          </w:tcPr>
          <w:p w14:paraId="26CABD7B">
            <w:pPr>
              <w:jc w:val="center"/>
              <w:rPr>
                <w:rFonts w:ascii="宋体" w:hAnsi="宋体"/>
                <w:sz w:val="21"/>
                <w:szCs w:val="21"/>
              </w:rPr>
            </w:pPr>
          </w:p>
        </w:tc>
        <w:tc>
          <w:tcPr>
            <w:tcW w:w="2268" w:type="dxa"/>
            <w:gridSpan w:val="2"/>
            <w:vMerge w:val="continue"/>
            <w:noWrap w:val="0"/>
            <w:vAlign w:val="center"/>
          </w:tcPr>
          <w:p w14:paraId="6EE8CC32">
            <w:pPr>
              <w:jc w:val="center"/>
              <w:rPr>
                <w:rFonts w:hint="eastAsia" w:ascii="宋体" w:hAnsi="宋体"/>
                <w:sz w:val="21"/>
                <w:szCs w:val="21"/>
              </w:rPr>
            </w:pPr>
          </w:p>
        </w:tc>
        <w:tc>
          <w:tcPr>
            <w:tcW w:w="5406" w:type="dxa"/>
            <w:noWrap w:val="0"/>
            <w:vAlign w:val="top"/>
          </w:tcPr>
          <w:p w14:paraId="0B1AA704">
            <w:pPr>
              <w:rPr>
                <w:rFonts w:hint="eastAsia" w:ascii="宋体" w:hAnsi="宋体"/>
                <w:sz w:val="21"/>
                <w:szCs w:val="21"/>
              </w:rPr>
            </w:pPr>
            <w:r>
              <w:rPr>
                <w:rFonts w:hint="eastAsia" w:ascii="宋体" w:hAnsi="宋体"/>
                <w:sz w:val="21"/>
                <w:szCs w:val="21"/>
              </w:rPr>
              <w:t>喷涂作业能力、应急服务满足招标文件要求，合理有效、切实可行，自主赋分0</w:t>
            </w:r>
            <w:r>
              <w:rPr>
                <w:rFonts w:ascii="宋体" w:hAnsi="宋体"/>
                <w:sz w:val="21"/>
                <w:szCs w:val="21"/>
              </w:rPr>
              <w:t>-10</w:t>
            </w:r>
            <w:r>
              <w:rPr>
                <w:rFonts w:hint="eastAsia" w:ascii="宋体" w:hAnsi="宋体"/>
                <w:sz w:val="21"/>
                <w:szCs w:val="21"/>
              </w:rPr>
              <w:t>。</w:t>
            </w:r>
          </w:p>
        </w:tc>
        <w:tc>
          <w:tcPr>
            <w:tcW w:w="1276" w:type="dxa"/>
            <w:noWrap w:val="0"/>
            <w:vAlign w:val="center"/>
          </w:tcPr>
          <w:p w14:paraId="387E5144">
            <w:pPr>
              <w:jc w:val="center"/>
              <w:rPr>
                <w:rFonts w:hint="eastAsia" w:ascii="宋体" w:hAnsi="宋体"/>
                <w:sz w:val="21"/>
                <w:szCs w:val="21"/>
              </w:rPr>
            </w:pPr>
            <w:r>
              <w:rPr>
                <w:rFonts w:hint="eastAsia" w:ascii="宋体" w:hAnsi="宋体"/>
                <w:sz w:val="21"/>
                <w:szCs w:val="21"/>
              </w:rPr>
              <w:t>10</w:t>
            </w:r>
          </w:p>
        </w:tc>
      </w:tr>
      <w:tr w14:paraId="1C1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46" w:type="dxa"/>
            <w:vMerge w:val="continue"/>
            <w:noWrap w:val="0"/>
            <w:vAlign w:val="center"/>
          </w:tcPr>
          <w:p w14:paraId="1EC389E5">
            <w:pPr>
              <w:jc w:val="center"/>
              <w:rPr>
                <w:rFonts w:ascii="宋体" w:hAnsi="宋体"/>
                <w:sz w:val="21"/>
                <w:szCs w:val="21"/>
              </w:rPr>
            </w:pPr>
          </w:p>
        </w:tc>
        <w:tc>
          <w:tcPr>
            <w:tcW w:w="831" w:type="dxa"/>
            <w:vMerge w:val="continue"/>
            <w:noWrap w:val="0"/>
            <w:vAlign w:val="center"/>
          </w:tcPr>
          <w:p w14:paraId="38C7ED68">
            <w:pPr>
              <w:jc w:val="center"/>
              <w:rPr>
                <w:rFonts w:ascii="宋体" w:hAnsi="宋体"/>
                <w:sz w:val="21"/>
                <w:szCs w:val="21"/>
              </w:rPr>
            </w:pPr>
          </w:p>
        </w:tc>
        <w:tc>
          <w:tcPr>
            <w:tcW w:w="2268" w:type="dxa"/>
            <w:gridSpan w:val="2"/>
            <w:noWrap w:val="0"/>
            <w:vAlign w:val="center"/>
          </w:tcPr>
          <w:p w14:paraId="2B5D395A">
            <w:pPr>
              <w:jc w:val="center"/>
              <w:rPr>
                <w:rFonts w:hint="eastAsia" w:ascii="宋体" w:hAnsi="宋体"/>
                <w:sz w:val="21"/>
                <w:szCs w:val="21"/>
              </w:rPr>
            </w:pPr>
            <w:r>
              <w:rPr>
                <w:rFonts w:hint="eastAsia" w:ascii="宋体" w:hAnsi="宋体"/>
                <w:sz w:val="21"/>
                <w:szCs w:val="21"/>
              </w:rPr>
              <w:t>项目管理</w:t>
            </w:r>
          </w:p>
        </w:tc>
        <w:tc>
          <w:tcPr>
            <w:tcW w:w="5406" w:type="dxa"/>
            <w:noWrap w:val="0"/>
            <w:vAlign w:val="top"/>
          </w:tcPr>
          <w:p w14:paraId="562B7B34">
            <w:pPr>
              <w:rPr>
                <w:rFonts w:hint="default" w:ascii="宋体" w:hAnsi="宋体" w:eastAsia="宋体"/>
                <w:sz w:val="21"/>
                <w:szCs w:val="21"/>
                <w:lang w:val="en-US" w:eastAsia="zh-CN"/>
              </w:rPr>
            </w:pPr>
            <w:r>
              <w:rPr>
                <w:rFonts w:hint="eastAsia" w:ascii="宋体" w:hAnsi="宋体"/>
                <w:sz w:val="21"/>
                <w:szCs w:val="21"/>
              </w:rPr>
              <w:t>保证现场按5S标准管理，有管理流程或文件要求，根据流程或文件覆盖度、详细度，自主赋分1-</w:t>
            </w:r>
            <w:r>
              <w:rPr>
                <w:rFonts w:hint="eastAsia" w:ascii="宋体" w:hAnsi="宋体"/>
                <w:sz w:val="21"/>
                <w:szCs w:val="21"/>
                <w:lang w:val="en-US" w:eastAsia="zh-CN"/>
              </w:rPr>
              <w:t>10。</w:t>
            </w:r>
          </w:p>
        </w:tc>
        <w:tc>
          <w:tcPr>
            <w:tcW w:w="1276" w:type="dxa"/>
            <w:noWrap w:val="0"/>
            <w:vAlign w:val="center"/>
          </w:tcPr>
          <w:p w14:paraId="587E6901">
            <w:pPr>
              <w:jc w:val="center"/>
              <w:rPr>
                <w:rFonts w:hint="default" w:ascii="宋体" w:hAnsi="宋体" w:eastAsia="宋体"/>
                <w:sz w:val="21"/>
                <w:szCs w:val="21"/>
                <w:lang w:val="en-US" w:eastAsia="zh-CN"/>
              </w:rPr>
            </w:pPr>
            <w:r>
              <w:rPr>
                <w:rFonts w:hint="eastAsia" w:ascii="宋体" w:hAnsi="宋体"/>
                <w:sz w:val="21"/>
                <w:szCs w:val="21"/>
                <w:lang w:val="en-US" w:eastAsia="zh-CN"/>
              </w:rPr>
              <w:t>10</w:t>
            </w:r>
          </w:p>
        </w:tc>
      </w:tr>
      <w:tr w14:paraId="55BC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46" w:type="dxa"/>
            <w:vMerge w:val="continue"/>
            <w:noWrap w:val="0"/>
            <w:vAlign w:val="center"/>
          </w:tcPr>
          <w:p w14:paraId="57EFB739">
            <w:pPr>
              <w:jc w:val="center"/>
              <w:rPr>
                <w:rFonts w:ascii="宋体" w:hAnsi="宋体"/>
                <w:sz w:val="21"/>
                <w:szCs w:val="21"/>
              </w:rPr>
            </w:pPr>
          </w:p>
        </w:tc>
        <w:tc>
          <w:tcPr>
            <w:tcW w:w="831" w:type="dxa"/>
            <w:vMerge w:val="continue"/>
            <w:noWrap w:val="0"/>
            <w:vAlign w:val="center"/>
          </w:tcPr>
          <w:p w14:paraId="3D660327">
            <w:pPr>
              <w:jc w:val="center"/>
              <w:rPr>
                <w:rFonts w:ascii="宋体" w:hAnsi="宋体"/>
                <w:sz w:val="21"/>
                <w:szCs w:val="21"/>
              </w:rPr>
            </w:pPr>
          </w:p>
        </w:tc>
        <w:tc>
          <w:tcPr>
            <w:tcW w:w="2268" w:type="dxa"/>
            <w:gridSpan w:val="2"/>
            <w:noWrap w:val="0"/>
            <w:vAlign w:val="center"/>
          </w:tcPr>
          <w:p w14:paraId="31EB007C">
            <w:pPr>
              <w:jc w:val="center"/>
              <w:rPr>
                <w:rFonts w:hint="eastAsia" w:ascii="宋体" w:hAnsi="宋体"/>
                <w:sz w:val="21"/>
                <w:szCs w:val="21"/>
              </w:rPr>
            </w:pPr>
            <w:r>
              <w:rPr>
                <w:rFonts w:hint="eastAsia" w:ascii="宋体" w:hAnsi="宋体"/>
                <w:sz w:val="21"/>
                <w:szCs w:val="21"/>
              </w:rPr>
              <w:t>业绩</w:t>
            </w:r>
          </w:p>
        </w:tc>
        <w:tc>
          <w:tcPr>
            <w:tcW w:w="5406" w:type="dxa"/>
            <w:noWrap w:val="0"/>
            <w:vAlign w:val="top"/>
          </w:tcPr>
          <w:p w14:paraId="50C21FC1">
            <w:pPr>
              <w:rPr>
                <w:rFonts w:hint="eastAsia" w:ascii="宋体" w:hAnsi="宋体"/>
                <w:sz w:val="21"/>
                <w:szCs w:val="21"/>
              </w:rPr>
            </w:pPr>
            <w:r>
              <w:rPr>
                <w:rFonts w:hint="eastAsia" w:ascii="宋体" w:hAnsi="宋体"/>
                <w:sz w:val="21"/>
                <w:szCs w:val="21"/>
              </w:rPr>
              <w:t>提供3份以上投标同类业绩，得10分；提供3份得6分；提供2份得4分；提供1份证明材料的，得2分；无证明材料的，不得分。</w:t>
            </w:r>
          </w:p>
        </w:tc>
        <w:tc>
          <w:tcPr>
            <w:tcW w:w="1276" w:type="dxa"/>
            <w:noWrap w:val="0"/>
            <w:vAlign w:val="center"/>
          </w:tcPr>
          <w:p w14:paraId="6D32FE6D">
            <w:pPr>
              <w:jc w:val="center"/>
              <w:rPr>
                <w:rFonts w:hint="eastAsia" w:ascii="宋体" w:hAnsi="宋体"/>
                <w:sz w:val="21"/>
                <w:szCs w:val="21"/>
              </w:rPr>
            </w:pPr>
            <w:r>
              <w:rPr>
                <w:rFonts w:hint="eastAsia" w:ascii="宋体" w:hAnsi="宋体"/>
                <w:sz w:val="21"/>
                <w:szCs w:val="21"/>
              </w:rPr>
              <w:t>10</w:t>
            </w:r>
          </w:p>
        </w:tc>
      </w:tr>
      <w:tr w14:paraId="09F3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627" w:type="dxa"/>
            <w:gridSpan w:val="6"/>
            <w:noWrap w:val="0"/>
            <w:vAlign w:val="top"/>
          </w:tcPr>
          <w:p w14:paraId="3E8207FB">
            <w:pPr>
              <w:numPr>
                <w:ilvl w:val="0"/>
                <w:numId w:val="28"/>
              </w:num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技术标评分标准如上，商务标评分标准：当前轮次投标报价最低的投标报价为评标基准价，其价格分为100分（标准分）。其他投标人的价格分统一按照下列公式计算：投标报价得分=(评标基准价／投标报价)×100。</w:t>
            </w:r>
          </w:p>
          <w:p w14:paraId="04729922">
            <w:pPr>
              <w:numPr>
                <w:ilvl w:val="0"/>
                <w:numId w:val="0"/>
              </w:numPr>
              <w:rPr>
                <w:rFonts w:hint="default" w:ascii="宋体" w:hAnsi="宋体" w:eastAsia="宋体"/>
                <w:b/>
                <w:bCs/>
                <w:sz w:val="21"/>
                <w:szCs w:val="21"/>
                <w:lang w:val="en-US" w:eastAsia="zh-CN"/>
              </w:rPr>
            </w:pPr>
            <w:r>
              <w:rPr>
                <w:rFonts w:hint="eastAsia" w:ascii="宋体" w:hAnsi="宋体" w:eastAsia="宋体" w:cs="宋体"/>
                <w:sz w:val="20"/>
                <w:szCs w:val="20"/>
                <w:lang w:val="en-US" w:eastAsia="zh-CN"/>
              </w:rPr>
              <w:t>2、采用综合评标法：技术标分数占比30%；商务标分数占比：70%。小数点后保留二位，第三位四舍五入。</w:t>
            </w:r>
          </w:p>
        </w:tc>
      </w:tr>
      <w:tr w14:paraId="50CA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27" w:type="dxa"/>
            <w:gridSpan w:val="6"/>
            <w:noWrap w:val="0"/>
            <w:vAlign w:val="top"/>
          </w:tcPr>
          <w:p w14:paraId="69E28AD5">
            <w:pPr>
              <w:rPr>
                <w:rFonts w:hint="eastAsia" w:ascii="宋体" w:hAnsi="宋体"/>
                <w:b/>
                <w:bCs/>
                <w:sz w:val="21"/>
                <w:szCs w:val="21"/>
              </w:rPr>
            </w:pPr>
            <w:r>
              <w:rPr>
                <w:rFonts w:hint="eastAsia" w:ascii="宋体" w:hAnsi="宋体"/>
                <w:b/>
                <w:bCs/>
                <w:sz w:val="21"/>
                <w:szCs w:val="21"/>
                <w:lang w:val="en-US" w:eastAsia="zh-CN"/>
              </w:rPr>
              <w:t>二</w:t>
            </w:r>
            <w:r>
              <w:rPr>
                <w:rFonts w:hint="eastAsia" w:ascii="宋体" w:hAnsi="宋体"/>
                <w:b/>
                <w:bCs/>
                <w:sz w:val="21"/>
                <w:szCs w:val="21"/>
              </w:rPr>
              <w:t>、整体要求</w:t>
            </w:r>
          </w:p>
        </w:tc>
      </w:tr>
      <w:tr w14:paraId="65DB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27" w:type="dxa"/>
            <w:gridSpan w:val="6"/>
            <w:noWrap w:val="0"/>
            <w:vAlign w:val="top"/>
          </w:tcPr>
          <w:p w14:paraId="4E633887">
            <w:pPr>
              <w:rPr>
                <w:rFonts w:hint="eastAsia" w:ascii="宋体" w:hAnsi="宋体"/>
                <w:sz w:val="21"/>
                <w:szCs w:val="21"/>
              </w:rPr>
            </w:pPr>
            <w:r>
              <w:rPr>
                <w:rFonts w:hint="eastAsia" w:ascii="宋体" w:hAnsi="宋体"/>
                <w:sz w:val="21"/>
                <w:szCs w:val="21"/>
              </w:rPr>
              <w:t>1、各投标单位应符合投标资格，通过资格审核且缴纳投标保证金方为有效投标。</w:t>
            </w:r>
          </w:p>
        </w:tc>
      </w:tr>
      <w:tr w14:paraId="558A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27" w:type="dxa"/>
            <w:gridSpan w:val="6"/>
            <w:noWrap w:val="0"/>
            <w:vAlign w:val="top"/>
          </w:tcPr>
          <w:p w14:paraId="6C152875">
            <w:pPr>
              <w:rPr>
                <w:rFonts w:hint="eastAsia" w:ascii="宋体" w:hAnsi="宋体"/>
                <w:sz w:val="21"/>
                <w:szCs w:val="21"/>
              </w:rPr>
            </w:pPr>
            <w:r>
              <w:rPr>
                <w:rFonts w:hint="eastAsia" w:ascii="宋体" w:hAnsi="宋体"/>
                <w:sz w:val="21"/>
                <w:szCs w:val="21"/>
              </w:rPr>
              <w:t>2、投标单位提交的投标文件和资料必须真实有效。</w:t>
            </w:r>
          </w:p>
        </w:tc>
      </w:tr>
      <w:tr w14:paraId="4023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7DDAF652">
            <w:pPr>
              <w:numPr>
                <w:ilvl w:val="0"/>
                <w:numId w:val="0"/>
              </w:numPr>
              <w:rPr>
                <w:rFonts w:hint="default" w:ascii="宋体" w:hAnsi="宋体" w:eastAsia="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合同签订前，招标方有权组织联合小组（财务、技术、设备、质量等）到中标候选人实地审核，如发现投标文件和资料有弄虚作假，招标方有权取消其中标候选人资格，同时招标方有权扣留其投标保证金。</w:t>
            </w:r>
          </w:p>
        </w:tc>
      </w:tr>
    </w:tbl>
    <w:p w14:paraId="22BAE6EF">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bookmarkStart w:id="37" w:name="_GoBack"/>
      <w:bookmarkEnd w:id="37"/>
      <w:r>
        <w:rPr>
          <w:rFonts w:hint="eastAsia" w:ascii="宋体" w:hAnsi="宋体" w:eastAsia="宋体" w:cs="宋体"/>
          <w:sz w:val="21"/>
          <w:szCs w:val="21"/>
          <w:highlight w:val="none"/>
        </w:rPr>
        <w:t>；</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6"/>
      <w:bookmarkStart w:id="17" w:name="OLE_LINK28"/>
      <w:bookmarkStart w:id="18" w:name="OLE_LINK27"/>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633F3CB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03DBE1AA">
      <w:pPr>
        <w:pStyle w:val="14"/>
        <w:rPr>
          <w:rFonts w:hint="default" w:eastAsia="宋体"/>
          <w:lang w:val="en-US" w:eastAsia="zh-CN"/>
        </w:rPr>
      </w:pPr>
      <w:r>
        <w:rPr>
          <w:rFonts w:hint="eastAsia" w:hAnsi="宋体" w:cs="宋体"/>
          <w:b/>
          <w:sz w:val="21"/>
          <w:szCs w:val="21"/>
          <w:lang w:val="en-US" w:eastAsia="zh-CN"/>
        </w:rPr>
        <w:t>6.招标人有权指定招标人的关联单位作为合同签订人，与中标人签署相关合同，且具体权利义务以中标人与招标人的关联公司最终签署的合同为准</w:t>
      </w:r>
    </w:p>
    <w:p w14:paraId="6C8560A2">
      <w:pPr>
        <w:pStyle w:val="72"/>
        <w:rPr>
          <w:rFonts w:hint="eastAsia" w:ascii="宋体" w:hAnsi="宋体" w:eastAsia="宋体" w:cs="宋体"/>
          <w:b w:val="0"/>
          <w:bCs w:val="0"/>
          <w:sz w:val="21"/>
          <w:szCs w:val="21"/>
          <w:highlight w:val="yellow"/>
          <w:lang w:val="en-US" w:eastAsia="zh-CN"/>
        </w:rPr>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①100%：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E38AD6A">
      <w:pPr>
        <w:spacing w:line="360" w:lineRule="auto"/>
      </w:pPr>
      <w:r>
        <w:rPr>
          <w:rFonts w:hint="eastAsia" w:ascii="宋体" w:hAnsi="宋体" w:cs="宋体"/>
          <w:sz w:val="21"/>
          <w:szCs w:val="21"/>
          <w:highlight w:val="none"/>
          <w:lang w:val="en-US" w:eastAsia="zh-CN"/>
        </w:rPr>
        <w:t>2.</w:t>
      </w:r>
      <w:r>
        <w:rPr>
          <w:rFonts w:hint="eastAsia"/>
        </w:rPr>
        <w:t>本项业务履约保证金</w:t>
      </w:r>
      <w:r>
        <w:rPr>
          <w:rFonts w:hint="eastAsia"/>
          <w:lang w:val="en-US" w:eastAsia="zh-CN"/>
        </w:rPr>
        <w:t>2</w:t>
      </w:r>
      <w:r>
        <w:rPr>
          <w:rFonts w:hint="eastAsia"/>
        </w:rPr>
        <w:t>万元。</w:t>
      </w:r>
      <w:r>
        <w:rPr>
          <w:rFonts w:hint="eastAsia" w:ascii="宋体" w:hAnsi="宋体"/>
        </w:rPr>
        <w:t>中标后，</w:t>
      </w:r>
      <w:r>
        <w:rPr>
          <w:rFonts w:hint="eastAsia"/>
        </w:rPr>
        <w:t>因自身经营原因主动提出退出的，需提前</w:t>
      </w:r>
      <w:r>
        <w:t>6</w:t>
      </w:r>
      <w:r>
        <w:rPr>
          <w:rFonts w:hint="eastAsia"/>
        </w:rPr>
        <w:t>个月提出退出书面申请，由业务主体责任方确定无其他违约责任，将保证金一次性无息</w:t>
      </w:r>
      <w:r>
        <w:t>100%</w:t>
      </w:r>
      <w:r>
        <w:rPr>
          <w:rFonts w:hint="eastAsia"/>
        </w:rPr>
        <w:t>返还中标方；提前</w:t>
      </w:r>
      <w:r>
        <w:t>3</w:t>
      </w:r>
      <w:r>
        <w:rPr>
          <w:rFonts w:hint="eastAsia"/>
        </w:rPr>
        <w:t>个月提出退出书面申请的，由业务主体责任方确定无其他违约责任，</w:t>
      </w:r>
      <w:r>
        <w:t xml:space="preserve"> </w:t>
      </w:r>
      <w:r>
        <w:rPr>
          <w:rFonts w:hint="eastAsia"/>
        </w:rPr>
        <w:t>将保证金一次性无息</w:t>
      </w:r>
      <w:r>
        <w:t>90%</w:t>
      </w:r>
      <w:r>
        <w:rPr>
          <w:rFonts w:hint="eastAsia"/>
        </w:rPr>
        <w:t>返还供方；提出申请时间不足</w:t>
      </w:r>
      <w:r>
        <w:t>3</w:t>
      </w:r>
      <w:r>
        <w:rPr>
          <w:rFonts w:hint="eastAsia"/>
        </w:rPr>
        <w:t>个月的，供方在服务期间的履约保证金不予返还。</w:t>
      </w:r>
    </w:p>
    <w:p w14:paraId="1F4D77C5">
      <w:pPr>
        <w:spacing w:line="360" w:lineRule="auto"/>
        <w:ind w:firstLine="420" w:firstLineChars="200"/>
        <w:rPr>
          <w:rFonts w:ascii="宋体" w:hAnsi="宋体"/>
        </w:rPr>
      </w:pPr>
      <w:r>
        <w:rPr>
          <w:rFonts w:hint="eastAsia"/>
        </w:rPr>
        <w:t>经卡车公司相关部门评审，同意供方退出的，由业务主体责任方立即组织新供方的招标和引入。在招标期间和业务交接期间（交接期为</w:t>
      </w:r>
      <w:r>
        <w:t>3</w:t>
      </w:r>
      <w:r>
        <w:rPr>
          <w:rFonts w:hint="eastAsia"/>
        </w:rPr>
        <w:t>个月），原供方须无条件配合业务交接工作，确保业务正常运转。对于交接期间出现影响生产的情况，交接期第</w:t>
      </w:r>
      <w:r>
        <w:t>1</w:t>
      </w:r>
      <w:r>
        <w:rPr>
          <w:rFonts w:hint="eastAsia"/>
        </w:rPr>
        <w:t>个月由原供方承担</w:t>
      </w:r>
      <w:r>
        <w:t>70%</w:t>
      </w:r>
      <w:r>
        <w:rPr>
          <w:rFonts w:hint="eastAsia"/>
        </w:rPr>
        <w:t>责任，新供方承担</w:t>
      </w:r>
      <w:r>
        <w:t xml:space="preserve"> 30%</w:t>
      </w:r>
      <w:r>
        <w:rPr>
          <w:rFonts w:hint="eastAsia"/>
        </w:rPr>
        <w:t>责任；交接期第</w:t>
      </w:r>
      <w:r>
        <w:t xml:space="preserve">2 </w:t>
      </w:r>
      <w:r>
        <w:rPr>
          <w:rFonts w:hint="eastAsia"/>
        </w:rPr>
        <w:t>个月，由原供方承担</w:t>
      </w:r>
      <w:r>
        <w:t>50%</w:t>
      </w:r>
      <w:r>
        <w:rPr>
          <w:rFonts w:hint="eastAsia"/>
        </w:rPr>
        <w:t>责任，新供方承担</w:t>
      </w:r>
      <w:r>
        <w:t>50%</w:t>
      </w:r>
      <w:r>
        <w:rPr>
          <w:rFonts w:hint="eastAsia"/>
        </w:rPr>
        <w:t>责任；交接期第</w:t>
      </w:r>
      <w:r>
        <w:t>3</w:t>
      </w:r>
      <w:r>
        <w:rPr>
          <w:rFonts w:hint="eastAsia"/>
        </w:rPr>
        <w:t>个月，由原供方承担</w:t>
      </w:r>
      <w:r>
        <w:t>30%</w:t>
      </w:r>
      <w:r>
        <w:rPr>
          <w:rFonts w:hint="eastAsia"/>
        </w:rPr>
        <w:t>责任，新供方承担</w:t>
      </w:r>
      <w:r>
        <w:t>70%</w:t>
      </w:r>
      <w:r>
        <w:rPr>
          <w:rFonts w:hint="eastAsia"/>
        </w:rPr>
        <w:t>责任。</w:t>
      </w:r>
    </w:p>
    <w:p w14:paraId="0868FA3E">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pStyle w:val="71"/>
        <w:jc w:val="both"/>
        <w:rPr>
          <w:rFonts w:hint="eastAsia"/>
        </w:rPr>
      </w:pPr>
      <w:bookmarkStart w:id="21" w:name="_Toc47976607"/>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2FABB263">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1.</w:t>
      </w:r>
      <w:r>
        <w:rPr>
          <w:rFonts w:ascii="仿宋" w:hAnsi="仿宋" w:eastAsia="仿宋" w:cs="仿宋"/>
          <w:b/>
          <w:bCs/>
          <w:color w:val="000000"/>
          <w:kern w:val="0"/>
          <w:sz w:val="28"/>
          <w:szCs w:val="28"/>
          <w:lang w:val="en-US" w:eastAsia="zh-CN" w:bidi="ar"/>
        </w:rPr>
        <w:t>工艺定员：</w:t>
      </w:r>
      <w:r>
        <w:rPr>
          <w:rFonts w:hint="eastAsia" w:ascii="仿宋" w:hAnsi="仿宋" w:eastAsia="仿宋" w:cs="仿宋"/>
          <w:color w:val="000000"/>
          <w:kern w:val="0"/>
          <w:sz w:val="28"/>
          <w:szCs w:val="28"/>
          <w:lang w:val="en-US" w:eastAsia="zh-CN" w:bidi="ar"/>
        </w:rPr>
        <w:t xml:space="preserve">4人，详见工时定额明细表。 </w:t>
      </w:r>
    </w:p>
    <w:p w14:paraId="442420E1">
      <w:pPr>
        <w:keepNext w:val="0"/>
        <w:keepLines w:val="0"/>
        <w:widowControl/>
        <w:suppressLineNumbers w:val="0"/>
        <w:jc w:val="left"/>
      </w:pPr>
      <w:r>
        <w:rPr>
          <w:rFonts w:hint="eastAsia" w:ascii="仿宋" w:hAnsi="仿宋" w:eastAsia="仿宋" w:cs="仿宋"/>
          <w:color w:val="000000"/>
          <w:kern w:val="0"/>
          <w:sz w:val="28"/>
          <w:szCs w:val="28"/>
          <w:lang w:val="en-US" w:eastAsia="zh-CN" w:bidi="ar"/>
        </w:rPr>
        <w:t>2.</w:t>
      </w:r>
      <w:r>
        <w:rPr>
          <w:rFonts w:hint="eastAsia" w:ascii="仿宋" w:hAnsi="仿宋" w:eastAsia="仿宋" w:cs="仿宋"/>
          <w:b/>
          <w:bCs/>
          <w:color w:val="000000"/>
          <w:kern w:val="0"/>
          <w:sz w:val="28"/>
          <w:szCs w:val="28"/>
          <w:lang w:val="en-US" w:eastAsia="zh-CN" w:bidi="ar"/>
        </w:rPr>
        <w:t>人员管理及岗位优化</w:t>
      </w:r>
      <w:r>
        <w:rPr>
          <w:rFonts w:hint="eastAsia" w:ascii="仿宋" w:hAnsi="仿宋" w:eastAsia="仿宋" w:cs="仿宋"/>
          <w:color w:val="000000"/>
          <w:kern w:val="0"/>
          <w:sz w:val="28"/>
          <w:szCs w:val="28"/>
          <w:lang w:val="en-US" w:eastAsia="zh-CN" w:bidi="ar"/>
        </w:rPr>
        <w:t xml:space="preserve">：内部人员可转为外包质量检验，外包方提 </w:t>
      </w:r>
    </w:p>
    <w:p w14:paraId="09895E5E">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供喷涂技术人员。 </w:t>
      </w:r>
    </w:p>
    <w:p w14:paraId="0B68B19C">
      <w:pPr>
        <w:keepNext w:val="0"/>
        <w:keepLines w:val="0"/>
        <w:widowControl/>
        <w:suppressLineNumbers w:val="0"/>
        <w:jc w:val="left"/>
      </w:pPr>
      <w:r>
        <w:rPr>
          <w:rFonts w:hint="eastAsia" w:ascii="仿宋" w:hAnsi="仿宋" w:eastAsia="仿宋" w:cs="仿宋"/>
          <w:color w:val="000000"/>
          <w:kern w:val="0"/>
          <w:sz w:val="28"/>
          <w:szCs w:val="28"/>
          <w:lang w:val="en-US" w:eastAsia="zh-CN" w:bidi="ar"/>
        </w:rPr>
        <w:t>3.</w:t>
      </w:r>
      <w:r>
        <w:rPr>
          <w:rFonts w:hint="eastAsia" w:ascii="仿宋" w:hAnsi="仿宋" w:eastAsia="仿宋" w:cs="仿宋"/>
          <w:b/>
          <w:bCs/>
          <w:color w:val="000000"/>
          <w:kern w:val="0"/>
          <w:sz w:val="28"/>
          <w:szCs w:val="28"/>
          <w:lang w:val="en-US" w:eastAsia="zh-CN" w:bidi="ar"/>
        </w:rPr>
        <w:t>设备工具管理：</w:t>
      </w:r>
      <w:r>
        <w:rPr>
          <w:rFonts w:hint="eastAsia" w:ascii="仿宋" w:hAnsi="仿宋" w:eastAsia="仿宋" w:cs="仿宋"/>
          <w:color w:val="000000"/>
          <w:kern w:val="0"/>
          <w:sz w:val="28"/>
          <w:szCs w:val="28"/>
          <w:lang w:val="en-US" w:eastAsia="zh-CN" w:bidi="ar"/>
        </w:rPr>
        <w:t xml:space="preserve">VOCs设备、消防器械由卡车公司提供，喷涂工具 </w:t>
      </w:r>
    </w:p>
    <w:p w14:paraId="16C1B34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由承包方提供，项目中涉及的工具维修费用由承包方承担。 </w:t>
      </w:r>
    </w:p>
    <w:p w14:paraId="5B5C84CF">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4.物料计划：</w:t>
      </w:r>
      <w:r>
        <w:rPr>
          <w:rFonts w:hint="eastAsia" w:ascii="仿宋" w:hAnsi="仿宋" w:eastAsia="仿宋" w:cs="仿宋"/>
          <w:color w:val="000000"/>
          <w:kern w:val="0"/>
          <w:sz w:val="28"/>
          <w:szCs w:val="28"/>
          <w:lang w:val="en-US" w:eastAsia="zh-CN" w:bidi="ar"/>
        </w:rPr>
        <w:t xml:space="preserve">聚脲喷涂材料及辅料由卡车公司提供，要货计划由卡 </w:t>
      </w:r>
    </w:p>
    <w:p w14:paraId="543371D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车公司组织；能源费用由卡车公司限额承担。 </w:t>
      </w:r>
    </w:p>
    <w:p w14:paraId="681825AB">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5.工艺方案：</w:t>
      </w:r>
      <w:r>
        <w:rPr>
          <w:rFonts w:hint="eastAsia" w:ascii="仿宋" w:hAnsi="仿宋" w:eastAsia="仿宋" w:cs="仿宋"/>
          <w:color w:val="000000"/>
          <w:kern w:val="0"/>
          <w:sz w:val="28"/>
          <w:szCs w:val="28"/>
          <w:lang w:val="en-US" w:eastAsia="zh-CN" w:bidi="ar"/>
        </w:rPr>
        <w:t xml:space="preserve">工艺文件由卡车公司负责编制，与外包方明确喷涂工 </w:t>
      </w:r>
    </w:p>
    <w:p w14:paraId="0C7D271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艺要求。 </w:t>
      </w:r>
    </w:p>
    <w:p w14:paraId="24FF5B5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5.1 喷涂聚脲前，喷涂区域表面不得有油污、水渍、灰尘、泥点、盐 </w:t>
      </w:r>
    </w:p>
    <w:p w14:paraId="28F5F2BD">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霜等附着污物，或纤维、铁屑等残留杂物。 </w:t>
      </w:r>
    </w:p>
    <w:p w14:paraId="1B09225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5.2 喷涂聚脲前不得淋雨检漏，聚脲喷涂后应晾干 30 分钟再淋雨检 </w:t>
      </w:r>
    </w:p>
    <w:p w14:paraId="196C071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漏。如有特殊情况需要先淋雨检漏，需要得到甲方许可后方可进行。 </w:t>
      </w:r>
    </w:p>
    <w:p w14:paraId="1E6EDF3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5.3 擦拭抹布、拖把等清洁用具应定期清洗保持干净。若雨雪天导致 </w:t>
      </w:r>
    </w:p>
    <w:p w14:paraId="34DD869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车架表面严重脏污，应当用洗车机清洗污物后用压缩空气吹净，再进 </w:t>
      </w:r>
    </w:p>
    <w:p w14:paraId="3E7AC09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行擦拭。冬季气温过低时应避免常温水洗导致表面结冰。 </w:t>
      </w:r>
    </w:p>
    <w:p w14:paraId="29F630B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5.4 用遮蔽布将油箱、电瓶箱、尿素箱、铝合金储气筒、轮胎、消声 </w:t>
      </w:r>
    </w:p>
    <w:p w14:paraId="54D43AA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器、后尾灯、挡泥板遮蔽；用专用遮蔽工装分别将倒车雷达、空气悬 </w:t>
      </w:r>
    </w:p>
    <w:p w14:paraId="14C97D0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架气囊遮蔽；用遮蔽布遮蔽车架内侧空气悬架气囊。 </w:t>
      </w:r>
    </w:p>
    <w:p w14:paraId="2F1FD9C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5.5 遮蔽布清洗不少于 1 次／3 天或更换。 </w:t>
      </w:r>
    </w:p>
    <w:p w14:paraId="1977BBE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5.6 调漆： </w:t>
      </w:r>
    </w:p>
    <w:p w14:paraId="0239445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（1）清漆调配：电子秤称重调配聚脲清漆，聚脲清漆／固化剂（质 </w:t>
      </w:r>
    </w:p>
    <w:p w14:paraId="7EF24EC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量比）＝6.6：1，加入配套稀释剂，调整粘度至 14-24s（巴斯夫）。 </w:t>
      </w:r>
    </w:p>
    <w:p w14:paraId="4B4BB27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（2）搅拌：用搅拌尺或搅拌器对漆液进行充分搅拌，时间不少于1min。 </w:t>
      </w:r>
    </w:p>
    <w:p w14:paraId="6E4A5AC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（3）测量粘度：每次调漆均需测量 1 次。 </w:t>
      </w:r>
    </w:p>
    <w:p w14:paraId="7EAA67D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喷涂： </w:t>
      </w:r>
    </w:p>
    <w:p w14:paraId="118DCD8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（1）喷涂部位：仅喷涂车架，包含纵梁、横梁、尾梁的翼面及腹面， </w:t>
      </w:r>
    </w:p>
    <w:p w14:paraId="79A8269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零部件覆盖车架的区域表面（含以上部位的紧固螺栓）。 </w:t>
      </w:r>
    </w:p>
    <w:p w14:paraId="2D789E5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喷涂过程：喷漆工 1 人，喷涂车架按照从前到后、先下后上的顺序， </w:t>
      </w:r>
    </w:p>
    <w:p w14:paraId="0A759B8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在待喷涂表面均匀喷涂 1 遍聚脲清漆，在尾梁交汇，均需喷涂尾梁， </w:t>
      </w:r>
    </w:p>
    <w:p w14:paraId="1C367DA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重复以上操作，再喷涂 1 遍聚脲清漆。 </w:t>
      </w:r>
    </w:p>
    <w:p w14:paraId="03A2F01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5.7 聚脲清漆及配套稀释剂、固化剂应存放在阴凉、通风处，使用前 </w:t>
      </w:r>
    </w:p>
    <w:p w14:paraId="2684399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应当确认油漆品牌、型号、保质期无异常。 </w:t>
      </w:r>
    </w:p>
    <w:p w14:paraId="14F95C0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5.8 外观检查：检查员绕车架检查一周，要求喷涂部位漆膜连续、均 </w:t>
      </w:r>
    </w:p>
    <w:p w14:paraId="430E9BB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匀，车架外表面无明显的漏喷、虚漆、流淌、气泡及其他漆膜缺陷。 </w:t>
      </w:r>
    </w:p>
    <w:p w14:paraId="188E2EB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5.9 聚脲清漆漆膜表干前不得触碰，雨雪天、扬尘天气不得露天晾干。 </w:t>
      </w:r>
    </w:p>
    <w:p w14:paraId="23BBE6C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5.10 若甲方更新聚脲喷涂工艺规范及标准，乙方须按最新标准执行。 </w:t>
      </w:r>
    </w:p>
    <w:p w14:paraId="5C633FE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5.11 若乙方现场使用清漆和配套试剂品牌、型号、状态发生变化， </w:t>
      </w:r>
    </w:p>
    <w:p w14:paraId="6CD8A5E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或喷涂工艺因不可抗力发生变化，应第一时间通知甲方，得到甲方许 </w:t>
      </w:r>
    </w:p>
    <w:p w14:paraId="6743B0C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可后方可继续作业。 </w:t>
      </w:r>
    </w:p>
    <w:p w14:paraId="7E3F4FFE">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6、质量管控措施： </w:t>
      </w:r>
    </w:p>
    <w:p w14:paraId="4B7C5F5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6.1 按照卡车公司质量部下发的 KC08020113-《工序委外质量控制管 </w:t>
      </w:r>
    </w:p>
    <w:p w14:paraId="6B7B71C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理流程》进行质量检验监督检查。 </w:t>
      </w:r>
    </w:p>
    <w:p w14:paraId="0859197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 建立质量保证体系 </w:t>
      </w:r>
    </w:p>
    <w:p w14:paraId="11A37CF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6.2.1 乙方有义务按汽车行业的要求建立质量管理体系，并且有责任 </w:t>
      </w:r>
    </w:p>
    <w:p w14:paraId="5FB7980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维持这个体系的零缺陷目标和不断地改进服务。 </w:t>
      </w:r>
    </w:p>
    <w:p w14:paraId="79475CF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6.2.2 在征得乙方书面同意后，乙方允许甲方通过有限的审核手段， </w:t>
      </w:r>
    </w:p>
    <w:p w14:paraId="7C72816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来检查其质量管理方法是否达到甲方的要求。审核可以是体系、或过 </w:t>
      </w:r>
    </w:p>
    <w:p w14:paraId="52BA834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程、或产品。 </w:t>
      </w:r>
    </w:p>
    <w:p w14:paraId="0F4600E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6.2.3 在征得乙方书面同意后，乙方允许甲方接近所有的操作设备、 </w:t>
      </w:r>
    </w:p>
    <w:p w14:paraId="56160D5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试验中心、仓库及邻近区域，并且可以检查与质量有关的文件。在此 </w:t>
      </w:r>
    </w:p>
    <w:p w14:paraId="20AC077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情况下，甲方须保证严格遵守乙方对商业秘密的安全性及人身财产安 </w:t>
      </w:r>
    </w:p>
    <w:p w14:paraId="0926098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全等相关规定执行。 </w:t>
      </w:r>
    </w:p>
    <w:p w14:paraId="134F965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6.2.4 乙方应按控制计划进行生产，并在生产过程中按计划进行产品 </w:t>
      </w:r>
    </w:p>
    <w:p w14:paraId="4CE6A60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审核、过程审核。 </w:t>
      </w:r>
    </w:p>
    <w:p w14:paraId="7E36790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6.2.5 乙方指定质量保证体系管理及经营的质量负责人，根据甲方要 </w:t>
      </w:r>
    </w:p>
    <w:p w14:paraId="26B3C12D">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求，向甲方书面提交质量负责人。负责人变更时，事先要通知甲方。 </w:t>
      </w:r>
    </w:p>
    <w:p w14:paraId="505B4FC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6.3 乙方采购物资质量保证 </w:t>
      </w:r>
    </w:p>
    <w:p w14:paraId="18066D9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6.3.1乙方保证制造产品使用的自喷漆等物资符合双方约定该产品质 </w:t>
      </w:r>
    </w:p>
    <w:p w14:paraId="2208BC7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量要求，有相应质量保证。 </w:t>
      </w:r>
    </w:p>
    <w:p w14:paraId="482C0BA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6.3.2 乙方用于制造产品使用的物资，如由甲方有偿或无偿提供，或 </w:t>
      </w:r>
    </w:p>
    <w:p w14:paraId="59BFB5D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向甲方指定第三方采购，其制成产品的质量全部由甲方或甲方所指定 </w:t>
      </w:r>
    </w:p>
    <w:p w14:paraId="45D8B3F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物资供应商保证。 </w:t>
      </w:r>
    </w:p>
    <w:p w14:paraId="2198249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 质量要求 </w:t>
      </w:r>
    </w:p>
    <w:p w14:paraId="1570FDC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6.4.1 在进行操作前对杂物、脏污等进行清理，同时对如轮胎、电瓶 </w:t>
      </w:r>
    </w:p>
    <w:p w14:paraId="72A1282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箱、油箱、储气筒、倒车雷达等产品件进行有效防护。 </w:t>
      </w:r>
    </w:p>
    <w:p w14:paraId="7258C29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6.4.2 聚脲喷剂按照技术要求比例进行配比，并在规定时间内使用完； </w:t>
      </w:r>
    </w:p>
    <w:p w14:paraId="7A1D926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对于超期存放的喷剂按照要求进行销毁、处置； </w:t>
      </w:r>
    </w:p>
    <w:p w14:paraId="7C8DEE8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6.4.3 作业完成后，对相应车辆进行充分晾干（雨雪天气不得室外晾 </w:t>
      </w:r>
    </w:p>
    <w:p w14:paraId="3B39FE8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干）； </w:t>
      </w:r>
    </w:p>
    <w:p w14:paraId="4447F6D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6.4.4 建立相应的质量检验制度，并留存质量检验记录，如漆膜厚度、 </w:t>
      </w:r>
    </w:p>
    <w:p w14:paraId="628DC61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漆膜硬度、附着力等； </w:t>
      </w:r>
    </w:p>
    <w:p w14:paraId="5817863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6.4.5 使用的诸如压力表、划格器、硬度仪、电子秤、粘度计等计量 </w:t>
      </w:r>
    </w:p>
    <w:p w14:paraId="10B2181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器具，应妥善使用并确保处于有效期及合格范围内，有问题及时沟通 </w:t>
      </w:r>
    </w:p>
    <w:p w14:paraId="4FC98CB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解决； </w:t>
      </w:r>
    </w:p>
    <w:p w14:paraId="6EE5A60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6.4.6 喷涂完成后应避免出现流挂、厚度超标、色差、橘皮、虚漆、 </w:t>
      </w:r>
    </w:p>
    <w:p w14:paraId="1CBF9B5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漏喷、气泡等问题，发现问题的及时返修处理，并排查在库及在制车 </w:t>
      </w:r>
    </w:p>
    <w:p w14:paraId="486A43D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辆。 </w:t>
      </w:r>
    </w:p>
    <w:p w14:paraId="34BC1BD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6.4.7 车架外表面，包括纵梁上翼面及外腹面、尾梁上翼面及外腹面、 </w:t>
      </w:r>
    </w:p>
    <w:p w14:paraId="6559F6D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横梁上翼面，漆膜总厚度不得小于 65μm。 </w:t>
      </w:r>
    </w:p>
    <w:p w14:paraId="0818291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6.4.8 车架内表面及下翼面，包括纵梁内腹面、横梁腹面、车架下翼 </w:t>
      </w:r>
    </w:p>
    <w:p w14:paraId="0EC3958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面，漆膜总厚度不得小于 40μm。 </w:t>
      </w:r>
    </w:p>
    <w:p w14:paraId="1BB62B4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6.4.9 聚脲漆膜附着力不得大于 1 级，漆膜硬度不得小于 HB。 </w:t>
      </w:r>
    </w:p>
    <w:p w14:paraId="50983EF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6.4.10 遇雨雪等极端天气，应在有遮挡空间作业，且作业前应将车 </w:t>
      </w:r>
    </w:p>
    <w:p w14:paraId="530C73D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架表面雨雪清除彻底；必要时必须暂停作业。 </w:t>
      </w:r>
    </w:p>
    <w:p w14:paraId="6679B7D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6.5 质量责任 </w:t>
      </w:r>
    </w:p>
    <w:p w14:paraId="019B1B2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6.5.1 质量目标的订定 </w:t>
      </w:r>
    </w:p>
    <w:p w14:paraId="04E2C80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质量目标主要包括聚脲喷涂合格率，过程审核问题关闭率，Audit </w:t>
      </w:r>
    </w:p>
    <w:p w14:paraId="4C9F80E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评审问题关闭率等 4 个项目。甲方每年度与乙方进行质量目标的订定。 </w:t>
      </w:r>
    </w:p>
    <w:p w14:paraId="676ADBE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质量目标要求如下： </w:t>
      </w:r>
    </w:p>
    <w:p w14:paraId="6D4A05B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（1）聚脲喷涂合格率 100%，合格率计算：检验聚脲喷涂合格车辆总 </w:t>
      </w:r>
    </w:p>
    <w:p w14:paraId="419F5BB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数/检验聚脲喷涂车辆总数； </w:t>
      </w:r>
    </w:p>
    <w:p w14:paraId="4387FA6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（2）过程审核问题关闭率 100%，合格率计算：乙方针对甲方过程审 </w:t>
      </w:r>
    </w:p>
    <w:p w14:paraId="6524949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核发现聚脲喷涂问题的整改数量/甲方过程审核发现的聚脲喷涂 </w:t>
      </w:r>
    </w:p>
    <w:p w14:paraId="797C583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问题数量； </w:t>
      </w:r>
    </w:p>
    <w:p w14:paraId="0CD9F58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（3）Audit 评审问题关闭率 100%，合格率计算：乙方针对甲方 Audit </w:t>
      </w:r>
    </w:p>
    <w:p w14:paraId="08E612C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评审发现聚脲喷涂问题的整改关闭数量/甲方 Audit 评审发现的聚脲 </w:t>
      </w:r>
    </w:p>
    <w:p w14:paraId="2C347A3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喷涂问题数量； </w:t>
      </w:r>
    </w:p>
    <w:p w14:paraId="73C122B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（4）集团质量评审、卡车质量评审评审分值 0PPM； </w:t>
      </w:r>
    </w:p>
    <w:p w14:paraId="778D058F">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6.6 质量评价 </w:t>
      </w:r>
    </w:p>
    <w:p w14:paraId="1206245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为促进乙方外包质量的稳定和提高，甲方依照乙方质量目标的达 </w:t>
      </w:r>
    </w:p>
    <w:p w14:paraId="7D6A0F2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成状况进行统计，对乙方的质量管理水平进行月度评价。当月评低于 </w:t>
      </w:r>
    </w:p>
    <w:p w14:paraId="32A59C8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质量目标时，乙方需根据当月主要不良状况展开调查，于收到月报资 </w:t>
      </w:r>
    </w:p>
    <w:p w14:paraId="28203830">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料后一周内书面提交改善计划；连续 2 个月月评低于质量目标时，乙 </w:t>
      </w:r>
    </w:p>
    <w:p w14:paraId="117547B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方经营或质量保证的负责人至甲方进行质量改善的说明；连续 3 个月 </w:t>
      </w:r>
    </w:p>
    <w:p w14:paraId="1B8FAC23">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月评低于质量目标时，将采取处罚措施，同时，甲方有权采取降低供 </w:t>
      </w:r>
    </w:p>
    <w:p w14:paraId="07FF8901">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货比例、甚至取消供货资格等处理措施。 </w:t>
      </w:r>
    </w:p>
    <w:p w14:paraId="343EDFA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6.7 质量交流 </w:t>
      </w:r>
    </w:p>
    <w:p w14:paraId="316D81A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乙方指定专门人员（质量负责人）负责与甲方对产品技术、质量信息 </w:t>
      </w:r>
    </w:p>
    <w:p w14:paraId="658E930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进行沟通，对产品的全过程质量进行动态跟踪，并向甲方报告。 </w:t>
      </w:r>
    </w:p>
    <w:p w14:paraId="2652624D">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7、产品防护 </w:t>
      </w:r>
    </w:p>
    <w:p w14:paraId="045EB40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7.1 恶劣天气情况下，聚脲喷涂过程不得露天作业，避免出现扬尘、 </w:t>
      </w:r>
    </w:p>
    <w:p w14:paraId="0ED7DE8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雨雪等污染喷涂效果； </w:t>
      </w:r>
    </w:p>
    <w:p w14:paraId="56CC0F09">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7.2 喷涂聚脲前，应对如挡泥板、尾灯、标志灯、轮胎等工艺要求防 </w:t>
      </w:r>
    </w:p>
    <w:p w14:paraId="10413E2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护产品件进行有效防护，并制作专用的防护措施。 </w:t>
      </w:r>
    </w:p>
    <w:p w14:paraId="44E2F263">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8、产品标识及不合格品（待处理品）的处理 </w:t>
      </w:r>
    </w:p>
    <w:p w14:paraId="63ECD46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8.1 乙方需对产品状态进行标识，明确操作及检验相关信息，使产 </w:t>
      </w:r>
    </w:p>
    <w:p w14:paraId="0B9DB2D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品易于识别、找寻，防止混淆，并做好标识防护。 </w:t>
      </w:r>
    </w:p>
    <w:p w14:paraId="53E22D9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8.2 乙方在仓库设立有标识的不合格品（待处理品）存放区域，用 </w:t>
      </w:r>
    </w:p>
    <w:p w14:paraId="47470CF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于存放不合格及待处理产品，并及时清退，严禁积压闲置。 </w:t>
      </w:r>
    </w:p>
    <w:p w14:paraId="327E682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8.3乙方应按照甲方要求提供生产制造过程的技术支持和现场服务。 </w:t>
      </w:r>
    </w:p>
    <w:p w14:paraId="768E29E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乙方产品在甲方检验过程中发生质量问题，乙方在接到甲方通知后， </w:t>
      </w:r>
    </w:p>
    <w:p w14:paraId="3590C602">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 小时内到现场进行处理。 </w:t>
      </w:r>
    </w:p>
    <w:p w14:paraId="5CC9C087">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 xml:space="preserve">9、人员的要求 </w:t>
      </w:r>
    </w:p>
    <w:p w14:paraId="3A2A833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9.1 外包人员进入生产岗位前，须按要求穿戴劳保用品，并遵守本 </w:t>
      </w:r>
    </w:p>
    <w:p w14:paraId="2CF8AD2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公司的各项现场管理规定； </w:t>
      </w:r>
    </w:p>
    <w:p w14:paraId="5CA210E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9.2 从事特种作业（如电工、叉车工等）必须持政府相关部门颁发 </w:t>
      </w:r>
    </w:p>
    <w:p w14:paraId="0A438C7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的特种作业操作证上岗，其他专业工种（如喷漆、喷粉工、设备维保 </w:t>
      </w:r>
    </w:p>
    <w:p w14:paraId="154149CD">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工等）需经我司岗前培训合格后颁发操作证后，持证上岗； </w:t>
      </w:r>
    </w:p>
    <w:p w14:paraId="5BFE03CC">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9.3 因外包单位人员在生产区引起事故而造成的我公司各项损失及 </w:t>
      </w:r>
    </w:p>
    <w:p w14:paraId="7C2C0B0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其后果，全部责任应由外包单位负责； </w:t>
      </w:r>
    </w:p>
    <w:p w14:paraId="3D03BE97">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9.4 新增或变更外包岗位操作人员时，外包单位需向我司报备，并 </w:t>
      </w:r>
    </w:p>
    <w:p w14:paraId="331ACE3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进行三级安全教育及岗位技能培训，合格后方可上岗作业； </w:t>
      </w:r>
    </w:p>
    <w:p w14:paraId="4B808C6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9.5 因外包单位人员储备不足，影响生产正常进行而造成的我公司 </w:t>
      </w:r>
    </w:p>
    <w:p w14:paraId="2D5C164E">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损失，全部责任由外包单位负责； </w:t>
      </w:r>
    </w:p>
    <w:p w14:paraId="760D618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9.6 喷漆工更换频次≤2 次/年； </w:t>
      </w:r>
    </w:p>
    <w:p w14:paraId="471492E4">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9.7 严禁供应商参与所供货产品外包服务业务，管理、服务、操作 </w:t>
      </w:r>
    </w:p>
    <w:p w14:paraId="3476A60A">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人员均与乙方签订劳动合同。 </w:t>
      </w:r>
    </w:p>
    <w:p w14:paraId="00DA0BAC">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10、生产条件要求：</w:t>
      </w:r>
      <w:r>
        <w:rPr>
          <w:rFonts w:hint="eastAsia" w:ascii="仿宋" w:hAnsi="仿宋" w:eastAsia="仿宋" w:cs="仿宋"/>
          <w:color w:val="000000"/>
          <w:kern w:val="0"/>
          <w:sz w:val="28"/>
          <w:szCs w:val="28"/>
          <w:lang w:val="en-US" w:eastAsia="zh-CN" w:bidi="ar"/>
        </w:rPr>
        <w:t xml:space="preserve">乙方需满足每日喷涂甲方下线车辆数量（约 25 </w:t>
      </w:r>
    </w:p>
    <w:p w14:paraId="0DD8245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辆份），并具备每日喷涂 35 辆份的能力，以应对因恶劣天气导致的 </w:t>
      </w:r>
    </w:p>
    <w:p w14:paraId="4920F335">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积压待工车辆需求。 </w:t>
      </w:r>
    </w:p>
    <w:p w14:paraId="700B6D43">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11、场地要求：</w:t>
      </w:r>
      <w:r>
        <w:rPr>
          <w:rFonts w:hint="eastAsia" w:ascii="仿宋" w:hAnsi="仿宋" w:eastAsia="仿宋" w:cs="仿宋"/>
          <w:color w:val="000000"/>
          <w:kern w:val="0"/>
          <w:sz w:val="28"/>
          <w:szCs w:val="28"/>
          <w:lang w:val="en-US" w:eastAsia="zh-CN" w:bidi="ar"/>
        </w:rPr>
        <w:t xml:space="preserve">卡车公司聚脲喷涂场地由卡车公司免费提供。 </w:t>
      </w:r>
    </w:p>
    <w:p w14:paraId="7559C558">
      <w:pPr>
        <w:keepNext w:val="0"/>
        <w:keepLines w:val="0"/>
        <w:widowControl/>
        <w:suppressLineNumbers w:val="0"/>
        <w:jc w:val="left"/>
      </w:pPr>
      <w:r>
        <w:rPr>
          <w:rFonts w:hint="eastAsia" w:ascii="仿宋" w:hAnsi="仿宋" w:eastAsia="仿宋" w:cs="仿宋"/>
          <w:b/>
          <w:bCs/>
          <w:color w:val="000000"/>
          <w:kern w:val="0"/>
          <w:sz w:val="28"/>
          <w:szCs w:val="28"/>
          <w:lang w:val="en-US" w:eastAsia="zh-CN" w:bidi="ar"/>
        </w:rPr>
        <w:t>12、工序外包有效期：</w:t>
      </w:r>
      <w:r>
        <w:rPr>
          <w:rFonts w:hint="eastAsia" w:ascii="仿宋" w:hAnsi="仿宋" w:eastAsia="仿宋" w:cs="仿宋"/>
          <w:color w:val="000000"/>
          <w:kern w:val="0"/>
          <w:sz w:val="28"/>
          <w:szCs w:val="28"/>
          <w:lang w:val="en-US" w:eastAsia="zh-CN" w:bidi="ar"/>
        </w:rPr>
        <w:t xml:space="preserve">2025 年 1 月 1 日至 2025 年 12 月 31 日 </w:t>
      </w:r>
    </w:p>
    <w:p w14:paraId="7CA8225B">
      <w:pPr>
        <w:keepNext w:val="0"/>
        <w:keepLines w:val="0"/>
        <w:widowControl/>
        <w:suppressLineNumbers w:val="0"/>
        <w:jc w:val="left"/>
        <w:rPr>
          <w:rFonts w:hint="eastAsia" w:ascii="仿宋" w:hAnsi="仿宋" w:eastAsia="仿宋" w:cs="仿宋"/>
          <w:b/>
          <w:bCs/>
          <w:sz w:val="28"/>
          <w:szCs w:val="28"/>
        </w:rPr>
      </w:pPr>
      <w:r>
        <w:rPr>
          <w:rFonts w:hint="eastAsia" w:ascii="仿宋" w:hAnsi="仿宋" w:eastAsia="仿宋" w:cs="仿宋"/>
          <w:b/>
          <w:bCs/>
          <w:color w:val="000000"/>
          <w:kern w:val="0"/>
          <w:sz w:val="28"/>
          <w:szCs w:val="28"/>
          <w:lang w:val="en-US" w:eastAsia="zh-CN" w:bidi="ar"/>
        </w:rPr>
        <w:t xml:space="preserve">13、其他 </w:t>
      </w:r>
    </w:p>
    <w:p w14:paraId="38262CE6">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1、时间节点：严格按照公司相关要求、流程节点开展工作。 </w:t>
      </w:r>
    </w:p>
    <w:p w14:paraId="4F5A1388">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2、定期评估：按照相关程序文件对外包方就人员保障能力、设备管 </w:t>
      </w:r>
    </w:p>
    <w:p w14:paraId="3986A52B">
      <w:pPr>
        <w:keepNext w:val="0"/>
        <w:keepLines w:val="0"/>
        <w:widowControl/>
        <w:suppressLineNumbers w:val="0"/>
        <w:jc w:val="left"/>
      </w:pPr>
      <w:r>
        <w:rPr>
          <w:rFonts w:hint="eastAsia" w:ascii="仿宋" w:hAnsi="仿宋" w:eastAsia="仿宋" w:cs="仿宋"/>
          <w:color w:val="000000"/>
          <w:kern w:val="0"/>
          <w:sz w:val="28"/>
          <w:szCs w:val="28"/>
          <w:lang w:val="en-US" w:eastAsia="zh-CN" w:bidi="ar"/>
        </w:rPr>
        <w:t xml:space="preserve">控能力、产品保证能力、质量保证能力、环境保证能力、客户服务能 </w:t>
      </w:r>
    </w:p>
    <w:p w14:paraId="0DD9AB19">
      <w:pPr>
        <w:keepNext w:val="0"/>
        <w:keepLines w:val="0"/>
        <w:widowControl/>
        <w:suppressLineNumbers w:val="0"/>
        <w:jc w:val="left"/>
      </w:pPr>
      <w:r>
        <w:rPr>
          <w:rFonts w:hint="eastAsia" w:ascii="仿宋" w:hAnsi="仿宋" w:eastAsia="仿宋" w:cs="仿宋"/>
          <w:color w:val="000000"/>
          <w:kern w:val="0"/>
          <w:sz w:val="28"/>
          <w:szCs w:val="28"/>
          <w:lang w:val="en-US" w:eastAsia="zh-CN" w:bidi="ar"/>
        </w:rPr>
        <w:t>力等方面进行月度评价。</w:t>
      </w:r>
    </w:p>
    <w:p w14:paraId="55E54AC2">
      <w:r>
        <w:br w:type="page"/>
      </w:r>
    </w:p>
    <w:p w14:paraId="0B408191">
      <w:pPr>
        <w:pStyle w:val="76"/>
      </w:pPr>
    </w:p>
    <w:p w14:paraId="5871DF53">
      <w:pPr>
        <w:pStyle w:val="71"/>
      </w:pPr>
      <w:bookmarkStart w:id="23" w:name="_Toc20595"/>
      <w:bookmarkStart w:id="24" w:name="_Toc47976609"/>
      <w:r>
        <w:rPr>
          <w:rFonts w:hint="eastAsia"/>
        </w:rPr>
        <w:t>第三部分　合同主要条款</w:t>
      </w:r>
      <w:bookmarkEnd w:id="23"/>
      <w:bookmarkEnd w:id="24"/>
    </w:p>
    <w:p w14:paraId="23914DBE">
      <w:pPr>
        <w:pStyle w:val="72"/>
        <w:numPr>
          <w:ilvl w:val="0"/>
          <w:numId w:val="30"/>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600DE1DD">
      <w:pPr>
        <w:pStyle w:val="71"/>
        <w:jc w:val="left"/>
        <w:rPr>
          <w:rFonts w:hint="eastAsia" w:ascii="宋体" w:hAnsi="宋体" w:eastAsia="宋体" w:cs="宋体"/>
          <w:sz w:val="32"/>
          <w:szCs w:val="32"/>
          <w:highlight w:val="yellow"/>
          <w:lang w:eastAsia="zh-CN"/>
        </w:rPr>
      </w:pPr>
      <w:bookmarkStart w:id="32" w:name="_Toc4225"/>
      <w:bookmarkStart w:id="33" w:name="_Toc47976616"/>
      <w:r>
        <w:rPr>
          <w:rFonts w:hint="eastAsia" w:ascii="宋体" w:hAnsi="宋体" w:eastAsia="宋体" w:cs="宋体"/>
          <w:sz w:val="32"/>
          <w:szCs w:val="32"/>
          <w:highlight w:val="yellow"/>
        </w:rPr>
        <w:t>附件</w:t>
      </w:r>
      <w:bookmarkEnd w:id="32"/>
      <w:bookmarkEnd w:id="3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4" w:name="_Toc47976618"/>
      <w:bookmarkStart w:id="35" w:name="_Toc29366865"/>
      <w:bookmarkStart w:id="36" w:name="_Toc29366869"/>
      <w:r>
        <w:rPr>
          <w:rFonts w:hint="eastAsia" w:ascii="宋体" w:hAnsi="宋体" w:eastAsia="宋体" w:cs="宋体"/>
          <w:sz w:val="32"/>
          <w:szCs w:val="32"/>
          <w:highlight w:val="yellow"/>
          <w:lang w:val="en-US" w:eastAsia="zh-CN"/>
        </w:rPr>
        <w:t>附件2</w:t>
      </w:r>
    </w:p>
    <w:bookmarkEnd w:id="3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5"/>
    <w:bookmarkEnd w:id="3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35AF7674">
      <w:pPr>
        <w:pStyle w:val="76"/>
        <w:rPr>
          <w:rFonts w:hAnsi="宋体" w:cs="宋体"/>
          <w:b/>
          <w:bCs/>
          <w:sz w:val="32"/>
          <w:szCs w:val="32"/>
        </w:rPr>
      </w:pPr>
      <w:r>
        <w:rPr>
          <w:rFonts w:hint="eastAsia" w:hAnsi="宋体" w:cs="宋体"/>
          <w:b/>
          <w:bCs/>
          <w:sz w:val="32"/>
          <w:szCs w:val="32"/>
        </w:rPr>
        <w:t>附件4</w:t>
      </w:r>
    </w:p>
    <w:p w14:paraId="17AEAF51">
      <w:pPr>
        <w:jc w:val="center"/>
        <w:rPr>
          <w:rFonts w:eastAsia="黑体"/>
          <w:sz w:val="28"/>
        </w:rPr>
      </w:pPr>
      <w:r>
        <w:rPr>
          <w:rFonts w:hint="eastAsia" w:eastAsia="黑体"/>
          <w:sz w:val="28"/>
        </w:rPr>
        <w:t>技术规格偏离表</w:t>
      </w:r>
    </w:p>
    <w:p w14:paraId="44F7BB29">
      <w:pPr>
        <w:rPr>
          <w:rFonts w:ascii="宋体" w:hAnsi="宋体"/>
          <w:szCs w:val="21"/>
        </w:rPr>
      </w:pPr>
    </w:p>
    <w:p w14:paraId="6E0B7FED">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A33611C">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929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94C7A1D">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30843AE7">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34B10C9B">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0913697E">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5F4660A9">
            <w:pPr>
              <w:jc w:val="center"/>
              <w:rPr>
                <w:rFonts w:ascii="宋体" w:hAnsi="宋体"/>
                <w:kern w:val="0"/>
                <w:sz w:val="20"/>
                <w:szCs w:val="21"/>
              </w:rPr>
            </w:pPr>
            <w:r>
              <w:rPr>
                <w:rFonts w:hint="eastAsia" w:ascii="宋体" w:hAnsi="宋体"/>
                <w:kern w:val="0"/>
                <w:sz w:val="20"/>
                <w:szCs w:val="21"/>
              </w:rPr>
              <w:t>说明</w:t>
            </w:r>
          </w:p>
        </w:tc>
      </w:tr>
      <w:tr w14:paraId="7263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31F8BB">
            <w:pPr>
              <w:jc w:val="center"/>
              <w:rPr>
                <w:rFonts w:ascii="宋体" w:hAnsi="宋体"/>
                <w:kern w:val="0"/>
                <w:sz w:val="20"/>
                <w:szCs w:val="21"/>
              </w:rPr>
            </w:pPr>
          </w:p>
        </w:tc>
        <w:tc>
          <w:tcPr>
            <w:tcW w:w="2175" w:type="dxa"/>
            <w:vAlign w:val="center"/>
          </w:tcPr>
          <w:p w14:paraId="3EA98759">
            <w:pPr>
              <w:jc w:val="center"/>
              <w:rPr>
                <w:rFonts w:ascii="宋体" w:hAnsi="宋体"/>
                <w:kern w:val="0"/>
                <w:sz w:val="20"/>
                <w:szCs w:val="21"/>
              </w:rPr>
            </w:pPr>
          </w:p>
        </w:tc>
        <w:tc>
          <w:tcPr>
            <w:tcW w:w="2425" w:type="dxa"/>
            <w:vAlign w:val="center"/>
          </w:tcPr>
          <w:p w14:paraId="3581C2FE">
            <w:pPr>
              <w:jc w:val="center"/>
              <w:rPr>
                <w:rFonts w:ascii="宋体" w:hAnsi="宋体"/>
                <w:kern w:val="0"/>
                <w:sz w:val="20"/>
                <w:szCs w:val="21"/>
              </w:rPr>
            </w:pPr>
          </w:p>
        </w:tc>
        <w:tc>
          <w:tcPr>
            <w:tcW w:w="1774" w:type="dxa"/>
            <w:vAlign w:val="center"/>
          </w:tcPr>
          <w:p w14:paraId="13577A00">
            <w:pPr>
              <w:jc w:val="center"/>
              <w:rPr>
                <w:rFonts w:ascii="宋体" w:hAnsi="宋体"/>
                <w:kern w:val="0"/>
                <w:sz w:val="20"/>
                <w:szCs w:val="21"/>
              </w:rPr>
            </w:pPr>
          </w:p>
        </w:tc>
        <w:tc>
          <w:tcPr>
            <w:tcW w:w="1846" w:type="dxa"/>
            <w:vAlign w:val="center"/>
          </w:tcPr>
          <w:p w14:paraId="2842A95A">
            <w:pPr>
              <w:jc w:val="center"/>
              <w:rPr>
                <w:rFonts w:ascii="宋体" w:hAnsi="宋体"/>
                <w:kern w:val="0"/>
                <w:sz w:val="20"/>
                <w:szCs w:val="21"/>
              </w:rPr>
            </w:pPr>
          </w:p>
        </w:tc>
      </w:tr>
      <w:tr w14:paraId="440C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3BB2BDA">
            <w:pPr>
              <w:jc w:val="center"/>
              <w:rPr>
                <w:rFonts w:ascii="宋体" w:hAnsi="宋体"/>
                <w:kern w:val="0"/>
                <w:sz w:val="20"/>
                <w:szCs w:val="21"/>
              </w:rPr>
            </w:pPr>
          </w:p>
        </w:tc>
        <w:tc>
          <w:tcPr>
            <w:tcW w:w="2175" w:type="dxa"/>
            <w:vAlign w:val="center"/>
          </w:tcPr>
          <w:p w14:paraId="06511707">
            <w:pPr>
              <w:jc w:val="center"/>
              <w:rPr>
                <w:rFonts w:ascii="宋体" w:hAnsi="宋体"/>
                <w:kern w:val="0"/>
                <w:sz w:val="20"/>
                <w:szCs w:val="21"/>
              </w:rPr>
            </w:pPr>
          </w:p>
        </w:tc>
        <w:tc>
          <w:tcPr>
            <w:tcW w:w="2425" w:type="dxa"/>
            <w:vAlign w:val="center"/>
          </w:tcPr>
          <w:p w14:paraId="4B962BCA">
            <w:pPr>
              <w:jc w:val="center"/>
              <w:rPr>
                <w:rFonts w:ascii="宋体" w:hAnsi="宋体"/>
                <w:kern w:val="0"/>
                <w:sz w:val="20"/>
                <w:szCs w:val="21"/>
              </w:rPr>
            </w:pPr>
          </w:p>
        </w:tc>
        <w:tc>
          <w:tcPr>
            <w:tcW w:w="1774" w:type="dxa"/>
            <w:vAlign w:val="center"/>
          </w:tcPr>
          <w:p w14:paraId="3B735538">
            <w:pPr>
              <w:jc w:val="center"/>
              <w:rPr>
                <w:rFonts w:ascii="宋体" w:hAnsi="宋体"/>
                <w:kern w:val="0"/>
                <w:sz w:val="20"/>
                <w:szCs w:val="21"/>
              </w:rPr>
            </w:pPr>
          </w:p>
        </w:tc>
        <w:tc>
          <w:tcPr>
            <w:tcW w:w="1846" w:type="dxa"/>
            <w:vAlign w:val="center"/>
          </w:tcPr>
          <w:p w14:paraId="554B830F">
            <w:pPr>
              <w:jc w:val="center"/>
              <w:rPr>
                <w:rFonts w:ascii="宋体" w:hAnsi="宋体"/>
                <w:kern w:val="0"/>
                <w:sz w:val="20"/>
                <w:szCs w:val="21"/>
              </w:rPr>
            </w:pPr>
          </w:p>
        </w:tc>
      </w:tr>
      <w:tr w14:paraId="164E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9294C95">
            <w:pPr>
              <w:jc w:val="center"/>
              <w:rPr>
                <w:rFonts w:ascii="宋体" w:hAnsi="宋体"/>
                <w:kern w:val="0"/>
                <w:sz w:val="20"/>
                <w:szCs w:val="21"/>
              </w:rPr>
            </w:pPr>
          </w:p>
        </w:tc>
        <w:tc>
          <w:tcPr>
            <w:tcW w:w="2175" w:type="dxa"/>
            <w:vAlign w:val="center"/>
          </w:tcPr>
          <w:p w14:paraId="263C0CB3">
            <w:pPr>
              <w:jc w:val="center"/>
              <w:rPr>
                <w:rFonts w:ascii="宋体" w:hAnsi="宋体"/>
                <w:kern w:val="0"/>
                <w:sz w:val="20"/>
                <w:szCs w:val="21"/>
              </w:rPr>
            </w:pPr>
          </w:p>
        </w:tc>
        <w:tc>
          <w:tcPr>
            <w:tcW w:w="2425" w:type="dxa"/>
            <w:vAlign w:val="center"/>
          </w:tcPr>
          <w:p w14:paraId="7C669FB8">
            <w:pPr>
              <w:jc w:val="center"/>
              <w:rPr>
                <w:rFonts w:ascii="宋体" w:hAnsi="宋体"/>
                <w:kern w:val="0"/>
                <w:sz w:val="20"/>
                <w:szCs w:val="21"/>
              </w:rPr>
            </w:pPr>
          </w:p>
        </w:tc>
        <w:tc>
          <w:tcPr>
            <w:tcW w:w="1774" w:type="dxa"/>
            <w:vAlign w:val="center"/>
          </w:tcPr>
          <w:p w14:paraId="3FE45F8A">
            <w:pPr>
              <w:jc w:val="center"/>
              <w:rPr>
                <w:rFonts w:ascii="宋体" w:hAnsi="宋体"/>
                <w:kern w:val="0"/>
                <w:sz w:val="20"/>
                <w:szCs w:val="21"/>
              </w:rPr>
            </w:pPr>
          </w:p>
        </w:tc>
        <w:tc>
          <w:tcPr>
            <w:tcW w:w="1846" w:type="dxa"/>
            <w:vAlign w:val="center"/>
          </w:tcPr>
          <w:p w14:paraId="1E1791C9">
            <w:pPr>
              <w:jc w:val="center"/>
              <w:rPr>
                <w:rFonts w:ascii="宋体" w:hAnsi="宋体"/>
                <w:kern w:val="0"/>
                <w:sz w:val="20"/>
                <w:szCs w:val="21"/>
              </w:rPr>
            </w:pPr>
          </w:p>
        </w:tc>
      </w:tr>
      <w:tr w14:paraId="387E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A1B4E6C">
            <w:pPr>
              <w:jc w:val="center"/>
              <w:rPr>
                <w:rFonts w:ascii="宋体" w:hAnsi="宋体"/>
                <w:kern w:val="0"/>
                <w:sz w:val="20"/>
                <w:szCs w:val="21"/>
              </w:rPr>
            </w:pPr>
          </w:p>
        </w:tc>
        <w:tc>
          <w:tcPr>
            <w:tcW w:w="2175" w:type="dxa"/>
            <w:vAlign w:val="center"/>
          </w:tcPr>
          <w:p w14:paraId="067FD450">
            <w:pPr>
              <w:jc w:val="center"/>
              <w:rPr>
                <w:rFonts w:ascii="宋体" w:hAnsi="宋体"/>
                <w:kern w:val="0"/>
                <w:sz w:val="20"/>
                <w:szCs w:val="21"/>
              </w:rPr>
            </w:pPr>
          </w:p>
        </w:tc>
        <w:tc>
          <w:tcPr>
            <w:tcW w:w="2425" w:type="dxa"/>
            <w:vAlign w:val="center"/>
          </w:tcPr>
          <w:p w14:paraId="4DAE3252">
            <w:pPr>
              <w:jc w:val="center"/>
              <w:rPr>
                <w:rFonts w:ascii="宋体" w:hAnsi="宋体"/>
                <w:kern w:val="0"/>
                <w:sz w:val="20"/>
                <w:szCs w:val="21"/>
              </w:rPr>
            </w:pPr>
          </w:p>
        </w:tc>
        <w:tc>
          <w:tcPr>
            <w:tcW w:w="1774" w:type="dxa"/>
            <w:vAlign w:val="center"/>
          </w:tcPr>
          <w:p w14:paraId="1854C7CE">
            <w:pPr>
              <w:jc w:val="center"/>
              <w:rPr>
                <w:rFonts w:ascii="宋体" w:hAnsi="宋体"/>
                <w:kern w:val="0"/>
                <w:sz w:val="20"/>
                <w:szCs w:val="21"/>
              </w:rPr>
            </w:pPr>
          </w:p>
        </w:tc>
        <w:tc>
          <w:tcPr>
            <w:tcW w:w="1846" w:type="dxa"/>
            <w:vAlign w:val="center"/>
          </w:tcPr>
          <w:p w14:paraId="2C436831">
            <w:pPr>
              <w:jc w:val="center"/>
              <w:rPr>
                <w:rFonts w:ascii="宋体" w:hAnsi="宋体"/>
                <w:kern w:val="0"/>
                <w:sz w:val="20"/>
                <w:szCs w:val="21"/>
              </w:rPr>
            </w:pPr>
          </w:p>
        </w:tc>
      </w:tr>
      <w:tr w14:paraId="79C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DB2AE9F">
            <w:pPr>
              <w:jc w:val="center"/>
              <w:rPr>
                <w:rFonts w:ascii="宋体" w:hAnsi="宋体"/>
                <w:kern w:val="0"/>
                <w:sz w:val="20"/>
                <w:szCs w:val="21"/>
              </w:rPr>
            </w:pPr>
          </w:p>
        </w:tc>
        <w:tc>
          <w:tcPr>
            <w:tcW w:w="2175" w:type="dxa"/>
            <w:vAlign w:val="center"/>
          </w:tcPr>
          <w:p w14:paraId="3DF675A3">
            <w:pPr>
              <w:jc w:val="center"/>
              <w:rPr>
                <w:rFonts w:ascii="宋体" w:hAnsi="宋体"/>
                <w:kern w:val="0"/>
                <w:sz w:val="20"/>
                <w:szCs w:val="21"/>
              </w:rPr>
            </w:pPr>
          </w:p>
        </w:tc>
        <w:tc>
          <w:tcPr>
            <w:tcW w:w="2425" w:type="dxa"/>
            <w:vAlign w:val="center"/>
          </w:tcPr>
          <w:p w14:paraId="532229A9">
            <w:pPr>
              <w:jc w:val="center"/>
              <w:rPr>
                <w:rFonts w:ascii="宋体" w:hAnsi="宋体"/>
                <w:kern w:val="0"/>
                <w:sz w:val="20"/>
                <w:szCs w:val="21"/>
              </w:rPr>
            </w:pPr>
          </w:p>
        </w:tc>
        <w:tc>
          <w:tcPr>
            <w:tcW w:w="1774" w:type="dxa"/>
            <w:vAlign w:val="center"/>
          </w:tcPr>
          <w:p w14:paraId="257DAD9D">
            <w:pPr>
              <w:jc w:val="center"/>
              <w:rPr>
                <w:rFonts w:ascii="宋体" w:hAnsi="宋体"/>
                <w:kern w:val="0"/>
                <w:sz w:val="20"/>
                <w:szCs w:val="21"/>
              </w:rPr>
            </w:pPr>
          </w:p>
        </w:tc>
        <w:tc>
          <w:tcPr>
            <w:tcW w:w="1846" w:type="dxa"/>
            <w:vAlign w:val="center"/>
          </w:tcPr>
          <w:p w14:paraId="452D806E">
            <w:pPr>
              <w:jc w:val="center"/>
              <w:rPr>
                <w:rFonts w:ascii="宋体" w:hAnsi="宋体"/>
                <w:kern w:val="0"/>
                <w:sz w:val="20"/>
                <w:szCs w:val="21"/>
              </w:rPr>
            </w:pPr>
          </w:p>
        </w:tc>
      </w:tr>
      <w:tr w14:paraId="2B9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F7382C3">
            <w:pPr>
              <w:jc w:val="center"/>
              <w:rPr>
                <w:rFonts w:ascii="宋体" w:hAnsi="宋体"/>
                <w:kern w:val="0"/>
                <w:sz w:val="20"/>
                <w:szCs w:val="21"/>
              </w:rPr>
            </w:pPr>
          </w:p>
        </w:tc>
        <w:tc>
          <w:tcPr>
            <w:tcW w:w="2175" w:type="dxa"/>
            <w:vAlign w:val="center"/>
          </w:tcPr>
          <w:p w14:paraId="277525DA">
            <w:pPr>
              <w:jc w:val="center"/>
              <w:rPr>
                <w:rFonts w:ascii="宋体" w:hAnsi="宋体"/>
                <w:kern w:val="0"/>
                <w:sz w:val="20"/>
                <w:szCs w:val="21"/>
              </w:rPr>
            </w:pPr>
          </w:p>
        </w:tc>
        <w:tc>
          <w:tcPr>
            <w:tcW w:w="2425" w:type="dxa"/>
            <w:vAlign w:val="center"/>
          </w:tcPr>
          <w:p w14:paraId="5E32EFE3">
            <w:pPr>
              <w:jc w:val="center"/>
              <w:rPr>
                <w:rFonts w:ascii="宋体" w:hAnsi="宋体"/>
                <w:kern w:val="0"/>
                <w:sz w:val="20"/>
                <w:szCs w:val="21"/>
              </w:rPr>
            </w:pPr>
          </w:p>
        </w:tc>
        <w:tc>
          <w:tcPr>
            <w:tcW w:w="1774" w:type="dxa"/>
            <w:vAlign w:val="center"/>
          </w:tcPr>
          <w:p w14:paraId="7DFE0FAB">
            <w:pPr>
              <w:jc w:val="center"/>
              <w:rPr>
                <w:rFonts w:ascii="宋体" w:hAnsi="宋体"/>
                <w:kern w:val="0"/>
                <w:sz w:val="20"/>
                <w:szCs w:val="21"/>
              </w:rPr>
            </w:pPr>
          </w:p>
        </w:tc>
        <w:tc>
          <w:tcPr>
            <w:tcW w:w="1846" w:type="dxa"/>
            <w:vAlign w:val="center"/>
          </w:tcPr>
          <w:p w14:paraId="3AE73D82">
            <w:pPr>
              <w:jc w:val="center"/>
              <w:rPr>
                <w:rFonts w:ascii="宋体" w:hAnsi="宋体"/>
                <w:kern w:val="0"/>
                <w:sz w:val="20"/>
                <w:szCs w:val="21"/>
              </w:rPr>
            </w:pPr>
          </w:p>
        </w:tc>
      </w:tr>
    </w:tbl>
    <w:p w14:paraId="76D0F1D5">
      <w:pPr>
        <w:rPr>
          <w:rFonts w:ascii="宋体" w:hAnsi="宋体"/>
          <w:szCs w:val="21"/>
        </w:rPr>
      </w:pPr>
    </w:p>
    <w:p w14:paraId="195B8D13">
      <w:pPr>
        <w:rPr>
          <w:rFonts w:ascii="宋体" w:hAnsi="宋体"/>
          <w:szCs w:val="21"/>
        </w:rPr>
      </w:pPr>
    </w:p>
    <w:p w14:paraId="23653900">
      <w:pPr>
        <w:rPr>
          <w:rFonts w:ascii="宋体" w:hAnsi="宋体"/>
          <w:szCs w:val="21"/>
        </w:rPr>
      </w:pPr>
    </w:p>
    <w:p w14:paraId="04DF8CC3">
      <w:pPr>
        <w:rPr>
          <w:rFonts w:ascii="宋体" w:hAnsi="宋体"/>
          <w:szCs w:val="21"/>
        </w:rPr>
      </w:pPr>
    </w:p>
    <w:p w14:paraId="46B0E768">
      <w:r>
        <w:rPr>
          <w:rFonts w:hint="eastAsia" w:ascii="宋体" w:hAnsi="宋体"/>
          <w:szCs w:val="21"/>
        </w:rPr>
        <w:t>投标人名称（盖章）：              法定代表人或授权代表签字：</w:t>
      </w:r>
    </w:p>
    <w:p w14:paraId="2B389CC7">
      <w:pPr>
        <w:pStyle w:val="76"/>
        <w:rPr>
          <w:b/>
          <w:bCs/>
        </w:rPr>
      </w:pPr>
    </w:p>
    <w:p w14:paraId="79FA32FC">
      <w:pPr>
        <w:rPr>
          <w:rFonts w:ascii="宋体" w:hAnsi="宋体" w:cs="宋体"/>
          <w:b/>
          <w:bCs/>
          <w:sz w:val="32"/>
          <w:szCs w:val="32"/>
        </w:rPr>
      </w:pPr>
      <w:r>
        <w:rPr>
          <w:rFonts w:ascii="宋体" w:hAnsi="宋体" w:cs="宋体"/>
          <w:b/>
          <w:bCs/>
          <w:sz w:val="32"/>
          <w:szCs w:val="32"/>
        </w:rPr>
        <w:br w:type="page"/>
      </w:r>
    </w:p>
    <w:p w14:paraId="06174B79">
      <w:pPr>
        <w:pStyle w:val="76"/>
        <w:rPr>
          <w:rFonts w:hAnsi="宋体" w:cs="宋体"/>
          <w:b/>
          <w:bCs/>
          <w:sz w:val="32"/>
          <w:szCs w:val="32"/>
        </w:rPr>
      </w:pPr>
      <w:r>
        <w:rPr>
          <w:rFonts w:hint="eastAsia" w:hAnsi="宋体" w:cs="宋体"/>
          <w:b/>
          <w:bCs/>
          <w:sz w:val="32"/>
          <w:szCs w:val="32"/>
        </w:rPr>
        <w:t>附件5</w:t>
      </w:r>
    </w:p>
    <w:p w14:paraId="3CAF1A82">
      <w:pPr>
        <w:jc w:val="center"/>
        <w:rPr>
          <w:rFonts w:eastAsia="黑体"/>
          <w:sz w:val="28"/>
        </w:rPr>
      </w:pPr>
      <w:r>
        <w:rPr>
          <w:rFonts w:hint="eastAsia" w:eastAsia="黑体"/>
          <w:sz w:val="28"/>
        </w:rPr>
        <w:t>商务偏离表</w:t>
      </w:r>
    </w:p>
    <w:p w14:paraId="0E0F6B8E">
      <w:pPr>
        <w:rPr>
          <w:rFonts w:ascii="宋体" w:hAnsi="宋体"/>
          <w:szCs w:val="21"/>
        </w:rPr>
      </w:pPr>
    </w:p>
    <w:p w14:paraId="46B86972">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D5703B3">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2CB6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23077CFB">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0F399A9F">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5990E59C">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56B1FA2B">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2FEBB463">
            <w:pPr>
              <w:jc w:val="center"/>
              <w:rPr>
                <w:rFonts w:ascii="宋体" w:hAnsi="宋体"/>
                <w:kern w:val="0"/>
                <w:sz w:val="20"/>
                <w:szCs w:val="21"/>
              </w:rPr>
            </w:pPr>
            <w:r>
              <w:rPr>
                <w:rFonts w:hint="eastAsia" w:ascii="宋体" w:hAnsi="宋体"/>
                <w:kern w:val="0"/>
                <w:sz w:val="20"/>
                <w:szCs w:val="21"/>
              </w:rPr>
              <w:t>说明</w:t>
            </w:r>
          </w:p>
        </w:tc>
      </w:tr>
      <w:tr w14:paraId="6A21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E4900DB">
            <w:pPr>
              <w:jc w:val="center"/>
              <w:rPr>
                <w:rFonts w:ascii="宋体" w:hAnsi="宋体"/>
                <w:kern w:val="0"/>
                <w:sz w:val="20"/>
                <w:szCs w:val="21"/>
              </w:rPr>
            </w:pPr>
          </w:p>
        </w:tc>
        <w:tc>
          <w:tcPr>
            <w:tcW w:w="2175" w:type="dxa"/>
            <w:vAlign w:val="center"/>
          </w:tcPr>
          <w:p w14:paraId="7ABE9100">
            <w:pPr>
              <w:jc w:val="center"/>
              <w:rPr>
                <w:rFonts w:ascii="宋体" w:hAnsi="宋体"/>
                <w:kern w:val="0"/>
                <w:sz w:val="20"/>
                <w:szCs w:val="21"/>
              </w:rPr>
            </w:pPr>
          </w:p>
        </w:tc>
        <w:tc>
          <w:tcPr>
            <w:tcW w:w="2425" w:type="dxa"/>
            <w:vAlign w:val="center"/>
          </w:tcPr>
          <w:p w14:paraId="29773168">
            <w:pPr>
              <w:jc w:val="center"/>
              <w:rPr>
                <w:rFonts w:ascii="宋体" w:hAnsi="宋体"/>
                <w:kern w:val="0"/>
                <w:sz w:val="20"/>
                <w:szCs w:val="21"/>
              </w:rPr>
            </w:pPr>
          </w:p>
        </w:tc>
        <w:tc>
          <w:tcPr>
            <w:tcW w:w="1774" w:type="dxa"/>
            <w:vAlign w:val="center"/>
          </w:tcPr>
          <w:p w14:paraId="10B7AF4F">
            <w:pPr>
              <w:jc w:val="center"/>
              <w:rPr>
                <w:rFonts w:ascii="宋体" w:hAnsi="宋体"/>
                <w:kern w:val="0"/>
                <w:sz w:val="20"/>
                <w:szCs w:val="21"/>
              </w:rPr>
            </w:pPr>
          </w:p>
        </w:tc>
        <w:tc>
          <w:tcPr>
            <w:tcW w:w="1846" w:type="dxa"/>
            <w:vAlign w:val="center"/>
          </w:tcPr>
          <w:p w14:paraId="761495A5">
            <w:pPr>
              <w:jc w:val="center"/>
              <w:rPr>
                <w:rFonts w:ascii="宋体" w:hAnsi="宋体"/>
                <w:kern w:val="0"/>
                <w:sz w:val="20"/>
                <w:szCs w:val="21"/>
              </w:rPr>
            </w:pPr>
          </w:p>
        </w:tc>
      </w:tr>
      <w:tr w14:paraId="0CB6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vAlign w:val="center"/>
          </w:tcPr>
          <w:p w14:paraId="368B2876">
            <w:pPr>
              <w:jc w:val="center"/>
              <w:rPr>
                <w:rFonts w:ascii="宋体" w:hAnsi="宋体"/>
                <w:kern w:val="0"/>
                <w:sz w:val="20"/>
                <w:szCs w:val="21"/>
              </w:rPr>
            </w:pPr>
          </w:p>
        </w:tc>
        <w:tc>
          <w:tcPr>
            <w:tcW w:w="2175" w:type="dxa"/>
            <w:vAlign w:val="center"/>
          </w:tcPr>
          <w:p w14:paraId="19526812">
            <w:pPr>
              <w:jc w:val="center"/>
              <w:rPr>
                <w:rFonts w:ascii="宋体" w:hAnsi="宋体"/>
                <w:kern w:val="0"/>
                <w:sz w:val="20"/>
                <w:szCs w:val="21"/>
              </w:rPr>
            </w:pPr>
          </w:p>
        </w:tc>
        <w:tc>
          <w:tcPr>
            <w:tcW w:w="2425" w:type="dxa"/>
            <w:vAlign w:val="center"/>
          </w:tcPr>
          <w:p w14:paraId="020217A2">
            <w:pPr>
              <w:jc w:val="center"/>
              <w:rPr>
                <w:rFonts w:ascii="宋体" w:hAnsi="宋体"/>
                <w:kern w:val="0"/>
                <w:sz w:val="20"/>
                <w:szCs w:val="21"/>
              </w:rPr>
            </w:pPr>
          </w:p>
        </w:tc>
        <w:tc>
          <w:tcPr>
            <w:tcW w:w="1774" w:type="dxa"/>
            <w:vAlign w:val="center"/>
          </w:tcPr>
          <w:p w14:paraId="002220A2">
            <w:pPr>
              <w:jc w:val="center"/>
              <w:rPr>
                <w:rFonts w:ascii="宋体" w:hAnsi="宋体"/>
                <w:kern w:val="0"/>
                <w:sz w:val="20"/>
                <w:szCs w:val="21"/>
              </w:rPr>
            </w:pPr>
          </w:p>
        </w:tc>
        <w:tc>
          <w:tcPr>
            <w:tcW w:w="1846" w:type="dxa"/>
            <w:vAlign w:val="center"/>
          </w:tcPr>
          <w:p w14:paraId="76C8B12F">
            <w:pPr>
              <w:jc w:val="center"/>
              <w:rPr>
                <w:rFonts w:ascii="宋体" w:hAnsi="宋体"/>
                <w:kern w:val="0"/>
                <w:sz w:val="20"/>
                <w:szCs w:val="21"/>
              </w:rPr>
            </w:pPr>
          </w:p>
        </w:tc>
      </w:tr>
      <w:tr w14:paraId="200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vAlign w:val="center"/>
          </w:tcPr>
          <w:p w14:paraId="355085E2">
            <w:pPr>
              <w:jc w:val="center"/>
              <w:rPr>
                <w:rFonts w:ascii="宋体" w:hAnsi="宋体"/>
                <w:kern w:val="0"/>
                <w:sz w:val="20"/>
                <w:szCs w:val="21"/>
              </w:rPr>
            </w:pPr>
          </w:p>
        </w:tc>
        <w:tc>
          <w:tcPr>
            <w:tcW w:w="2175" w:type="dxa"/>
            <w:vAlign w:val="center"/>
          </w:tcPr>
          <w:p w14:paraId="563B130B">
            <w:pPr>
              <w:jc w:val="center"/>
              <w:rPr>
                <w:rFonts w:ascii="宋体" w:hAnsi="宋体"/>
                <w:kern w:val="0"/>
                <w:sz w:val="20"/>
                <w:szCs w:val="21"/>
              </w:rPr>
            </w:pPr>
          </w:p>
        </w:tc>
        <w:tc>
          <w:tcPr>
            <w:tcW w:w="2425" w:type="dxa"/>
            <w:vAlign w:val="center"/>
          </w:tcPr>
          <w:p w14:paraId="3898073B">
            <w:pPr>
              <w:jc w:val="center"/>
              <w:rPr>
                <w:rFonts w:ascii="宋体" w:hAnsi="宋体"/>
                <w:kern w:val="0"/>
                <w:sz w:val="20"/>
                <w:szCs w:val="21"/>
              </w:rPr>
            </w:pPr>
          </w:p>
        </w:tc>
        <w:tc>
          <w:tcPr>
            <w:tcW w:w="1774" w:type="dxa"/>
            <w:vAlign w:val="center"/>
          </w:tcPr>
          <w:p w14:paraId="516E23A6">
            <w:pPr>
              <w:jc w:val="center"/>
              <w:rPr>
                <w:rFonts w:ascii="宋体" w:hAnsi="宋体"/>
                <w:kern w:val="0"/>
                <w:sz w:val="20"/>
                <w:szCs w:val="21"/>
              </w:rPr>
            </w:pPr>
          </w:p>
        </w:tc>
        <w:tc>
          <w:tcPr>
            <w:tcW w:w="1846" w:type="dxa"/>
            <w:vAlign w:val="center"/>
          </w:tcPr>
          <w:p w14:paraId="1FFA0C64">
            <w:pPr>
              <w:jc w:val="center"/>
              <w:rPr>
                <w:rFonts w:ascii="宋体" w:hAnsi="宋体"/>
                <w:kern w:val="0"/>
                <w:sz w:val="20"/>
                <w:szCs w:val="21"/>
              </w:rPr>
            </w:pPr>
          </w:p>
        </w:tc>
      </w:tr>
      <w:tr w14:paraId="054D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378E3A4">
            <w:pPr>
              <w:jc w:val="center"/>
              <w:rPr>
                <w:rFonts w:ascii="宋体" w:hAnsi="宋体"/>
                <w:kern w:val="0"/>
                <w:sz w:val="20"/>
                <w:szCs w:val="21"/>
              </w:rPr>
            </w:pPr>
          </w:p>
        </w:tc>
        <w:tc>
          <w:tcPr>
            <w:tcW w:w="2175" w:type="dxa"/>
            <w:vAlign w:val="center"/>
          </w:tcPr>
          <w:p w14:paraId="43305251">
            <w:pPr>
              <w:jc w:val="center"/>
              <w:rPr>
                <w:rFonts w:ascii="宋体" w:hAnsi="宋体"/>
                <w:kern w:val="0"/>
                <w:sz w:val="20"/>
                <w:szCs w:val="21"/>
              </w:rPr>
            </w:pPr>
          </w:p>
        </w:tc>
        <w:tc>
          <w:tcPr>
            <w:tcW w:w="2425" w:type="dxa"/>
            <w:vAlign w:val="center"/>
          </w:tcPr>
          <w:p w14:paraId="6CDC8E18">
            <w:pPr>
              <w:jc w:val="center"/>
              <w:rPr>
                <w:rFonts w:ascii="宋体" w:hAnsi="宋体"/>
                <w:kern w:val="0"/>
                <w:sz w:val="20"/>
                <w:szCs w:val="21"/>
              </w:rPr>
            </w:pPr>
          </w:p>
        </w:tc>
        <w:tc>
          <w:tcPr>
            <w:tcW w:w="1774" w:type="dxa"/>
            <w:vAlign w:val="center"/>
          </w:tcPr>
          <w:p w14:paraId="022A44D2">
            <w:pPr>
              <w:jc w:val="center"/>
              <w:rPr>
                <w:rFonts w:ascii="宋体" w:hAnsi="宋体"/>
                <w:kern w:val="0"/>
                <w:sz w:val="20"/>
                <w:szCs w:val="21"/>
              </w:rPr>
            </w:pPr>
          </w:p>
        </w:tc>
        <w:tc>
          <w:tcPr>
            <w:tcW w:w="1846" w:type="dxa"/>
            <w:vAlign w:val="center"/>
          </w:tcPr>
          <w:p w14:paraId="05A78BB2">
            <w:pPr>
              <w:jc w:val="center"/>
              <w:rPr>
                <w:rFonts w:ascii="宋体" w:hAnsi="宋体"/>
                <w:kern w:val="0"/>
                <w:sz w:val="20"/>
                <w:szCs w:val="21"/>
              </w:rPr>
            </w:pPr>
          </w:p>
        </w:tc>
      </w:tr>
      <w:tr w14:paraId="53B5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71045FA">
            <w:pPr>
              <w:jc w:val="center"/>
              <w:rPr>
                <w:rFonts w:ascii="宋体" w:hAnsi="宋体"/>
                <w:kern w:val="0"/>
                <w:sz w:val="20"/>
                <w:szCs w:val="21"/>
              </w:rPr>
            </w:pPr>
          </w:p>
        </w:tc>
        <w:tc>
          <w:tcPr>
            <w:tcW w:w="2175" w:type="dxa"/>
            <w:vAlign w:val="center"/>
          </w:tcPr>
          <w:p w14:paraId="4A24A8DB">
            <w:pPr>
              <w:jc w:val="center"/>
              <w:rPr>
                <w:rFonts w:ascii="宋体" w:hAnsi="宋体"/>
                <w:kern w:val="0"/>
                <w:sz w:val="20"/>
                <w:szCs w:val="21"/>
              </w:rPr>
            </w:pPr>
          </w:p>
        </w:tc>
        <w:tc>
          <w:tcPr>
            <w:tcW w:w="2425" w:type="dxa"/>
            <w:vAlign w:val="center"/>
          </w:tcPr>
          <w:p w14:paraId="2540822A">
            <w:pPr>
              <w:jc w:val="center"/>
              <w:rPr>
                <w:rFonts w:ascii="宋体" w:hAnsi="宋体"/>
                <w:kern w:val="0"/>
                <w:sz w:val="20"/>
                <w:szCs w:val="21"/>
              </w:rPr>
            </w:pPr>
          </w:p>
        </w:tc>
        <w:tc>
          <w:tcPr>
            <w:tcW w:w="1774" w:type="dxa"/>
            <w:vAlign w:val="center"/>
          </w:tcPr>
          <w:p w14:paraId="39D23CDB">
            <w:pPr>
              <w:jc w:val="center"/>
              <w:rPr>
                <w:rFonts w:ascii="宋体" w:hAnsi="宋体"/>
                <w:kern w:val="0"/>
                <w:sz w:val="20"/>
                <w:szCs w:val="21"/>
              </w:rPr>
            </w:pPr>
          </w:p>
        </w:tc>
        <w:tc>
          <w:tcPr>
            <w:tcW w:w="1846" w:type="dxa"/>
            <w:vAlign w:val="center"/>
          </w:tcPr>
          <w:p w14:paraId="22C67063">
            <w:pPr>
              <w:jc w:val="center"/>
              <w:rPr>
                <w:rFonts w:ascii="宋体" w:hAnsi="宋体"/>
                <w:kern w:val="0"/>
                <w:sz w:val="20"/>
                <w:szCs w:val="21"/>
              </w:rPr>
            </w:pPr>
          </w:p>
        </w:tc>
      </w:tr>
      <w:tr w14:paraId="3FC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7EDF66CE">
            <w:pPr>
              <w:jc w:val="center"/>
              <w:rPr>
                <w:rFonts w:ascii="宋体" w:hAnsi="宋体"/>
                <w:kern w:val="0"/>
                <w:sz w:val="20"/>
                <w:szCs w:val="21"/>
              </w:rPr>
            </w:pPr>
          </w:p>
        </w:tc>
        <w:tc>
          <w:tcPr>
            <w:tcW w:w="2175" w:type="dxa"/>
            <w:vAlign w:val="center"/>
          </w:tcPr>
          <w:p w14:paraId="7E4AE688">
            <w:pPr>
              <w:jc w:val="center"/>
              <w:rPr>
                <w:rFonts w:ascii="宋体" w:hAnsi="宋体"/>
                <w:kern w:val="0"/>
                <w:sz w:val="20"/>
                <w:szCs w:val="21"/>
              </w:rPr>
            </w:pPr>
          </w:p>
        </w:tc>
        <w:tc>
          <w:tcPr>
            <w:tcW w:w="2425" w:type="dxa"/>
            <w:vAlign w:val="center"/>
          </w:tcPr>
          <w:p w14:paraId="0EFCA554">
            <w:pPr>
              <w:jc w:val="center"/>
              <w:rPr>
                <w:rFonts w:ascii="宋体" w:hAnsi="宋体"/>
                <w:kern w:val="0"/>
                <w:sz w:val="20"/>
                <w:szCs w:val="21"/>
              </w:rPr>
            </w:pPr>
          </w:p>
        </w:tc>
        <w:tc>
          <w:tcPr>
            <w:tcW w:w="1774" w:type="dxa"/>
            <w:vAlign w:val="center"/>
          </w:tcPr>
          <w:p w14:paraId="06A464E6">
            <w:pPr>
              <w:jc w:val="center"/>
              <w:rPr>
                <w:rFonts w:ascii="宋体" w:hAnsi="宋体"/>
                <w:kern w:val="0"/>
                <w:sz w:val="20"/>
                <w:szCs w:val="21"/>
              </w:rPr>
            </w:pPr>
          </w:p>
        </w:tc>
        <w:tc>
          <w:tcPr>
            <w:tcW w:w="1846" w:type="dxa"/>
            <w:vAlign w:val="center"/>
          </w:tcPr>
          <w:p w14:paraId="6EE78DBE">
            <w:pPr>
              <w:jc w:val="center"/>
              <w:rPr>
                <w:rFonts w:ascii="宋体" w:hAnsi="宋体"/>
                <w:kern w:val="0"/>
                <w:sz w:val="20"/>
                <w:szCs w:val="21"/>
              </w:rPr>
            </w:pPr>
          </w:p>
        </w:tc>
      </w:tr>
    </w:tbl>
    <w:p w14:paraId="079B79C0">
      <w:pPr>
        <w:rPr>
          <w:rFonts w:ascii="宋体" w:hAnsi="宋体"/>
          <w:szCs w:val="21"/>
        </w:rPr>
      </w:pPr>
    </w:p>
    <w:p w14:paraId="47F87054">
      <w:pPr>
        <w:rPr>
          <w:rFonts w:ascii="宋体" w:hAnsi="宋体"/>
          <w:szCs w:val="21"/>
        </w:rPr>
      </w:pPr>
    </w:p>
    <w:p w14:paraId="65FBF977">
      <w:pPr>
        <w:rPr>
          <w:rFonts w:ascii="宋体" w:hAnsi="宋体"/>
          <w:szCs w:val="21"/>
        </w:rPr>
      </w:pPr>
    </w:p>
    <w:p w14:paraId="676546F3">
      <w:pPr>
        <w:rPr>
          <w:rFonts w:ascii="宋体" w:hAnsi="宋体"/>
          <w:szCs w:val="21"/>
        </w:rPr>
      </w:pPr>
    </w:p>
    <w:p w14:paraId="47B7D59C">
      <w:pPr>
        <w:pStyle w:val="76"/>
        <w:rPr>
          <w:rFonts w:hAnsi="宋体"/>
          <w:szCs w:val="21"/>
        </w:rPr>
      </w:pPr>
      <w:r>
        <w:rPr>
          <w:rFonts w:hint="eastAsia" w:hAnsi="宋体"/>
          <w:szCs w:val="21"/>
        </w:rPr>
        <w:t>投标人名称（盖章）：              法定代表人或授权代表签字：</w:t>
      </w:r>
    </w:p>
    <w:p w14:paraId="1BCC8B59">
      <w:pPr>
        <w:rPr>
          <w:rFonts w:ascii="宋体" w:hAnsi="宋体" w:cs="宋体"/>
          <w:b/>
          <w:bCs/>
          <w:sz w:val="32"/>
          <w:szCs w:val="32"/>
        </w:rPr>
      </w:pPr>
      <w:r>
        <w:rPr>
          <w:rFonts w:ascii="宋体" w:hAnsi="宋体" w:cs="宋体"/>
          <w:b/>
          <w:bCs/>
          <w:sz w:val="32"/>
          <w:szCs w:val="32"/>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39CB5A8E">
      <w:pPr>
        <w:pStyle w:val="11"/>
      </w:pPr>
    </w:p>
    <w:p w14:paraId="2BBCDDE9">
      <w:pPr>
        <w:pStyle w:val="76"/>
        <w:rPr>
          <w:rFonts w:hAnsi="宋体"/>
          <w:b/>
          <w:bCs/>
          <w:sz w:val="24"/>
          <w:szCs w:val="24"/>
        </w:rPr>
      </w:pPr>
    </w:p>
    <w:p w14:paraId="293A4F96">
      <w:pPr>
        <w:pStyle w:val="76"/>
        <w:rPr>
          <w:rFonts w:hAnsi="宋体" w:cs="宋体"/>
          <w:b/>
          <w:bCs/>
          <w:sz w:val="32"/>
          <w:szCs w:val="32"/>
        </w:rPr>
      </w:pPr>
    </w:p>
    <w:p w14:paraId="5B160C9A">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04BF98CE"/>
    <w:multiLevelType w:val="singleLevel"/>
    <w:tmpl w:val="04BF98CE"/>
    <w:lvl w:ilvl="0" w:tentative="0">
      <w:start w:val="1"/>
      <w:numFmt w:val="decimal"/>
      <w:suff w:val="nothing"/>
      <w:lvlText w:val="%1、"/>
      <w:lvlJc w:val="left"/>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4"/>
  </w:num>
  <w:num w:numId="19">
    <w:abstractNumId w:val="26"/>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0"/>
  </w:num>
  <w:num w:numId="27">
    <w:abstractNumId w:val="19"/>
  </w:num>
  <w:num w:numId="28">
    <w:abstractNumId w:val="11"/>
  </w:num>
  <w:num w:numId="29">
    <w:abstractNumId w:val="17"/>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4506447"/>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86034C"/>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3FD30AE"/>
    <w:rsid w:val="745D47C3"/>
    <w:rsid w:val="768E7058"/>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12602</Words>
  <Characters>13401</Characters>
  <Lines>127</Lines>
  <Paragraphs>35</Paragraphs>
  <TotalTime>1</TotalTime>
  <ScaleCrop>false</ScaleCrop>
  <LinksUpToDate>false</LinksUpToDate>
  <CharactersWithSpaces>14358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2025-11-03T01:14:09Z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49FD6088F4F5414FB68880AB5DE07A78_13</vt:lpwstr>
  </property>
  <property fmtid="{D5CDD505-2E9C-101B-9397-08002B2CF9AE}" pid="4" name="KSOTemplateDocerSaveRecord">
    <vt:lpwstr>eyJoZGlkIjoiNGVmYjYwMTVkYTcwNzlmYzkyYzZmMzIwZTI3ZGZlNjgiLCJ1c2VySWQiOiIxMDYzNzE1ODkzIn0=</vt:lpwstr>
  </property>
</Properties>
</file>